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10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1"/>
        <w:gridCol w:w="2136"/>
        <w:gridCol w:w="3278"/>
        <w:gridCol w:w="6983"/>
      </w:tblGrid>
      <w:tr w:rsidR="00126104" w:rsidRPr="00213335" w14:paraId="1AE0EEF6" w14:textId="77777777" w:rsidTr="003A5135">
        <w:trPr>
          <w:trHeight w:val="813"/>
          <w:tblHeader/>
        </w:trPr>
        <w:tc>
          <w:tcPr>
            <w:tcW w:w="972" w:type="pct"/>
            <w:tcMar>
              <w:top w:w="28" w:type="dxa"/>
              <w:bottom w:w="28" w:type="dxa"/>
            </w:tcMar>
          </w:tcPr>
          <w:p w14:paraId="6C22AD41" w14:textId="6905B55D" w:rsidR="00126104" w:rsidRPr="00213335" w:rsidRDefault="00126104" w:rsidP="00EA306F">
            <w:pPr>
              <w:widowControl w:val="0"/>
              <w:spacing w:before="120" w:after="120"/>
              <w:jc w:val="center"/>
              <w:rPr>
                <w:rFonts w:ascii="Arial" w:hAnsi="Arial" w:cs="Arial"/>
                <w:b/>
              </w:rPr>
            </w:pPr>
            <w:r w:rsidRPr="00213335">
              <w:rPr>
                <w:rFonts w:ascii="Arial" w:hAnsi="Arial" w:cs="Arial"/>
                <w:b/>
              </w:rPr>
              <w:t>DRUG NAME, FORM(S), STRENGTH(S), SPONSOR, TYPE OF SUBMISSION</w:t>
            </w:r>
          </w:p>
        </w:tc>
        <w:tc>
          <w:tcPr>
            <w:tcW w:w="694" w:type="pct"/>
            <w:tcMar>
              <w:top w:w="28" w:type="dxa"/>
              <w:bottom w:w="28" w:type="dxa"/>
            </w:tcMar>
          </w:tcPr>
          <w:p w14:paraId="095D97B8" w14:textId="77777777" w:rsidR="00126104" w:rsidRPr="00213335" w:rsidRDefault="00126104" w:rsidP="00EA306F">
            <w:pPr>
              <w:widowControl w:val="0"/>
              <w:spacing w:before="120" w:after="120"/>
              <w:jc w:val="center"/>
              <w:rPr>
                <w:rFonts w:ascii="Arial" w:hAnsi="Arial" w:cs="Arial"/>
                <w:b/>
                <w:snapToGrid w:val="0"/>
                <w:lang w:eastAsia="en-US"/>
              </w:rPr>
            </w:pPr>
            <w:r w:rsidRPr="00213335">
              <w:rPr>
                <w:rFonts w:ascii="Arial" w:hAnsi="Arial" w:cs="Arial"/>
                <w:b/>
                <w:snapToGrid w:val="0"/>
                <w:lang w:eastAsia="en-US"/>
              </w:rPr>
              <w:t>DRUG TYPE AND USE</w:t>
            </w:r>
          </w:p>
          <w:p w14:paraId="6692201E" w14:textId="77777777" w:rsidR="00126104" w:rsidRPr="00213335" w:rsidRDefault="00126104" w:rsidP="00EA306F">
            <w:pPr>
              <w:widowControl w:val="0"/>
              <w:spacing w:before="120" w:after="120"/>
              <w:jc w:val="center"/>
              <w:rPr>
                <w:rFonts w:ascii="Arial" w:hAnsi="Arial" w:cs="Arial"/>
                <w:b/>
                <w:snapToGrid w:val="0"/>
                <w:lang w:eastAsia="en-US"/>
              </w:rPr>
            </w:pPr>
          </w:p>
        </w:tc>
        <w:tc>
          <w:tcPr>
            <w:tcW w:w="1065" w:type="pct"/>
            <w:tcMar>
              <w:top w:w="28" w:type="dxa"/>
              <w:bottom w:w="28" w:type="dxa"/>
            </w:tcMar>
          </w:tcPr>
          <w:p w14:paraId="0EE71A89" w14:textId="77777777" w:rsidR="00126104" w:rsidRPr="00213335" w:rsidRDefault="00126104" w:rsidP="00EA306F">
            <w:pPr>
              <w:widowControl w:val="0"/>
              <w:spacing w:before="120" w:after="120"/>
              <w:jc w:val="center"/>
              <w:rPr>
                <w:rFonts w:ascii="Arial" w:hAnsi="Arial" w:cs="Arial"/>
                <w:b/>
                <w:snapToGrid w:val="0"/>
                <w:lang w:eastAsia="en-US"/>
              </w:rPr>
            </w:pPr>
            <w:r w:rsidRPr="00213335">
              <w:rPr>
                <w:rFonts w:ascii="Arial" w:hAnsi="Arial" w:cs="Arial"/>
                <w:b/>
                <w:snapToGrid w:val="0"/>
                <w:lang w:eastAsia="en-US"/>
              </w:rPr>
              <w:t>LISTING REQUESTED BY SPONSOR / PURPOSE OF SUBMISSION</w:t>
            </w:r>
          </w:p>
        </w:tc>
        <w:tc>
          <w:tcPr>
            <w:tcW w:w="2269" w:type="pct"/>
          </w:tcPr>
          <w:p w14:paraId="52F1A201" w14:textId="77777777" w:rsidR="00126104" w:rsidRPr="00213335" w:rsidRDefault="00126104" w:rsidP="00EA306F">
            <w:pPr>
              <w:pStyle w:val="Header"/>
              <w:spacing w:before="120" w:after="120"/>
              <w:jc w:val="center"/>
              <w:rPr>
                <w:rFonts w:ascii="Arial" w:hAnsi="Arial" w:cs="Arial"/>
                <w:b/>
                <w:snapToGrid w:val="0"/>
                <w:lang w:eastAsia="en-US"/>
              </w:rPr>
            </w:pPr>
            <w:r w:rsidRPr="00213335">
              <w:rPr>
                <w:rFonts w:ascii="Arial" w:hAnsi="Arial" w:cs="Arial"/>
                <w:b/>
                <w:snapToGrid w:val="0"/>
                <w:lang w:eastAsia="en-US"/>
              </w:rPr>
              <w:t>PBAC OUTCOME</w:t>
            </w:r>
          </w:p>
        </w:tc>
      </w:tr>
      <w:tr w:rsidR="002D7B93" w:rsidRPr="00213335" w14:paraId="0E8F6BF7" w14:textId="77777777" w:rsidTr="003A5135">
        <w:tblPrEx>
          <w:tblLook w:val="04A0" w:firstRow="1" w:lastRow="0" w:firstColumn="1" w:lastColumn="0" w:noHBand="0" w:noVBand="1"/>
        </w:tblPrEx>
        <w:tc>
          <w:tcPr>
            <w:tcW w:w="972" w:type="pct"/>
            <w:shd w:val="clear" w:color="auto" w:fill="auto"/>
          </w:tcPr>
          <w:p w14:paraId="6A987FA0" w14:textId="77777777" w:rsidR="0063022F" w:rsidRDefault="0063022F" w:rsidP="0063022F">
            <w:pPr>
              <w:rPr>
                <w:rFonts w:ascii="Arial" w:hAnsi="Arial" w:cs="Arial"/>
                <w:color w:val="000000"/>
                <w:highlight w:val="yellow"/>
              </w:rPr>
            </w:pPr>
            <w:r>
              <w:rPr>
                <w:rFonts w:ascii="Arial" w:hAnsi="Arial" w:cs="Arial"/>
                <w:color w:val="000000"/>
              </w:rPr>
              <w:t>DINUTUXIMAB BETA</w:t>
            </w:r>
            <w:r>
              <w:rPr>
                <w:rFonts w:ascii="Arial" w:hAnsi="Arial" w:cs="Arial"/>
                <w:color w:val="000000"/>
              </w:rPr>
              <w:br/>
            </w:r>
            <w:r>
              <w:rPr>
                <w:rFonts w:ascii="Arial" w:hAnsi="Arial" w:cs="Arial"/>
                <w:color w:val="000000"/>
              </w:rPr>
              <w:br/>
              <w:t>Solution concentrate for I.V. infusion 20 mg in 4.5 mL</w:t>
            </w:r>
          </w:p>
          <w:p w14:paraId="7765178E" w14:textId="77777777" w:rsidR="0063022F" w:rsidRDefault="0063022F" w:rsidP="0063022F">
            <w:pPr>
              <w:rPr>
                <w:rFonts w:ascii="Arial" w:hAnsi="Arial" w:cs="Arial"/>
                <w:color w:val="000000"/>
                <w:highlight w:val="yellow"/>
              </w:rPr>
            </w:pPr>
          </w:p>
          <w:p w14:paraId="5A656366" w14:textId="77777777" w:rsidR="0063022F" w:rsidRDefault="0063022F" w:rsidP="0063022F">
            <w:pPr>
              <w:rPr>
                <w:rFonts w:ascii="Arial" w:hAnsi="Arial" w:cs="Arial"/>
                <w:color w:val="000000"/>
              </w:rPr>
            </w:pPr>
            <w:proofErr w:type="spellStart"/>
            <w:r>
              <w:rPr>
                <w:rFonts w:ascii="Arial" w:hAnsi="Arial" w:cs="Arial"/>
                <w:color w:val="000000"/>
              </w:rPr>
              <w:t>Qarziba</w:t>
            </w:r>
            <w:proofErr w:type="spellEnd"/>
            <w:r>
              <w:rPr>
                <w:rFonts w:ascii="Arial" w:hAnsi="Arial" w:cs="Arial"/>
                <w:color w:val="000000"/>
              </w:rPr>
              <w:t>®</w:t>
            </w:r>
            <w:r>
              <w:rPr>
                <w:rFonts w:ascii="Arial" w:hAnsi="Arial" w:cs="Arial"/>
                <w:color w:val="000000"/>
              </w:rPr>
              <w:br/>
            </w:r>
            <w:r>
              <w:rPr>
                <w:rFonts w:ascii="Arial" w:hAnsi="Arial" w:cs="Arial"/>
                <w:color w:val="000000"/>
              </w:rPr>
              <w:br/>
              <w:t>EUSA Pharma (UK) Ltd</w:t>
            </w:r>
          </w:p>
          <w:p w14:paraId="39BA00CF" w14:textId="77777777" w:rsidR="0063022F" w:rsidRDefault="0063022F" w:rsidP="0063022F">
            <w:pPr>
              <w:rPr>
                <w:rFonts w:ascii="Arial" w:hAnsi="Arial" w:cs="Arial"/>
                <w:color w:val="000000"/>
              </w:rPr>
            </w:pPr>
          </w:p>
          <w:p w14:paraId="7F7C182B" w14:textId="6D350684" w:rsidR="0063022F" w:rsidRPr="007C3567" w:rsidRDefault="0063022F" w:rsidP="003F52F2">
            <w:pPr>
              <w:rPr>
                <w:rFonts w:ascii="Arial" w:hAnsi="Arial" w:cs="Arial"/>
                <w:snapToGrid w:val="0"/>
              </w:rPr>
            </w:pPr>
            <w:r>
              <w:rPr>
                <w:rFonts w:ascii="Arial" w:hAnsi="Arial" w:cs="Arial"/>
                <w:color w:val="000000"/>
              </w:rPr>
              <w:t>New listing</w:t>
            </w:r>
            <w:r>
              <w:rPr>
                <w:rFonts w:ascii="Arial" w:hAnsi="Arial" w:cs="Arial"/>
                <w:color w:val="000000"/>
              </w:rPr>
              <w:br/>
              <w:t>(Major Submission)</w:t>
            </w:r>
          </w:p>
        </w:tc>
        <w:tc>
          <w:tcPr>
            <w:tcW w:w="694" w:type="pct"/>
            <w:shd w:val="clear" w:color="auto" w:fill="auto"/>
          </w:tcPr>
          <w:p w14:paraId="56B8349D" w14:textId="246E2937" w:rsidR="002D7B93" w:rsidRPr="002D7B93" w:rsidRDefault="0063022F" w:rsidP="004F0278">
            <w:pPr>
              <w:autoSpaceDE w:val="0"/>
              <w:autoSpaceDN w:val="0"/>
              <w:adjustRightInd w:val="0"/>
              <w:spacing w:after="120"/>
              <w:rPr>
                <w:rFonts w:ascii="Arial" w:hAnsi="Arial" w:cs="Arial"/>
              </w:rPr>
            </w:pPr>
            <w:proofErr w:type="spellStart"/>
            <w:r>
              <w:rPr>
                <w:rFonts w:ascii="Arial" w:hAnsi="Arial" w:cs="Arial"/>
                <w:color w:val="000000"/>
              </w:rPr>
              <w:t>Neuroblastoma</w:t>
            </w:r>
            <w:proofErr w:type="spellEnd"/>
          </w:p>
        </w:tc>
        <w:tc>
          <w:tcPr>
            <w:tcW w:w="1065" w:type="pct"/>
            <w:shd w:val="clear" w:color="auto" w:fill="auto"/>
          </w:tcPr>
          <w:p w14:paraId="73C742C6" w14:textId="41EB3DC3" w:rsidR="002D7B93" w:rsidRPr="002D7B93" w:rsidRDefault="0063022F" w:rsidP="007C3567">
            <w:pPr>
              <w:rPr>
                <w:rFonts w:ascii="Arial" w:hAnsi="Arial" w:cs="Arial"/>
                <w:color w:val="000000"/>
              </w:rPr>
            </w:pPr>
            <w:r>
              <w:rPr>
                <w:rFonts w:ascii="Arial" w:hAnsi="Arial" w:cs="Arial"/>
                <w:color w:val="000000"/>
              </w:rPr>
              <w:t xml:space="preserve">To request a Section 100 (Highly Specialised Drugs Program) Authority Required listing for the treatment of patients with high risk </w:t>
            </w:r>
            <w:proofErr w:type="spellStart"/>
            <w:r>
              <w:rPr>
                <w:rFonts w:ascii="Arial" w:hAnsi="Arial" w:cs="Arial"/>
                <w:color w:val="000000"/>
              </w:rPr>
              <w:t>neuroblastoma</w:t>
            </w:r>
            <w:proofErr w:type="spellEnd"/>
            <w:r>
              <w:rPr>
                <w:rFonts w:ascii="Arial" w:hAnsi="Arial" w:cs="Arial"/>
                <w:color w:val="000000"/>
              </w:rPr>
              <w:t xml:space="preserve"> or relapsed or refractory </w:t>
            </w:r>
            <w:proofErr w:type="spellStart"/>
            <w:r>
              <w:rPr>
                <w:rFonts w:ascii="Arial" w:hAnsi="Arial" w:cs="Arial"/>
                <w:color w:val="000000"/>
              </w:rPr>
              <w:t>neuroblastoma</w:t>
            </w:r>
            <w:proofErr w:type="spellEnd"/>
            <w:r>
              <w:rPr>
                <w:rFonts w:ascii="Arial" w:hAnsi="Arial" w:cs="Arial"/>
                <w:color w:val="000000"/>
              </w:rPr>
              <w:t>.</w:t>
            </w:r>
          </w:p>
        </w:tc>
        <w:tc>
          <w:tcPr>
            <w:tcW w:w="2269" w:type="pct"/>
            <w:shd w:val="clear" w:color="auto" w:fill="auto"/>
          </w:tcPr>
          <w:p w14:paraId="3E599AAB" w14:textId="68D243AD" w:rsidR="002D7B93" w:rsidRPr="002D7B93" w:rsidRDefault="0063022F" w:rsidP="0063022F">
            <w:pPr>
              <w:rPr>
                <w:rFonts w:ascii="Arial" w:hAnsi="Arial" w:cs="Arial"/>
              </w:rPr>
            </w:pPr>
            <w:proofErr w:type="spellStart"/>
            <w:r w:rsidRPr="0063022F">
              <w:rPr>
                <w:rFonts w:ascii="Arial" w:hAnsi="Arial" w:cs="Arial"/>
              </w:rPr>
              <w:t>Dinutuximab</w:t>
            </w:r>
            <w:proofErr w:type="spellEnd"/>
            <w:r w:rsidRPr="0063022F">
              <w:rPr>
                <w:rFonts w:ascii="Arial" w:hAnsi="Arial" w:cs="Arial"/>
              </w:rPr>
              <w:t xml:space="preserve"> beta was not considered by the PBAC at its March 2020 meeting. During the evaluation process it was determined that </w:t>
            </w:r>
            <w:proofErr w:type="spellStart"/>
            <w:r w:rsidRPr="0063022F">
              <w:rPr>
                <w:rFonts w:ascii="Arial" w:hAnsi="Arial" w:cs="Arial"/>
              </w:rPr>
              <w:t>dinutuximab</w:t>
            </w:r>
            <w:proofErr w:type="spellEnd"/>
            <w:r w:rsidRPr="0063022F">
              <w:rPr>
                <w:rFonts w:ascii="Arial" w:hAnsi="Arial" w:cs="Arial"/>
              </w:rPr>
              <w:t xml:space="preserve"> beta was likely to be predominantly administered as an inpatient treatment in tertiary public hospitals. This means it would be more appropriately funded jointly by the Commonwealth and the States through the National Health Reform Agreement (NHRA). The submission has been referred to the July 2020 meeting of the Medical Services Advisory Committee, who has assessed all previous applications for funding through the NHRA.</w:t>
            </w:r>
          </w:p>
        </w:tc>
      </w:tr>
      <w:tr w:rsidR="000A5C76" w:rsidRPr="000A5C76" w14:paraId="3C1576E9" w14:textId="77777777" w:rsidTr="003A5135">
        <w:tblPrEx>
          <w:tblLook w:val="04A0" w:firstRow="1" w:lastRow="0" w:firstColumn="1" w:lastColumn="0" w:noHBand="0" w:noVBand="1"/>
        </w:tblPrEx>
        <w:tc>
          <w:tcPr>
            <w:tcW w:w="972" w:type="pct"/>
            <w:shd w:val="clear" w:color="auto" w:fill="auto"/>
          </w:tcPr>
          <w:p w14:paraId="00FC4B0F" w14:textId="77777777" w:rsidR="000A5C76" w:rsidRPr="000A5C76" w:rsidRDefault="000A5C76" w:rsidP="000A5C76">
            <w:pPr>
              <w:widowControl w:val="0"/>
              <w:rPr>
                <w:rFonts w:ascii="Arial" w:hAnsi="Arial" w:cs="Arial"/>
              </w:rPr>
            </w:pPr>
            <w:r w:rsidRPr="000A5C76">
              <w:rPr>
                <w:rFonts w:ascii="Arial" w:hAnsi="Arial" w:cs="Arial"/>
              </w:rPr>
              <w:t xml:space="preserve">MATTERS RELATING TO PBS UTILISATION REVIEW: </w:t>
            </w:r>
          </w:p>
          <w:p w14:paraId="69D824BC" w14:textId="77777777" w:rsidR="000A5C76" w:rsidRPr="000A5C76" w:rsidRDefault="000A5C76" w:rsidP="000A5C76">
            <w:pPr>
              <w:widowControl w:val="0"/>
              <w:rPr>
                <w:rFonts w:ascii="Arial" w:hAnsi="Arial" w:cs="Arial"/>
              </w:rPr>
            </w:pPr>
            <w:r w:rsidRPr="000A5C76">
              <w:rPr>
                <w:rFonts w:ascii="Arial" w:hAnsi="Arial" w:cs="Arial"/>
              </w:rPr>
              <w:t>PROTON PUMP INHIBITORS (PPIs)</w:t>
            </w:r>
            <w:r w:rsidRPr="000A5C76">
              <w:rPr>
                <w:b/>
                <w:bCs/>
              </w:rPr>
              <w:t xml:space="preserve"> </w:t>
            </w:r>
            <w:r w:rsidRPr="000A5C76">
              <w:rPr>
                <w:rFonts w:ascii="Arial" w:hAnsi="Arial" w:cs="Arial"/>
                <w:color w:val="000000"/>
              </w:rPr>
              <w:br/>
            </w:r>
            <w:r w:rsidRPr="000A5C76">
              <w:rPr>
                <w:rFonts w:ascii="Arial" w:hAnsi="Arial" w:cs="Arial"/>
                <w:color w:val="000000"/>
              </w:rPr>
              <w:br/>
            </w:r>
          </w:p>
          <w:p w14:paraId="24063989" w14:textId="77777777" w:rsidR="000A5C76" w:rsidRPr="000A5C76" w:rsidRDefault="000A5C76" w:rsidP="000A5C76">
            <w:pPr>
              <w:pStyle w:val="Default"/>
              <w:rPr>
                <w:rFonts w:ascii="Arial" w:hAnsi="Arial" w:cs="Arial"/>
                <w:color w:val="auto"/>
                <w:sz w:val="20"/>
                <w:szCs w:val="20"/>
              </w:rPr>
            </w:pPr>
            <w:r w:rsidRPr="000A5C76">
              <w:rPr>
                <w:rFonts w:ascii="Arial" w:hAnsi="Arial" w:cs="Arial"/>
                <w:color w:val="auto"/>
                <w:sz w:val="20"/>
                <w:szCs w:val="20"/>
              </w:rPr>
              <w:t xml:space="preserve">ESOMEPRAZOLE, LANSOPRAZOLE, OMEPRAZOLE, PANTOPRAZOLE, RABEPRAZOLE </w:t>
            </w:r>
          </w:p>
          <w:p w14:paraId="1DD9F7AA" w14:textId="77777777" w:rsidR="000A5C76" w:rsidRPr="000A5C76" w:rsidRDefault="000A5C76" w:rsidP="000A5C76">
            <w:pPr>
              <w:widowControl w:val="0"/>
              <w:rPr>
                <w:rFonts w:ascii="Arial" w:hAnsi="Arial" w:cs="Arial"/>
                <w:color w:val="000000"/>
              </w:rPr>
            </w:pPr>
          </w:p>
          <w:p w14:paraId="4DFF05C1" w14:textId="77777777" w:rsidR="000A5C76" w:rsidRPr="000A5C76" w:rsidRDefault="000A5C76" w:rsidP="000A5C76">
            <w:pPr>
              <w:widowControl w:val="0"/>
              <w:rPr>
                <w:rFonts w:ascii="Arial" w:hAnsi="Arial" w:cs="Arial"/>
                <w:color w:val="000000"/>
              </w:rPr>
            </w:pPr>
            <w:r w:rsidRPr="000A5C76">
              <w:rPr>
                <w:rFonts w:ascii="Arial" w:hAnsi="Arial" w:cs="Arial"/>
                <w:color w:val="000000"/>
              </w:rPr>
              <w:t xml:space="preserve">(All current and previously listed brands, including generic versions) </w:t>
            </w:r>
          </w:p>
          <w:p w14:paraId="4B8CA484" w14:textId="77777777" w:rsidR="000A5C76" w:rsidRPr="000A5C76" w:rsidRDefault="000A5C76" w:rsidP="000A5C76">
            <w:pPr>
              <w:widowControl w:val="0"/>
              <w:rPr>
                <w:rFonts w:ascii="Arial" w:hAnsi="Arial" w:cs="Arial"/>
                <w:color w:val="000000"/>
              </w:rPr>
            </w:pPr>
          </w:p>
          <w:p w14:paraId="6D9028E7" w14:textId="77777777" w:rsidR="000A5C76" w:rsidRPr="000A5C76" w:rsidRDefault="000A5C76" w:rsidP="000A5C76">
            <w:pPr>
              <w:widowControl w:val="0"/>
              <w:rPr>
                <w:rFonts w:ascii="Arial" w:hAnsi="Arial" w:cs="Arial"/>
                <w:color w:val="000000"/>
              </w:rPr>
            </w:pPr>
          </w:p>
          <w:p w14:paraId="51B04522" w14:textId="77777777" w:rsidR="000A5C76" w:rsidRPr="000A5C76" w:rsidRDefault="000A5C76" w:rsidP="000A5C76">
            <w:pPr>
              <w:rPr>
                <w:rFonts w:ascii="Arial" w:hAnsi="Arial" w:cs="Arial"/>
                <w:color w:val="000000"/>
              </w:rPr>
            </w:pPr>
          </w:p>
        </w:tc>
        <w:tc>
          <w:tcPr>
            <w:tcW w:w="694" w:type="pct"/>
            <w:shd w:val="clear" w:color="auto" w:fill="auto"/>
          </w:tcPr>
          <w:p w14:paraId="4E7E14A9" w14:textId="77777777" w:rsidR="000A5C76" w:rsidRPr="000A5C76" w:rsidRDefault="000A5C76" w:rsidP="000A5C76">
            <w:pPr>
              <w:pStyle w:val="Default"/>
              <w:rPr>
                <w:rFonts w:ascii="Arial" w:hAnsi="Arial" w:cs="Arial"/>
                <w:color w:val="auto"/>
                <w:sz w:val="20"/>
                <w:szCs w:val="20"/>
              </w:rPr>
            </w:pPr>
            <w:r w:rsidRPr="000A5C76">
              <w:rPr>
                <w:rFonts w:ascii="Arial" w:hAnsi="Arial" w:cs="Arial"/>
                <w:color w:val="auto"/>
                <w:sz w:val="20"/>
                <w:szCs w:val="20"/>
              </w:rPr>
              <w:t xml:space="preserve">Treatment of gastrointestinal acid related disorders including: gastro-oesophageal reflux disease (GORD), peptic ulcer, </w:t>
            </w:r>
            <w:proofErr w:type="spellStart"/>
            <w:r w:rsidRPr="000A5C76">
              <w:rPr>
                <w:rFonts w:ascii="Arial" w:hAnsi="Arial" w:cs="Arial"/>
                <w:color w:val="auto"/>
                <w:sz w:val="20"/>
                <w:szCs w:val="20"/>
              </w:rPr>
              <w:t>hypersecretory</w:t>
            </w:r>
            <w:proofErr w:type="spellEnd"/>
            <w:r w:rsidRPr="000A5C76">
              <w:rPr>
                <w:rFonts w:ascii="Arial" w:hAnsi="Arial" w:cs="Arial"/>
                <w:color w:val="auto"/>
                <w:sz w:val="20"/>
                <w:szCs w:val="20"/>
              </w:rPr>
              <w:t xml:space="preserve"> conditions including </w:t>
            </w:r>
            <w:proofErr w:type="spellStart"/>
            <w:r w:rsidRPr="000A5C76">
              <w:rPr>
                <w:rFonts w:ascii="Arial" w:hAnsi="Arial" w:cs="Arial"/>
                <w:color w:val="auto"/>
                <w:sz w:val="20"/>
                <w:szCs w:val="20"/>
              </w:rPr>
              <w:t>Zollinger</w:t>
            </w:r>
            <w:proofErr w:type="spellEnd"/>
            <w:r w:rsidRPr="000A5C76">
              <w:rPr>
                <w:rFonts w:ascii="Arial" w:hAnsi="Arial" w:cs="Arial"/>
                <w:color w:val="auto"/>
                <w:sz w:val="20"/>
                <w:szCs w:val="20"/>
              </w:rPr>
              <w:t xml:space="preserve">-Ellison Syndrome and scleroderma oesophagus. </w:t>
            </w:r>
          </w:p>
          <w:p w14:paraId="7258F8B3" w14:textId="77777777" w:rsidR="000A5C76" w:rsidRPr="000A5C76" w:rsidRDefault="000A5C76" w:rsidP="000A5C76">
            <w:pPr>
              <w:rPr>
                <w:rFonts w:ascii="Arial" w:hAnsi="Arial" w:cs="Arial"/>
                <w:color w:val="000000"/>
              </w:rPr>
            </w:pPr>
          </w:p>
        </w:tc>
        <w:tc>
          <w:tcPr>
            <w:tcW w:w="1065" w:type="pct"/>
            <w:shd w:val="clear" w:color="auto" w:fill="auto"/>
          </w:tcPr>
          <w:p w14:paraId="250CDB8F" w14:textId="77777777" w:rsidR="000A5C76" w:rsidRDefault="000A5C76" w:rsidP="000A5C76">
            <w:pPr>
              <w:spacing w:after="120"/>
              <w:rPr>
                <w:rFonts w:ascii="Arial" w:hAnsi="Arial" w:cs="Arial"/>
              </w:rPr>
            </w:pPr>
            <w:r w:rsidRPr="000A5C76">
              <w:rPr>
                <w:rFonts w:ascii="Arial" w:hAnsi="Arial" w:cs="Arial"/>
              </w:rPr>
              <w:t xml:space="preserve">To provide the PBAC with further correspondence and feedback received by the Department concerning changes to PBS restrictions for PPI medicines, implemented on 1 May 2019. </w:t>
            </w:r>
          </w:p>
          <w:p w14:paraId="55D77B4C" w14:textId="77777777" w:rsidR="000A5C76" w:rsidRDefault="000A5C76" w:rsidP="000A5C76">
            <w:pPr>
              <w:spacing w:after="120"/>
              <w:rPr>
                <w:rFonts w:ascii="Arial" w:hAnsi="Arial" w:cs="Arial"/>
              </w:rPr>
            </w:pPr>
          </w:p>
          <w:p w14:paraId="5A49D294" w14:textId="1FD1FCAF" w:rsidR="000A5C76" w:rsidRPr="000A5C76" w:rsidRDefault="000A5C76" w:rsidP="000A5C76">
            <w:pPr>
              <w:spacing w:after="120"/>
              <w:rPr>
                <w:rFonts w:ascii="Arial" w:hAnsi="Arial" w:cs="Arial"/>
              </w:rPr>
            </w:pPr>
            <w:r w:rsidRPr="000A5C76">
              <w:rPr>
                <w:rFonts w:ascii="Arial" w:hAnsi="Arial" w:cs="Arial"/>
              </w:rPr>
              <w:t xml:space="preserve">To provide the PBAC with latest available PBS data on the utilisation of PPI medicines post the 1 May 2019 PBS PPI restriction changes. </w:t>
            </w:r>
          </w:p>
        </w:tc>
        <w:tc>
          <w:tcPr>
            <w:tcW w:w="2269" w:type="pct"/>
            <w:shd w:val="clear" w:color="auto" w:fill="auto"/>
          </w:tcPr>
          <w:p w14:paraId="281106BF" w14:textId="777EBF61" w:rsidR="000A5C76" w:rsidRPr="000A5C76" w:rsidRDefault="000A5C76" w:rsidP="000A5C76">
            <w:pPr>
              <w:widowControl w:val="0"/>
              <w:rPr>
                <w:rFonts w:ascii="Arial" w:hAnsi="Arial" w:cs="Arial"/>
              </w:rPr>
            </w:pPr>
            <w:r w:rsidRPr="000A5C76">
              <w:rPr>
                <w:rFonts w:ascii="Arial" w:hAnsi="Arial" w:cs="Arial"/>
              </w:rPr>
              <w:t>The PBAC noted the large volume of correspondence from clinicians and patients received by the Department as a result of the implementation of PBS restriction changes to the PPI medicines on 1 May 2019. The majority of complaints received were from patients and prescribers who were unhappy that they could no longer obtain PBS subsidised access to twice daily dosing of standard dose PPIs.</w:t>
            </w:r>
          </w:p>
          <w:p w14:paraId="303C8270" w14:textId="77777777" w:rsidR="000A5C76" w:rsidRPr="000A5C76" w:rsidRDefault="000A5C76" w:rsidP="000A5C76">
            <w:pPr>
              <w:widowControl w:val="0"/>
              <w:rPr>
                <w:rFonts w:ascii="Arial" w:hAnsi="Arial" w:cs="Arial"/>
              </w:rPr>
            </w:pPr>
          </w:p>
          <w:p w14:paraId="1C64CD3E" w14:textId="3BFF98DA" w:rsidR="000A5C76" w:rsidRPr="000A5C76" w:rsidRDefault="000A5C76" w:rsidP="000A5C76">
            <w:pPr>
              <w:pStyle w:val="3Bodytext"/>
              <w:numPr>
                <w:ilvl w:val="0"/>
                <w:numId w:val="0"/>
              </w:numPr>
              <w:spacing w:after="0"/>
              <w:rPr>
                <w:rFonts w:ascii="Arial" w:eastAsia="Times New Roman" w:hAnsi="Arial" w:cs="Arial"/>
                <w:sz w:val="20"/>
                <w:szCs w:val="20"/>
                <w:lang w:eastAsia="en-AU"/>
              </w:rPr>
            </w:pPr>
            <w:r w:rsidRPr="000A5C76">
              <w:rPr>
                <w:rFonts w:ascii="Arial" w:eastAsia="Times New Roman" w:hAnsi="Arial" w:cs="Arial"/>
                <w:sz w:val="20"/>
                <w:szCs w:val="20"/>
                <w:lang w:eastAsia="en-AU"/>
              </w:rPr>
              <w:t xml:space="preserve">The PBAC noted that PBS utilisation data showed a reduction in use of high dose PPIs and an increase in use of low dose PPIs, which is consistent with the intended outcomes of the PBS restriction changes. Overall, the total number of PBS subsidised PPI prescriptions was 5% less for the period </w:t>
            </w:r>
            <w:r w:rsidR="00EA0393">
              <w:rPr>
                <w:rFonts w:ascii="Arial" w:eastAsia="Times New Roman" w:hAnsi="Arial" w:cs="Arial"/>
                <w:sz w:val="20"/>
                <w:szCs w:val="20"/>
                <w:lang w:eastAsia="en-AU"/>
              </w:rPr>
              <w:br/>
            </w:r>
            <w:r w:rsidRPr="000A5C76">
              <w:rPr>
                <w:rFonts w:ascii="Arial" w:eastAsia="Times New Roman" w:hAnsi="Arial" w:cs="Arial"/>
                <w:sz w:val="20"/>
                <w:szCs w:val="20"/>
                <w:lang w:eastAsia="en-AU"/>
              </w:rPr>
              <w:t>1 May-31 December 2019 compared to the same period in 2018. Analysis of PBS utilisation data for PPI medicines did not indicate a shift to high dose PPIs (esomeprazole 40 mg) or to obtaining greater quantities of low dose PPI medicines for those patients who are now unable to obtain twice daily standard dose PPIs for GORD.</w:t>
            </w:r>
          </w:p>
          <w:p w14:paraId="4F740F63" w14:textId="77777777" w:rsidR="000A5C76" w:rsidRDefault="000A5C76" w:rsidP="000A5C76">
            <w:pPr>
              <w:pStyle w:val="3Bodytext"/>
              <w:numPr>
                <w:ilvl w:val="0"/>
                <w:numId w:val="0"/>
              </w:numPr>
              <w:spacing w:after="0"/>
              <w:rPr>
                <w:rFonts w:ascii="Arial" w:eastAsia="Times New Roman" w:hAnsi="Arial" w:cs="Arial"/>
                <w:sz w:val="20"/>
                <w:szCs w:val="20"/>
                <w:lang w:eastAsia="en-AU"/>
              </w:rPr>
            </w:pPr>
          </w:p>
          <w:p w14:paraId="62229318" w14:textId="654D1048" w:rsidR="000A5C76" w:rsidRPr="000A5C76" w:rsidRDefault="000A5C76" w:rsidP="000A5C76">
            <w:pPr>
              <w:pStyle w:val="3Bodytext"/>
              <w:numPr>
                <w:ilvl w:val="0"/>
                <w:numId w:val="0"/>
              </w:numPr>
              <w:spacing w:after="0"/>
              <w:rPr>
                <w:rFonts w:ascii="Arial" w:eastAsia="Times New Roman" w:hAnsi="Arial" w:cs="Arial"/>
                <w:sz w:val="20"/>
                <w:szCs w:val="20"/>
                <w:lang w:eastAsia="en-AU"/>
              </w:rPr>
            </w:pPr>
            <w:r w:rsidRPr="000A5C76">
              <w:rPr>
                <w:rFonts w:ascii="Arial" w:eastAsia="Times New Roman" w:hAnsi="Arial" w:cs="Arial"/>
                <w:sz w:val="20"/>
                <w:szCs w:val="20"/>
                <w:lang w:eastAsia="en-AU"/>
              </w:rPr>
              <w:t xml:space="preserve">The PBAC noted the requested input received from </w:t>
            </w:r>
            <w:r w:rsidR="002038C3">
              <w:rPr>
                <w:rFonts w:ascii="Arial" w:eastAsia="Times New Roman" w:hAnsi="Arial" w:cs="Arial"/>
                <w:sz w:val="20"/>
                <w:szCs w:val="20"/>
                <w:lang w:eastAsia="en-AU"/>
              </w:rPr>
              <w:t>t</w:t>
            </w:r>
            <w:bookmarkStart w:id="0" w:name="_GoBack"/>
            <w:bookmarkEnd w:id="0"/>
            <w:r w:rsidR="002038C3">
              <w:rPr>
                <w:rFonts w:ascii="Arial" w:eastAsia="Times New Roman" w:hAnsi="Arial" w:cs="Arial"/>
                <w:sz w:val="20"/>
                <w:szCs w:val="20"/>
                <w:lang w:eastAsia="en-AU"/>
              </w:rPr>
              <w:t xml:space="preserve">he </w:t>
            </w:r>
            <w:r w:rsidRPr="000A5C76">
              <w:rPr>
                <w:rFonts w:ascii="Arial" w:eastAsia="Times New Roman" w:hAnsi="Arial" w:cs="Arial"/>
                <w:sz w:val="20"/>
                <w:szCs w:val="20"/>
                <w:lang w:eastAsia="en-AU"/>
              </w:rPr>
              <w:t xml:space="preserve">Gastroenterological Society of Australia (GESA) and the Royal Australian College of General Practitioners (RACGP), which highlighted that GORD is a heterogeneous condition and can be difficult to treat. GESA indicated that in addition to patients with complex GORD symptoms requiring twice daily standard doses of PPIs there is a subset of patients who require long term high dose PPI therapy. </w:t>
            </w:r>
          </w:p>
          <w:p w14:paraId="462CA6EC" w14:textId="77777777" w:rsidR="000A5C76" w:rsidRDefault="000A5C76" w:rsidP="000A5C76">
            <w:pPr>
              <w:pStyle w:val="3Bodytext"/>
              <w:numPr>
                <w:ilvl w:val="0"/>
                <w:numId w:val="0"/>
              </w:numPr>
              <w:spacing w:after="0"/>
              <w:rPr>
                <w:rFonts w:ascii="Arial" w:eastAsia="Times New Roman" w:hAnsi="Arial" w:cs="Arial"/>
                <w:sz w:val="20"/>
                <w:szCs w:val="20"/>
                <w:lang w:eastAsia="en-AU"/>
              </w:rPr>
            </w:pPr>
          </w:p>
          <w:p w14:paraId="26E418E0" w14:textId="2603BB93" w:rsidR="000A5C76" w:rsidRPr="000A5C76" w:rsidRDefault="000A5C76" w:rsidP="000A5C76">
            <w:pPr>
              <w:pStyle w:val="3Bodytext"/>
              <w:numPr>
                <w:ilvl w:val="0"/>
                <w:numId w:val="0"/>
              </w:numPr>
              <w:spacing w:after="0"/>
              <w:rPr>
                <w:rFonts w:ascii="Arial" w:eastAsia="Times New Roman" w:hAnsi="Arial" w:cs="Arial"/>
                <w:sz w:val="20"/>
                <w:szCs w:val="20"/>
                <w:lang w:eastAsia="en-AU"/>
              </w:rPr>
            </w:pPr>
            <w:r w:rsidRPr="000A5C76">
              <w:rPr>
                <w:rFonts w:ascii="Arial" w:eastAsia="Times New Roman" w:hAnsi="Arial" w:cs="Arial"/>
                <w:sz w:val="20"/>
                <w:szCs w:val="20"/>
                <w:lang w:eastAsia="en-AU"/>
              </w:rPr>
              <w:lastRenderedPageBreak/>
              <w:t>The PBAC considered five options presented by the Department; Option 1, to make no further changes and to continue to monitor over 24 months, Options 2 &amp; 3, the proposed PBS restrictions put forward by the GESA, Option 4, the proposed PBS restriction submitted by the RACGP, and Option 5, further prescriber and patient education to support down titration of PPI doses in maintenance therapy of GORD.</w:t>
            </w:r>
          </w:p>
          <w:p w14:paraId="4B0366A1" w14:textId="77777777" w:rsidR="000A5C76" w:rsidRDefault="000A5C76" w:rsidP="000A5C76">
            <w:pPr>
              <w:pStyle w:val="3Bodytext"/>
              <w:numPr>
                <w:ilvl w:val="0"/>
                <w:numId w:val="0"/>
              </w:numPr>
              <w:spacing w:after="0"/>
              <w:rPr>
                <w:rFonts w:ascii="Arial" w:hAnsi="Arial" w:cs="Arial"/>
                <w:sz w:val="20"/>
                <w:szCs w:val="20"/>
              </w:rPr>
            </w:pPr>
          </w:p>
          <w:p w14:paraId="179B0AA4" w14:textId="0103E77E" w:rsidR="000A5C76" w:rsidRPr="000A5C76" w:rsidRDefault="000A5C76" w:rsidP="000A5C76">
            <w:pPr>
              <w:pStyle w:val="3Bodytext"/>
              <w:numPr>
                <w:ilvl w:val="0"/>
                <w:numId w:val="0"/>
              </w:numPr>
              <w:spacing w:after="0"/>
              <w:rPr>
                <w:rFonts w:ascii="Arial" w:hAnsi="Arial" w:cs="Arial"/>
                <w:sz w:val="20"/>
                <w:szCs w:val="20"/>
              </w:rPr>
            </w:pPr>
            <w:r w:rsidRPr="000A5C76">
              <w:rPr>
                <w:rFonts w:ascii="Arial" w:hAnsi="Arial" w:cs="Arial"/>
                <w:sz w:val="20"/>
                <w:szCs w:val="20"/>
              </w:rPr>
              <w:t xml:space="preserve">Overall, the PBAC considered that further changes to PBS restrictions to </w:t>
            </w:r>
            <w:r w:rsidR="00EA0393">
              <w:rPr>
                <w:rFonts w:ascii="Arial" w:hAnsi="Arial" w:cs="Arial"/>
                <w:sz w:val="20"/>
                <w:szCs w:val="20"/>
              </w:rPr>
              <w:br/>
            </w:r>
            <w:r w:rsidRPr="000A5C76">
              <w:rPr>
                <w:rFonts w:ascii="Arial" w:hAnsi="Arial" w:cs="Arial"/>
                <w:sz w:val="20"/>
                <w:szCs w:val="20"/>
              </w:rPr>
              <w:t xml:space="preserve">re-allow increases to maximum quantities of standard dose PPI medicines may send confusing messages to patients and clinicians, and may also risk reversal of improvements in the use of PPIs made since 1 May 2019. </w:t>
            </w:r>
          </w:p>
          <w:p w14:paraId="2BCE8FEE" w14:textId="77777777" w:rsidR="000A5C76" w:rsidRDefault="000A5C76" w:rsidP="000A5C76">
            <w:pPr>
              <w:pStyle w:val="3Bodytext"/>
              <w:numPr>
                <w:ilvl w:val="0"/>
                <w:numId w:val="0"/>
              </w:numPr>
              <w:spacing w:after="0"/>
              <w:rPr>
                <w:rFonts w:ascii="Arial" w:hAnsi="Arial" w:cs="Arial"/>
                <w:sz w:val="20"/>
                <w:szCs w:val="20"/>
              </w:rPr>
            </w:pPr>
          </w:p>
          <w:p w14:paraId="31F3F113" w14:textId="0C4AC75A" w:rsidR="000A5C76" w:rsidRPr="000A5C76" w:rsidRDefault="000A5C76" w:rsidP="000A5C76">
            <w:pPr>
              <w:pStyle w:val="3Bodytext"/>
              <w:numPr>
                <w:ilvl w:val="0"/>
                <w:numId w:val="0"/>
              </w:numPr>
              <w:spacing w:after="0"/>
              <w:rPr>
                <w:rFonts w:ascii="Arial" w:hAnsi="Arial" w:cs="Arial"/>
                <w:sz w:val="20"/>
                <w:szCs w:val="20"/>
              </w:rPr>
            </w:pPr>
            <w:r w:rsidRPr="000A5C76">
              <w:rPr>
                <w:rFonts w:ascii="Arial" w:hAnsi="Arial" w:cs="Arial"/>
                <w:sz w:val="20"/>
                <w:szCs w:val="20"/>
              </w:rPr>
              <w:t xml:space="preserve">Allowing increased quantities for standard dose items for GORD could also discourage clinician/patient attempts to step down therapy. The PBAC acknowledged that rebound symptoms from stepping down PPI therapy are common and can be difficult to manage. </w:t>
            </w:r>
          </w:p>
          <w:p w14:paraId="767421EB" w14:textId="77777777" w:rsidR="000A5C76" w:rsidRPr="000A5C76" w:rsidRDefault="000A5C76" w:rsidP="000A5C76">
            <w:pPr>
              <w:widowControl w:val="0"/>
              <w:rPr>
                <w:rFonts w:ascii="Arial" w:eastAsiaTheme="minorHAnsi" w:hAnsi="Arial" w:cs="Arial"/>
                <w:lang w:eastAsia="en-US"/>
              </w:rPr>
            </w:pPr>
          </w:p>
          <w:p w14:paraId="5D2052CD" w14:textId="0D5FA2AA" w:rsidR="000A5C76" w:rsidRPr="000A5C76" w:rsidRDefault="000A5C76" w:rsidP="00EA0393">
            <w:pPr>
              <w:pStyle w:val="3Bodytext"/>
              <w:numPr>
                <w:ilvl w:val="0"/>
                <w:numId w:val="0"/>
              </w:numPr>
              <w:rPr>
                <w:rFonts w:ascii="Arial" w:eastAsia="Times New Roman" w:hAnsi="Arial" w:cs="Arial"/>
                <w:sz w:val="20"/>
                <w:szCs w:val="20"/>
                <w:lang w:eastAsia="en-AU"/>
              </w:rPr>
            </w:pPr>
            <w:r w:rsidRPr="000A5C76">
              <w:rPr>
                <w:rFonts w:ascii="Arial" w:eastAsia="Times New Roman" w:hAnsi="Arial" w:cs="Arial"/>
                <w:sz w:val="20"/>
                <w:szCs w:val="20"/>
                <w:lang w:eastAsia="en-AU"/>
              </w:rPr>
              <w:t>The PBAC considered that the options as presented did not provide a suitable path forward. The PBAC requested that the Department draft Authority Required (Telephone) restrictions to include patients with complex GORD requiring twice daily standard or high dose PPI medicines for consideration at a subsequent PBAC meeting.</w:t>
            </w:r>
          </w:p>
        </w:tc>
      </w:tr>
      <w:tr w:rsidR="00EF2AF1" w:rsidRPr="00213335" w14:paraId="7B0211E8" w14:textId="77777777" w:rsidTr="003A5135">
        <w:tblPrEx>
          <w:tblLook w:val="04A0" w:firstRow="1" w:lastRow="0" w:firstColumn="1" w:lastColumn="0" w:noHBand="0" w:noVBand="1"/>
        </w:tblPrEx>
        <w:tc>
          <w:tcPr>
            <w:tcW w:w="972" w:type="pct"/>
            <w:shd w:val="clear" w:color="auto" w:fill="auto"/>
          </w:tcPr>
          <w:p w14:paraId="28C2CF76" w14:textId="77777777" w:rsidR="002425FA" w:rsidRDefault="002425FA" w:rsidP="00470BE9">
            <w:pPr>
              <w:rPr>
                <w:rFonts w:ascii="Arial" w:hAnsi="Arial" w:cs="Arial"/>
                <w:color w:val="000000"/>
              </w:rPr>
            </w:pPr>
            <w:r>
              <w:rPr>
                <w:rFonts w:ascii="Arial" w:hAnsi="Arial" w:cs="Arial"/>
                <w:color w:val="000000"/>
              </w:rPr>
              <w:lastRenderedPageBreak/>
              <w:t>ONDANSETRON</w:t>
            </w:r>
          </w:p>
          <w:p w14:paraId="6F7AC044" w14:textId="3FF0DC04" w:rsidR="002425FA" w:rsidRDefault="002425FA" w:rsidP="00470BE9">
            <w:pPr>
              <w:rPr>
                <w:rFonts w:ascii="Arial" w:hAnsi="Arial" w:cs="Arial"/>
                <w:color w:val="000000"/>
              </w:rPr>
            </w:pPr>
          </w:p>
          <w:p w14:paraId="16354DB0" w14:textId="5B015C4E" w:rsidR="002425FA" w:rsidRDefault="002425FA" w:rsidP="00470BE9">
            <w:pPr>
              <w:rPr>
                <w:rFonts w:ascii="Arial" w:hAnsi="Arial" w:cs="Arial"/>
                <w:color w:val="000000"/>
              </w:rPr>
            </w:pPr>
            <w:r>
              <w:rPr>
                <w:rFonts w:ascii="Arial" w:hAnsi="Arial" w:cs="Arial"/>
                <w:color w:val="000000"/>
              </w:rPr>
              <w:t>Wafer 4 mg</w:t>
            </w:r>
          </w:p>
          <w:p w14:paraId="5E3F03A9" w14:textId="04853E83" w:rsidR="002425FA" w:rsidRDefault="002425FA" w:rsidP="00470BE9">
            <w:pPr>
              <w:rPr>
                <w:rFonts w:ascii="Arial" w:hAnsi="Arial" w:cs="Arial"/>
                <w:color w:val="000000"/>
              </w:rPr>
            </w:pPr>
            <w:r>
              <w:rPr>
                <w:rFonts w:ascii="Arial" w:hAnsi="Arial" w:cs="Arial"/>
                <w:color w:val="000000"/>
              </w:rPr>
              <w:t>Wafer 8 mg</w:t>
            </w:r>
          </w:p>
          <w:p w14:paraId="06BBD081" w14:textId="542D68C9" w:rsidR="002425FA" w:rsidRDefault="002425FA" w:rsidP="00470BE9">
            <w:pPr>
              <w:rPr>
                <w:rFonts w:ascii="Arial" w:hAnsi="Arial" w:cs="Arial"/>
                <w:color w:val="000000"/>
              </w:rPr>
            </w:pPr>
            <w:r>
              <w:rPr>
                <w:rFonts w:ascii="Arial" w:hAnsi="Arial" w:cs="Arial"/>
                <w:color w:val="000000"/>
              </w:rPr>
              <w:t>Tablet 4 mg (as hydrochloride dehydrate)</w:t>
            </w:r>
          </w:p>
          <w:p w14:paraId="5E6398ED" w14:textId="607F681A" w:rsidR="002425FA" w:rsidRDefault="002425FA" w:rsidP="00470BE9">
            <w:pPr>
              <w:rPr>
                <w:rFonts w:ascii="Arial" w:hAnsi="Arial" w:cs="Arial"/>
                <w:color w:val="000000"/>
              </w:rPr>
            </w:pPr>
            <w:r>
              <w:rPr>
                <w:rFonts w:ascii="Arial" w:hAnsi="Arial" w:cs="Arial"/>
                <w:color w:val="000000"/>
              </w:rPr>
              <w:t>Tablet 8 mg (as hydrochloride dehydrate)</w:t>
            </w:r>
          </w:p>
          <w:p w14:paraId="25846F71" w14:textId="18048E3B" w:rsidR="002425FA" w:rsidRDefault="002425FA" w:rsidP="00470BE9">
            <w:pPr>
              <w:rPr>
                <w:rFonts w:ascii="Arial" w:hAnsi="Arial" w:cs="Arial"/>
                <w:color w:val="000000"/>
              </w:rPr>
            </w:pPr>
            <w:r>
              <w:rPr>
                <w:rFonts w:ascii="Arial" w:hAnsi="Arial" w:cs="Arial"/>
                <w:color w:val="000000"/>
              </w:rPr>
              <w:t>Tablet (orally disintegrating) 4</w:t>
            </w:r>
            <w:r w:rsidR="00750574">
              <w:rPr>
                <w:rFonts w:ascii="Arial" w:hAnsi="Arial" w:cs="Arial"/>
                <w:color w:val="000000"/>
              </w:rPr>
              <w:t> </w:t>
            </w:r>
            <w:r>
              <w:rPr>
                <w:rFonts w:ascii="Arial" w:hAnsi="Arial" w:cs="Arial"/>
                <w:color w:val="000000"/>
              </w:rPr>
              <w:t>mg</w:t>
            </w:r>
          </w:p>
          <w:p w14:paraId="5E123E90" w14:textId="01D127BB" w:rsidR="002425FA" w:rsidRDefault="002425FA" w:rsidP="00470BE9">
            <w:pPr>
              <w:rPr>
                <w:rFonts w:ascii="Arial" w:hAnsi="Arial" w:cs="Arial"/>
                <w:color w:val="000000"/>
              </w:rPr>
            </w:pPr>
            <w:r>
              <w:rPr>
                <w:rFonts w:ascii="Arial" w:hAnsi="Arial" w:cs="Arial"/>
                <w:color w:val="000000"/>
              </w:rPr>
              <w:t>Tablet (orally disintegrating) 8</w:t>
            </w:r>
            <w:r w:rsidR="00750574">
              <w:rPr>
                <w:rFonts w:ascii="Arial" w:hAnsi="Arial" w:cs="Arial"/>
                <w:color w:val="000000"/>
              </w:rPr>
              <w:t> </w:t>
            </w:r>
            <w:r>
              <w:rPr>
                <w:rFonts w:ascii="Arial" w:hAnsi="Arial" w:cs="Arial"/>
                <w:color w:val="000000"/>
              </w:rPr>
              <w:t>mg</w:t>
            </w:r>
          </w:p>
          <w:p w14:paraId="30A246C0" w14:textId="77777777" w:rsidR="002425FA" w:rsidRDefault="002425FA" w:rsidP="00470BE9">
            <w:pPr>
              <w:rPr>
                <w:rFonts w:ascii="Arial" w:hAnsi="Arial" w:cs="Arial"/>
                <w:color w:val="000000"/>
              </w:rPr>
            </w:pPr>
          </w:p>
          <w:p w14:paraId="3879C635" w14:textId="77777777" w:rsidR="0057756E" w:rsidRDefault="005818D2" w:rsidP="0057756E">
            <w:pPr>
              <w:rPr>
                <w:rFonts w:ascii="Arial" w:hAnsi="Arial" w:cs="Arial"/>
                <w:color w:val="000000"/>
              </w:rPr>
            </w:pPr>
            <w:r>
              <w:rPr>
                <w:rFonts w:ascii="Arial" w:hAnsi="Arial" w:cs="Arial"/>
                <w:color w:val="000000"/>
              </w:rPr>
              <w:t>Various brands</w:t>
            </w:r>
          </w:p>
          <w:p w14:paraId="3DDA2198" w14:textId="77777777" w:rsidR="0057756E" w:rsidRDefault="0057756E" w:rsidP="0057756E">
            <w:pPr>
              <w:rPr>
                <w:rFonts w:ascii="Arial" w:hAnsi="Arial" w:cs="Arial"/>
                <w:color w:val="000000"/>
              </w:rPr>
            </w:pPr>
          </w:p>
          <w:p w14:paraId="76946272" w14:textId="68694A0B" w:rsidR="005818D2" w:rsidRPr="00B43F84" w:rsidRDefault="0057756E" w:rsidP="0057756E">
            <w:pPr>
              <w:rPr>
                <w:rFonts w:ascii="Arial" w:hAnsi="Arial" w:cs="Arial"/>
                <w:color w:val="000000"/>
              </w:rPr>
            </w:pPr>
            <w:r>
              <w:rPr>
                <w:rFonts w:ascii="Arial" w:hAnsi="Arial" w:cs="Arial"/>
                <w:color w:val="000000"/>
              </w:rPr>
              <w:t xml:space="preserve">Various </w:t>
            </w:r>
            <w:r w:rsidR="005818D2">
              <w:rPr>
                <w:rFonts w:ascii="Arial" w:hAnsi="Arial" w:cs="Arial"/>
                <w:color w:val="000000"/>
              </w:rPr>
              <w:t>sponsors</w:t>
            </w:r>
          </w:p>
        </w:tc>
        <w:tc>
          <w:tcPr>
            <w:tcW w:w="694" w:type="pct"/>
            <w:shd w:val="clear" w:color="auto" w:fill="auto"/>
          </w:tcPr>
          <w:p w14:paraId="3591AB59" w14:textId="75D18786" w:rsidR="00EF2AF1" w:rsidRPr="00213335" w:rsidRDefault="006051A7" w:rsidP="00F25B07">
            <w:pPr>
              <w:rPr>
                <w:rFonts w:ascii="Arial" w:hAnsi="Arial" w:cs="Arial"/>
                <w:highlight w:val="yellow"/>
              </w:rPr>
            </w:pPr>
            <w:r w:rsidRPr="0057756E">
              <w:rPr>
                <w:rFonts w:ascii="Arial" w:hAnsi="Arial" w:cs="Arial"/>
                <w:color w:val="000000"/>
              </w:rPr>
              <w:t>Nausea</w:t>
            </w:r>
            <w:r w:rsidRPr="006051A7">
              <w:rPr>
                <w:rFonts w:ascii="Arial" w:hAnsi="Arial" w:cs="Arial"/>
              </w:rPr>
              <w:t xml:space="preserve"> and vomiting associated with </w:t>
            </w:r>
            <w:r w:rsidRPr="00942C55">
              <w:rPr>
                <w:rFonts w:ascii="Arial" w:hAnsi="Arial" w:cs="Arial"/>
                <w:color w:val="000000"/>
              </w:rPr>
              <w:t>oral chemotherapy being used to treat malignancy</w:t>
            </w:r>
          </w:p>
        </w:tc>
        <w:tc>
          <w:tcPr>
            <w:tcW w:w="1065" w:type="pct"/>
            <w:shd w:val="clear" w:color="auto" w:fill="auto"/>
          </w:tcPr>
          <w:p w14:paraId="30673998" w14:textId="463D0904" w:rsidR="00EF2AF1" w:rsidRPr="00213335" w:rsidRDefault="00BF457F" w:rsidP="001739A6">
            <w:pPr>
              <w:rPr>
                <w:rFonts w:ascii="Arial" w:hAnsi="Arial" w:cs="Arial"/>
                <w:color w:val="000000"/>
              </w:rPr>
            </w:pPr>
            <w:r w:rsidRPr="00BF457F">
              <w:rPr>
                <w:rFonts w:ascii="Arial" w:hAnsi="Arial" w:cs="Arial"/>
                <w:color w:val="000000"/>
              </w:rPr>
              <w:t xml:space="preserve">Correspondence from the Medical Oncology Group of Australia (MOGA) </w:t>
            </w:r>
            <w:r>
              <w:rPr>
                <w:rFonts w:ascii="Arial" w:hAnsi="Arial" w:cs="Arial"/>
                <w:color w:val="000000"/>
              </w:rPr>
              <w:t>t</w:t>
            </w:r>
            <w:r w:rsidRPr="00BF457F">
              <w:rPr>
                <w:rFonts w:ascii="Arial" w:hAnsi="Arial" w:cs="Arial"/>
                <w:color w:val="000000"/>
              </w:rPr>
              <w:t xml:space="preserve">o </w:t>
            </w:r>
            <w:r w:rsidR="009111B4" w:rsidRPr="009111B4">
              <w:rPr>
                <w:rFonts w:ascii="Arial" w:hAnsi="Arial" w:cs="Arial"/>
                <w:color w:val="000000"/>
              </w:rPr>
              <w:t>amend the PBS listings for ondansetron tablets, oral disintegrating tablets and wafers indicated for nausea and vomiting associated with oral chemotherapy in line with current PBS listings of ondansetron listings for nausea and vomiting associated with radiotherapy.</w:t>
            </w:r>
          </w:p>
        </w:tc>
        <w:tc>
          <w:tcPr>
            <w:tcW w:w="2269" w:type="pct"/>
            <w:shd w:val="clear" w:color="auto" w:fill="auto"/>
          </w:tcPr>
          <w:p w14:paraId="031941E8" w14:textId="5C3EB42A" w:rsidR="00EF2AF1" w:rsidRPr="00213335" w:rsidRDefault="00942C55" w:rsidP="009111B4">
            <w:pPr>
              <w:spacing w:after="120"/>
              <w:rPr>
                <w:rFonts w:ascii="Arial" w:hAnsi="Arial" w:cs="Arial"/>
                <w:color w:val="000000"/>
              </w:rPr>
            </w:pPr>
            <w:r w:rsidRPr="00942C55">
              <w:rPr>
                <w:rFonts w:ascii="Arial" w:hAnsi="Arial" w:cs="Arial"/>
                <w:color w:val="000000"/>
              </w:rPr>
              <w:t>The PBAC recommended extending the existing General Schedule listings for ondansetron tablets</w:t>
            </w:r>
            <w:r w:rsidR="004F0278">
              <w:rPr>
                <w:rFonts w:ascii="Arial" w:hAnsi="Arial" w:cs="Arial"/>
                <w:color w:val="000000"/>
              </w:rPr>
              <w:t>, orally disintegrating tablets</w:t>
            </w:r>
            <w:r w:rsidRPr="00942C55">
              <w:rPr>
                <w:rFonts w:ascii="Arial" w:hAnsi="Arial" w:cs="Arial"/>
                <w:color w:val="000000"/>
              </w:rPr>
              <w:t xml:space="preserve"> and wafers for the treatment of nausea and vomiting associated with radiotherapy, to also include </w:t>
            </w:r>
            <w:r w:rsidR="00F25B07">
              <w:rPr>
                <w:rFonts w:ascii="Arial" w:hAnsi="Arial" w:cs="Arial"/>
                <w:color w:val="000000"/>
              </w:rPr>
              <w:t xml:space="preserve">the </w:t>
            </w:r>
            <w:r w:rsidRPr="00942C55">
              <w:rPr>
                <w:rFonts w:ascii="Arial" w:hAnsi="Arial" w:cs="Arial"/>
                <w:color w:val="000000"/>
              </w:rPr>
              <w:t>treatment of nausea and vomiting associated with oral chemotherapy being used to treat malignancy</w:t>
            </w:r>
            <w:r w:rsidR="004F0278">
              <w:rPr>
                <w:rFonts w:ascii="Arial" w:hAnsi="Arial" w:cs="Arial"/>
                <w:color w:val="000000"/>
              </w:rPr>
              <w:t>.</w:t>
            </w:r>
            <w:r w:rsidR="00BF457F">
              <w:rPr>
                <w:rFonts w:ascii="Arial" w:hAnsi="Arial" w:cs="Arial"/>
                <w:color w:val="000000"/>
              </w:rPr>
              <w:t xml:space="preserve"> The PBAC advised that this change should also apply to the PBS listing for</w:t>
            </w:r>
            <w:r w:rsidR="00BF457F">
              <w:t xml:space="preserve"> </w:t>
            </w:r>
            <w:proofErr w:type="spellStart"/>
            <w:r w:rsidR="00BF457F" w:rsidRPr="00BF457F">
              <w:rPr>
                <w:rFonts w:ascii="Arial" w:hAnsi="Arial" w:cs="Arial"/>
                <w:color w:val="000000"/>
              </w:rPr>
              <w:t>granisetron</w:t>
            </w:r>
            <w:proofErr w:type="spellEnd"/>
            <w:r w:rsidR="00BF457F" w:rsidRPr="00BF457F">
              <w:rPr>
                <w:rFonts w:ascii="Arial" w:hAnsi="Arial" w:cs="Arial"/>
                <w:color w:val="000000"/>
              </w:rPr>
              <w:t xml:space="preserve"> 2 mg tablets.</w:t>
            </w:r>
          </w:p>
        </w:tc>
      </w:tr>
    </w:tbl>
    <w:p w14:paraId="0485B351" w14:textId="402F669F" w:rsidR="00640C80" w:rsidRPr="00213335" w:rsidRDefault="00EF2AF1" w:rsidP="00D3668D">
      <w:pPr>
        <w:rPr>
          <w:rFonts w:ascii="Arial" w:hAnsi="Arial" w:cs="Arial"/>
        </w:rPr>
      </w:pPr>
      <w:r w:rsidRPr="00213335">
        <w:rPr>
          <w:rFonts w:ascii="Arial" w:hAnsi="Arial" w:cs="Arial"/>
        </w:rPr>
        <w:br w:type="textWrapping" w:clear="all"/>
      </w:r>
    </w:p>
    <w:sectPr w:rsidR="00640C80" w:rsidRPr="00213335" w:rsidSect="00257615">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FB6D7" w14:textId="77777777" w:rsidR="00AD0404" w:rsidRDefault="00AD0404">
      <w:r>
        <w:separator/>
      </w:r>
    </w:p>
  </w:endnote>
  <w:endnote w:type="continuationSeparator" w:id="0">
    <w:p w14:paraId="2CC34F0E" w14:textId="77777777" w:rsidR="00AD0404" w:rsidRDefault="00AD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4F81D" w14:textId="77777777"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1F1CF8" w14:textId="77777777" w:rsidR="005E1F3B" w:rsidRDefault="005E1F3B"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02882" w14:textId="5F7572EB"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D37A34">
      <w:rPr>
        <w:rStyle w:val="PageNumber"/>
        <w:rFonts w:ascii="Arial" w:hAnsi="Arial" w:cs="Arial"/>
        <w:noProof/>
      </w:rPr>
      <w:t>2</w:t>
    </w:r>
    <w:r w:rsidRPr="00287C89">
      <w:rPr>
        <w:rStyle w:val="PageNumber"/>
        <w:rFonts w:ascii="Arial" w:hAnsi="Arial" w:cs="Arial"/>
      </w:rPr>
      <w:fldChar w:fldCharType="end"/>
    </w:r>
  </w:p>
  <w:p w14:paraId="645ED4AC" w14:textId="77777777" w:rsidR="005E1F3B" w:rsidRDefault="005E1F3B" w:rsidP="00FE2A81">
    <w:pPr>
      <w:pStyle w:val="Footer"/>
      <w:ind w:right="360"/>
    </w:pPr>
  </w:p>
  <w:p w14:paraId="2511B556" w14:textId="77777777" w:rsidR="00257615" w:rsidRDefault="00257615"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5E06B" w14:textId="77777777" w:rsidR="00E53CC2" w:rsidRDefault="00E53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04E20" w14:textId="77777777" w:rsidR="00AD0404" w:rsidRDefault="00AD0404">
      <w:r>
        <w:separator/>
      </w:r>
    </w:p>
  </w:footnote>
  <w:footnote w:type="continuationSeparator" w:id="0">
    <w:p w14:paraId="29C299C9" w14:textId="77777777" w:rsidR="00AD0404" w:rsidRDefault="00AD0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F444D" w14:textId="77777777" w:rsidR="00E53CC2" w:rsidRDefault="00E53C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3AD5D" w14:textId="747C476C" w:rsidR="0071356F" w:rsidRDefault="00E53CC2" w:rsidP="0071356F">
    <w:pPr>
      <w:pStyle w:val="Header"/>
      <w:jc w:val="center"/>
      <w:rPr>
        <w:rFonts w:ascii="Arial" w:hAnsi="Arial" w:cs="Arial"/>
        <w:b/>
      </w:rPr>
    </w:pPr>
    <w:r>
      <w:rPr>
        <w:rFonts w:ascii="Arial" w:hAnsi="Arial" w:cs="Arial"/>
        <w:b/>
      </w:rPr>
      <w:t>MARCH 2020</w:t>
    </w:r>
    <w:r w:rsidR="000E1E84">
      <w:rPr>
        <w:rFonts w:ascii="Arial" w:hAnsi="Arial" w:cs="Arial"/>
        <w:b/>
      </w:rPr>
      <w:t xml:space="preserve"> </w:t>
    </w:r>
    <w:r w:rsidR="0071356F" w:rsidRPr="0071356F">
      <w:rPr>
        <w:rFonts w:ascii="Arial" w:hAnsi="Arial" w:cs="Arial"/>
        <w:b/>
      </w:rPr>
      <w:t>PBAC OUTCOMES –</w:t>
    </w:r>
    <w:r w:rsidR="007F10B5">
      <w:rPr>
        <w:rFonts w:ascii="Arial" w:hAnsi="Arial" w:cs="Arial"/>
        <w:b/>
      </w:rPr>
      <w:t xml:space="preserve"> </w:t>
    </w:r>
    <w:r w:rsidR="00C44EC5">
      <w:rPr>
        <w:rFonts w:ascii="Arial" w:hAnsi="Arial" w:cs="Arial"/>
        <w:b/>
      </w:rPr>
      <w:t>OTHER MATTERS</w:t>
    </w:r>
  </w:p>
  <w:p w14:paraId="183EB489" w14:textId="77777777" w:rsidR="00257615" w:rsidRPr="0071356F" w:rsidRDefault="00257615" w:rsidP="0071356F">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D5D9E" w14:textId="77777777" w:rsidR="00E53CC2" w:rsidRDefault="00E5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F02E2"/>
    <w:multiLevelType w:val="hybridMultilevel"/>
    <w:tmpl w:val="8BBE8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4C5D64"/>
    <w:multiLevelType w:val="hybridMultilevel"/>
    <w:tmpl w:val="3F921AE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 w15:restartNumberingAfterBreak="0">
    <w:nsid w:val="32425914"/>
    <w:multiLevelType w:val="hybridMultilevel"/>
    <w:tmpl w:val="58A879C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7CA1FA0"/>
    <w:multiLevelType w:val="hybridMultilevel"/>
    <w:tmpl w:val="00926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84D033C"/>
    <w:multiLevelType w:val="multilevel"/>
    <w:tmpl w:val="010A2FD0"/>
    <w:lvl w:ilvl="0">
      <w:start w:val="1"/>
      <w:numFmt w:val="decimal"/>
      <w:pStyle w:val="2Sections"/>
      <w:lvlText w:val="%1"/>
      <w:lvlJc w:val="left"/>
      <w:pPr>
        <w:ind w:left="720" w:hanging="720"/>
      </w:pPr>
      <w:rPr>
        <w:rFonts w:hint="default"/>
        <w:b/>
      </w:rPr>
    </w:lvl>
    <w:lvl w:ilvl="1">
      <w:start w:val="1"/>
      <w:numFmt w:val="decimal"/>
      <w:pStyle w:val="3Bodytext"/>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 w:numId="4">
    <w:abstractNumId w:val="3"/>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401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1A07"/>
    <w:rsid w:val="00002E16"/>
    <w:rsid w:val="000034C3"/>
    <w:rsid w:val="00003584"/>
    <w:rsid w:val="00004628"/>
    <w:rsid w:val="0000462B"/>
    <w:rsid w:val="00004D33"/>
    <w:rsid w:val="00004D75"/>
    <w:rsid w:val="00004F9D"/>
    <w:rsid w:val="000055C6"/>
    <w:rsid w:val="00005F17"/>
    <w:rsid w:val="00005FA7"/>
    <w:rsid w:val="000063DB"/>
    <w:rsid w:val="0000733C"/>
    <w:rsid w:val="000074BD"/>
    <w:rsid w:val="00007D69"/>
    <w:rsid w:val="000102AF"/>
    <w:rsid w:val="00010379"/>
    <w:rsid w:val="0001085A"/>
    <w:rsid w:val="00010886"/>
    <w:rsid w:val="00010920"/>
    <w:rsid w:val="0001152D"/>
    <w:rsid w:val="00011849"/>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17DE3"/>
    <w:rsid w:val="00020745"/>
    <w:rsid w:val="00021827"/>
    <w:rsid w:val="00022361"/>
    <w:rsid w:val="000223D3"/>
    <w:rsid w:val="00022435"/>
    <w:rsid w:val="00022686"/>
    <w:rsid w:val="000228B1"/>
    <w:rsid w:val="00022BF5"/>
    <w:rsid w:val="0002300F"/>
    <w:rsid w:val="0002305C"/>
    <w:rsid w:val="00023228"/>
    <w:rsid w:val="00023817"/>
    <w:rsid w:val="0002401C"/>
    <w:rsid w:val="00024248"/>
    <w:rsid w:val="00024311"/>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5FE8"/>
    <w:rsid w:val="00036149"/>
    <w:rsid w:val="000365B0"/>
    <w:rsid w:val="00036CF7"/>
    <w:rsid w:val="00036FA6"/>
    <w:rsid w:val="00037F52"/>
    <w:rsid w:val="0004019D"/>
    <w:rsid w:val="000407E0"/>
    <w:rsid w:val="00041467"/>
    <w:rsid w:val="0004160D"/>
    <w:rsid w:val="00041F3D"/>
    <w:rsid w:val="00042593"/>
    <w:rsid w:val="00042EC6"/>
    <w:rsid w:val="00043C1D"/>
    <w:rsid w:val="00044146"/>
    <w:rsid w:val="00044BB4"/>
    <w:rsid w:val="00046725"/>
    <w:rsid w:val="000468C0"/>
    <w:rsid w:val="00046DA2"/>
    <w:rsid w:val="00050762"/>
    <w:rsid w:val="000507B9"/>
    <w:rsid w:val="00051AF5"/>
    <w:rsid w:val="00053DE7"/>
    <w:rsid w:val="0005527B"/>
    <w:rsid w:val="000560E2"/>
    <w:rsid w:val="0005661F"/>
    <w:rsid w:val="00057006"/>
    <w:rsid w:val="000575B4"/>
    <w:rsid w:val="000601EA"/>
    <w:rsid w:val="000603CB"/>
    <w:rsid w:val="0006084C"/>
    <w:rsid w:val="000608FE"/>
    <w:rsid w:val="000615B0"/>
    <w:rsid w:val="00061E01"/>
    <w:rsid w:val="0006239E"/>
    <w:rsid w:val="0006295A"/>
    <w:rsid w:val="000643D0"/>
    <w:rsid w:val="00065195"/>
    <w:rsid w:val="00065E6F"/>
    <w:rsid w:val="000672D3"/>
    <w:rsid w:val="0006744F"/>
    <w:rsid w:val="00067A06"/>
    <w:rsid w:val="00067E91"/>
    <w:rsid w:val="00070204"/>
    <w:rsid w:val="00070612"/>
    <w:rsid w:val="000714CE"/>
    <w:rsid w:val="00071ABC"/>
    <w:rsid w:val="00071D67"/>
    <w:rsid w:val="00072584"/>
    <w:rsid w:val="000728AC"/>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5E3"/>
    <w:rsid w:val="00084CED"/>
    <w:rsid w:val="00084D37"/>
    <w:rsid w:val="000855C9"/>
    <w:rsid w:val="00085F9C"/>
    <w:rsid w:val="00086013"/>
    <w:rsid w:val="0008687E"/>
    <w:rsid w:val="000868A3"/>
    <w:rsid w:val="00086D66"/>
    <w:rsid w:val="000872FA"/>
    <w:rsid w:val="00090330"/>
    <w:rsid w:val="00090385"/>
    <w:rsid w:val="00090D21"/>
    <w:rsid w:val="00090F42"/>
    <w:rsid w:val="00091262"/>
    <w:rsid w:val="00092276"/>
    <w:rsid w:val="00092523"/>
    <w:rsid w:val="00093960"/>
    <w:rsid w:val="0009470A"/>
    <w:rsid w:val="00095C30"/>
    <w:rsid w:val="00096161"/>
    <w:rsid w:val="00096B9F"/>
    <w:rsid w:val="00096E39"/>
    <w:rsid w:val="000972AC"/>
    <w:rsid w:val="00097C0E"/>
    <w:rsid w:val="00097ED4"/>
    <w:rsid w:val="00097FBD"/>
    <w:rsid w:val="000A0FD7"/>
    <w:rsid w:val="000A1E1C"/>
    <w:rsid w:val="000A2697"/>
    <w:rsid w:val="000A2A86"/>
    <w:rsid w:val="000A2C2D"/>
    <w:rsid w:val="000A2DE4"/>
    <w:rsid w:val="000A2FEC"/>
    <w:rsid w:val="000A418B"/>
    <w:rsid w:val="000A46FC"/>
    <w:rsid w:val="000A4955"/>
    <w:rsid w:val="000A570D"/>
    <w:rsid w:val="000A59CC"/>
    <w:rsid w:val="000A5C76"/>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13E3"/>
    <w:rsid w:val="000C1BA1"/>
    <w:rsid w:val="000C219D"/>
    <w:rsid w:val="000C22B0"/>
    <w:rsid w:val="000C2786"/>
    <w:rsid w:val="000C3369"/>
    <w:rsid w:val="000C3CAA"/>
    <w:rsid w:val="000C45E3"/>
    <w:rsid w:val="000C4C04"/>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76D"/>
    <w:rsid w:val="000E1E84"/>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0F7390"/>
    <w:rsid w:val="000F7649"/>
    <w:rsid w:val="001000EA"/>
    <w:rsid w:val="00100294"/>
    <w:rsid w:val="00100B0B"/>
    <w:rsid w:val="001025E7"/>
    <w:rsid w:val="0010275F"/>
    <w:rsid w:val="0010316E"/>
    <w:rsid w:val="001038BB"/>
    <w:rsid w:val="00103F76"/>
    <w:rsid w:val="00105880"/>
    <w:rsid w:val="00107038"/>
    <w:rsid w:val="00107219"/>
    <w:rsid w:val="001101E1"/>
    <w:rsid w:val="00110379"/>
    <w:rsid w:val="001103CF"/>
    <w:rsid w:val="00111F4C"/>
    <w:rsid w:val="001123B7"/>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17FBB"/>
    <w:rsid w:val="00120FAC"/>
    <w:rsid w:val="00121311"/>
    <w:rsid w:val="00121A8E"/>
    <w:rsid w:val="00121BF6"/>
    <w:rsid w:val="0012325F"/>
    <w:rsid w:val="00124D80"/>
    <w:rsid w:val="00126104"/>
    <w:rsid w:val="001267DB"/>
    <w:rsid w:val="001276FB"/>
    <w:rsid w:val="00130C57"/>
    <w:rsid w:val="0013141F"/>
    <w:rsid w:val="001317E4"/>
    <w:rsid w:val="00131CB1"/>
    <w:rsid w:val="00132052"/>
    <w:rsid w:val="0013270B"/>
    <w:rsid w:val="001329B7"/>
    <w:rsid w:val="00132A3A"/>
    <w:rsid w:val="00132DAB"/>
    <w:rsid w:val="00132FA5"/>
    <w:rsid w:val="001334B6"/>
    <w:rsid w:val="001334F9"/>
    <w:rsid w:val="00133B4C"/>
    <w:rsid w:val="00133D7F"/>
    <w:rsid w:val="00134ECB"/>
    <w:rsid w:val="00134F08"/>
    <w:rsid w:val="001357A1"/>
    <w:rsid w:val="001362A6"/>
    <w:rsid w:val="0013631E"/>
    <w:rsid w:val="00136B3F"/>
    <w:rsid w:val="00136DF8"/>
    <w:rsid w:val="0013745F"/>
    <w:rsid w:val="00137894"/>
    <w:rsid w:val="00137CB8"/>
    <w:rsid w:val="00140035"/>
    <w:rsid w:val="00140465"/>
    <w:rsid w:val="00140E09"/>
    <w:rsid w:val="0014101A"/>
    <w:rsid w:val="0014142D"/>
    <w:rsid w:val="0014148A"/>
    <w:rsid w:val="00141FEB"/>
    <w:rsid w:val="0014274E"/>
    <w:rsid w:val="00142EED"/>
    <w:rsid w:val="00143743"/>
    <w:rsid w:val="001437D5"/>
    <w:rsid w:val="00143E66"/>
    <w:rsid w:val="001440CC"/>
    <w:rsid w:val="00145D66"/>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2E5A"/>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39A6"/>
    <w:rsid w:val="00174067"/>
    <w:rsid w:val="001741B0"/>
    <w:rsid w:val="0017449B"/>
    <w:rsid w:val="00174944"/>
    <w:rsid w:val="00175139"/>
    <w:rsid w:val="00175BA1"/>
    <w:rsid w:val="00175D26"/>
    <w:rsid w:val="00176067"/>
    <w:rsid w:val="00176645"/>
    <w:rsid w:val="001766A8"/>
    <w:rsid w:val="0017687A"/>
    <w:rsid w:val="001772D4"/>
    <w:rsid w:val="0017743E"/>
    <w:rsid w:val="00177845"/>
    <w:rsid w:val="001806A2"/>
    <w:rsid w:val="001810C8"/>
    <w:rsid w:val="00181289"/>
    <w:rsid w:val="001812AE"/>
    <w:rsid w:val="00182666"/>
    <w:rsid w:val="00182E45"/>
    <w:rsid w:val="00183DEE"/>
    <w:rsid w:val="00184E8A"/>
    <w:rsid w:val="0018519A"/>
    <w:rsid w:val="00190B9C"/>
    <w:rsid w:val="00190D52"/>
    <w:rsid w:val="00191157"/>
    <w:rsid w:val="0019138B"/>
    <w:rsid w:val="001919D3"/>
    <w:rsid w:val="001925E9"/>
    <w:rsid w:val="00192900"/>
    <w:rsid w:val="00193C35"/>
    <w:rsid w:val="0019441C"/>
    <w:rsid w:val="001950D9"/>
    <w:rsid w:val="00195379"/>
    <w:rsid w:val="00196144"/>
    <w:rsid w:val="001971B1"/>
    <w:rsid w:val="001971EA"/>
    <w:rsid w:val="00197975"/>
    <w:rsid w:val="001A08BC"/>
    <w:rsid w:val="001A0DC8"/>
    <w:rsid w:val="001A14F5"/>
    <w:rsid w:val="001A1777"/>
    <w:rsid w:val="001A1A8A"/>
    <w:rsid w:val="001A2649"/>
    <w:rsid w:val="001A307D"/>
    <w:rsid w:val="001A3986"/>
    <w:rsid w:val="001A3E19"/>
    <w:rsid w:val="001A4242"/>
    <w:rsid w:val="001A48FD"/>
    <w:rsid w:val="001A51F4"/>
    <w:rsid w:val="001A579F"/>
    <w:rsid w:val="001A6DEF"/>
    <w:rsid w:val="001A7A6A"/>
    <w:rsid w:val="001B049D"/>
    <w:rsid w:val="001B04E4"/>
    <w:rsid w:val="001B0553"/>
    <w:rsid w:val="001B0636"/>
    <w:rsid w:val="001B1577"/>
    <w:rsid w:val="001B16C3"/>
    <w:rsid w:val="001B1838"/>
    <w:rsid w:val="001B1C67"/>
    <w:rsid w:val="001B2234"/>
    <w:rsid w:val="001B229F"/>
    <w:rsid w:val="001B3984"/>
    <w:rsid w:val="001B3FE9"/>
    <w:rsid w:val="001B46AE"/>
    <w:rsid w:val="001B54F0"/>
    <w:rsid w:val="001B5950"/>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C7569"/>
    <w:rsid w:val="001D0229"/>
    <w:rsid w:val="001D028A"/>
    <w:rsid w:val="001D0868"/>
    <w:rsid w:val="001D1636"/>
    <w:rsid w:val="001D181F"/>
    <w:rsid w:val="001D2755"/>
    <w:rsid w:val="001D2F4D"/>
    <w:rsid w:val="001D39E8"/>
    <w:rsid w:val="001D4075"/>
    <w:rsid w:val="001D5794"/>
    <w:rsid w:val="001D600F"/>
    <w:rsid w:val="001D6843"/>
    <w:rsid w:val="001D79BC"/>
    <w:rsid w:val="001E092F"/>
    <w:rsid w:val="001E0947"/>
    <w:rsid w:val="001E152C"/>
    <w:rsid w:val="001E24EA"/>
    <w:rsid w:val="001E25FF"/>
    <w:rsid w:val="001E35D6"/>
    <w:rsid w:val="001E411C"/>
    <w:rsid w:val="001E5979"/>
    <w:rsid w:val="001E5C38"/>
    <w:rsid w:val="001E70C9"/>
    <w:rsid w:val="001E776D"/>
    <w:rsid w:val="001E77D9"/>
    <w:rsid w:val="001E79E9"/>
    <w:rsid w:val="001F0B5E"/>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8C3"/>
    <w:rsid w:val="00203A75"/>
    <w:rsid w:val="0020409B"/>
    <w:rsid w:val="00205B6C"/>
    <w:rsid w:val="002060A5"/>
    <w:rsid w:val="002068F5"/>
    <w:rsid w:val="002070E4"/>
    <w:rsid w:val="0020721C"/>
    <w:rsid w:val="002072C3"/>
    <w:rsid w:val="00207813"/>
    <w:rsid w:val="0020790A"/>
    <w:rsid w:val="00207A2B"/>
    <w:rsid w:val="00207E86"/>
    <w:rsid w:val="00210594"/>
    <w:rsid w:val="00210F65"/>
    <w:rsid w:val="00212939"/>
    <w:rsid w:val="00212B8B"/>
    <w:rsid w:val="00212F67"/>
    <w:rsid w:val="00213335"/>
    <w:rsid w:val="0021371C"/>
    <w:rsid w:val="002139E7"/>
    <w:rsid w:val="002144A1"/>
    <w:rsid w:val="002147A6"/>
    <w:rsid w:val="00214D4B"/>
    <w:rsid w:val="00215739"/>
    <w:rsid w:val="002157B5"/>
    <w:rsid w:val="00215E55"/>
    <w:rsid w:val="00216869"/>
    <w:rsid w:val="0021720D"/>
    <w:rsid w:val="0022016A"/>
    <w:rsid w:val="002205B8"/>
    <w:rsid w:val="00220F03"/>
    <w:rsid w:val="00221057"/>
    <w:rsid w:val="002212CB"/>
    <w:rsid w:val="00221B4C"/>
    <w:rsid w:val="002226A9"/>
    <w:rsid w:val="0022277E"/>
    <w:rsid w:val="00223034"/>
    <w:rsid w:val="00223614"/>
    <w:rsid w:val="002238E6"/>
    <w:rsid w:val="00225CB8"/>
    <w:rsid w:val="002263B2"/>
    <w:rsid w:val="00226E88"/>
    <w:rsid w:val="00226F8B"/>
    <w:rsid w:val="0022715D"/>
    <w:rsid w:val="00230AF7"/>
    <w:rsid w:val="00230B76"/>
    <w:rsid w:val="00231068"/>
    <w:rsid w:val="00231F8F"/>
    <w:rsid w:val="00232DA4"/>
    <w:rsid w:val="00234FCD"/>
    <w:rsid w:val="00234FD9"/>
    <w:rsid w:val="00236374"/>
    <w:rsid w:val="00237E07"/>
    <w:rsid w:val="00237F8D"/>
    <w:rsid w:val="002400A1"/>
    <w:rsid w:val="00240222"/>
    <w:rsid w:val="002412CC"/>
    <w:rsid w:val="0024218B"/>
    <w:rsid w:val="002425FA"/>
    <w:rsid w:val="002425FE"/>
    <w:rsid w:val="00242CD9"/>
    <w:rsid w:val="0024349D"/>
    <w:rsid w:val="002437B3"/>
    <w:rsid w:val="00243967"/>
    <w:rsid w:val="0024424C"/>
    <w:rsid w:val="002444C2"/>
    <w:rsid w:val="00244BE9"/>
    <w:rsid w:val="0024530D"/>
    <w:rsid w:val="00245A74"/>
    <w:rsid w:val="002460B3"/>
    <w:rsid w:val="00246A8F"/>
    <w:rsid w:val="0024727D"/>
    <w:rsid w:val="00250912"/>
    <w:rsid w:val="00250DBA"/>
    <w:rsid w:val="00251087"/>
    <w:rsid w:val="00251294"/>
    <w:rsid w:val="00251AD5"/>
    <w:rsid w:val="002523E5"/>
    <w:rsid w:val="00252C2E"/>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4B9F"/>
    <w:rsid w:val="00265FE9"/>
    <w:rsid w:val="0026773E"/>
    <w:rsid w:val="00267CAE"/>
    <w:rsid w:val="00270013"/>
    <w:rsid w:val="0027218C"/>
    <w:rsid w:val="002723FD"/>
    <w:rsid w:val="00272E01"/>
    <w:rsid w:val="00273015"/>
    <w:rsid w:val="0027463A"/>
    <w:rsid w:val="0027487A"/>
    <w:rsid w:val="00274D0D"/>
    <w:rsid w:val="00274D8B"/>
    <w:rsid w:val="00275318"/>
    <w:rsid w:val="002766B0"/>
    <w:rsid w:val="00276ECA"/>
    <w:rsid w:val="00277572"/>
    <w:rsid w:val="00277812"/>
    <w:rsid w:val="002802A1"/>
    <w:rsid w:val="002803B8"/>
    <w:rsid w:val="002808CA"/>
    <w:rsid w:val="00280926"/>
    <w:rsid w:val="00281B0A"/>
    <w:rsid w:val="002826D6"/>
    <w:rsid w:val="00282CDE"/>
    <w:rsid w:val="00283073"/>
    <w:rsid w:val="0028348A"/>
    <w:rsid w:val="00285478"/>
    <w:rsid w:val="0028663C"/>
    <w:rsid w:val="00287C89"/>
    <w:rsid w:val="002905B5"/>
    <w:rsid w:val="002911D8"/>
    <w:rsid w:val="002931F6"/>
    <w:rsid w:val="00293203"/>
    <w:rsid w:val="0029329A"/>
    <w:rsid w:val="00293A15"/>
    <w:rsid w:val="00293D54"/>
    <w:rsid w:val="00295693"/>
    <w:rsid w:val="002960C3"/>
    <w:rsid w:val="002969C0"/>
    <w:rsid w:val="002972D4"/>
    <w:rsid w:val="00297AEF"/>
    <w:rsid w:val="00297F02"/>
    <w:rsid w:val="002A06E1"/>
    <w:rsid w:val="002A0B4A"/>
    <w:rsid w:val="002A21E8"/>
    <w:rsid w:val="002A3220"/>
    <w:rsid w:val="002A3596"/>
    <w:rsid w:val="002A3AA9"/>
    <w:rsid w:val="002A3BB3"/>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45D1"/>
    <w:rsid w:val="002B5625"/>
    <w:rsid w:val="002B5F9C"/>
    <w:rsid w:val="002B6147"/>
    <w:rsid w:val="002B7497"/>
    <w:rsid w:val="002C0170"/>
    <w:rsid w:val="002C0E18"/>
    <w:rsid w:val="002C2427"/>
    <w:rsid w:val="002C269E"/>
    <w:rsid w:val="002C2773"/>
    <w:rsid w:val="002C2A4F"/>
    <w:rsid w:val="002C2BF1"/>
    <w:rsid w:val="002C3502"/>
    <w:rsid w:val="002C397B"/>
    <w:rsid w:val="002C3BA0"/>
    <w:rsid w:val="002C436C"/>
    <w:rsid w:val="002C47C4"/>
    <w:rsid w:val="002C52A2"/>
    <w:rsid w:val="002C6991"/>
    <w:rsid w:val="002C6E41"/>
    <w:rsid w:val="002C748E"/>
    <w:rsid w:val="002C7D3C"/>
    <w:rsid w:val="002D0DDF"/>
    <w:rsid w:val="002D17A5"/>
    <w:rsid w:val="002D1AC7"/>
    <w:rsid w:val="002D347E"/>
    <w:rsid w:val="002D3547"/>
    <w:rsid w:val="002D3D17"/>
    <w:rsid w:val="002D42A0"/>
    <w:rsid w:val="002D440D"/>
    <w:rsid w:val="002D44F4"/>
    <w:rsid w:val="002D45EE"/>
    <w:rsid w:val="002D4C8C"/>
    <w:rsid w:val="002D545A"/>
    <w:rsid w:val="002D59E5"/>
    <w:rsid w:val="002D5C23"/>
    <w:rsid w:val="002D5CBC"/>
    <w:rsid w:val="002D5DC3"/>
    <w:rsid w:val="002D6B4D"/>
    <w:rsid w:val="002D7B93"/>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6129"/>
    <w:rsid w:val="002E736D"/>
    <w:rsid w:val="002F00F2"/>
    <w:rsid w:val="002F0461"/>
    <w:rsid w:val="002F0875"/>
    <w:rsid w:val="002F0884"/>
    <w:rsid w:val="002F1A5B"/>
    <w:rsid w:val="002F1B87"/>
    <w:rsid w:val="002F4CA2"/>
    <w:rsid w:val="002F51B3"/>
    <w:rsid w:val="002F527B"/>
    <w:rsid w:val="002F5306"/>
    <w:rsid w:val="002F5570"/>
    <w:rsid w:val="002F5792"/>
    <w:rsid w:val="002F5C9A"/>
    <w:rsid w:val="002F6254"/>
    <w:rsid w:val="002F638F"/>
    <w:rsid w:val="002F6432"/>
    <w:rsid w:val="002F64A0"/>
    <w:rsid w:val="002F69EB"/>
    <w:rsid w:val="002F6D11"/>
    <w:rsid w:val="002F6FC4"/>
    <w:rsid w:val="002F7255"/>
    <w:rsid w:val="002F7679"/>
    <w:rsid w:val="00300450"/>
    <w:rsid w:val="003005AA"/>
    <w:rsid w:val="00300EA5"/>
    <w:rsid w:val="00301D68"/>
    <w:rsid w:val="003022B8"/>
    <w:rsid w:val="003023C4"/>
    <w:rsid w:val="003023EB"/>
    <w:rsid w:val="003026B9"/>
    <w:rsid w:val="00302C73"/>
    <w:rsid w:val="003035B2"/>
    <w:rsid w:val="00303733"/>
    <w:rsid w:val="00303A2F"/>
    <w:rsid w:val="00303BEB"/>
    <w:rsid w:val="00303C94"/>
    <w:rsid w:val="00304BF7"/>
    <w:rsid w:val="00304FE8"/>
    <w:rsid w:val="0030527B"/>
    <w:rsid w:val="00305FA4"/>
    <w:rsid w:val="00310992"/>
    <w:rsid w:val="00311387"/>
    <w:rsid w:val="0031153B"/>
    <w:rsid w:val="00311EEA"/>
    <w:rsid w:val="0031351E"/>
    <w:rsid w:val="00313537"/>
    <w:rsid w:val="003135CD"/>
    <w:rsid w:val="0031372F"/>
    <w:rsid w:val="00313C59"/>
    <w:rsid w:val="00314373"/>
    <w:rsid w:val="00314425"/>
    <w:rsid w:val="003146EE"/>
    <w:rsid w:val="003153EA"/>
    <w:rsid w:val="00316745"/>
    <w:rsid w:val="00317E97"/>
    <w:rsid w:val="00320015"/>
    <w:rsid w:val="00320263"/>
    <w:rsid w:val="003209C7"/>
    <w:rsid w:val="00320AB2"/>
    <w:rsid w:val="003225D5"/>
    <w:rsid w:val="0032271E"/>
    <w:rsid w:val="003229A0"/>
    <w:rsid w:val="003232F1"/>
    <w:rsid w:val="0032378E"/>
    <w:rsid w:val="00323C12"/>
    <w:rsid w:val="00323D04"/>
    <w:rsid w:val="003243CB"/>
    <w:rsid w:val="003245FB"/>
    <w:rsid w:val="00324614"/>
    <w:rsid w:val="003250E2"/>
    <w:rsid w:val="0032569E"/>
    <w:rsid w:val="003258F9"/>
    <w:rsid w:val="00326522"/>
    <w:rsid w:val="00326E9B"/>
    <w:rsid w:val="003270BF"/>
    <w:rsid w:val="00327A0C"/>
    <w:rsid w:val="003301A3"/>
    <w:rsid w:val="00330353"/>
    <w:rsid w:val="0033063D"/>
    <w:rsid w:val="00331DCA"/>
    <w:rsid w:val="00332129"/>
    <w:rsid w:val="0033322F"/>
    <w:rsid w:val="00334912"/>
    <w:rsid w:val="00334C52"/>
    <w:rsid w:val="00335779"/>
    <w:rsid w:val="00336FF2"/>
    <w:rsid w:val="003376B5"/>
    <w:rsid w:val="003376DF"/>
    <w:rsid w:val="003402DF"/>
    <w:rsid w:val="00340D16"/>
    <w:rsid w:val="00340EB5"/>
    <w:rsid w:val="00341361"/>
    <w:rsid w:val="0034174D"/>
    <w:rsid w:val="00343D26"/>
    <w:rsid w:val="00343D77"/>
    <w:rsid w:val="003444EC"/>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5A3"/>
    <w:rsid w:val="003548D7"/>
    <w:rsid w:val="003548F0"/>
    <w:rsid w:val="00354D94"/>
    <w:rsid w:val="003550C7"/>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023C"/>
    <w:rsid w:val="00380FA2"/>
    <w:rsid w:val="0038152C"/>
    <w:rsid w:val="00381DCB"/>
    <w:rsid w:val="00381F87"/>
    <w:rsid w:val="00383FF3"/>
    <w:rsid w:val="00384485"/>
    <w:rsid w:val="00384833"/>
    <w:rsid w:val="00384B1C"/>
    <w:rsid w:val="00384EA5"/>
    <w:rsid w:val="0038505C"/>
    <w:rsid w:val="00385BBE"/>
    <w:rsid w:val="00385D5C"/>
    <w:rsid w:val="00386843"/>
    <w:rsid w:val="00386C0B"/>
    <w:rsid w:val="00386C4E"/>
    <w:rsid w:val="00386E5D"/>
    <w:rsid w:val="00387E97"/>
    <w:rsid w:val="003902C1"/>
    <w:rsid w:val="00390919"/>
    <w:rsid w:val="00390A7C"/>
    <w:rsid w:val="00390A91"/>
    <w:rsid w:val="00390AFB"/>
    <w:rsid w:val="0039142B"/>
    <w:rsid w:val="00391A35"/>
    <w:rsid w:val="00391E07"/>
    <w:rsid w:val="00393110"/>
    <w:rsid w:val="00393B9A"/>
    <w:rsid w:val="00393DD4"/>
    <w:rsid w:val="003946AC"/>
    <w:rsid w:val="0039494C"/>
    <w:rsid w:val="00395338"/>
    <w:rsid w:val="00395600"/>
    <w:rsid w:val="00395B97"/>
    <w:rsid w:val="00397572"/>
    <w:rsid w:val="003A074E"/>
    <w:rsid w:val="003A1CFF"/>
    <w:rsid w:val="003A2BB7"/>
    <w:rsid w:val="003A312D"/>
    <w:rsid w:val="003A4AB4"/>
    <w:rsid w:val="003A4C61"/>
    <w:rsid w:val="003A4E02"/>
    <w:rsid w:val="003A5135"/>
    <w:rsid w:val="003A546F"/>
    <w:rsid w:val="003A565B"/>
    <w:rsid w:val="003A5C29"/>
    <w:rsid w:val="003A5DEB"/>
    <w:rsid w:val="003A5F75"/>
    <w:rsid w:val="003A61D4"/>
    <w:rsid w:val="003A6240"/>
    <w:rsid w:val="003A648B"/>
    <w:rsid w:val="003A6A14"/>
    <w:rsid w:val="003A6C16"/>
    <w:rsid w:val="003A72E4"/>
    <w:rsid w:val="003A7535"/>
    <w:rsid w:val="003A7616"/>
    <w:rsid w:val="003A799B"/>
    <w:rsid w:val="003A7D18"/>
    <w:rsid w:val="003B00C2"/>
    <w:rsid w:val="003B07D1"/>
    <w:rsid w:val="003B1AF6"/>
    <w:rsid w:val="003B1B75"/>
    <w:rsid w:val="003B2FBC"/>
    <w:rsid w:val="003B32CC"/>
    <w:rsid w:val="003B339A"/>
    <w:rsid w:val="003B35CB"/>
    <w:rsid w:val="003B4999"/>
    <w:rsid w:val="003B4DA2"/>
    <w:rsid w:val="003B4DDF"/>
    <w:rsid w:val="003B545C"/>
    <w:rsid w:val="003B57B7"/>
    <w:rsid w:val="003B5E19"/>
    <w:rsid w:val="003B64D8"/>
    <w:rsid w:val="003B78AC"/>
    <w:rsid w:val="003C0835"/>
    <w:rsid w:val="003C08BD"/>
    <w:rsid w:val="003C1A62"/>
    <w:rsid w:val="003C2F43"/>
    <w:rsid w:val="003C32FC"/>
    <w:rsid w:val="003C49A9"/>
    <w:rsid w:val="003C4EBE"/>
    <w:rsid w:val="003C558C"/>
    <w:rsid w:val="003C5777"/>
    <w:rsid w:val="003C66C3"/>
    <w:rsid w:val="003C6BDE"/>
    <w:rsid w:val="003C6F87"/>
    <w:rsid w:val="003C75BD"/>
    <w:rsid w:val="003C7E0E"/>
    <w:rsid w:val="003D0802"/>
    <w:rsid w:val="003D098A"/>
    <w:rsid w:val="003D0B7A"/>
    <w:rsid w:val="003D17E4"/>
    <w:rsid w:val="003D1A6C"/>
    <w:rsid w:val="003D1AEC"/>
    <w:rsid w:val="003D23D5"/>
    <w:rsid w:val="003D3CD1"/>
    <w:rsid w:val="003D489A"/>
    <w:rsid w:val="003D4EA6"/>
    <w:rsid w:val="003D56EB"/>
    <w:rsid w:val="003D5944"/>
    <w:rsid w:val="003D5D05"/>
    <w:rsid w:val="003D5ECA"/>
    <w:rsid w:val="003D5FB6"/>
    <w:rsid w:val="003D6CBF"/>
    <w:rsid w:val="003D72CC"/>
    <w:rsid w:val="003D7D05"/>
    <w:rsid w:val="003E03C3"/>
    <w:rsid w:val="003E067B"/>
    <w:rsid w:val="003E08D8"/>
    <w:rsid w:val="003E11A4"/>
    <w:rsid w:val="003E19A4"/>
    <w:rsid w:val="003E1AD1"/>
    <w:rsid w:val="003E236D"/>
    <w:rsid w:val="003E2E8C"/>
    <w:rsid w:val="003E3009"/>
    <w:rsid w:val="003E308A"/>
    <w:rsid w:val="003E3094"/>
    <w:rsid w:val="003E367A"/>
    <w:rsid w:val="003E37A4"/>
    <w:rsid w:val="003E4136"/>
    <w:rsid w:val="003E4E45"/>
    <w:rsid w:val="003E5418"/>
    <w:rsid w:val="003E61CB"/>
    <w:rsid w:val="003E63FE"/>
    <w:rsid w:val="003E7AFC"/>
    <w:rsid w:val="003E7C04"/>
    <w:rsid w:val="003E7FDA"/>
    <w:rsid w:val="003F01F7"/>
    <w:rsid w:val="003F0570"/>
    <w:rsid w:val="003F0D15"/>
    <w:rsid w:val="003F1283"/>
    <w:rsid w:val="003F13F6"/>
    <w:rsid w:val="003F174E"/>
    <w:rsid w:val="003F1BB0"/>
    <w:rsid w:val="003F1F13"/>
    <w:rsid w:val="003F2DAF"/>
    <w:rsid w:val="003F2ED2"/>
    <w:rsid w:val="003F3772"/>
    <w:rsid w:val="003F3ED2"/>
    <w:rsid w:val="003F4627"/>
    <w:rsid w:val="003F4ABA"/>
    <w:rsid w:val="003F52F2"/>
    <w:rsid w:val="003F53B6"/>
    <w:rsid w:val="003F54CA"/>
    <w:rsid w:val="003F6169"/>
    <w:rsid w:val="003F6645"/>
    <w:rsid w:val="003F72D7"/>
    <w:rsid w:val="003F77DA"/>
    <w:rsid w:val="003F7B2D"/>
    <w:rsid w:val="003F7C7A"/>
    <w:rsid w:val="00400D40"/>
    <w:rsid w:val="004014C9"/>
    <w:rsid w:val="00401DDB"/>
    <w:rsid w:val="00402B5F"/>
    <w:rsid w:val="00402C3D"/>
    <w:rsid w:val="00403087"/>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2760"/>
    <w:rsid w:val="00413BE9"/>
    <w:rsid w:val="00413E03"/>
    <w:rsid w:val="00414E73"/>
    <w:rsid w:val="00415367"/>
    <w:rsid w:val="004161C2"/>
    <w:rsid w:val="00416613"/>
    <w:rsid w:val="004170A6"/>
    <w:rsid w:val="004176BC"/>
    <w:rsid w:val="004177A1"/>
    <w:rsid w:val="00417CB0"/>
    <w:rsid w:val="00417FB8"/>
    <w:rsid w:val="00420584"/>
    <w:rsid w:val="00421048"/>
    <w:rsid w:val="00422A93"/>
    <w:rsid w:val="00422BB1"/>
    <w:rsid w:val="00424210"/>
    <w:rsid w:val="00424D21"/>
    <w:rsid w:val="00424F3C"/>
    <w:rsid w:val="00425C24"/>
    <w:rsid w:val="004273BF"/>
    <w:rsid w:val="004311FF"/>
    <w:rsid w:val="004314B6"/>
    <w:rsid w:val="0043191D"/>
    <w:rsid w:val="00432447"/>
    <w:rsid w:val="00432D97"/>
    <w:rsid w:val="00432F21"/>
    <w:rsid w:val="004349D9"/>
    <w:rsid w:val="0043544F"/>
    <w:rsid w:val="004362C0"/>
    <w:rsid w:val="00436425"/>
    <w:rsid w:val="004364E6"/>
    <w:rsid w:val="0043678B"/>
    <w:rsid w:val="00436B27"/>
    <w:rsid w:val="0043712E"/>
    <w:rsid w:val="004400BC"/>
    <w:rsid w:val="004412E8"/>
    <w:rsid w:val="00441947"/>
    <w:rsid w:val="00443331"/>
    <w:rsid w:val="004433E7"/>
    <w:rsid w:val="00443561"/>
    <w:rsid w:val="00443591"/>
    <w:rsid w:val="00443C5C"/>
    <w:rsid w:val="0044501E"/>
    <w:rsid w:val="00445B35"/>
    <w:rsid w:val="00445DFA"/>
    <w:rsid w:val="004462BD"/>
    <w:rsid w:val="004462FA"/>
    <w:rsid w:val="0044692E"/>
    <w:rsid w:val="0044732A"/>
    <w:rsid w:val="00450BC1"/>
    <w:rsid w:val="00451103"/>
    <w:rsid w:val="004515D4"/>
    <w:rsid w:val="00451F2C"/>
    <w:rsid w:val="0045203F"/>
    <w:rsid w:val="004520DB"/>
    <w:rsid w:val="00452550"/>
    <w:rsid w:val="004525A5"/>
    <w:rsid w:val="00453228"/>
    <w:rsid w:val="00453612"/>
    <w:rsid w:val="00453DB2"/>
    <w:rsid w:val="00453F45"/>
    <w:rsid w:val="00454D4D"/>
    <w:rsid w:val="00454F1D"/>
    <w:rsid w:val="00455817"/>
    <w:rsid w:val="00455982"/>
    <w:rsid w:val="00455AE4"/>
    <w:rsid w:val="00457034"/>
    <w:rsid w:val="00457BAA"/>
    <w:rsid w:val="0046003D"/>
    <w:rsid w:val="00460981"/>
    <w:rsid w:val="004609DE"/>
    <w:rsid w:val="00461DC0"/>
    <w:rsid w:val="004628F0"/>
    <w:rsid w:val="00462D54"/>
    <w:rsid w:val="00462D63"/>
    <w:rsid w:val="00462ED7"/>
    <w:rsid w:val="00463886"/>
    <w:rsid w:val="00463E8A"/>
    <w:rsid w:val="00464947"/>
    <w:rsid w:val="00464F36"/>
    <w:rsid w:val="0046568B"/>
    <w:rsid w:val="00466121"/>
    <w:rsid w:val="00466912"/>
    <w:rsid w:val="00467686"/>
    <w:rsid w:val="00467792"/>
    <w:rsid w:val="004679AB"/>
    <w:rsid w:val="00467F80"/>
    <w:rsid w:val="00470BE9"/>
    <w:rsid w:val="00471665"/>
    <w:rsid w:val="0047195F"/>
    <w:rsid w:val="00471A9E"/>
    <w:rsid w:val="00471B86"/>
    <w:rsid w:val="00472227"/>
    <w:rsid w:val="00472E9C"/>
    <w:rsid w:val="004732E6"/>
    <w:rsid w:val="00474927"/>
    <w:rsid w:val="00474FBE"/>
    <w:rsid w:val="0047540F"/>
    <w:rsid w:val="004772FF"/>
    <w:rsid w:val="00477F1F"/>
    <w:rsid w:val="0048048A"/>
    <w:rsid w:val="00481705"/>
    <w:rsid w:val="00481966"/>
    <w:rsid w:val="00482254"/>
    <w:rsid w:val="00482313"/>
    <w:rsid w:val="004823C6"/>
    <w:rsid w:val="00482938"/>
    <w:rsid w:val="00482F51"/>
    <w:rsid w:val="00483166"/>
    <w:rsid w:val="0048365C"/>
    <w:rsid w:val="004837B4"/>
    <w:rsid w:val="00484915"/>
    <w:rsid w:val="004853D8"/>
    <w:rsid w:val="0048589F"/>
    <w:rsid w:val="00486552"/>
    <w:rsid w:val="00486AEA"/>
    <w:rsid w:val="00486EEE"/>
    <w:rsid w:val="0048735B"/>
    <w:rsid w:val="004875E6"/>
    <w:rsid w:val="0048793C"/>
    <w:rsid w:val="00487AD4"/>
    <w:rsid w:val="00490275"/>
    <w:rsid w:val="00490628"/>
    <w:rsid w:val="0049071D"/>
    <w:rsid w:val="0049103F"/>
    <w:rsid w:val="00491532"/>
    <w:rsid w:val="0049239D"/>
    <w:rsid w:val="004925C9"/>
    <w:rsid w:val="00492F1A"/>
    <w:rsid w:val="00493577"/>
    <w:rsid w:val="00494159"/>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236"/>
    <w:rsid w:val="004A3391"/>
    <w:rsid w:val="004A3C39"/>
    <w:rsid w:val="004A3FAE"/>
    <w:rsid w:val="004A4291"/>
    <w:rsid w:val="004A4D02"/>
    <w:rsid w:val="004A4F2D"/>
    <w:rsid w:val="004A5AFA"/>
    <w:rsid w:val="004B17CE"/>
    <w:rsid w:val="004B187A"/>
    <w:rsid w:val="004B1903"/>
    <w:rsid w:val="004B1A9C"/>
    <w:rsid w:val="004B1B15"/>
    <w:rsid w:val="004B1CB3"/>
    <w:rsid w:val="004B2241"/>
    <w:rsid w:val="004B25D3"/>
    <w:rsid w:val="004B27D6"/>
    <w:rsid w:val="004B2EBB"/>
    <w:rsid w:val="004B36DF"/>
    <w:rsid w:val="004B3C81"/>
    <w:rsid w:val="004B3F13"/>
    <w:rsid w:val="004B47F4"/>
    <w:rsid w:val="004B50CC"/>
    <w:rsid w:val="004B5825"/>
    <w:rsid w:val="004B6415"/>
    <w:rsid w:val="004B64FA"/>
    <w:rsid w:val="004B758A"/>
    <w:rsid w:val="004B7A73"/>
    <w:rsid w:val="004B7F9F"/>
    <w:rsid w:val="004C06CE"/>
    <w:rsid w:val="004C099B"/>
    <w:rsid w:val="004C0DB4"/>
    <w:rsid w:val="004C33E8"/>
    <w:rsid w:val="004C4A96"/>
    <w:rsid w:val="004C4E5F"/>
    <w:rsid w:val="004C5875"/>
    <w:rsid w:val="004C5F28"/>
    <w:rsid w:val="004C6997"/>
    <w:rsid w:val="004C6CDB"/>
    <w:rsid w:val="004C723F"/>
    <w:rsid w:val="004C7C36"/>
    <w:rsid w:val="004C7D16"/>
    <w:rsid w:val="004D0132"/>
    <w:rsid w:val="004D080F"/>
    <w:rsid w:val="004D10C5"/>
    <w:rsid w:val="004D1133"/>
    <w:rsid w:val="004D185E"/>
    <w:rsid w:val="004D29F9"/>
    <w:rsid w:val="004D3526"/>
    <w:rsid w:val="004D4B61"/>
    <w:rsid w:val="004D606D"/>
    <w:rsid w:val="004D6B20"/>
    <w:rsid w:val="004D6C2F"/>
    <w:rsid w:val="004D71FE"/>
    <w:rsid w:val="004D72CE"/>
    <w:rsid w:val="004D74B2"/>
    <w:rsid w:val="004D7A80"/>
    <w:rsid w:val="004D7CA3"/>
    <w:rsid w:val="004E0388"/>
    <w:rsid w:val="004E0894"/>
    <w:rsid w:val="004E135A"/>
    <w:rsid w:val="004E1C50"/>
    <w:rsid w:val="004E20EE"/>
    <w:rsid w:val="004E251F"/>
    <w:rsid w:val="004E2B23"/>
    <w:rsid w:val="004E3390"/>
    <w:rsid w:val="004E416F"/>
    <w:rsid w:val="004E424D"/>
    <w:rsid w:val="004E5F45"/>
    <w:rsid w:val="004E5F96"/>
    <w:rsid w:val="004E64DC"/>
    <w:rsid w:val="004E6F86"/>
    <w:rsid w:val="004E706A"/>
    <w:rsid w:val="004F0278"/>
    <w:rsid w:val="004F0671"/>
    <w:rsid w:val="004F0C01"/>
    <w:rsid w:val="004F126D"/>
    <w:rsid w:val="004F24B5"/>
    <w:rsid w:val="004F2B02"/>
    <w:rsid w:val="004F2D1B"/>
    <w:rsid w:val="004F2E11"/>
    <w:rsid w:val="004F31BD"/>
    <w:rsid w:val="004F3B34"/>
    <w:rsid w:val="004F3D32"/>
    <w:rsid w:val="004F3E23"/>
    <w:rsid w:val="004F4767"/>
    <w:rsid w:val="004F498A"/>
    <w:rsid w:val="004F51B2"/>
    <w:rsid w:val="004F59C4"/>
    <w:rsid w:val="004F5D65"/>
    <w:rsid w:val="004F70F8"/>
    <w:rsid w:val="004F7230"/>
    <w:rsid w:val="004F7D7B"/>
    <w:rsid w:val="0050107A"/>
    <w:rsid w:val="00501659"/>
    <w:rsid w:val="00501733"/>
    <w:rsid w:val="00501B75"/>
    <w:rsid w:val="00501C39"/>
    <w:rsid w:val="00502203"/>
    <w:rsid w:val="005027B8"/>
    <w:rsid w:val="00502D7C"/>
    <w:rsid w:val="00503286"/>
    <w:rsid w:val="00503F42"/>
    <w:rsid w:val="00505378"/>
    <w:rsid w:val="00505A66"/>
    <w:rsid w:val="00506576"/>
    <w:rsid w:val="00506710"/>
    <w:rsid w:val="00506E86"/>
    <w:rsid w:val="0050702C"/>
    <w:rsid w:val="0050723E"/>
    <w:rsid w:val="00507403"/>
    <w:rsid w:val="00507430"/>
    <w:rsid w:val="005101E5"/>
    <w:rsid w:val="00511D75"/>
    <w:rsid w:val="00511FF2"/>
    <w:rsid w:val="00512232"/>
    <w:rsid w:val="00513B7E"/>
    <w:rsid w:val="00514597"/>
    <w:rsid w:val="005150AB"/>
    <w:rsid w:val="0051769B"/>
    <w:rsid w:val="0052052F"/>
    <w:rsid w:val="00520571"/>
    <w:rsid w:val="00522A63"/>
    <w:rsid w:val="00522C8A"/>
    <w:rsid w:val="00523AF8"/>
    <w:rsid w:val="00523F57"/>
    <w:rsid w:val="00523F8F"/>
    <w:rsid w:val="005248F8"/>
    <w:rsid w:val="00524E1E"/>
    <w:rsid w:val="0052565F"/>
    <w:rsid w:val="00526E9C"/>
    <w:rsid w:val="00527647"/>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948"/>
    <w:rsid w:val="00535D75"/>
    <w:rsid w:val="00535FF9"/>
    <w:rsid w:val="0053609B"/>
    <w:rsid w:val="0053655A"/>
    <w:rsid w:val="00536ECF"/>
    <w:rsid w:val="0053740F"/>
    <w:rsid w:val="005403B0"/>
    <w:rsid w:val="00540D9E"/>
    <w:rsid w:val="0054171A"/>
    <w:rsid w:val="005420CF"/>
    <w:rsid w:val="00542C2A"/>
    <w:rsid w:val="0054337D"/>
    <w:rsid w:val="005438E3"/>
    <w:rsid w:val="00543CAC"/>
    <w:rsid w:val="00543DAB"/>
    <w:rsid w:val="005440E4"/>
    <w:rsid w:val="00545BEC"/>
    <w:rsid w:val="005468A5"/>
    <w:rsid w:val="00546A1D"/>
    <w:rsid w:val="00546C8E"/>
    <w:rsid w:val="00546CB9"/>
    <w:rsid w:val="00546E83"/>
    <w:rsid w:val="005471B2"/>
    <w:rsid w:val="00547725"/>
    <w:rsid w:val="00550292"/>
    <w:rsid w:val="005512BB"/>
    <w:rsid w:val="00551309"/>
    <w:rsid w:val="00552426"/>
    <w:rsid w:val="00552F1A"/>
    <w:rsid w:val="00553371"/>
    <w:rsid w:val="0055363B"/>
    <w:rsid w:val="00553693"/>
    <w:rsid w:val="00553934"/>
    <w:rsid w:val="00553B71"/>
    <w:rsid w:val="00554C4D"/>
    <w:rsid w:val="00556A43"/>
    <w:rsid w:val="005571C1"/>
    <w:rsid w:val="00557CB3"/>
    <w:rsid w:val="0056087F"/>
    <w:rsid w:val="00560B84"/>
    <w:rsid w:val="0056121A"/>
    <w:rsid w:val="00562195"/>
    <w:rsid w:val="0056261D"/>
    <w:rsid w:val="00562918"/>
    <w:rsid w:val="00563269"/>
    <w:rsid w:val="00564643"/>
    <w:rsid w:val="00564772"/>
    <w:rsid w:val="00565698"/>
    <w:rsid w:val="0056601A"/>
    <w:rsid w:val="00566518"/>
    <w:rsid w:val="005669DA"/>
    <w:rsid w:val="00566F11"/>
    <w:rsid w:val="00567613"/>
    <w:rsid w:val="00571640"/>
    <w:rsid w:val="00571902"/>
    <w:rsid w:val="0057194C"/>
    <w:rsid w:val="005720AF"/>
    <w:rsid w:val="00572283"/>
    <w:rsid w:val="00572F6B"/>
    <w:rsid w:val="00573604"/>
    <w:rsid w:val="00573DE2"/>
    <w:rsid w:val="00573F29"/>
    <w:rsid w:val="00574949"/>
    <w:rsid w:val="00574AD1"/>
    <w:rsid w:val="00575E29"/>
    <w:rsid w:val="005767F1"/>
    <w:rsid w:val="00576A92"/>
    <w:rsid w:val="00577417"/>
    <w:rsid w:val="0057756E"/>
    <w:rsid w:val="005779BD"/>
    <w:rsid w:val="00580009"/>
    <w:rsid w:val="00580850"/>
    <w:rsid w:val="00580912"/>
    <w:rsid w:val="00580D6B"/>
    <w:rsid w:val="00580F14"/>
    <w:rsid w:val="005812AE"/>
    <w:rsid w:val="0058144C"/>
    <w:rsid w:val="0058159E"/>
    <w:rsid w:val="005818D2"/>
    <w:rsid w:val="00582234"/>
    <w:rsid w:val="005824FB"/>
    <w:rsid w:val="00582686"/>
    <w:rsid w:val="005829C4"/>
    <w:rsid w:val="00582D45"/>
    <w:rsid w:val="00582E8D"/>
    <w:rsid w:val="005860BC"/>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4D60"/>
    <w:rsid w:val="005950B2"/>
    <w:rsid w:val="00595154"/>
    <w:rsid w:val="00595296"/>
    <w:rsid w:val="00595603"/>
    <w:rsid w:val="00595917"/>
    <w:rsid w:val="00595BE6"/>
    <w:rsid w:val="005969F6"/>
    <w:rsid w:val="00596FEB"/>
    <w:rsid w:val="005979BE"/>
    <w:rsid w:val="00597A00"/>
    <w:rsid w:val="00597AB3"/>
    <w:rsid w:val="00597DBB"/>
    <w:rsid w:val="005A118A"/>
    <w:rsid w:val="005A1897"/>
    <w:rsid w:val="005A3B97"/>
    <w:rsid w:val="005A45EC"/>
    <w:rsid w:val="005A4A89"/>
    <w:rsid w:val="005A55F6"/>
    <w:rsid w:val="005A57D4"/>
    <w:rsid w:val="005A59B1"/>
    <w:rsid w:val="005A5C31"/>
    <w:rsid w:val="005A5DB4"/>
    <w:rsid w:val="005A600A"/>
    <w:rsid w:val="005A6106"/>
    <w:rsid w:val="005A74D9"/>
    <w:rsid w:val="005A7B45"/>
    <w:rsid w:val="005A7E88"/>
    <w:rsid w:val="005B01F4"/>
    <w:rsid w:val="005B05BE"/>
    <w:rsid w:val="005B0692"/>
    <w:rsid w:val="005B07C7"/>
    <w:rsid w:val="005B1B4F"/>
    <w:rsid w:val="005B1D29"/>
    <w:rsid w:val="005B2564"/>
    <w:rsid w:val="005B2898"/>
    <w:rsid w:val="005B2E53"/>
    <w:rsid w:val="005B2F26"/>
    <w:rsid w:val="005B389B"/>
    <w:rsid w:val="005B4B88"/>
    <w:rsid w:val="005B4C25"/>
    <w:rsid w:val="005B52D8"/>
    <w:rsid w:val="005B57E9"/>
    <w:rsid w:val="005B5DAD"/>
    <w:rsid w:val="005B659A"/>
    <w:rsid w:val="005B65CA"/>
    <w:rsid w:val="005B6EB7"/>
    <w:rsid w:val="005B79C6"/>
    <w:rsid w:val="005C04C0"/>
    <w:rsid w:val="005C0912"/>
    <w:rsid w:val="005C1B46"/>
    <w:rsid w:val="005C1F7E"/>
    <w:rsid w:val="005C2057"/>
    <w:rsid w:val="005C20A0"/>
    <w:rsid w:val="005C2EF2"/>
    <w:rsid w:val="005C3AE2"/>
    <w:rsid w:val="005C3D90"/>
    <w:rsid w:val="005C5258"/>
    <w:rsid w:val="005C57F7"/>
    <w:rsid w:val="005C75E2"/>
    <w:rsid w:val="005C76FD"/>
    <w:rsid w:val="005C7A6D"/>
    <w:rsid w:val="005C7DC3"/>
    <w:rsid w:val="005D0DAF"/>
    <w:rsid w:val="005D0E2B"/>
    <w:rsid w:val="005D14A4"/>
    <w:rsid w:val="005D1D83"/>
    <w:rsid w:val="005D2B61"/>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270"/>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264"/>
    <w:rsid w:val="006003A9"/>
    <w:rsid w:val="00600E8E"/>
    <w:rsid w:val="0060163D"/>
    <w:rsid w:val="006018CA"/>
    <w:rsid w:val="006019E6"/>
    <w:rsid w:val="00601AA5"/>
    <w:rsid w:val="006021EE"/>
    <w:rsid w:val="0060270D"/>
    <w:rsid w:val="006034A7"/>
    <w:rsid w:val="006037CC"/>
    <w:rsid w:val="00603A6B"/>
    <w:rsid w:val="006040F2"/>
    <w:rsid w:val="0060449A"/>
    <w:rsid w:val="00604805"/>
    <w:rsid w:val="006051A7"/>
    <w:rsid w:val="0060529E"/>
    <w:rsid w:val="00605384"/>
    <w:rsid w:val="006072E8"/>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1B17"/>
    <w:rsid w:val="00622289"/>
    <w:rsid w:val="00622543"/>
    <w:rsid w:val="00622643"/>
    <w:rsid w:val="00622B59"/>
    <w:rsid w:val="00623190"/>
    <w:rsid w:val="00623312"/>
    <w:rsid w:val="0062351E"/>
    <w:rsid w:val="00623E92"/>
    <w:rsid w:val="00623E93"/>
    <w:rsid w:val="00624322"/>
    <w:rsid w:val="00624406"/>
    <w:rsid w:val="006248E3"/>
    <w:rsid w:val="00625D3D"/>
    <w:rsid w:val="00625DB6"/>
    <w:rsid w:val="00626CAC"/>
    <w:rsid w:val="00627AD4"/>
    <w:rsid w:val="00627FE7"/>
    <w:rsid w:val="0063022F"/>
    <w:rsid w:val="00630F33"/>
    <w:rsid w:val="006312A4"/>
    <w:rsid w:val="006312F8"/>
    <w:rsid w:val="006313C9"/>
    <w:rsid w:val="006317D2"/>
    <w:rsid w:val="00631C0F"/>
    <w:rsid w:val="006329A9"/>
    <w:rsid w:val="006337EA"/>
    <w:rsid w:val="006348ED"/>
    <w:rsid w:val="00636A18"/>
    <w:rsid w:val="00636C52"/>
    <w:rsid w:val="0063771E"/>
    <w:rsid w:val="006406A6"/>
    <w:rsid w:val="00640A5A"/>
    <w:rsid w:val="00640C80"/>
    <w:rsid w:val="00640E6C"/>
    <w:rsid w:val="00642334"/>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1CA1"/>
    <w:rsid w:val="0065234B"/>
    <w:rsid w:val="006530E2"/>
    <w:rsid w:val="006535DE"/>
    <w:rsid w:val="0065453F"/>
    <w:rsid w:val="00654758"/>
    <w:rsid w:val="006563FC"/>
    <w:rsid w:val="00656EAE"/>
    <w:rsid w:val="00657344"/>
    <w:rsid w:val="006602CF"/>
    <w:rsid w:val="00660FB0"/>
    <w:rsid w:val="00661356"/>
    <w:rsid w:val="00662399"/>
    <w:rsid w:val="006628D0"/>
    <w:rsid w:val="00663C8D"/>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15B2"/>
    <w:rsid w:val="00672F3E"/>
    <w:rsid w:val="00673BF2"/>
    <w:rsid w:val="00673C58"/>
    <w:rsid w:val="0067494B"/>
    <w:rsid w:val="00674A3C"/>
    <w:rsid w:val="00674DB0"/>
    <w:rsid w:val="00675296"/>
    <w:rsid w:val="006766B8"/>
    <w:rsid w:val="00677143"/>
    <w:rsid w:val="006807E1"/>
    <w:rsid w:val="00680DE4"/>
    <w:rsid w:val="0068116A"/>
    <w:rsid w:val="006823D9"/>
    <w:rsid w:val="0068241F"/>
    <w:rsid w:val="00683367"/>
    <w:rsid w:val="00683790"/>
    <w:rsid w:val="00683B8F"/>
    <w:rsid w:val="006841B1"/>
    <w:rsid w:val="0068436A"/>
    <w:rsid w:val="0068523F"/>
    <w:rsid w:val="006855A0"/>
    <w:rsid w:val="006861C4"/>
    <w:rsid w:val="00686C23"/>
    <w:rsid w:val="00687033"/>
    <w:rsid w:val="00687D28"/>
    <w:rsid w:val="00687EC6"/>
    <w:rsid w:val="00690AC8"/>
    <w:rsid w:val="00690CCF"/>
    <w:rsid w:val="00690E24"/>
    <w:rsid w:val="00690FAA"/>
    <w:rsid w:val="00691626"/>
    <w:rsid w:val="006936CD"/>
    <w:rsid w:val="0069391C"/>
    <w:rsid w:val="00693EA8"/>
    <w:rsid w:val="0069493D"/>
    <w:rsid w:val="00694C13"/>
    <w:rsid w:val="00694FF9"/>
    <w:rsid w:val="0069550C"/>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756"/>
    <w:rsid w:val="006A58A2"/>
    <w:rsid w:val="006A5A39"/>
    <w:rsid w:val="006A5C7F"/>
    <w:rsid w:val="006A6263"/>
    <w:rsid w:val="006A6484"/>
    <w:rsid w:val="006A652E"/>
    <w:rsid w:val="006A6D21"/>
    <w:rsid w:val="006A7E12"/>
    <w:rsid w:val="006A7E21"/>
    <w:rsid w:val="006A7EA3"/>
    <w:rsid w:val="006B022C"/>
    <w:rsid w:val="006B07D8"/>
    <w:rsid w:val="006B0CEB"/>
    <w:rsid w:val="006B13C1"/>
    <w:rsid w:val="006B1707"/>
    <w:rsid w:val="006B1AD5"/>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6119"/>
    <w:rsid w:val="006C75FA"/>
    <w:rsid w:val="006C7FAC"/>
    <w:rsid w:val="006D002D"/>
    <w:rsid w:val="006D0421"/>
    <w:rsid w:val="006D047B"/>
    <w:rsid w:val="006D089E"/>
    <w:rsid w:val="006D1D18"/>
    <w:rsid w:val="006D2594"/>
    <w:rsid w:val="006D2BD4"/>
    <w:rsid w:val="006D3530"/>
    <w:rsid w:val="006D407D"/>
    <w:rsid w:val="006D477F"/>
    <w:rsid w:val="006D47BC"/>
    <w:rsid w:val="006D4ACA"/>
    <w:rsid w:val="006D54E6"/>
    <w:rsid w:val="006D5843"/>
    <w:rsid w:val="006D5E63"/>
    <w:rsid w:val="006D6871"/>
    <w:rsid w:val="006D6CA2"/>
    <w:rsid w:val="006D71D3"/>
    <w:rsid w:val="006E1FB4"/>
    <w:rsid w:val="006E22C0"/>
    <w:rsid w:val="006E24D7"/>
    <w:rsid w:val="006E3415"/>
    <w:rsid w:val="006E3962"/>
    <w:rsid w:val="006E464C"/>
    <w:rsid w:val="006E4970"/>
    <w:rsid w:val="006E4A6B"/>
    <w:rsid w:val="006E4CCB"/>
    <w:rsid w:val="006E4CCC"/>
    <w:rsid w:val="006E516B"/>
    <w:rsid w:val="006E64FC"/>
    <w:rsid w:val="006E6536"/>
    <w:rsid w:val="006E78A4"/>
    <w:rsid w:val="006E7A04"/>
    <w:rsid w:val="006F02A6"/>
    <w:rsid w:val="006F0599"/>
    <w:rsid w:val="006F065D"/>
    <w:rsid w:val="006F0991"/>
    <w:rsid w:val="006F0C10"/>
    <w:rsid w:val="006F29B4"/>
    <w:rsid w:val="006F2CDD"/>
    <w:rsid w:val="006F6248"/>
    <w:rsid w:val="006F6D3E"/>
    <w:rsid w:val="006F6DDA"/>
    <w:rsid w:val="006F7041"/>
    <w:rsid w:val="006F7B92"/>
    <w:rsid w:val="0070068B"/>
    <w:rsid w:val="00700990"/>
    <w:rsid w:val="00700CF4"/>
    <w:rsid w:val="007016BE"/>
    <w:rsid w:val="00701C5F"/>
    <w:rsid w:val="007025A3"/>
    <w:rsid w:val="007030B9"/>
    <w:rsid w:val="00703181"/>
    <w:rsid w:val="007042E7"/>
    <w:rsid w:val="007044EC"/>
    <w:rsid w:val="00704571"/>
    <w:rsid w:val="007048F0"/>
    <w:rsid w:val="00705362"/>
    <w:rsid w:val="0070604E"/>
    <w:rsid w:val="0070718C"/>
    <w:rsid w:val="00710B56"/>
    <w:rsid w:val="00711526"/>
    <w:rsid w:val="0071165C"/>
    <w:rsid w:val="00711CAD"/>
    <w:rsid w:val="0071201B"/>
    <w:rsid w:val="0071356F"/>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6A5E"/>
    <w:rsid w:val="0072724E"/>
    <w:rsid w:val="00727381"/>
    <w:rsid w:val="00727924"/>
    <w:rsid w:val="00727F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0DD1"/>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9B7"/>
    <w:rsid w:val="00746A2F"/>
    <w:rsid w:val="007472EF"/>
    <w:rsid w:val="00747669"/>
    <w:rsid w:val="00750574"/>
    <w:rsid w:val="00751097"/>
    <w:rsid w:val="00751E1F"/>
    <w:rsid w:val="0075296E"/>
    <w:rsid w:val="00752F33"/>
    <w:rsid w:val="0075319C"/>
    <w:rsid w:val="007531A5"/>
    <w:rsid w:val="007535E3"/>
    <w:rsid w:val="0075377E"/>
    <w:rsid w:val="00753FCB"/>
    <w:rsid w:val="007542B1"/>
    <w:rsid w:val="007550FE"/>
    <w:rsid w:val="00755EE8"/>
    <w:rsid w:val="00756609"/>
    <w:rsid w:val="007566A7"/>
    <w:rsid w:val="00756AEF"/>
    <w:rsid w:val="00756E30"/>
    <w:rsid w:val="0075707E"/>
    <w:rsid w:val="00757941"/>
    <w:rsid w:val="007636C1"/>
    <w:rsid w:val="007639A5"/>
    <w:rsid w:val="00763EE9"/>
    <w:rsid w:val="00764375"/>
    <w:rsid w:val="007653BF"/>
    <w:rsid w:val="00765630"/>
    <w:rsid w:val="00765919"/>
    <w:rsid w:val="007661BB"/>
    <w:rsid w:val="0076653E"/>
    <w:rsid w:val="00766647"/>
    <w:rsid w:val="0076786D"/>
    <w:rsid w:val="00770E63"/>
    <w:rsid w:val="00773D6E"/>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873"/>
    <w:rsid w:val="007838E7"/>
    <w:rsid w:val="007847D1"/>
    <w:rsid w:val="00784924"/>
    <w:rsid w:val="00785B0C"/>
    <w:rsid w:val="00785D82"/>
    <w:rsid w:val="0078647B"/>
    <w:rsid w:val="00786ED4"/>
    <w:rsid w:val="0078716F"/>
    <w:rsid w:val="007873C8"/>
    <w:rsid w:val="0078793D"/>
    <w:rsid w:val="00790F50"/>
    <w:rsid w:val="00791374"/>
    <w:rsid w:val="00791B6F"/>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A68F8"/>
    <w:rsid w:val="007B01E7"/>
    <w:rsid w:val="007B0810"/>
    <w:rsid w:val="007B104F"/>
    <w:rsid w:val="007B13D2"/>
    <w:rsid w:val="007B1418"/>
    <w:rsid w:val="007B1C29"/>
    <w:rsid w:val="007B2177"/>
    <w:rsid w:val="007B2FF1"/>
    <w:rsid w:val="007B3B84"/>
    <w:rsid w:val="007B56E1"/>
    <w:rsid w:val="007B7BB1"/>
    <w:rsid w:val="007C0B47"/>
    <w:rsid w:val="007C1229"/>
    <w:rsid w:val="007C17AB"/>
    <w:rsid w:val="007C1DFF"/>
    <w:rsid w:val="007C1E1D"/>
    <w:rsid w:val="007C2145"/>
    <w:rsid w:val="007C2349"/>
    <w:rsid w:val="007C3567"/>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B04"/>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8C4"/>
    <w:rsid w:val="007E491C"/>
    <w:rsid w:val="007E495E"/>
    <w:rsid w:val="007E5FF3"/>
    <w:rsid w:val="007E65FE"/>
    <w:rsid w:val="007E6782"/>
    <w:rsid w:val="007E6B64"/>
    <w:rsid w:val="007E6F9A"/>
    <w:rsid w:val="007E7679"/>
    <w:rsid w:val="007E79F5"/>
    <w:rsid w:val="007E7AF0"/>
    <w:rsid w:val="007F02BF"/>
    <w:rsid w:val="007F0B70"/>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49A"/>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3337"/>
    <w:rsid w:val="00814892"/>
    <w:rsid w:val="00814D78"/>
    <w:rsid w:val="00815167"/>
    <w:rsid w:val="008151B0"/>
    <w:rsid w:val="008157BF"/>
    <w:rsid w:val="008161EB"/>
    <w:rsid w:val="008164EE"/>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810"/>
    <w:rsid w:val="00852A9A"/>
    <w:rsid w:val="008534FA"/>
    <w:rsid w:val="00853616"/>
    <w:rsid w:val="00853704"/>
    <w:rsid w:val="00853C23"/>
    <w:rsid w:val="00853EFD"/>
    <w:rsid w:val="0085413E"/>
    <w:rsid w:val="00854674"/>
    <w:rsid w:val="00854784"/>
    <w:rsid w:val="00854B1C"/>
    <w:rsid w:val="00854C8E"/>
    <w:rsid w:val="0085579E"/>
    <w:rsid w:val="0085729A"/>
    <w:rsid w:val="008575ED"/>
    <w:rsid w:val="00857F3D"/>
    <w:rsid w:val="00860F08"/>
    <w:rsid w:val="008612F5"/>
    <w:rsid w:val="00861F9D"/>
    <w:rsid w:val="0086218E"/>
    <w:rsid w:val="0086307F"/>
    <w:rsid w:val="008639AD"/>
    <w:rsid w:val="00863C1F"/>
    <w:rsid w:val="00870856"/>
    <w:rsid w:val="0087157B"/>
    <w:rsid w:val="00873845"/>
    <w:rsid w:val="00874FFD"/>
    <w:rsid w:val="00876522"/>
    <w:rsid w:val="00876AE3"/>
    <w:rsid w:val="008775DB"/>
    <w:rsid w:val="00877B07"/>
    <w:rsid w:val="00877B7A"/>
    <w:rsid w:val="008804D3"/>
    <w:rsid w:val="00880AE5"/>
    <w:rsid w:val="00880EFA"/>
    <w:rsid w:val="00881EBC"/>
    <w:rsid w:val="008828DF"/>
    <w:rsid w:val="00882E91"/>
    <w:rsid w:val="00882EA8"/>
    <w:rsid w:val="00883EE1"/>
    <w:rsid w:val="0088421A"/>
    <w:rsid w:val="00884A9E"/>
    <w:rsid w:val="00884ED2"/>
    <w:rsid w:val="00885317"/>
    <w:rsid w:val="008855FF"/>
    <w:rsid w:val="0088567D"/>
    <w:rsid w:val="00885D0E"/>
    <w:rsid w:val="008863EC"/>
    <w:rsid w:val="00886E91"/>
    <w:rsid w:val="008870CB"/>
    <w:rsid w:val="00887227"/>
    <w:rsid w:val="008900AA"/>
    <w:rsid w:val="00890427"/>
    <w:rsid w:val="0089096B"/>
    <w:rsid w:val="008918D1"/>
    <w:rsid w:val="008919D4"/>
    <w:rsid w:val="00892157"/>
    <w:rsid w:val="0089225A"/>
    <w:rsid w:val="00892565"/>
    <w:rsid w:val="00892AC0"/>
    <w:rsid w:val="008934FE"/>
    <w:rsid w:val="00893B5D"/>
    <w:rsid w:val="00893E2F"/>
    <w:rsid w:val="008944DB"/>
    <w:rsid w:val="0089594E"/>
    <w:rsid w:val="00896790"/>
    <w:rsid w:val="008968C4"/>
    <w:rsid w:val="00897463"/>
    <w:rsid w:val="0089753B"/>
    <w:rsid w:val="00897911"/>
    <w:rsid w:val="00897B11"/>
    <w:rsid w:val="008A03BE"/>
    <w:rsid w:val="008A1C8E"/>
    <w:rsid w:val="008A231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5DB3"/>
    <w:rsid w:val="008B64DC"/>
    <w:rsid w:val="008B6AFD"/>
    <w:rsid w:val="008B70D9"/>
    <w:rsid w:val="008B76D6"/>
    <w:rsid w:val="008B7A48"/>
    <w:rsid w:val="008C07A9"/>
    <w:rsid w:val="008C0A39"/>
    <w:rsid w:val="008C1814"/>
    <w:rsid w:val="008C3523"/>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119"/>
    <w:rsid w:val="008E2594"/>
    <w:rsid w:val="008E3455"/>
    <w:rsid w:val="008E3BFB"/>
    <w:rsid w:val="008E4946"/>
    <w:rsid w:val="008E50BD"/>
    <w:rsid w:val="008E5755"/>
    <w:rsid w:val="008E6356"/>
    <w:rsid w:val="008E6529"/>
    <w:rsid w:val="008E6C51"/>
    <w:rsid w:val="008E6F7A"/>
    <w:rsid w:val="008E7734"/>
    <w:rsid w:val="008F07ED"/>
    <w:rsid w:val="008F142D"/>
    <w:rsid w:val="008F1674"/>
    <w:rsid w:val="008F192D"/>
    <w:rsid w:val="008F208C"/>
    <w:rsid w:val="008F2699"/>
    <w:rsid w:val="008F3E39"/>
    <w:rsid w:val="008F3FE5"/>
    <w:rsid w:val="008F42D7"/>
    <w:rsid w:val="008F4382"/>
    <w:rsid w:val="008F4CE7"/>
    <w:rsid w:val="008F5536"/>
    <w:rsid w:val="008F614D"/>
    <w:rsid w:val="008F6537"/>
    <w:rsid w:val="00900590"/>
    <w:rsid w:val="00901459"/>
    <w:rsid w:val="00901C47"/>
    <w:rsid w:val="0090328B"/>
    <w:rsid w:val="009032E9"/>
    <w:rsid w:val="00903EFE"/>
    <w:rsid w:val="009040EB"/>
    <w:rsid w:val="0090437C"/>
    <w:rsid w:val="009044A6"/>
    <w:rsid w:val="009046CE"/>
    <w:rsid w:val="0090472D"/>
    <w:rsid w:val="0090518E"/>
    <w:rsid w:val="0090563D"/>
    <w:rsid w:val="00906AF0"/>
    <w:rsid w:val="00906EF4"/>
    <w:rsid w:val="00910287"/>
    <w:rsid w:val="00910AAA"/>
    <w:rsid w:val="00910D9D"/>
    <w:rsid w:val="00910F33"/>
    <w:rsid w:val="009111B4"/>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C45"/>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2C55"/>
    <w:rsid w:val="0094325C"/>
    <w:rsid w:val="0094535B"/>
    <w:rsid w:val="00945766"/>
    <w:rsid w:val="009457AC"/>
    <w:rsid w:val="00945B1E"/>
    <w:rsid w:val="0094609D"/>
    <w:rsid w:val="00946484"/>
    <w:rsid w:val="00946970"/>
    <w:rsid w:val="00946B28"/>
    <w:rsid w:val="00947447"/>
    <w:rsid w:val="009510F9"/>
    <w:rsid w:val="009516DD"/>
    <w:rsid w:val="00951B94"/>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6794E"/>
    <w:rsid w:val="0097179C"/>
    <w:rsid w:val="0097191C"/>
    <w:rsid w:val="0097198A"/>
    <w:rsid w:val="009734BF"/>
    <w:rsid w:val="009737F3"/>
    <w:rsid w:val="00973868"/>
    <w:rsid w:val="00973C3E"/>
    <w:rsid w:val="00974ACC"/>
    <w:rsid w:val="00974C49"/>
    <w:rsid w:val="00974EE4"/>
    <w:rsid w:val="009754CE"/>
    <w:rsid w:val="009756B6"/>
    <w:rsid w:val="00975EF7"/>
    <w:rsid w:val="009774BE"/>
    <w:rsid w:val="00977A70"/>
    <w:rsid w:val="00977DD3"/>
    <w:rsid w:val="00980140"/>
    <w:rsid w:val="009801D6"/>
    <w:rsid w:val="009802D1"/>
    <w:rsid w:val="0098050A"/>
    <w:rsid w:val="00980592"/>
    <w:rsid w:val="009806B0"/>
    <w:rsid w:val="009807B8"/>
    <w:rsid w:val="00981E56"/>
    <w:rsid w:val="00982142"/>
    <w:rsid w:val="00982639"/>
    <w:rsid w:val="00982EEA"/>
    <w:rsid w:val="00982F82"/>
    <w:rsid w:val="00983040"/>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3B21"/>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5C2A"/>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64D7"/>
    <w:rsid w:val="009C76A3"/>
    <w:rsid w:val="009C79E5"/>
    <w:rsid w:val="009C7A07"/>
    <w:rsid w:val="009C7ACB"/>
    <w:rsid w:val="009C7C85"/>
    <w:rsid w:val="009D03F6"/>
    <w:rsid w:val="009D140B"/>
    <w:rsid w:val="009D6353"/>
    <w:rsid w:val="009D6CF0"/>
    <w:rsid w:val="009D6E22"/>
    <w:rsid w:val="009D7050"/>
    <w:rsid w:val="009D7327"/>
    <w:rsid w:val="009D75A9"/>
    <w:rsid w:val="009D798C"/>
    <w:rsid w:val="009E0A40"/>
    <w:rsid w:val="009E153F"/>
    <w:rsid w:val="009E19AE"/>
    <w:rsid w:val="009E1E3F"/>
    <w:rsid w:val="009E1E60"/>
    <w:rsid w:val="009E1F86"/>
    <w:rsid w:val="009E216D"/>
    <w:rsid w:val="009E2D76"/>
    <w:rsid w:val="009E3112"/>
    <w:rsid w:val="009E34B7"/>
    <w:rsid w:val="009E434B"/>
    <w:rsid w:val="009E480B"/>
    <w:rsid w:val="009E4C2E"/>
    <w:rsid w:val="009E5BAE"/>
    <w:rsid w:val="009E5BF5"/>
    <w:rsid w:val="009E5D18"/>
    <w:rsid w:val="009E5F8E"/>
    <w:rsid w:val="009E65CA"/>
    <w:rsid w:val="009E699D"/>
    <w:rsid w:val="009F0F2A"/>
    <w:rsid w:val="009F1904"/>
    <w:rsid w:val="009F209E"/>
    <w:rsid w:val="009F2446"/>
    <w:rsid w:val="009F2450"/>
    <w:rsid w:val="009F2BF4"/>
    <w:rsid w:val="009F2C12"/>
    <w:rsid w:val="009F385D"/>
    <w:rsid w:val="009F4B7F"/>
    <w:rsid w:val="009F555E"/>
    <w:rsid w:val="009F5C78"/>
    <w:rsid w:val="009F64B5"/>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3E58"/>
    <w:rsid w:val="00A14331"/>
    <w:rsid w:val="00A145EB"/>
    <w:rsid w:val="00A14AB2"/>
    <w:rsid w:val="00A14AC9"/>
    <w:rsid w:val="00A16F76"/>
    <w:rsid w:val="00A171EF"/>
    <w:rsid w:val="00A175A7"/>
    <w:rsid w:val="00A17EE6"/>
    <w:rsid w:val="00A20573"/>
    <w:rsid w:val="00A207FA"/>
    <w:rsid w:val="00A20C94"/>
    <w:rsid w:val="00A2190E"/>
    <w:rsid w:val="00A21C4C"/>
    <w:rsid w:val="00A220B7"/>
    <w:rsid w:val="00A22649"/>
    <w:rsid w:val="00A227D6"/>
    <w:rsid w:val="00A227E7"/>
    <w:rsid w:val="00A22D55"/>
    <w:rsid w:val="00A22F6E"/>
    <w:rsid w:val="00A239DB"/>
    <w:rsid w:val="00A24008"/>
    <w:rsid w:val="00A24048"/>
    <w:rsid w:val="00A24078"/>
    <w:rsid w:val="00A2475E"/>
    <w:rsid w:val="00A24D83"/>
    <w:rsid w:val="00A258E0"/>
    <w:rsid w:val="00A25FCF"/>
    <w:rsid w:val="00A269B5"/>
    <w:rsid w:val="00A26A3F"/>
    <w:rsid w:val="00A2726D"/>
    <w:rsid w:val="00A30627"/>
    <w:rsid w:val="00A30B6C"/>
    <w:rsid w:val="00A30ECB"/>
    <w:rsid w:val="00A31D99"/>
    <w:rsid w:val="00A3244C"/>
    <w:rsid w:val="00A32E59"/>
    <w:rsid w:val="00A33017"/>
    <w:rsid w:val="00A333C1"/>
    <w:rsid w:val="00A33DF3"/>
    <w:rsid w:val="00A33E4D"/>
    <w:rsid w:val="00A346EE"/>
    <w:rsid w:val="00A347CD"/>
    <w:rsid w:val="00A34995"/>
    <w:rsid w:val="00A34C32"/>
    <w:rsid w:val="00A34DDE"/>
    <w:rsid w:val="00A34EAB"/>
    <w:rsid w:val="00A350EA"/>
    <w:rsid w:val="00A3594F"/>
    <w:rsid w:val="00A35D94"/>
    <w:rsid w:val="00A362F7"/>
    <w:rsid w:val="00A36940"/>
    <w:rsid w:val="00A36EBD"/>
    <w:rsid w:val="00A40F98"/>
    <w:rsid w:val="00A42AD8"/>
    <w:rsid w:val="00A43813"/>
    <w:rsid w:val="00A43D47"/>
    <w:rsid w:val="00A440A6"/>
    <w:rsid w:val="00A4433E"/>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6B52"/>
    <w:rsid w:val="00A66FFC"/>
    <w:rsid w:val="00A67886"/>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33A3"/>
    <w:rsid w:val="00A835E5"/>
    <w:rsid w:val="00A83768"/>
    <w:rsid w:val="00A84373"/>
    <w:rsid w:val="00A8456A"/>
    <w:rsid w:val="00A845ED"/>
    <w:rsid w:val="00A8562E"/>
    <w:rsid w:val="00A867C8"/>
    <w:rsid w:val="00A86F87"/>
    <w:rsid w:val="00A87161"/>
    <w:rsid w:val="00A874D6"/>
    <w:rsid w:val="00A87C01"/>
    <w:rsid w:val="00A902A7"/>
    <w:rsid w:val="00A90327"/>
    <w:rsid w:val="00A904AB"/>
    <w:rsid w:val="00A90DEF"/>
    <w:rsid w:val="00A91358"/>
    <w:rsid w:val="00A91FE5"/>
    <w:rsid w:val="00A93154"/>
    <w:rsid w:val="00A93214"/>
    <w:rsid w:val="00A93C27"/>
    <w:rsid w:val="00A93C2B"/>
    <w:rsid w:val="00A94289"/>
    <w:rsid w:val="00A94D8C"/>
    <w:rsid w:val="00A95CF3"/>
    <w:rsid w:val="00A96FC0"/>
    <w:rsid w:val="00A970AF"/>
    <w:rsid w:val="00A9734D"/>
    <w:rsid w:val="00A97BFA"/>
    <w:rsid w:val="00AA007C"/>
    <w:rsid w:val="00AA0B30"/>
    <w:rsid w:val="00AA25C9"/>
    <w:rsid w:val="00AA2673"/>
    <w:rsid w:val="00AA3726"/>
    <w:rsid w:val="00AA40AA"/>
    <w:rsid w:val="00AA4F09"/>
    <w:rsid w:val="00AA53BB"/>
    <w:rsid w:val="00AA7A72"/>
    <w:rsid w:val="00AA7D7D"/>
    <w:rsid w:val="00AA7DCE"/>
    <w:rsid w:val="00AA7F3F"/>
    <w:rsid w:val="00AA7F8C"/>
    <w:rsid w:val="00AA7FA5"/>
    <w:rsid w:val="00AB0725"/>
    <w:rsid w:val="00AB0807"/>
    <w:rsid w:val="00AB0FB2"/>
    <w:rsid w:val="00AB10E3"/>
    <w:rsid w:val="00AB18AB"/>
    <w:rsid w:val="00AB1FAD"/>
    <w:rsid w:val="00AB2AF8"/>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5CA"/>
    <w:rsid w:val="00AC4D66"/>
    <w:rsid w:val="00AC5C0E"/>
    <w:rsid w:val="00AC5FCE"/>
    <w:rsid w:val="00AC615E"/>
    <w:rsid w:val="00AC62B7"/>
    <w:rsid w:val="00AC6926"/>
    <w:rsid w:val="00AC6BDA"/>
    <w:rsid w:val="00AC6D06"/>
    <w:rsid w:val="00AC6E20"/>
    <w:rsid w:val="00AC7A38"/>
    <w:rsid w:val="00AC7FF7"/>
    <w:rsid w:val="00AD0404"/>
    <w:rsid w:val="00AD0797"/>
    <w:rsid w:val="00AD07F1"/>
    <w:rsid w:val="00AD20E0"/>
    <w:rsid w:val="00AD2BE1"/>
    <w:rsid w:val="00AD2CE5"/>
    <w:rsid w:val="00AD3C49"/>
    <w:rsid w:val="00AD3D21"/>
    <w:rsid w:val="00AD68F8"/>
    <w:rsid w:val="00AD692B"/>
    <w:rsid w:val="00AD6AA3"/>
    <w:rsid w:val="00AE0B68"/>
    <w:rsid w:val="00AE0CA2"/>
    <w:rsid w:val="00AE10CD"/>
    <w:rsid w:val="00AE11B5"/>
    <w:rsid w:val="00AE1499"/>
    <w:rsid w:val="00AE2B69"/>
    <w:rsid w:val="00AE2D0A"/>
    <w:rsid w:val="00AE3725"/>
    <w:rsid w:val="00AE448F"/>
    <w:rsid w:val="00AE4E58"/>
    <w:rsid w:val="00AE5139"/>
    <w:rsid w:val="00AE54FA"/>
    <w:rsid w:val="00AE5C8B"/>
    <w:rsid w:val="00AE65CA"/>
    <w:rsid w:val="00AE6800"/>
    <w:rsid w:val="00AE6CDA"/>
    <w:rsid w:val="00AE72FC"/>
    <w:rsid w:val="00AE751E"/>
    <w:rsid w:val="00AF0197"/>
    <w:rsid w:val="00AF16A0"/>
    <w:rsid w:val="00AF239F"/>
    <w:rsid w:val="00AF23AA"/>
    <w:rsid w:val="00AF23C2"/>
    <w:rsid w:val="00AF3040"/>
    <w:rsid w:val="00AF31DB"/>
    <w:rsid w:val="00AF39BC"/>
    <w:rsid w:val="00AF51E5"/>
    <w:rsid w:val="00AF52E7"/>
    <w:rsid w:val="00AF5D55"/>
    <w:rsid w:val="00AF605B"/>
    <w:rsid w:val="00AF741B"/>
    <w:rsid w:val="00AF7453"/>
    <w:rsid w:val="00AF7963"/>
    <w:rsid w:val="00AF7C3D"/>
    <w:rsid w:val="00AF7E72"/>
    <w:rsid w:val="00B0115C"/>
    <w:rsid w:val="00B019CB"/>
    <w:rsid w:val="00B01F83"/>
    <w:rsid w:val="00B0432F"/>
    <w:rsid w:val="00B043ED"/>
    <w:rsid w:val="00B054FF"/>
    <w:rsid w:val="00B05CB6"/>
    <w:rsid w:val="00B0633F"/>
    <w:rsid w:val="00B070A0"/>
    <w:rsid w:val="00B07CC0"/>
    <w:rsid w:val="00B07E41"/>
    <w:rsid w:val="00B102F5"/>
    <w:rsid w:val="00B103E9"/>
    <w:rsid w:val="00B110D8"/>
    <w:rsid w:val="00B11586"/>
    <w:rsid w:val="00B11E6D"/>
    <w:rsid w:val="00B11FA4"/>
    <w:rsid w:val="00B12242"/>
    <w:rsid w:val="00B1393B"/>
    <w:rsid w:val="00B140D2"/>
    <w:rsid w:val="00B1462C"/>
    <w:rsid w:val="00B14CD1"/>
    <w:rsid w:val="00B15491"/>
    <w:rsid w:val="00B1562F"/>
    <w:rsid w:val="00B15F8B"/>
    <w:rsid w:val="00B16D63"/>
    <w:rsid w:val="00B17629"/>
    <w:rsid w:val="00B20333"/>
    <w:rsid w:val="00B21D6E"/>
    <w:rsid w:val="00B22C39"/>
    <w:rsid w:val="00B22DE0"/>
    <w:rsid w:val="00B23D2D"/>
    <w:rsid w:val="00B249E1"/>
    <w:rsid w:val="00B24FEA"/>
    <w:rsid w:val="00B2540B"/>
    <w:rsid w:val="00B25B94"/>
    <w:rsid w:val="00B25BAF"/>
    <w:rsid w:val="00B25FE6"/>
    <w:rsid w:val="00B2603E"/>
    <w:rsid w:val="00B26397"/>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101"/>
    <w:rsid w:val="00B35631"/>
    <w:rsid w:val="00B3586B"/>
    <w:rsid w:val="00B3587C"/>
    <w:rsid w:val="00B35B04"/>
    <w:rsid w:val="00B36E10"/>
    <w:rsid w:val="00B36E89"/>
    <w:rsid w:val="00B37246"/>
    <w:rsid w:val="00B3733C"/>
    <w:rsid w:val="00B3775E"/>
    <w:rsid w:val="00B37810"/>
    <w:rsid w:val="00B37E95"/>
    <w:rsid w:val="00B410B3"/>
    <w:rsid w:val="00B4190C"/>
    <w:rsid w:val="00B41956"/>
    <w:rsid w:val="00B4274B"/>
    <w:rsid w:val="00B42A22"/>
    <w:rsid w:val="00B43F84"/>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3C4"/>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63F"/>
    <w:rsid w:val="00B729F1"/>
    <w:rsid w:val="00B7300C"/>
    <w:rsid w:val="00B73222"/>
    <w:rsid w:val="00B7411F"/>
    <w:rsid w:val="00B74D56"/>
    <w:rsid w:val="00B75CCA"/>
    <w:rsid w:val="00B768A7"/>
    <w:rsid w:val="00B76970"/>
    <w:rsid w:val="00B76F65"/>
    <w:rsid w:val="00B7738B"/>
    <w:rsid w:val="00B77809"/>
    <w:rsid w:val="00B77E9E"/>
    <w:rsid w:val="00B80406"/>
    <w:rsid w:val="00B804D5"/>
    <w:rsid w:val="00B8062C"/>
    <w:rsid w:val="00B80A5E"/>
    <w:rsid w:val="00B80F1F"/>
    <w:rsid w:val="00B813C8"/>
    <w:rsid w:val="00B8146F"/>
    <w:rsid w:val="00B8167D"/>
    <w:rsid w:val="00B82C49"/>
    <w:rsid w:val="00B82D90"/>
    <w:rsid w:val="00B82FB4"/>
    <w:rsid w:val="00B83B69"/>
    <w:rsid w:val="00B83DFC"/>
    <w:rsid w:val="00B86B7E"/>
    <w:rsid w:val="00B87DD5"/>
    <w:rsid w:val="00B90027"/>
    <w:rsid w:val="00B90F96"/>
    <w:rsid w:val="00B9219F"/>
    <w:rsid w:val="00B926CB"/>
    <w:rsid w:val="00B933B2"/>
    <w:rsid w:val="00B936CB"/>
    <w:rsid w:val="00B93CAF"/>
    <w:rsid w:val="00B941B6"/>
    <w:rsid w:val="00B94A06"/>
    <w:rsid w:val="00B952E7"/>
    <w:rsid w:val="00B95B2F"/>
    <w:rsid w:val="00B9719C"/>
    <w:rsid w:val="00B97356"/>
    <w:rsid w:val="00B97A6D"/>
    <w:rsid w:val="00B97C87"/>
    <w:rsid w:val="00BA0391"/>
    <w:rsid w:val="00BA060B"/>
    <w:rsid w:val="00BA0DCD"/>
    <w:rsid w:val="00BA1352"/>
    <w:rsid w:val="00BA2423"/>
    <w:rsid w:val="00BA34B1"/>
    <w:rsid w:val="00BA382E"/>
    <w:rsid w:val="00BA3830"/>
    <w:rsid w:val="00BA41E7"/>
    <w:rsid w:val="00BA42E0"/>
    <w:rsid w:val="00BA5792"/>
    <w:rsid w:val="00BA71FA"/>
    <w:rsid w:val="00BA7701"/>
    <w:rsid w:val="00BA7BAB"/>
    <w:rsid w:val="00BA7C02"/>
    <w:rsid w:val="00BA7C73"/>
    <w:rsid w:val="00BB00C3"/>
    <w:rsid w:val="00BB01F3"/>
    <w:rsid w:val="00BB0741"/>
    <w:rsid w:val="00BB0C45"/>
    <w:rsid w:val="00BB17AD"/>
    <w:rsid w:val="00BB292D"/>
    <w:rsid w:val="00BB300F"/>
    <w:rsid w:val="00BB369B"/>
    <w:rsid w:val="00BB3919"/>
    <w:rsid w:val="00BB3A56"/>
    <w:rsid w:val="00BB3E2E"/>
    <w:rsid w:val="00BB436A"/>
    <w:rsid w:val="00BB49CB"/>
    <w:rsid w:val="00BB4CAE"/>
    <w:rsid w:val="00BB67F1"/>
    <w:rsid w:val="00BB79C2"/>
    <w:rsid w:val="00BB7F0F"/>
    <w:rsid w:val="00BC0EC7"/>
    <w:rsid w:val="00BC1722"/>
    <w:rsid w:val="00BC194A"/>
    <w:rsid w:val="00BC2214"/>
    <w:rsid w:val="00BC2791"/>
    <w:rsid w:val="00BC2825"/>
    <w:rsid w:val="00BC2E96"/>
    <w:rsid w:val="00BC365F"/>
    <w:rsid w:val="00BC3D9C"/>
    <w:rsid w:val="00BC406F"/>
    <w:rsid w:val="00BC4C88"/>
    <w:rsid w:val="00BC59CA"/>
    <w:rsid w:val="00BC6970"/>
    <w:rsid w:val="00BC6D81"/>
    <w:rsid w:val="00BC6F87"/>
    <w:rsid w:val="00BC734E"/>
    <w:rsid w:val="00BC7713"/>
    <w:rsid w:val="00BC7C93"/>
    <w:rsid w:val="00BD0286"/>
    <w:rsid w:val="00BD09BD"/>
    <w:rsid w:val="00BD0A29"/>
    <w:rsid w:val="00BD1B3F"/>
    <w:rsid w:val="00BD33A9"/>
    <w:rsid w:val="00BD33BE"/>
    <w:rsid w:val="00BD3792"/>
    <w:rsid w:val="00BD3C72"/>
    <w:rsid w:val="00BD4E12"/>
    <w:rsid w:val="00BD5D4E"/>
    <w:rsid w:val="00BD5F59"/>
    <w:rsid w:val="00BD7902"/>
    <w:rsid w:val="00BD7991"/>
    <w:rsid w:val="00BE0BDD"/>
    <w:rsid w:val="00BE21E3"/>
    <w:rsid w:val="00BE2E8E"/>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3D"/>
    <w:rsid w:val="00BF3FF8"/>
    <w:rsid w:val="00BF457F"/>
    <w:rsid w:val="00BF4C53"/>
    <w:rsid w:val="00BF54DC"/>
    <w:rsid w:val="00BF5748"/>
    <w:rsid w:val="00BF5E67"/>
    <w:rsid w:val="00BF6270"/>
    <w:rsid w:val="00BF67B7"/>
    <w:rsid w:val="00BF770B"/>
    <w:rsid w:val="00C01510"/>
    <w:rsid w:val="00C01CEB"/>
    <w:rsid w:val="00C01F6E"/>
    <w:rsid w:val="00C03249"/>
    <w:rsid w:val="00C04BAE"/>
    <w:rsid w:val="00C05896"/>
    <w:rsid w:val="00C0599A"/>
    <w:rsid w:val="00C06748"/>
    <w:rsid w:val="00C073DA"/>
    <w:rsid w:val="00C07C15"/>
    <w:rsid w:val="00C10B9B"/>
    <w:rsid w:val="00C10C30"/>
    <w:rsid w:val="00C1104C"/>
    <w:rsid w:val="00C11467"/>
    <w:rsid w:val="00C11577"/>
    <w:rsid w:val="00C1166B"/>
    <w:rsid w:val="00C11DC5"/>
    <w:rsid w:val="00C11F13"/>
    <w:rsid w:val="00C11F39"/>
    <w:rsid w:val="00C11F55"/>
    <w:rsid w:val="00C12249"/>
    <w:rsid w:val="00C1250E"/>
    <w:rsid w:val="00C138E7"/>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A70"/>
    <w:rsid w:val="00C31F7F"/>
    <w:rsid w:val="00C32186"/>
    <w:rsid w:val="00C335AE"/>
    <w:rsid w:val="00C33E83"/>
    <w:rsid w:val="00C34DDC"/>
    <w:rsid w:val="00C34E1F"/>
    <w:rsid w:val="00C35C70"/>
    <w:rsid w:val="00C35E26"/>
    <w:rsid w:val="00C3626A"/>
    <w:rsid w:val="00C36684"/>
    <w:rsid w:val="00C36F0A"/>
    <w:rsid w:val="00C36F4F"/>
    <w:rsid w:val="00C372CB"/>
    <w:rsid w:val="00C3798E"/>
    <w:rsid w:val="00C379FA"/>
    <w:rsid w:val="00C4067A"/>
    <w:rsid w:val="00C41480"/>
    <w:rsid w:val="00C41516"/>
    <w:rsid w:val="00C44052"/>
    <w:rsid w:val="00C44368"/>
    <w:rsid w:val="00C44EC5"/>
    <w:rsid w:val="00C46111"/>
    <w:rsid w:val="00C46822"/>
    <w:rsid w:val="00C46CE5"/>
    <w:rsid w:val="00C47CFC"/>
    <w:rsid w:val="00C50260"/>
    <w:rsid w:val="00C51395"/>
    <w:rsid w:val="00C51553"/>
    <w:rsid w:val="00C518A5"/>
    <w:rsid w:val="00C51A60"/>
    <w:rsid w:val="00C52334"/>
    <w:rsid w:val="00C52C65"/>
    <w:rsid w:val="00C53110"/>
    <w:rsid w:val="00C53B12"/>
    <w:rsid w:val="00C53ED6"/>
    <w:rsid w:val="00C541B2"/>
    <w:rsid w:val="00C54928"/>
    <w:rsid w:val="00C54A44"/>
    <w:rsid w:val="00C54E2A"/>
    <w:rsid w:val="00C5661F"/>
    <w:rsid w:val="00C57085"/>
    <w:rsid w:val="00C575AF"/>
    <w:rsid w:val="00C576FC"/>
    <w:rsid w:val="00C60361"/>
    <w:rsid w:val="00C60738"/>
    <w:rsid w:val="00C608D7"/>
    <w:rsid w:val="00C60D9F"/>
    <w:rsid w:val="00C61D76"/>
    <w:rsid w:val="00C620BA"/>
    <w:rsid w:val="00C627C5"/>
    <w:rsid w:val="00C6395F"/>
    <w:rsid w:val="00C63C3D"/>
    <w:rsid w:val="00C644BF"/>
    <w:rsid w:val="00C64CC7"/>
    <w:rsid w:val="00C65163"/>
    <w:rsid w:val="00C65B6B"/>
    <w:rsid w:val="00C66492"/>
    <w:rsid w:val="00C664AB"/>
    <w:rsid w:val="00C66584"/>
    <w:rsid w:val="00C66705"/>
    <w:rsid w:val="00C67754"/>
    <w:rsid w:val="00C70254"/>
    <w:rsid w:val="00C703C0"/>
    <w:rsid w:val="00C706D1"/>
    <w:rsid w:val="00C70FAE"/>
    <w:rsid w:val="00C71284"/>
    <w:rsid w:val="00C71320"/>
    <w:rsid w:val="00C719C3"/>
    <w:rsid w:val="00C72DD5"/>
    <w:rsid w:val="00C733A6"/>
    <w:rsid w:val="00C7359E"/>
    <w:rsid w:val="00C737B0"/>
    <w:rsid w:val="00C73D39"/>
    <w:rsid w:val="00C7675A"/>
    <w:rsid w:val="00C76E9D"/>
    <w:rsid w:val="00C816DF"/>
    <w:rsid w:val="00C81EE9"/>
    <w:rsid w:val="00C820EE"/>
    <w:rsid w:val="00C84713"/>
    <w:rsid w:val="00C84758"/>
    <w:rsid w:val="00C853AB"/>
    <w:rsid w:val="00C85AF6"/>
    <w:rsid w:val="00C85F72"/>
    <w:rsid w:val="00C86896"/>
    <w:rsid w:val="00C876E1"/>
    <w:rsid w:val="00C90162"/>
    <w:rsid w:val="00C908A9"/>
    <w:rsid w:val="00C908BE"/>
    <w:rsid w:val="00C91507"/>
    <w:rsid w:val="00C93DBE"/>
    <w:rsid w:val="00C940C2"/>
    <w:rsid w:val="00C952E9"/>
    <w:rsid w:val="00C95AC8"/>
    <w:rsid w:val="00C9760B"/>
    <w:rsid w:val="00C976E0"/>
    <w:rsid w:val="00C9796B"/>
    <w:rsid w:val="00C97C19"/>
    <w:rsid w:val="00CA0174"/>
    <w:rsid w:val="00CA018B"/>
    <w:rsid w:val="00CA0C53"/>
    <w:rsid w:val="00CA1AE4"/>
    <w:rsid w:val="00CA1E0C"/>
    <w:rsid w:val="00CA1FA7"/>
    <w:rsid w:val="00CA20E3"/>
    <w:rsid w:val="00CA245C"/>
    <w:rsid w:val="00CA26EC"/>
    <w:rsid w:val="00CA3071"/>
    <w:rsid w:val="00CA423D"/>
    <w:rsid w:val="00CA4607"/>
    <w:rsid w:val="00CA5AF9"/>
    <w:rsid w:val="00CA5D0C"/>
    <w:rsid w:val="00CA5E13"/>
    <w:rsid w:val="00CA625D"/>
    <w:rsid w:val="00CA69FF"/>
    <w:rsid w:val="00CA6F73"/>
    <w:rsid w:val="00CA6FA3"/>
    <w:rsid w:val="00CA7A1F"/>
    <w:rsid w:val="00CA7DAF"/>
    <w:rsid w:val="00CB017E"/>
    <w:rsid w:val="00CB0226"/>
    <w:rsid w:val="00CB0717"/>
    <w:rsid w:val="00CB0A65"/>
    <w:rsid w:val="00CB1177"/>
    <w:rsid w:val="00CB143F"/>
    <w:rsid w:val="00CB1618"/>
    <w:rsid w:val="00CB1A88"/>
    <w:rsid w:val="00CB277F"/>
    <w:rsid w:val="00CB3318"/>
    <w:rsid w:val="00CB3628"/>
    <w:rsid w:val="00CB407C"/>
    <w:rsid w:val="00CB46B4"/>
    <w:rsid w:val="00CB4940"/>
    <w:rsid w:val="00CB4ED8"/>
    <w:rsid w:val="00CB55F7"/>
    <w:rsid w:val="00CB5D5B"/>
    <w:rsid w:val="00CB6E94"/>
    <w:rsid w:val="00CB7060"/>
    <w:rsid w:val="00CB77F2"/>
    <w:rsid w:val="00CB7DD6"/>
    <w:rsid w:val="00CC0438"/>
    <w:rsid w:val="00CC0563"/>
    <w:rsid w:val="00CC140D"/>
    <w:rsid w:val="00CC1E56"/>
    <w:rsid w:val="00CC201A"/>
    <w:rsid w:val="00CC2270"/>
    <w:rsid w:val="00CC3277"/>
    <w:rsid w:val="00CC385B"/>
    <w:rsid w:val="00CC4207"/>
    <w:rsid w:val="00CC48CB"/>
    <w:rsid w:val="00CC4998"/>
    <w:rsid w:val="00CC5222"/>
    <w:rsid w:val="00CC5775"/>
    <w:rsid w:val="00CC5819"/>
    <w:rsid w:val="00CC62C6"/>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0724"/>
    <w:rsid w:val="00CF15DD"/>
    <w:rsid w:val="00CF223D"/>
    <w:rsid w:val="00CF2824"/>
    <w:rsid w:val="00CF3357"/>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69A"/>
    <w:rsid w:val="00D01CC4"/>
    <w:rsid w:val="00D01E6B"/>
    <w:rsid w:val="00D0354D"/>
    <w:rsid w:val="00D04475"/>
    <w:rsid w:val="00D0497C"/>
    <w:rsid w:val="00D04EF3"/>
    <w:rsid w:val="00D04F45"/>
    <w:rsid w:val="00D04FAA"/>
    <w:rsid w:val="00D0548B"/>
    <w:rsid w:val="00D05AEE"/>
    <w:rsid w:val="00D05D6E"/>
    <w:rsid w:val="00D0648D"/>
    <w:rsid w:val="00D06D2C"/>
    <w:rsid w:val="00D06EB9"/>
    <w:rsid w:val="00D070AD"/>
    <w:rsid w:val="00D0753E"/>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0E5"/>
    <w:rsid w:val="00D35597"/>
    <w:rsid w:val="00D35689"/>
    <w:rsid w:val="00D365FA"/>
    <w:rsid w:val="00D3668D"/>
    <w:rsid w:val="00D37093"/>
    <w:rsid w:val="00D37286"/>
    <w:rsid w:val="00D37A34"/>
    <w:rsid w:val="00D40425"/>
    <w:rsid w:val="00D40BC3"/>
    <w:rsid w:val="00D40D6B"/>
    <w:rsid w:val="00D4129E"/>
    <w:rsid w:val="00D418A3"/>
    <w:rsid w:val="00D41AB6"/>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119"/>
    <w:rsid w:val="00D55425"/>
    <w:rsid w:val="00D5578A"/>
    <w:rsid w:val="00D5616C"/>
    <w:rsid w:val="00D56C00"/>
    <w:rsid w:val="00D57082"/>
    <w:rsid w:val="00D577BB"/>
    <w:rsid w:val="00D57B91"/>
    <w:rsid w:val="00D61CC5"/>
    <w:rsid w:val="00D62320"/>
    <w:rsid w:val="00D6248B"/>
    <w:rsid w:val="00D62B5D"/>
    <w:rsid w:val="00D63379"/>
    <w:rsid w:val="00D635B1"/>
    <w:rsid w:val="00D639C5"/>
    <w:rsid w:val="00D63DB5"/>
    <w:rsid w:val="00D63E14"/>
    <w:rsid w:val="00D64155"/>
    <w:rsid w:val="00D64BEA"/>
    <w:rsid w:val="00D65C02"/>
    <w:rsid w:val="00D661D2"/>
    <w:rsid w:val="00D66410"/>
    <w:rsid w:val="00D66550"/>
    <w:rsid w:val="00D66648"/>
    <w:rsid w:val="00D66FDA"/>
    <w:rsid w:val="00D67292"/>
    <w:rsid w:val="00D7037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7AD8"/>
    <w:rsid w:val="00D80605"/>
    <w:rsid w:val="00D80973"/>
    <w:rsid w:val="00D80BD8"/>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7B8"/>
    <w:rsid w:val="00D96B2B"/>
    <w:rsid w:val="00D96D46"/>
    <w:rsid w:val="00D97B72"/>
    <w:rsid w:val="00D97CF6"/>
    <w:rsid w:val="00DA0BBE"/>
    <w:rsid w:val="00DA11AE"/>
    <w:rsid w:val="00DA16E5"/>
    <w:rsid w:val="00DA1BE9"/>
    <w:rsid w:val="00DA1E6C"/>
    <w:rsid w:val="00DA2469"/>
    <w:rsid w:val="00DA283D"/>
    <w:rsid w:val="00DA3E12"/>
    <w:rsid w:val="00DA4141"/>
    <w:rsid w:val="00DA417B"/>
    <w:rsid w:val="00DA45BD"/>
    <w:rsid w:val="00DA52EB"/>
    <w:rsid w:val="00DA5CD6"/>
    <w:rsid w:val="00DA683F"/>
    <w:rsid w:val="00DA6868"/>
    <w:rsid w:val="00DB0312"/>
    <w:rsid w:val="00DB115A"/>
    <w:rsid w:val="00DB3213"/>
    <w:rsid w:val="00DB387C"/>
    <w:rsid w:val="00DB42F5"/>
    <w:rsid w:val="00DB43F8"/>
    <w:rsid w:val="00DB46DA"/>
    <w:rsid w:val="00DB5A7F"/>
    <w:rsid w:val="00DB640B"/>
    <w:rsid w:val="00DB656B"/>
    <w:rsid w:val="00DB6A23"/>
    <w:rsid w:val="00DB75BE"/>
    <w:rsid w:val="00DB7D6B"/>
    <w:rsid w:val="00DB7F19"/>
    <w:rsid w:val="00DC00C2"/>
    <w:rsid w:val="00DC01DD"/>
    <w:rsid w:val="00DC29D6"/>
    <w:rsid w:val="00DC430F"/>
    <w:rsid w:val="00DC43B0"/>
    <w:rsid w:val="00DC478C"/>
    <w:rsid w:val="00DC47BF"/>
    <w:rsid w:val="00DC4CEC"/>
    <w:rsid w:val="00DC5F0A"/>
    <w:rsid w:val="00DC6348"/>
    <w:rsid w:val="00DC6447"/>
    <w:rsid w:val="00DC6F43"/>
    <w:rsid w:val="00DD0C80"/>
    <w:rsid w:val="00DD2409"/>
    <w:rsid w:val="00DD2798"/>
    <w:rsid w:val="00DD2A6B"/>
    <w:rsid w:val="00DD2C10"/>
    <w:rsid w:val="00DD3946"/>
    <w:rsid w:val="00DD3A79"/>
    <w:rsid w:val="00DD4174"/>
    <w:rsid w:val="00DD418A"/>
    <w:rsid w:val="00DD452E"/>
    <w:rsid w:val="00DD4929"/>
    <w:rsid w:val="00DD60FC"/>
    <w:rsid w:val="00DD6998"/>
    <w:rsid w:val="00DD7C32"/>
    <w:rsid w:val="00DE00A7"/>
    <w:rsid w:val="00DE0A7D"/>
    <w:rsid w:val="00DE0B84"/>
    <w:rsid w:val="00DE0DC9"/>
    <w:rsid w:val="00DE12EF"/>
    <w:rsid w:val="00DE19AA"/>
    <w:rsid w:val="00DE367F"/>
    <w:rsid w:val="00DE3E2A"/>
    <w:rsid w:val="00DE5469"/>
    <w:rsid w:val="00DE5D28"/>
    <w:rsid w:val="00DE5D83"/>
    <w:rsid w:val="00DE7DBA"/>
    <w:rsid w:val="00DE7FB5"/>
    <w:rsid w:val="00DF0953"/>
    <w:rsid w:val="00DF1B20"/>
    <w:rsid w:val="00DF28B5"/>
    <w:rsid w:val="00DF354D"/>
    <w:rsid w:val="00DF3B05"/>
    <w:rsid w:val="00DF44BC"/>
    <w:rsid w:val="00DF46D2"/>
    <w:rsid w:val="00DF5209"/>
    <w:rsid w:val="00DF5300"/>
    <w:rsid w:val="00DF649D"/>
    <w:rsid w:val="00DF6701"/>
    <w:rsid w:val="00E00733"/>
    <w:rsid w:val="00E00948"/>
    <w:rsid w:val="00E00C13"/>
    <w:rsid w:val="00E00C41"/>
    <w:rsid w:val="00E00D38"/>
    <w:rsid w:val="00E01D40"/>
    <w:rsid w:val="00E024F6"/>
    <w:rsid w:val="00E0287E"/>
    <w:rsid w:val="00E02D84"/>
    <w:rsid w:val="00E037FD"/>
    <w:rsid w:val="00E04271"/>
    <w:rsid w:val="00E04D1B"/>
    <w:rsid w:val="00E053BA"/>
    <w:rsid w:val="00E0562D"/>
    <w:rsid w:val="00E05C05"/>
    <w:rsid w:val="00E06510"/>
    <w:rsid w:val="00E072B0"/>
    <w:rsid w:val="00E07C90"/>
    <w:rsid w:val="00E111E7"/>
    <w:rsid w:val="00E111F8"/>
    <w:rsid w:val="00E1153D"/>
    <w:rsid w:val="00E12041"/>
    <w:rsid w:val="00E12618"/>
    <w:rsid w:val="00E129DF"/>
    <w:rsid w:val="00E12B5D"/>
    <w:rsid w:val="00E13435"/>
    <w:rsid w:val="00E13F23"/>
    <w:rsid w:val="00E143D4"/>
    <w:rsid w:val="00E14773"/>
    <w:rsid w:val="00E1521D"/>
    <w:rsid w:val="00E154D2"/>
    <w:rsid w:val="00E155E5"/>
    <w:rsid w:val="00E16E19"/>
    <w:rsid w:val="00E1769F"/>
    <w:rsid w:val="00E17930"/>
    <w:rsid w:val="00E17F98"/>
    <w:rsid w:val="00E20164"/>
    <w:rsid w:val="00E20519"/>
    <w:rsid w:val="00E21AA6"/>
    <w:rsid w:val="00E223DC"/>
    <w:rsid w:val="00E2304B"/>
    <w:rsid w:val="00E2320D"/>
    <w:rsid w:val="00E23447"/>
    <w:rsid w:val="00E23F6C"/>
    <w:rsid w:val="00E23FBF"/>
    <w:rsid w:val="00E24A35"/>
    <w:rsid w:val="00E24B61"/>
    <w:rsid w:val="00E24E2E"/>
    <w:rsid w:val="00E25093"/>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4156"/>
    <w:rsid w:val="00E3511E"/>
    <w:rsid w:val="00E36CFD"/>
    <w:rsid w:val="00E36F8A"/>
    <w:rsid w:val="00E37A6A"/>
    <w:rsid w:val="00E37CC3"/>
    <w:rsid w:val="00E40479"/>
    <w:rsid w:val="00E40FB5"/>
    <w:rsid w:val="00E41884"/>
    <w:rsid w:val="00E4192C"/>
    <w:rsid w:val="00E41DF6"/>
    <w:rsid w:val="00E420CB"/>
    <w:rsid w:val="00E42C15"/>
    <w:rsid w:val="00E42FB9"/>
    <w:rsid w:val="00E451B6"/>
    <w:rsid w:val="00E454AD"/>
    <w:rsid w:val="00E4671A"/>
    <w:rsid w:val="00E474DE"/>
    <w:rsid w:val="00E47920"/>
    <w:rsid w:val="00E4794A"/>
    <w:rsid w:val="00E5019C"/>
    <w:rsid w:val="00E51311"/>
    <w:rsid w:val="00E51D11"/>
    <w:rsid w:val="00E52056"/>
    <w:rsid w:val="00E522E3"/>
    <w:rsid w:val="00E52841"/>
    <w:rsid w:val="00E52878"/>
    <w:rsid w:val="00E52FF6"/>
    <w:rsid w:val="00E530E1"/>
    <w:rsid w:val="00E532BD"/>
    <w:rsid w:val="00E53AA2"/>
    <w:rsid w:val="00E53CC2"/>
    <w:rsid w:val="00E53D9D"/>
    <w:rsid w:val="00E54446"/>
    <w:rsid w:val="00E54704"/>
    <w:rsid w:val="00E55DC8"/>
    <w:rsid w:val="00E567C7"/>
    <w:rsid w:val="00E56821"/>
    <w:rsid w:val="00E569DE"/>
    <w:rsid w:val="00E56F73"/>
    <w:rsid w:val="00E603AF"/>
    <w:rsid w:val="00E604FA"/>
    <w:rsid w:val="00E60FAB"/>
    <w:rsid w:val="00E61402"/>
    <w:rsid w:val="00E615BD"/>
    <w:rsid w:val="00E61F48"/>
    <w:rsid w:val="00E62A1B"/>
    <w:rsid w:val="00E62B98"/>
    <w:rsid w:val="00E62F16"/>
    <w:rsid w:val="00E631E5"/>
    <w:rsid w:val="00E6329E"/>
    <w:rsid w:val="00E6390E"/>
    <w:rsid w:val="00E65018"/>
    <w:rsid w:val="00E652FF"/>
    <w:rsid w:val="00E66EAB"/>
    <w:rsid w:val="00E67339"/>
    <w:rsid w:val="00E6734C"/>
    <w:rsid w:val="00E67560"/>
    <w:rsid w:val="00E67B4D"/>
    <w:rsid w:val="00E67B50"/>
    <w:rsid w:val="00E67EF0"/>
    <w:rsid w:val="00E705EE"/>
    <w:rsid w:val="00E70B72"/>
    <w:rsid w:val="00E70FDA"/>
    <w:rsid w:val="00E722A2"/>
    <w:rsid w:val="00E729B9"/>
    <w:rsid w:val="00E730FA"/>
    <w:rsid w:val="00E742E4"/>
    <w:rsid w:val="00E752A9"/>
    <w:rsid w:val="00E75529"/>
    <w:rsid w:val="00E75654"/>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3FF4"/>
    <w:rsid w:val="00E84272"/>
    <w:rsid w:val="00E843F7"/>
    <w:rsid w:val="00E846F7"/>
    <w:rsid w:val="00E84FD5"/>
    <w:rsid w:val="00E8551B"/>
    <w:rsid w:val="00E878A3"/>
    <w:rsid w:val="00E900A4"/>
    <w:rsid w:val="00E9041B"/>
    <w:rsid w:val="00E91398"/>
    <w:rsid w:val="00E9159F"/>
    <w:rsid w:val="00E91BF4"/>
    <w:rsid w:val="00E91E02"/>
    <w:rsid w:val="00E92398"/>
    <w:rsid w:val="00E923F5"/>
    <w:rsid w:val="00E92CBF"/>
    <w:rsid w:val="00E92E0A"/>
    <w:rsid w:val="00E9381C"/>
    <w:rsid w:val="00E93CFD"/>
    <w:rsid w:val="00E94584"/>
    <w:rsid w:val="00E95C26"/>
    <w:rsid w:val="00E95CEA"/>
    <w:rsid w:val="00E967F1"/>
    <w:rsid w:val="00E97FE2"/>
    <w:rsid w:val="00EA0393"/>
    <w:rsid w:val="00EA08E8"/>
    <w:rsid w:val="00EA0F7E"/>
    <w:rsid w:val="00EA12CE"/>
    <w:rsid w:val="00EA1903"/>
    <w:rsid w:val="00EA19A5"/>
    <w:rsid w:val="00EA1A5A"/>
    <w:rsid w:val="00EA1CAD"/>
    <w:rsid w:val="00EA2FC0"/>
    <w:rsid w:val="00EA306F"/>
    <w:rsid w:val="00EA3F5C"/>
    <w:rsid w:val="00EA4397"/>
    <w:rsid w:val="00EA499D"/>
    <w:rsid w:val="00EA4FFF"/>
    <w:rsid w:val="00EA54AD"/>
    <w:rsid w:val="00EA58A0"/>
    <w:rsid w:val="00EA5AE3"/>
    <w:rsid w:val="00EA5C8C"/>
    <w:rsid w:val="00EA5ECB"/>
    <w:rsid w:val="00EA622F"/>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191E"/>
    <w:rsid w:val="00EC23D8"/>
    <w:rsid w:val="00EC25BB"/>
    <w:rsid w:val="00EC3785"/>
    <w:rsid w:val="00EC3B2D"/>
    <w:rsid w:val="00EC3E5A"/>
    <w:rsid w:val="00EC458A"/>
    <w:rsid w:val="00EC4BBA"/>
    <w:rsid w:val="00EC51A1"/>
    <w:rsid w:val="00EC6178"/>
    <w:rsid w:val="00EC65DD"/>
    <w:rsid w:val="00EC6A56"/>
    <w:rsid w:val="00EC7166"/>
    <w:rsid w:val="00EC75D3"/>
    <w:rsid w:val="00EC7A66"/>
    <w:rsid w:val="00EC7E78"/>
    <w:rsid w:val="00ED0334"/>
    <w:rsid w:val="00ED06AD"/>
    <w:rsid w:val="00ED0BED"/>
    <w:rsid w:val="00ED1232"/>
    <w:rsid w:val="00ED198B"/>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29CE"/>
    <w:rsid w:val="00EE2D89"/>
    <w:rsid w:val="00EE395B"/>
    <w:rsid w:val="00EE433B"/>
    <w:rsid w:val="00EE46D0"/>
    <w:rsid w:val="00EE476D"/>
    <w:rsid w:val="00EE49A6"/>
    <w:rsid w:val="00EE4C73"/>
    <w:rsid w:val="00EE5C23"/>
    <w:rsid w:val="00EE67FE"/>
    <w:rsid w:val="00EE703E"/>
    <w:rsid w:val="00EE707E"/>
    <w:rsid w:val="00EE749C"/>
    <w:rsid w:val="00EE76F0"/>
    <w:rsid w:val="00EE7B1C"/>
    <w:rsid w:val="00EF02BD"/>
    <w:rsid w:val="00EF17B9"/>
    <w:rsid w:val="00EF1EB9"/>
    <w:rsid w:val="00EF274D"/>
    <w:rsid w:val="00EF2A0D"/>
    <w:rsid w:val="00EF2AF1"/>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D9B"/>
    <w:rsid w:val="00F04FE9"/>
    <w:rsid w:val="00F0588E"/>
    <w:rsid w:val="00F05AB5"/>
    <w:rsid w:val="00F05BC9"/>
    <w:rsid w:val="00F0608B"/>
    <w:rsid w:val="00F063BA"/>
    <w:rsid w:val="00F0659C"/>
    <w:rsid w:val="00F06776"/>
    <w:rsid w:val="00F06CDD"/>
    <w:rsid w:val="00F06D5D"/>
    <w:rsid w:val="00F11AA5"/>
    <w:rsid w:val="00F11E55"/>
    <w:rsid w:val="00F11FBD"/>
    <w:rsid w:val="00F128DE"/>
    <w:rsid w:val="00F12DF4"/>
    <w:rsid w:val="00F13400"/>
    <w:rsid w:val="00F13C00"/>
    <w:rsid w:val="00F1411B"/>
    <w:rsid w:val="00F149A9"/>
    <w:rsid w:val="00F14C07"/>
    <w:rsid w:val="00F14C0C"/>
    <w:rsid w:val="00F14CD6"/>
    <w:rsid w:val="00F154D7"/>
    <w:rsid w:val="00F1585C"/>
    <w:rsid w:val="00F15FFE"/>
    <w:rsid w:val="00F16901"/>
    <w:rsid w:val="00F17267"/>
    <w:rsid w:val="00F2210C"/>
    <w:rsid w:val="00F22A30"/>
    <w:rsid w:val="00F231FB"/>
    <w:rsid w:val="00F243C4"/>
    <w:rsid w:val="00F243FF"/>
    <w:rsid w:val="00F25199"/>
    <w:rsid w:val="00F254D8"/>
    <w:rsid w:val="00F25B07"/>
    <w:rsid w:val="00F26A46"/>
    <w:rsid w:val="00F26CDC"/>
    <w:rsid w:val="00F26F86"/>
    <w:rsid w:val="00F2780A"/>
    <w:rsid w:val="00F314EF"/>
    <w:rsid w:val="00F3167E"/>
    <w:rsid w:val="00F332B2"/>
    <w:rsid w:val="00F3341F"/>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1E3"/>
    <w:rsid w:val="00F43206"/>
    <w:rsid w:val="00F435B6"/>
    <w:rsid w:val="00F43849"/>
    <w:rsid w:val="00F4392C"/>
    <w:rsid w:val="00F442F6"/>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287D"/>
    <w:rsid w:val="00F52EBA"/>
    <w:rsid w:val="00F5325B"/>
    <w:rsid w:val="00F53AF0"/>
    <w:rsid w:val="00F54928"/>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5CBF"/>
    <w:rsid w:val="00F65D31"/>
    <w:rsid w:val="00F666A7"/>
    <w:rsid w:val="00F66A2E"/>
    <w:rsid w:val="00F67F09"/>
    <w:rsid w:val="00F706A0"/>
    <w:rsid w:val="00F709F5"/>
    <w:rsid w:val="00F717CC"/>
    <w:rsid w:val="00F72F11"/>
    <w:rsid w:val="00F72F51"/>
    <w:rsid w:val="00F73999"/>
    <w:rsid w:val="00F73AB3"/>
    <w:rsid w:val="00F73AB7"/>
    <w:rsid w:val="00F75051"/>
    <w:rsid w:val="00F7566A"/>
    <w:rsid w:val="00F76268"/>
    <w:rsid w:val="00F76CF3"/>
    <w:rsid w:val="00F76DA3"/>
    <w:rsid w:val="00F77BEE"/>
    <w:rsid w:val="00F805CA"/>
    <w:rsid w:val="00F807A4"/>
    <w:rsid w:val="00F809ED"/>
    <w:rsid w:val="00F80DD8"/>
    <w:rsid w:val="00F81914"/>
    <w:rsid w:val="00F81B7D"/>
    <w:rsid w:val="00F824D5"/>
    <w:rsid w:val="00F82628"/>
    <w:rsid w:val="00F82D8E"/>
    <w:rsid w:val="00F8321D"/>
    <w:rsid w:val="00F83461"/>
    <w:rsid w:val="00F83883"/>
    <w:rsid w:val="00F83F8C"/>
    <w:rsid w:val="00F8517B"/>
    <w:rsid w:val="00F853BE"/>
    <w:rsid w:val="00F87016"/>
    <w:rsid w:val="00F87B71"/>
    <w:rsid w:val="00F87EB0"/>
    <w:rsid w:val="00F9052C"/>
    <w:rsid w:val="00F9135D"/>
    <w:rsid w:val="00F91B71"/>
    <w:rsid w:val="00F91BA8"/>
    <w:rsid w:val="00F9260F"/>
    <w:rsid w:val="00F9308E"/>
    <w:rsid w:val="00F93541"/>
    <w:rsid w:val="00F94ADE"/>
    <w:rsid w:val="00F95BD6"/>
    <w:rsid w:val="00F95E64"/>
    <w:rsid w:val="00F960B8"/>
    <w:rsid w:val="00F9649D"/>
    <w:rsid w:val="00F96A46"/>
    <w:rsid w:val="00F96BB8"/>
    <w:rsid w:val="00F97647"/>
    <w:rsid w:val="00F97A19"/>
    <w:rsid w:val="00FA068B"/>
    <w:rsid w:val="00FA1926"/>
    <w:rsid w:val="00FA1B1B"/>
    <w:rsid w:val="00FA2534"/>
    <w:rsid w:val="00FA2BC2"/>
    <w:rsid w:val="00FA37EA"/>
    <w:rsid w:val="00FA381E"/>
    <w:rsid w:val="00FA52C8"/>
    <w:rsid w:val="00FA54B2"/>
    <w:rsid w:val="00FA5812"/>
    <w:rsid w:val="00FA59CD"/>
    <w:rsid w:val="00FA7990"/>
    <w:rsid w:val="00FA7A7E"/>
    <w:rsid w:val="00FB07FC"/>
    <w:rsid w:val="00FB1180"/>
    <w:rsid w:val="00FB15B5"/>
    <w:rsid w:val="00FB174F"/>
    <w:rsid w:val="00FB1FEB"/>
    <w:rsid w:val="00FB22AB"/>
    <w:rsid w:val="00FB295D"/>
    <w:rsid w:val="00FB4250"/>
    <w:rsid w:val="00FB5638"/>
    <w:rsid w:val="00FB59AB"/>
    <w:rsid w:val="00FB5A8D"/>
    <w:rsid w:val="00FB6627"/>
    <w:rsid w:val="00FB6721"/>
    <w:rsid w:val="00FB7318"/>
    <w:rsid w:val="00FB77DE"/>
    <w:rsid w:val="00FC0251"/>
    <w:rsid w:val="00FC094F"/>
    <w:rsid w:val="00FC1102"/>
    <w:rsid w:val="00FC16AD"/>
    <w:rsid w:val="00FC1F94"/>
    <w:rsid w:val="00FC2E23"/>
    <w:rsid w:val="00FC3136"/>
    <w:rsid w:val="00FC3241"/>
    <w:rsid w:val="00FC3BB3"/>
    <w:rsid w:val="00FC3ED9"/>
    <w:rsid w:val="00FC54D5"/>
    <w:rsid w:val="00FC563B"/>
    <w:rsid w:val="00FC664D"/>
    <w:rsid w:val="00FC737A"/>
    <w:rsid w:val="00FC7844"/>
    <w:rsid w:val="00FD0A8B"/>
    <w:rsid w:val="00FD1512"/>
    <w:rsid w:val="00FD1AB4"/>
    <w:rsid w:val="00FD1DDF"/>
    <w:rsid w:val="00FD1ED9"/>
    <w:rsid w:val="00FD2550"/>
    <w:rsid w:val="00FD28E8"/>
    <w:rsid w:val="00FD2994"/>
    <w:rsid w:val="00FD3355"/>
    <w:rsid w:val="00FD3CF7"/>
    <w:rsid w:val="00FD4DD3"/>
    <w:rsid w:val="00FD4FCC"/>
    <w:rsid w:val="00FD522F"/>
    <w:rsid w:val="00FD5A00"/>
    <w:rsid w:val="00FD5A9C"/>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9CF"/>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5F84"/>
    <w:rsid w:val="00FF6702"/>
    <w:rsid w:val="00FF6E74"/>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1409"/>
    <o:shapelayout v:ext="edit">
      <o:idmap v:ext="edit" data="1"/>
    </o:shapelayout>
  </w:shapeDefaults>
  <w:decimalSymbol w:val="."/>
  <w:listSeparator w:val=","/>
  <w14:docId w14:val="5957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Bullet point,List Paragraph1,List Paragraph11,Recommendation,Footnote,L,Bullet Point,Bulletr List Paragraph,Content descriptions,FooterText,List Bullet 1,List Paragraph2,List Paragraph21,Listeafsnit1,NFP GP Bulleted List"/>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Bullet point Char,List Paragraph1 Char,List Paragraph11 Char,Recommendation Char,Footnote Char,L Char,Bullet Point Char,Bulletr List Paragraph Char,Content descriptions Char,FooterText Char,List Bullet 1 Char"/>
    <w:link w:val="ListParagraph"/>
    <w:uiPriority w:val="34"/>
    <w:qFormat/>
    <w:rsid w:val="001E35D6"/>
    <w:rPr>
      <w:rFonts w:eastAsia="SimSun"/>
      <w:sz w:val="24"/>
      <w:szCs w:val="24"/>
    </w:rPr>
  </w:style>
  <w:style w:type="paragraph" w:styleId="NoSpacing">
    <w:name w:val="No Spacing"/>
    <w:uiPriority w:val="1"/>
    <w:qFormat/>
    <w:rsid w:val="006B1AD5"/>
    <w:pPr>
      <w:widowControl w:val="0"/>
      <w:jc w:val="both"/>
    </w:pPr>
    <w:rPr>
      <w:rFonts w:ascii="Arial" w:hAnsi="Arial" w:cs="Arial"/>
      <w:snapToGrid w:val="0"/>
      <w:sz w:val="22"/>
      <w:lang w:eastAsia="en-US"/>
    </w:rPr>
  </w:style>
  <w:style w:type="paragraph" w:customStyle="1" w:styleId="PBACHeading1">
    <w:name w:val="PBAC Heading 1"/>
    <w:qFormat/>
    <w:rsid w:val="005979BE"/>
    <w:pPr>
      <w:ind w:left="720" w:hanging="720"/>
    </w:pPr>
    <w:rPr>
      <w:rFonts w:ascii="Arial" w:hAnsi="Arial" w:cs="Arial"/>
      <w:b/>
      <w:snapToGrid w:val="0"/>
      <w:sz w:val="22"/>
      <w:szCs w:val="22"/>
      <w:lang w:eastAsia="en-US"/>
    </w:rPr>
  </w:style>
  <w:style w:type="paragraph" w:customStyle="1" w:styleId="Char1">
    <w:name w:val="Char"/>
    <w:basedOn w:val="Normal"/>
    <w:rsid w:val="004D1133"/>
    <w:pPr>
      <w:spacing w:after="160" w:line="240" w:lineRule="exact"/>
    </w:pPr>
    <w:rPr>
      <w:rFonts w:ascii="Verdana" w:eastAsia="MS Mincho" w:hAnsi="Verdana" w:cs="Verdana"/>
      <w:lang w:val="en-US" w:eastAsia="en-US"/>
    </w:rPr>
  </w:style>
  <w:style w:type="character" w:styleId="IntenseReference">
    <w:name w:val="Intense Reference"/>
    <w:basedOn w:val="DefaultParagraphFont"/>
    <w:uiPriority w:val="32"/>
    <w:qFormat/>
    <w:rsid w:val="003444EC"/>
    <w:rPr>
      <w:b/>
      <w:bCs/>
      <w:i/>
      <w:smallCaps/>
      <w:color w:val="C0504D" w:themeColor="accent2"/>
      <w:spacing w:val="5"/>
      <w:u w:val="none"/>
    </w:rPr>
  </w:style>
  <w:style w:type="paragraph" w:customStyle="1" w:styleId="Char2">
    <w:name w:val="Char"/>
    <w:basedOn w:val="Normal"/>
    <w:rsid w:val="00560B84"/>
    <w:pPr>
      <w:spacing w:after="160" w:line="240" w:lineRule="exact"/>
    </w:pPr>
    <w:rPr>
      <w:rFonts w:ascii="Verdana" w:eastAsia="MS Mincho" w:hAnsi="Verdana" w:cs="Verdana"/>
      <w:lang w:val="en-US" w:eastAsia="en-US"/>
    </w:rPr>
  </w:style>
  <w:style w:type="paragraph" w:customStyle="1" w:styleId="Char3">
    <w:name w:val="Char"/>
    <w:basedOn w:val="Normal"/>
    <w:rsid w:val="005E5270"/>
    <w:pPr>
      <w:spacing w:after="160" w:line="240" w:lineRule="exact"/>
    </w:pPr>
    <w:rPr>
      <w:rFonts w:ascii="Verdana" w:eastAsia="MS Mincho" w:hAnsi="Verdana" w:cs="Verdana"/>
      <w:lang w:val="en-US" w:eastAsia="en-US"/>
    </w:rPr>
  </w:style>
  <w:style w:type="character" w:customStyle="1" w:styleId="CommentTextChar">
    <w:name w:val="Comment Text Char"/>
    <w:basedOn w:val="DefaultParagraphFont"/>
    <w:link w:val="CommentText"/>
    <w:rsid w:val="00126104"/>
  </w:style>
  <w:style w:type="paragraph" w:customStyle="1" w:styleId="PBACheading10">
    <w:name w:val="PBAC heading 1"/>
    <w:qFormat/>
    <w:rsid w:val="008E4946"/>
    <w:pPr>
      <w:ind w:left="720" w:hanging="720"/>
      <w:outlineLvl w:val="0"/>
    </w:pPr>
    <w:rPr>
      <w:rFonts w:ascii="Arial" w:hAnsi="Arial" w:cs="Arial"/>
      <w:b/>
      <w:snapToGrid w:val="0"/>
      <w:sz w:val="22"/>
      <w:szCs w:val="22"/>
      <w:lang w:eastAsia="en-US"/>
    </w:rPr>
  </w:style>
  <w:style w:type="paragraph" w:styleId="Title">
    <w:name w:val="Title"/>
    <w:basedOn w:val="Normal"/>
    <w:next w:val="Normal"/>
    <w:link w:val="TitleChar"/>
    <w:qFormat/>
    <w:rsid w:val="0038152C"/>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38152C"/>
    <w:rPr>
      <w:rFonts w:ascii="Arial Bold" w:eastAsiaTheme="majorEastAsia" w:hAnsi="Arial Bold" w:cstheme="majorBidi"/>
      <w:b/>
      <w:spacing w:val="5"/>
      <w:kern w:val="28"/>
      <w:sz w:val="28"/>
      <w:szCs w:val="52"/>
    </w:rPr>
  </w:style>
  <w:style w:type="character" w:styleId="SubtleReference">
    <w:name w:val="Subtle Reference"/>
    <w:uiPriority w:val="31"/>
    <w:qFormat/>
    <w:rsid w:val="00FC3136"/>
    <w:rPr>
      <w:smallCaps/>
      <w:color w:val="C0504D"/>
      <w:u w:val="single"/>
    </w:rPr>
  </w:style>
  <w:style w:type="paragraph" w:customStyle="1" w:styleId="2Sections">
    <w:name w:val="2. Sections"/>
    <w:qFormat/>
    <w:rsid w:val="002D7B93"/>
    <w:pPr>
      <w:numPr>
        <w:numId w:val="5"/>
      </w:numPr>
      <w:spacing w:before="240" w:after="120"/>
      <w:outlineLvl w:val="0"/>
    </w:pPr>
    <w:rPr>
      <w:rFonts w:asciiTheme="minorHAnsi" w:hAnsiTheme="minorHAnsi" w:cs="Arial"/>
      <w:b/>
      <w:snapToGrid w:val="0"/>
      <w:sz w:val="32"/>
      <w:szCs w:val="32"/>
      <w:lang w:eastAsia="en-US"/>
    </w:rPr>
  </w:style>
  <w:style w:type="paragraph" w:customStyle="1" w:styleId="3Bodytext">
    <w:name w:val="3. Body text"/>
    <w:basedOn w:val="ListParagraph"/>
    <w:link w:val="3BodytextChar"/>
    <w:qFormat/>
    <w:rsid w:val="002D7B93"/>
    <w:pPr>
      <w:numPr>
        <w:ilvl w:val="1"/>
        <w:numId w:val="5"/>
      </w:numPr>
      <w:spacing w:after="120"/>
      <w:contextualSpacing w:val="0"/>
      <w:jc w:val="both"/>
    </w:pPr>
    <w:rPr>
      <w:rFonts w:asciiTheme="minorHAnsi" w:eastAsiaTheme="minorHAnsi" w:hAnsiTheme="minorHAnsi" w:cstheme="minorBidi"/>
      <w:szCs w:val="22"/>
      <w:lang w:eastAsia="en-US"/>
    </w:rPr>
  </w:style>
  <w:style w:type="character" w:customStyle="1" w:styleId="3BodytextChar">
    <w:name w:val="3. Body text Char"/>
    <w:basedOn w:val="DefaultParagraphFont"/>
    <w:link w:val="3Bodytext"/>
    <w:rsid w:val="002D7B93"/>
    <w:rPr>
      <w:rFonts w:asciiTheme="minorHAnsi" w:eastAsiaTheme="minorHAnsi" w:hAnsi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43409271">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5004496">
      <w:bodyDiv w:val="1"/>
      <w:marLeft w:val="0"/>
      <w:marRight w:val="0"/>
      <w:marTop w:val="0"/>
      <w:marBottom w:val="0"/>
      <w:divBdr>
        <w:top w:val="none" w:sz="0" w:space="0" w:color="auto"/>
        <w:left w:val="none" w:sz="0" w:space="0" w:color="auto"/>
        <w:bottom w:val="none" w:sz="0" w:space="0" w:color="auto"/>
        <w:right w:val="none" w:sz="0" w:space="0" w:color="auto"/>
      </w:divBdr>
    </w:div>
    <w:div w:id="93208933">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25859644">
      <w:bodyDiv w:val="1"/>
      <w:marLeft w:val="0"/>
      <w:marRight w:val="0"/>
      <w:marTop w:val="0"/>
      <w:marBottom w:val="0"/>
      <w:divBdr>
        <w:top w:val="none" w:sz="0" w:space="0" w:color="auto"/>
        <w:left w:val="none" w:sz="0" w:space="0" w:color="auto"/>
        <w:bottom w:val="none" w:sz="0" w:space="0" w:color="auto"/>
        <w:right w:val="none" w:sz="0" w:space="0" w:color="auto"/>
      </w:divBdr>
    </w:div>
    <w:div w:id="132605959">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18140">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0004595">
      <w:bodyDiv w:val="1"/>
      <w:marLeft w:val="0"/>
      <w:marRight w:val="0"/>
      <w:marTop w:val="0"/>
      <w:marBottom w:val="0"/>
      <w:divBdr>
        <w:top w:val="none" w:sz="0" w:space="0" w:color="auto"/>
        <w:left w:val="none" w:sz="0" w:space="0" w:color="auto"/>
        <w:bottom w:val="none" w:sz="0" w:space="0" w:color="auto"/>
        <w:right w:val="none" w:sz="0" w:space="0" w:color="auto"/>
      </w:divBdr>
    </w:div>
    <w:div w:id="162361240">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7956642">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46229665">
      <w:bodyDiv w:val="1"/>
      <w:marLeft w:val="0"/>
      <w:marRight w:val="0"/>
      <w:marTop w:val="0"/>
      <w:marBottom w:val="0"/>
      <w:divBdr>
        <w:top w:val="none" w:sz="0" w:space="0" w:color="auto"/>
        <w:left w:val="none" w:sz="0" w:space="0" w:color="auto"/>
        <w:bottom w:val="none" w:sz="0" w:space="0" w:color="auto"/>
        <w:right w:val="none" w:sz="0" w:space="0" w:color="auto"/>
      </w:divBdr>
    </w:div>
    <w:div w:id="247620026">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57295666">
      <w:bodyDiv w:val="1"/>
      <w:marLeft w:val="0"/>
      <w:marRight w:val="0"/>
      <w:marTop w:val="0"/>
      <w:marBottom w:val="0"/>
      <w:divBdr>
        <w:top w:val="none" w:sz="0" w:space="0" w:color="auto"/>
        <w:left w:val="none" w:sz="0" w:space="0" w:color="auto"/>
        <w:bottom w:val="none" w:sz="0" w:space="0" w:color="auto"/>
        <w:right w:val="none" w:sz="0" w:space="0" w:color="auto"/>
      </w:divBdr>
    </w:div>
    <w:div w:id="259025131">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2391815">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25279471">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57242632">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85970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3257375">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99128132">
      <w:bodyDiv w:val="1"/>
      <w:marLeft w:val="0"/>
      <w:marRight w:val="0"/>
      <w:marTop w:val="0"/>
      <w:marBottom w:val="0"/>
      <w:divBdr>
        <w:top w:val="none" w:sz="0" w:space="0" w:color="auto"/>
        <w:left w:val="none" w:sz="0" w:space="0" w:color="auto"/>
        <w:bottom w:val="none" w:sz="0" w:space="0" w:color="auto"/>
        <w:right w:val="none" w:sz="0" w:space="0" w:color="auto"/>
      </w:divBdr>
    </w:div>
    <w:div w:id="501548388">
      <w:bodyDiv w:val="1"/>
      <w:marLeft w:val="0"/>
      <w:marRight w:val="0"/>
      <w:marTop w:val="0"/>
      <w:marBottom w:val="0"/>
      <w:divBdr>
        <w:top w:val="none" w:sz="0" w:space="0" w:color="auto"/>
        <w:left w:val="none" w:sz="0" w:space="0" w:color="auto"/>
        <w:bottom w:val="none" w:sz="0" w:space="0" w:color="auto"/>
        <w:right w:val="none" w:sz="0" w:space="0" w:color="auto"/>
      </w:divBdr>
    </w:div>
    <w:div w:id="504444217">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06790295">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8831698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34262760">
      <w:bodyDiv w:val="1"/>
      <w:marLeft w:val="0"/>
      <w:marRight w:val="0"/>
      <w:marTop w:val="0"/>
      <w:marBottom w:val="0"/>
      <w:divBdr>
        <w:top w:val="none" w:sz="0" w:space="0" w:color="auto"/>
        <w:left w:val="none" w:sz="0" w:space="0" w:color="auto"/>
        <w:bottom w:val="none" w:sz="0" w:space="0" w:color="auto"/>
        <w:right w:val="none" w:sz="0" w:space="0" w:color="auto"/>
      </w:divBdr>
    </w:div>
    <w:div w:id="643698054">
      <w:bodyDiv w:val="1"/>
      <w:marLeft w:val="0"/>
      <w:marRight w:val="0"/>
      <w:marTop w:val="0"/>
      <w:marBottom w:val="0"/>
      <w:divBdr>
        <w:top w:val="none" w:sz="0" w:space="0" w:color="auto"/>
        <w:left w:val="none" w:sz="0" w:space="0" w:color="auto"/>
        <w:bottom w:val="none" w:sz="0" w:space="0" w:color="auto"/>
        <w:right w:val="none" w:sz="0" w:space="0" w:color="auto"/>
      </w:divBdr>
    </w:div>
    <w:div w:id="667833522">
      <w:bodyDiv w:val="1"/>
      <w:marLeft w:val="0"/>
      <w:marRight w:val="0"/>
      <w:marTop w:val="0"/>
      <w:marBottom w:val="0"/>
      <w:divBdr>
        <w:top w:val="none" w:sz="0" w:space="0" w:color="auto"/>
        <w:left w:val="none" w:sz="0" w:space="0" w:color="auto"/>
        <w:bottom w:val="none" w:sz="0" w:space="0" w:color="auto"/>
        <w:right w:val="none" w:sz="0" w:space="0" w:color="auto"/>
      </w:divBdr>
    </w:div>
    <w:div w:id="691692051">
      <w:bodyDiv w:val="1"/>
      <w:marLeft w:val="0"/>
      <w:marRight w:val="0"/>
      <w:marTop w:val="0"/>
      <w:marBottom w:val="0"/>
      <w:divBdr>
        <w:top w:val="none" w:sz="0" w:space="0" w:color="auto"/>
        <w:left w:val="none" w:sz="0" w:space="0" w:color="auto"/>
        <w:bottom w:val="none" w:sz="0" w:space="0" w:color="auto"/>
        <w:right w:val="none" w:sz="0" w:space="0" w:color="auto"/>
      </w:divBdr>
    </w:div>
    <w:div w:id="697971189">
      <w:bodyDiv w:val="1"/>
      <w:marLeft w:val="0"/>
      <w:marRight w:val="0"/>
      <w:marTop w:val="0"/>
      <w:marBottom w:val="0"/>
      <w:divBdr>
        <w:top w:val="none" w:sz="0" w:space="0" w:color="auto"/>
        <w:left w:val="none" w:sz="0" w:space="0" w:color="auto"/>
        <w:bottom w:val="none" w:sz="0" w:space="0" w:color="auto"/>
        <w:right w:val="none" w:sz="0" w:space="0" w:color="auto"/>
      </w:divBdr>
    </w:div>
    <w:div w:id="710349672">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254370">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43987564">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2889891">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05123431">
      <w:bodyDiv w:val="1"/>
      <w:marLeft w:val="0"/>
      <w:marRight w:val="0"/>
      <w:marTop w:val="0"/>
      <w:marBottom w:val="0"/>
      <w:divBdr>
        <w:top w:val="none" w:sz="0" w:space="0" w:color="auto"/>
        <w:left w:val="none" w:sz="0" w:space="0" w:color="auto"/>
        <w:bottom w:val="none" w:sz="0" w:space="0" w:color="auto"/>
        <w:right w:val="none" w:sz="0" w:space="0" w:color="auto"/>
      </w:divBdr>
    </w:div>
    <w:div w:id="821771237">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8064460">
      <w:bodyDiv w:val="1"/>
      <w:marLeft w:val="0"/>
      <w:marRight w:val="0"/>
      <w:marTop w:val="0"/>
      <w:marBottom w:val="0"/>
      <w:divBdr>
        <w:top w:val="none" w:sz="0" w:space="0" w:color="auto"/>
        <w:left w:val="none" w:sz="0" w:space="0" w:color="auto"/>
        <w:bottom w:val="none" w:sz="0" w:space="0" w:color="auto"/>
        <w:right w:val="none" w:sz="0" w:space="0" w:color="auto"/>
      </w:divBdr>
    </w:div>
    <w:div w:id="850024149">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4996191">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538">
      <w:bodyDiv w:val="1"/>
      <w:marLeft w:val="0"/>
      <w:marRight w:val="0"/>
      <w:marTop w:val="0"/>
      <w:marBottom w:val="0"/>
      <w:divBdr>
        <w:top w:val="none" w:sz="0" w:space="0" w:color="auto"/>
        <w:left w:val="none" w:sz="0" w:space="0" w:color="auto"/>
        <w:bottom w:val="none" w:sz="0" w:space="0" w:color="auto"/>
        <w:right w:val="none" w:sz="0" w:space="0" w:color="auto"/>
      </w:divBdr>
    </w:div>
    <w:div w:id="923730877">
      <w:bodyDiv w:val="1"/>
      <w:marLeft w:val="0"/>
      <w:marRight w:val="0"/>
      <w:marTop w:val="0"/>
      <w:marBottom w:val="0"/>
      <w:divBdr>
        <w:top w:val="none" w:sz="0" w:space="0" w:color="auto"/>
        <w:left w:val="none" w:sz="0" w:space="0" w:color="auto"/>
        <w:bottom w:val="none" w:sz="0" w:space="0" w:color="auto"/>
        <w:right w:val="none" w:sz="0" w:space="0" w:color="auto"/>
      </w:divBdr>
    </w:div>
    <w:div w:id="934703663">
      <w:bodyDiv w:val="1"/>
      <w:marLeft w:val="0"/>
      <w:marRight w:val="0"/>
      <w:marTop w:val="0"/>
      <w:marBottom w:val="0"/>
      <w:divBdr>
        <w:top w:val="none" w:sz="0" w:space="0" w:color="auto"/>
        <w:left w:val="none" w:sz="0" w:space="0" w:color="auto"/>
        <w:bottom w:val="none" w:sz="0" w:space="0" w:color="auto"/>
        <w:right w:val="none" w:sz="0" w:space="0" w:color="auto"/>
      </w:divBdr>
    </w:div>
    <w:div w:id="941450068">
      <w:bodyDiv w:val="1"/>
      <w:marLeft w:val="0"/>
      <w:marRight w:val="0"/>
      <w:marTop w:val="0"/>
      <w:marBottom w:val="0"/>
      <w:divBdr>
        <w:top w:val="none" w:sz="0" w:space="0" w:color="auto"/>
        <w:left w:val="none" w:sz="0" w:space="0" w:color="auto"/>
        <w:bottom w:val="none" w:sz="0" w:space="0" w:color="auto"/>
        <w:right w:val="none" w:sz="0" w:space="0" w:color="auto"/>
      </w:divBdr>
    </w:div>
    <w:div w:id="942305817">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8413866">
      <w:bodyDiv w:val="1"/>
      <w:marLeft w:val="0"/>
      <w:marRight w:val="0"/>
      <w:marTop w:val="0"/>
      <w:marBottom w:val="0"/>
      <w:divBdr>
        <w:top w:val="none" w:sz="0" w:space="0" w:color="auto"/>
        <w:left w:val="none" w:sz="0" w:space="0" w:color="auto"/>
        <w:bottom w:val="none" w:sz="0" w:space="0" w:color="auto"/>
        <w:right w:val="none" w:sz="0" w:space="0" w:color="auto"/>
      </w:divBdr>
    </w:div>
    <w:div w:id="971132700">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4701626">
      <w:bodyDiv w:val="1"/>
      <w:marLeft w:val="0"/>
      <w:marRight w:val="0"/>
      <w:marTop w:val="0"/>
      <w:marBottom w:val="0"/>
      <w:divBdr>
        <w:top w:val="none" w:sz="0" w:space="0" w:color="auto"/>
        <w:left w:val="none" w:sz="0" w:space="0" w:color="auto"/>
        <w:bottom w:val="none" w:sz="0" w:space="0" w:color="auto"/>
        <w:right w:val="none" w:sz="0" w:space="0" w:color="auto"/>
      </w:divBdr>
    </w:div>
    <w:div w:id="986057905">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10569335">
      <w:bodyDiv w:val="1"/>
      <w:marLeft w:val="0"/>
      <w:marRight w:val="0"/>
      <w:marTop w:val="0"/>
      <w:marBottom w:val="0"/>
      <w:divBdr>
        <w:top w:val="none" w:sz="0" w:space="0" w:color="auto"/>
        <w:left w:val="none" w:sz="0" w:space="0" w:color="auto"/>
        <w:bottom w:val="none" w:sz="0" w:space="0" w:color="auto"/>
        <w:right w:val="none" w:sz="0" w:space="0" w:color="auto"/>
      </w:divBdr>
    </w:div>
    <w:div w:id="1016032608">
      <w:bodyDiv w:val="1"/>
      <w:marLeft w:val="0"/>
      <w:marRight w:val="0"/>
      <w:marTop w:val="0"/>
      <w:marBottom w:val="0"/>
      <w:divBdr>
        <w:top w:val="none" w:sz="0" w:space="0" w:color="auto"/>
        <w:left w:val="none" w:sz="0" w:space="0" w:color="auto"/>
        <w:bottom w:val="none" w:sz="0" w:space="0" w:color="auto"/>
        <w:right w:val="none" w:sz="0" w:space="0" w:color="auto"/>
      </w:divBdr>
    </w:div>
    <w:div w:id="1016730282">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1617425">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4643308">
      <w:bodyDiv w:val="1"/>
      <w:marLeft w:val="0"/>
      <w:marRight w:val="0"/>
      <w:marTop w:val="0"/>
      <w:marBottom w:val="0"/>
      <w:divBdr>
        <w:top w:val="none" w:sz="0" w:space="0" w:color="auto"/>
        <w:left w:val="none" w:sz="0" w:space="0" w:color="auto"/>
        <w:bottom w:val="none" w:sz="0" w:space="0" w:color="auto"/>
        <w:right w:val="none" w:sz="0" w:space="0" w:color="auto"/>
      </w:divBdr>
    </w:div>
    <w:div w:id="1070689160">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5926963">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8156967">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8954947">
      <w:bodyDiv w:val="1"/>
      <w:marLeft w:val="0"/>
      <w:marRight w:val="0"/>
      <w:marTop w:val="0"/>
      <w:marBottom w:val="0"/>
      <w:divBdr>
        <w:top w:val="none" w:sz="0" w:space="0" w:color="auto"/>
        <w:left w:val="none" w:sz="0" w:space="0" w:color="auto"/>
        <w:bottom w:val="none" w:sz="0" w:space="0" w:color="auto"/>
        <w:right w:val="none" w:sz="0" w:space="0" w:color="auto"/>
      </w:divBdr>
    </w:div>
    <w:div w:id="1211915939">
      <w:bodyDiv w:val="1"/>
      <w:marLeft w:val="0"/>
      <w:marRight w:val="0"/>
      <w:marTop w:val="0"/>
      <w:marBottom w:val="0"/>
      <w:divBdr>
        <w:top w:val="none" w:sz="0" w:space="0" w:color="auto"/>
        <w:left w:val="none" w:sz="0" w:space="0" w:color="auto"/>
        <w:bottom w:val="none" w:sz="0" w:space="0" w:color="auto"/>
        <w:right w:val="none" w:sz="0" w:space="0" w:color="auto"/>
      </w:divBdr>
    </w:div>
    <w:div w:id="1216546497">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5483749">
      <w:bodyDiv w:val="1"/>
      <w:marLeft w:val="0"/>
      <w:marRight w:val="0"/>
      <w:marTop w:val="0"/>
      <w:marBottom w:val="0"/>
      <w:divBdr>
        <w:top w:val="none" w:sz="0" w:space="0" w:color="auto"/>
        <w:left w:val="none" w:sz="0" w:space="0" w:color="auto"/>
        <w:bottom w:val="none" w:sz="0" w:space="0" w:color="auto"/>
        <w:right w:val="none" w:sz="0" w:space="0" w:color="auto"/>
      </w:divBdr>
    </w:div>
    <w:div w:id="1225873820">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5110703">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1286143">
      <w:bodyDiv w:val="1"/>
      <w:marLeft w:val="0"/>
      <w:marRight w:val="0"/>
      <w:marTop w:val="0"/>
      <w:marBottom w:val="0"/>
      <w:divBdr>
        <w:top w:val="none" w:sz="0" w:space="0" w:color="auto"/>
        <w:left w:val="none" w:sz="0" w:space="0" w:color="auto"/>
        <w:bottom w:val="none" w:sz="0" w:space="0" w:color="auto"/>
        <w:right w:val="none" w:sz="0" w:space="0" w:color="auto"/>
      </w:divBdr>
    </w:div>
    <w:div w:id="1325471325">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29559502">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6172608">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8476182">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565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2097094">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6630646">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95684408">
      <w:bodyDiv w:val="1"/>
      <w:marLeft w:val="0"/>
      <w:marRight w:val="0"/>
      <w:marTop w:val="0"/>
      <w:marBottom w:val="0"/>
      <w:divBdr>
        <w:top w:val="none" w:sz="0" w:space="0" w:color="auto"/>
        <w:left w:val="none" w:sz="0" w:space="0" w:color="auto"/>
        <w:bottom w:val="none" w:sz="0" w:space="0" w:color="auto"/>
        <w:right w:val="none" w:sz="0" w:space="0" w:color="auto"/>
      </w:divBdr>
    </w:div>
    <w:div w:id="1496411187">
      <w:bodyDiv w:val="1"/>
      <w:marLeft w:val="0"/>
      <w:marRight w:val="0"/>
      <w:marTop w:val="0"/>
      <w:marBottom w:val="0"/>
      <w:divBdr>
        <w:top w:val="none" w:sz="0" w:space="0" w:color="auto"/>
        <w:left w:val="none" w:sz="0" w:space="0" w:color="auto"/>
        <w:bottom w:val="none" w:sz="0" w:space="0" w:color="auto"/>
        <w:right w:val="none" w:sz="0" w:space="0" w:color="auto"/>
      </w:divBdr>
    </w:div>
    <w:div w:id="1506478884">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47254117">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5216769">
      <w:bodyDiv w:val="1"/>
      <w:marLeft w:val="0"/>
      <w:marRight w:val="0"/>
      <w:marTop w:val="0"/>
      <w:marBottom w:val="0"/>
      <w:divBdr>
        <w:top w:val="none" w:sz="0" w:space="0" w:color="auto"/>
        <w:left w:val="none" w:sz="0" w:space="0" w:color="auto"/>
        <w:bottom w:val="none" w:sz="0" w:space="0" w:color="auto"/>
        <w:right w:val="none" w:sz="0" w:space="0" w:color="auto"/>
      </w:divBdr>
    </w:div>
    <w:div w:id="158611496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54484488">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3265219">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6563735">
      <w:bodyDiv w:val="1"/>
      <w:marLeft w:val="0"/>
      <w:marRight w:val="0"/>
      <w:marTop w:val="0"/>
      <w:marBottom w:val="0"/>
      <w:divBdr>
        <w:top w:val="none" w:sz="0" w:space="0" w:color="auto"/>
        <w:left w:val="none" w:sz="0" w:space="0" w:color="auto"/>
        <w:bottom w:val="none" w:sz="0" w:space="0" w:color="auto"/>
        <w:right w:val="none" w:sz="0" w:space="0" w:color="auto"/>
      </w:divBdr>
    </w:div>
    <w:div w:id="1724602571">
      <w:bodyDiv w:val="1"/>
      <w:marLeft w:val="0"/>
      <w:marRight w:val="0"/>
      <w:marTop w:val="0"/>
      <w:marBottom w:val="0"/>
      <w:divBdr>
        <w:top w:val="none" w:sz="0" w:space="0" w:color="auto"/>
        <w:left w:val="none" w:sz="0" w:space="0" w:color="auto"/>
        <w:bottom w:val="none" w:sz="0" w:space="0" w:color="auto"/>
        <w:right w:val="none" w:sz="0" w:space="0" w:color="auto"/>
      </w:divBdr>
    </w:div>
    <w:div w:id="1730614725">
      <w:bodyDiv w:val="1"/>
      <w:marLeft w:val="0"/>
      <w:marRight w:val="0"/>
      <w:marTop w:val="0"/>
      <w:marBottom w:val="0"/>
      <w:divBdr>
        <w:top w:val="none" w:sz="0" w:space="0" w:color="auto"/>
        <w:left w:val="none" w:sz="0" w:space="0" w:color="auto"/>
        <w:bottom w:val="none" w:sz="0" w:space="0" w:color="auto"/>
        <w:right w:val="none" w:sz="0" w:space="0" w:color="auto"/>
      </w:divBdr>
    </w:div>
    <w:div w:id="1757045765">
      <w:bodyDiv w:val="1"/>
      <w:marLeft w:val="0"/>
      <w:marRight w:val="0"/>
      <w:marTop w:val="0"/>
      <w:marBottom w:val="0"/>
      <w:divBdr>
        <w:top w:val="none" w:sz="0" w:space="0" w:color="auto"/>
        <w:left w:val="none" w:sz="0" w:space="0" w:color="auto"/>
        <w:bottom w:val="none" w:sz="0" w:space="0" w:color="auto"/>
        <w:right w:val="none" w:sz="0" w:space="0" w:color="auto"/>
      </w:divBdr>
    </w:div>
    <w:div w:id="1769544211">
      <w:bodyDiv w:val="1"/>
      <w:marLeft w:val="0"/>
      <w:marRight w:val="0"/>
      <w:marTop w:val="0"/>
      <w:marBottom w:val="0"/>
      <w:divBdr>
        <w:top w:val="none" w:sz="0" w:space="0" w:color="auto"/>
        <w:left w:val="none" w:sz="0" w:space="0" w:color="auto"/>
        <w:bottom w:val="none" w:sz="0" w:space="0" w:color="auto"/>
        <w:right w:val="none" w:sz="0" w:space="0" w:color="auto"/>
      </w:divBdr>
    </w:div>
    <w:div w:id="1776049131">
      <w:bodyDiv w:val="1"/>
      <w:marLeft w:val="0"/>
      <w:marRight w:val="0"/>
      <w:marTop w:val="0"/>
      <w:marBottom w:val="0"/>
      <w:divBdr>
        <w:top w:val="none" w:sz="0" w:space="0" w:color="auto"/>
        <w:left w:val="none" w:sz="0" w:space="0" w:color="auto"/>
        <w:bottom w:val="none" w:sz="0" w:space="0" w:color="auto"/>
        <w:right w:val="none" w:sz="0" w:space="0" w:color="auto"/>
      </w:divBdr>
    </w:div>
    <w:div w:id="1784374171">
      <w:bodyDiv w:val="1"/>
      <w:marLeft w:val="0"/>
      <w:marRight w:val="0"/>
      <w:marTop w:val="0"/>
      <w:marBottom w:val="0"/>
      <w:divBdr>
        <w:top w:val="none" w:sz="0" w:space="0" w:color="auto"/>
        <w:left w:val="none" w:sz="0" w:space="0" w:color="auto"/>
        <w:bottom w:val="none" w:sz="0" w:space="0" w:color="auto"/>
        <w:right w:val="none" w:sz="0" w:space="0" w:color="auto"/>
      </w:divBdr>
    </w:div>
    <w:div w:id="1787769551">
      <w:bodyDiv w:val="1"/>
      <w:marLeft w:val="0"/>
      <w:marRight w:val="0"/>
      <w:marTop w:val="0"/>
      <w:marBottom w:val="0"/>
      <w:divBdr>
        <w:top w:val="none" w:sz="0" w:space="0" w:color="auto"/>
        <w:left w:val="none" w:sz="0" w:space="0" w:color="auto"/>
        <w:bottom w:val="none" w:sz="0" w:space="0" w:color="auto"/>
        <w:right w:val="none" w:sz="0" w:space="0" w:color="auto"/>
      </w:divBdr>
    </w:div>
    <w:div w:id="1789010822">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27234522">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549307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9365246">
      <w:bodyDiv w:val="1"/>
      <w:marLeft w:val="0"/>
      <w:marRight w:val="0"/>
      <w:marTop w:val="0"/>
      <w:marBottom w:val="0"/>
      <w:divBdr>
        <w:top w:val="none" w:sz="0" w:space="0" w:color="auto"/>
        <w:left w:val="none" w:sz="0" w:space="0" w:color="auto"/>
        <w:bottom w:val="none" w:sz="0" w:space="0" w:color="auto"/>
        <w:right w:val="none" w:sz="0" w:space="0" w:color="auto"/>
      </w:divBdr>
    </w:div>
    <w:div w:id="1893348804">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24294783">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63491086">
      <w:bodyDiv w:val="1"/>
      <w:marLeft w:val="0"/>
      <w:marRight w:val="0"/>
      <w:marTop w:val="0"/>
      <w:marBottom w:val="0"/>
      <w:divBdr>
        <w:top w:val="none" w:sz="0" w:space="0" w:color="auto"/>
        <w:left w:val="none" w:sz="0" w:space="0" w:color="auto"/>
        <w:bottom w:val="none" w:sz="0" w:space="0" w:color="auto"/>
        <w:right w:val="none" w:sz="0" w:space="0" w:color="auto"/>
      </w:divBdr>
    </w:div>
    <w:div w:id="1985968612">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50060832">
      <w:bodyDiv w:val="1"/>
      <w:marLeft w:val="0"/>
      <w:marRight w:val="0"/>
      <w:marTop w:val="0"/>
      <w:marBottom w:val="0"/>
      <w:divBdr>
        <w:top w:val="none" w:sz="0" w:space="0" w:color="auto"/>
        <w:left w:val="none" w:sz="0" w:space="0" w:color="auto"/>
        <w:bottom w:val="none" w:sz="0" w:space="0" w:color="auto"/>
        <w:right w:val="none" w:sz="0" w:space="0" w:color="auto"/>
      </w:divBdr>
    </w:div>
    <w:div w:id="2068526559">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6412185">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249436">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291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17714-F120-4BD9-A9D4-B209A8307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2020-04-17T01:25:00Z</dcterms:created>
  <dcterms:modified xsi:type="dcterms:W3CDTF">2020-04-30T23:26:00Z</dcterms:modified>
</cp:coreProperties>
</file>