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D7136A">
      <w:pPr>
        <w:jc w:val="both"/>
        <w:rPr>
          <w:rFonts w:ascii="Arial" w:hAnsi="Arial" w:cs="Arial"/>
          <w:b/>
          <w:sz w:val="28"/>
          <w:szCs w:val="20"/>
          <w:lang w:val="en-AU" w:eastAsia="en-AU"/>
        </w:rPr>
      </w:pPr>
    </w:p>
    <w:p w14:paraId="7C5EA0B1" w14:textId="3538534E" w:rsidR="00D7136A" w:rsidRPr="006951BF" w:rsidRDefault="00D7136A" w:rsidP="008866E8">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D03290">
        <w:rPr>
          <w:rFonts w:ascii="Arial" w:hAnsi="Arial" w:cs="Arial"/>
          <w:sz w:val="22"/>
          <w:lang w:val="en-AU" w:eastAsia="en-AU"/>
        </w:rPr>
        <w:t>February</w:t>
      </w:r>
      <w:r w:rsidR="00A31269" w:rsidRPr="006951BF">
        <w:rPr>
          <w:rFonts w:ascii="Arial" w:hAnsi="Arial" w:cs="Arial"/>
          <w:sz w:val="22"/>
          <w:lang w:val="en-AU" w:eastAsia="en-AU"/>
        </w:rPr>
        <w:t xml:space="preserve"> 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F8213A">
        <w:rPr>
          <w:rFonts w:ascii="Arial" w:hAnsi="Arial" w:cs="Arial"/>
          <w:sz w:val="22"/>
          <w:lang w:val="en-AU" w:eastAsia="en-AU"/>
        </w:rPr>
        <w:t>4</w:t>
      </w:r>
      <w:r w:rsidR="00A31269" w:rsidRPr="006951BF">
        <w:rPr>
          <w:rFonts w:ascii="Arial" w:hAnsi="Arial" w:cs="Arial"/>
          <w:sz w:val="22"/>
          <w:lang w:val="en-AU" w:eastAsia="en-AU"/>
        </w:rPr>
        <w:t xml:space="preserve"> to 10.0</w:t>
      </w:r>
      <w:r w:rsidR="00F8213A">
        <w:rPr>
          <w:rFonts w:ascii="Arial" w:hAnsi="Arial" w:cs="Arial"/>
          <w:sz w:val="22"/>
          <w:lang w:val="en-AU" w:eastAsia="en-AU"/>
        </w:rPr>
        <w:t>7</w:t>
      </w:r>
      <w:r w:rsidRPr="006951BF">
        <w:rPr>
          <w:rFonts w:ascii="Arial" w:hAnsi="Arial" w:cs="Arial"/>
          <w:sz w:val="22"/>
          <w:lang w:val="en-AU" w:eastAsia="en-AU"/>
        </w:rPr>
        <w:t xml:space="preserve"> 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 </w:t>
      </w:r>
      <w:hyperlink r:id="rId8" w:history="1">
        <w:r w:rsidR="00D03290">
          <w:rPr>
            <w:rStyle w:val="Hyperlink"/>
            <w:rFonts w:ascii="Arial" w:hAnsi="Arial" w:cs="Arial"/>
            <w:sz w:val="22"/>
            <w:lang w:val="en-AU" w:eastAsia="en-AU"/>
          </w:rPr>
          <w:t>February 2020</w:t>
        </w:r>
        <w:r w:rsidR="00A31269" w:rsidRPr="00CB6BC5">
          <w:rPr>
            <w:rStyle w:val="Hyperlink"/>
            <w:rFonts w:ascii="Arial" w:hAnsi="Arial" w:cs="Arial"/>
            <w:sz w:val="22"/>
            <w:lang w:val="en-AU" w:eastAsia="en-AU"/>
          </w:rPr>
          <w:t xml:space="preserve"> DUSC outcome statement</w:t>
        </w:r>
      </w:hyperlink>
      <w:r w:rsidR="00A31269" w:rsidRPr="006951BF">
        <w:rPr>
          <w:rFonts w:ascii="Arial" w:hAnsi="Arial" w:cs="Arial"/>
          <w:sz w:val="22"/>
          <w:lang w:val="en-AU" w:eastAsia="en-AU"/>
        </w:rPr>
        <w:t>.</w:t>
      </w:r>
    </w:p>
    <w:p w14:paraId="2BEF9007" w14:textId="25603A75" w:rsidR="005616CC" w:rsidRPr="006951BF" w:rsidRDefault="005616CC" w:rsidP="008866E8">
      <w:pPr>
        <w:contextualSpacing/>
        <w:jc w:val="both"/>
        <w:rPr>
          <w:rFonts w:ascii="Arial" w:hAnsi="Arial" w:cs="Arial"/>
          <w:b/>
          <w:sz w:val="22"/>
          <w:lang w:val="en-AU" w:eastAsia="en-AU"/>
        </w:rPr>
      </w:pPr>
    </w:p>
    <w:p w14:paraId="38EDF30F" w14:textId="0B0D14DD" w:rsidR="007C758A" w:rsidRPr="006951BF" w:rsidRDefault="00D03290" w:rsidP="008866E8">
      <w:pPr>
        <w:contextualSpacing/>
        <w:jc w:val="both"/>
        <w:rPr>
          <w:rFonts w:ascii="Arial" w:hAnsi="Arial" w:cs="Arial"/>
          <w:b/>
          <w:sz w:val="22"/>
          <w:lang w:val="en-AU" w:eastAsia="en-AU"/>
        </w:rPr>
      </w:pPr>
      <w:r>
        <w:rPr>
          <w:rFonts w:ascii="Arial" w:hAnsi="Arial" w:cs="Arial"/>
          <w:b/>
          <w:sz w:val="22"/>
          <w:lang w:val="en-AU" w:eastAsia="en-AU"/>
        </w:rPr>
        <w:t>Alemtuzumab for relapsing remitting multiple sclerosis</w:t>
      </w:r>
    </w:p>
    <w:p w14:paraId="1B925BB8" w14:textId="77777777" w:rsidR="00B13AD3" w:rsidRPr="006951BF" w:rsidRDefault="00B13AD3" w:rsidP="008866E8">
      <w:pPr>
        <w:contextualSpacing/>
        <w:jc w:val="both"/>
        <w:rPr>
          <w:rFonts w:ascii="Arial" w:hAnsi="Arial" w:cs="Arial"/>
          <w:sz w:val="22"/>
          <w:lang w:val="en-AU" w:eastAsia="en-AU"/>
        </w:rPr>
      </w:pPr>
    </w:p>
    <w:p w14:paraId="58D57071" w14:textId="2062F1AE" w:rsidR="00B1693A" w:rsidRPr="00D03290" w:rsidRDefault="00B13AD3" w:rsidP="008866E8">
      <w:pPr>
        <w:contextualSpacing/>
        <w:jc w:val="both"/>
        <w:rPr>
          <w:rFonts w:ascii="Arial" w:hAnsi="Arial" w:cs="Arial"/>
          <w:sz w:val="22"/>
          <w:lang w:val="en-AU" w:eastAsia="en-AU"/>
        </w:rPr>
      </w:pPr>
      <w:r w:rsidRPr="006951BF">
        <w:rPr>
          <w:rFonts w:ascii="Arial" w:hAnsi="Arial" w:cs="Arial"/>
          <w:sz w:val="22"/>
          <w:lang w:val="en-AU" w:eastAsia="en-AU"/>
        </w:rPr>
        <w:t xml:space="preserve">This report considered the </w:t>
      </w:r>
      <w:r w:rsidR="0073297F" w:rsidRPr="006951BF">
        <w:rPr>
          <w:rFonts w:ascii="Arial" w:hAnsi="Arial" w:cs="Arial"/>
          <w:sz w:val="22"/>
          <w:lang w:val="en-AU" w:eastAsia="en-AU"/>
        </w:rPr>
        <w:t xml:space="preserve">utilisation of </w:t>
      </w:r>
      <w:r w:rsidR="00D03290" w:rsidRPr="00D03290">
        <w:rPr>
          <w:rFonts w:ascii="Arial" w:hAnsi="Arial" w:cs="Arial"/>
          <w:sz w:val="22"/>
          <w:lang w:val="en-AU" w:eastAsia="en-AU"/>
        </w:rPr>
        <w:t>alemtuzumab for relapsing remitting multiple sclerosis (RRMS).</w:t>
      </w:r>
    </w:p>
    <w:p w14:paraId="0F478DA6" w14:textId="77777777" w:rsidR="00A31269" w:rsidRPr="006951BF" w:rsidRDefault="00A31269" w:rsidP="008866E8">
      <w:pPr>
        <w:contextualSpacing/>
        <w:jc w:val="both"/>
        <w:rPr>
          <w:rFonts w:ascii="Arial" w:hAnsi="Arial" w:cs="Arial"/>
          <w:color w:val="A6A6A6"/>
          <w:sz w:val="22"/>
          <w:lang w:val="en-AU" w:eastAsia="en-AU"/>
        </w:rPr>
      </w:pPr>
    </w:p>
    <w:p w14:paraId="4711D0AD" w14:textId="77777777" w:rsidR="00A31269" w:rsidRPr="006951BF" w:rsidRDefault="00A31269" w:rsidP="008866E8">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3E64F3C6" w14:textId="64D08793" w:rsidR="005616CC" w:rsidRPr="006951BF" w:rsidRDefault="005616CC" w:rsidP="008866E8">
      <w:pPr>
        <w:contextualSpacing/>
        <w:jc w:val="both"/>
        <w:rPr>
          <w:rFonts w:ascii="Arial" w:hAnsi="Arial" w:cs="Arial"/>
          <w:sz w:val="22"/>
          <w:lang w:val="en-AU" w:eastAsia="en-AU"/>
        </w:rPr>
      </w:pPr>
    </w:p>
    <w:p w14:paraId="0A575519" w14:textId="77777777" w:rsidR="00D03290" w:rsidRPr="00D03290" w:rsidRDefault="00D03290" w:rsidP="00D03290">
      <w:pPr>
        <w:spacing w:after="120"/>
        <w:rPr>
          <w:rFonts w:ascii="Arial" w:hAnsi="Arial" w:cs="Arial"/>
          <w:sz w:val="22"/>
          <w:lang w:val="en-AU" w:eastAsia="en-AU"/>
        </w:rPr>
      </w:pPr>
      <w:r w:rsidRPr="00D03290">
        <w:rPr>
          <w:rFonts w:ascii="Arial" w:hAnsi="Arial" w:cs="Arial"/>
          <w:sz w:val="22"/>
          <w:lang w:val="en-AU" w:eastAsia="en-AU"/>
        </w:rPr>
        <w:t>PBAC noted that the overall RRMS market had grown since the entry of new listings, but the utilisation of alemtuzumab had been low.</w:t>
      </w:r>
    </w:p>
    <w:p w14:paraId="536858F4" w14:textId="77777777" w:rsidR="00D03290" w:rsidRPr="00D03290" w:rsidRDefault="00D03290" w:rsidP="00D03290">
      <w:pPr>
        <w:spacing w:after="120"/>
        <w:rPr>
          <w:rFonts w:ascii="Arial" w:hAnsi="Arial" w:cs="Arial"/>
          <w:sz w:val="22"/>
          <w:lang w:val="en-AU" w:eastAsia="en-AU"/>
        </w:rPr>
      </w:pPr>
      <w:r w:rsidRPr="00D03290">
        <w:rPr>
          <w:rFonts w:ascii="Arial" w:hAnsi="Arial" w:cs="Arial"/>
          <w:sz w:val="22"/>
          <w:lang w:val="en-AU" w:eastAsia="en-AU"/>
        </w:rPr>
        <w:t>PBAC noted that there were rare but serious adverse reactions associated with alemtuzumab. PBAC considered this was a main factor in its lower than expected uptake.</w:t>
      </w:r>
    </w:p>
    <w:p w14:paraId="65295D4F" w14:textId="71BC95F0" w:rsidR="00D03290" w:rsidRPr="00D03290" w:rsidRDefault="00D03290" w:rsidP="00D03290">
      <w:pPr>
        <w:spacing w:after="120"/>
        <w:rPr>
          <w:rFonts w:ascii="Arial" w:hAnsi="Arial" w:cs="Arial"/>
          <w:sz w:val="22"/>
          <w:lang w:val="en-AU" w:eastAsia="en-AU"/>
        </w:rPr>
      </w:pPr>
      <w:r w:rsidRPr="00D03290">
        <w:rPr>
          <w:rFonts w:ascii="Arial" w:hAnsi="Arial" w:cs="Arial"/>
          <w:sz w:val="22"/>
          <w:lang w:val="en-AU" w:eastAsia="en-AU"/>
        </w:rPr>
        <w:t>PBAC noted that only a small proportion of patients were supplied another RRMS medicine after an initial prescription of alemtuzumab.</w:t>
      </w:r>
    </w:p>
    <w:p w14:paraId="12FD8853" w14:textId="77777777" w:rsidR="00D03290" w:rsidRDefault="00D03290" w:rsidP="00582F85">
      <w:pPr>
        <w:contextualSpacing/>
        <w:jc w:val="both"/>
        <w:rPr>
          <w:rFonts w:ascii="Arial" w:hAnsi="Arial" w:cs="Arial"/>
          <w:sz w:val="22"/>
          <w:szCs w:val="22"/>
          <w:lang w:val="en-AU"/>
        </w:rPr>
      </w:pPr>
    </w:p>
    <w:p w14:paraId="73505492" w14:textId="6256B1B5" w:rsidR="00D03290" w:rsidRPr="00D03290" w:rsidRDefault="00D03290" w:rsidP="00582F85">
      <w:pPr>
        <w:contextualSpacing/>
        <w:jc w:val="both"/>
        <w:rPr>
          <w:rFonts w:ascii="Arial" w:hAnsi="Arial" w:cs="Arial"/>
          <w:b/>
          <w:sz w:val="22"/>
          <w:lang w:val="en-AU" w:eastAsia="en-AU"/>
        </w:rPr>
      </w:pPr>
      <w:r w:rsidRPr="00D03290">
        <w:rPr>
          <w:rFonts w:ascii="Arial" w:hAnsi="Arial" w:cs="Arial"/>
          <w:b/>
          <w:sz w:val="22"/>
          <w:lang w:val="en-AU" w:eastAsia="en-AU"/>
        </w:rPr>
        <w:t>Testosterone</w:t>
      </w:r>
    </w:p>
    <w:p w14:paraId="32EC6610" w14:textId="3AD2AA95" w:rsidR="00D03290" w:rsidRDefault="00D03290" w:rsidP="00582F85">
      <w:pPr>
        <w:contextualSpacing/>
        <w:jc w:val="both"/>
        <w:rPr>
          <w:rFonts w:ascii="Arial" w:hAnsi="Arial" w:cs="Arial"/>
          <w:sz w:val="22"/>
          <w:szCs w:val="22"/>
          <w:lang w:val="en-AU"/>
        </w:rPr>
      </w:pPr>
    </w:p>
    <w:p w14:paraId="4BE8D960" w14:textId="11A3F186" w:rsidR="00D03290" w:rsidRDefault="00D03290" w:rsidP="00D03290">
      <w:pPr>
        <w:contextualSpacing/>
        <w:jc w:val="both"/>
        <w:rPr>
          <w:rFonts w:ascii="Arial" w:hAnsi="Arial" w:cs="Arial"/>
          <w:sz w:val="22"/>
          <w:lang w:val="en-AU" w:eastAsia="en-AU"/>
        </w:rPr>
      </w:pPr>
      <w:r w:rsidRPr="006951BF">
        <w:rPr>
          <w:rFonts w:ascii="Arial" w:hAnsi="Arial" w:cs="Arial"/>
          <w:sz w:val="22"/>
          <w:lang w:val="en-AU" w:eastAsia="en-AU"/>
        </w:rPr>
        <w:t xml:space="preserve">This report considered the utilisation of </w:t>
      </w:r>
      <w:r>
        <w:rPr>
          <w:rFonts w:ascii="Arial" w:hAnsi="Arial" w:cs="Arial"/>
          <w:sz w:val="22"/>
          <w:lang w:val="en-AU" w:eastAsia="en-AU"/>
        </w:rPr>
        <w:t xml:space="preserve">testosterone </w:t>
      </w:r>
      <w:r w:rsidRPr="00D03290">
        <w:rPr>
          <w:rFonts w:ascii="Arial" w:hAnsi="Arial" w:cs="Arial"/>
          <w:sz w:val="22"/>
          <w:lang w:val="en-AU" w:eastAsia="en-AU"/>
        </w:rPr>
        <w:t>after a change to the restriction wording allowing general paediatricians to prescribe testosterone for androgen deficiency with established pituitary or testicular disorders.</w:t>
      </w:r>
    </w:p>
    <w:p w14:paraId="1D1355F7" w14:textId="6BBD4E27" w:rsidR="00D03290" w:rsidRDefault="00D03290" w:rsidP="00D03290">
      <w:pPr>
        <w:contextualSpacing/>
        <w:jc w:val="both"/>
        <w:rPr>
          <w:rFonts w:ascii="Arial" w:hAnsi="Arial" w:cs="Arial"/>
          <w:sz w:val="22"/>
          <w:lang w:val="en-AU" w:eastAsia="en-AU"/>
        </w:rPr>
      </w:pPr>
    </w:p>
    <w:p w14:paraId="586C1C50" w14:textId="597700B1" w:rsidR="00D03290" w:rsidRPr="00D03290" w:rsidRDefault="00D03290" w:rsidP="00D03290">
      <w:pPr>
        <w:contextualSpacing/>
        <w:jc w:val="both"/>
        <w:rPr>
          <w:rFonts w:ascii="Arial" w:hAnsi="Arial" w:cs="Arial"/>
          <w:sz w:val="22"/>
          <w:lang w:val="en-AU" w:eastAsia="en-AU"/>
        </w:rPr>
      </w:pPr>
      <w:r w:rsidRPr="006951BF">
        <w:rPr>
          <w:rFonts w:ascii="Arial" w:hAnsi="Arial" w:cs="Arial"/>
          <w:i/>
          <w:sz w:val="22"/>
          <w:lang w:val="en-AU" w:eastAsia="en-AU"/>
        </w:rPr>
        <w:t>Outcome</w:t>
      </w:r>
    </w:p>
    <w:p w14:paraId="3EE6E567" w14:textId="16427CE9" w:rsidR="00D03290" w:rsidRDefault="00D03290" w:rsidP="00582F85">
      <w:pPr>
        <w:contextualSpacing/>
        <w:jc w:val="both"/>
        <w:rPr>
          <w:rFonts w:ascii="Arial" w:hAnsi="Arial" w:cs="Arial"/>
          <w:sz w:val="22"/>
          <w:szCs w:val="22"/>
          <w:lang w:val="en-AU"/>
        </w:rPr>
      </w:pPr>
    </w:p>
    <w:p w14:paraId="000EB551"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 xml:space="preserve">PBAC noted that the utilisation of testosterone had remained relatively stable since the introduction of several changes to its restriction. </w:t>
      </w:r>
    </w:p>
    <w:p w14:paraId="4F4EA34A"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the shift towards a lower proportion of general practitioners involved in prescribing over time from the restriction changes.</w:t>
      </w:r>
    </w:p>
    <w:p w14:paraId="16DB36F0"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 xml:space="preserve">PBAC noted that there was increasing use in females since the removal of the restriction criteria that a patient must be male in 2015. </w:t>
      </w:r>
    </w:p>
    <w:p w14:paraId="49A93D88" w14:textId="3A57AD59" w:rsidR="006D0A58" w:rsidRPr="006951BF" w:rsidRDefault="006D0A58" w:rsidP="008866E8">
      <w:pPr>
        <w:contextualSpacing/>
        <w:jc w:val="both"/>
        <w:rPr>
          <w:rFonts w:ascii="Arial" w:hAnsi="Arial" w:cs="Arial"/>
          <w:sz w:val="22"/>
          <w:szCs w:val="22"/>
        </w:rPr>
      </w:pPr>
    </w:p>
    <w:p w14:paraId="72585DDB" w14:textId="4237E12E" w:rsidR="00647788" w:rsidRDefault="00F32FEB" w:rsidP="008866E8">
      <w:pPr>
        <w:contextualSpacing/>
        <w:jc w:val="both"/>
        <w:rPr>
          <w:rFonts w:ascii="Arial" w:hAnsi="Arial" w:cs="Arial"/>
          <w:b/>
          <w:sz w:val="22"/>
          <w:szCs w:val="22"/>
        </w:rPr>
      </w:pPr>
      <w:r>
        <w:rPr>
          <w:rFonts w:ascii="Arial" w:hAnsi="Arial" w:cs="Arial"/>
          <w:b/>
          <w:sz w:val="22"/>
          <w:szCs w:val="22"/>
        </w:rPr>
        <w:t>Opioid analgesics</w:t>
      </w:r>
      <w:r w:rsidR="00647788">
        <w:rPr>
          <w:rFonts w:ascii="Arial" w:hAnsi="Arial" w:cs="Arial"/>
          <w:b/>
          <w:sz w:val="22"/>
          <w:szCs w:val="22"/>
        </w:rPr>
        <w:t xml:space="preserve"> </w:t>
      </w:r>
    </w:p>
    <w:p w14:paraId="16FF92FC" w14:textId="43DB7997" w:rsidR="006D0A58" w:rsidRPr="006951BF" w:rsidRDefault="006D0A58" w:rsidP="008866E8">
      <w:pPr>
        <w:contextualSpacing/>
        <w:jc w:val="both"/>
        <w:rPr>
          <w:rFonts w:ascii="Arial" w:hAnsi="Arial" w:cs="Arial"/>
          <w:b/>
          <w:sz w:val="22"/>
          <w:szCs w:val="22"/>
        </w:rPr>
      </w:pPr>
    </w:p>
    <w:p w14:paraId="55D47623" w14:textId="3094773A" w:rsidR="006D0A58" w:rsidRPr="006951BF" w:rsidRDefault="006D0A58" w:rsidP="008866E8">
      <w:pPr>
        <w:contextualSpacing/>
        <w:jc w:val="both"/>
        <w:rPr>
          <w:rFonts w:ascii="Arial" w:hAnsi="Arial" w:cs="Arial"/>
          <w:sz w:val="22"/>
          <w:szCs w:val="22"/>
        </w:rPr>
      </w:pPr>
      <w:r w:rsidRPr="006951BF">
        <w:rPr>
          <w:rFonts w:ascii="Arial" w:hAnsi="Arial" w:cs="Arial"/>
          <w:sz w:val="22"/>
          <w:szCs w:val="22"/>
        </w:rPr>
        <w:t xml:space="preserve">This report considered the utilisation of </w:t>
      </w:r>
      <w:r w:rsidR="00F32FEB" w:rsidRPr="00F32FEB">
        <w:rPr>
          <w:rFonts w:ascii="Arial" w:hAnsi="Arial" w:cs="Arial"/>
          <w:sz w:val="22"/>
          <w:szCs w:val="22"/>
        </w:rPr>
        <w:t>PBS-listed opioid analgesics, including the combined use of pregabalin and opioid analgesics.</w:t>
      </w:r>
    </w:p>
    <w:p w14:paraId="66B88271" w14:textId="7B93385C" w:rsidR="006D0A58" w:rsidRPr="006951BF" w:rsidRDefault="006D0A58" w:rsidP="0073297F">
      <w:pPr>
        <w:contextualSpacing/>
        <w:rPr>
          <w:rFonts w:ascii="Arial" w:hAnsi="Arial" w:cs="Arial"/>
          <w:sz w:val="22"/>
          <w:szCs w:val="22"/>
        </w:rPr>
      </w:pPr>
    </w:p>
    <w:p w14:paraId="3CF6BF13" w14:textId="77777777" w:rsidR="005D081A" w:rsidRDefault="005D081A" w:rsidP="0073297F">
      <w:pPr>
        <w:contextualSpacing/>
        <w:rPr>
          <w:rFonts w:ascii="Arial" w:hAnsi="Arial" w:cs="Arial"/>
          <w:i/>
          <w:sz w:val="22"/>
          <w:szCs w:val="22"/>
        </w:rPr>
      </w:pPr>
    </w:p>
    <w:p w14:paraId="59E60C45" w14:textId="618FA05E" w:rsidR="006D0A58" w:rsidRDefault="006D0A58" w:rsidP="0073297F">
      <w:pPr>
        <w:contextualSpacing/>
        <w:rPr>
          <w:rFonts w:ascii="Arial" w:hAnsi="Arial" w:cs="Arial"/>
          <w:i/>
          <w:sz w:val="22"/>
          <w:szCs w:val="22"/>
        </w:rPr>
      </w:pPr>
      <w:r w:rsidRPr="00046F5C">
        <w:rPr>
          <w:rFonts w:ascii="Arial" w:hAnsi="Arial" w:cs="Arial"/>
          <w:i/>
          <w:sz w:val="22"/>
          <w:szCs w:val="22"/>
        </w:rPr>
        <w:lastRenderedPageBreak/>
        <w:t>Outcome</w:t>
      </w:r>
    </w:p>
    <w:p w14:paraId="5E0823C4" w14:textId="77777777" w:rsidR="005D081A" w:rsidRDefault="005D081A" w:rsidP="0073297F">
      <w:pPr>
        <w:contextualSpacing/>
        <w:rPr>
          <w:rFonts w:ascii="Arial" w:hAnsi="Arial" w:cs="Arial"/>
          <w:i/>
          <w:sz w:val="22"/>
          <w:szCs w:val="22"/>
        </w:rPr>
      </w:pPr>
    </w:p>
    <w:p w14:paraId="4FE632B3"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that there had been a rapid growth in the utilisation of pregabalin and that it was the leader in the analgesic market.</w:t>
      </w:r>
    </w:p>
    <w:p w14:paraId="4D33EE9E"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that the up-scheduling of low dose codeine combination products had only resulted in a slight increase in the utilisation of subsidised high dose codeine products.</w:t>
      </w:r>
    </w:p>
    <w:p w14:paraId="5C560B53"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that there was only a low use of opioid products listed on the palliative care schedule.</w:t>
      </w:r>
    </w:p>
    <w:p w14:paraId="6BFD4684"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that the majority of patients were supplied a single opioid product. It was unclear to what extent the use of multiple product regimens (around 20 percent) represented appropriate use. PBAC noted that the majority of coadministered regimens included pregabalin.</w:t>
      </w:r>
    </w:p>
    <w:p w14:paraId="6E872E36" w14:textId="77777777" w:rsidR="00F32FEB" w:rsidRPr="00F32FEB" w:rsidRDefault="00F32FEB" w:rsidP="00F32FEB">
      <w:pPr>
        <w:spacing w:after="120"/>
        <w:rPr>
          <w:rFonts w:ascii="Arial" w:hAnsi="Arial" w:cs="Arial"/>
          <w:sz w:val="22"/>
          <w:lang w:val="en-AU" w:eastAsia="en-AU"/>
        </w:rPr>
      </w:pPr>
      <w:r w:rsidRPr="00F32FEB">
        <w:rPr>
          <w:rFonts w:ascii="Arial" w:hAnsi="Arial" w:cs="Arial"/>
          <w:sz w:val="22"/>
          <w:lang w:val="en-AU" w:eastAsia="en-AU"/>
        </w:rPr>
        <w:t>PBAC noted the risks of misuse of pregabalin, including the increasing number of intentional poisonings reported for this agent. PBAC recalled from prior DUSC analyses of pregabalin undertaken in October 2014 and October 2015 that patients were being supplied lower than recommended doses.</w:t>
      </w:r>
    </w:p>
    <w:p w14:paraId="5304BBFC" w14:textId="0509C2C0" w:rsidR="00F32FEB" w:rsidRDefault="00F32FEB" w:rsidP="00F32FEB">
      <w:pPr>
        <w:spacing w:after="120"/>
        <w:rPr>
          <w:rFonts w:ascii="Arial" w:hAnsi="Arial" w:cs="Arial"/>
          <w:sz w:val="22"/>
          <w:lang w:val="en-AU" w:eastAsia="en-AU"/>
        </w:rPr>
      </w:pPr>
      <w:r>
        <w:rPr>
          <w:rFonts w:ascii="Arial" w:hAnsi="Arial" w:cs="Arial"/>
          <w:sz w:val="22"/>
          <w:lang w:val="en-AU" w:eastAsia="en-AU"/>
        </w:rPr>
        <w:t>PBAC noted quality use of medicines</w:t>
      </w:r>
      <w:r w:rsidRPr="00F32FEB">
        <w:rPr>
          <w:rFonts w:ascii="Arial" w:hAnsi="Arial" w:cs="Arial"/>
          <w:sz w:val="22"/>
          <w:lang w:val="en-AU" w:eastAsia="en-AU"/>
        </w:rPr>
        <w:t xml:space="preserve"> </w:t>
      </w:r>
      <w:r w:rsidR="0014056F" w:rsidRPr="00F32FEB">
        <w:rPr>
          <w:rFonts w:ascii="Arial" w:hAnsi="Arial" w:cs="Arial"/>
          <w:sz w:val="22"/>
          <w:lang w:val="en-AU" w:eastAsia="en-AU"/>
        </w:rPr>
        <w:t>activities, which</w:t>
      </w:r>
      <w:r w:rsidRPr="00F32FEB">
        <w:rPr>
          <w:rFonts w:ascii="Arial" w:hAnsi="Arial" w:cs="Arial"/>
          <w:sz w:val="22"/>
          <w:lang w:val="en-AU" w:eastAsia="en-AU"/>
        </w:rPr>
        <w:t xml:space="preserve"> were being undertaken to promote the appropriate use of pregabalin. </w:t>
      </w:r>
    </w:p>
    <w:p w14:paraId="287F48C5" w14:textId="77777777" w:rsidR="00250A1C" w:rsidRDefault="00250A1C" w:rsidP="00F32FEB">
      <w:pPr>
        <w:spacing w:after="120"/>
        <w:rPr>
          <w:rFonts w:ascii="Arial" w:hAnsi="Arial" w:cs="Arial"/>
          <w:b/>
          <w:sz w:val="22"/>
          <w:szCs w:val="22"/>
        </w:rPr>
      </w:pPr>
    </w:p>
    <w:p w14:paraId="4E0C03EC" w14:textId="74E5A1DB" w:rsidR="001D0ACE" w:rsidRPr="001D0ACE" w:rsidRDefault="001D0ACE" w:rsidP="00F32FEB">
      <w:pPr>
        <w:spacing w:after="120"/>
        <w:rPr>
          <w:rFonts w:ascii="Arial" w:hAnsi="Arial" w:cs="Arial"/>
          <w:b/>
          <w:sz w:val="22"/>
          <w:szCs w:val="22"/>
        </w:rPr>
      </w:pPr>
      <w:proofErr w:type="spellStart"/>
      <w:r>
        <w:rPr>
          <w:rFonts w:ascii="Arial" w:hAnsi="Arial" w:cs="Arial"/>
          <w:b/>
          <w:sz w:val="22"/>
          <w:szCs w:val="22"/>
        </w:rPr>
        <w:t>N</w:t>
      </w:r>
      <w:r w:rsidRPr="001D0ACE">
        <w:rPr>
          <w:rFonts w:ascii="Arial" w:hAnsi="Arial" w:cs="Arial"/>
          <w:b/>
          <w:sz w:val="22"/>
          <w:szCs w:val="22"/>
        </w:rPr>
        <w:t>intedanib</w:t>
      </w:r>
      <w:proofErr w:type="spellEnd"/>
      <w:r w:rsidRPr="001D0ACE">
        <w:rPr>
          <w:rFonts w:ascii="Arial" w:hAnsi="Arial" w:cs="Arial"/>
          <w:b/>
          <w:sz w:val="22"/>
          <w:szCs w:val="22"/>
        </w:rPr>
        <w:t xml:space="preserve"> and </w:t>
      </w:r>
      <w:proofErr w:type="spellStart"/>
      <w:r w:rsidRPr="001D0ACE">
        <w:rPr>
          <w:rFonts w:ascii="Arial" w:hAnsi="Arial" w:cs="Arial"/>
          <w:b/>
          <w:sz w:val="22"/>
          <w:szCs w:val="22"/>
        </w:rPr>
        <w:t>pirfenidone</w:t>
      </w:r>
      <w:proofErr w:type="spellEnd"/>
      <w:r w:rsidRPr="001D0ACE">
        <w:rPr>
          <w:rFonts w:ascii="Arial" w:hAnsi="Arial" w:cs="Arial"/>
          <w:b/>
          <w:sz w:val="22"/>
          <w:szCs w:val="22"/>
        </w:rPr>
        <w:t xml:space="preserve"> for idiopathic pulmonary fibrosis</w:t>
      </w:r>
    </w:p>
    <w:p w14:paraId="2B16D074" w14:textId="77777777" w:rsidR="00250A1C" w:rsidRDefault="00250A1C" w:rsidP="00EF7DF2">
      <w:pPr>
        <w:spacing w:before="120" w:after="120"/>
        <w:jc w:val="both"/>
        <w:rPr>
          <w:rFonts w:ascii="Arial" w:hAnsi="Arial" w:cs="Arial"/>
          <w:sz w:val="22"/>
          <w:szCs w:val="22"/>
        </w:rPr>
      </w:pPr>
      <w:bookmarkStart w:id="0" w:name="_GoBack"/>
      <w:bookmarkEnd w:id="0"/>
    </w:p>
    <w:p w14:paraId="6EA7F88A" w14:textId="3EF07DCC" w:rsidR="0002143A" w:rsidRDefault="001D0ACE" w:rsidP="00EF7DF2">
      <w:pPr>
        <w:spacing w:before="120" w:after="120"/>
        <w:jc w:val="both"/>
        <w:rPr>
          <w:rFonts w:ascii="Arial" w:hAnsi="Arial" w:cs="Arial"/>
          <w:sz w:val="22"/>
          <w:szCs w:val="22"/>
        </w:rPr>
      </w:pPr>
      <w:r w:rsidRPr="006951BF">
        <w:rPr>
          <w:rFonts w:ascii="Arial" w:hAnsi="Arial" w:cs="Arial"/>
          <w:sz w:val="22"/>
          <w:szCs w:val="22"/>
        </w:rPr>
        <w:t xml:space="preserve">This report considered the utilisation of </w:t>
      </w:r>
      <w:r w:rsidRPr="00F32FEB">
        <w:rPr>
          <w:rFonts w:ascii="Arial" w:hAnsi="Arial" w:cs="Arial"/>
          <w:sz w:val="22"/>
          <w:szCs w:val="22"/>
        </w:rPr>
        <w:t>PBS</w:t>
      </w:r>
      <w:r>
        <w:rPr>
          <w:rFonts w:ascii="Arial" w:hAnsi="Arial" w:cs="Arial"/>
          <w:sz w:val="22"/>
          <w:szCs w:val="22"/>
        </w:rPr>
        <w:t xml:space="preserve"> listed </w:t>
      </w:r>
      <w:r w:rsidRPr="001D0ACE">
        <w:rPr>
          <w:rFonts w:ascii="Arial" w:hAnsi="Arial" w:cs="Arial"/>
          <w:sz w:val="22"/>
          <w:szCs w:val="22"/>
        </w:rPr>
        <w:t>nintedanib and pirfenidone for idiopathic pulmonary fibrosis (IPF).</w:t>
      </w:r>
    </w:p>
    <w:p w14:paraId="495F5837" w14:textId="77777777" w:rsidR="001D0ACE" w:rsidRPr="006951BF" w:rsidRDefault="001D0ACE" w:rsidP="001D0ACE">
      <w:pPr>
        <w:contextualSpacing/>
        <w:rPr>
          <w:rFonts w:ascii="Arial" w:hAnsi="Arial" w:cs="Arial"/>
          <w:sz w:val="22"/>
          <w:szCs w:val="22"/>
        </w:rPr>
      </w:pPr>
    </w:p>
    <w:p w14:paraId="61DDC6D4" w14:textId="38AF85D4" w:rsidR="001D0ACE" w:rsidRDefault="001D0ACE" w:rsidP="001D0ACE">
      <w:pPr>
        <w:contextualSpacing/>
        <w:rPr>
          <w:rFonts w:ascii="Arial" w:hAnsi="Arial" w:cs="Arial"/>
          <w:i/>
          <w:sz w:val="22"/>
          <w:szCs w:val="22"/>
        </w:rPr>
      </w:pPr>
      <w:r w:rsidRPr="00046F5C">
        <w:rPr>
          <w:rFonts w:ascii="Arial" w:hAnsi="Arial" w:cs="Arial"/>
          <w:i/>
          <w:sz w:val="22"/>
          <w:szCs w:val="22"/>
        </w:rPr>
        <w:t>Outcome</w:t>
      </w:r>
    </w:p>
    <w:p w14:paraId="40ADEE95" w14:textId="77777777" w:rsidR="001D0ACE" w:rsidRPr="001D0ACE" w:rsidRDefault="001D0ACE" w:rsidP="001D0ACE">
      <w:pPr>
        <w:contextualSpacing/>
        <w:rPr>
          <w:rFonts w:ascii="Arial" w:hAnsi="Arial" w:cs="Arial"/>
          <w:i/>
          <w:sz w:val="22"/>
          <w:szCs w:val="22"/>
        </w:rPr>
      </w:pPr>
    </w:p>
    <w:p w14:paraId="5525AB67" w14:textId="77777777" w:rsidR="001D0ACE" w:rsidRPr="001D0ACE" w:rsidRDefault="001D0ACE" w:rsidP="001D0ACE">
      <w:pPr>
        <w:spacing w:after="120"/>
        <w:rPr>
          <w:rFonts w:ascii="Arial" w:hAnsi="Arial" w:cs="Arial"/>
          <w:sz w:val="22"/>
          <w:szCs w:val="22"/>
        </w:rPr>
      </w:pPr>
      <w:r w:rsidRPr="001D0ACE">
        <w:rPr>
          <w:rFonts w:ascii="Arial" w:hAnsi="Arial" w:cs="Arial"/>
          <w:sz w:val="22"/>
          <w:szCs w:val="22"/>
        </w:rPr>
        <w:t>PBAC commented there was a high clinical need for medicines to treat IPF.</w:t>
      </w:r>
    </w:p>
    <w:p w14:paraId="212D6E67" w14:textId="77777777" w:rsidR="001D0ACE" w:rsidRPr="001D0ACE" w:rsidRDefault="001D0ACE" w:rsidP="001D0ACE">
      <w:pPr>
        <w:spacing w:after="120"/>
        <w:rPr>
          <w:rFonts w:ascii="Arial" w:hAnsi="Arial" w:cs="Arial"/>
          <w:sz w:val="22"/>
          <w:szCs w:val="22"/>
        </w:rPr>
      </w:pPr>
      <w:r w:rsidRPr="001D0ACE">
        <w:rPr>
          <w:rFonts w:ascii="Arial" w:hAnsi="Arial" w:cs="Arial"/>
          <w:sz w:val="22"/>
          <w:szCs w:val="22"/>
        </w:rPr>
        <w:t>PBAC noted that the proportional use of nintedanib and pirfenidone in the IPF market was similar.</w:t>
      </w:r>
    </w:p>
    <w:p w14:paraId="66F1330B" w14:textId="77777777" w:rsidR="001D0ACE" w:rsidRPr="001D0ACE" w:rsidRDefault="001D0ACE" w:rsidP="001D0ACE">
      <w:pPr>
        <w:spacing w:after="120"/>
        <w:rPr>
          <w:rFonts w:ascii="Arial" w:hAnsi="Arial" w:cs="Arial"/>
          <w:sz w:val="22"/>
          <w:szCs w:val="22"/>
        </w:rPr>
      </w:pPr>
      <w:r w:rsidRPr="001D0ACE">
        <w:rPr>
          <w:rFonts w:ascii="Arial" w:hAnsi="Arial" w:cs="Arial"/>
          <w:sz w:val="22"/>
          <w:szCs w:val="22"/>
        </w:rPr>
        <w:t>PBAC noted that the majority of patients treated were older males. PBAC considered this was consistent with the epidemiology of the disease.</w:t>
      </w:r>
    </w:p>
    <w:p w14:paraId="709D0950" w14:textId="77777777" w:rsidR="001D0ACE" w:rsidRPr="006D0A58" w:rsidRDefault="001D0ACE" w:rsidP="00EF7DF2">
      <w:pPr>
        <w:spacing w:before="120" w:after="120"/>
        <w:jc w:val="both"/>
        <w:rPr>
          <w:rFonts w:ascii="Arial" w:hAnsi="Arial" w:cs="Arial"/>
          <w:sz w:val="22"/>
          <w:szCs w:val="22"/>
        </w:rPr>
      </w:pPr>
    </w:p>
    <w:sectPr w:rsidR="001D0ACE" w:rsidRPr="006D0A58"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1D0ACE" w:rsidRDefault="001D0ACE">
      <w:r>
        <w:separator/>
      </w:r>
    </w:p>
  </w:endnote>
  <w:endnote w:type="continuationSeparator" w:id="0">
    <w:p w14:paraId="1EBA2AEF" w14:textId="77777777" w:rsidR="001D0ACE" w:rsidRDefault="001D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468E" w14:textId="77777777" w:rsidR="001D0ACE" w:rsidRDefault="001D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1D0ACE" w:rsidRPr="004630FE" w:rsidRDefault="001D0ACE">
    <w:pPr>
      <w:pStyle w:val="Footer"/>
      <w:jc w:val="center"/>
      <w:rPr>
        <w:rFonts w:ascii="Arial" w:hAnsi="Arial" w:cs="Arial"/>
        <w:sz w:val="22"/>
      </w:rPr>
    </w:pPr>
  </w:p>
  <w:p w14:paraId="2DAABEFB" w14:textId="2641FEE9" w:rsidR="001D0ACE" w:rsidRPr="004630FE" w:rsidRDefault="001D0AC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250A1C">
      <w:rPr>
        <w:rFonts w:ascii="Arial" w:hAnsi="Arial" w:cs="Arial"/>
        <w:noProof/>
        <w:sz w:val="22"/>
      </w:rPr>
      <w:t>2</w:t>
    </w:r>
    <w:r w:rsidRPr="004630FE">
      <w:rPr>
        <w:rFonts w:ascii="Arial" w:hAnsi="Arial" w:cs="Arial"/>
        <w:noProof/>
        <w:sz w:val="22"/>
      </w:rPr>
      <w:fldChar w:fldCharType="end"/>
    </w:r>
  </w:p>
  <w:p w14:paraId="0A6D77EE" w14:textId="77777777" w:rsidR="001D0ACE" w:rsidRDefault="001D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F545" w14:textId="77777777" w:rsidR="001D0ACE" w:rsidRDefault="001D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1D0ACE" w:rsidRDefault="001D0ACE">
      <w:r>
        <w:separator/>
      </w:r>
    </w:p>
  </w:footnote>
  <w:footnote w:type="continuationSeparator" w:id="0">
    <w:p w14:paraId="13C39C5A" w14:textId="77777777" w:rsidR="001D0ACE" w:rsidRDefault="001D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B61C" w14:textId="77777777" w:rsidR="001D0ACE" w:rsidRDefault="001D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121FAB73" w:rsidR="001D0ACE" w:rsidRPr="00520B6E" w:rsidRDefault="001D0ACE" w:rsidP="004630FE">
    <w:pPr>
      <w:tabs>
        <w:tab w:val="center" w:pos="4153"/>
        <w:tab w:val="right" w:pos="8306"/>
      </w:tabs>
      <w:jc w:val="center"/>
      <w:rPr>
        <w:rFonts w:ascii="Arial" w:hAnsi="Arial" w:cs="Arial"/>
        <w:b/>
        <w:sz w:val="20"/>
      </w:rPr>
    </w:pPr>
    <w:r>
      <w:rPr>
        <w:rFonts w:ascii="Arial" w:hAnsi="Arial" w:cs="Arial"/>
        <w:b/>
        <w:sz w:val="20"/>
      </w:rPr>
      <w:t>MARCH 2020</w:t>
    </w:r>
    <w:r w:rsidRPr="00341E66">
      <w:rPr>
        <w:rFonts w:ascii="Arial" w:hAnsi="Arial" w:cs="Arial"/>
        <w:b/>
        <w:sz w:val="20"/>
      </w:rPr>
      <w:t xml:space="preserve"> </w:t>
    </w:r>
    <w:r w:rsidRPr="00520B6E">
      <w:rPr>
        <w:rFonts w:ascii="Arial" w:hAnsi="Arial" w:cs="Arial"/>
        <w:b/>
        <w:sz w:val="20"/>
      </w:rPr>
      <w:t>PBAC M</w:t>
    </w:r>
    <w:r>
      <w:rPr>
        <w:rFonts w:ascii="Arial" w:hAnsi="Arial" w:cs="Arial"/>
        <w:b/>
        <w:sz w:val="20"/>
      </w:rPr>
      <w:t>EETING – CONSIDERATION OF THE</w:t>
    </w:r>
    <w:r w:rsidRPr="00520B6E">
      <w:rPr>
        <w:rFonts w:ascii="Arial" w:hAnsi="Arial" w:cs="Arial"/>
        <w:b/>
        <w:sz w:val="20"/>
      </w:rPr>
      <w:t xml:space="preserve"> </w:t>
    </w:r>
    <w:r>
      <w:rPr>
        <w:rFonts w:ascii="Arial" w:hAnsi="Arial" w:cs="Arial"/>
        <w:b/>
        <w:sz w:val="20"/>
      </w:rPr>
      <w:t>REPORT OF THE DRUG UTILISATION SUB</w:t>
    </w:r>
    <w:r>
      <w:rPr>
        <w:rFonts w:ascii="Arial" w:hAnsi="Arial" w:cs="Arial"/>
        <w:b/>
        <w:sz w:val="20"/>
      </w:rPr>
      <w:noBreakHyphen/>
      <w:t>COMMITTEE</w:t>
    </w:r>
  </w:p>
  <w:p w14:paraId="6758E2CC" w14:textId="77777777" w:rsidR="001D0ACE" w:rsidRDefault="001D0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684D" w14:textId="77777777" w:rsidR="001D0ACE" w:rsidRDefault="001D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2143A"/>
    <w:rsid w:val="00034F16"/>
    <w:rsid w:val="00046F5C"/>
    <w:rsid w:val="0006056A"/>
    <w:rsid w:val="00060A45"/>
    <w:rsid w:val="00095F78"/>
    <w:rsid w:val="000A2CDC"/>
    <w:rsid w:val="000B2DD0"/>
    <w:rsid w:val="000C6902"/>
    <w:rsid w:val="0014056F"/>
    <w:rsid w:val="001416A4"/>
    <w:rsid w:val="00156D69"/>
    <w:rsid w:val="00176F11"/>
    <w:rsid w:val="001D0ACE"/>
    <w:rsid w:val="001D0B69"/>
    <w:rsid w:val="001D45AF"/>
    <w:rsid w:val="001F0355"/>
    <w:rsid w:val="00250A1C"/>
    <w:rsid w:val="00251848"/>
    <w:rsid w:val="00265781"/>
    <w:rsid w:val="00267A9D"/>
    <w:rsid w:val="0028590B"/>
    <w:rsid w:val="002D4006"/>
    <w:rsid w:val="002F7591"/>
    <w:rsid w:val="002F775E"/>
    <w:rsid w:val="003172AB"/>
    <w:rsid w:val="00326328"/>
    <w:rsid w:val="00341E66"/>
    <w:rsid w:val="00385940"/>
    <w:rsid w:val="00397836"/>
    <w:rsid w:val="003B79EE"/>
    <w:rsid w:val="003C2B83"/>
    <w:rsid w:val="0040140B"/>
    <w:rsid w:val="00407FAA"/>
    <w:rsid w:val="004630FE"/>
    <w:rsid w:val="00464B70"/>
    <w:rsid w:val="00464DA0"/>
    <w:rsid w:val="004669DB"/>
    <w:rsid w:val="004A1627"/>
    <w:rsid w:val="004D4DEE"/>
    <w:rsid w:val="004E76AE"/>
    <w:rsid w:val="00507F23"/>
    <w:rsid w:val="00514593"/>
    <w:rsid w:val="005166A6"/>
    <w:rsid w:val="00553E58"/>
    <w:rsid w:val="005616CC"/>
    <w:rsid w:val="005642B3"/>
    <w:rsid w:val="00565336"/>
    <w:rsid w:val="005732A3"/>
    <w:rsid w:val="00575B2C"/>
    <w:rsid w:val="00582F85"/>
    <w:rsid w:val="005C202C"/>
    <w:rsid w:val="005D081A"/>
    <w:rsid w:val="005F2273"/>
    <w:rsid w:val="006102C6"/>
    <w:rsid w:val="00641F0C"/>
    <w:rsid w:val="00647788"/>
    <w:rsid w:val="00652D57"/>
    <w:rsid w:val="00666863"/>
    <w:rsid w:val="00677683"/>
    <w:rsid w:val="006847AC"/>
    <w:rsid w:val="006951BF"/>
    <w:rsid w:val="006A2EB2"/>
    <w:rsid w:val="006D0A58"/>
    <w:rsid w:val="006D36DC"/>
    <w:rsid w:val="006D593A"/>
    <w:rsid w:val="006E57A3"/>
    <w:rsid w:val="0070348A"/>
    <w:rsid w:val="007178BA"/>
    <w:rsid w:val="0073297F"/>
    <w:rsid w:val="00793AF0"/>
    <w:rsid w:val="007A2421"/>
    <w:rsid w:val="007C758A"/>
    <w:rsid w:val="007F4E20"/>
    <w:rsid w:val="00801B19"/>
    <w:rsid w:val="00816A6C"/>
    <w:rsid w:val="008545D1"/>
    <w:rsid w:val="008842CE"/>
    <w:rsid w:val="008866E8"/>
    <w:rsid w:val="00890D53"/>
    <w:rsid w:val="008A4311"/>
    <w:rsid w:val="008A4B6F"/>
    <w:rsid w:val="008B4388"/>
    <w:rsid w:val="008D020C"/>
    <w:rsid w:val="00922E47"/>
    <w:rsid w:val="00925E21"/>
    <w:rsid w:val="00933952"/>
    <w:rsid w:val="009E7E00"/>
    <w:rsid w:val="00A03E25"/>
    <w:rsid w:val="00A0539F"/>
    <w:rsid w:val="00A25973"/>
    <w:rsid w:val="00A31269"/>
    <w:rsid w:val="00A32269"/>
    <w:rsid w:val="00A47E2F"/>
    <w:rsid w:val="00A70179"/>
    <w:rsid w:val="00A74CCD"/>
    <w:rsid w:val="00A76D1B"/>
    <w:rsid w:val="00A9331B"/>
    <w:rsid w:val="00AC0FFB"/>
    <w:rsid w:val="00AD2551"/>
    <w:rsid w:val="00AD37E5"/>
    <w:rsid w:val="00AF2F79"/>
    <w:rsid w:val="00AF3B3E"/>
    <w:rsid w:val="00B13AD3"/>
    <w:rsid w:val="00B1693A"/>
    <w:rsid w:val="00B20C0D"/>
    <w:rsid w:val="00B26B58"/>
    <w:rsid w:val="00B445D9"/>
    <w:rsid w:val="00B532C3"/>
    <w:rsid w:val="00B94AFC"/>
    <w:rsid w:val="00B95F3B"/>
    <w:rsid w:val="00BA0860"/>
    <w:rsid w:val="00BC3BE5"/>
    <w:rsid w:val="00BD4745"/>
    <w:rsid w:val="00BE182E"/>
    <w:rsid w:val="00BE4405"/>
    <w:rsid w:val="00C22340"/>
    <w:rsid w:val="00C22AB9"/>
    <w:rsid w:val="00C636C2"/>
    <w:rsid w:val="00CB56CD"/>
    <w:rsid w:val="00CB6BC5"/>
    <w:rsid w:val="00CD04DF"/>
    <w:rsid w:val="00CD2ADF"/>
    <w:rsid w:val="00CD4158"/>
    <w:rsid w:val="00D03290"/>
    <w:rsid w:val="00D47451"/>
    <w:rsid w:val="00D7136A"/>
    <w:rsid w:val="00D72D36"/>
    <w:rsid w:val="00DA2A81"/>
    <w:rsid w:val="00DC7A41"/>
    <w:rsid w:val="00DE6CA5"/>
    <w:rsid w:val="00E11B1E"/>
    <w:rsid w:val="00E16015"/>
    <w:rsid w:val="00E24412"/>
    <w:rsid w:val="00E25A33"/>
    <w:rsid w:val="00E37984"/>
    <w:rsid w:val="00E65BFD"/>
    <w:rsid w:val="00EA43F8"/>
    <w:rsid w:val="00EB38E2"/>
    <w:rsid w:val="00ED0E5B"/>
    <w:rsid w:val="00EE68E4"/>
    <w:rsid w:val="00EF7DF2"/>
    <w:rsid w:val="00F32FEB"/>
    <w:rsid w:val="00F514E4"/>
    <w:rsid w:val="00F628C7"/>
    <w:rsid w:val="00F66E50"/>
    <w:rsid w:val="00F8213A"/>
    <w:rsid w:val="00F87883"/>
    <w:rsid w:val="00FA4D8A"/>
    <w:rsid w:val="00FB5E27"/>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5C70-11FA-4533-84CB-C9B52F1C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2020-04-15T01:49:00Z</dcterms:created>
  <dcterms:modified xsi:type="dcterms:W3CDTF">2020-04-22T05:56:00Z</dcterms:modified>
</cp:coreProperties>
</file>