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126"/>
        <w:gridCol w:w="2126"/>
        <w:gridCol w:w="3827"/>
        <w:gridCol w:w="5245"/>
      </w:tblGrid>
      <w:tr w:rsidR="0010394D" w:rsidRPr="0090737E" w14:paraId="704C1A44" w14:textId="77777777" w:rsidTr="00F40D87">
        <w:trPr>
          <w:cantSplit/>
          <w:tblHeader/>
        </w:trPr>
        <w:tc>
          <w:tcPr>
            <w:tcW w:w="2127" w:type="dxa"/>
          </w:tcPr>
          <w:p w14:paraId="6219EDBF" w14:textId="77777777" w:rsidR="0010394D" w:rsidRPr="0090737E" w:rsidRDefault="001047FA" w:rsidP="001047FA">
            <w:pPr>
              <w:pStyle w:val="Header"/>
              <w:spacing w:after="240"/>
              <w:contextualSpacing/>
              <w:jc w:val="center"/>
              <w:rPr>
                <w:rFonts w:ascii="Arial" w:hAnsi="Arial" w:cs="Arial"/>
                <w:b/>
                <w:snapToGrid w:val="0"/>
                <w:sz w:val="20"/>
                <w:lang w:eastAsia="en-US"/>
              </w:rPr>
            </w:pPr>
            <w:bookmarkStart w:id="0" w:name="_GoBack"/>
            <w:bookmarkEnd w:id="0"/>
            <w:r w:rsidRPr="0090737E">
              <w:rPr>
                <w:rFonts w:ascii="Arial" w:hAnsi="Arial" w:cs="Arial"/>
                <w:b/>
                <w:snapToGrid w:val="0"/>
                <w:sz w:val="20"/>
                <w:lang w:eastAsia="en-US"/>
              </w:rPr>
              <w:t>DRUG NAME, FORM(S), STRENGTH(S), SPONSOR, TYPE OF SUBMISSION</w:t>
            </w:r>
          </w:p>
        </w:tc>
        <w:tc>
          <w:tcPr>
            <w:tcW w:w="2126" w:type="dxa"/>
          </w:tcPr>
          <w:p w14:paraId="17C2ADCD" w14:textId="77777777" w:rsidR="001047FA" w:rsidRPr="0090737E" w:rsidRDefault="001047FA" w:rsidP="001047FA">
            <w:pPr>
              <w:pStyle w:val="Header"/>
              <w:spacing w:after="240"/>
              <w:contextualSpacing/>
              <w:jc w:val="center"/>
              <w:rPr>
                <w:rFonts w:ascii="Arial" w:hAnsi="Arial" w:cs="Arial"/>
                <w:b/>
                <w:snapToGrid w:val="0"/>
                <w:sz w:val="20"/>
                <w:lang w:eastAsia="en-US"/>
              </w:rPr>
            </w:pPr>
            <w:r w:rsidRPr="0090737E">
              <w:rPr>
                <w:rFonts w:ascii="Arial" w:hAnsi="Arial" w:cs="Arial"/>
                <w:b/>
                <w:snapToGrid w:val="0"/>
                <w:sz w:val="20"/>
                <w:lang w:eastAsia="en-US"/>
              </w:rPr>
              <w:t>TGA INDICATION</w:t>
            </w:r>
          </w:p>
          <w:p w14:paraId="22925D27" w14:textId="77777777" w:rsidR="0010394D" w:rsidRPr="0090737E" w:rsidRDefault="0010394D" w:rsidP="001047FA">
            <w:pPr>
              <w:pStyle w:val="Header"/>
              <w:spacing w:after="240"/>
              <w:contextualSpacing/>
              <w:jc w:val="center"/>
              <w:rPr>
                <w:rFonts w:ascii="Arial" w:hAnsi="Arial" w:cs="Arial"/>
                <w:b/>
                <w:snapToGrid w:val="0"/>
                <w:sz w:val="20"/>
                <w:lang w:eastAsia="en-US"/>
              </w:rPr>
            </w:pPr>
          </w:p>
        </w:tc>
        <w:tc>
          <w:tcPr>
            <w:tcW w:w="2126" w:type="dxa"/>
          </w:tcPr>
          <w:p w14:paraId="640C662D" w14:textId="77777777" w:rsidR="0010394D" w:rsidRPr="0090737E" w:rsidRDefault="001047FA" w:rsidP="001047FA">
            <w:pPr>
              <w:pStyle w:val="Header"/>
              <w:spacing w:after="240"/>
              <w:contextualSpacing/>
              <w:jc w:val="center"/>
              <w:rPr>
                <w:rFonts w:ascii="Arial" w:hAnsi="Arial" w:cs="Arial"/>
                <w:b/>
                <w:snapToGrid w:val="0"/>
                <w:sz w:val="20"/>
                <w:lang w:eastAsia="en-US"/>
              </w:rPr>
            </w:pPr>
            <w:r w:rsidRPr="0090737E">
              <w:rPr>
                <w:rFonts w:ascii="Arial" w:hAnsi="Arial" w:cs="Arial"/>
                <w:b/>
                <w:snapToGrid w:val="0"/>
                <w:sz w:val="20"/>
                <w:lang w:eastAsia="en-US"/>
              </w:rPr>
              <w:t>CURRENT PBS LISTING</w:t>
            </w:r>
          </w:p>
        </w:tc>
        <w:tc>
          <w:tcPr>
            <w:tcW w:w="3827" w:type="dxa"/>
            <w:shd w:val="clear" w:color="auto" w:fill="auto"/>
          </w:tcPr>
          <w:p w14:paraId="4AB8B15A" w14:textId="77777777" w:rsidR="0010394D" w:rsidRPr="0090737E" w:rsidRDefault="001047FA" w:rsidP="001047FA">
            <w:pPr>
              <w:pStyle w:val="Header"/>
              <w:spacing w:after="240"/>
              <w:contextualSpacing/>
              <w:jc w:val="center"/>
              <w:rPr>
                <w:rFonts w:ascii="Arial" w:hAnsi="Arial" w:cs="Arial"/>
                <w:b/>
                <w:snapToGrid w:val="0"/>
                <w:sz w:val="20"/>
                <w:lang w:eastAsia="en-US"/>
              </w:rPr>
            </w:pPr>
            <w:r w:rsidRPr="0090737E">
              <w:rPr>
                <w:rFonts w:ascii="Arial" w:hAnsi="Arial" w:cs="Arial"/>
                <w:b/>
                <w:snapToGrid w:val="0"/>
                <w:sz w:val="20"/>
                <w:lang w:eastAsia="en-US"/>
              </w:rPr>
              <w:t>LISTING REQUESTED BY SPONSOR / PURPOSE OF SUBMISSION</w:t>
            </w:r>
          </w:p>
        </w:tc>
        <w:tc>
          <w:tcPr>
            <w:tcW w:w="5245" w:type="dxa"/>
          </w:tcPr>
          <w:p w14:paraId="2A789DD7" w14:textId="77777777" w:rsidR="0010394D" w:rsidRPr="0090737E" w:rsidRDefault="0010394D" w:rsidP="001047FA">
            <w:pPr>
              <w:pStyle w:val="Header"/>
              <w:spacing w:after="240"/>
              <w:contextualSpacing/>
              <w:jc w:val="center"/>
              <w:rPr>
                <w:rFonts w:ascii="Arial" w:hAnsi="Arial" w:cs="Arial"/>
                <w:b/>
                <w:snapToGrid w:val="0"/>
                <w:sz w:val="20"/>
                <w:lang w:eastAsia="en-US"/>
              </w:rPr>
            </w:pPr>
            <w:r w:rsidRPr="0090737E">
              <w:rPr>
                <w:rFonts w:ascii="Arial" w:hAnsi="Arial" w:cs="Arial"/>
                <w:b/>
                <w:snapToGrid w:val="0"/>
                <w:sz w:val="20"/>
                <w:lang w:eastAsia="en-US"/>
              </w:rPr>
              <w:t xml:space="preserve">PBAC </w:t>
            </w:r>
            <w:r w:rsidR="001047FA" w:rsidRPr="0090737E">
              <w:rPr>
                <w:rFonts w:ascii="Arial" w:hAnsi="Arial" w:cs="Arial"/>
                <w:b/>
                <w:snapToGrid w:val="0"/>
                <w:sz w:val="20"/>
                <w:lang w:eastAsia="en-US"/>
              </w:rPr>
              <w:t>OUTCOME</w:t>
            </w:r>
          </w:p>
        </w:tc>
      </w:tr>
      <w:tr w:rsidR="00CE363F" w:rsidRPr="0090737E" w14:paraId="032C9B39" w14:textId="77777777" w:rsidTr="00F40D87">
        <w:trPr>
          <w:cantSplit/>
          <w:trHeight w:val="433"/>
        </w:trPr>
        <w:tc>
          <w:tcPr>
            <w:tcW w:w="2127" w:type="dxa"/>
            <w:vMerge w:val="restart"/>
          </w:tcPr>
          <w:p w14:paraId="6A394542" w14:textId="10509BCA" w:rsidR="00CE363F" w:rsidRPr="0090737E" w:rsidRDefault="00B222D8" w:rsidP="00D81D5C">
            <w:pPr>
              <w:rPr>
                <w:rFonts w:ascii="Arial" w:hAnsi="Arial" w:cs="Arial"/>
                <w:color w:val="000000"/>
                <w:sz w:val="20"/>
              </w:rPr>
            </w:pPr>
            <w:r w:rsidRPr="0090737E">
              <w:rPr>
                <w:rFonts w:ascii="Arial" w:hAnsi="Arial" w:cs="Arial"/>
                <w:color w:val="000000"/>
                <w:sz w:val="20"/>
              </w:rPr>
              <w:t>NERATINIB</w:t>
            </w:r>
            <w:r w:rsidRPr="0090737E">
              <w:rPr>
                <w:rFonts w:ascii="Arial" w:hAnsi="Arial" w:cs="Arial"/>
                <w:color w:val="000000"/>
                <w:sz w:val="20"/>
              </w:rPr>
              <w:br/>
            </w:r>
            <w:r w:rsidRPr="0090737E">
              <w:rPr>
                <w:rFonts w:ascii="Arial" w:hAnsi="Arial" w:cs="Arial"/>
                <w:color w:val="000000"/>
                <w:sz w:val="20"/>
              </w:rPr>
              <w:br/>
              <w:t xml:space="preserve">Tablet 40 mg </w:t>
            </w:r>
            <w:r w:rsidRPr="0090737E">
              <w:rPr>
                <w:rFonts w:ascii="Arial" w:hAnsi="Arial" w:cs="Arial"/>
                <w:color w:val="000000"/>
                <w:sz w:val="20"/>
              </w:rPr>
              <w:br/>
            </w:r>
            <w:r w:rsidRPr="0090737E">
              <w:rPr>
                <w:rFonts w:ascii="Arial" w:hAnsi="Arial" w:cs="Arial"/>
                <w:color w:val="000000"/>
                <w:sz w:val="20"/>
              </w:rPr>
              <w:br/>
              <w:t>Nerlynx®</w:t>
            </w:r>
            <w:r w:rsidRPr="0090737E">
              <w:rPr>
                <w:rFonts w:ascii="Arial" w:hAnsi="Arial" w:cs="Arial"/>
                <w:color w:val="000000"/>
                <w:sz w:val="20"/>
              </w:rPr>
              <w:br/>
            </w:r>
            <w:r w:rsidRPr="0090737E">
              <w:rPr>
                <w:rFonts w:ascii="Arial" w:hAnsi="Arial" w:cs="Arial"/>
                <w:color w:val="000000"/>
                <w:sz w:val="20"/>
              </w:rPr>
              <w:br/>
              <w:t>Specialised Therapeutics Australia Pty Ltd</w:t>
            </w:r>
            <w:r w:rsidRPr="0090737E">
              <w:rPr>
                <w:rFonts w:ascii="Arial" w:hAnsi="Arial" w:cs="Arial"/>
                <w:color w:val="000000"/>
                <w:sz w:val="20"/>
              </w:rPr>
              <w:br/>
            </w:r>
            <w:r w:rsidRPr="0090737E">
              <w:rPr>
                <w:rFonts w:ascii="Arial" w:hAnsi="Arial" w:cs="Arial"/>
                <w:color w:val="000000"/>
                <w:sz w:val="20"/>
              </w:rPr>
              <w:br/>
              <w:t>New listing</w:t>
            </w:r>
            <w:r w:rsidRPr="0090737E">
              <w:rPr>
                <w:rFonts w:ascii="Arial" w:hAnsi="Arial" w:cs="Arial"/>
                <w:color w:val="000000"/>
                <w:sz w:val="20"/>
              </w:rPr>
              <w:br/>
              <w:t>(Major Submission)</w:t>
            </w:r>
          </w:p>
        </w:tc>
        <w:tc>
          <w:tcPr>
            <w:tcW w:w="2126" w:type="dxa"/>
            <w:vMerge w:val="restart"/>
          </w:tcPr>
          <w:p w14:paraId="33560C2C" w14:textId="39CAD996" w:rsidR="0064052F" w:rsidRPr="0090737E" w:rsidRDefault="0064052F" w:rsidP="0064052F">
            <w:pPr>
              <w:autoSpaceDE w:val="0"/>
              <w:autoSpaceDN w:val="0"/>
              <w:adjustRightInd w:val="0"/>
              <w:rPr>
                <w:rFonts w:ascii="Arial" w:eastAsia="TimesNewRomanPSMT" w:hAnsi="Arial" w:cs="Arial"/>
                <w:sz w:val="20"/>
              </w:rPr>
            </w:pPr>
            <w:r w:rsidRPr="0090737E">
              <w:rPr>
                <w:rFonts w:ascii="Arial" w:hAnsi="Arial" w:cs="Arial"/>
                <w:color w:val="000000"/>
                <w:sz w:val="20"/>
              </w:rPr>
              <w:t>Neratinib</w:t>
            </w:r>
            <w:r w:rsidRPr="0090737E">
              <w:rPr>
                <w:rFonts w:ascii="Arial" w:eastAsia="TimesNewRomanPSMT" w:hAnsi="Arial" w:cs="Arial"/>
                <w:sz w:val="20"/>
              </w:rPr>
              <w:t xml:space="preserve"> is indicated for the extended adjuvant treatment of adult patients with early-stage</w:t>
            </w:r>
            <w:r w:rsidRPr="0090737E">
              <w:rPr>
                <w:rFonts w:ascii="Arial" w:hAnsi="Arial" w:cs="Arial"/>
                <w:color w:val="000000"/>
                <w:sz w:val="20"/>
              </w:rPr>
              <w:t xml:space="preserve"> human epidermal growth factor receptor-2 (HER2)</w:t>
            </w:r>
          </w:p>
          <w:p w14:paraId="3222E7B1" w14:textId="3D930A8B" w:rsidR="00CE363F" w:rsidRPr="0090737E" w:rsidRDefault="0064052F" w:rsidP="0064052F">
            <w:pPr>
              <w:rPr>
                <w:rFonts w:ascii="Arial" w:hAnsi="Arial" w:cs="Arial"/>
                <w:sz w:val="20"/>
              </w:rPr>
            </w:pPr>
            <w:r w:rsidRPr="0090737E">
              <w:rPr>
                <w:rFonts w:ascii="Arial" w:eastAsia="TimesNewRomanPSMT" w:hAnsi="Arial" w:cs="Arial"/>
                <w:sz w:val="20"/>
              </w:rPr>
              <w:t>overexpressed/</w:t>
            </w:r>
            <w:r w:rsidR="00162407">
              <w:rPr>
                <w:rFonts w:ascii="Arial" w:eastAsia="TimesNewRomanPSMT" w:hAnsi="Arial" w:cs="Arial"/>
                <w:sz w:val="20"/>
              </w:rPr>
              <w:t xml:space="preserve"> </w:t>
            </w:r>
            <w:r w:rsidRPr="0090737E">
              <w:rPr>
                <w:rFonts w:ascii="Arial" w:eastAsia="TimesNewRomanPSMT" w:hAnsi="Arial" w:cs="Arial"/>
                <w:sz w:val="20"/>
              </w:rPr>
              <w:t>amplified breast cancer, to follow adjuvant trastuzumab based therapy.</w:t>
            </w:r>
          </w:p>
        </w:tc>
        <w:tc>
          <w:tcPr>
            <w:tcW w:w="2126" w:type="dxa"/>
            <w:vMerge w:val="restart"/>
          </w:tcPr>
          <w:p w14:paraId="001F4EAA" w14:textId="21507B5D" w:rsidR="00CE363F" w:rsidRPr="0090737E" w:rsidRDefault="0064052F" w:rsidP="00CE363F">
            <w:pPr>
              <w:spacing w:after="120"/>
              <w:rPr>
                <w:rFonts w:ascii="Arial" w:hAnsi="Arial" w:cs="Arial"/>
                <w:sz w:val="20"/>
              </w:rPr>
            </w:pPr>
            <w:r w:rsidRPr="0090737E">
              <w:rPr>
                <w:rFonts w:ascii="Arial" w:hAnsi="Arial" w:cs="Arial"/>
                <w:color w:val="000000"/>
                <w:sz w:val="20"/>
              </w:rPr>
              <w:t xml:space="preserve">Neratinib is not currently listed on the PBS. </w:t>
            </w:r>
          </w:p>
        </w:tc>
        <w:tc>
          <w:tcPr>
            <w:tcW w:w="3827" w:type="dxa"/>
          </w:tcPr>
          <w:p w14:paraId="4C198FAC" w14:textId="122630C3" w:rsidR="00CE363F" w:rsidRPr="0090737E" w:rsidRDefault="00B222D8" w:rsidP="002A76C1">
            <w:pPr>
              <w:rPr>
                <w:rFonts w:ascii="Arial" w:hAnsi="Arial" w:cs="Arial"/>
                <w:sz w:val="20"/>
              </w:rPr>
            </w:pPr>
            <w:r w:rsidRPr="0090737E">
              <w:rPr>
                <w:rFonts w:ascii="Arial" w:hAnsi="Arial" w:cs="Arial"/>
                <w:sz w:val="20"/>
              </w:rPr>
              <w:t xml:space="preserve">Resubmission to request an Authority Required listing for </w:t>
            </w:r>
            <w:r w:rsidR="0064052F" w:rsidRPr="0090737E">
              <w:rPr>
                <w:rFonts w:ascii="Arial" w:hAnsi="Arial" w:cs="Arial"/>
                <w:sz w:val="20"/>
              </w:rPr>
              <w:t xml:space="preserve">the </w:t>
            </w:r>
            <w:r w:rsidRPr="0090737E">
              <w:rPr>
                <w:rFonts w:ascii="Arial" w:hAnsi="Arial" w:cs="Arial"/>
                <w:sz w:val="20"/>
              </w:rPr>
              <w:t xml:space="preserve">extended adjuvant treatment of patients with </w:t>
            </w:r>
            <w:r w:rsidR="002A76C1" w:rsidRPr="0090737E">
              <w:rPr>
                <w:rFonts w:ascii="Arial" w:hAnsi="Arial" w:cs="Arial"/>
                <w:sz w:val="20"/>
              </w:rPr>
              <w:t>HER2+</w:t>
            </w:r>
            <w:r w:rsidR="003D777D">
              <w:rPr>
                <w:rFonts w:ascii="Arial" w:hAnsi="Arial" w:cs="Arial"/>
                <w:sz w:val="20"/>
              </w:rPr>
              <w:t>,</w:t>
            </w:r>
            <w:r w:rsidRPr="0090737E">
              <w:rPr>
                <w:rFonts w:ascii="Arial" w:hAnsi="Arial" w:cs="Arial"/>
                <w:sz w:val="20"/>
              </w:rPr>
              <w:t xml:space="preserve"> </w:t>
            </w:r>
            <w:r w:rsidR="003D777D">
              <w:rPr>
                <w:rFonts w:ascii="Arial" w:hAnsi="Arial" w:cs="Arial"/>
                <w:sz w:val="20"/>
              </w:rPr>
              <w:t>hormone receptor positive (</w:t>
            </w:r>
            <w:r w:rsidR="003D777D" w:rsidRPr="004914F2">
              <w:rPr>
                <w:rFonts w:ascii="Arial" w:hAnsi="Arial" w:cs="Arial"/>
                <w:sz w:val="20"/>
              </w:rPr>
              <w:t>HR+</w:t>
            </w:r>
            <w:r w:rsidR="003D777D">
              <w:rPr>
                <w:rFonts w:ascii="Arial" w:hAnsi="Arial" w:cs="Arial"/>
                <w:sz w:val="20"/>
              </w:rPr>
              <w:t xml:space="preserve">) </w:t>
            </w:r>
            <w:r w:rsidRPr="0090737E">
              <w:rPr>
                <w:rFonts w:ascii="Arial" w:hAnsi="Arial" w:cs="Arial"/>
                <w:sz w:val="20"/>
              </w:rPr>
              <w:t xml:space="preserve">early breast cancer </w:t>
            </w:r>
            <w:r w:rsidR="002A76C1" w:rsidRPr="0090737E">
              <w:rPr>
                <w:rFonts w:ascii="Arial" w:hAnsi="Arial" w:cs="Arial"/>
                <w:sz w:val="20"/>
              </w:rPr>
              <w:t xml:space="preserve">(eBC) </w:t>
            </w:r>
            <w:r w:rsidRPr="0090737E">
              <w:rPr>
                <w:rFonts w:ascii="Arial" w:hAnsi="Arial" w:cs="Arial"/>
                <w:sz w:val="20"/>
              </w:rPr>
              <w:t>who have received prior adjuvant trastuzumab therapy</w:t>
            </w:r>
            <w:r w:rsidR="003D777D">
              <w:rPr>
                <w:rFonts w:ascii="Arial" w:hAnsi="Arial" w:cs="Arial"/>
                <w:sz w:val="20"/>
              </w:rPr>
              <w:t xml:space="preserve"> </w:t>
            </w:r>
            <w:r w:rsidR="003D777D" w:rsidRPr="004914F2">
              <w:rPr>
                <w:rFonts w:ascii="Arial" w:hAnsi="Arial" w:cs="Arial"/>
                <w:sz w:val="20"/>
              </w:rPr>
              <w:t>within the past 12 months</w:t>
            </w:r>
            <w:r w:rsidRPr="0090737E">
              <w:rPr>
                <w:rFonts w:ascii="Arial" w:hAnsi="Arial" w:cs="Arial"/>
                <w:sz w:val="20"/>
              </w:rPr>
              <w:t>.</w:t>
            </w:r>
          </w:p>
        </w:tc>
        <w:tc>
          <w:tcPr>
            <w:tcW w:w="5245" w:type="dxa"/>
          </w:tcPr>
          <w:p w14:paraId="0BA99101" w14:textId="1C3CA596" w:rsidR="00CE363F" w:rsidRPr="004914F2" w:rsidRDefault="004914F2" w:rsidP="00CE363F">
            <w:pPr>
              <w:spacing w:after="120"/>
              <w:rPr>
                <w:rFonts w:ascii="Arial" w:hAnsi="Arial" w:cs="Arial"/>
                <w:sz w:val="20"/>
              </w:rPr>
            </w:pPr>
            <w:r w:rsidRPr="004914F2">
              <w:rPr>
                <w:rFonts w:ascii="Arial" w:hAnsi="Arial" w:cs="Arial"/>
                <w:sz w:val="20"/>
              </w:rPr>
              <w:t xml:space="preserve">The PBAC did not recommend an Authority Required listing for neratinib for extended adjuvant treatment of adult patients with HER2+ eBC who have completed prior adjuvant trastuzumab-based therapy. </w:t>
            </w:r>
            <w:r w:rsidRPr="004914F2">
              <w:rPr>
                <w:rFonts w:ascii="Arial" w:hAnsi="Arial" w:cs="Arial"/>
                <w:sz w:val="20"/>
              </w:rPr>
              <w:br/>
            </w:r>
            <w:r w:rsidRPr="004914F2">
              <w:rPr>
                <w:rFonts w:ascii="Arial" w:hAnsi="Arial" w:cs="Arial"/>
                <w:sz w:val="20"/>
              </w:rPr>
              <w:br/>
              <w:t xml:space="preserve">The PBAC considered that for </w:t>
            </w:r>
            <w:r w:rsidR="00CB2090">
              <w:rPr>
                <w:rFonts w:ascii="Arial" w:hAnsi="Arial" w:cs="Arial"/>
                <w:sz w:val="20"/>
              </w:rPr>
              <w:t xml:space="preserve">part of the proposed </w:t>
            </w:r>
            <w:r w:rsidRPr="004914F2">
              <w:rPr>
                <w:rFonts w:ascii="Arial" w:hAnsi="Arial" w:cs="Arial"/>
                <w:sz w:val="20"/>
              </w:rPr>
              <w:t>population, there were no or limited data and therefore the clinical benefit could not be demonstrated. In the remaining population, the clinical benefit of neratinib would be small and the effect was likely to be lower than observed in a broader trial population.</w:t>
            </w:r>
            <w:r w:rsidR="00DF2AA6">
              <w:rPr>
                <w:rFonts w:ascii="Arial" w:hAnsi="Arial" w:cs="Arial"/>
                <w:sz w:val="20"/>
              </w:rPr>
              <w:t xml:space="preserve"> Overall, t</w:t>
            </w:r>
            <w:r w:rsidR="00DF2AA6" w:rsidRPr="004914F2">
              <w:rPr>
                <w:rFonts w:ascii="Arial" w:hAnsi="Arial" w:cs="Arial"/>
                <w:sz w:val="20"/>
              </w:rPr>
              <w:t xml:space="preserve">he PBAC considered the clinical place of neratinib was reduced to a limited and diminishing population given the changing landscape for treatment of HER2+ eBC. </w:t>
            </w:r>
            <w:r w:rsidRPr="004914F2">
              <w:rPr>
                <w:rFonts w:ascii="Arial" w:hAnsi="Arial" w:cs="Arial"/>
                <w:sz w:val="20"/>
              </w:rPr>
              <w:t xml:space="preserve"> </w:t>
            </w:r>
          </w:p>
        </w:tc>
      </w:tr>
      <w:tr w:rsidR="00CE363F" w:rsidRPr="0090737E" w14:paraId="7831E6A5" w14:textId="77777777" w:rsidTr="00F40D87">
        <w:trPr>
          <w:cantSplit/>
          <w:trHeight w:val="433"/>
        </w:trPr>
        <w:tc>
          <w:tcPr>
            <w:tcW w:w="2127" w:type="dxa"/>
            <w:vMerge/>
          </w:tcPr>
          <w:p w14:paraId="7E18AC27" w14:textId="77777777" w:rsidR="00CE363F" w:rsidRPr="0090737E" w:rsidRDefault="00CE363F" w:rsidP="00CE363F">
            <w:pPr>
              <w:rPr>
                <w:rFonts w:ascii="Arial" w:hAnsi="Arial" w:cs="Arial"/>
                <w:sz w:val="20"/>
              </w:rPr>
            </w:pPr>
          </w:p>
        </w:tc>
        <w:tc>
          <w:tcPr>
            <w:tcW w:w="2126" w:type="dxa"/>
            <w:vMerge/>
          </w:tcPr>
          <w:p w14:paraId="13915C51" w14:textId="77777777" w:rsidR="00CE363F" w:rsidRPr="0090737E" w:rsidRDefault="00CE363F" w:rsidP="00CE363F">
            <w:pPr>
              <w:rPr>
                <w:rFonts w:ascii="Arial" w:hAnsi="Arial" w:cs="Arial"/>
                <w:sz w:val="20"/>
              </w:rPr>
            </w:pPr>
          </w:p>
        </w:tc>
        <w:tc>
          <w:tcPr>
            <w:tcW w:w="2126" w:type="dxa"/>
            <w:vMerge/>
          </w:tcPr>
          <w:p w14:paraId="4A8F448D" w14:textId="77777777" w:rsidR="00CE363F" w:rsidRPr="0090737E" w:rsidRDefault="00CE363F" w:rsidP="00CE363F">
            <w:pPr>
              <w:rPr>
                <w:rFonts w:ascii="Arial" w:hAnsi="Arial" w:cs="Arial"/>
                <w:sz w:val="20"/>
              </w:rPr>
            </w:pPr>
          </w:p>
        </w:tc>
        <w:tc>
          <w:tcPr>
            <w:tcW w:w="3827" w:type="dxa"/>
          </w:tcPr>
          <w:p w14:paraId="7545A6BE" w14:textId="2DB51C85" w:rsidR="00CE363F" w:rsidRPr="0090737E" w:rsidRDefault="00CE363F">
            <w:pPr>
              <w:pStyle w:val="ListBullet"/>
              <w:spacing w:after="120"/>
            </w:pPr>
            <w:r w:rsidRPr="0090737E">
              <w:t xml:space="preserve">Comparator: </w:t>
            </w:r>
            <w:r w:rsidR="005543EB" w:rsidRPr="0090737E">
              <w:t xml:space="preserve">usual care/placebo </w:t>
            </w:r>
          </w:p>
        </w:tc>
        <w:tc>
          <w:tcPr>
            <w:tcW w:w="5245" w:type="dxa"/>
          </w:tcPr>
          <w:p w14:paraId="0C1AB8D8" w14:textId="2DA754FB" w:rsidR="00CE363F" w:rsidRPr="0090737E" w:rsidRDefault="00162407">
            <w:pPr>
              <w:spacing w:after="120"/>
              <w:rPr>
                <w:rFonts w:ascii="Arial" w:hAnsi="Arial" w:cs="Arial"/>
                <w:sz w:val="20"/>
                <w:highlight w:val="yellow"/>
              </w:rPr>
            </w:pPr>
            <w:r>
              <w:rPr>
                <w:rFonts w:ascii="Arial" w:hAnsi="Arial" w:cs="Arial"/>
                <w:bCs/>
                <w:sz w:val="20"/>
              </w:rPr>
              <w:t>The main comparator was</w:t>
            </w:r>
            <w:r w:rsidRPr="00162407">
              <w:rPr>
                <w:rFonts w:ascii="Arial" w:hAnsi="Arial" w:cs="Arial"/>
                <w:bCs/>
                <w:sz w:val="20"/>
              </w:rPr>
              <w:t xml:space="preserve"> unchanged from the </w:t>
            </w:r>
            <w:r>
              <w:rPr>
                <w:rFonts w:ascii="Arial" w:hAnsi="Arial" w:cs="Arial"/>
                <w:bCs/>
                <w:sz w:val="20"/>
              </w:rPr>
              <w:t>previous submission (</w:t>
            </w:r>
            <w:r w:rsidRPr="00162407">
              <w:rPr>
                <w:rFonts w:ascii="Arial" w:hAnsi="Arial" w:cs="Arial"/>
                <w:bCs/>
                <w:sz w:val="20"/>
              </w:rPr>
              <w:t>March 2019 PBAC meeting</w:t>
            </w:r>
            <w:r>
              <w:rPr>
                <w:rFonts w:ascii="Arial" w:hAnsi="Arial" w:cs="Arial"/>
                <w:bCs/>
                <w:sz w:val="20"/>
              </w:rPr>
              <w:t>)</w:t>
            </w:r>
            <w:r w:rsidRPr="00162407">
              <w:rPr>
                <w:rFonts w:ascii="Arial" w:hAnsi="Arial" w:cs="Arial"/>
                <w:bCs/>
                <w:sz w:val="20"/>
              </w:rPr>
              <w:t>.</w:t>
            </w:r>
            <w:r>
              <w:rPr>
                <w:rFonts w:ascii="Arial" w:hAnsi="Arial" w:cs="Arial"/>
                <w:bCs/>
                <w:sz w:val="20"/>
              </w:rPr>
              <w:t xml:space="preserve"> </w:t>
            </w:r>
            <w:r w:rsidR="004914F2" w:rsidRPr="004914F2">
              <w:rPr>
                <w:rFonts w:ascii="Arial" w:hAnsi="Arial" w:cs="Arial"/>
                <w:bCs/>
                <w:sz w:val="20"/>
              </w:rPr>
              <w:t>The PBAC previously accepted the nominated main comparator as being appropriate.</w:t>
            </w:r>
          </w:p>
        </w:tc>
      </w:tr>
      <w:tr w:rsidR="00CE363F" w:rsidRPr="0090737E" w14:paraId="2891A217" w14:textId="77777777" w:rsidTr="00F40D87">
        <w:trPr>
          <w:cantSplit/>
          <w:trHeight w:val="433"/>
        </w:trPr>
        <w:tc>
          <w:tcPr>
            <w:tcW w:w="2127" w:type="dxa"/>
            <w:vMerge/>
          </w:tcPr>
          <w:p w14:paraId="471D2CBF" w14:textId="77777777" w:rsidR="00CE363F" w:rsidRPr="0090737E" w:rsidRDefault="00CE363F" w:rsidP="00CE363F">
            <w:pPr>
              <w:rPr>
                <w:rFonts w:ascii="Arial" w:hAnsi="Arial" w:cs="Arial"/>
                <w:sz w:val="20"/>
              </w:rPr>
            </w:pPr>
          </w:p>
        </w:tc>
        <w:tc>
          <w:tcPr>
            <w:tcW w:w="2126" w:type="dxa"/>
            <w:vMerge/>
          </w:tcPr>
          <w:p w14:paraId="454A7334" w14:textId="77777777" w:rsidR="00CE363F" w:rsidRPr="0090737E" w:rsidRDefault="00CE363F" w:rsidP="00CE363F">
            <w:pPr>
              <w:rPr>
                <w:rFonts w:ascii="Arial" w:hAnsi="Arial" w:cs="Arial"/>
                <w:sz w:val="20"/>
              </w:rPr>
            </w:pPr>
          </w:p>
        </w:tc>
        <w:tc>
          <w:tcPr>
            <w:tcW w:w="2126" w:type="dxa"/>
            <w:vMerge/>
          </w:tcPr>
          <w:p w14:paraId="5432673C" w14:textId="77777777" w:rsidR="00CE363F" w:rsidRPr="0090737E" w:rsidRDefault="00CE363F" w:rsidP="00CE363F">
            <w:pPr>
              <w:rPr>
                <w:rFonts w:ascii="Arial" w:hAnsi="Arial" w:cs="Arial"/>
                <w:sz w:val="20"/>
              </w:rPr>
            </w:pPr>
          </w:p>
        </w:tc>
        <w:tc>
          <w:tcPr>
            <w:tcW w:w="3827" w:type="dxa"/>
          </w:tcPr>
          <w:p w14:paraId="2CAF3E5E" w14:textId="0661C7FD" w:rsidR="00CE363F" w:rsidRPr="0090737E" w:rsidRDefault="00CE363F" w:rsidP="002A76C1">
            <w:pPr>
              <w:pStyle w:val="ListBullet"/>
              <w:spacing w:after="120"/>
            </w:pPr>
            <w:r w:rsidRPr="0090737E">
              <w:t xml:space="preserve">Clinical claim: </w:t>
            </w:r>
            <w:r w:rsidR="002A76C1" w:rsidRPr="0090737E">
              <w:t>neratinib was superior in terms of effectiveness compared with placebo in patients with HER2+ eBC but inferior in terms of safety to placebo.</w:t>
            </w:r>
          </w:p>
        </w:tc>
        <w:tc>
          <w:tcPr>
            <w:tcW w:w="5245" w:type="dxa"/>
          </w:tcPr>
          <w:p w14:paraId="03692080" w14:textId="71EFF708" w:rsidR="004914F2" w:rsidRPr="004914F2" w:rsidRDefault="004914F2" w:rsidP="004914F2">
            <w:pPr>
              <w:spacing w:after="160"/>
              <w:jc w:val="both"/>
              <w:rPr>
                <w:rFonts w:ascii="Arial" w:hAnsi="Arial" w:cs="Arial"/>
                <w:sz w:val="20"/>
              </w:rPr>
            </w:pPr>
            <w:r w:rsidRPr="004914F2">
              <w:rPr>
                <w:rFonts w:ascii="Arial" w:hAnsi="Arial" w:cs="Arial"/>
                <w:sz w:val="20"/>
              </w:rPr>
              <w:t xml:space="preserve">The PBAC maintained its view from its previous consideration that the claim of superior comparative effectiveness was not supported by the data. The PBAC considered the difference in </w:t>
            </w:r>
            <w:r w:rsidR="007F26C7" w:rsidRPr="007F26C7">
              <w:rPr>
                <w:rFonts w:ascii="Arial" w:hAnsi="Arial" w:cs="Arial"/>
                <w:sz w:val="20"/>
              </w:rPr>
              <w:t>invasive disease-free survival</w:t>
            </w:r>
            <w:r w:rsidRPr="004914F2">
              <w:rPr>
                <w:rFonts w:ascii="Arial" w:hAnsi="Arial" w:cs="Arial"/>
                <w:sz w:val="20"/>
              </w:rPr>
              <w:t xml:space="preserve"> to be small and uncertain given the potential for a high risk of bias</w:t>
            </w:r>
            <w:r w:rsidR="000B66A5">
              <w:rPr>
                <w:rFonts w:ascii="Arial" w:hAnsi="Arial" w:cs="Arial"/>
                <w:sz w:val="20"/>
              </w:rPr>
              <w:t>.</w:t>
            </w:r>
            <w:r w:rsidRPr="004914F2">
              <w:rPr>
                <w:rFonts w:ascii="Arial" w:hAnsi="Arial" w:cs="Arial"/>
                <w:sz w:val="20"/>
              </w:rPr>
              <w:t xml:space="preserve"> Further, the PBAC noted </w:t>
            </w:r>
            <w:r w:rsidR="003A05DC">
              <w:rPr>
                <w:rFonts w:ascii="Arial" w:hAnsi="Arial" w:cs="Arial"/>
                <w:sz w:val="20"/>
              </w:rPr>
              <w:t>in the absence of</w:t>
            </w:r>
            <w:r w:rsidR="003A05DC" w:rsidRPr="004914F2">
              <w:rPr>
                <w:rFonts w:ascii="Arial" w:hAnsi="Arial" w:cs="Arial"/>
                <w:sz w:val="20"/>
              </w:rPr>
              <w:t xml:space="preserve"> </w:t>
            </w:r>
            <w:r w:rsidRPr="004914F2">
              <w:rPr>
                <w:rFonts w:ascii="Arial" w:hAnsi="Arial" w:cs="Arial"/>
                <w:sz w:val="20"/>
              </w:rPr>
              <w:t>overall survival data</w:t>
            </w:r>
            <w:r w:rsidR="003A05DC">
              <w:rPr>
                <w:rFonts w:ascii="Arial" w:hAnsi="Arial" w:cs="Arial"/>
                <w:sz w:val="20"/>
              </w:rPr>
              <w:t>,</w:t>
            </w:r>
            <w:r w:rsidRPr="004914F2">
              <w:rPr>
                <w:rFonts w:ascii="Arial" w:hAnsi="Arial" w:cs="Arial"/>
                <w:sz w:val="20"/>
              </w:rPr>
              <w:t xml:space="preserve"> the long term benefits of neratinib therapy are unknown. </w:t>
            </w:r>
          </w:p>
          <w:p w14:paraId="59F86042" w14:textId="209FBC17" w:rsidR="00CE363F" w:rsidRPr="0090737E" w:rsidRDefault="004914F2" w:rsidP="004914F2">
            <w:pPr>
              <w:spacing w:after="160"/>
              <w:jc w:val="both"/>
              <w:rPr>
                <w:rFonts w:ascii="Arial" w:hAnsi="Arial" w:cs="Arial"/>
                <w:sz w:val="20"/>
              </w:rPr>
            </w:pPr>
            <w:r w:rsidRPr="004914F2">
              <w:rPr>
                <w:rFonts w:ascii="Arial" w:hAnsi="Arial" w:cs="Arial"/>
                <w:sz w:val="20"/>
              </w:rPr>
              <w:t>The PBAC considered that the claim of inferior comparative safety was reasonable and consistent with the data. The PBAC noted that the patient support program appears to have helped patients and oncologists manage the adverse events associated with neratinib. However, the PBAC maintained its view from its previous consideration that the adverse events experienced with neratinib therapy compared to placebo were significant and may outweigh the small benefit for some patients.</w:t>
            </w:r>
          </w:p>
        </w:tc>
      </w:tr>
      <w:tr w:rsidR="00CE363F" w:rsidRPr="0090737E" w14:paraId="08BE699B" w14:textId="77777777" w:rsidTr="00F40D87">
        <w:trPr>
          <w:cantSplit/>
          <w:trHeight w:val="433"/>
        </w:trPr>
        <w:tc>
          <w:tcPr>
            <w:tcW w:w="2127" w:type="dxa"/>
            <w:vMerge/>
          </w:tcPr>
          <w:p w14:paraId="22DB0089" w14:textId="77777777" w:rsidR="00CE363F" w:rsidRPr="0090737E" w:rsidRDefault="00CE363F" w:rsidP="00CE363F">
            <w:pPr>
              <w:rPr>
                <w:rFonts w:ascii="Arial" w:hAnsi="Arial" w:cs="Arial"/>
                <w:sz w:val="20"/>
              </w:rPr>
            </w:pPr>
          </w:p>
        </w:tc>
        <w:tc>
          <w:tcPr>
            <w:tcW w:w="2126" w:type="dxa"/>
            <w:vMerge/>
          </w:tcPr>
          <w:p w14:paraId="46B05937" w14:textId="77777777" w:rsidR="00CE363F" w:rsidRPr="0090737E" w:rsidRDefault="00CE363F" w:rsidP="00CE363F">
            <w:pPr>
              <w:rPr>
                <w:rFonts w:ascii="Arial" w:hAnsi="Arial" w:cs="Arial"/>
                <w:sz w:val="20"/>
              </w:rPr>
            </w:pPr>
          </w:p>
        </w:tc>
        <w:tc>
          <w:tcPr>
            <w:tcW w:w="2126" w:type="dxa"/>
            <w:vMerge/>
          </w:tcPr>
          <w:p w14:paraId="765B7DD3" w14:textId="77777777" w:rsidR="00CE363F" w:rsidRPr="0090737E" w:rsidRDefault="00CE363F" w:rsidP="00CE363F">
            <w:pPr>
              <w:rPr>
                <w:rFonts w:ascii="Arial" w:hAnsi="Arial" w:cs="Arial"/>
                <w:sz w:val="20"/>
              </w:rPr>
            </w:pPr>
          </w:p>
        </w:tc>
        <w:tc>
          <w:tcPr>
            <w:tcW w:w="3827" w:type="dxa"/>
          </w:tcPr>
          <w:p w14:paraId="2EF7089B" w14:textId="4003147F" w:rsidR="00CE363F" w:rsidRPr="0090737E" w:rsidRDefault="00CE363F" w:rsidP="008A5A08">
            <w:pPr>
              <w:pStyle w:val="ListBullet"/>
              <w:spacing w:after="120"/>
            </w:pPr>
            <w:r w:rsidRPr="0090737E">
              <w:t xml:space="preserve">Economic claim: </w:t>
            </w:r>
            <w:r w:rsidR="005543EB" w:rsidRPr="0090737E">
              <w:rPr>
                <w:snapToGrid/>
                <w:lang w:eastAsia="en-AU"/>
              </w:rPr>
              <w:t>cost-utility analysis comparing neratinib to usual care/placebo</w:t>
            </w:r>
            <w:r w:rsidR="003C1AF2" w:rsidRPr="0090737E">
              <w:rPr>
                <w:snapToGrid/>
                <w:lang w:eastAsia="en-AU"/>
              </w:rPr>
              <w:t>.</w:t>
            </w:r>
          </w:p>
        </w:tc>
        <w:tc>
          <w:tcPr>
            <w:tcW w:w="5245" w:type="dxa"/>
          </w:tcPr>
          <w:p w14:paraId="5611ED03" w14:textId="7F411E69" w:rsidR="00CE363F" w:rsidRPr="0090737E" w:rsidRDefault="001F4642" w:rsidP="003815DE">
            <w:pPr>
              <w:rPr>
                <w:rFonts w:ascii="Arial" w:hAnsi="Arial" w:cs="Arial"/>
                <w:bCs/>
                <w:sz w:val="20"/>
                <w:lang w:val="en-GB"/>
              </w:rPr>
            </w:pPr>
            <w:r w:rsidRPr="001F4642">
              <w:rPr>
                <w:rFonts w:ascii="Arial" w:hAnsi="Arial" w:cs="Arial"/>
                <w:color w:val="000000"/>
                <w:sz w:val="20"/>
                <w:szCs w:val="22"/>
              </w:rPr>
              <w:t xml:space="preserve">The PBAC considered the base case presented in the resubmission was highly optimistic due to assumptions and inputs that favoured neratinib. </w:t>
            </w:r>
            <w:r w:rsidR="00FE15EF">
              <w:rPr>
                <w:rFonts w:ascii="Arial" w:hAnsi="Arial" w:cs="Arial"/>
                <w:color w:val="000000"/>
                <w:sz w:val="20"/>
                <w:szCs w:val="22"/>
              </w:rPr>
              <w:t>T</w:t>
            </w:r>
            <w:r w:rsidR="00C31F75" w:rsidRPr="004914F2">
              <w:rPr>
                <w:rFonts w:ascii="Arial" w:hAnsi="Arial" w:cs="Arial"/>
                <w:sz w:val="20"/>
              </w:rPr>
              <w:t>he PBAC considered that</w:t>
            </w:r>
            <w:r w:rsidR="00A65D40">
              <w:rPr>
                <w:rFonts w:ascii="Arial" w:hAnsi="Arial" w:cs="Arial"/>
                <w:sz w:val="20"/>
              </w:rPr>
              <w:t xml:space="preserve"> </w:t>
            </w:r>
            <w:r w:rsidR="00A65D40" w:rsidRPr="00A65D40">
              <w:rPr>
                <w:rFonts w:ascii="Arial" w:hAnsi="Arial" w:cs="Arial"/>
                <w:sz w:val="20"/>
              </w:rPr>
              <w:t>the economic evaluation did not reflect use in the relevant population likely to use neratinib in clinical practice</w:t>
            </w:r>
            <w:r w:rsidR="00A65D40">
              <w:rPr>
                <w:rFonts w:ascii="Arial" w:hAnsi="Arial" w:cs="Arial"/>
                <w:sz w:val="20"/>
              </w:rPr>
              <w:t xml:space="preserve"> and therefore was not </w:t>
            </w:r>
            <w:r w:rsidR="00C31F75" w:rsidRPr="004914F2">
              <w:rPr>
                <w:rFonts w:ascii="Arial" w:hAnsi="Arial" w:cs="Arial"/>
                <w:sz w:val="20"/>
              </w:rPr>
              <w:t>a reliable basis for estimating the cost-effectiveness of neratinib</w:t>
            </w:r>
            <w:r w:rsidR="00A65D40">
              <w:rPr>
                <w:rFonts w:ascii="Arial" w:hAnsi="Arial" w:cs="Arial"/>
                <w:sz w:val="20"/>
              </w:rPr>
              <w:t>.</w:t>
            </w:r>
            <w:r w:rsidR="00C31F75" w:rsidRPr="004914F2">
              <w:rPr>
                <w:rFonts w:ascii="Arial" w:hAnsi="Arial" w:cs="Arial"/>
                <w:sz w:val="20"/>
              </w:rPr>
              <w:t xml:space="preserve"> The PBAC also considered that the financial estimates remained substantially overestimated.</w:t>
            </w:r>
          </w:p>
        </w:tc>
      </w:tr>
      <w:tr w:rsidR="00CE363F" w:rsidRPr="0090737E" w14:paraId="709553D2" w14:textId="77777777" w:rsidTr="00F40D87">
        <w:trPr>
          <w:cantSplit/>
          <w:trHeight w:val="433"/>
        </w:trPr>
        <w:tc>
          <w:tcPr>
            <w:tcW w:w="2127" w:type="dxa"/>
            <w:vMerge/>
          </w:tcPr>
          <w:p w14:paraId="728DCB3D" w14:textId="77777777" w:rsidR="00CE363F" w:rsidRPr="0090737E" w:rsidRDefault="00CE363F" w:rsidP="00CE363F">
            <w:pPr>
              <w:rPr>
                <w:rFonts w:ascii="Arial" w:hAnsi="Arial" w:cs="Arial"/>
                <w:sz w:val="20"/>
              </w:rPr>
            </w:pPr>
          </w:p>
        </w:tc>
        <w:tc>
          <w:tcPr>
            <w:tcW w:w="2126" w:type="dxa"/>
            <w:vMerge/>
          </w:tcPr>
          <w:p w14:paraId="44BAE9A8" w14:textId="77777777" w:rsidR="00CE363F" w:rsidRPr="0090737E" w:rsidRDefault="00CE363F" w:rsidP="00CE363F">
            <w:pPr>
              <w:rPr>
                <w:rFonts w:ascii="Arial" w:hAnsi="Arial" w:cs="Arial"/>
                <w:sz w:val="20"/>
              </w:rPr>
            </w:pPr>
          </w:p>
        </w:tc>
        <w:tc>
          <w:tcPr>
            <w:tcW w:w="2126" w:type="dxa"/>
            <w:vMerge/>
          </w:tcPr>
          <w:p w14:paraId="51A2ADAB" w14:textId="77777777" w:rsidR="00CE363F" w:rsidRPr="0090737E" w:rsidRDefault="00CE363F" w:rsidP="00CE363F">
            <w:pPr>
              <w:rPr>
                <w:rFonts w:ascii="Arial" w:hAnsi="Arial" w:cs="Arial"/>
                <w:sz w:val="20"/>
              </w:rPr>
            </w:pPr>
          </w:p>
        </w:tc>
        <w:tc>
          <w:tcPr>
            <w:tcW w:w="3827" w:type="dxa"/>
          </w:tcPr>
          <w:p w14:paraId="68ED5894" w14:textId="0DFF94DF" w:rsidR="00CE363F" w:rsidRPr="0090737E" w:rsidRDefault="00CE363F" w:rsidP="00C91B1E">
            <w:pPr>
              <w:pStyle w:val="ListBullet"/>
              <w:jc w:val="right"/>
              <w:rPr>
                <w:highlight w:val="yellow"/>
              </w:rPr>
            </w:pPr>
            <w:r w:rsidRPr="0090737E">
              <w:t xml:space="preserve">Sponsor’s comment: </w:t>
            </w:r>
          </w:p>
        </w:tc>
        <w:tc>
          <w:tcPr>
            <w:tcW w:w="5245" w:type="dxa"/>
          </w:tcPr>
          <w:p w14:paraId="746C0F56" w14:textId="7CF53A72" w:rsidR="00CE363F" w:rsidRPr="0090737E" w:rsidRDefault="00392581" w:rsidP="00CE363F">
            <w:pPr>
              <w:rPr>
                <w:rFonts w:ascii="Arial" w:hAnsi="Arial" w:cs="Arial"/>
                <w:sz w:val="20"/>
                <w:highlight w:val="yellow"/>
              </w:rPr>
            </w:pPr>
            <w:r>
              <w:rPr>
                <w:rFonts w:ascii="Arial" w:hAnsi="Arial" w:cs="Arial"/>
                <w:iCs/>
                <w:sz w:val="20"/>
              </w:rPr>
              <w:t>No comment</w:t>
            </w:r>
          </w:p>
        </w:tc>
      </w:tr>
    </w:tbl>
    <w:p w14:paraId="121C0FA1" w14:textId="77777777" w:rsidR="0078027D" w:rsidRPr="0010394D" w:rsidRDefault="0078027D" w:rsidP="002A7FDE">
      <w:pPr>
        <w:pStyle w:val="Title"/>
        <w:jc w:val="left"/>
      </w:pPr>
    </w:p>
    <w:sectPr w:rsidR="0078027D" w:rsidRPr="0010394D" w:rsidSect="00DA049A">
      <w:headerReference w:type="even" r:id="rId7"/>
      <w:headerReference w:type="default" r:id="rId8"/>
      <w:footerReference w:type="even" r:id="rId9"/>
      <w:footerReference w:type="default" r:id="rId10"/>
      <w:headerReference w:type="first" r:id="rId11"/>
      <w:footerReference w:type="first" r:id="rId12"/>
      <w:pgSz w:w="16840" w:h="11907" w:orient="landscape"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C47D5" w14:textId="77777777" w:rsidR="003419C9" w:rsidRDefault="003419C9">
      <w:r>
        <w:separator/>
      </w:r>
    </w:p>
  </w:endnote>
  <w:endnote w:type="continuationSeparator" w:id="0">
    <w:p w14:paraId="66B033FF" w14:textId="77777777" w:rsidR="003419C9" w:rsidRDefault="0034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7610C" w14:textId="77777777" w:rsidR="005D2DB2" w:rsidRDefault="005D2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F31B" w14:textId="77777777" w:rsidR="000805C6" w:rsidRDefault="000805C6" w:rsidP="000805C6">
    <w:pPr>
      <w:pStyle w:val="Footer"/>
      <w:jc w:val="right"/>
    </w:pPr>
  </w:p>
  <w:p w14:paraId="6DF70921" w14:textId="1602B93E" w:rsidR="000805C6" w:rsidRPr="000805C6" w:rsidRDefault="000805C6" w:rsidP="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5D2DB2">
      <w:rPr>
        <w:rFonts w:ascii="Arial" w:hAnsi="Arial" w:cs="Arial"/>
        <w:noProof/>
        <w:sz w:val="22"/>
      </w:rPr>
      <w:t>2</w:t>
    </w:r>
    <w:r w:rsidRPr="000805C6">
      <w:rPr>
        <w:rFonts w:ascii="Arial" w:hAnsi="Arial" w:cs="Arial"/>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5109" w14:textId="77777777" w:rsidR="000805C6" w:rsidRDefault="000805C6">
    <w:pPr>
      <w:pStyle w:val="Footer"/>
      <w:jc w:val="right"/>
    </w:pPr>
  </w:p>
  <w:p w14:paraId="530F7B3E" w14:textId="77777777" w:rsidR="000805C6" w:rsidRPr="000805C6" w:rsidRDefault="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DA049A">
      <w:rPr>
        <w:rFonts w:ascii="Arial" w:hAnsi="Arial" w:cs="Arial"/>
        <w:noProof/>
        <w:sz w:val="22"/>
      </w:rPr>
      <w:t>1</w:t>
    </w:r>
    <w:r w:rsidRPr="000805C6">
      <w:rPr>
        <w:rFonts w:ascii="Arial" w:hAnsi="Arial"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2CB49" w14:textId="77777777" w:rsidR="003419C9" w:rsidRDefault="003419C9">
      <w:r>
        <w:separator/>
      </w:r>
    </w:p>
  </w:footnote>
  <w:footnote w:type="continuationSeparator" w:id="0">
    <w:p w14:paraId="282BAAE3" w14:textId="77777777" w:rsidR="003419C9" w:rsidRDefault="00341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FFB1F" w14:textId="77777777" w:rsidR="005D2DB2" w:rsidRDefault="005D2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70044" w14:textId="2F36160B" w:rsidR="000805C6" w:rsidRDefault="00AA046C" w:rsidP="000805C6">
    <w:pPr>
      <w:pStyle w:val="Header"/>
      <w:jc w:val="center"/>
      <w:rPr>
        <w:rFonts w:ascii="Arial" w:hAnsi="Arial" w:cs="Arial"/>
        <w:b/>
        <w:sz w:val="20"/>
      </w:rPr>
    </w:pPr>
    <w:r>
      <w:rPr>
        <w:rFonts w:ascii="Arial" w:hAnsi="Arial" w:cs="Arial"/>
        <w:b/>
        <w:sz w:val="20"/>
      </w:rPr>
      <w:t>NOVEMBER 2019</w:t>
    </w:r>
    <w:r w:rsidR="0090223A">
      <w:rPr>
        <w:rFonts w:ascii="Arial" w:hAnsi="Arial" w:cs="Arial"/>
        <w:b/>
        <w:sz w:val="20"/>
      </w:rPr>
      <w:t xml:space="preserve"> </w:t>
    </w:r>
    <w:r w:rsidR="000805C6">
      <w:rPr>
        <w:rFonts w:ascii="Arial" w:hAnsi="Arial" w:cs="Arial"/>
        <w:b/>
        <w:sz w:val="20"/>
      </w:rPr>
      <w:t>PBAC OUTCOMES – SUBSEQUENT</w:t>
    </w:r>
    <w:r w:rsidR="000805C6" w:rsidRPr="004C071C">
      <w:rPr>
        <w:rFonts w:ascii="Arial" w:hAnsi="Arial" w:cs="Arial"/>
        <w:b/>
        <w:sz w:val="20"/>
      </w:rPr>
      <w:t xml:space="preserve"> DECISIONS NOT TO RECOMMEND</w:t>
    </w:r>
  </w:p>
  <w:p w14:paraId="5D220093" w14:textId="77777777" w:rsidR="000805C6" w:rsidRPr="004C071C" w:rsidRDefault="000805C6" w:rsidP="000805C6">
    <w:pPr>
      <w:pStyle w:val="Header"/>
      <w:jc w:val="center"/>
      <w:rPr>
        <w:rFonts w:ascii="Arial" w:hAnsi="Arial" w:cs="Arial"/>
        <w:b/>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7190A" w14:textId="77777777" w:rsidR="00613975" w:rsidRDefault="00A24F2E" w:rsidP="00613975">
    <w:pPr>
      <w:pStyle w:val="Header"/>
      <w:jc w:val="center"/>
      <w:rPr>
        <w:rFonts w:ascii="Arial" w:hAnsi="Arial" w:cs="Arial"/>
        <w:b/>
        <w:sz w:val="20"/>
      </w:rPr>
    </w:pPr>
    <w:r w:rsidRPr="00A24F2E">
      <w:rPr>
        <w:rFonts w:ascii="Arial" w:hAnsi="Arial" w:cs="Arial"/>
        <w:b/>
        <w:sz w:val="20"/>
      </w:rPr>
      <w:t xml:space="preserve">MONTH YEAR PBAC MEETING </w:t>
    </w:r>
    <w:r w:rsidR="000805C6">
      <w:rPr>
        <w:rFonts w:ascii="Arial" w:hAnsi="Arial" w:cs="Arial"/>
        <w:b/>
        <w:sz w:val="20"/>
      </w:rPr>
      <w:t>PBAC OUTCOMES – SUBSEQUENT</w:t>
    </w:r>
    <w:r w:rsidR="00613975" w:rsidRPr="004C071C">
      <w:rPr>
        <w:rFonts w:ascii="Arial" w:hAnsi="Arial" w:cs="Arial"/>
        <w:b/>
        <w:sz w:val="20"/>
      </w:rPr>
      <w:t xml:space="preserve"> DECISION</w:t>
    </w:r>
    <w:r w:rsidR="00B10521" w:rsidRPr="004C071C">
      <w:rPr>
        <w:rFonts w:ascii="Arial" w:hAnsi="Arial" w:cs="Arial"/>
        <w:b/>
        <w:sz w:val="20"/>
      </w:rPr>
      <w:t>S</w:t>
    </w:r>
    <w:r w:rsidR="00613975" w:rsidRPr="004C071C">
      <w:rPr>
        <w:rFonts w:ascii="Arial" w:hAnsi="Arial" w:cs="Arial"/>
        <w:b/>
        <w:sz w:val="20"/>
      </w:rPr>
      <w:t xml:space="preserve"> NOT TO RECOMMEND</w:t>
    </w:r>
  </w:p>
  <w:p w14:paraId="10684ABC" w14:textId="77777777" w:rsidR="000805C6" w:rsidRPr="004C071C" w:rsidRDefault="000805C6" w:rsidP="00613975">
    <w:pPr>
      <w:pStyle w:val="Header"/>
      <w:jc w:val="center"/>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34204E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A32E10"/>
    <w:multiLevelType w:val="hybridMultilevel"/>
    <w:tmpl w:val="A380E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6E6CE3"/>
    <w:multiLevelType w:val="hybridMultilevel"/>
    <w:tmpl w:val="3A120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F12DE7"/>
    <w:multiLevelType w:val="hybridMultilevel"/>
    <w:tmpl w:val="C78E1162"/>
    <w:lvl w:ilvl="0" w:tplc="FFFFFFFF">
      <w:start w:val="1"/>
      <w:numFmt w:val="bullet"/>
      <w:lvlText w:val=""/>
      <w:lvlJc w:val="left"/>
      <w:pPr>
        <w:tabs>
          <w:tab w:val="num" w:pos="1211"/>
        </w:tabs>
        <w:ind w:left="1211" w:hanging="851"/>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E1CB1"/>
    <w:multiLevelType w:val="hybridMultilevel"/>
    <w:tmpl w:val="CDC21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BB3FC9"/>
    <w:multiLevelType w:val="hybridMultilevel"/>
    <w:tmpl w:val="753C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E45B9D"/>
    <w:multiLevelType w:val="hybridMultilevel"/>
    <w:tmpl w:val="B6CA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532F5D"/>
    <w:multiLevelType w:val="hybridMultilevel"/>
    <w:tmpl w:val="9048B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9C6F2B"/>
    <w:multiLevelType w:val="hybridMultilevel"/>
    <w:tmpl w:val="4D122A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369DA"/>
    <w:multiLevelType w:val="hybridMultilevel"/>
    <w:tmpl w:val="87A2DA9E"/>
    <w:lvl w:ilvl="0" w:tplc="0C090005">
      <w:start w:val="1"/>
      <w:numFmt w:val="bullet"/>
      <w:lvlText w:val=""/>
      <w:lvlJc w:val="left"/>
      <w:pPr>
        <w:ind w:left="577" w:hanging="360"/>
      </w:pPr>
      <w:rPr>
        <w:rFonts w:ascii="Wingdings" w:hAnsi="Wingdings" w:hint="default"/>
      </w:rPr>
    </w:lvl>
    <w:lvl w:ilvl="1" w:tplc="0C090003">
      <w:start w:val="1"/>
      <w:numFmt w:val="bullet"/>
      <w:lvlText w:val="o"/>
      <w:lvlJc w:val="left"/>
      <w:pPr>
        <w:ind w:left="1297" w:hanging="360"/>
      </w:pPr>
      <w:rPr>
        <w:rFonts w:ascii="Courier New" w:hAnsi="Courier New" w:cs="Courier New" w:hint="default"/>
      </w:rPr>
    </w:lvl>
    <w:lvl w:ilvl="2" w:tplc="0C090005">
      <w:start w:val="1"/>
      <w:numFmt w:val="bullet"/>
      <w:lvlText w:val=""/>
      <w:lvlJc w:val="left"/>
      <w:pPr>
        <w:ind w:left="2017" w:hanging="360"/>
      </w:pPr>
      <w:rPr>
        <w:rFonts w:ascii="Wingdings" w:hAnsi="Wingdings" w:hint="default"/>
      </w:rPr>
    </w:lvl>
    <w:lvl w:ilvl="3" w:tplc="0C090001">
      <w:start w:val="1"/>
      <w:numFmt w:val="bullet"/>
      <w:lvlText w:val=""/>
      <w:lvlJc w:val="left"/>
      <w:pPr>
        <w:ind w:left="2737" w:hanging="360"/>
      </w:pPr>
      <w:rPr>
        <w:rFonts w:ascii="Symbol" w:hAnsi="Symbol" w:hint="default"/>
      </w:rPr>
    </w:lvl>
    <w:lvl w:ilvl="4" w:tplc="0C090003">
      <w:start w:val="1"/>
      <w:numFmt w:val="bullet"/>
      <w:lvlText w:val="o"/>
      <w:lvlJc w:val="left"/>
      <w:pPr>
        <w:ind w:left="3457" w:hanging="360"/>
      </w:pPr>
      <w:rPr>
        <w:rFonts w:ascii="Courier New" w:hAnsi="Courier New" w:cs="Courier New" w:hint="default"/>
      </w:rPr>
    </w:lvl>
    <w:lvl w:ilvl="5" w:tplc="0C090005">
      <w:start w:val="1"/>
      <w:numFmt w:val="bullet"/>
      <w:lvlText w:val=""/>
      <w:lvlJc w:val="left"/>
      <w:pPr>
        <w:ind w:left="4177" w:hanging="360"/>
      </w:pPr>
      <w:rPr>
        <w:rFonts w:ascii="Wingdings" w:hAnsi="Wingdings" w:hint="default"/>
      </w:rPr>
    </w:lvl>
    <w:lvl w:ilvl="6" w:tplc="0C090001">
      <w:start w:val="1"/>
      <w:numFmt w:val="bullet"/>
      <w:lvlText w:val=""/>
      <w:lvlJc w:val="left"/>
      <w:pPr>
        <w:ind w:left="4897" w:hanging="360"/>
      </w:pPr>
      <w:rPr>
        <w:rFonts w:ascii="Symbol" w:hAnsi="Symbol" w:hint="default"/>
      </w:rPr>
    </w:lvl>
    <w:lvl w:ilvl="7" w:tplc="0C090003">
      <w:start w:val="1"/>
      <w:numFmt w:val="bullet"/>
      <w:lvlText w:val="o"/>
      <w:lvlJc w:val="left"/>
      <w:pPr>
        <w:ind w:left="5617" w:hanging="360"/>
      </w:pPr>
      <w:rPr>
        <w:rFonts w:ascii="Courier New" w:hAnsi="Courier New" w:cs="Courier New" w:hint="default"/>
      </w:rPr>
    </w:lvl>
    <w:lvl w:ilvl="8" w:tplc="0C090005">
      <w:start w:val="1"/>
      <w:numFmt w:val="bullet"/>
      <w:lvlText w:val=""/>
      <w:lvlJc w:val="left"/>
      <w:pPr>
        <w:ind w:left="6337" w:hanging="360"/>
      </w:pPr>
      <w:rPr>
        <w:rFonts w:ascii="Wingdings" w:hAnsi="Wingdings" w:hint="default"/>
      </w:rPr>
    </w:lvl>
  </w:abstractNum>
  <w:abstractNum w:abstractNumId="10" w15:restartNumberingAfterBreak="0">
    <w:nsid w:val="498414F6"/>
    <w:multiLevelType w:val="hybridMultilevel"/>
    <w:tmpl w:val="5E1A699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ABE324C"/>
    <w:multiLevelType w:val="hybridMultilevel"/>
    <w:tmpl w:val="B172F732"/>
    <w:lvl w:ilvl="0" w:tplc="D5DE6816">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7AF0FBB"/>
    <w:multiLevelType w:val="hybridMultilevel"/>
    <w:tmpl w:val="3A4CE4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D512F02"/>
    <w:multiLevelType w:val="hybridMultilevel"/>
    <w:tmpl w:val="4C027C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1A41D69"/>
    <w:multiLevelType w:val="singleLevel"/>
    <w:tmpl w:val="04090011"/>
    <w:lvl w:ilvl="0">
      <w:start w:val="1"/>
      <w:numFmt w:val="decimal"/>
      <w:lvlText w:val="%1)"/>
      <w:lvlJc w:val="left"/>
      <w:pPr>
        <w:tabs>
          <w:tab w:val="num" w:pos="360"/>
        </w:tabs>
        <w:ind w:left="360" w:hanging="360"/>
      </w:pPr>
      <w:rPr>
        <w:rFonts w:hint="default"/>
      </w:rPr>
    </w:lvl>
  </w:abstractNum>
  <w:abstractNum w:abstractNumId="15" w15:restartNumberingAfterBreak="0">
    <w:nsid w:val="666A383F"/>
    <w:multiLevelType w:val="hybridMultilevel"/>
    <w:tmpl w:val="EEB63D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784D033C"/>
    <w:multiLevelType w:val="multilevel"/>
    <w:tmpl w:val="F942F08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4"/>
  </w:num>
  <w:num w:numId="3">
    <w:abstractNumId w:val="10"/>
  </w:num>
  <w:num w:numId="4">
    <w:abstractNumId w:val="8"/>
  </w:num>
  <w:num w:numId="5">
    <w:abstractNumId w:val="3"/>
  </w:num>
  <w:num w:numId="6">
    <w:abstractNumId w:val="16"/>
  </w:num>
  <w:num w:numId="7">
    <w:abstractNumId w:val="6"/>
  </w:num>
  <w:num w:numId="8">
    <w:abstractNumId w:val="4"/>
  </w:num>
  <w:num w:numId="9">
    <w:abstractNumId w:val="1"/>
  </w:num>
  <w:num w:numId="10">
    <w:abstractNumId w:val="7"/>
  </w:num>
  <w:num w:numId="11">
    <w:abstractNumId w:val="5"/>
  </w:num>
  <w:num w:numId="12">
    <w:abstractNumId w:val="15"/>
  </w:num>
  <w:num w:numId="13">
    <w:abstractNumId w:val="9"/>
  </w:num>
  <w:num w:numId="14">
    <w:abstractNumId w:val="12"/>
  </w:num>
  <w:num w:numId="15">
    <w:abstractNumId w:val="13"/>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198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27D"/>
    <w:rsid w:val="0000028A"/>
    <w:rsid w:val="0001162E"/>
    <w:rsid w:val="0001397B"/>
    <w:rsid w:val="00014389"/>
    <w:rsid w:val="00016ABD"/>
    <w:rsid w:val="00023B6C"/>
    <w:rsid w:val="00024634"/>
    <w:rsid w:val="00024F1C"/>
    <w:rsid w:val="000253E8"/>
    <w:rsid w:val="00030555"/>
    <w:rsid w:val="00031E49"/>
    <w:rsid w:val="00046D30"/>
    <w:rsid w:val="000632B7"/>
    <w:rsid w:val="00063F01"/>
    <w:rsid w:val="000703F3"/>
    <w:rsid w:val="000708D5"/>
    <w:rsid w:val="000805C6"/>
    <w:rsid w:val="0008269F"/>
    <w:rsid w:val="0009138F"/>
    <w:rsid w:val="0009305C"/>
    <w:rsid w:val="000B2AF9"/>
    <w:rsid w:val="000B4313"/>
    <w:rsid w:val="000B4F11"/>
    <w:rsid w:val="000B66A5"/>
    <w:rsid w:val="000B6738"/>
    <w:rsid w:val="000D1304"/>
    <w:rsid w:val="000D3208"/>
    <w:rsid w:val="000D3717"/>
    <w:rsid w:val="000E406F"/>
    <w:rsid w:val="000E52C4"/>
    <w:rsid w:val="000E7183"/>
    <w:rsid w:val="000F05D5"/>
    <w:rsid w:val="000F6967"/>
    <w:rsid w:val="0010394D"/>
    <w:rsid w:val="001047FA"/>
    <w:rsid w:val="0011320E"/>
    <w:rsid w:val="00120488"/>
    <w:rsid w:val="0013119F"/>
    <w:rsid w:val="00140CC3"/>
    <w:rsid w:val="00144E78"/>
    <w:rsid w:val="00162407"/>
    <w:rsid w:val="00166C62"/>
    <w:rsid w:val="00170906"/>
    <w:rsid w:val="001738F0"/>
    <w:rsid w:val="001810B2"/>
    <w:rsid w:val="001A29AB"/>
    <w:rsid w:val="001C0908"/>
    <w:rsid w:val="001C5F44"/>
    <w:rsid w:val="001D38D0"/>
    <w:rsid w:val="001E1FE3"/>
    <w:rsid w:val="001F4642"/>
    <w:rsid w:val="001F5344"/>
    <w:rsid w:val="002007BA"/>
    <w:rsid w:val="00204DB4"/>
    <w:rsid w:val="002075FB"/>
    <w:rsid w:val="00211150"/>
    <w:rsid w:val="00220228"/>
    <w:rsid w:val="00220C3F"/>
    <w:rsid w:val="00223C4D"/>
    <w:rsid w:val="002261A9"/>
    <w:rsid w:val="00233662"/>
    <w:rsid w:val="002341B8"/>
    <w:rsid w:val="00237031"/>
    <w:rsid w:val="00241E9E"/>
    <w:rsid w:val="00243CBD"/>
    <w:rsid w:val="002440EA"/>
    <w:rsid w:val="0024433E"/>
    <w:rsid w:val="002460D4"/>
    <w:rsid w:val="00255313"/>
    <w:rsid w:val="00256ACE"/>
    <w:rsid w:val="00273B01"/>
    <w:rsid w:val="002743B5"/>
    <w:rsid w:val="002861D6"/>
    <w:rsid w:val="00287BC5"/>
    <w:rsid w:val="002A1CF2"/>
    <w:rsid w:val="002A42C5"/>
    <w:rsid w:val="002A46E6"/>
    <w:rsid w:val="002A5152"/>
    <w:rsid w:val="002A76C1"/>
    <w:rsid w:val="002A7FDE"/>
    <w:rsid w:val="002E3BD6"/>
    <w:rsid w:val="002E5B33"/>
    <w:rsid w:val="002F0F71"/>
    <w:rsid w:val="002F20AC"/>
    <w:rsid w:val="002F5086"/>
    <w:rsid w:val="002F62A6"/>
    <w:rsid w:val="00302B1F"/>
    <w:rsid w:val="00303527"/>
    <w:rsid w:val="00305656"/>
    <w:rsid w:val="00312E87"/>
    <w:rsid w:val="003158F7"/>
    <w:rsid w:val="00320F76"/>
    <w:rsid w:val="00322CA5"/>
    <w:rsid w:val="003335F7"/>
    <w:rsid w:val="00337EC3"/>
    <w:rsid w:val="003419C9"/>
    <w:rsid w:val="00347546"/>
    <w:rsid w:val="003530F7"/>
    <w:rsid w:val="00365E09"/>
    <w:rsid w:val="00367958"/>
    <w:rsid w:val="00367CA3"/>
    <w:rsid w:val="00372FDE"/>
    <w:rsid w:val="00375CBD"/>
    <w:rsid w:val="00380699"/>
    <w:rsid w:val="003815DE"/>
    <w:rsid w:val="003832CF"/>
    <w:rsid w:val="00392581"/>
    <w:rsid w:val="0039594A"/>
    <w:rsid w:val="0039641E"/>
    <w:rsid w:val="003A05DC"/>
    <w:rsid w:val="003B6CFA"/>
    <w:rsid w:val="003C19F8"/>
    <w:rsid w:val="003C1AF2"/>
    <w:rsid w:val="003C3492"/>
    <w:rsid w:val="003D777D"/>
    <w:rsid w:val="003E2DEC"/>
    <w:rsid w:val="003E3C69"/>
    <w:rsid w:val="003E5ACC"/>
    <w:rsid w:val="003F12A1"/>
    <w:rsid w:val="003F7763"/>
    <w:rsid w:val="00400291"/>
    <w:rsid w:val="004031A6"/>
    <w:rsid w:val="0040742C"/>
    <w:rsid w:val="004074CD"/>
    <w:rsid w:val="00416C9D"/>
    <w:rsid w:val="00432A2F"/>
    <w:rsid w:val="00435E43"/>
    <w:rsid w:val="0043706A"/>
    <w:rsid w:val="00446F57"/>
    <w:rsid w:val="0044777F"/>
    <w:rsid w:val="00467522"/>
    <w:rsid w:val="00475539"/>
    <w:rsid w:val="00477C5E"/>
    <w:rsid w:val="004874F1"/>
    <w:rsid w:val="004914F2"/>
    <w:rsid w:val="0049673E"/>
    <w:rsid w:val="004968F4"/>
    <w:rsid w:val="004A47FF"/>
    <w:rsid w:val="004A7506"/>
    <w:rsid w:val="004A76AD"/>
    <w:rsid w:val="004C071C"/>
    <w:rsid w:val="004C0A09"/>
    <w:rsid w:val="004C3700"/>
    <w:rsid w:val="004C70EA"/>
    <w:rsid w:val="004D08BF"/>
    <w:rsid w:val="004D2DFC"/>
    <w:rsid w:val="004D3785"/>
    <w:rsid w:val="004E4BB3"/>
    <w:rsid w:val="004E58AE"/>
    <w:rsid w:val="004E61E5"/>
    <w:rsid w:val="004E7F92"/>
    <w:rsid w:val="004F22AF"/>
    <w:rsid w:val="004F53A2"/>
    <w:rsid w:val="005060C3"/>
    <w:rsid w:val="00511BBF"/>
    <w:rsid w:val="005156A1"/>
    <w:rsid w:val="00524927"/>
    <w:rsid w:val="0052656B"/>
    <w:rsid w:val="005334F6"/>
    <w:rsid w:val="00533EC6"/>
    <w:rsid w:val="00551121"/>
    <w:rsid w:val="005543EB"/>
    <w:rsid w:val="00556A91"/>
    <w:rsid w:val="0056006F"/>
    <w:rsid w:val="00565922"/>
    <w:rsid w:val="00566485"/>
    <w:rsid w:val="00575B97"/>
    <w:rsid w:val="00576AE4"/>
    <w:rsid w:val="00583A1F"/>
    <w:rsid w:val="00591511"/>
    <w:rsid w:val="005A4700"/>
    <w:rsid w:val="005B1359"/>
    <w:rsid w:val="005C51C0"/>
    <w:rsid w:val="005C529C"/>
    <w:rsid w:val="005C583B"/>
    <w:rsid w:val="005D0350"/>
    <w:rsid w:val="005D2DB2"/>
    <w:rsid w:val="00606B1D"/>
    <w:rsid w:val="00613975"/>
    <w:rsid w:val="00617F7E"/>
    <w:rsid w:val="0062060A"/>
    <w:rsid w:val="00620C2B"/>
    <w:rsid w:val="006227C5"/>
    <w:rsid w:val="00636B27"/>
    <w:rsid w:val="006378CF"/>
    <w:rsid w:val="00637912"/>
    <w:rsid w:val="0064052F"/>
    <w:rsid w:val="00644F0C"/>
    <w:rsid w:val="00655200"/>
    <w:rsid w:val="00655D5C"/>
    <w:rsid w:val="0066391F"/>
    <w:rsid w:val="00670168"/>
    <w:rsid w:val="00674FEC"/>
    <w:rsid w:val="00680915"/>
    <w:rsid w:val="0069041B"/>
    <w:rsid w:val="00695D28"/>
    <w:rsid w:val="006A4BE8"/>
    <w:rsid w:val="006C196C"/>
    <w:rsid w:val="006C1CD8"/>
    <w:rsid w:val="006E0C7B"/>
    <w:rsid w:val="006E25B2"/>
    <w:rsid w:val="006F3F91"/>
    <w:rsid w:val="006F40D1"/>
    <w:rsid w:val="00702619"/>
    <w:rsid w:val="00704ABF"/>
    <w:rsid w:val="00704E74"/>
    <w:rsid w:val="00706EFA"/>
    <w:rsid w:val="00713AE1"/>
    <w:rsid w:val="00720097"/>
    <w:rsid w:val="00735D52"/>
    <w:rsid w:val="00743998"/>
    <w:rsid w:val="007462DA"/>
    <w:rsid w:val="00746D68"/>
    <w:rsid w:val="00751128"/>
    <w:rsid w:val="0075364D"/>
    <w:rsid w:val="0075656A"/>
    <w:rsid w:val="007572F6"/>
    <w:rsid w:val="007579FD"/>
    <w:rsid w:val="00757A9A"/>
    <w:rsid w:val="007605AB"/>
    <w:rsid w:val="0076473F"/>
    <w:rsid w:val="00770B47"/>
    <w:rsid w:val="0078027D"/>
    <w:rsid w:val="00784382"/>
    <w:rsid w:val="0079164A"/>
    <w:rsid w:val="007935AD"/>
    <w:rsid w:val="00794439"/>
    <w:rsid w:val="007A29FA"/>
    <w:rsid w:val="007A361E"/>
    <w:rsid w:val="007A73D0"/>
    <w:rsid w:val="007B3235"/>
    <w:rsid w:val="007B44AF"/>
    <w:rsid w:val="007C0EDE"/>
    <w:rsid w:val="007D085A"/>
    <w:rsid w:val="007F26C7"/>
    <w:rsid w:val="0080031A"/>
    <w:rsid w:val="0080046E"/>
    <w:rsid w:val="008068F2"/>
    <w:rsid w:val="00807925"/>
    <w:rsid w:val="00815535"/>
    <w:rsid w:val="00815D6B"/>
    <w:rsid w:val="0081702A"/>
    <w:rsid w:val="00821E75"/>
    <w:rsid w:val="008240F8"/>
    <w:rsid w:val="00826000"/>
    <w:rsid w:val="00842F8C"/>
    <w:rsid w:val="00850073"/>
    <w:rsid w:val="0086299E"/>
    <w:rsid w:val="0086603E"/>
    <w:rsid w:val="0088217A"/>
    <w:rsid w:val="008A5929"/>
    <w:rsid w:val="008A5A08"/>
    <w:rsid w:val="008B0E06"/>
    <w:rsid w:val="008B0E22"/>
    <w:rsid w:val="008B7160"/>
    <w:rsid w:val="008C185A"/>
    <w:rsid w:val="008C6E23"/>
    <w:rsid w:val="008D676E"/>
    <w:rsid w:val="008D72BA"/>
    <w:rsid w:val="008E0965"/>
    <w:rsid w:val="008F3700"/>
    <w:rsid w:val="0090223A"/>
    <w:rsid w:val="009044AF"/>
    <w:rsid w:val="0090737E"/>
    <w:rsid w:val="009224BE"/>
    <w:rsid w:val="00924932"/>
    <w:rsid w:val="00934AD5"/>
    <w:rsid w:val="00947987"/>
    <w:rsid w:val="00950FA8"/>
    <w:rsid w:val="009517CE"/>
    <w:rsid w:val="00952903"/>
    <w:rsid w:val="00956B09"/>
    <w:rsid w:val="00957B8A"/>
    <w:rsid w:val="00957F9F"/>
    <w:rsid w:val="00965B48"/>
    <w:rsid w:val="00972B1B"/>
    <w:rsid w:val="00981128"/>
    <w:rsid w:val="0098248A"/>
    <w:rsid w:val="00991AFC"/>
    <w:rsid w:val="009B2F04"/>
    <w:rsid w:val="009B554D"/>
    <w:rsid w:val="009B6E95"/>
    <w:rsid w:val="009B735A"/>
    <w:rsid w:val="009B7CBE"/>
    <w:rsid w:val="009C73A4"/>
    <w:rsid w:val="009C7FD0"/>
    <w:rsid w:val="009D1D30"/>
    <w:rsid w:val="009E299C"/>
    <w:rsid w:val="009E6539"/>
    <w:rsid w:val="009E762E"/>
    <w:rsid w:val="009F0ED6"/>
    <w:rsid w:val="009F42BE"/>
    <w:rsid w:val="009F5E7E"/>
    <w:rsid w:val="00A019A3"/>
    <w:rsid w:val="00A02424"/>
    <w:rsid w:val="00A07C14"/>
    <w:rsid w:val="00A24F2E"/>
    <w:rsid w:val="00A26805"/>
    <w:rsid w:val="00A32110"/>
    <w:rsid w:val="00A42840"/>
    <w:rsid w:val="00A42D88"/>
    <w:rsid w:val="00A55002"/>
    <w:rsid w:val="00A56ED7"/>
    <w:rsid w:val="00A61170"/>
    <w:rsid w:val="00A62091"/>
    <w:rsid w:val="00A6292D"/>
    <w:rsid w:val="00A62D7E"/>
    <w:rsid w:val="00A65D40"/>
    <w:rsid w:val="00A66732"/>
    <w:rsid w:val="00A706C5"/>
    <w:rsid w:val="00A74BD3"/>
    <w:rsid w:val="00A90F44"/>
    <w:rsid w:val="00A913CA"/>
    <w:rsid w:val="00A95044"/>
    <w:rsid w:val="00AA046C"/>
    <w:rsid w:val="00AA6D36"/>
    <w:rsid w:val="00AA6F27"/>
    <w:rsid w:val="00AB06AE"/>
    <w:rsid w:val="00AB33D9"/>
    <w:rsid w:val="00AC7A6D"/>
    <w:rsid w:val="00AD1BE1"/>
    <w:rsid w:val="00AD3357"/>
    <w:rsid w:val="00AE346B"/>
    <w:rsid w:val="00AE3F52"/>
    <w:rsid w:val="00AF4A3C"/>
    <w:rsid w:val="00B02EA6"/>
    <w:rsid w:val="00B10521"/>
    <w:rsid w:val="00B222D8"/>
    <w:rsid w:val="00B26FF7"/>
    <w:rsid w:val="00B43E46"/>
    <w:rsid w:val="00B44CA8"/>
    <w:rsid w:val="00B67244"/>
    <w:rsid w:val="00B77A97"/>
    <w:rsid w:val="00B77E75"/>
    <w:rsid w:val="00B80FE3"/>
    <w:rsid w:val="00BA3F70"/>
    <w:rsid w:val="00BA5A7D"/>
    <w:rsid w:val="00BC0474"/>
    <w:rsid w:val="00BC1FB7"/>
    <w:rsid w:val="00BC55C3"/>
    <w:rsid w:val="00BC75B7"/>
    <w:rsid w:val="00BD3C79"/>
    <w:rsid w:val="00BD6EBF"/>
    <w:rsid w:val="00BE32A3"/>
    <w:rsid w:val="00BE58B8"/>
    <w:rsid w:val="00BE6FC9"/>
    <w:rsid w:val="00BE7D88"/>
    <w:rsid w:val="00BF644C"/>
    <w:rsid w:val="00BF684D"/>
    <w:rsid w:val="00C110F0"/>
    <w:rsid w:val="00C136F9"/>
    <w:rsid w:val="00C1644D"/>
    <w:rsid w:val="00C2561B"/>
    <w:rsid w:val="00C26A1C"/>
    <w:rsid w:val="00C31F75"/>
    <w:rsid w:val="00C333D1"/>
    <w:rsid w:val="00C355A7"/>
    <w:rsid w:val="00C4326C"/>
    <w:rsid w:val="00C44762"/>
    <w:rsid w:val="00C464A5"/>
    <w:rsid w:val="00C847AD"/>
    <w:rsid w:val="00C91A33"/>
    <w:rsid w:val="00C91B1E"/>
    <w:rsid w:val="00C9315F"/>
    <w:rsid w:val="00C9450F"/>
    <w:rsid w:val="00C94D2C"/>
    <w:rsid w:val="00CA0C65"/>
    <w:rsid w:val="00CA2B5C"/>
    <w:rsid w:val="00CB2090"/>
    <w:rsid w:val="00CD3345"/>
    <w:rsid w:val="00CE363F"/>
    <w:rsid w:val="00CE3D26"/>
    <w:rsid w:val="00CF4E65"/>
    <w:rsid w:val="00D0007F"/>
    <w:rsid w:val="00D06895"/>
    <w:rsid w:val="00D1123D"/>
    <w:rsid w:val="00D22393"/>
    <w:rsid w:val="00D230A2"/>
    <w:rsid w:val="00D3127D"/>
    <w:rsid w:val="00D41761"/>
    <w:rsid w:val="00D46559"/>
    <w:rsid w:val="00D5330C"/>
    <w:rsid w:val="00D54EAF"/>
    <w:rsid w:val="00D60D26"/>
    <w:rsid w:val="00D641C2"/>
    <w:rsid w:val="00D649B2"/>
    <w:rsid w:val="00D65DDC"/>
    <w:rsid w:val="00D81D5C"/>
    <w:rsid w:val="00D85166"/>
    <w:rsid w:val="00D87943"/>
    <w:rsid w:val="00D905C6"/>
    <w:rsid w:val="00D95CFA"/>
    <w:rsid w:val="00D961F7"/>
    <w:rsid w:val="00DA049A"/>
    <w:rsid w:val="00DA0B64"/>
    <w:rsid w:val="00DA58DD"/>
    <w:rsid w:val="00DB0BAD"/>
    <w:rsid w:val="00DB17AB"/>
    <w:rsid w:val="00DB3394"/>
    <w:rsid w:val="00DB589E"/>
    <w:rsid w:val="00DB63C7"/>
    <w:rsid w:val="00DC3F72"/>
    <w:rsid w:val="00DC6B74"/>
    <w:rsid w:val="00DD5B1D"/>
    <w:rsid w:val="00DD66E2"/>
    <w:rsid w:val="00DD675E"/>
    <w:rsid w:val="00DE5D27"/>
    <w:rsid w:val="00DE6421"/>
    <w:rsid w:val="00DE6C5F"/>
    <w:rsid w:val="00DF2AA6"/>
    <w:rsid w:val="00DF703C"/>
    <w:rsid w:val="00E0319B"/>
    <w:rsid w:val="00E05D52"/>
    <w:rsid w:val="00E05DC5"/>
    <w:rsid w:val="00E16367"/>
    <w:rsid w:val="00E224FF"/>
    <w:rsid w:val="00E239BA"/>
    <w:rsid w:val="00E30828"/>
    <w:rsid w:val="00E331E0"/>
    <w:rsid w:val="00E34FA5"/>
    <w:rsid w:val="00E47E9A"/>
    <w:rsid w:val="00E508BC"/>
    <w:rsid w:val="00E53E8C"/>
    <w:rsid w:val="00E60ACD"/>
    <w:rsid w:val="00E7686D"/>
    <w:rsid w:val="00E77EAA"/>
    <w:rsid w:val="00E86609"/>
    <w:rsid w:val="00E95308"/>
    <w:rsid w:val="00E969A9"/>
    <w:rsid w:val="00EA02A3"/>
    <w:rsid w:val="00EA6994"/>
    <w:rsid w:val="00EB0142"/>
    <w:rsid w:val="00ED3B66"/>
    <w:rsid w:val="00ED68E4"/>
    <w:rsid w:val="00EE1E65"/>
    <w:rsid w:val="00EE5442"/>
    <w:rsid w:val="00EF026E"/>
    <w:rsid w:val="00F104F2"/>
    <w:rsid w:val="00F20487"/>
    <w:rsid w:val="00F215D2"/>
    <w:rsid w:val="00F23F38"/>
    <w:rsid w:val="00F25545"/>
    <w:rsid w:val="00F27A73"/>
    <w:rsid w:val="00F40665"/>
    <w:rsid w:val="00F40D87"/>
    <w:rsid w:val="00F43732"/>
    <w:rsid w:val="00F52E0A"/>
    <w:rsid w:val="00F562A0"/>
    <w:rsid w:val="00F573B7"/>
    <w:rsid w:val="00F72B54"/>
    <w:rsid w:val="00F75206"/>
    <w:rsid w:val="00F82673"/>
    <w:rsid w:val="00F83FA8"/>
    <w:rsid w:val="00F924D9"/>
    <w:rsid w:val="00FC4900"/>
    <w:rsid w:val="00FD6C20"/>
    <w:rsid w:val="00FD7D78"/>
    <w:rsid w:val="00FE15EF"/>
    <w:rsid w:val="00FE52DE"/>
    <w:rsid w:val="00FE5B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2DE3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paragraph" w:styleId="Heading8">
    <w:name w:val="heading 8"/>
    <w:basedOn w:val="Normal"/>
    <w:next w:val="Normal"/>
    <w:link w:val="Heading8Char"/>
    <w:rsid w:val="00702619"/>
    <w:pPr>
      <w:keepNext/>
      <w:widowControl w:val="0"/>
      <w:jc w:val="right"/>
      <w:outlineLvl w:val="7"/>
    </w:pPr>
    <w:rPr>
      <w:rFonts w:ascii="Calibri" w:hAnsi="Calibri" w:cs="Arial"/>
      <w:b/>
      <w:snapToGrid w:val="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0805C6"/>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aliases w:val="Numbered para,BulletPoints,V5.0 Exec bullet List 1,Footnote,Bullet point,List Paragraph1,List Paragraph11,Recommendation,ES Paragraph,PBAC ES Paragraph,PBAC normal points,Bullet List,Bullets Points,Styl moj,Akapit z listą1"/>
    <w:basedOn w:val="Normal"/>
    <w:link w:val="ListParagraphChar"/>
    <w:uiPriority w:val="34"/>
    <w:qFormat/>
    <w:rsid w:val="001810B2"/>
    <w:pPr>
      <w:ind w:left="720"/>
      <w:contextualSpacing/>
    </w:pPr>
    <w:rPr>
      <w:szCs w:val="24"/>
    </w:rPr>
  </w:style>
  <w:style w:type="character" w:customStyle="1" w:styleId="ListParagraphChar">
    <w:name w:val="List Paragraph Char"/>
    <w:aliases w:val="Numbered para Char,BulletPoints Char,V5.0 Exec bullet List 1 Char,Footnote Char,Bullet point Char,List Paragraph1 Char,List Paragraph11 Char,Recommendation Char,ES Paragraph Char,PBAC ES Paragraph Char,PBAC normal points Char"/>
    <w:link w:val="ListParagraph"/>
    <w:uiPriority w:val="72"/>
    <w:qFormat/>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character" w:styleId="CommentReference">
    <w:name w:val="annotation reference"/>
    <w:basedOn w:val="DefaultParagraphFont"/>
    <w:semiHidden/>
    <w:unhideWhenUsed/>
    <w:rsid w:val="00D22393"/>
    <w:rPr>
      <w:sz w:val="16"/>
      <w:szCs w:val="16"/>
    </w:rPr>
  </w:style>
  <w:style w:type="paragraph" w:styleId="CommentText">
    <w:name w:val="annotation text"/>
    <w:basedOn w:val="Normal"/>
    <w:link w:val="CommentTextChar"/>
    <w:semiHidden/>
    <w:unhideWhenUsed/>
    <w:rsid w:val="00D22393"/>
    <w:rPr>
      <w:sz w:val="20"/>
    </w:rPr>
  </w:style>
  <w:style w:type="character" w:customStyle="1" w:styleId="CommentTextChar">
    <w:name w:val="Comment Text Char"/>
    <w:basedOn w:val="DefaultParagraphFont"/>
    <w:link w:val="CommentText"/>
    <w:semiHidden/>
    <w:rsid w:val="00D22393"/>
  </w:style>
  <w:style w:type="paragraph" w:styleId="CommentSubject">
    <w:name w:val="annotation subject"/>
    <w:basedOn w:val="CommentText"/>
    <w:next w:val="CommentText"/>
    <w:link w:val="CommentSubjectChar"/>
    <w:semiHidden/>
    <w:unhideWhenUsed/>
    <w:rsid w:val="00D22393"/>
    <w:rPr>
      <w:b/>
      <w:bCs/>
    </w:rPr>
  </w:style>
  <w:style w:type="character" w:customStyle="1" w:styleId="CommentSubjectChar">
    <w:name w:val="Comment Subject Char"/>
    <w:basedOn w:val="CommentTextChar"/>
    <w:link w:val="CommentSubject"/>
    <w:semiHidden/>
    <w:rsid w:val="00D22393"/>
    <w:rPr>
      <w:b/>
      <w:bCs/>
    </w:rPr>
  </w:style>
  <w:style w:type="character" w:customStyle="1" w:styleId="Heading8Char">
    <w:name w:val="Heading 8 Char"/>
    <w:basedOn w:val="DefaultParagraphFont"/>
    <w:link w:val="Heading8"/>
    <w:rsid w:val="00702619"/>
    <w:rPr>
      <w:rFonts w:ascii="Calibri" w:hAnsi="Calibri" w:cs="Arial"/>
      <w:b/>
      <w:snapToGrid w:val="0"/>
      <w:sz w:val="24"/>
      <w:szCs w:val="22"/>
      <w:lang w:eastAsia="en-US"/>
    </w:rPr>
  </w:style>
  <w:style w:type="paragraph" w:customStyle="1" w:styleId="2Sections">
    <w:name w:val="2. Sections"/>
    <w:qFormat/>
    <w:rsid w:val="00566485"/>
    <w:pPr>
      <w:tabs>
        <w:tab w:val="num" w:pos="360"/>
      </w:tabs>
      <w:spacing w:before="240" w:after="120"/>
      <w:outlineLvl w:val="0"/>
    </w:pPr>
    <w:rPr>
      <w:rFonts w:ascii="Calibri" w:hAnsi="Calibri" w:cs="Arial"/>
      <w:b/>
      <w:snapToGrid w:val="0"/>
      <w:sz w:val="32"/>
      <w:szCs w:val="32"/>
      <w:lang w:eastAsia="en-US"/>
    </w:rPr>
  </w:style>
  <w:style w:type="paragraph" w:customStyle="1" w:styleId="3Bodytext">
    <w:name w:val="3. Body text"/>
    <w:basedOn w:val="ListParagraph"/>
    <w:link w:val="3BodytextChar"/>
    <w:qFormat/>
    <w:rsid w:val="00566485"/>
    <w:pPr>
      <w:spacing w:after="120"/>
      <w:ind w:hanging="720"/>
      <w:contextualSpacing w:val="0"/>
      <w:jc w:val="both"/>
    </w:pPr>
    <w:rPr>
      <w:rFonts w:ascii="Calibri" w:eastAsia="Calibri" w:hAnsi="Calibri"/>
      <w:szCs w:val="22"/>
      <w:lang w:eastAsia="en-US"/>
    </w:rPr>
  </w:style>
  <w:style w:type="character" w:customStyle="1" w:styleId="3BodytextChar">
    <w:name w:val="3. Body text Char"/>
    <w:link w:val="3Bodytext"/>
    <w:rsid w:val="00566485"/>
    <w:rPr>
      <w:rFonts w:ascii="Calibri" w:eastAsia="Calibri" w:hAnsi="Calibri"/>
      <w:sz w:val="24"/>
      <w:szCs w:val="22"/>
      <w:lang w:eastAsia="en-US"/>
    </w:rPr>
  </w:style>
  <w:style w:type="paragraph" w:customStyle="1" w:styleId="Bodytextitalics">
    <w:name w:val="Body text italics"/>
    <w:basedOn w:val="BodyText"/>
    <w:qFormat/>
    <w:rsid w:val="00BC75B7"/>
    <w:pPr>
      <w:spacing w:after="120"/>
      <w:ind w:left="720" w:hanging="720"/>
      <w:jc w:val="both"/>
    </w:pPr>
    <w:rPr>
      <w:rFonts w:asciiTheme="minorHAnsi" w:eastAsiaTheme="minorHAnsi" w:hAnsiTheme="minorHAnsi" w:cstheme="minorBidi"/>
      <w:i/>
      <w:sz w:val="24"/>
      <w:szCs w:val="22"/>
    </w:rPr>
  </w:style>
  <w:style w:type="paragraph" w:customStyle="1" w:styleId="TableText">
    <w:name w:val="Table Text"/>
    <w:basedOn w:val="Normal"/>
    <w:link w:val="TableTextChar"/>
    <w:qFormat/>
    <w:rsid w:val="006E25B2"/>
    <w:rPr>
      <w:rFonts w:ascii="Arial Narrow" w:hAnsi="Arial Narrow" w:cs="Arial"/>
      <w:sz w:val="20"/>
    </w:rPr>
  </w:style>
  <w:style w:type="character" w:customStyle="1" w:styleId="TableTextChar">
    <w:name w:val="Table Text Char"/>
    <w:basedOn w:val="DefaultParagraphFont"/>
    <w:link w:val="TableText"/>
    <w:rsid w:val="006E25B2"/>
    <w:rPr>
      <w:rFonts w:ascii="Arial Narrow" w:hAnsi="Arial Narrow" w:cs="Arial"/>
    </w:rPr>
  </w:style>
  <w:style w:type="paragraph" w:styleId="Revision">
    <w:name w:val="Revision"/>
    <w:hidden/>
    <w:uiPriority w:val="99"/>
    <w:semiHidden/>
    <w:rsid w:val="0039258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407">
      <w:bodyDiv w:val="1"/>
      <w:marLeft w:val="0"/>
      <w:marRight w:val="0"/>
      <w:marTop w:val="0"/>
      <w:marBottom w:val="0"/>
      <w:divBdr>
        <w:top w:val="none" w:sz="0" w:space="0" w:color="auto"/>
        <w:left w:val="none" w:sz="0" w:space="0" w:color="auto"/>
        <w:bottom w:val="none" w:sz="0" w:space="0" w:color="auto"/>
        <w:right w:val="none" w:sz="0" w:space="0" w:color="auto"/>
      </w:divBdr>
    </w:div>
    <w:div w:id="82998889">
      <w:bodyDiv w:val="1"/>
      <w:marLeft w:val="0"/>
      <w:marRight w:val="0"/>
      <w:marTop w:val="0"/>
      <w:marBottom w:val="0"/>
      <w:divBdr>
        <w:top w:val="none" w:sz="0" w:space="0" w:color="auto"/>
        <w:left w:val="none" w:sz="0" w:space="0" w:color="auto"/>
        <w:bottom w:val="none" w:sz="0" w:space="0" w:color="auto"/>
        <w:right w:val="none" w:sz="0" w:space="0" w:color="auto"/>
      </w:divBdr>
      <w:divsChild>
        <w:div w:id="728114355">
          <w:marLeft w:val="0"/>
          <w:marRight w:val="0"/>
          <w:marTop w:val="0"/>
          <w:marBottom w:val="0"/>
          <w:divBdr>
            <w:top w:val="none" w:sz="0" w:space="0" w:color="auto"/>
            <w:left w:val="none" w:sz="0" w:space="0" w:color="auto"/>
            <w:bottom w:val="none" w:sz="0" w:space="0" w:color="auto"/>
            <w:right w:val="none" w:sz="0" w:space="0" w:color="auto"/>
          </w:divBdr>
        </w:div>
      </w:divsChild>
    </w:div>
    <w:div w:id="132792324">
      <w:bodyDiv w:val="1"/>
      <w:marLeft w:val="0"/>
      <w:marRight w:val="0"/>
      <w:marTop w:val="0"/>
      <w:marBottom w:val="0"/>
      <w:divBdr>
        <w:top w:val="none" w:sz="0" w:space="0" w:color="auto"/>
        <w:left w:val="none" w:sz="0" w:space="0" w:color="auto"/>
        <w:bottom w:val="none" w:sz="0" w:space="0" w:color="auto"/>
        <w:right w:val="none" w:sz="0" w:space="0" w:color="auto"/>
      </w:divBdr>
    </w:div>
    <w:div w:id="265579462">
      <w:bodyDiv w:val="1"/>
      <w:marLeft w:val="0"/>
      <w:marRight w:val="0"/>
      <w:marTop w:val="0"/>
      <w:marBottom w:val="0"/>
      <w:divBdr>
        <w:top w:val="none" w:sz="0" w:space="0" w:color="auto"/>
        <w:left w:val="none" w:sz="0" w:space="0" w:color="auto"/>
        <w:bottom w:val="none" w:sz="0" w:space="0" w:color="auto"/>
        <w:right w:val="none" w:sz="0" w:space="0" w:color="auto"/>
      </w:divBdr>
    </w:div>
    <w:div w:id="371346629">
      <w:bodyDiv w:val="1"/>
      <w:marLeft w:val="0"/>
      <w:marRight w:val="0"/>
      <w:marTop w:val="0"/>
      <w:marBottom w:val="0"/>
      <w:divBdr>
        <w:top w:val="none" w:sz="0" w:space="0" w:color="auto"/>
        <w:left w:val="none" w:sz="0" w:space="0" w:color="auto"/>
        <w:bottom w:val="none" w:sz="0" w:space="0" w:color="auto"/>
        <w:right w:val="none" w:sz="0" w:space="0" w:color="auto"/>
      </w:divBdr>
    </w:div>
    <w:div w:id="510484548">
      <w:bodyDiv w:val="1"/>
      <w:marLeft w:val="0"/>
      <w:marRight w:val="0"/>
      <w:marTop w:val="0"/>
      <w:marBottom w:val="0"/>
      <w:divBdr>
        <w:top w:val="none" w:sz="0" w:space="0" w:color="auto"/>
        <w:left w:val="none" w:sz="0" w:space="0" w:color="auto"/>
        <w:bottom w:val="none" w:sz="0" w:space="0" w:color="auto"/>
        <w:right w:val="none" w:sz="0" w:space="0" w:color="auto"/>
      </w:divBdr>
    </w:div>
    <w:div w:id="511342763">
      <w:bodyDiv w:val="1"/>
      <w:marLeft w:val="0"/>
      <w:marRight w:val="0"/>
      <w:marTop w:val="0"/>
      <w:marBottom w:val="0"/>
      <w:divBdr>
        <w:top w:val="none" w:sz="0" w:space="0" w:color="auto"/>
        <w:left w:val="none" w:sz="0" w:space="0" w:color="auto"/>
        <w:bottom w:val="none" w:sz="0" w:space="0" w:color="auto"/>
        <w:right w:val="none" w:sz="0" w:space="0" w:color="auto"/>
      </w:divBdr>
    </w:div>
    <w:div w:id="533423563">
      <w:bodyDiv w:val="1"/>
      <w:marLeft w:val="0"/>
      <w:marRight w:val="0"/>
      <w:marTop w:val="0"/>
      <w:marBottom w:val="0"/>
      <w:divBdr>
        <w:top w:val="none" w:sz="0" w:space="0" w:color="auto"/>
        <w:left w:val="none" w:sz="0" w:space="0" w:color="auto"/>
        <w:bottom w:val="none" w:sz="0" w:space="0" w:color="auto"/>
        <w:right w:val="none" w:sz="0" w:space="0" w:color="auto"/>
      </w:divBdr>
    </w:div>
    <w:div w:id="565528882">
      <w:bodyDiv w:val="1"/>
      <w:marLeft w:val="0"/>
      <w:marRight w:val="0"/>
      <w:marTop w:val="0"/>
      <w:marBottom w:val="0"/>
      <w:divBdr>
        <w:top w:val="none" w:sz="0" w:space="0" w:color="auto"/>
        <w:left w:val="none" w:sz="0" w:space="0" w:color="auto"/>
        <w:bottom w:val="none" w:sz="0" w:space="0" w:color="auto"/>
        <w:right w:val="none" w:sz="0" w:space="0" w:color="auto"/>
      </w:divBdr>
    </w:div>
    <w:div w:id="679549730">
      <w:bodyDiv w:val="1"/>
      <w:marLeft w:val="0"/>
      <w:marRight w:val="0"/>
      <w:marTop w:val="0"/>
      <w:marBottom w:val="0"/>
      <w:divBdr>
        <w:top w:val="none" w:sz="0" w:space="0" w:color="auto"/>
        <w:left w:val="none" w:sz="0" w:space="0" w:color="auto"/>
        <w:bottom w:val="none" w:sz="0" w:space="0" w:color="auto"/>
        <w:right w:val="none" w:sz="0" w:space="0" w:color="auto"/>
      </w:divBdr>
    </w:div>
    <w:div w:id="690763098">
      <w:bodyDiv w:val="1"/>
      <w:marLeft w:val="0"/>
      <w:marRight w:val="0"/>
      <w:marTop w:val="0"/>
      <w:marBottom w:val="0"/>
      <w:divBdr>
        <w:top w:val="none" w:sz="0" w:space="0" w:color="auto"/>
        <w:left w:val="none" w:sz="0" w:space="0" w:color="auto"/>
        <w:bottom w:val="none" w:sz="0" w:space="0" w:color="auto"/>
        <w:right w:val="none" w:sz="0" w:space="0" w:color="auto"/>
      </w:divBdr>
    </w:div>
    <w:div w:id="737243584">
      <w:bodyDiv w:val="1"/>
      <w:marLeft w:val="0"/>
      <w:marRight w:val="0"/>
      <w:marTop w:val="0"/>
      <w:marBottom w:val="0"/>
      <w:divBdr>
        <w:top w:val="none" w:sz="0" w:space="0" w:color="auto"/>
        <w:left w:val="none" w:sz="0" w:space="0" w:color="auto"/>
        <w:bottom w:val="none" w:sz="0" w:space="0" w:color="auto"/>
        <w:right w:val="none" w:sz="0" w:space="0" w:color="auto"/>
      </w:divBdr>
    </w:div>
    <w:div w:id="800415593">
      <w:bodyDiv w:val="1"/>
      <w:marLeft w:val="0"/>
      <w:marRight w:val="0"/>
      <w:marTop w:val="0"/>
      <w:marBottom w:val="0"/>
      <w:divBdr>
        <w:top w:val="none" w:sz="0" w:space="0" w:color="auto"/>
        <w:left w:val="none" w:sz="0" w:space="0" w:color="auto"/>
        <w:bottom w:val="none" w:sz="0" w:space="0" w:color="auto"/>
        <w:right w:val="none" w:sz="0" w:space="0" w:color="auto"/>
      </w:divBdr>
    </w:div>
    <w:div w:id="800656401">
      <w:bodyDiv w:val="1"/>
      <w:marLeft w:val="0"/>
      <w:marRight w:val="0"/>
      <w:marTop w:val="0"/>
      <w:marBottom w:val="0"/>
      <w:divBdr>
        <w:top w:val="none" w:sz="0" w:space="0" w:color="auto"/>
        <w:left w:val="none" w:sz="0" w:space="0" w:color="auto"/>
        <w:bottom w:val="none" w:sz="0" w:space="0" w:color="auto"/>
        <w:right w:val="none" w:sz="0" w:space="0" w:color="auto"/>
      </w:divBdr>
    </w:div>
    <w:div w:id="812605568">
      <w:bodyDiv w:val="1"/>
      <w:marLeft w:val="0"/>
      <w:marRight w:val="0"/>
      <w:marTop w:val="0"/>
      <w:marBottom w:val="0"/>
      <w:divBdr>
        <w:top w:val="none" w:sz="0" w:space="0" w:color="auto"/>
        <w:left w:val="none" w:sz="0" w:space="0" w:color="auto"/>
        <w:bottom w:val="none" w:sz="0" w:space="0" w:color="auto"/>
        <w:right w:val="none" w:sz="0" w:space="0" w:color="auto"/>
      </w:divBdr>
    </w:div>
    <w:div w:id="846987985">
      <w:bodyDiv w:val="1"/>
      <w:marLeft w:val="0"/>
      <w:marRight w:val="0"/>
      <w:marTop w:val="0"/>
      <w:marBottom w:val="0"/>
      <w:divBdr>
        <w:top w:val="none" w:sz="0" w:space="0" w:color="auto"/>
        <w:left w:val="none" w:sz="0" w:space="0" w:color="auto"/>
        <w:bottom w:val="none" w:sz="0" w:space="0" w:color="auto"/>
        <w:right w:val="none" w:sz="0" w:space="0" w:color="auto"/>
      </w:divBdr>
    </w:div>
    <w:div w:id="876116522">
      <w:bodyDiv w:val="1"/>
      <w:marLeft w:val="0"/>
      <w:marRight w:val="0"/>
      <w:marTop w:val="0"/>
      <w:marBottom w:val="0"/>
      <w:divBdr>
        <w:top w:val="none" w:sz="0" w:space="0" w:color="auto"/>
        <w:left w:val="none" w:sz="0" w:space="0" w:color="auto"/>
        <w:bottom w:val="none" w:sz="0" w:space="0" w:color="auto"/>
        <w:right w:val="none" w:sz="0" w:space="0" w:color="auto"/>
      </w:divBdr>
    </w:div>
    <w:div w:id="884371920">
      <w:bodyDiv w:val="1"/>
      <w:marLeft w:val="0"/>
      <w:marRight w:val="0"/>
      <w:marTop w:val="0"/>
      <w:marBottom w:val="0"/>
      <w:divBdr>
        <w:top w:val="none" w:sz="0" w:space="0" w:color="auto"/>
        <w:left w:val="none" w:sz="0" w:space="0" w:color="auto"/>
        <w:bottom w:val="none" w:sz="0" w:space="0" w:color="auto"/>
        <w:right w:val="none" w:sz="0" w:space="0" w:color="auto"/>
      </w:divBdr>
    </w:div>
    <w:div w:id="892497857">
      <w:bodyDiv w:val="1"/>
      <w:marLeft w:val="0"/>
      <w:marRight w:val="0"/>
      <w:marTop w:val="0"/>
      <w:marBottom w:val="0"/>
      <w:divBdr>
        <w:top w:val="none" w:sz="0" w:space="0" w:color="auto"/>
        <w:left w:val="none" w:sz="0" w:space="0" w:color="auto"/>
        <w:bottom w:val="none" w:sz="0" w:space="0" w:color="auto"/>
        <w:right w:val="none" w:sz="0" w:space="0" w:color="auto"/>
      </w:divBdr>
    </w:div>
    <w:div w:id="949552994">
      <w:bodyDiv w:val="1"/>
      <w:marLeft w:val="0"/>
      <w:marRight w:val="0"/>
      <w:marTop w:val="0"/>
      <w:marBottom w:val="0"/>
      <w:divBdr>
        <w:top w:val="none" w:sz="0" w:space="0" w:color="auto"/>
        <w:left w:val="none" w:sz="0" w:space="0" w:color="auto"/>
        <w:bottom w:val="none" w:sz="0" w:space="0" w:color="auto"/>
        <w:right w:val="none" w:sz="0" w:space="0" w:color="auto"/>
      </w:divBdr>
    </w:div>
    <w:div w:id="961495338">
      <w:bodyDiv w:val="1"/>
      <w:marLeft w:val="0"/>
      <w:marRight w:val="0"/>
      <w:marTop w:val="0"/>
      <w:marBottom w:val="0"/>
      <w:divBdr>
        <w:top w:val="none" w:sz="0" w:space="0" w:color="auto"/>
        <w:left w:val="none" w:sz="0" w:space="0" w:color="auto"/>
        <w:bottom w:val="none" w:sz="0" w:space="0" w:color="auto"/>
        <w:right w:val="none" w:sz="0" w:space="0" w:color="auto"/>
      </w:divBdr>
      <w:divsChild>
        <w:div w:id="330333071">
          <w:marLeft w:val="0"/>
          <w:marRight w:val="0"/>
          <w:marTop w:val="0"/>
          <w:marBottom w:val="0"/>
          <w:divBdr>
            <w:top w:val="none" w:sz="0" w:space="0" w:color="auto"/>
            <w:left w:val="none" w:sz="0" w:space="0" w:color="auto"/>
            <w:bottom w:val="none" w:sz="0" w:space="0" w:color="auto"/>
            <w:right w:val="none" w:sz="0" w:space="0" w:color="auto"/>
          </w:divBdr>
          <w:divsChild>
            <w:div w:id="637498246">
              <w:marLeft w:val="0"/>
              <w:marRight w:val="0"/>
              <w:marTop w:val="0"/>
              <w:marBottom w:val="0"/>
              <w:divBdr>
                <w:top w:val="none" w:sz="0" w:space="0" w:color="auto"/>
                <w:left w:val="none" w:sz="0" w:space="0" w:color="auto"/>
                <w:bottom w:val="none" w:sz="0" w:space="0" w:color="auto"/>
                <w:right w:val="none" w:sz="0" w:space="0" w:color="auto"/>
              </w:divBdr>
              <w:divsChild>
                <w:div w:id="141579187">
                  <w:marLeft w:val="0"/>
                  <w:marRight w:val="0"/>
                  <w:marTop w:val="0"/>
                  <w:marBottom w:val="0"/>
                  <w:divBdr>
                    <w:top w:val="none" w:sz="0" w:space="0" w:color="auto"/>
                    <w:left w:val="none" w:sz="0" w:space="0" w:color="auto"/>
                    <w:bottom w:val="none" w:sz="0" w:space="0" w:color="auto"/>
                    <w:right w:val="none" w:sz="0" w:space="0" w:color="auto"/>
                  </w:divBdr>
                  <w:divsChild>
                    <w:div w:id="337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3502">
      <w:bodyDiv w:val="1"/>
      <w:marLeft w:val="0"/>
      <w:marRight w:val="0"/>
      <w:marTop w:val="0"/>
      <w:marBottom w:val="0"/>
      <w:divBdr>
        <w:top w:val="none" w:sz="0" w:space="0" w:color="auto"/>
        <w:left w:val="none" w:sz="0" w:space="0" w:color="auto"/>
        <w:bottom w:val="none" w:sz="0" w:space="0" w:color="auto"/>
        <w:right w:val="none" w:sz="0" w:space="0" w:color="auto"/>
      </w:divBdr>
    </w:div>
    <w:div w:id="1047990280">
      <w:bodyDiv w:val="1"/>
      <w:marLeft w:val="0"/>
      <w:marRight w:val="0"/>
      <w:marTop w:val="0"/>
      <w:marBottom w:val="0"/>
      <w:divBdr>
        <w:top w:val="none" w:sz="0" w:space="0" w:color="auto"/>
        <w:left w:val="none" w:sz="0" w:space="0" w:color="auto"/>
        <w:bottom w:val="none" w:sz="0" w:space="0" w:color="auto"/>
        <w:right w:val="none" w:sz="0" w:space="0" w:color="auto"/>
      </w:divBdr>
    </w:div>
    <w:div w:id="1051613013">
      <w:bodyDiv w:val="1"/>
      <w:marLeft w:val="0"/>
      <w:marRight w:val="0"/>
      <w:marTop w:val="0"/>
      <w:marBottom w:val="0"/>
      <w:divBdr>
        <w:top w:val="none" w:sz="0" w:space="0" w:color="auto"/>
        <w:left w:val="none" w:sz="0" w:space="0" w:color="auto"/>
        <w:bottom w:val="none" w:sz="0" w:space="0" w:color="auto"/>
        <w:right w:val="none" w:sz="0" w:space="0" w:color="auto"/>
      </w:divBdr>
    </w:div>
    <w:div w:id="1149905344">
      <w:bodyDiv w:val="1"/>
      <w:marLeft w:val="0"/>
      <w:marRight w:val="0"/>
      <w:marTop w:val="0"/>
      <w:marBottom w:val="0"/>
      <w:divBdr>
        <w:top w:val="none" w:sz="0" w:space="0" w:color="auto"/>
        <w:left w:val="none" w:sz="0" w:space="0" w:color="auto"/>
        <w:bottom w:val="none" w:sz="0" w:space="0" w:color="auto"/>
        <w:right w:val="none" w:sz="0" w:space="0" w:color="auto"/>
      </w:divBdr>
    </w:div>
    <w:div w:id="1157377662">
      <w:bodyDiv w:val="1"/>
      <w:marLeft w:val="0"/>
      <w:marRight w:val="0"/>
      <w:marTop w:val="0"/>
      <w:marBottom w:val="0"/>
      <w:divBdr>
        <w:top w:val="none" w:sz="0" w:space="0" w:color="auto"/>
        <w:left w:val="none" w:sz="0" w:space="0" w:color="auto"/>
        <w:bottom w:val="none" w:sz="0" w:space="0" w:color="auto"/>
        <w:right w:val="none" w:sz="0" w:space="0" w:color="auto"/>
      </w:divBdr>
    </w:div>
    <w:div w:id="1312367795">
      <w:bodyDiv w:val="1"/>
      <w:marLeft w:val="0"/>
      <w:marRight w:val="0"/>
      <w:marTop w:val="0"/>
      <w:marBottom w:val="0"/>
      <w:divBdr>
        <w:top w:val="none" w:sz="0" w:space="0" w:color="auto"/>
        <w:left w:val="none" w:sz="0" w:space="0" w:color="auto"/>
        <w:bottom w:val="none" w:sz="0" w:space="0" w:color="auto"/>
        <w:right w:val="none" w:sz="0" w:space="0" w:color="auto"/>
      </w:divBdr>
    </w:div>
    <w:div w:id="1359544503">
      <w:bodyDiv w:val="1"/>
      <w:marLeft w:val="0"/>
      <w:marRight w:val="0"/>
      <w:marTop w:val="0"/>
      <w:marBottom w:val="0"/>
      <w:divBdr>
        <w:top w:val="none" w:sz="0" w:space="0" w:color="auto"/>
        <w:left w:val="none" w:sz="0" w:space="0" w:color="auto"/>
        <w:bottom w:val="none" w:sz="0" w:space="0" w:color="auto"/>
        <w:right w:val="none" w:sz="0" w:space="0" w:color="auto"/>
      </w:divBdr>
    </w:div>
    <w:div w:id="1434059502">
      <w:bodyDiv w:val="1"/>
      <w:marLeft w:val="0"/>
      <w:marRight w:val="0"/>
      <w:marTop w:val="0"/>
      <w:marBottom w:val="0"/>
      <w:divBdr>
        <w:top w:val="none" w:sz="0" w:space="0" w:color="auto"/>
        <w:left w:val="none" w:sz="0" w:space="0" w:color="auto"/>
        <w:bottom w:val="none" w:sz="0" w:space="0" w:color="auto"/>
        <w:right w:val="none" w:sz="0" w:space="0" w:color="auto"/>
      </w:divBdr>
    </w:div>
    <w:div w:id="1577931382">
      <w:bodyDiv w:val="1"/>
      <w:marLeft w:val="0"/>
      <w:marRight w:val="0"/>
      <w:marTop w:val="0"/>
      <w:marBottom w:val="0"/>
      <w:divBdr>
        <w:top w:val="none" w:sz="0" w:space="0" w:color="auto"/>
        <w:left w:val="none" w:sz="0" w:space="0" w:color="auto"/>
        <w:bottom w:val="none" w:sz="0" w:space="0" w:color="auto"/>
        <w:right w:val="none" w:sz="0" w:space="0" w:color="auto"/>
      </w:divBdr>
    </w:div>
    <w:div w:id="1652756315">
      <w:bodyDiv w:val="1"/>
      <w:marLeft w:val="0"/>
      <w:marRight w:val="0"/>
      <w:marTop w:val="0"/>
      <w:marBottom w:val="0"/>
      <w:divBdr>
        <w:top w:val="none" w:sz="0" w:space="0" w:color="auto"/>
        <w:left w:val="none" w:sz="0" w:space="0" w:color="auto"/>
        <w:bottom w:val="none" w:sz="0" w:space="0" w:color="auto"/>
        <w:right w:val="none" w:sz="0" w:space="0" w:color="auto"/>
      </w:divBdr>
    </w:div>
    <w:div w:id="1670794569">
      <w:bodyDiv w:val="1"/>
      <w:marLeft w:val="0"/>
      <w:marRight w:val="0"/>
      <w:marTop w:val="0"/>
      <w:marBottom w:val="0"/>
      <w:divBdr>
        <w:top w:val="none" w:sz="0" w:space="0" w:color="auto"/>
        <w:left w:val="none" w:sz="0" w:space="0" w:color="auto"/>
        <w:bottom w:val="none" w:sz="0" w:space="0" w:color="auto"/>
        <w:right w:val="none" w:sz="0" w:space="0" w:color="auto"/>
      </w:divBdr>
    </w:div>
    <w:div w:id="1682900680">
      <w:bodyDiv w:val="1"/>
      <w:marLeft w:val="0"/>
      <w:marRight w:val="0"/>
      <w:marTop w:val="0"/>
      <w:marBottom w:val="0"/>
      <w:divBdr>
        <w:top w:val="none" w:sz="0" w:space="0" w:color="auto"/>
        <w:left w:val="none" w:sz="0" w:space="0" w:color="auto"/>
        <w:bottom w:val="none" w:sz="0" w:space="0" w:color="auto"/>
        <w:right w:val="none" w:sz="0" w:space="0" w:color="auto"/>
      </w:divBdr>
      <w:divsChild>
        <w:div w:id="1397242686">
          <w:marLeft w:val="0"/>
          <w:marRight w:val="0"/>
          <w:marTop w:val="0"/>
          <w:marBottom w:val="0"/>
          <w:divBdr>
            <w:top w:val="none" w:sz="0" w:space="0" w:color="auto"/>
            <w:left w:val="none" w:sz="0" w:space="0" w:color="auto"/>
            <w:bottom w:val="none" w:sz="0" w:space="0" w:color="auto"/>
            <w:right w:val="none" w:sz="0" w:space="0" w:color="auto"/>
          </w:divBdr>
          <w:divsChild>
            <w:div w:id="1273249715">
              <w:marLeft w:val="0"/>
              <w:marRight w:val="0"/>
              <w:marTop w:val="0"/>
              <w:marBottom w:val="0"/>
              <w:divBdr>
                <w:top w:val="none" w:sz="0" w:space="0" w:color="auto"/>
                <w:left w:val="none" w:sz="0" w:space="0" w:color="auto"/>
                <w:bottom w:val="none" w:sz="0" w:space="0" w:color="auto"/>
                <w:right w:val="none" w:sz="0" w:space="0" w:color="auto"/>
              </w:divBdr>
              <w:divsChild>
                <w:div w:id="245069027">
                  <w:marLeft w:val="0"/>
                  <w:marRight w:val="0"/>
                  <w:marTop w:val="0"/>
                  <w:marBottom w:val="0"/>
                  <w:divBdr>
                    <w:top w:val="none" w:sz="0" w:space="0" w:color="auto"/>
                    <w:left w:val="none" w:sz="0" w:space="0" w:color="auto"/>
                    <w:bottom w:val="none" w:sz="0" w:space="0" w:color="auto"/>
                    <w:right w:val="none" w:sz="0" w:space="0" w:color="auto"/>
                  </w:divBdr>
                  <w:divsChild>
                    <w:div w:id="7135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112767">
      <w:bodyDiv w:val="1"/>
      <w:marLeft w:val="0"/>
      <w:marRight w:val="0"/>
      <w:marTop w:val="0"/>
      <w:marBottom w:val="0"/>
      <w:divBdr>
        <w:top w:val="none" w:sz="0" w:space="0" w:color="auto"/>
        <w:left w:val="none" w:sz="0" w:space="0" w:color="auto"/>
        <w:bottom w:val="none" w:sz="0" w:space="0" w:color="auto"/>
        <w:right w:val="none" w:sz="0" w:space="0" w:color="auto"/>
      </w:divBdr>
    </w:div>
    <w:div w:id="1740442503">
      <w:bodyDiv w:val="1"/>
      <w:marLeft w:val="0"/>
      <w:marRight w:val="0"/>
      <w:marTop w:val="0"/>
      <w:marBottom w:val="0"/>
      <w:divBdr>
        <w:top w:val="none" w:sz="0" w:space="0" w:color="auto"/>
        <w:left w:val="none" w:sz="0" w:space="0" w:color="auto"/>
        <w:bottom w:val="none" w:sz="0" w:space="0" w:color="auto"/>
        <w:right w:val="none" w:sz="0" w:space="0" w:color="auto"/>
      </w:divBdr>
    </w:div>
    <w:div w:id="1752044552">
      <w:bodyDiv w:val="1"/>
      <w:marLeft w:val="0"/>
      <w:marRight w:val="0"/>
      <w:marTop w:val="0"/>
      <w:marBottom w:val="0"/>
      <w:divBdr>
        <w:top w:val="none" w:sz="0" w:space="0" w:color="auto"/>
        <w:left w:val="none" w:sz="0" w:space="0" w:color="auto"/>
        <w:bottom w:val="none" w:sz="0" w:space="0" w:color="auto"/>
        <w:right w:val="none" w:sz="0" w:space="0" w:color="auto"/>
      </w:divBdr>
    </w:div>
    <w:div w:id="1834373094">
      <w:bodyDiv w:val="1"/>
      <w:marLeft w:val="0"/>
      <w:marRight w:val="0"/>
      <w:marTop w:val="0"/>
      <w:marBottom w:val="0"/>
      <w:divBdr>
        <w:top w:val="none" w:sz="0" w:space="0" w:color="auto"/>
        <w:left w:val="none" w:sz="0" w:space="0" w:color="auto"/>
        <w:bottom w:val="none" w:sz="0" w:space="0" w:color="auto"/>
        <w:right w:val="none" w:sz="0" w:space="0" w:color="auto"/>
      </w:divBdr>
    </w:div>
    <w:div w:id="1919486251">
      <w:bodyDiv w:val="1"/>
      <w:marLeft w:val="0"/>
      <w:marRight w:val="0"/>
      <w:marTop w:val="0"/>
      <w:marBottom w:val="0"/>
      <w:divBdr>
        <w:top w:val="none" w:sz="0" w:space="0" w:color="auto"/>
        <w:left w:val="none" w:sz="0" w:space="0" w:color="auto"/>
        <w:bottom w:val="none" w:sz="0" w:space="0" w:color="auto"/>
        <w:right w:val="none" w:sz="0" w:space="0" w:color="auto"/>
      </w:divBdr>
    </w:div>
    <w:div w:id="2008828191">
      <w:bodyDiv w:val="1"/>
      <w:marLeft w:val="0"/>
      <w:marRight w:val="0"/>
      <w:marTop w:val="0"/>
      <w:marBottom w:val="0"/>
      <w:divBdr>
        <w:top w:val="none" w:sz="0" w:space="0" w:color="auto"/>
        <w:left w:val="none" w:sz="0" w:space="0" w:color="auto"/>
        <w:bottom w:val="none" w:sz="0" w:space="0" w:color="auto"/>
        <w:right w:val="none" w:sz="0" w:space="0" w:color="auto"/>
      </w:divBdr>
    </w:div>
    <w:div w:id="2075201895">
      <w:bodyDiv w:val="1"/>
      <w:marLeft w:val="0"/>
      <w:marRight w:val="0"/>
      <w:marTop w:val="0"/>
      <w:marBottom w:val="0"/>
      <w:divBdr>
        <w:top w:val="none" w:sz="0" w:space="0" w:color="auto"/>
        <w:left w:val="none" w:sz="0" w:space="0" w:color="auto"/>
        <w:bottom w:val="none" w:sz="0" w:space="0" w:color="auto"/>
        <w:right w:val="none" w:sz="0" w:space="0" w:color="auto"/>
      </w:divBdr>
    </w:div>
    <w:div w:id="21020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2848</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2019-12-18T22:38:00Z</dcterms:created>
  <dcterms:modified xsi:type="dcterms:W3CDTF">2019-12-18T22:38:00Z</dcterms:modified>
</cp:coreProperties>
</file>