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126104" w:rsidRPr="003E19A4" w14:paraId="1AE0EEF6" w14:textId="77777777" w:rsidTr="00EA306F">
        <w:trPr>
          <w:trHeight w:val="813"/>
          <w:tblHeader/>
        </w:trPr>
        <w:tc>
          <w:tcPr>
            <w:tcW w:w="2977" w:type="dxa"/>
            <w:tcMar>
              <w:top w:w="28" w:type="dxa"/>
              <w:bottom w:w="28" w:type="dxa"/>
            </w:tcMar>
          </w:tcPr>
          <w:p w14:paraId="6C22AD41" w14:textId="6905B55D" w:rsidR="00126104" w:rsidRPr="003E19A4" w:rsidRDefault="00126104" w:rsidP="00EA306F">
            <w:pPr>
              <w:widowControl w:val="0"/>
              <w:spacing w:before="120" w:after="120"/>
              <w:jc w:val="center"/>
              <w:rPr>
                <w:rFonts w:ascii="Arial" w:hAnsi="Arial" w:cs="Arial"/>
                <w:b/>
              </w:rPr>
            </w:pPr>
            <w:r w:rsidRPr="003E19A4">
              <w:rPr>
                <w:rFonts w:ascii="Arial" w:hAnsi="Arial" w:cs="Arial"/>
                <w:b/>
              </w:rPr>
              <w:t>DRUG NAME, FORM(S), STRENGTH(S), SPONSOR, TYPE OF SUBMISSION</w:t>
            </w:r>
          </w:p>
        </w:tc>
        <w:tc>
          <w:tcPr>
            <w:tcW w:w="2126" w:type="dxa"/>
            <w:tcMar>
              <w:top w:w="28" w:type="dxa"/>
              <w:bottom w:w="28" w:type="dxa"/>
            </w:tcMar>
          </w:tcPr>
          <w:p w14:paraId="095D97B8" w14:textId="77777777" w:rsidR="00126104" w:rsidRPr="003E19A4" w:rsidRDefault="00126104" w:rsidP="00EA306F">
            <w:pPr>
              <w:widowControl w:val="0"/>
              <w:spacing w:before="120" w:after="120"/>
              <w:jc w:val="center"/>
              <w:rPr>
                <w:rFonts w:ascii="Arial" w:hAnsi="Arial" w:cs="Arial"/>
                <w:b/>
                <w:snapToGrid w:val="0"/>
                <w:lang w:eastAsia="en-US"/>
              </w:rPr>
            </w:pPr>
            <w:r w:rsidRPr="003E19A4">
              <w:rPr>
                <w:rFonts w:ascii="Arial" w:hAnsi="Arial" w:cs="Arial"/>
                <w:b/>
                <w:snapToGrid w:val="0"/>
                <w:lang w:eastAsia="en-US"/>
              </w:rPr>
              <w:t>DRUG TYPE AND USE</w:t>
            </w:r>
          </w:p>
          <w:p w14:paraId="6692201E" w14:textId="77777777" w:rsidR="00126104" w:rsidRPr="003E19A4" w:rsidRDefault="00126104" w:rsidP="00EA306F">
            <w:pPr>
              <w:widowControl w:val="0"/>
              <w:spacing w:before="120" w:after="120"/>
              <w:jc w:val="center"/>
              <w:rPr>
                <w:rFonts w:ascii="Arial" w:hAnsi="Arial" w:cs="Arial"/>
                <w:b/>
                <w:snapToGrid w:val="0"/>
                <w:lang w:eastAsia="en-US"/>
              </w:rPr>
            </w:pPr>
          </w:p>
        </w:tc>
        <w:tc>
          <w:tcPr>
            <w:tcW w:w="3261" w:type="dxa"/>
            <w:tcMar>
              <w:top w:w="28" w:type="dxa"/>
              <w:bottom w:w="28" w:type="dxa"/>
            </w:tcMar>
          </w:tcPr>
          <w:p w14:paraId="0EE71A89" w14:textId="77777777" w:rsidR="00126104" w:rsidRPr="003E19A4" w:rsidRDefault="00126104" w:rsidP="00EA306F">
            <w:pPr>
              <w:widowControl w:val="0"/>
              <w:spacing w:before="120" w:after="120"/>
              <w:jc w:val="center"/>
              <w:rPr>
                <w:rFonts w:ascii="Arial" w:hAnsi="Arial" w:cs="Arial"/>
                <w:b/>
                <w:snapToGrid w:val="0"/>
                <w:lang w:eastAsia="en-US"/>
              </w:rPr>
            </w:pPr>
            <w:r w:rsidRPr="003E19A4">
              <w:rPr>
                <w:rFonts w:ascii="Arial" w:hAnsi="Arial" w:cs="Arial"/>
                <w:b/>
                <w:snapToGrid w:val="0"/>
                <w:lang w:eastAsia="en-US"/>
              </w:rPr>
              <w:t>LISTING REQUESTED BY SPONSOR / PURPOSE OF SUBMISSION</w:t>
            </w:r>
          </w:p>
        </w:tc>
        <w:tc>
          <w:tcPr>
            <w:tcW w:w="6947" w:type="dxa"/>
          </w:tcPr>
          <w:p w14:paraId="52F1A201" w14:textId="77777777" w:rsidR="00126104" w:rsidRPr="003E19A4" w:rsidRDefault="00126104" w:rsidP="00EA306F">
            <w:pPr>
              <w:pStyle w:val="Header"/>
              <w:spacing w:before="120" w:after="120"/>
              <w:jc w:val="center"/>
              <w:rPr>
                <w:rFonts w:ascii="Arial" w:hAnsi="Arial" w:cs="Arial"/>
                <w:b/>
                <w:snapToGrid w:val="0"/>
                <w:lang w:eastAsia="en-US"/>
              </w:rPr>
            </w:pPr>
            <w:r w:rsidRPr="003E19A4">
              <w:rPr>
                <w:rFonts w:ascii="Arial" w:hAnsi="Arial" w:cs="Arial"/>
                <w:b/>
                <w:snapToGrid w:val="0"/>
                <w:lang w:eastAsia="en-US"/>
              </w:rPr>
              <w:t>PBAC OUTCOME</w:t>
            </w:r>
          </w:p>
        </w:tc>
      </w:tr>
      <w:tr w:rsidR="00C51B41" w:rsidRPr="003E19A4" w14:paraId="1C90CC6A" w14:textId="77777777" w:rsidTr="00520DFC">
        <w:trPr>
          <w:trHeight w:val="813"/>
          <w:tblHeader/>
        </w:trPr>
        <w:tc>
          <w:tcPr>
            <w:tcW w:w="2977" w:type="dxa"/>
            <w:shd w:val="clear" w:color="auto" w:fill="auto"/>
            <w:tcMar>
              <w:top w:w="28" w:type="dxa"/>
              <w:bottom w:w="28" w:type="dxa"/>
            </w:tcMar>
          </w:tcPr>
          <w:p w14:paraId="2C254035" w14:textId="77777777" w:rsidR="00C51B41" w:rsidRDefault="00C51B41" w:rsidP="00C51B41">
            <w:pPr>
              <w:spacing w:before="120" w:after="120"/>
              <w:rPr>
                <w:rFonts w:ascii="Arial" w:hAnsi="Arial" w:cs="Arial"/>
              </w:rPr>
            </w:pPr>
            <w:r>
              <w:rPr>
                <w:rFonts w:ascii="Arial" w:hAnsi="Arial" w:cs="Arial"/>
              </w:rPr>
              <w:t>ALECTINIB</w:t>
            </w:r>
          </w:p>
          <w:p w14:paraId="2C1CF1D8" w14:textId="77777777" w:rsidR="00C51B41" w:rsidRDefault="00C51B41" w:rsidP="00C51B41">
            <w:pPr>
              <w:spacing w:before="120" w:after="120"/>
              <w:rPr>
                <w:rFonts w:ascii="Arial" w:hAnsi="Arial" w:cs="Arial"/>
              </w:rPr>
            </w:pPr>
            <w:r w:rsidRPr="00535701">
              <w:rPr>
                <w:rFonts w:ascii="Arial" w:hAnsi="Arial" w:cs="Arial"/>
              </w:rPr>
              <w:t>Capsule 150 mg</w:t>
            </w:r>
          </w:p>
          <w:p w14:paraId="6D76B4F9" w14:textId="77777777" w:rsidR="00C51B41" w:rsidRPr="00535701" w:rsidRDefault="00C51B41" w:rsidP="00C51B41">
            <w:pPr>
              <w:spacing w:before="120" w:after="120"/>
              <w:rPr>
                <w:rFonts w:ascii="Arial" w:hAnsi="Arial" w:cs="Arial"/>
              </w:rPr>
            </w:pPr>
            <w:r w:rsidRPr="00535701">
              <w:rPr>
                <w:rFonts w:ascii="Arial" w:hAnsi="Arial" w:cs="Arial"/>
              </w:rPr>
              <w:t>Alecensa®</w:t>
            </w:r>
          </w:p>
          <w:p w14:paraId="7E099590" w14:textId="77777777" w:rsidR="00C51B41" w:rsidRDefault="00C51B41" w:rsidP="00C51B41">
            <w:pPr>
              <w:spacing w:before="120" w:after="120"/>
              <w:rPr>
                <w:rFonts w:ascii="Arial" w:hAnsi="Arial" w:cs="Arial"/>
              </w:rPr>
            </w:pPr>
            <w:r w:rsidRPr="00535701">
              <w:rPr>
                <w:rFonts w:ascii="Arial" w:hAnsi="Arial" w:cs="Arial"/>
              </w:rPr>
              <w:t>Roche Products Pty Ltd</w:t>
            </w:r>
          </w:p>
          <w:p w14:paraId="50BB9EBC" w14:textId="77777777" w:rsidR="00C51B41" w:rsidRDefault="00C51B41" w:rsidP="00C51B41">
            <w:pPr>
              <w:spacing w:before="120" w:after="120"/>
              <w:rPr>
                <w:rFonts w:ascii="Arial" w:hAnsi="Arial" w:cs="Arial"/>
              </w:rPr>
            </w:pPr>
          </w:p>
          <w:p w14:paraId="48C58204" w14:textId="77777777" w:rsidR="00C51B41" w:rsidRDefault="00C51B41" w:rsidP="00C51B41">
            <w:pPr>
              <w:spacing w:before="120" w:after="120"/>
              <w:rPr>
                <w:rFonts w:ascii="Arial" w:hAnsi="Arial" w:cs="Arial"/>
              </w:rPr>
            </w:pPr>
            <w:r>
              <w:rPr>
                <w:rFonts w:ascii="Arial" w:hAnsi="Arial" w:cs="Arial"/>
              </w:rPr>
              <w:t xml:space="preserve">CRIZOTINIB </w:t>
            </w:r>
          </w:p>
          <w:p w14:paraId="5C19A69F" w14:textId="77777777" w:rsidR="00C51B41" w:rsidRPr="00A669B0" w:rsidRDefault="00C51B41" w:rsidP="00C51B41">
            <w:pPr>
              <w:rPr>
                <w:rFonts w:ascii="Arial" w:hAnsi="Arial" w:cs="Arial"/>
              </w:rPr>
            </w:pPr>
            <w:r w:rsidRPr="00A669B0">
              <w:rPr>
                <w:rFonts w:ascii="Arial" w:hAnsi="Arial" w:cs="Arial"/>
              </w:rPr>
              <w:t>Capsule 200 mg</w:t>
            </w:r>
          </w:p>
          <w:p w14:paraId="5F1A136D" w14:textId="77777777" w:rsidR="00C51B41" w:rsidRDefault="00C51B41" w:rsidP="00C51B41">
            <w:pPr>
              <w:rPr>
                <w:rFonts w:ascii="Arial" w:hAnsi="Arial" w:cs="Arial"/>
              </w:rPr>
            </w:pPr>
            <w:r w:rsidRPr="00A669B0">
              <w:rPr>
                <w:rFonts w:ascii="Arial" w:hAnsi="Arial" w:cs="Arial"/>
              </w:rPr>
              <w:t>Capsule 250 mg</w:t>
            </w:r>
          </w:p>
          <w:p w14:paraId="06682B7F" w14:textId="77777777" w:rsidR="00C51B41" w:rsidRPr="00A669B0" w:rsidRDefault="00C51B41" w:rsidP="00C51B41">
            <w:pPr>
              <w:spacing w:before="120" w:after="120"/>
              <w:rPr>
                <w:rFonts w:ascii="Arial" w:hAnsi="Arial" w:cs="Arial"/>
              </w:rPr>
            </w:pPr>
            <w:r w:rsidRPr="00A669B0">
              <w:rPr>
                <w:rFonts w:ascii="Arial" w:hAnsi="Arial" w:cs="Arial"/>
              </w:rPr>
              <w:t>Xalkori®</w:t>
            </w:r>
          </w:p>
          <w:p w14:paraId="21F4DE2F" w14:textId="3096E43A" w:rsidR="00C51B41" w:rsidRPr="00C51B41" w:rsidRDefault="00C51B41" w:rsidP="00C51B41">
            <w:pPr>
              <w:spacing w:before="120" w:after="120"/>
              <w:rPr>
                <w:rFonts w:ascii="Arial" w:hAnsi="Arial" w:cs="Arial"/>
              </w:rPr>
            </w:pPr>
            <w:r w:rsidRPr="00A669B0">
              <w:rPr>
                <w:rFonts w:ascii="Arial" w:hAnsi="Arial" w:cs="Arial"/>
              </w:rPr>
              <w:t>Pfizer Australia Pty Ltd</w:t>
            </w:r>
          </w:p>
        </w:tc>
        <w:tc>
          <w:tcPr>
            <w:tcW w:w="2126" w:type="dxa"/>
            <w:shd w:val="clear" w:color="auto" w:fill="auto"/>
            <w:tcMar>
              <w:top w:w="28" w:type="dxa"/>
              <w:bottom w:w="28" w:type="dxa"/>
            </w:tcMar>
          </w:tcPr>
          <w:p w14:paraId="49FC7E41" w14:textId="2EF91617" w:rsidR="00C51B41" w:rsidRPr="003E19A4" w:rsidRDefault="00C51B41" w:rsidP="00073904">
            <w:pPr>
              <w:widowControl w:val="0"/>
              <w:spacing w:before="120" w:after="120"/>
              <w:rPr>
                <w:rFonts w:ascii="Arial" w:hAnsi="Arial" w:cs="Arial"/>
                <w:b/>
                <w:snapToGrid w:val="0"/>
                <w:lang w:eastAsia="en-US"/>
              </w:rPr>
            </w:pPr>
            <w:r w:rsidRPr="00A669B0">
              <w:rPr>
                <w:rFonts w:ascii="Arial" w:hAnsi="Arial" w:cs="Arial"/>
              </w:rPr>
              <w:t>Non-small cell lung cancer (NSCLC)</w:t>
            </w:r>
          </w:p>
        </w:tc>
        <w:tc>
          <w:tcPr>
            <w:tcW w:w="3261" w:type="dxa"/>
            <w:shd w:val="clear" w:color="auto" w:fill="auto"/>
            <w:tcMar>
              <w:top w:w="28" w:type="dxa"/>
              <w:bottom w:w="28" w:type="dxa"/>
            </w:tcMar>
          </w:tcPr>
          <w:p w14:paraId="76845189" w14:textId="24D134C4" w:rsidR="00C51B41" w:rsidRPr="003E19A4" w:rsidRDefault="00C51B41" w:rsidP="0018161A">
            <w:pPr>
              <w:widowControl w:val="0"/>
              <w:spacing w:before="120" w:after="120"/>
              <w:rPr>
                <w:rFonts w:ascii="Arial" w:hAnsi="Arial" w:cs="Arial"/>
                <w:b/>
                <w:snapToGrid w:val="0"/>
                <w:lang w:eastAsia="en-US"/>
              </w:rPr>
            </w:pPr>
            <w:r>
              <w:rPr>
                <w:rFonts w:ascii="Arial" w:hAnsi="Arial" w:cs="Arial"/>
                <w:snapToGrid w:val="0"/>
                <w:szCs w:val="24"/>
                <w:lang w:eastAsia="en-US"/>
              </w:rPr>
              <w:t>C</w:t>
            </w:r>
            <w:r w:rsidRPr="005F5CB4">
              <w:rPr>
                <w:rFonts w:ascii="Arial" w:hAnsi="Arial" w:cs="Arial"/>
                <w:snapToGrid w:val="0"/>
                <w:szCs w:val="24"/>
                <w:lang w:eastAsia="en-US"/>
              </w:rPr>
              <w:t xml:space="preserve">orrespondence from the Medical Oncology Group of Australia (MOGA) requested an increase </w:t>
            </w:r>
            <w:r>
              <w:rPr>
                <w:rFonts w:ascii="Arial" w:hAnsi="Arial" w:cs="Arial"/>
                <w:snapToGrid w:val="0"/>
                <w:szCs w:val="24"/>
                <w:lang w:eastAsia="en-US"/>
              </w:rPr>
              <w:t xml:space="preserve">to </w:t>
            </w:r>
            <w:r w:rsidRPr="005F5CB4">
              <w:rPr>
                <w:rFonts w:ascii="Arial" w:hAnsi="Arial" w:cs="Arial"/>
                <w:snapToGrid w:val="0"/>
                <w:szCs w:val="24"/>
                <w:lang w:eastAsia="en-US"/>
              </w:rPr>
              <w:t xml:space="preserve">the number of repeats for alectinib and crizotinib for the treatment of patients with </w:t>
            </w:r>
            <w:r w:rsidRPr="005F5CB4">
              <w:rPr>
                <w:rFonts w:ascii="Arial" w:eastAsia="Calibri" w:hAnsi="Arial" w:cs="Arial"/>
                <w:szCs w:val="22"/>
                <w:lang w:eastAsia="en-US"/>
              </w:rPr>
              <w:t xml:space="preserve">Stage IIIB (locally advanced) or Stage IV (metastatic) </w:t>
            </w:r>
            <w:r w:rsidRPr="005F5CB4">
              <w:rPr>
                <w:rFonts w:ascii="Arial" w:hAnsi="Arial" w:cs="Arial"/>
                <w:snapToGrid w:val="0"/>
                <w:szCs w:val="24"/>
                <w:lang w:eastAsia="en-US"/>
              </w:rPr>
              <w:t>non-small cell lung cancer (NSCLC) from 1 to 3.</w:t>
            </w:r>
          </w:p>
        </w:tc>
        <w:tc>
          <w:tcPr>
            <w:tcW w:w="6947" w:type="dxa"/>
            <w:shd w:val="clear" w:color="auto" w:fill="auto"/>
          </w:tcPr>
          <w:p w14:paraId="4D38F160" w14:textId="08E216D4" w:rsidR="00C51B41" w:rsidRPr="003E19A4" w:rsidRDefault="00C51B41" w:rsidP="006056AE">
            <w:pPr>
              <w:pStyle w:val="Header"/>
              <w:spacing w:before="120" w:after="120"/>
              <w:rPr>
                <w:rFonts w:ascii="Arial" w:hAnsi="Arial" w:cs="Arial"/>
                <w:b/>
                <w:snapToGrid w:val="0"/>
                <w:lang w:eastAsia="en-US"/>
              </w:rPr>
            </w:pPr>
            <w:r w:rsidRPr="00535701">
              <w:rPr>
                <w:rFonts w:ascii="Arial" w:hAnsi="Arial" w:cs="Arial"/>
              </w:rPr>
              <w:t>The PBAC recommended an increase in the number of repeats for the current listings for alectinib and crizotinib, indicated for stage IIIB (locally advanced) or stage IV (metastatic) non-small cell lung cancer, from 1 to 3. The PBAC also advised that this change should also apply to the PBS listing for ceritinib and the recommended listings for lorlatinib and brigatinib.</w:t>
            </w:r>
          </w:p>
        </w:tc>
      </w:tr>
      <w:tr w:rsidR="00443C5C" w:rsidRPr="00100294" w14:paraId="0E8F6BF7" w14:textId="77777777" w:rsidTr="001123B7">
        <w:tblPrEx>
          <w:tblLook w:val="04A0" w:firstRow="1" w:lastRow="0" w:firstColumn="1" w:lastColumn="0" w:noHBand="0" w:noVBand="1"/>
        </w:tblPrEx>
        <w:tc>
          <w:tcPr>
            <w:tcW w:w="2977" w:type="dxa"/>
            <w:shd w:val="clear" w:color="auto" w:fill="auto"/>
          </w:tcPr>
          <w:p w14:paraId="7F7C182B" w14:textId="15A3EBC1" w:rsidR="00443C5C" w:rsidRPr="00443C5C" w:rsidRDefault="00DF0AD5" w:rsidP="00EA306F">
            <w:pPr>
              <w:pStyle w:val="Char2CharCharCharZchnZchnCharCharCharCharCharCharCharCharCharCharCharCharCharCharCharCharCharCharCharCharCharCharCharChar1CharCharCharCharCharCharCharCharCharCharCharChar1Char"/>
              <w:spacing w:before="120" w:after="120"/>
              <w:rPr>
                <w:rFonts w:ascii="Arial" w:hAnsi="Arial" w:cs="Arial"/>
              </w:rPr>
            </w:pPr>
            <w:r w:rsidRPr="00FE0300">
              <w:rPr>
                <w:rFonts w:ascii="Arial" w:hAnsi="Arial" w:cs="Arial"/>
                <w:color w:val="000000" w:themeColor="text1"/>
                <w:lang w:val="en-AU"/>
              </w:rPr>
              <w:t>Authorised Nurse Practitioner prescribing for Hepatitis B (Hep B), Hepatitis C (Hep C) and Human Immunodeficiency Virus (HIV) medicines under the Highly Specialised Drugs (HSD) Program</w:t>
            </w:r>
          </w:p>
        </w:tc>
        <w:tc>
          <w:tcPr>
            <w:tcW w:w="2126" w:type="dxa"/>
            <w:shd w:val="clear" w:color="auto" w:fill="auto"/>
          </w:tcPr>
          <w:p w14:paraId="56B8349D" w14:textId="1790B040" w:rsidR="00443C5C" w:rsidRPr="00443C5C" w:rsidRDefault="00DF0AD5" w:rsidP="00EA306F">
            <w:pPr>
              <w:autoSpaceDE w:val="0"/>
              <w:autoSpaceDN w:val="0"/>
              <w:adjustRightInd w:val="0"/>
              <w:spacing w:before="120" w:after="120"/>
              <w:rPr>
                <w:rFonts w:ascii="Arial" w:hAnsi="Arial" w:cs="Arial"/>
              </w:rPr>
            </w:pPr>
            <w:r w:rsidRPr="00DF0AD5">
              <w:rPr>
                <w:rFonts w:ascii="Arial" w:hAnsi="Arial" w:cs="Arial"/>
              </w:rPr>
              <w:t>Agents for the treatment of Hep B, Hep C, and HIV</w:t>
            </w:r>
          </w:p>
        </w:tc>
        <w:tc>
          <w:tcPr>
            <w:tcW w:w="3261" w:type="dxa"/>
            <w:shd w:val="clear" w:color="auto" w:fill="auto"/>
          </w:tcPr>
          <w:p w14:paraId="73C742C6" w14:textId="4D7A2265" w:rsidR="00443C5C" w:rsidRPr="00443C5C" w:rsidRDefault="00DF0AD5" w:rsidP="00EA306F">
            <w:pPr>
              <w:autoSpaceDE w:val="0"/>
              <w:autoSpaceDN w:val="0"/>
              <w:adjustRightInd w:val="0"/>
              <w:spacing w:before="120" w:after="120"/>
              <w:rPr>
                <w:rFonts w:ascii="Arial" w:hAnsi="Arial" w:cs="Arial"/>
              </w:rPr>
            </w:pPr>
            <w:r w:rsidRPr="00DF0AD5">
              <w:rPr>
                <w:rFonts w:ascii="Arial" w:hAnsi="Arial" w:cs="Arial"/>
              </w:rPr>
              <w:t>To endorse the suitability of authorised nurse practitioner prescribing for Hep B, C and HIV medicines under the HSD program</w:t>
            </w:r>
          </w:p>
        </w:tc>
        <w:tc>
          <w:tcPr>
            <w:tcW w:w="6947" w:type="dxa"/>
            <w:shd w:val="clear" w:color="auto" w:fill="auto"/>
          </w:tcPr>
          <w:p w14:paraId="1B2D8CF5" w14:textId="77777777" w:rsidR="00DF0AD5" w:rsidRPr="00DF0AD5" w:rsidRDefault="00DF0AD5" w:rsidP="006056AE">
            <w:pPr>
              <w:widowControl w:val="0"/>
              <w:spacing w:after="160"/>
              <w:rPr>
                <w:rFonts w:ascii="Arial" w:hAnsi="Arial" w:cs="Arial"/>
                <w:snapToGrid w:val="0"/>
                <w:lang w:eastAsia="en-US"/>
              </w:rPr>
            </w:pPr>
            <w:r w:rsidRPr="00DF0AD5">
              <w:rPr>
                <w:rFonts w:ascii="Arial" w:hAnsi="Arial" w:cs="Arial"/>
                <w:snapToGrid w:val="0"/>
                <w:lang w:eastAsia="en-US"/>
              </w:rPr>
              <w:t xml:space="preserve">The PBAC endorsed authorised nurse practitioner (NP) prescribing for Hep B, C and HIV medicines under the HSD program. </w:t>
            </w:r>
          </w:p>
          <w:p w14:paraId="3D854EB9" w14:textId="77777777" w:rsidR="00DF0AD5" w:rsidRPr="00DF0AD5" w:rsidRDefault="00DF0AD5" w:rsidP="006056AE">
            <w:pPr>
              <w:widowControl w:val="0"/>
              <w:spacing w:after="160"/>
              <w:rPr>
                <w:rFonts w:ascii="Arial" w:hAnsi="Arial" w:cs="Arial"/>
                <w:snapToGrid w:val="0"/>
                <w:lang w:eastAsia="en-US"/>
              </w:rPr>
            </w:pPr>
            <w:r w:rsidRPr="00DF0AD5">
              <w:rPr>
                <w:rFonts w:ascii="Arial" w:hAnsi="Arial" w:cs="Arial"/>
                <w:snapToGrid w:val="0"/>
                <w:lang w:eastAsia="en-US"/>
              </w:rPr>
              <w:t xml:space="preserve">Prescriber eligibility requirements currently in place for the relevant medicines under the </w:t>
            </w:r>
            <w:r w:rsidRPr="00DF0AD5">
              <w:rPr>
                <w:rFonts w:ascii="Arial" w:hAnsi="Arial" w:cs="Arial"/>
                <w:i/>
                <w:snapToGrid w:val="0"/>
                <w:lang w:eastAsia="en-US"/>
              </w:rPr>
              <w:t>National Health (Highly specialised drugs program) Special Arrangement 2010</w:t>
            </w:r>
            <w:r w:rsidRPr="00DF0AD5">
              <w:rPr>
                <w:rFonts w:ascii="Arial" w:hAnsi="Arial" w:cs="Arial"/>
                <w:snapToGrid w:val="0"/>
                <w:lang w:eastAsia="en-US"/>
              </w:rPr>
              <w:t xml:space="preserve"> will be extended to NPs, including the accreditation and/or state or territory approval requirements. </w:t>
            </w:r>
          </w:p>
          <w:p w14:paraId="3E599AAB" w14:textId="1BC40A62" w:rsidR="00443C5C" w:rsidRPr="00D64E6D" w:rsidRDefault="00DF0AD5" w:rsidP="00D64E6D">
            <w:pPr>
              <w:widowControl w:val="0"/>
              <w:spacing w:after="160"/>
              <w:rPr>
                <w:rFonts w:ascii="Arial" w:hAnsi="Arial" w:cs="Arial"/>
                <w:snapToGrid w:val="0"/>
                <w:lang w:eastAsia="en-US"/>
              </w:rPr>
            </w:pPr>
            <w:r w:rsidRPr="00DF0AD5">
              <w:rPr>
                <w:rFonts w:ascii="Arial" w:hAnsi="Arial" w:cs="Arial"/>
                <w:snapToGrid w:val="0"/>
                <w:lang w:eastAsia="en-US"/>
              </w:rPr>
              <w:t>Enabling NPs to be eligible to prescribe Hep B, C and HIV medicines under the HSD Program is expected to improve access for vulnerable populations including patients in remote and regional areas, those experiencing homelessness, and those in custodial settings.</w:t>
            </w:r>
            <w:r>
              <w:rPr>
                <w:rFonts w:ascii="Arial" w:hAnsi="Arial" w:cs="Arial"/>
                <w:snapToGrid w:val="0"/>
                <w:lang w:eastAsia="en-US"/>
              </w:rPr>
              <w:t xml:space="preserve"> </w:t>
            </w:r>
          </w:p>
        </w:tc>
      </w:tr>
      <w:tr w:rsidR="00EF2AF1" w:rsidRPr="00100294" w14:paraId="7B0211E8" w14:textId="77777777" w:rsidTr="00EF2AF1">
        <w:tblPrEx>
          <w:tblLook w:val="04A0" w:firstRow="1" w:lastRow="0" w:firstColumn="1" w:lastColumn="0" w:noHBand="0" w:noVBand="1"/>
        </w:tblPrEx>
        <w:tc>
          <w:tcPr>
            <w:tcW w:w="2977" w:type="dxa"/>
            <w:shd w:val="clear" w:color="auto" w:fill="auto"/>
          </w:tcPr>
          <w:p w14:paraId="776DAF2E" w14:textId="77777777" w:rsidR="00395DB4" w:rsidRPr="00395DB4" w:rsidRDefault="00395DB4" w:rsidP="00395DB4">
            <w:pPr>
              <w:spacing w:before="120" w:after="120"/>
              <w:rPr>
                <w:rFonts w:ascii="Arial" w:hAnsi="Arial" w:cs="Arial"/>
              </w:rPr>
            </w:pPr>
            <w:r w:rsidRPr="00395DB4">
              <w:rPr>
                <w:rFonts w:ascii="Arial" w:hAnsi="Arial" w:cs="Arial"/>
              </w:rPr>
              <w:t>Post-market Review of Pulmonary Arterial Hypertension (PAH) Medicines</w:t>
            </w:r>
          </w:p>
          <w:p w14:paraId="45E68267" w14:textId="77777777" w:rsidR="00395DB4" w:rsidRPr="00395DB4" w:rsidRDefault="00395DB4" w:rsidP="00395DB4">
            <w:pPr>
              <w:spacing w:before="120" w:after="120"/>
              <w:rPr>
                <w:rFonts w:ascii="Arial" w:hAnsi="Arial" w:cs="Arial"/>
              </w:rPr>
            </w:pPr>
            <w:r w:rsidRPr="00395DB4">
              <w:rPr>
                <w:rFonts w:ascii="Arial" w:hAnsi="Arial" w:cs="Arial"/>
              </w:rPr>
              <w:t xml:space="preserve">AMBRISENTAN </w:t>
            </w:r>
          </w:p>
          <w:p w14:paraId="37258BA6" w14:textId="77777777" w:rsidR="00395DB4" w:rsidRPr="00395DB4" w:rsidRDefault="00395DB4" w:rsidP="00395DB4">
            <w:pPr>
              <w:spacing w:before="120" w:after="120"/>
              <w:rPr>
                <w:rFonts w:ascii="Arial" w:hAnsi="Arial" w:cs="Arial"/>
              </w:rPr>
            </w:pPr>
            <w:r w:rsidRPr="00395DB4">
              <w:rPr>
                <w:rFonts w:ascii="Arial" w:hAnsi="Arial" w:cs="Arial"/>
              </w:rPr>
              <w:t xml:space="preserve">BOSENTAN </w:t>
            </w:r>
          </w:p>
          <w:p w14:paraId="366B3E2A" w14:textId="77777777" w:rsidR="00395DB4" w:rsidRPr="00395DB4" w:rsidRDefault="00395DB4" w:rsidP="00395DB4">
            <w:pPr>
              <w:spacing w:before="120" w:after="120"/>
              <w:rPr>
                <w:rFonts w:ascii="Arial" w:hAnsi="Arial" w:cs="Arial"/>
              </w:rPr>
            </w:pPr>
            <w:r w:rsidRPr="00395DB4">
              <w:rPr>
                <w:rFonts w:ascii="Arial" w:hAnsi="Arial" w:cs="Arial"/>
              </w:rPr>
              <w:t>MACITENTAN</w:t>
            </w:r>
          </w:p>
          <w:p w14:paraId="4B3CA973" w14:textId="77777777" w:rsidR="00395DB4" w:rsidRPr="00395DB4" w:rsidRDefault="00395DB4" w:rsidP="00395DB4">
            <w:pPr>
              <w:spacing w:before="120" w:after="120"/>
              <w:rPr>
                <w:rFonts w:ascii="Arial" w:hAnsi="Arial" w:cs="Arial"/>
              </w:rPr>
            </w:pPr>
            <w:r w:rsidRPr="00395DB4">
              <w:rPr>
                <w:rFonts w:ascii="Arial" w:hAnsi="Arial" w:cs="Arial"/>
              </w:rPr>
              <w:lastRenderedPageBreak/>
              <w:t>EPOPROSTENOL</w:t>
            </w:r>
          </w:p>
          <w:p w14:paraId="713D7299" w14:textId="77777777" w:rsidR="00395DB4" w:rsidRPr="00395DB4" w:rsidRDefault="00395DB4" w:rsidP="00395DB4">
            <w:pPr>
              <w:spacing w:before="120" w:after="120"/>
              <w:rPr>
                <w:rFonts w:ascii="Arial" w:hAnsi="Arial" w:cs="Arial"/>
              </w:rPr>
            </w:pPr>
            <w:r w:rsidRPr="00395DB4">
              <w:rPr>
                <w:rFonts w:ascii="Arial" w:hAnsi="Arial" w:cs="Arial"/>
              </w:rPr>
              <w:t>ILOPROST</w:t>
            </w:r>
          </w:p>
          <w:p w14:paraId="5D623EE8" w14:textId="77777777" w:rsidR="00395DB4" w:rsidRPr="00395DB4" w:rsidRDefault="00395DB4" w:rsidP="00395DB4">
            <w:pPr>
              <w:spacing w:before="120" w:after="120"/>
              <w:rPr>
                <w:rFonts w:ascii="Arial" w:hAnsi="Arial" w:cs="Arial"/>
              </w:rPr>
            </w:pPr>
            <w:r w:rsidRPr="00395DB4">
              <w:rPr>
                <w:rFonts w:ascii="Arial" w:hAnsi="Arial" w:cs="Arial"/>
              </w:rPr>
              <w:t>SILDENAFIL (20mg, 90 tablets)</w:t>
            </w:r>
          </w:p>
          <w:p w14:paraId="1D1436B4" w14:textId="77777777" w:rsidR="00395DB4" w:rsidRPr="00395DB4" w:rsidRDefault="00395DB4" w:rsidP="00395DB4">
            <w:pPr>
              <w:spacing w:before="120" w:after="120"/>
              <w:rPr>
                <w:rFonts w:ascii="Arial" w:hAnsi="Arial" w:cs="Arial"/>
              </w:rPr>
            </w:pPr>
            <w:r w:rsidRPr="00395DB4">
              <w:rPr>
                <w:rFonts w:ascii="Arial" w:hAnsi="Arial" w:cs="Arial"/>
              </w:rPr>
              <w:t>TADALAFIL (20mg, 56 tablets)</w:t>
            </w:r>
          </w:p>
          <w:p w14:paraId="2B836ADD" w14:textId="77777777" w:rsidR="00395DB4" w:rsidRPr="00395DB4" w:rsidRDefault="00395DB4" w:rsidP="00395DB4">
            <w:pPr>
              <w:spacing w:before="120" w:after="120"/>
              <w:rPr>
                <w:rFonts w:ascii="Arial" w:hAnsi="Arial" w:cs="Arial"/>
              </w:rPr>
            </w:pPr>
            <w:r w:rsidRPr="00395DB4">
              <w:rPr>
                <w:rFonts w:ascii="Arial" w:hAnsi="Arial" w:cs="Arial"/>
              </w:rPr>
              <w:t>RIOCIGUAT</w:t>
            </w:r>
          </w:p>
          <w:p w14:paraId="6BA76119" w14:textId="77777777" w:rsidR="00395DB4" w:rsidRPr="00395DB4" w:rsidRDefault="00395DB4" w:rsidP="00395DB4">
            <w:pPr>
              <w:spacing w:before="120" w:after="120"/>
              <w:rPr>
                <w:rFonts w:ascii="Arial" w:hAnsi="Arial" w:cs="Arial"/>
              </w:rPr>
            </w:pPr>
          </w:p>
          <w:p w14:paraId="0F44DA7F" w14:textId="77777777" w:rsidR="00395DB4" w:rsidRPr="00395DB4" w:rsidRDefault="00395DB4" w:rsidP="00395DB4">
            <w:pPr>
              <w:spacing w:before="120" w:after="120"/>
              <w:rPr>
                <w:rFonts w:ascii="Arial" w:hAnsi="Arial" w:cs="Arial"/>
              </w:rPr>
            </w:pPr>
            <w:r w:rsidRPr="00395DB4">
              <w:rPr>
                <w:rFonts w:ascii="Arial" w:hAnsi="Arial" w:cs="Arial"/>
              </w:rPr>
              <w:t xml:space="preserve">(All forms, strengths and listed brands) </w:t>
            </w:r>
          </w:p>
          <w:p w14:paraId="76946272" w14:textId="4EEC0089" w:rsidR="00EF2AF1" w:rsidRDefault="00EF2AF1" w:rsidP="00EA306F">
            <w:pPr>
              <w:spacing w:before="120" w:after="120"/>
              <w:rPr>
                <w:rFonts w:ascii="Arial" w:hAnsi="Arial" w:cs="Arial"/>
              </w:rPr>
            </w:pPr>
          </w:p>
        </w:tc>
        <w:tc>
          <w:tcPr>
            <w:tcW w:w="2126" w:type="dxa"/>
            <w:shd w:val="clear" w:color="auto" w:fill="auto"/>
          </w:tcPr>
          <w:p w14:paraId="3591AB59" w14:textId="46F75290" w:rsidR="00EF2AF1" w:rsidRPr="00494159" w:rsidRDefault="00395DB4" w:rsidP="00EA306F">
            <w:pPr>
              <w:spacing w:before="120" w:after="120"/>
              <w:rPr>
                <w:rFonts w:ascii="Arial" w:hAnsi="Arial" w:cs="Arial"/>
                <w:highlight w:val="yellow"/>
              </w:rPr>
            </w:pPr>
            <w:r w:rsidRPr="00395DB4">
              <w:rPr>
                <w:rFonts w:ascii="Arial" w:hAnsi="Arial" w:cs="Arial"/>
              </w:rPr>
              <w:lastRenderedPageBreak/>
              <w:t>Medicines specifically used to treat PAH</w:t>
            </w:r>
          </w:p>
        </w:tc>
        <w:tc>
          <w:tcPr>
            <w:tcW w:w="3261" w:type="dxa"/>
            <w:shd w:val="clear" w:color="auto" w:fill="auto"/>
          </w:tcPr>
          <w:p w14:paraId="5D9ED83A" w14:textId="77777777" w:rsidR="00395DB4" w:rsidRPr="00395DB4" w:rsidRDefault="00395DB4" w:rsidP="00395DB4">
            <w:pPr>
              <w:spacing w:before="120" w:after="120"/>
              <w:rPr>
                <w:rFonts w:ascii="Arial" w:hAnsi="Arial" w:cs="Arial"/>
              </w:rPr>
            </w:pPr>
            <w:r w:rsidRPr="00395DB4">
              <w:rPr>
                <w:rFonts w:ascii="Arial" w:hAnsi="Arial" w:cs="Arial"/>
              </w:rPr>
              <w:t>Matters relating to the PBAC consideration of the Post-market Review of PAH Medicines report in November 2018</w:t>
            </w:r>
          </w:p>
          <w:p w14:paraId="30673998" w14:textId="07C6BD16" w:rsidR="00EF2AF1" w:rsidRPr="00EA306F" w:rsidRDefault="00EF2AF1" w:rsidP="00EA306F">
            <w:pPr>
              <w:spacing w:before="120" w:after="120"/>
              <w:rPr>
                <w:rFonts w:ascii="Arial" w:hAnsi="Arial" w:cs="Arial"/>
                <w:color w:val="000000"/>
              </w:rPr>
            </w:pPr>
          </w:p>
        </w:tc>
        <w:tc>
          <w:tcPr>
            <w:tcW w:w="6947" w:type="dxa"/>
            <w:shd w:val="clear" w:color="auto" w:fill="auto"/>
          </w:tcPr>
          <w:p w14:paraId="3694D5F0" w14:textId="77777777" w:rsidR="007A7B83" w:rsidRPr="007A7B83" w:rsidRDefault="007A7B83" w:rsidP="007A7B83">
            <w:pPr>
              <w:widowControl w:val="0"/>
              <w:tabs>
                <w:tab w:val="center" w:pos="4153"/>
                <w:tab w:val="right" w:pos="8306"/>
              </w:tabs>
              <w:spacing w:before="120" w:after="120"/>
              <w:rPr>
                <w:rFonts w:ascii="Arial" w:hAnsi="Arial" w:cs="Arial"/>
              </w:rPr>
            </w:pPr>
            <w:r w:rsidRPr="007A7B83">
              <w:rPr>
                <w:rFonts w:ascii="Arial" w:hAnsi="Arial" w:cs="Arial"/>
              </w:rPr>
              <w:t>The PBAC considered the outcomes of the stakeholder forum held in June 2019 regarding both the proposed additional change to monotherapy restrictions and the proposed new PBS restrictions for combination use of endothelin receptor antagonist (ERA) and phosphodiesterase-5 (PDE-5) inhibitor medicines for patients with WHO functional class (FC) III/IV PAH symptoms.</w:t>
            </w:r>
          </w:p>
          <w:p w14:paraId="06E03747" w14:textId="51043984" w:rsidR="007A7B83" w:rsidRPr="007A7B83" w:rsidRDefault="007A7B83" w:rsidP="007A7B83">
            <w:pPr>
              <w:widowControl w:val="0"/>
              <w:tabs>
                <w:tab w:val="center" w:pos="4153"/>
                <w:tab w:val="right" w:pos="8306"/>
              </w:tabs>
              <w:spacing w:before="120" w:after="120"/>
              <w:rPr>
                <w:rFonts w:ascii="Arial" w:hAnsi="Arial" w:cs="Arial"/>
              </w:rPr>
            </w:pPr>
            <w:r w:rsidRPr="007A7B83">
              <w:rPr>
                <w:rFonts w:ascii="Arial" w:hAnsi="Arial" w:cs="Arial"/>
              </w:rPr>
              <w:t xml:space="preserve">The PBAC considered the pre-PBAC responses, price proposals from </w:t>
            </w:r>
            <w:r w:rsidRPr="007A7B83">
              <w:rPr>
                <w:rFonts w:ascii="Arial" w:hAnsi="Arial" w:cs="Arial"/>
              </w:rPr>
              <w:lastRenderedPageBreak/>
              <w:t xml:space="preserve">sponsor companies of PAH medicines, correspondence from the Pulmonary Hypertension Society of Australia and New </w:t>
            </w:r>
            <w:r w:rsidR="00523FEF" w:rsidRPr="007A7B83">
              <w:rPr>
                <w:rFonts w:ascii="Arial" w:hAnsi="Arial" w:cs="Arial"/>
              </w:rPr>
              <w:t>Zealand and</w:t>
            </w:r>
            <w:r w:rsidRPr="007A7B83">
              <w:rPr>
                <w:rFonts w:ascii="Arial" w:hAnsi="Arial" w:cs="Arial"/>
              </w:rPr>
              <w:t xml:space="preserve"> estimates of the additional cost to the PBS for combination therapy.</w:t>
            </w:r>
          </w:p>
          <w:p w14:paraId="62B54AA0" w14:textId="2983885A" w:rsidR="007A7B83" w:rsidRPr="007A7B83" w:rsidRDefault="007A7B83" w:rsidP="007A7B83">
            <w:pPr>
              <w:widowControl w:val="0"/>
              <w:tabs>
                <w:tab w:val="center" w:pos="4153"/>
                <w:tab w:val="right" w:pos="8306"/>
              </w:tabs>
              <w:spacing w:before="120" w:after="120"/>
              <w:rPr>
                <w:rFonts w:ascii="Arial" w:hAnsi="Arial" w:cs="Arial"/>
              </w:rPr>
            </w:pPr>
            <w:r w:rsidRPr="007A7B83">
              <w:rPr>
                <w:rFonts w:ascii="Arial" w:hAnsi="Arial" w:cs="Arial"/>
              </w:rPr>
              <w:t xml:space="preserve">The PBAC recommended removing the requirement to demonstrate a response to treatment in the current monotherapy PBS restrictions for all PAH medicines. </w:t>
            </w:r>
          </w:p>
          <w:p w14:paraId="5FFCBFEE" w14:textId="77777777" w:rsidR="007A7B83" w:rsidRPr="007A7B83" w:rsidRDefault="007A7B83" w:rsidP="007A7B83">
            <w:pPr>
              <w:widowControl w:val="0"/>
              <w:tabs>
                <w:tab w:val="center" w:pos="4153"/>
                <w:tab w:val="right" w:pos="8306"/>
              </w:tabs>
              <w:spacing w:before="120" w:after="120"/>
              <w:rPr>
                <w:rFonts w:ascii="Arial" w:hAnsi="Arial" w:cs="Arial"/>
              </w:rPr>
            </w:pPr>
            <w:r w:rsidRPr="007A7B83">
              <w:rPr>
                <w:rFonts w:ascii="Arial" w:hAnsi="Arial" w:cs="Arial"/>
              </w:rPr>
              <w:t>The PBAC considered and accepted the proposed dual combination therapy PBS restrictions for PAH medicines from the ERA and PDE-5i classes for patients with WHO FC III/IV PAH. PBS listing would be subject to acceptable price reductions from sponsors.</w:t>
            </w:r>
          </w:p>
          <w:p w14:paraId="031941E8" w14:textId="3C0649F3" w:rsidR="00EF2AF1" w:rsidRPr="002C6991" w:rsidRDefault="007A7B83" w:rsidP="00064CD2">
            <w:pPr>
              <w:spacing w:before="120" w:after="120"/>
              <w:rPr>
                <w:rFonts w:ascii="Calibri" w:hAnsi="Calibri" w:cs="Calibri"/>
                <w:color w:val="000000"/>
                <w:sz w:val="22"/>
                <w:szCs w:val="22"/>
              </w:rPr>
            </w:pPr>
            <w:r w:rsidRPr="007A7B83">
              <w:rPr>
                <w:rFonts w:ascii="Arial" w:hAnsi="Arial" w:cs="Arial"/>
              </w:rPr>
              <w:t xml:space="preserve">The PBAC noted the clinical evidence presented in the PMR Report supported dual combination therapy when a PDE-5i is added to a prostanoid (epoprostenol or iloprost) compared </w:t>
            </w:r>
            <w:r w:rsidR="00E36BE5">
              <w:rPr>
                <w:rFonts w:ascii="Arial" w:hAnsi="Arial" w:cs="Arial"/>
              </w:rPr>
              <w:t>with</w:t>
            </w:r>
            <w:r w:rsidR="00E36BE5" w:rsidRPr="007A7B83">
              <w:rPr>
                <w:rFonts w:ascii="Arial" w:hAnsi="Arial" w:cs="Arial"/>
              </w:rPr>
              <w:t xml:space="preserve"> </w:t>
            </w:r>
            <w:r w:rsidRPr="007A7B83">
              <w:rPr>
                <w:rFonts w:ascii="Arial" w:hAnsi="Arial" w:cs="Arial"/>
              </w:rPr>
              <w:t xml:space="preserve">monotherapy with a prostanoid. The PBAC was of a mind to recommend combination therapy with a prostanoid and sildenafil (or tadalafil at a comparable price) as second line treatment for patients with WHO FC III symptoms and first line treatment for patients with WHO FC IV symptoms. The PBAC requested </w:t>
            </w:r>
            <w:bookmarkStart w:id="0" w:name="_GoBack"/>
            <w:bookmarkEnd w:id="0"/>
            <w:r w:rsidRPr="007A7B83">
              <w:rPr>
                <w:rFonts w:ascii="Arial" w:hAnsi="Arial" w:cs="Arial"/>
              </w:rPr>
              <w:t>that</w:t>
            </w:r>
            <w:r w:rsidR="00064CD2">
              <w:rPr>
                <w:rFonts w:ascii="Arial" w:hAnsi="Arial" w:cs="Arial"/>
              </w:rPr>
              <w:t xml:space="preserve"> the Department present the</w:t>
            </w:r>
            <w:r w:rsidRPr="007A7B83">
              <w:rPr>
                <w:rFonts w:ascii="Arial" w:hAnsi="Arial" w:cs="Arial"/>
              </w:rPr>
              <w:t xml:space="preserve"> PBS restrictions and the estimated cost to the PBS for this combination</w:t>
            </w:r>
            <w:r w:rsidR="00064CD2">
              <w:rPr>
                <w:rFonts w:ascii="Arial" w:hAnsi="Arial" w:cs="Arial"/>
              </w:rPr>
              <w:t>,</w:t>
            </w:r>
            <w:r w:rsidRPr="007A7B83">
              <w:rPr>
                <w:rFonts w:ascii="Arial" w:hAnsi="Arial" w:cs="Arial"/>
              </w:rPr>
              <w:t xml:space="preserve"> to the PBAC for consideration.</w:t>
            </w:r>
          </w:p>
        </w:tc>
      </w:tr>
    </w:tbl>
    <w:p w14:paraId="0485B351" w14:textId="402F669F" w:rsidR="00640C80" w:rsidRPr="00D3668D" w:rsidRDefault="00EF2AF1" w:rsidP="00D3668D">
      <w:r>
        <w:lastRenderedPageBreak/>
        <w:br w:type="textWrapping" w:clear="all"/>
      </w:r>
    </w:p>
    <w:sectPr w:rsidR="00640C80" w:rsidRPr="00D3668D"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B6D7" w14:textId="77777777" w:rsidR="00AD0404" w:rsidRDefault="00AD0404">
      <w:r>
        <w:separator/>
      </w:r>
    </w:p>
  </w:endnote>
  <w:endnote w:type="continuationSeparator" w:id="0">
    <w:p w14:paraId="2CC34F0E"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F81D"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1CF8"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2882" w14:textId="3DC1EAEF"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64CD2">
      <w:rPr>
        <w:rStyle w:val="PageNumber"/>
        <w:rFonts w:ascii="Arial" w:hAnsi="Arial" w:cs="Arial"/>
        <w:noProof/>
      </w:rPr>
      <w:t>2</w:t>
    </w:r>
    <w:r w:rsidRPr="00287C89">
      <w:rPr>
        <w:rStyle w:val="PageNumber"/>
        <w:rFonts w:ascii="Arial" w:hAnsi="Arial" w:cs="Arial"/>
      </w:rPr>
      <w:fldChar w:fldCharType="end"/>
    </w:r>
  </w:p>
  <w:p w14:paraId="645ED4AC" w14:textId="77777777" w:rsidR="005E1F3B" w:rsidRDefault="005E1F3B" w:rsidP="00FE2A81">
    <w:pPr>
      <w:pStyle w:val="Footer"/>
      <w:ind w:right="360"/>
    </w:pPr>
  </w:p>
  <w:p w14:paraId="2511B556" w14:textId="77777777" w:rsidR="00257615" w:rsidRDefault="00257615"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4E20" w14:textId="77777777" w:rsidR="00AD0404" w:rsidRDefault="00AD0404">
      <w:r>
        <w:separator/>
      </w:r>
    </w:p>
  </w:footnote>
  <w:footnote w:type="continuationSeparator" w:id="0">
    <w:p w14:paraId="29C299C9"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D5D" w14:textId="669BF418" w:rsidR="0071356F" w:rsidRDefault="007F4B50" w:rsidP="0071356F">
    <w:pPr>
      <w:pStyle w:val="Header"/>
      <w:jc w:val="center"/>
      <w:rPr>
        <w:rFonts w:ascii="Arial" w:hAnsi="Arial" w:cs="Arial"/>
        <w:b/>
      </w:rPr>
    </w:pPr>
    <w:r>
      <w:rPr>
        <w:rFonts w:ascii="Arial" w:hAnsi="Arial" w:cs="Arial"/>
        <w:b/>
      </w:rPr>
      <w:t>NOVEMBER</w:t>
    </w:r>
    <w:r w:rsidR="00993B21">
      <w:rPr>
        <w:rFonts w:ascii="Arial" w:hAnsi="Arial" w:cs="Arial"/>
        <w:b/>
      </w:rPr>
      <w:t xml:space="preserve"> 2019</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14:paraId="183EB489" w14:textId="77777777"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149"/>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4CD2"/>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3904"/>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5E3"/>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3B7"/>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89"/>
    <w:rsid w:val="001812AE"/>
    <w:rsid w:val="0018161A"/>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229F"/>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5B8"/>
    <w:rsid w:val="00220F03"/>
    <w:rsid w:val="00221057"/>
    <w:rsid w:val="002212CB"/>
    <w:rsid w:val="00221B4C"/>
    <w:rsid w:val="002226A9"/>
    <w:rsid w:val="0022277E"/>
    <w:rsid w:val="00223034"/>
    <w:rsid w:val="00223614"/>
    <w:rsid w:val="002238E6"/>
    <w:rsid w:val="00225CB8"/>
    <w:rsid w:val="002263B2"/>
    <w:rsid w:val="00226E88"/>
    <w:rsid w:val="00226F8B"/>
    <w:rsid w:val="0022715D"/>
    <w:rsid w:val="00230AF7"/>
    <w:rsid w:val="00230B76"/>
    <w:rsid w:val="00231068"/>
    <w:rsid w:val="00231F8F"/>
    <w:rsid w:val="00232DA4"/>
    <w:rsid w:val="00234FCD"/>
    <w:rsid w:val="00234FD9"/>
    <w:rsid w:val="00236374"/>
    <w:rsid w:val="00237E07"/>
    <w:rsid w:val="00237F8D"/>
    <w:rsid w:val="002400A1"/>
    <w:rsid w:val="00240222"/>
    <w:rsid w:val="002412CC"/>
    <w:rsid w:val="0024218B"/>
    <w:rsid w:val="002425FE"/>
    <w:rsid w:val="00242CD9"/>
    <w:rsid w:val="0024349D"/>
    <w:rsid w:val="002437B3"/>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718"/>
    <w:rsid w:val="00265FE9"/>
    <w:rsid w:val="0026773E"/>
    <w:rsid w:val="00267CAE"/>
    <w:rsid w:val="00270013"/>
    <w:rsid w:val="0027218C"/>
    <w:rsid w:val="002723FD"/>
    <w:rsid w:val="00272E01"/>
    <w:rsid w:val="00273015"/>
    <w:rsid w:val="0027463A"/>
    <w:rsid w:val="0027487A"/>
    <w:rsid w:val="00274D0D"/>
    <w:rsid w:val="00274D8B"/>
    <w:rsid w:val="00275318"/>
    <w:rsid w:val="002766B0"/>
    <w:rsid w:val="00276ECA"/>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2BF1"/>
    <w:rsid w:val="002C3502"/>
    <w:rsid w:val="002C397B"/>
    <w:rsid w:val="002C3BA0"/>
    <w:rsid w:val="002C436C"/>
    <w:rsid w:val="002C47C4"/>
    <w:rsid w:val="002C52A2"/>
    <w:rsid w:val="002C6991"/>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129"/>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58F9"/>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494C"/>
    <w:rsid w:val="00395338"/>
    <w:rsid w:val="00395600"/>
    <w:rsid w:val="00395B97"/>
    <w:rsid w:val="00395DB4"/>
    <w:rsid w:val="00397572"/>
    <w:rsid w:val="003A074E"/>
    <w:rsid w:val="003A1CFF"/>
    <w:rsid w:val="003A2BB7"/>
    <w:rsid w:val="003A312D"/>
    <w:rsid w:val="003A4AB4"/>
    <w:rsid w:val="003A4C61"/>
    <w:rsid w:val="003A4E02"/>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39A"/>
    <w:rsid w:val="003B35CB"/>
    <w:rsid w:val="003B4999"/>
    <w:rsid w:val="003B4DA2"/>
    <w:rsid w:val="003B4DDF"/>
    <w:rsid w:val="003B545C"/>
    <w:rsid w:val="003B57B7"/>
    <w:rsid w:val="003B5E19"/>
    <w:rsid w:val="003B64D8"/>
    <w:rsid w:val="003B78AC"/>
    <w:rsid w:val="003C0835"/>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3C5C"/>
    <w:rsid w:val="0044501E"/>
    <w:rsid w:val="00445B35"/>
    <w:rsid w:val="00445DFA"/>
    <w:rsid w:val="004462BD"/>
    <w:rsid w:val="004462FA"/>
    <w:rsid w:val="0044692E"/>
    <w:rsid w:val="0044732A"/>
    <w:rsid w:val="00450BC1"/>
    <w:rsid w:val="00451103"/>
    <w:rsid w:val="004515D4"/>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93C"/>
    <w:rsid w:val="00487AD4"/>
    <w:rsid w:val="00490275"/>
    <w:rsid w:val="00490628"/>
    <w:rsid w:val="0049071D"/>
    <w:rsid w:val="0049103F"/>
    <w:rsid w:val="00491532"/>
    <w:rsid w:val="0049239D"/>
    <w:rsid w:val="004925C9"/>
    <w:rsid w:val="00492F1A"/>
    <w:rsid w:val="00493577"/>
    <w:rsid w:val="00494159"/>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A73"/>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D32"/>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3FEF"/>
    <w:rsid w:val="005248F8"/>
    <w:rsid w:val="00524E1E"/>
    <w:rsid w:val="0052565F"/>
    <w:rsid w:val="00526E9C"/>
    <w:rsid w:val="00527647"/>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701"/>
    <w:rsid w:val="00535948"/>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6106"/>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5CB4"/>
    <w:rsid w:val="005F74BD"/>
    <w:rsid w:val="005F7D2F"/>
    <w:rsid w:val="00600264"/>
    <w:rsid w:val="006003A9"/>
    <w:rsid w:val="00600E8E"/>
    <w:rsid w:val="0060163D"/>
    <w:rsid w:val="006018CA"/>
    <w:rsid w:val="006019E6"/>
    <w:rsid w:val="00601AA5"/>
    <w:rsid w:val="006021EE"/>
    <w:rsid w:val="0060270D"/>
    <w:rsid w:val="006034A7"/>
    <w:rsid w:val="006037CC"/>
    <w:rsid w:val="00603A6B"/>
    <w:rsid w:val="006040F2"/>
    <w:rsid w:val="0060449A"/>
    <w:rsid w:val="00604805"/>
    <w:rsid w:val="0060529E"/>
    <w:rsid w:val="00605384"/>
    <w:rsid w:val="006056AE"/>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29D"/>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E6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C10"/>
    <w:rsid w:val="006F29B4"/>
    <w:rsid w:val="006F2CDD"/>
    <w:rsid w:val="006F6248"/>
    <w:rsid w:val="006F6D3E"/>
    <w:rsid w:val="006F6DDA"/>
    <w:rsid w:val="006F7041"/>
    <w:rsid w:val="006F7B92"/>
    <w:rsid w:val="0070068B"/>
    <w:rsid w:val="00700990"/>
    <w:rsid w:val="00700CF4"/>
    <w:rsid w:val="007016BE"/>
    <w:rsid w:val="00701C5F"/>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27F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DD1"/>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A7B83"/>
    <w:rsid w:val="007B01E7"/>
    <w:rsid w:val="007B0810"/>
    <w:rsid w:val="007B104F"/>
    <w:rsid w:val="007B13D2"/>
    <w:rsid w:val="007B1418"/>
    <w:rsid w:val="007B1C29"/>
    <w:rsid w:val="007B2177"/>
    <w:rsid w:val="007B2FF1"/>
    <w:rsid w:val="007B3B84"/>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4B50"/>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810"/>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565"/>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119"/>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6CE"/>
    <w:rsid w:val="0090472D"/>
    <w:rsid w:val="0090518E"/>
    <w:rsid w:val="0090563D"/>
    <w:rsid w:val="00906AF0"/>
    <w:rsid w:val="00906EF4"/>
    <w:rsid w:val="00910287"/>
    <w:rsid w:val="00910AAA"/>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35B"/>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94E"/>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3B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0F2A"/>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3E58"/>
    <w:rsid w:val="00A14331"/>
    <w:rsid w:val="00A145EB"/>
    <w:rsid w:val="00A14AB2"/>
    <w:rsid w:val="00A14AC9"/>
    <w:rsid w:val="00A16F76"/>
    <w:rsid w:val="00A171EF"/>
    <w:rsid w:val="00A175A7"/>
    <w:rsid w:val="00A17EE6"/>
    <w:rsid w:val="00A20573"/>
    <w:rsid w:val="00A207FA"/>
    <w:rsid w:val="00A20C94"/>
    <w:rsid w:val="00A2190E"/>
    <w:rsid w:val="00A21C4C"/>
    <w:rsid w:val="00A220B7"/>
    <w:rsid w:val="00A22649"/>
    <w:rsid w:val="00A227D6"/>
    <w:rsid w:val="00A227E7"/>
    <w:rsid w:val="00A22D55"/>
    <w:rsid w:val="00A22F6E"/>
    <w:rsid w:val="00A239DB"/>
    <w:rsid w:val="00A24008"/>
    <w:rsid w:val="00A24048"/>
    <w:rsid w:val="00A24078"/>
    <w:rsid w:val="00A2475E"/>
    <w:rsid w:val="00A24D83"/>
    <w:rsid w:val="00A258E0"/>
    <w:rsid w:val="00A25FCF"/>
    <w:rsid w:val="00A269B5"/>
    <w:rsid w:val="00A26A3F"/>
    <w:rsid w:val="00A2726D"/>
    <w:rsid w:val="00A30627"/>
    <w:rsid w:val="00A30B6C"/>
    <w:rsid w:val="00A30ECB"/>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9B0"/>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7D"/>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D0A"/>
    <w:rsid w:val="00AE3725"/>
    <w:rsid w:val="00AE448F"/>
    <w:rsid w:val="00AE4E58"/>
    <w:rsid w:val="00AE5139"/>
    <w:rsid w:val="00AE54FA"/>
    <w:rsid w:val="00AE5C8B"/>
    <w:rsid w:val="00AE65CA"/>
    <w:rsid w:val="00AE6800"/>
    <w:rsid w:val="00AE6CDA"/>
    <w:rsid w:val="00AE72FC"/>
    <w:rsid w:val="00AE751E"/>
    <w:rsid w:val="00AF0197"/>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0D8"/>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9E1"/>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11F"/>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19C"/>
    <w:rsid w:val="00B97356"/>
    <w:rsid w:val="00B97A6D"/>
    <w:rsid w:val="00B97C87"/>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9BD"/>
    <w:rsid w:val="00BD0A29"/>
    <w:rsid w:val="00BD1B3F"/>
    <w:rsid w:val="00BD33A9"/>
    <w:rsid w:val="00BD33BE"/>
    <w:rsid w:val="00BD3792"/>
    <w:rsid w:val="00BD3C72"/>
    <w:rsid w:val="00BD4E12"/>
    <w:rsid w:val="00BD5D4E"/>
    <w:rsid w:val="00BD5F59"/>
    <w:rsid w:val="00BD7902"/>
    <w:rsid w:val="00BD7991"/>
    <w:rsid w:val="00BE0BDD"/>
    <w:rsid w:val="00BE21E3"/>
    <w:rsid w:val="00BE2E8E"/>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5E67"/>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467"/>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1B41"/>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816DF"/>
    <w:rsid w:val="00C81EE9"/>
    <w:rsid w:val="00C820EE"/>
    <w:rsid w:val="00C84713"/>
    <w:rsid w:val="00C84758"/>
    <w:rsid w:val="00C853AB"/>
    <w:rsid w:val="00C85AF6"/>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6FA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4ED8"/>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8CB"/>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357"/>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69A"/>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668D"/>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119"/>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4E6D"/>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469"/>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0AD5"/>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BE5"/>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3F5"/>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1CAD"/>
    <w:rsid w:val="00EA2FC0"/>
    <w:rsid w:val="00EA306F"/>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191E"/>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334"/>
    <w:rsid w:val="00ED06AD"/>
    <w:rsid w:val="00ED0BED"/>
    <w:rsid w:val="00ED1232"/>
    <w:rsid w:val="00ED198B"/>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2AF1"/>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1FBD"/>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693C"/>
    <w:rsid w:val="00F47C6B"/>
    <w:rsid w:val="00F503D2"/>
    <w:rsid w:val="00F505AC"/>
    <w:rsid w:val="00F50603"/>
    <w:rsid w:val="00F50C03"/>
    <w:rsid w:val="00F50F47"/>
    <w:rsid w:val="00F51899"/>
    <w:rsid w:val="00F51E43"/>
    <w:rsid w:val="00F5253A"/>
    <w:rsid w:val="00F5287D"/>
    <w:rsid w:val="00F52EBA"/>
    <w:rsid w:val="00F5325B"/>
    <w:rsid w:val="00F53AF0"/>
    <w:rsid w:val="00F54928"/>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3F8C"/>
    <w:rsid w:val="00F8517B"/>
    <w:rsid w:val="00F853BE"/>
    <w:rsid w:val="00F87016"/>
    <w:rsid w:val="00F87B71"/>
    <w:rsid w:val="00F87EB0"/>
    <w:rsid w:val="00F9052C"/>
    <w:rsid w:val="00F9135D"/>
    <w:rsid w:val="00F91B71"/>
    <w:rsid w:val="00F91BA8"/>
    <w:rsid w:val="00F9260F"/>
    <w:rsid w:val="00F9308E"/>
    <w:rsid w:val="00F93541"/>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094F"/>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F84"/>
    <w:rsid w:val="00FF6702"/>
    <w:rsid w:val="00FF6E74"/>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0929"/>
    <o:shapelayout v:ext="edit">
      <o:idmap v:ext="edit" data="1"/>
    </o:shapelayout>
  </w:shapeDefaults>
  <w:decimalSymbol w:val="."/>
  <w:listSeparator w:val=","/>
  <w14:docId w14:val="595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154838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254370">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5704576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7234522">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E639E-B6EB-4C07-A285-BAB4612E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2019-08-21T08:06:00Z</dcterms:created>
  <dcterms:modified xsi:type="dcterms:W3CDTF">2019-12-17T00:40:00Z</dcterms:modified>
</cp:coreProperties>
</file>