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262"/>
        <w:gridCol w:w="3201"/>
        <w:gridCol w:w="7011"/>
      </w:tblGrid>
      <w:tr w:rsidR="00987FDA" w:rsidRPr="00E65745" w14:paraId="2CCE65E2" w14:textId="77777777" w:rsidTr="005713B6">
        <w:trPr>
          <w:cantSplit/>
          <w:tblHeader/>
        </w:trPr>
        <w:tc>
          <w:tcPr>
            <w:tcW w:w="3071" w:type="dxa"/>
            <w:tcMar>
              <w:top w:w="28" w:type="dxa"/>
              <w:bottom w:w="28" w:type="dxa"/>
            </w:tcMar>
          </w:tcPr>
          <w:p w14:paraId="55E51764" w14:textId="77777777" w:rsidR="0065234B" w:rsidRPr="00E65745" w:rsidRDefault="00E836AC" w:rsidP="00CA6D1E">
            <w:pPr>
              <w:widowControl w:val="0"/>
              <w:jc w:val="center"/>
              <w:rPr>
                <w:rFonts w:ascii="Arial" w:hAnsi="Arial" w:cs="Arial"/>
                <w:b/>
              </w:rPr>
            </w:pPr>
            <w:bookmarkStart w:id="0" w:name="_GoBack"/>
            <w:bookmarkEnd w:id="0"/>
            <w:r w:rsidRPr="00E65745">
              <w:rPr>
                <w:rFonts w:ascii="Arial" w:hAnsi="Arial" w:cs="Arial"/>
                <w:b/>
              </w:rPr>
              <w:t>DRUG NAME, FORM(S), STRENGTH(S), SPONSOR, TYPE OF SUBMISSION</w:t>
            </w:r>
          </w:p>
          <w:p w14:paraId="50BF40E7" w14:textId="77777777" w:rsidR="00E836AC" w:rsidRPr="00E65745" w:rsidRDefault="00E836AC" w:rsidP="00CA6D1E">
            <w:pPr>
              <w:widowControl w:val="0"/>
              <w:jc w:val="center"/>
              <w:rPr>
                <w:rFonts w:ascii="Arial" w:hAnsi="Arial" w:cs="Arial"/>
                <w:b/>
              </w:rPr>
            </w:pPr>
          </w:p>
        </w:tc>
        <w:tc>
          <w:tcPr>
            <w:tcW w:w="2262" w:type="dxa"/>
            <w:tcMar>
              <w:top w:w="28" w:type="dxa"/>
              <w:bottom w:w="28" w:type="dxa"/>
            </w:tcMar>
          </w:tcPr>
          <w:p w14:paraId="5429B522" w14:textId="77777777" w:rsidR="00987FDA" w:rsidRPr="00E65745" w:rsidRDefault="00E836AC" w:rsidP="00CA6D1E">
            <w:pPr>
              <w:widowControl w:val="0"/>
              <w:jc w:val="center"/>
              <w:rPr>
                <w:rFonts w:ascii="Arial" w:hAnsi="Arial" w:cs="Arial"/>
                <w:b/>
                <w:snapToGrid w:val="0"/>
                <w:lang w:eastAsia="en-US"/>
              </w:rPr>
            </w:pPr>
            <w:r w:rsidRPr="00E65745">
              <w:rPr>
                <w:rFonts w:ascii="Arial" w:hAnsi="Arial" w:cs="Arial"/>
                <w:b/>
                <w:snapToGrid w:val="0"/>
                <w:lang w:eastAsia="en-US"/>
              </w:rPr>
              <w:t>DRUG TYPE AND USE</w:t>
            </w:r>
          </w:p>
          <w:p w14:paraId="5F16C3AC" w14:textId="77777777" w:rsidR="00987FDA" w:rsidRPr="00E65745" w:rsidRDefault="00987FDA" w:rsidP="00CA6D1E">
            <w:pPr>
              <w:widowControl w:val="0"/>
              <w:jc w:val="center"/>
              <w:rPr>
                <w:rFonts w:ascii="Arial" w:hAnsi="Arial" w:cs="Arial"/>
                <w:b/>
                <w:snapToGrid w:val="0"/>
                <w:lang w:eastAsia="en-US"/>
              </w:rPr>
            </w:pPr>
          </w:p>
        </w:tc>
        <w:tc>
          <w:tcPr>
            <w:tcW w:w="3201" w:type="dxa"/>
            <w:tcMar>
              <w:top w:w="28" w:type="dxa"/>
              <w:bottom w:w="28" w:type="dxa"/>
            </w:tcMar>
          </w:tcPr>
          <w:p w14:paraId="075D9406" w14:textId="77777777" w:rsidR="00987FDA" w:rsidRPr="00E65745" w:rsidRDefault="00E836AC" w:rsidP="00CA6D1E">
            <w:pPr>
              <w:widowControl w:val="0"/>
              <w:jc w:val="center"/>
              <w:rPr>
                <w:rFonts w:ascii="Arial" w:hAnsi="Arial" w:cs="Arial"/>
                <w:b/>
                <w:snapToGrid w:val="0"/>
                <w:lang w:eastAsia="en-US"/>
              </w:rPr>
            </w:pPr>
            <w:r w:rsidRPr="00E65745">
              <w:rPr>
                <w:rFonts w:ascii="Arial" w:hAnsi="Arial" w:cs="Arial"/>
                <w:b/>
                <w:snapToGrid w:val="0"/>
                <w:lang w:eastAsia="en-US"/>
              </w:rPr>
              <w:t>LISTING REQUESTED BY SPONSOR / PURPOSE OF SUBMISSION</w:t>
            </w:r>
          </w:p>
          <w:p w14:paraId="2C046B4B" w14:textId="77777777" w:rsidR="00E836AC" w:rsidRPr="00E65745" w:rsidRDefault="00E836AC" w:rsidP="00CA6D1E">
            <w:pPr>
              <w:widowControl w:val="0"/>
              <w:jc w:val="center"/>
              <w:rPr>
                <w:rFonts w:ascii="Arial" w:hAnsi="Arial" w:cs="Arial"/>
                <w:b/>
                <w:snapToGrid w:val="0"/>
                <w:lang w:eastAsia="en-US"/>
              </w:rPr>
            </w:pPr>
          </w:p>
        </w:tc>
        <w:tc>
          <w:tcPr>
            <w:tcW w:w="7011" w:type="dxa"/>
          </w:tcPr>
          <w:p w14:paraId="4094F02B" w14:textId="77777777" w:rsidR="00987FDA" w:rsidRPr="00E65745" w:rsidRDefault="00E836AC" w:rsidP="00CA6D1E">
            <w:pPr>
              <w:pStyle w:val="Header"/>
              <w:jc w:val="center"/>
              <w:rPr>
                <w:rFonts w:ascii="Arial" w:hAnsi="Arial" w:cs="Arial"/>
                <w:b/>
                <w:snapToGrid w:val="0"/>
                <w:lang w:eastAsia="en-US"/>
              </w:rPr>
            </w:pPr>
            <w:r w:rsidRPr="00E65745">
              <w:rPr>
                <w:rFonts w:ascii="Arial" w:hAnsi="Arial" w:cs="Arial"/>
                <w:b/>
                <w:snapToGrid w:val="0"/>
                <w:lang w:eastAsia="en-US"/>
              </w:rPr>
              <w:t>PBAC OUTCOME</w:t>
            </w:r>
          </w:p>
        </w:tc>
      </w:tr>
      <w:tr w:rsidR="00FC3B7E" w:rsidRPr="00E65745" w14:paraId="564CC838" w14:textId="77777777" w:rsidTr="005713B6">
        <w:trPr>
          <w:cantSplit/>
          <w:trHeight w:val="477"/>
        </w:trPr>
        <w:tc>
          <w:tcPr>
            <w:tcW w:w="3071" w:type="dxa"/>
            <w:vMerge w:val="restart"/>
            <w:tcMar>
              <w:top w:w="28" w:type="dxa"/>
              <w:bottom w:w="28" w:type="dxa"/>
            </w:tcMar>
          </w:tcPr>
          <w:p w14:paraId="7D8AA472" w14:textId="207433B0" w:rsidR="00FC3B7E" w:rsidRPr="00E65745" w:rsidRDefault="00FC3B7E" w:rsidP="00CA6D1E">
            <w:pPr>
              <w:rPr>
                <w:rFonts w:ascii="Arial" w:hAnsi="Arial" w:cs="Arial"/>
                <w:color w:val="000000"/>
              </w:rPr>
            </w:pPr>
            <w:r w:rsidRPr="00E65745">
              <w:rPr>
                <w:rFonts w:ascii="Arial" w:hAnsi="Arial" w:cs="Arial"/>
                <w:color w:val="000000"/>
              </w:rPr>
              <w:t>DARATUMUMAB</w:t>
            </w:r>
            <w:r w:rsidRPr="00E65745">
              <w:rPr>
                <w:rFonts w:ascii="Arial" w:hAnsi="Arial" w:cs="Arial"/>
                <w:color w:val="000000"/>
              </w:rPr>
              <w:br/>
            </w:r>
            <w:r w:rsidRPr="00E65745">
              <w:rPr>
                <w:rFonts w:ascii="Arial" w:hAnsi="Arial" w:cs="Arial"/>
                <w:color w:val="000000"/>
              </w:rPr>
              <w:br/>
              <w:t>Solution concentrate for I.V. infusion 100 mg in 5 mL</w:t>
            </w:r>
            <w:r w:rsidRPr="00E65745">
              <w:rPr>
                <w:rFonts w:ascii="Arial" w:hAnsi="Arial" w:cs="Arial"/>
                <w:color w:val="000000"/>
              </w:rPr>
              <w:br/>
              <w:t>Solution concentrate for I.V. infusion 400 mg in 20 mL</w:t>
            </w:r>
            <w:r w:rsidRPr="00E65745">
              <w:rPr>
                <w:rFonts w:ascii="Arial" w:hAnsi="Arial" w:cs="Arial"/>
                <w:color w:val="000000"/>
              </w:rPr>
              <w:br/>
            </w:r>
            <w:r w:rsidRPr="00E65745">
              <w:rPr>
                <w:rFonts w:ascii="Arial" w:hAnsi="Arial" w:cs="Arial"/>
                <w:color w:val="000000"/>
              </w:rPr>
              <w:br/>
              <w:t>Darzalex®</w:t>
            </w:r>
            <w:r w:rsidRPr="00E65745">
              <w:rPr>
                <w:rFonts w:ascii="Arial" w:hAnsi="Arial" w:cs="Arial"/>
                <w:color w:val="000000"/>
              </w:rPr>
              <w:br/>
            </w:r>
            <w:r w:rsidRPr="00E65745">
              <w:rPr>
                <w:rFonts w:ascii="Arial" w:hAnsi="Arial" w:cs="Arial"/>
                <w:color w:val="000000"/>
              </w:rPr>
              <w:br/>
              <w:t>Janssen-Cilag Pty Ltd</w:t>
            </w:r>
            <w:r w:rsidRPr="00E65745">
              <w:rPr>
                <w:rFonts w:ascii="Arial" w:hAnsi="Arial" w:cs="Arial"/>
                <w:color w:val="000000"/>
              </w:rPr>
              <w:br/>
            </w:r>
            <w:r w:rsidRPr="00E65745">
              <w:rPr>
                <w:rFonts w:ascii="Arial" w:hAnsi="Arial" w:cs="Arial"/>
                <w:color w:val="000000"/>
              </w:rPr>
              <w:br/>
              <w:t>New listing</w:t>
            </w:r>
            <w:r w:rsidRPr="00E65745">
              <w:rPr>
                <w:rFonts w:ascii="Arial" w:hAnsi="Arial" w:cs="Arial"/>
                <w:color w:val="000000"/>
              </w:rPr>
              <w:br/>
              <w:t>(Major Submission)</w:t>
            </w:r>
          </w:p>
        </w:tc>
        <w:tc>
          <w:tcPr>
            <w:tcW w:w="2262" w:type="dxa"/>
            <w:vMerge w:val="restart"/>
          </w:tcPr>
          <w:p w14:paraId="3D544AE4" w14:textId="53C04CCC" w:rsidR="00FC3B7E" w:rsidRPr="00E65745" w:rsidRDefault="00FC3B7E" w:rsidP="00CA6D1E">
            <w:pPr>
              <w:rPr>
                <w:rFonts w:ascii="Arial" w:hAnsi="Arial" w:cs="Arial"/>
              </w:rPr>
            </w:pPr>
            <w:r w:rsidRPr="00E65745">
              <w:rPr>
                <w:rFonts w:ascii="Arial" w:hAnsi="Arial" w:cs="Arial"/>
              </w:rPr>
              <w:t>Multiple myeloma</w:t>
            </w:r>
            <w:r w:rsidR="00EB0F4D">
              <w:rPr>
                <w:rFonts w:ascii="Arial" w:hAnsi="Arial" w:cs="Arial"/>
              </w:rPr>
              <w:t xml:space="preserve"> (MM)</w:t>
            </w:r>
          </w:p>
          <w:p w14:paraId="35D3FC13" w14:textId="3B9531EE"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207A2EC9" w14:textId="0EF420E1" w:rsidR="00FC3B7E" w:rsidRPr="00E65745" w:rsidRDefault="00FC3B7E" w:rsidP="00CA6D1E">
            <w:pPr>
              <w:rPr>
                <w:rFonts w:ascii="Arial" w:hAnsi="Arial" w:cs="Arial"/>
              </w:rPr>
            </w:pPr>
            <w:r w:rsidRPr="00E65745">
              <w:rPr>
                <w:rFonts w:ascii="Arial" w:hAnsi="Arial" w:cs="Arial"/>
              </w:rPr>
              <w:t>Resubmission to request a Section 100 (Efficient Funding of Chemotherapy) Authority Required listing, in combination with bortezomib and dexamethasone</w:t>
            </w:r>
            <w:r w:rsidR="002D6D02">
              <w:rPr>
                <w:rFonts w:ascii="Arial" w:hAnsi="Arial" w:cs="Arial"/>
              </w:rPr>
              <w:t xml:space="preserve"> (Bd)</w:t>
            </w:r>
            <w:r w:rsidRPr="00E65745">
              <w:rPr>
                <w:rFonts w:ascii="Arial" w:hAnsi="Arial" w:cs="Arial"/>
              </w:rPr>
              <w:t xml:space="preserve">, for the treatment of patients with relapsed or refractory multiple myeloma </w:t>
            </w:r>
            <w:r w:rsidR="002D6D02" w:rsidRPr="00FC3B7E">
              <w:rPr>
                <w:rFonts w:ascii="Arial" w:hAnsi="Arial" w:cs="Arial"/>
                <w:bCs/>
                <w:lang w:val="en-GB"/>
              </w:rPr>
              <w:t>(RRMM)</w:t>
            </w:r>
            <w:r w:rsidR="002D6D02">
              <w:rPr>
                <w:rFonts w:ascii="Arial" w:hAnsi="Arial" w:cs="Arial"/>
                <w:bCs/>
                <w:lang w:val="en-GB"/>
              </w:rPr>
              <w:t xml:space="preserve"> </w:t>
            </w:r>
            <w:r w:rsidRPr="00E65745">
              <w:rPr>
                <w:rFonts w:ascii="Arial" w:hAnsi="Arial" w:cs="Arial"/>
              </w:rPr>
              <w:t>who have progressive disease after at least one prior therapy.</w:t>
            </w:r>
          </w:p>
        </w:tc>
        <w:tc>
          <w:tcPr>
            <w:tcW w:w="7011" w:type="dxa"/>
          </w:tcPr>
          <w:p w14:paraId="711D0F49" w14:textId="3B4F60A4" w:rsidR="00FC3B7E" w:rsidRPr="00FC3B7E" w:rsidRDefault="00FC3B7E" w:rsidP="00CA6D1E">
            <w:pPr>
              <w:pStyle w:val="NoSpacing"/>
              <w:jc w:val="left"/>
              <w:rPr>
                <w:bCs/>
                <w:sz w:val="20"/>
                <w:lang w:val="en-GB"/>
              </w:rPr>
            </w:pPr>
            <w:r w:rsidRPr="00FC3B7E">
              <w:rPr>
                <w:bCs/>
                <w:sz w:val="20"/>
                <w:lang w:val="en-GB"/>
              </w:rPr>
              <w:t xml:space="preserve">The PBAC deferred making a recommendation for daratumumab in combination with bortezomib and dexamethasone (DBd), as a second-line treatment in patients with </w:t>
            </w:r>
            <w:r w:rsidR="002D6D02">
              <w:rPr>
                <w:bCs/>
                <w:sz w:val="20"/>
                <w:lang w:val="en-GB"/>
              </w:rPr>
              <w:t>RRMM</w:t>
            </w:r>
            <w:r w:rsidRPr="00FC3B7E">
              <w:rPr>
                <w:bCs/>
                <w:sz w:val="20"/>
                <w:lang w:val="en-GB"/>
              </w:rPr>
              <w:t xml:space="preserve">. The PBAC considered that there were important clinical benefits associated with DBd therapy, but requested revisions to the economic model, the estimated financial implications and the proposed </w:t>
            </w:r>
            <w:r w:rsidR="002D6D02">
              <w:rPr>
                <w:bCs/>
                <w:sz w:val="20"/>
                <w:lang w:val="en-GB"/>
              </w:rPr>
              <w:t>a Risk Sharing Arrangement</w:t>
            </w:r>
            <w:r w:rsidRPr="00FC3B7E">
              <w:rPr>
                <w:bCs/>
                <w:sz w:val="20"/>
                <w:lang w:val="en-GB"/>
              </w:rPr>
              <w:t>.</w:t>
            </w:r>
          </w:p>
          <w:p w14:paraId="02E063BA" w14:textId="77777777" w:rsidR="00FC3B7E" w:rsidRPr="00FC3B7E" w:rsidRDefault="00FC3B7E" w:rsidP="00CA6D1E">
            <w:pPr>
              <w:pStyle w:val="NoSpacing"/>
              <w:jc w:val="left"/>
              <w:rPr>
                <w:bCs/>
                <w:sz w:val="20"/>
                <w:lang w:val="en-GB"/>
              </w:rPr>
            </w:pPr>
          </w:p>
          <w:p w14:paraId="755E81F3" w14:textId="513D0E91" w:rsidR="00FC3B7E" w:rsidRPr="00FC3B7E" w:rsidRDefault="00FC3B7E" w:rsidP="00CA6D1E">
            <w:pPr>
              <w:pStyle w:val="NoSpacing"/>
              <w:jc w:val="left"/>
              <w:rPr>
                <w:bCs/>
                <w:sz w:val="20"/>
                <w:lang w:val="en-GB"/>
              </w:rPr>
            </w:pPr>
            <w:r w:rsidRPr="00FC3B7E">
              <w:rPr>
                <w:bCs/>
                <w:sz w:val="20"/>
                <w:lang w:val="en-GB"/>
              </w:rPr>
              <w:t>The PBAC considered that the evidence presented in the submission supported the claim that DBd was superior to the nominated comparator, Bd, in the second-line setting. However, the PBAC considered that the proposed incremental cost</w:t>
            </w:r>
            <w:r w:rsidR="000E6CAB">
              <w:rPr>
                <w:bCs/>
                <w:sz w:val="20"/>
                <w:lang w:val="en-GB"/>
              </w:rPr>
              <w:t>-</w:t>
            </w:r>
            <w:r w:rsidRPr="00FC3B7E">
              <w:rPr>
                <w:bCs/>
                <w:sz w:val="20"/>
                <w:lang w:val="en-GB"/>
              </w:rPr>
              <w:t>effectiveness ratio (ICER)</w:t>
            </w:r>
            <w:r w:rsidR="00114173">
              <w:rPr>
                <w:bCs/>
                <w:sz w:val="20"/>
                <w:lang w:val="en-GB"/>
              </w:rPr>
              <w:t xml:space="preserve"> at the proposed price</w:t>
            </w:r>
            <w:r w:rsidRPr="00FC3B7E">
              <w:rPr>
                <w:bCs/>
                <w:sz w:val="20"/>
                <w:lang w:val="en-GB"/>
              </w:rPr>
              <w:t xml:space="preserve"> remained </w:t>
            </w:r>
            <w:r w:rsidR="00114173">
              <w:rPr>
                <w:bCs/>
                <w:sz w:val="20"/>
                <w:lang w:val="en-GB"/>
              </w:rPr>
              <w:t xml:space="preserve">unacceptably </w:t>
            </w:r>
            <w:r w:rsidRPr="00FC3B7E">
              <w:rPr>
                <w:bCs/>
                <w:sz w:val="20"/>
                <w:lang w:val="en-GB"/>
              </w:rPr>
              <w:t xml:space="preserve">high and advised that the economic model be revised to a 15 year time horizon which incorporated appropriate survival estimates. The PBAC reiterated that it would consider an ICER within the range of $45,000/QALY to $75,000/QALY appropriate, as this is what was previously accepted in </w:t>
            </w:r>
            <w:r w:rsidR="00114173">
              <w:rPr>
                <w:bCs/>
                <w:sz w:val="20"/>
                <w:lang w:val="en-GB"/>
              </w:rPr>
              <w:t xml:space="preserve">its </w:t>
            </w:r>
            <w:r w:rsidRPr="00FC3B7E">
              <w:rPr>
                <w:bCs/>
                <w:sz w:val="20"/>
                <w:lang w:val="en-GB"/>
              </w:rPr>
              <w:t>consideration of carfilzomib (</w:t>
            </w:r>
            <w:r w:rsidR="002D6D02">
              <w:rPr>
                <w:bCs/>
                <w:sz w:val="20"/>
                <w:lang w:val="en-GB"/>
              </w:rPr>
              <w:t xml:space="preserve">Public Summary Document, </w:t>
            </w:r>
            <w:r w:rsidRPr="00FC3B7E">
              <w:rPr>
                <w:bCs/>
                <w:sz w:val="20"/>
                <w:lang w:val="en-GB"/>
              </w:rPr>
              <w:t>July 2017</w:t>
            </w:r>
            <w:r w:rsidR="002D6D02">
              <w:rPr>
                <w:bCs/>
                <w:sz w:val="20"/>
                <w:lang w:val="en-GB"/>
              </w:rPr>
              <w:t xml:space="preserve"> PBAC meeting</w:t>
            </w:r>
            <w:r w:rsidRPr="00FC3B7E">
              <w:rPr>
                <w:bCs/>
                <w:sz w:val="20"/>
                <w:lang w:val="en-GB"/>
              </w:rPr>
              <w:t>).</w:t>
            </w:r>
          </w:p>
          <w:p w14:paraId="45AC4E00" w14:textId="77777777" w:rsidR="00FC3B7E" w:rsidRPr="00FC3B7E" w:rsidRDefault="00FC3B7E" w:rsidP="00CA6D1E">
            <w:pPr>
              <w:pStyle w:val="NoSpacing"/>
              <w:jc w:val="left"/>
              <w:rPr>
                <w:bCs/>
                <w:sz w:val="20"/>
                <w:lang w:val="en-GB"/>
              </w:rPr>
            </w:pPr>
          </w:p>
          <w:p w14:paraId="59B02A1F" w14:textId="5C0573FC" w:rsidR="00FC3B7E" w:rsidRPr="00FC3B7E" w:rsidRDefault="00FC3B7E" w:rsidP="00CA6D1E">
            <w:pPr>
              <w:pStyle w:val="NoSpacing"/>
              <w:jc w:val="left"/>
              <w:rPr>
                <w:bCs/>
                <w:sz w:val="20"/>
                <w:lang w:val="en-GB"/>
              </w:rPr>
            </w:pPr>
            <w:r w:rsidRPr="00FC3B7E">
              <w:rPr>
                <w:bCs/>
                <w:sz w:val="20"/>
                <w:lang w:val="en-GB"/>
              </w:rPr>
              <w:t xml:space="preserve">The PBAC remained concerned that </w:t>
            </w:r>
            <w:r w:rsidR="00114173">
              <w:rPr>
                <w:bCs/>
                <w:sz w:val="20"/>
                <w:lang w:val="en-GB"/>
              </w:rPr>
              <w:t xml:space="preserve">based on the financial estimates </w:t>
            </w:r>
            <w:r w:rsidRPr="00FC3B7E">
              <w:rPr>
                <w:bCs/>
                <w:sz w:val="20"/>
                <w:lang w:val="en-GB"/>
              </w:rPr>
              <w:t>the opportunity cost of listing DBd remained very high, although considered the number of patients on which this was based to be overestimated.</w:t>
            </w:r>
          </w:p>
        </w:tc>
      </w:tr>
      <w:tr w:rsidR="00FC3B7E" w:rsidRPr="00E65745" w14:paraId="57D8A630" w14:textId="77777777" w:rsidTr="005713B6">
        <w:trPr>
          <w:cantSplit/>
          <w:trHeight w:val="454"/>
        </w:trPr>
        <w:tc>
          <w:tcPr>
            <w:tcW w:w="3071" w:type="dxa"/>
            <w:vMerge/>
            <w:tcMar>
              <w:top w:w="28" w:type="dxa"/>
              <w:bottom w:w="28" w:type="dxa"/>
            </w:tcMar>
          </w:tcPr>
          <w:p w14:paraId="5AA9E7D4" w14:textId="77777777" w:rsidR="00FC3B7E" w:rsidRPr="00E65745" w:rsidRDefault="00FC3B7E" w:rsidP="00CA6D1E">
            <w:pPr>
              <w:widowControl w:val="0"/>
              <w:rPr>
                <w:rFonts w:ascii="Arial" w:hAnsi="Arial" w:cs="Arial"/>
                <w:snapToGrid w:val="0"/>
                <w:lang w:eastAsia="en-US"/>
              </w:rPr>
            </w:pPr>
          </w:p>
        </w:tc>
        <w:tc>
          <w:tcPr>
            <w:tcW w:w="2262" w:type="dxa"/>
            <w:vMerge/>
          </w:tcPr>
          <w:p w14:paraId="432FA7E7" w14:textId="77777777"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16491460" w14:textId="77777777" w:rsidR="00FC3B7E" w:rsidRPr="00E65745" w:rsidRDefault="00FC3B7E" w:rsidP="00CA6D1E">
            <w:pPr>
              <w:widowControl w:val="0"/>
              <w:jc w:val="right"/>
              <w:rPr>
                <w:rFonts w:ascii="Arial" w:hAnsi="Arial" w:cs="Arial"/>
                <w:snapToGrid w:val="0"/>
                <w:lang w:eastAsia="en-US"/>
              </w:rPr>
            </w:pPr>
            <w:r w:rsidRPr="00E65745">
              <w:rPr>
                <w:rFonts w:ascii="Arial" w:hAnsi="Arial" w:cs="Arial"/>
                <w:snapToGrid w:val="0"/>
                <w:lang w:eastAsia="en-US"/>
              </w:rPr>
              <w:t>Sponsor’s Comments:</w:t>
            </w:r>
          </w:p>
        </w:tc>
        <w:tc>
          <w:tcPr>
            <w:tcW w:w="7011" w:type="dxa"/>
          </w:tcPr>
          <w:p w14:paraId="0C9F56FC" w14:textId="63886212" w:rsidR="00FC3B7E" w:rsidRPr="00EB0F4D" w:rsidRDefault="00F0689D" w:rsidP="00CA6D1E">
            <w:pPr>
              <w:pStyle w:val="ListBullet"/>
              <w:rPr>
                <w:rFonts w:asciiTheme="minorBidi" w:hAnsiTheme="minorBidi" w:cstheme="minorBidi"/>
              </w:rPr>
            </w:pPr>
            <w:r w:rsidRPr="00EB0F4D">
              <w:rPr>
                <w:rFonts w:asciiTheme="minorBidi" w:hAnsiTheme="minorBidi" w:cstheme="minorBidi"/>
              </w:rPr>
              <w:t xml:space="preserve">Janssen is disappointed with the outcome for Darzalex® (daratumumab), but welcomes the PBAC’s acknowledgment that </w:t>
            </w:r>
            <w:r w:rsidR="00EB0F4D" w:rsidRPr="00EB0F4D">
              <w:rPr>
                <w:rFonts w:asciiTheme="minorBidi" w:hAnsiTheme="minorBidi" w:cstheme="minorBidi"/>
              </w:rPr>
              <w:t xml:space="preserve">daratumumab </w:t>
            </w:r>
            <w:r w:rsidRPr="00EB0F4D">
              <w:rPr>
                <w:rFonts w:asciiTheme="minorBidi" w:hAnsiTheme="minorBidi" w:cstheme="minorBidi"/>
              </w:rPr>
              <w:t xml:space="preserve">would provide clinical benefit for the </w:t>
            </w:r>
            <w:r w:rsidR="00EB0F4D" w:rsidRPr="00EB0F4D">
              <w:rPr>
                <w:rFonts w:asciiTheme="minorBidi" w:hAnsiTheme="minorBidi" w:cstheme="minorBidi"/>
              </w:rPr>
              <w:t xml:space="preserve">treatment of </w:t>
            </w:r>
            <w:r w:rsidRPr="00EB0F4D">
              <w:rPr>
                <w:rFonts w:asciiTheme="minorBidi" w:hAnsiTheme="minorBidi" w:cstheme="minorBidi"/>
              </w:rPr>
              <w:t>MM in Australia.</w:t>
            </w:r>
            <w:r w:rsidR="00BA35AB">
              <w:rPr>
                <w:rFonts w:asciiTheme="minorBidi" w:hAnsiTheme="minorBidi" w:cstheme="minorBidi"/>
              </w:rPr>
              <w:t xml:space="preserve"> </w:t>
            </w:r>
            <w:r w:rsidR="00EB0F4D">
              <w:rPr>
                <w:rFonts w:asciiTheme="minorBidi" w:hAnsiTheme="minorBidi" w:cstheme="minorBidi"/>
              </w:rPr>
              <w:t>While t</w:t>
            </w:r>
            <w:r w:rsidRPr="00EB0F4D">
              <w:rPr>
                <w:rFonts w:asciiTheme="minorBidi" w:hAnsiTheme="minorBidi" w:cstheme="minorBidi"/>
              </w:rPr>
              <w:t>his is an evolving and co</w:t>
            </w:r>
            <w:r w:rsidR="00EB0F4D">
              <w:rPr>
                <w:rFonts w:asciiTheme="minorBidi" w:hAnsiTheme="minorBidi" w:cstheme="minorBidi"/>
              </w:rPr>
              <w:t xml:space="preserve">mplex treatment area, and </w:t>
            </w:r>
            <w:r w:rsidRPr="00EB0F4D">
              <w:rPr>
                <w:rFonts w:asciiTheme="minorBidi" w:hAnsiTheme="minorBidi" w:cstheme="minorBidi"/>
              </w:rPr>
              <w:t xml:space="preserve">further addressing the remaining issues identified by the PBAC is challenging, </w:t>
            </w:r>
            <w:r w:rsidR="00EB0F4D" w:rsidRPr="00EB0F4D">
              <w:rPr>
                <w:rFonts w:asciiTheme="minorBidi" w:hAnsiTheme="minorBidi" w:cstheme="minorBidi"/>
              </w:rPr>
              <w:t>Janssen will continue to work with the PBAC and the Department of Health toward mutually agreeable solutions that reflect the innovation that daratumumab offers for the treatment of MM</w:t>
            </w:r>
            <w:r w:rsidR="00EB0F4D">
              <w:rPr>
                <w:rFonts w:asciiTheme="minorBidi" w:hAnsiTheme="minorBidi" w:cstheme="minorBidi"/>
              </w:rPr>
              <w:t xml:space="preserve">. </w:t>
            </w:r>
          </w:p>
        </w:tc>
      </w:tr>
      <w:tr w:rsidR="00FC3B7E" w:rsidRPr="00E65745" w14:paraId="5BD59067" w14:textId="77777777" w:rsidTr="005713B6">
        <w:trPr>
          <w:cantSplit/>
          <w:trHeight w:val="1905"/>
        </w:trPr>
        <w:tc>
          <w:tcPr>
            <w:tcW w:w="3071" w:type="dxa"/>
            <w:vMerge w:val="restart"/>
            <w:tcMar>
              <w:top w:w="28" w:type="dxa"/>
              <w:bottom w:w="28" w:type="dxa"/>
            </w:tcMar>
          </w:tcPr>
          <w:p w14:paraId="31524ACE" w14:textId="350DFC8F" w:rsidR="00FC3B7E" w:rsidRPr="00E65745" w:rsidRDefault="00FC3B7E" w:rsidP="00CA6D1E">
            <w:pPr>
              <w:rPr>
                <w:rFonts w:ascii="Arial" w:hAnsi="Arial" w:cs="Arial"/>
                <w:color w:val="000000"/>
              </w:rPr>
            </w:pPr>
            <w:r w:rsidRPr="00E65745">
              <w:rPr>
                <w:rFonts w:ascii="Arial" w:hAnsi="Arial" w:cs="Arial"/>
                <w:color w:val="000000"/>
              </w:rPr>
              <w:lastRenderedPageBreak/>
              <w:t>DULAGLUTIDE</w:t>
            </w:r>
            <w:r w:rsidRPr="00E65745">
              <w:rPr>
                <w:rFonts w:ascii="Arial" w:hAnsi="Arial" w:cs="Arial"/>
                <w:color w:val="000000"/>
              </w:rPr>
              <w:br/>
            </w:r>
            <w:r w:rsidRPr="00E65745">
              <w:rPr>
                <w:rFonts w:ascii="Arial" w:hAnsi="Arial" w:cs="Arial"/>
                <w:color w:val="000000"/>
              </w:rPr>
              <w:br/>
              <w:t>Injection 1.5 mg in 0.5 mL single dose pre-filled pen</w:t>
            </w:r>
            <w:r w:rsidRPr="00E65745">
              <w:rPr>
                <w:rFonts w:ascii="Arial" w:hAnsi="Arial" w:cs="Arial"/>
                <w:color w:val="000000"/>
              </w:rPr>
              <w:br/>
            </w:r>
            <w:r w:rsidRPr="00E65745">
              <w:rPr>
                <w:rFonts w:ascii="Arial" w:hAnsi="Arial" w:cs="Arial"/>
                <w:color w:val="000000"/>
              </w:rPr>
              <w:br/>
              <w:t>Trulicity®</w:t>
            </w:r>
            <w:r w:rsidRPr="00E65745">
              <w:rPr>
                <w:rFonts w:ascii="Arial" w:hAnsi="Arial" w:cs="Arial"/>
                <w:color w:val="000000"/>
              </w:rPr>
              <w:br/>
            </w:r>
            <w:r w:rsidRPr="00E65745">
              <w:rPr>
                <w:rFonts w:ascii="Arial" w:hAnsi="Arial" w:cs="Arial"/>
                <w:color w:val="000000"/>
              </w:rPr>
              <w:br/>
              <w:t>Eli Lilly Australia Pty Ltd</w:t>
            </w:r>
            <w:r w:rsidRPr="00E65745">
              <w:rPr>
                <w:rFonts w:ascii="Arial" w:hAnsi="Arial" w:cs="Arial"/>
                <w:color w:val="000000"/>
              </w:rPr>
              <w:br/>
            </w:r>
            <w:r w:rsidRPr="00E65745">
              <w:rPr>
                <w:rFonts w:ascii="Arial" w:hAnsi="Arial" w:cs="Arial"/>
                <w:color w:val="000000"/>
              </w:rPr>
              <w:br/>
              <w:t>Change to listing</w:t>
            </w:r>
            <w:r w:rsidRPr="00E65745">
              <w:rPr>
                <w:rFonts w:ascii="Arial" w:hAnsi="Arial" w:cs="Arial"/>
                <w:color w:val="000000"/>
              </w:rPr>
              <w:br/>
              <w:t>(Major Submission)</w:t>
            </w:r>
          </w:p>
        </w:tc>
        <w:tc>
          <w:tcPr>
            <w:tcW w:w="2262" w:type="dxa"/>
            <w:vMerge w:val="restart"/>
          </w:tcPr>
          <w:p w14:paraId="2E7F51C6" w14:textId="77777777" w:rsidR="00FC3B7E" w:rsidRPr="00E65745" w:rsidRDefault="00FC3B7E" w:rsidP="00CA6D1E">
            <w:pPr>
              <w:rPr>
                <w:rFonts w:ascii="Arial" w:hAnsi="Arial" w:cs="Arial"/>
              </w:rPr>
            </w:pPr>
            <w:r w:rsidRPr="00E65745">
              <w:rPr>
                <w:rFonts w:ascii="Arial" w:hAnsi="Arial" w:cs="Arial"/>
              </w:rPr>
              <w:t>Type 2 diabetes mellitus (T2DM)</w:t>
            </w:r>
          </w:p>
          <w:p w14:paraId="3D0C967B" w14:textId="6C55039C"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26F5B7C3" w14:textId="64B58C45" w:rsidR="00FC3B7E" w:rsidRPr="00E65745" w:rsidRDefault="00FC3B7E" w:rsidP="00CA6D1E">
            <w:pPr>
              <w:rPr>
                <w:rFonts w:ascii="Arial" w:hAnsi="Arial" w:cs="Arial"/>
              </w:rPr>
            </w:pPr>
            <w:r w:rsidRPr="00E65745">
              <w:rPr>
                <w:rFonts w:ascii="Arial" w:hAnsi="Arial" w:cs="Arial"/>
              </w:rPr>
              <w:t xml:space="preserve">To request an Authority Required (STREAMLINED) listing for use in combination with insulin and metformin for the treatment of patients with T2DM. </w:t>
            </w:r>
          </w:p>
        </w:tc>
        <w:tc>
          <w:tcPr>
            <w:tcW w:w="7011" w:type="dxa"/>
          </w:tcPr>
          <w:p w14:paraId="3F2DE83E" w14:textId="10997DCE" w:rsidR="00FC3B7E" w:rsidRDefault="00DE26E6" w:rsidP="00CA6D1E">
            <w:pPr>
              <w:rPr>
                <w:rFonts w:ascii="Arial" w:hAnsi="Arial" w:cs="Arial"/>
                <w:color w:val="000000"/>
              </w:rPr>
            </w:pPr>
            <w:r w:rsidRPr="00DE26E6">
              <w:rPr>
                <w:rFonts w:ascii="Arial" w:hAnsi="Arial" w:cs="Arial"/>
                <w:color w:val="000000"/>
              </w:rPr>
              <w:t>The PBAC deferred making a recommendation to extend the existing listing of dul</w:t>
            </w:r>
            <w:r w:rsidR="00B658C7">
              <w:rPr>
                <w:rFonts w:ascii="Arial" w:hAnsi="Arial" w:cs="Arial"/>
                <w:color w:val="000000"/>
              </w:rPr>
              <w:t>aglutide 1.5 mg once weekly</w:t>
            </w:r>
            <w:r w:rsidRPr="00DE26E6">
              <w:rPr>
                <w:rFonts w:ascii="Arial" w:hAnsi="Arial" w:cs="Arial"/>
                <w:color w:val="000000"/>
              </w:rPr>
              <w:t xml:space="preserve"> </w:t>
            </w:r>
            <w:r w:rsidR="00031724">
              <w:rPr>
                <w:rFonts w:ascii="Arial" w:hAnsi="Arial" w:cs="Arial"/>
                <w:color w:val="000000"/>
              </w:rPr>
              <w:t xml:space="preserve">(QW) </w:t>
            </w:r>
            <w:r w:rsidRPr="00DE26E6">
              <w:rPr>
                <w:rFonts w:ascii="Arial" w:hAnsi="Arial" w:cs="Arial"/>
                <w:color w:val="000000"/>
              </w:rPr>
              <w:t xml:space="preserve">to include the treatment of </w:t>
            </w:r>
            <w:r w:rsidR="00B658C7">
              <w:rPr>
                <w:rFonts w:ascii="Arial" w:hAnsi="Arial" w:cs="Arial"/>
                <w:color w:val="000000"/>
              </w:rPr>
              <w:t>T2DM</w:t>
            </w:r>
            <w:r w:rsidRPr="00DE26E6">
              <w:rPr>
                <w:rFonts w:ascii="Arial" w:hAnsi="Arial" w:cs="Arial"/>
                <w:color w:val="000000"/>
              </w:rPr>
              <w:t xml:space="preserve"> in combination with insulin and metformin unless contraindicated or not tolerated. This was to request revision of the financial estimates as the PBAC considered the estimated financial impact of extending the current listing of dulaglutide to include use in combination with insulin was substantially underestimated due to underestimate</w:t>
            </w:r>
            <w:r w:rsidR="009A0B93">
              <w:rPr>
                <w:rFonts w:ascii="Arial" w:hAnsi="Arial" w:cs="Arial"/>
                <w:color w:val="000000"/>
              </w:rPr>
              <w:t>d</w:t>
            </w:r>
            <w:r w:rsidRPr="00DE26E6">
              <w:rPr>
                <w:rFonts w:ascii="Arial" w:hAnsi="Arial" w:cs="Arial"/>
                <w:color w:val="000000"/>
              </w:rPr>
              <w:t xml:space="preserve"> patient numbers, market share and market growth.</w:t>
            </w:r>
          </w:p>
          <w:p w14:paraId="3FF9F106" w14:textId="77777777" w:rsidR="00B658C7" w:rsidRDefault="00B658C7" w:rsidP="00CA6D1E">
            <w:pPr>
              <w:rPr>
                <w:rFonts w:ascii="Arial" w:hAnsi="Arial" w:cs="Arial"/>
                <w:color w:val="000000"/>
              </w:rPr>
            </w:pPr>
          </w:p>
          <w:p w14:paraId="7ACB1445" w14:textId="4B287C27" w:rsidR="00B658C7" w:rsidRPr="00B658C7" w:rsidRDefault="00B658C7" w:rsidP="00CA6D1E">
            <w:pPr>
              <w:jc w:val="both"/>
              <w:rPr>
                <w:rFonts w:ascii="Arial" w:hAnsi="Arial" w:cs="Arial"/>
                <w:bCs/>
              </w:rPr>
            </w:pPr>
            <w:r w:rsidRPr="00B658C7">
              <w:rPr>
                <w:rFonts w:ascii="Arial" w:hAnsi="Arial" w:cs="Arial"/>
              </w:rPr>
              <w:t xml:space="preserve">The PBAC considered that </w:t>
            </w:r>
            <w:r w:rsidR="009A0B93">
              <w:rPr>
                <w:rFonts w:ascii="Arial" w:hAnsi="Arial" w:cs="Arial"/>
              </w:rPr>
              <w:t>the price advantage over exenatide 10 mcg twice daily</w:t>
            </w:r>
            <w:r w:rsidR="00CB62F3">
              <w:rPr>
                <w:rFonts w:ascii="Arial" w:hAnsi="Arial" w:cs="Arial"/>
              </w:rPr>
              <w:t xml:space="preserve"> (BID)</w:t>
            </w:r>
            <w:r w:rsidR="009A0B93">
              <w:rPr>
                <w:rFonts w:ascii="Arial" w:hAnsi="Arial" w:cs="Arial"/>
              </w:rPr>
              <w:t xml:space="preserve"> requested in the submission was not justified. </w:t>
            </w:r>
            <w:r w:rsidR="00CB62F3">
              <w:rPr>
                <w:rFonts w:ascii="Arial" w:hAnsi="Arial" w:cs="Arial"/>
              </w:rPr>
              <w:t xml:space="preserve">However, the PBAC advised that a small price advantage may be appropriate for a proportion of the patient population </w:t>
            </w:r>
            <w:r w:rsidR="00972CFF">
              <w:rPr>
                <w:rFonts w:ascii="Arial" w:hAnsi="Arial" w:cs="Arial"/>
              </w:rPr>
              <w:t xml:space="preserve">with high clinical needs </w:t>
            </w:r>
            <w:r w:rsidR="00CB62F3">
              <w:rPr>
                <w:rFonts w:ascii="Arial" w:hAnsi="Arial" w:cs="Arial"/>
              </w:rPr>
              <w:t xml:space="preserve">for which there are </w:t>
            </w:r>
            <w:r w:rsidR="00CB62F3" w:rsidRPr="00CB62F3">
              <w:rPr>
                <w:rFonts w:ascii="Arial" w:hAnsi="Arial" w:cs="Arial"/>
              </w:rPr>
              <w:t>potential health benefits associated with the simplified QW dosing regimen of dulaglutide</w:t>
            </w:r>
            <w:r w:rsidR="00CB62F3">
              <w:rPr>
                <w:rFonts w:ascii="Arial" w:hAnsi="Arial" w:cs="Arial"/>
              </w:rPr>
              <w:t>,</w:t>
            </w:r>
            <w:r w:rsidR="00CB62F3" w:rsidRPr="00CB62F3">
              <w:rPr>
                <w:rFonts w:ascii="Arial" w:hAnsi="Arial" w:cs="Arial"/>
              </w:rPr>
              <w:t xml:space="preserve"> </w:t>
            </w:r>
            <w:r w:rsidR="00CB62F3">
              <w:rPr>
                <w:rFonts w:ascii="Arial" w:hAnsi="Arial" w:cs="Arial"/>
              </w:rPr>
              <w:t>compared with exenatide BID</w:t>
            </w:r>
            <w:r w:rsidRPr="00B658C7">
              <w:rPr>
                <w:rFonts w:ascii="Arial" w:hAnsi="Arial" w:cs="Arial"/>
              </w:rPr>
              <w:t>.</w:t>
            </w:r>
          </w:p>
        </w:tc>
      </w:tr>
      <w:tr w:rsidR="00FC3B7E" w:rsidRPr="00E65745" w14:paraId="595F2930" w14:textId="77777777" w:rsidTr="005713B6">
        <w:trPr>
          <w:cantSplit/>
          <w:trHeight w:val="454"/>
        </w:trPr>
        <w:tc>
          <w:tcPr>
            <w:tcW w:w="3071" w:type="dxa"/>
            <w:vMerge/>
            <w:tcMar>
              <w:top w:w="28" w:type="dxa"/>
              <w:bottom w:w="28" w:type="dxa"/>
            </w:tcMar>
          </w:tcPr>
          <w:p w14:paraId="2B11AAA4" w14:textId="77777777" w:rsidR="00FC3B7E" w:rsidRPr="00E65745" w:rsidRDefault="00FC3B7E" w:rsidP="00CA6D1E">
            <w:pPr>
              <w:widowControl w:val="0"/>
              <w:rPr>
                <w:rFonts w:ascii="Arial" w:hAnsi="Arial" w:cs="Arial"/>
                <w:snapToGrid w:val="0"/>
                <w:lang w:eastAsia="en-US"/>
              </w:rPr>
            </w:pPr>
          </w:p>
        </w:tc>
        <w:tc>
          <w:tcPr>
            <w:tcW w:w="2262" w:type="dxa"/>
            <w:vMerge/>
          </w:tcPr>
          <w:p w14:paraId="5FCC2CA5" w14:textId="77777777"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36D99254" w14:textId="77777777" w:rsidR="00FC3B7E" w:rsidRPr="00E65745" w:rsidRDefault="00FC3B7E" w:rsidP="00CA6D1E">
            <w:pPr>
              <w:widowControl w:val="0"/>
              <w:jc w:val="right"/>
              <w:rPr>
                <w:rFonts w:ascii="Arial" w:hAnsi="Arial" w:cs="Arial"/>
                <w:snapToGrid w:val="0"/>
                <w:lang w:eastAsia="en-US"/>
              </w:rPr>
            </w:pPr>
            <w:r w:rsidRPr="00E65745">
              <w:rPr>
                <w:rFonts w:ascii="Arial" w:hAnsi="Arial" w:cs="Arial"/>
                <w:snapToGrid w:val="0"/>
                <w:lang w:eastAsia="en-US"/>
              </w:rPr>
              <w:t>Sponsor’s Comment:</w:t>
            </w:r>
          </w:p>
        </w:tc>
        <w:tc>
          <w:tcPr>
            <w:tcW w:w="7011" w:type="dxa"/>
            <w:shd w:val="clear" w:color="auto" w:fill="auto"/>
          </w:tcPr>
          <w:p w14:paraId="53CF78EE" w14:textId="7852141E" w:rsidR="00FC3B7E" w:rsidRPr="00E65745" w:rsidRDefault="00C83656" w:rsidP="00CA6D1E">
            <w:pPr>
              <w:pStyle w:val="ListParagraph"/>
              <w:ind w:left="0"/>
              <w:contextualSpacing w:val="0"/>
              <w:rPr>
                <w:rFonts w:ascii="Arial" w:hAnsi="Arial" w:cs="Arial"/>
                <w:sz w:val="20"/>
                <w:szCs w:val="20"/>
              </w:rPr>
            </w:pPr>
            <w:r>
              <w:rPr>
                <w:rFonts w:ascii="Arial" w:hAnsi="Arial" w:cs="Arial"/>
                <w:iCs/>
                <w:sz w:val="20"/>
                <w:szCs w:val="20"/>
              </w:rPr>
              <w:t>No comment</w:t>
            </w:r>
          </w:p>
        </w:tc>
      </w:tr>
      <w:tr w:rsidR="00FC3B7E" w:rsidRPr="00E65745" w14:paraId="1C0E74D3" w14:textId="77777777" w:rsidTr="005713B6">
        <w:trPr>
          <w:cantSplit/>
          <w:trHeight w:val="477"/>
        </w:trPr>
        <w:tc>
          <w:tcPr>
            <w:tcW w:w="3071" w:type="dxa"/>
            <w:vMerge w:val="restart"/>
            <w:tcMar>
              <w:top w:w="28" w:type="dxa"/>
              <w:bottom w:w="28" w:type="dxa"/>
            </w:tcMar>
          </w:tcPr>
          <w:p w14:paraId="363FBDE3" w14:textId="6A77B982" w:rsidR="00FC3B7E" w:rsidRPr="00E65745" w:rsidRDefault="00FC3B7E" w:rsidP="00CA6D1E">
            <w:pPr>
              <w:rPr>
                <w:rFonts w:ascii="Arial" w:hAnsi="Arial" w:cs="Arial"/>
                <w:color w:val="000000"/>
              </w:rPr>
            </w:pPr>
            <w:r w:rsidRPr="00E65745">
              <w:rPr>
                <w:rFonts w:ascii="Arial" w:hAnsi="Arial" w:cs="Arial"/>
                <w:color w:val="000000"/>
              </w:rPr>
              <w:t>FREMANEZUMAB</w:t>
            </w:r>
            <w:r w:rsidRPr="00E65745">
              <w:rPr>
                <w:rFonts w:ascii="Arial" w:hAnsi="Arial" w:cs="Arial"/>
                <w:color w:val="000000"/>
              </w:rPr>
              <w:br/>
            </w:r>
            <w:r w:rsidRPr="00E65745">
              <w:rPr>
                <w:rFonts w:ascii="Arial" w:hAnsi="Arial" w:cs="Arial"/>
                <w:color w:val="000000"/>
              </w:rPr>
              <w:br/>
              <w:t>Injection 225 mg in 1.5 mL pre-filled syringe</w:t>
            </w:r>
            <w:r w:rsidRPr="00E65745">
              <w:rPr>
                <w:rFonts w:ascii="Arial" w:hAnsi="Arial" w:cs="Arial"/>
                <w:color w:val="000000"/>
              </w:rPr>
              <w:br/>
            </w:r>
            <w:r w:rsidRPr="00E65745">
              <w:rPr>
                <w:rFonts w:ascii="Arial" w:hAnsi="Arial" w:cs="Arial"/>
                <w:color w:val="000000"/>
              </w:rPr>
              <w:br/>
              <w:t>Ajovy®</w:t>
            </w:r>
            <w:r w:rsidRPr="00E65745">
              <w:rPr>
                <w:rFonts w:ascii="Arial" w:hAnsi="Arial" w:cs="Arial"/>
                <w:color w:val="000000"/>
              </w:rPr>
              <w:br/>
            </w:r>
            <w:r w:rsidRPr="00E65745">
              <w:rPr>
                <w:rFonts w:ascii="Arial" w:hAnsi="Arial" w:cs="Arial"/>
                <w:color w:val="000000"/>
              </w:rPr>
              <w:br/>
              <w:t>Teva Pharma Australia Pty Limited</w:t>
            </w:r>
            <w:r w:rsidRPr="00E65745">
              <w:rPr>
                <w:rFonts w:ascii="Arial" w:hAnsi="Arial" w:cs="Arial"/>
                <w:color w:val="000000"/>
              </w:rPr>
              <w:br/>
            </w:r>
            <w:r w:rsidRPr="00E65745">
              <w:rPr>
                <w:rFonts w:ascii="Arial" w:hAnsi="Arial" w:cs="Arial"/>
                <w:color w:val="000000"/>
              </w:rPr>
              <w:br/>
              <w:t>New listing</w:t>
            </w:r>
            <w:r w:rsidRPr="00E65745">
              <w:rPr>
                <w:rFonts w:ascii="Arial" w:hAnsi="Arial" w:cs="Arial"/>
                <w:color w:val="000000"/>
              </w:rPr>
              <w:br/>
              <w:t>(Major Submission)</w:t>
            </w:r>
          </w:p>
        </w:tc>
        <w:tc>
          <w:tcPr>
            <w:tcW w:w="2262" w:type="dxa"/>
            <w:vMerge w:val="restart"/>
          </w:tcPr>
          <w:p w14:paraId="70B3192F" w14:textId="77777777" w:rsidR="00FC3B7E" w:rsidRPr="00E65745" w:rsidRDefault="00FC3B7E" w:rsidP="00CA6D1E">
            <w:pPr>
              <w:rPr>
                <w:rFonts w:ascii="Arial" w:hAnsi="Arial" w:cs="Arial"/>
              </w:rPr>
            </w:pPr>
            <w:r w:rsidRPr="00E65745">
              <w:rPr>
                <w:rFonts w:ascii="Arial" w:hAnsi="Arial" w:cs="Arial"/>
              </w:rPr>
              <w:t>Chronic migraine</w:t>
            </w:r>
          </w:p>
          <w:p w14:paraId="46648069" w14:textId="48B6C29A"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6B55DE9F" w14:textId="125E9178" w:rsidR="00FC3B7E" w:rsidRPr="00E65745" w:rsidRDefault="00FC3B7E" w:rsidP="00CA6D1E">
            <w:pPr>
              <w:rPr>
                <w:rFonts w:ascii="Arial" w:hAnsi="Arial" w:cs="Arial"/>
              </w:rPr>
            </w:pPr>
            <w:r w:rsidRPr="00E65745">
              <w:rPr>
                <w:rFonts w:ascii="Arial" w:hAnsi="Arial" w:cs="Arial"/>
              </w:rPr>
              <w:t>To request an Authority Required (STREAMLINED) listing for the prophylactic treatment of adult patients with chronic migraine who have experienced inadequate response, intolerance or a contraindication to at least three prior preventive migraine medications.</w:t>
            </w:r>
          </w:p>
          <w:p w14:paraId="189F18E9" w14:textId="1470DC0E" w:rsidR="00FC3B7E" w:rsidRPr="00E65745" w:rsidRDefault="00FC3B7E" w:rsidP="00CA6D1E">
            <w:pPr>
              <w:widowControl w:val="0"/>
              <w:rPr>
                <w:rFonts w:ascii="Arial" w:hAnsi="Arial" w:cs="Arial"/>
                <w:snapToGrid w:val="0"/>
                <w:lang w:eastAsia="en-US"/>
              </w:rPr>
            </w:pPr>
          </w:p>
        </w:tc>
        <w:tc>
          <w:tcPr>
            <w:tcW w:w="7011" w:type="dxa"/>
          </w:tcPr>
          <w:p w14:paraId="09C9C16F" w14:textId="6F40C061" w:rsidR="00FC3B7E" w:rsidRPr="00E65745" w:rsidRDefault="00C92158" w:rsidP="00CA6D1E">
            <w:pPr>
              <w:pStyle w:val="ListParagraph"/>
              <w:ind w:left="0"/>
              <w:contextualSpacing w:val="0"/>
              <w:rPr>
                <w:rFonts w:ascii="Arial" w:hAnsi="Arial" w:cs="Arial"/>
                <w:sz w:val="20"/>
                <w:szCs w:val="20"/>
              </w:rPr>
            </w:pPr>
            <w:r w:rsidRPr="00C92158">
              <w:rPr>
                <w:rFonts w:ascii="Arial" w:hAnsi="Arial" w:cs="Arial"/>
                <w:sz w:val="20"/>
                <w:szCs w:val="20"/>
              </w:rPr>
              <w:t xml:space="preserve">The PBAC deferred making a recommendation for fremanezumab for the treatment of chronic migraine in patients who have experienced an inadequate response, intolerance or a contraindication to at least three </w:t>
            </w:r>
            <w:r w:rsidR="00114173">
              <w:rPr>
                <w:rFonts w:ascii="Arial" w:hAnsi="Arial" w:cs="Arial"/>
                <w:sz w:val="20"/>
                <w:szCs w:val="20"/>
              </w:rPr>
              <w:t xml:space="preserve">prior </w:t>
            </w:r>
            <w:r w:rsidRPr="00C92158">
              <w:rPr>
                <w:rFonts w:ascii="Arial" w:hAnsi="Arial" w:cs="Arial"/>
                <w:sz w:val="20"/>
                <w:szCs w:val="20"/>
              </w:rPr>
              <w:t>prophylactic migraine medications. The PBAC considered fremanezumab was an alternative treatment to Botox and galcanezumab for patients with chronic migraine and provided a similar reduction in monthly migraine days. The PBAC was of a mind to recommend fremanezumab for listing on the basis of cost-minimisation to Botox or galcanezumab</w:t>
            </w:r>
            <w:r w:rsidR="00114173">
              <w:rPr>
                <w:rFonts w:ascii="Arial" w:hAnsi="Arial" w:cs="Arial"/>
                <w:sz w:val="20"/>
                <w:szCs w:val="20"/>
              </w:rPr>
              <w:t>. However, the PBAC</w:t>
            </w:r>
            <w:r w:rsidRPr="00C92158">
              <w:rPr>
                <w:rFonts w:ascii="Arial" w:hAnsi="Arial" w:cs="Arial"/>
                <w:sz w:val="20"/>
                <w:szCs w:val="20"/>
              </w:rPr>
              <w:t xml:space="preserve"> deferred making a recommendation to address the uncertainties regarding the number of patients who would be treated and the net financial cost of listing fremanezumab on the PBS.</w:t>
            </w:r>
          </w:p>
        </w:tc>
      </w:tr>
      <w:tr w:rsidR="00FC3B7E" w:rsidRPr="00E65745" w14:paraId="2A29D744" w14:textId="77777777" w:rsidTr="005713B6">
        <w:trPr>
          <w:cantSplit/>
          <w:trHeight w:val="454"/>
        </w:trPr>
        <w:tc>
          <w:tcPr>
            <w:tcW w:w="3071" w:type="dxa"/>
            <w:vMerge/>
            <w:tcMar>
              <w:top w:w="28" w:type="dxa"/>
              <w:bottom w:w="28" w:type="dxa"/>
            </w:tcMar>
          </w:tcPr>
          <w:p w14:paraId="71A490A6" w14:textId="77777777" w:rsidR="00FC3B7E" w:rsidRPr="00E65745" w:rsidRDefault="00FC3B7E" w:rsidP="00CA6D1E">
            <w:pPr>
              <w:widowControl w:val="0"/>
              <w:rPr>
                <w:rFonts w:ascii="Arial" w:hAnsi="Arial" w:cs="Arial"/>
                <w:snapToGrid w:val="0"/>
                <w:lang w:eastAsia="en-US"/>
              </w:rPr>
            </w:pPr>
          </w:p>
        </w:tc>
        <w:tc>
          <w:tcPr>
            <w:tcW w:w="2262" w:type="dxa"/>
            <w:vMerge/>
          </w:tcPr>
          <w:p w14:paraId="514E33E1" w14:textId="77777777"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40291714" w14:textId="77777777" w:rsidR="00FC3B7E" w:rsidRPr="00E65745" w:rsidRDefault="00FC3B7E" w:rsidP="00CA6D1E">
            <w:pPr>
              <w:widowControl w:val="0"/>
              <w:jc w:val="right"/>
              <w:rPr>
                <w:rFonts w:ascii="Arial" w:hAnsi="Arial" w:cs="Arial"/>
                <w:snapToGrid w:val="0"/>
                <w:lang w:eastAsia="en-US"/>
              </w:rPr>
            </w:pPr>
            <w:r w:rsidRPr="00E65745">
              <w:rPr>
                <w:rFonts w:ascii="Arial" w:hAnsi="Arial" w:cs="Arial"/>
                <w:snapToGrid w:val="0"/>
                <w:lang w:eastAsia="en-US"/>
              </w:rPr>
              <w:t>Sponsor’s Comment:</w:t>
            </w:r>
          </w:p>
        </w:tc>
        <w:tc>
          <w:tcPr>
            <w:tcW w:w="7011" w:type="dxa"/>
          </w:tcPr>
          <w:p w14:paraId="03673A07" w14:textId="7E59DB05" w:rsidR="00FC3B7E" w:rsidRPr="00846E66" w:rsidRDefault="00846E66" w:rsidP="00CA6D1E">
            <w:pPr>
              <w:rPr>
                <w:rFonts w:ascii="Arial" w:hAnsi="Arial" w:cs="Arial"/>
                <w:lang w:eastAsia="en-US"/>
              </w:rPr>
            </w:pPr>
            <w:r>
              <w:rPr>
                <w:rFonts w:ascii="Arial" w:hAnsi="Arial" w:cs="Arial"/>
              </w:rPr>
              <w:t>Teva</w:t>
            </w:r>
            <w:r w:rsidRPr="00846E66">
              <w:rPr>
                <w:rFonts w:ascii="Arial" w:hAnsi="Arial" w:cs="Arial"/>
              </w:rPr>
              <w:t xml:space="preserve"> is pleased that the PBAC acknowledged the clinic</w:t>
            </w:r>
            <w:r>
              <w:rPr>
                <w:rFonts w:ascii="Arial" w:hAnsi="Arial" w:cs="Arial"/>
              </w:rPr>
              <w:t xml:space="preserve">al need for effective treatment of chronic migraine in </w:t>
            </w:r>
            <w:r w:rsidRPr="00846E66">
              <w:rPr>
                <w:rFonts w:ascii="Arial" w:hAnsi="Arial" w:cs="Arial"/>
              </w:rPr>
              <w:t>patients who have failed at least three prior prophylactic migraine medications.</w:t>
            </w:r>
            <w:r>
              <w:rPr>
                <w:rFonts w:ascii="Arial" w:hAnsi="Arial" w:cs="Arial"/>
              </w:rPr>
              <w:t xml:space="preserve"> Teva </w:t>
            </w:r>
            <w:r w:rsidRPr="00846E66">
              <w:rPr>
                <w:rFonts w:ascii="Arial" w:hAnsi="Arial" w:cs="Arial"/>
              </w:rPr>
              <w:t>will continue to work with the PBAC and the Department of Health with</w:t>
            </w:r>
            <w:r>
              <w:rPr>
                <w:rFonts w:ascii="Arial" w:hAnsi="Arial" w:cs="Arial"/>
              </w:rPr>
              <w:t xml:space="preserve"> the aim of making fremanezumab </w:t>
            </w:r>
            <w:r w:rsidRPr="00846E66">
              <w:rPr>
                <w:rFonts w:ascii="Arial" w:hAnsi="Arial" w:cs="Arial"/>
              </w:rPr>
              <w:t>available on the PBS for these patients.</w:t>
            </w:r>
          </w:p>
        </w:tc>
      </w:tr>
      <w:tr w:rsidR="00FC3B7E" w:rsidRPr="00E65745" w14:paraId="3615DB9D" w14:textId="77777777" w:rsidTr="005713B6">
        <w:trPr>
          <w:cantSplit/>
          <w:trHeight w:val="2438"/>
        </w:trPr>
        <w:tc>
          <w:tcPr>
            <w:tcW w:w="3071" w:type="dxa"/>
            <w:vMerge w:val="restart"/>
            <w:tcMar>
              <w:top w:w="28" w:type="dxa"/>
              <w:bottom w:w="28" w:type="dxa"/>
            </w:tcMar>
          </w:tcPr>
          <w:p w14:paraId="6938816B" w14:textId="5C597C8F" w:rsidR="00FC3B7E" w:rsidRPr="00E65745" w:rsidRDefault="00FC3B7E" w:rsidP="00CA6D1E">
            <w:pPr>
              <w:rPr>
                <w:rFonts w:ascii="Arial" w:hAnsi="Arial" w:cs="Arial"/>
                <w:color w:val="000000"/>
              </w:rPr>
            </w:pPr>
            <w:r w:rsidRPr="00E65745">
              <w:rPr>
                <w:rFonts w:ascii="Arial" w:hAnsi="Arial" w:cs="Arial"/>
                <w:color w:val="000000"/>
              </w:rPr>
              <w:lastRenderedPageBreak/>
              <w:t>PEMBROLIZUMAB</w:t>
            </w:r>
            <w:r w:rsidRPr="00E65745">
              <w:rPr>
                <w:rFonts w:ascii="Arial" w:hAnsi="Arial" w:cs="Arial"/>
                <w:color w:val="000000"/>
              </w:rPr>
              <w:br/>
            </w:r>
            <w:r w:rsidRPr="00E65745">
              <w:rPr>
                <w:rFonts w:ascii="Arial" w:hAnsi="Arial" w:cs="Arial"/>
                <w:color w:val="000000"/>
              </w:rPr>
              <w:br/>
              <w:t>Solution concentrate for I.V. infusion 100 mg in 4 mL</w:t>
            </w:r>
            <w:r w:rsidRPr="00E65745">
              <w:rPr>
                <w:rFonts w:ascii="Arial" w:hAnsi="Arial" w:cs="Arial"/>
                <w:color w:val="000000"/>
              </w:rPr>
              <w:br/>
            </w:r>
            <w:r w:rsidRPr="00E65745">
              <w:rPr>
                <w:rFonts w:ascii="Arial" w:hAnsi="Arial" w:cs="Arial"/>
                <w:color w:val="000000"/>
              </w:rPr>
              <w:br/>
            </w:r>
            <w:proofErr w:type="spellStart"/>
            <w:r w:rsidRPr="00E65745">
              <w:rPr>
                <w:rFonts w:ascii="Arial" w:hAnsi="Arial" w:cs="Arial"/>
                <w:color w:val="000000"/>
              </w:rPr>
              <w:t>Keytruda</w:t>
            </w:r>
            <w:proofErr w:type="spellEnd"/>
            <w:r w:rsidRPr="00E65745">
              <w:rPr>
                <w:rFonts w:ascii="Arial" w:hAnsi="Arial" w:cs="Arial"/>
                <w:color w:val="000000"/>
              </w:rPr>
              <w:t>®</w:t>
            </w:r>
            <w:r w:rsidRPr="00E65745">
              <w:rPr>
                <w:rFonts w:ascii="Arial" w:hAnsi="Arial" w:cs="Arial"/>
                <w:color w:val="000000"/>
              </w:rPr>
              <w:br/>
            </w:r>
            <w:r w:rsidRPr="00E65745">
              <w:rPr>
                <w:rFonts w:ascii="Arial" w:hAnsi="Arial" w:cs="Arial"/>
                <w:color w:val="000000"/>
              </w:rPr>
              <w:br/>
              <w:t>Merck Sharp &amp; Dohme (Australia) Pty Ltd</w:t>
            </w:r>
            <w:r w:rsidRPr="00E65745">
              <w:rPr>
                <w:rFonts w:ascii="Arial" w:hAnsi="Arial" w:cs="Arial"/>
                <w:color w:val="000000"/>
              </w:rPr>
              <w:br/>
            </w:r>
            <w:r w:rsidRPr="00E65745">
              <w:rPr>
                <w:rFonts w:ascii="Arial" w:hAnsi="Arial" w:cs="Arial"/>
                <w:color w:val="000000"/>
              </w:rPr>
              <w:br/>
              <w:t>Change to listing</w:t>
            </w:r>
            <w:r w:rsidRPr="00E65745">
              <w:rPr>
                <w:rFonts w:ascii="Arial" w:hAnsi="Arial" w:cs="Arial"/>
                <w:color w:val="000000"/>
              </w:rPr>
              <w:br/>
              <w:t>(Minor Submission)</w:t>
            </w:r>
          </w:p>
        </w:tc>
        <w:tc>
          <w:tcPr>
            <w:tcW w:w="2262" w:type="dxa"/>
            <w:vMerge w:val="restart"/>
          </w:tcPr>
          <w:p w14:paraId="663880A2" w14:textId="77777777" w:rsidR="00FC3B7E" w:rsidRPr="00E65745" w:rsidRDefault="00FC3B7E" w:rsidP="00CA6D1E">
            <w:pPr>
              <w:rPr>
                <w:rFonts w:ascii="Arial" w:hAnsi="Arial" w:cs="Arial"/>
              </w:rPr>
            </w:pPr>
            <w:r w:rsidRPr="00E65745">
              <w:rPr>
                <w:rFonts w:ascii="Arial" w:hAnsi="Arial" w:cs="Arial"/>
              </w:rPr>
              <w:t>Melanoma</w:t>
            </w:r>
          </w:p>
          <w:p w14:paraId="37C9CC13" w14:textId="6B56A147"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53A6C573" w14:textId="714835ED" w:rsidR="00FC3B7E" w:rsidRPr="00E65745" w:rsidRDefault="00FC3B7E" w:rsidP="00CA6D1E">
            <w:pPr>
              <w:rPr>
                <w:rFonts w:ascii="Arial" w:hAnsi="Arial" w:cs="Arial"/>
              </w:rPr>
            </w:pPr>
            <w:r w:rsidRPr="00E65745">
              <w:rPr>
                <w:rFonts w:ascii="Arial" w:hAnsi="Arial" w:cs="Arial"/>
              </w:rPr>
              <w:t>Resubmission to request a Section 100 (Efficient Funding of Chemotherapy) Authority Required (STREAMLINED) listing for the adjuvant treatment of patients who have had completely surgically resected Stage IIIB-D malignant melanoma.</w:t>
            </w:r>
          </w:p>
        </w:tc>
        <w:tc>
          <w:tcPr>
            <w:tcW w:w="7011" w:type="dxa"/>
          </w:tcPr>
          <w:p w14:paraId="51946A30" w14:textId="77013E0A" w:rsidR="00FC3B7E" w:rsidRPr="00E65745" w:rsidRDefault="00FC3B7E" w:rsidP="00CA6D1E">
            <w:pPr>
              <w:rPr>
                <w:rFonts w:ascii="Arial" w:hAnsi="Arial" w:cs="Arial"/>
                <w:color w:val="000000"/>
              </w:rPr>
            </w:pPr>
            <w:r w:rsidRPr="00E65745">
              <w:rPr>
                <w:rFonts w:ascii="Arial" w:hAnsi="Arial" w:cs="Arial"/>
                <w:color w:val="000000"/>
              </w:rPr>
              <w:t xml:space="preserve">The PBAC deferred making a recommendation regarding the </w:t>
            </w:r>
            <w:r w:rsidRPr="00E65745">
              <w:rPr>
                <w:rFonts w:ascii="Arial" w:hAnsi="Arial" w:cs="Arial"/>
              </w:rPr>
              <w:t xml:space="preserve">Section 100 (Efficient Funding of Chemotherapy) Authority Required (STREAMLINED) </w:t>
            </w:r>
            <w:r w:rsidRPr="00E65745">
              <w:rPr>
                <w:rFonts w:ascii="Arial" w:hAnsi="Arial" w:cs="Arial"/>
                <w:color w:val="000000"/>
              </w:rPr>
              <w:t xml:space="preserve">listing of pembrolizumab as adjuvant treatment for patients with completely resected Stage IIIB, IIIC or IIID malignant melanoma. The PBAC considered it </w:t>
            </w:r>
            <w:r w:rsidR="00EC56D2">
              <w:rPr>
                <w:rFonts w:ascii="Arial" w:hAnsi="Arial" w:cs="Arial"/>
                <w:color w:val="000000"/>
              </w:rPr>
              <w:t xml:space="preserve">would be </w:t>
            </w:r>
            <w:r w:rsidRPr="00E65745">
              <w:rPr>
                <w:rFonts w:ascii="Arial" w:hAnsi="Arial" w:cs="Arial"/>
                <w:color w:val="000000"/>
              </w:rPr>
              <w:t>appropriate for pembrolizumab to be listed on a cost minimisation basis to nivolumab, noting that a listing for pembrolizumab would be unable to proceed until a listing was agreed for nivolumab.</w:t>
            </w:r>
          </w:p>
          <w:p w14:paraId="3FF1B0BB" w14:textId="605B9653" w:rsidR="00FC3B7E" w:rsidRPr="006A0037" w:rsidRDefault="00FC3B7E" w:rsidP="00CA6D1E">
            <w:pPr>
              <w:widowControl w:val="0"/>
              <w:jc w:val="both"/>
              <w:rPr>
                <w:rFonts w:ascii="Arial" w:hAnsi="Arial" w:cs="Arial"/>
                <w:bCs/>
                <w:snapToGrid w:val="0"/>
                <w:lang w:val="en-GB"/>
              </w:rPr>
            </w:pPr>
            <w:r w:rsidRPr="00E65745">
              <w:rPr>
                <w:rFonts w:ascii="Arial" w:hAnsi="Arial" w:cs="Arial"/>
                <w:bCs/>
                <w:snapToGrid w:val="0"/>
                <w:lang w:val="en-GB"/>
              </w:rPr>
              <w:t xml:space="preserve">The PBAC considered that the proposal of a Risk Sharing Arrangement consisting of </w:t>
            </w:r>
            <w:r w:rsidRPr="00E65745">
              <w:rPr>
                <w:rFonts w:ascii="Arial" w:hAnsi="Arial" w:cs="Arial"/>
              </w:rPr>
              <w:t>programmed cell death-1</w:t>
            </w:r>
            <w:r>
              <w:rPr>
                <w:rFonts w:ascii="Arial" w:hAnsi="Arial" w:cs="Arial"/>
                <w:bCs/>
                <w:snapToGrid w:val="0"/>
              </w:rPr>
              <w:t xml:space="preserve"> (PD-1) </w:t>
            </w:r>
            <w:r w:rsidRPr="00E65745">
              <w:rPr>
                <w:rFonts w:ascii="Arial" w:hAnsi="Arial" w:cs="Arial"/>
                <w:bCs/>
                <w:snapToGrid w:val="0"/>
                <w:lang w:val="en-GB"/>
              </w:rPr>
              <w:t xml:space="preserve">inhibitor subsidisation caps across both the adjuvant and </w:t>
            </w:r>
            <w:proofErr w:type="spellStart"/>
            <w:r w:rsidRPr="00E65745">
              <w:rPr>
                <w:rFonts w:ascii="Arial" w:hAnsi="Arial" w:cs="Arial"/>
                <w:bCs/>
                <w:snapToGrid w:val="0"/>
                <w:lang w:val="en-GB"/>
              </w:rPr>
              <w:t>unresectable</w:t>
            </w:r>
            <w:proofErr w:type="spellEnd"/>
            <w:r w:rsidRPr="00E65745">
              <w:rPr>
                <w:rFonts w:ascii="Arial" w:hAnsi="Arial" w:cs="Arial"/>
                <w:bCs/>
                <w:snapToGrid w:val="0"/>
                <w:lang w:val="en-GB"/>
              </w:rPr>
              <w:t xml:space="preserve"> or metastatic settings, beyond which 100% rebates would apply, was appropriate to manage the uncertainty around uptake in the adjuvant setting and the changes in use in the </w:t>
            </w:r>
            <w:proofErr w:type="spellStart"/>
            <w:r w:rsidRPr="00E65745">
              <w:rPr>
                <w:rFonts w:ascii="Arial" w:hAnsi="Arial" w:cs="Arial"/>
                <w:bCs/>
                <w:snapToGrid w:val="0"/>
                <w:lang w:val="en-GB"/>
              </w:rPr>
              <w:t>unresectable</w:t>
            </w:r>
            <w:proofErr w:type="spellEnd"/>
            <w:r w:rsidRPr="00E65745">
              <w:rPr>
                <w:rFonts w:ascii="Arial" w:hAnsi="Arial" w:cs="Arial"/>
                <w:bCs/>
                <w:snapToGrid w:val="0"/>
                <w:lang w:val="en-GB"/>
              </w:rPr>
              <w:t xml:space="preserve"> or metastatic setting</w:t>
            </w:r>
            <w:r w:rsidR="00B065EE">
              <w:rPr>
                <w:rFonts w:ascii="Arial" w:hAnsi="Arial" w:cs="Arial"/>
                <w:bCs/>
                <w:snapToGrid w:val="0"/>
                <w:lang w:val="en-GB"/>
              </w:rPr>
              <w:t xml:space="preserve">. </w:t>
            </w:r>
            <w:r w:rsidR="00EC56D2">
              <w:rPr>
                <w:rFonts w:ascii="Arial" w:hAnsi="Arial" w:cs="Arial"/>
                <w:bCs/>
                <w:snapToGrid w:val="0"/>
                <w:lang w:val="en-GB"/>
              </w:rPr>
              <w:t xml:space="preserve">Changes in the </w:t>
            </w:r>
            <w:proofErr w:type="spellStart"/>
            <w:r w:rsidR="00EC56D2">
              <w:rPr>
                <w:rFonts w:ascii="Arial" w:hAnsi="Arial" w:cs="Arial"/>
                <w:bCs/>
                <w:snapToGrid w:val="0"/>
                <w:lang w:val="en-GB"/>
              </w:rPr>
              <w:t>unresectable</w:t>
            </w:r>
            <w:proofErr w:type="spellEnd"/>
            <w:r w:rsidR="00EC56D2">
              <w:rPr>
                <w:rFonts w:ascii="Arial" w:hAnsi="Arial" w:cs="Arial"/>
                <w:bCs/>
                <w:snapToGrid w:val="0"/>
                <w:lang w:val="en-GB"/>
              </w:rPr>
              <w:t xml:space="preserve"> or metastatic setting would be</w:t>
            </w:r>
            <w:r w:rsidRPr="00E65745">
              <w:rPr>
                <w:rFonts w:ascii="Arial" w:hAnsi="Arial" w:cs="Arial"/>
                <w:bCs/>
                <w:snapToGrid w:val="0"/>
                <w:lang w:val="en-GB"/>
              </w:rPr>
              <w:t xml:space="preserve"> due to patients no longer requiring (due to cure in the adjuvant setting) or no longer being eligible to receive </w:t>
            </w:r>
            <w:r w:rsidR="00B065EE" w:rsidRPr="00E65745">
              <w:rPr>
                <w:rFonts w:ascii="Arial" w:hAnsi="Arial" w:cs="Arial"/>
                <w:bCs/>
                <w:snapToGrid w:val="0"/>
                <w:lang w:val="en-GB"/>
              </w:rPr>
              <w:t xml:space="preserve">treatment </w:t>
            </w:r>
            <w:r w:rsidRPr="00E65745">
              <w:rPr>
                <w:rFonts w:ascii="Arial" w:hAnsi="Arial" w:cs="Arial"/>
                <w:bCs/>
                <w:snapToGrid w:val="0"/>
                <w:lang w:val="en-GB"/>
              </w:rPr>
              <w:t xml:space="preserve">(due to relapse whilst receiving, or within six months of completing adjuvant treatment). </w:t>
            </w:r>
          </w:p>
        </w:tc>
      </w:tr>
      <w:tr w:rsidR="00FC3B7E" w:rsidRPr="00E65745" w14:paraId="101A6C6C" w14:textId="77777777" w:rsidTr="005713B6">
        <w:trPr>
          <w:cantSplit/>
          <w:trHeight w:val="454"/>
        </w:trPr>
        <w:tc>
          <w:tcPr>
            <w:tcW w:w="3071" w:type="dxa"/>
            <w:vMerge/>
            <w:tcMar>
              <w:top w:w="28" w:type="dxa"/>
              <w:bottom w:w="28" w:type="dxa"/>
            </w:tcMar>
          </w:tcPr>
          <w:p w14:paraId="7F96DC2A" w14:textId="77777777" w:rsidR="00FC3B7E" w:rsidRPr="00E65745" w:rsidRDefault="00FC3B7E" w:rsidP="00CA6D1E">
            <w:pPr>
              <w:widowControl w:val="0"/>
              <w:rPr>
                <w:rFonts w:ascii="Arial" w:hAnsi="Arial" w:cs="Arial"/>
                <w:snapToGrid w:val="0"/>
                <w:lang w:eastAsia="en-US"/>
              </w:rPr>
            </w:pPr>
          </w:p>
        </w:tc>
        <w:tc>
          <w:tcPr>
            <w:tcW w:w="2262" w:type="dxa"/>
            <w:vMerge/>
          </w:tcPr>
          <w:p w14:paraId="5989380F" w14:textId="77777777" w:rsidR="00FC3B7E" w:rsidRPr="00E65745" w:rsidRDefault="00FC3B7E" w:rsidP="00CA6D1E">
            <w:pPr>
              <w:widowControl w:val="0"/>
              <w:rPr>
                <w:rFonts w:ascii="Arial" w:hAnsi="Arial" w:cs="Arial"/>
                <w:snapToGrid w:val="0"/>
                <w:lang w:eastAsia="en-US"/>
              </w:rPr>
            </w:pPr>
          </w:p>
        </w:tc>
        <w:tc>
          <w:tcPr>
            <w:tcW w:w="3201" w:type="dxa"/>
            <w:tcMar>
              <w:top w:w="28" w:type="dxa"/>
              <w:bottom w:w="28" w:type="dxa"/>
            </w:tcMar>
          </w:tcPr>
          <w:p w14:paraId="00387A95" w14:textId="77777777" w:rsidR="00FC3B7E" w:rsidRPr="00E65745" w:rsidRDefault="00FC3B7E" w:rsidP="00CA6D1E">
            <w:pPr>
              <w:widowControl w:val="0"/>
              <w:jc w:val="right"/>
              <w:rPr>
                <w:rFonts w:ascii="Arial" w:hAnsi="Arial" w:cs="Arial"/>
                <w:snapToGrid w:val="0"/>
                <w:lang w:eastAsia="en-US"/>
              </w:rPr>
            </w:pPr>
            <w:r w:rsidRPr="00E65745">
              <w:rPr>
                <w:rFonts w:ascii="Arial" w:hAnsi="Arial" w:cs="Arial"/>
                <w:snapToGrid w:val="0"/>
                <w:lang w:eastAsia="en-US"/>
              </w:rPr>
              <w:t>Sponsor’s Comments:</w:t>
            </w:r>
          </w:p>
        </w:tc>
        <w:tc>
          <w:tcPr>
            <w:tcW w:w="7011" w:type="dxa"/>
          </w:tcPr>
          <w:p w14:paraId="11C36585" w14:textId="53C24867" w:rsidR="00FC3B7E" w:rsidRPr="002B034E" w:rsidRDefault="0064173B" w:rsidP="00CA6D1E">
            <w:pPr>
              <w:rPr>
                <w:rFonts w:asciiTheme="minorBidi" w:hAnsiTheme="minorBidi" w:cstheme="minorBidi"/>
              </w:rPr>
            </w:pPr>
            <w:r w:rsidRPr="0064173B">
              <w:rPr>
                <w:rFonts w:asciiTheme="minorBidi" w:hAnsiTheme="minorBidi" w:cstheme="minorBidi"/>
                <w:color w:val="000000"/>
              </w:rPr>
              <w:t>Merck Sharp &amp; Dohme (</w:t>
            </w:r>
            <w:r w:rsidRPr="0064173B">
              <w:rPr>
                <w:rFonts w:asciiTheme="minorBidi" w:hAnsiTheme="minorBidi" w:cstheme="minorBidi"/>
              </w:rPr>
              <w:t xml:space="preserve">MSD) is disappointed </w:t>
            </w:r>
            <w:r>
              <w:rPr>
                <w:rFonts w:asciiTheme="minorBidi" w:hAnsiTheme="minorBidi" w:cstheme="minorBidi"/>
              </w:rPr>
              <w:t xml:space="preserve">with the outcome of </w:t>
            </w:r>
            <w:r w:rsidRPr="0064173B">
              <w:rPr>
                <w:rFonts w:asciiTheme="minorBidi" w:hAnsiTheme="minorBidi" w:cstheme="minorBidi"/>
              </w:rPr>
              <w:t xml:space="preserve">the third PBS submission for </w:t>
            </w:r>
            <w:proofErr w:type="spellStart"/>
            <w:r w:rsidRPr="00E65745">
              <w:rPr>
                <w:rFonts w:ascii="Arial" w:hAnsi="Arial" w:cs="Arial"/>
                <w:color w:val="000000"/>
              </w:rPr>
              <w:t>Keytruda</w:t>
            </w:r>
            <w:proofErr w:type="spellEnd"/>
            <w:r w:rsidRPr="00E65745">
              <w:rPr>
                <w:rFonts w:ascii="Arial" w:hAnsi="Arial" w:cs="Arial"/>
                <w:color w:val="000000"/>
              </w:rPr>
              <w:t>®</w:t>
            </w:r>
            <w:r>
              <w:rPr>
                <w:rFonts w:ascii="Arial" w:hAnsi="Arial" w:cs="Arial"/>
                <w:color w:val="000000"/>
              </w:rPr>
              <w:t xml:space="preserve"> </w:t>
            </w:r>
            <w:r w:rsidR="002B034E">
              <w:rPr>
                <w:rFonts w:asciiTheme="minorBidi" w:hAnsiTheme="minorBidi" w:cstheme="minorBidi"/>
              </w:rPr>
              <w:t xml:space="preserve">as </w:t>
            </w:r>
            <w:r w:rsidRPr="0064173B">
              <w:rPr>
                <w:rFonts w:asciiTheme="minorBidi" w:hAnsiTheme="minorBidi" w:cstheme="minorBidi"/>
              </w:rPr>
              <w:t>adjuvant treatmen</w:t>
            </w:r>
            <w:r w:rsidR="002B034E">
              <w:rPr>
                <w:rFonts w:asciiTheme="minorBidi" w:hAnsiTheme="minorBidi" w:cstheme="minorBidi"/>
              </w:rPr>
              <w:t>t for</w:t>
            </w:r>
            <w:r w:rsidRPr="0064173B">
              <w:rPr>
                <w:rFonts w:asciiTheme="minorBidi" w:hAnsiTheme="minorBidi" w:cstheme="minorBidi"/>
              </w:rPr>
              <w:t xml:space="preserve"> patients with completely resected Stage III malignant melanoma</w:t>
            </w:r>
            <w:r w:rsidR="002B034E">
              <w:rPr>
                <w:rFonts w:asciiTheme="minorBidi" w:hAnsiTheme="minorBidi" w:cstheme="minorBidi"/>
              </w:rPr>
              <w:t>. M</w:t>
            </w:r>
            <w:r w:rsidR="00B036D6">
              <w:rPr>
                <w:rFonts w:asciiTheme="minorBidi" w:hAnsiTheme="minorBidi" w:cstheme="minorBidi"/>
              </w:rPr>
              <w:t>SD welcomes</w:t>
            </w:r>
            <w:r w:rsidR="002B034E">
              <w:rPr>
                <w:rFonts w:asciiTheme="minorBidi" w:hAnsiTheme="minorBidi" w:cstheme="minorBidi"/>
              </w:rPr>
              <w:t xml:space="preserve"> that t</w:t>
            </w:r>
            <w:r w:rsidRPr="0064173B">
              <w:rPr>
                <w:rFonts w:asciiTheme="minorBidi" w:hAnsiTheme="minorBidi" w:cstheme="minorBidi"/>
              </w:rPr>
              <w:t>he PBAC has acknowledged that there is a high clini</w:t>
            </w:r>
            <w:r w:rsidR="000D2129">
              <w:rPr>
                <w:rFonts w:asciiTheme="minorBidi" w:hAnsiTheme="minorBidi" w:cstheme="minorBidi"/>
              </w:rPr>
              <w:t>cal need for effective treatment</w:t>
            </w:r>
            <w:r w:rsidRPr="0064173B">
              <w:rPr>
                <w:rFonts w:asciiTheme="minorBidi" w:hAnsiTheme="minorBidi" w:cstheme="minorBidi"/>
              </w:rPr>
              <w:t xml:space="preserve"> to reduce the risk of recurrence in eligible melanoma patients. While treatments are now available for patients who display a specific </w:t>
            </w:r>
            <w:r>
              <w:rPr>
                <w:rFonts w:asciiTheme="minorBidi" w:hAnsiTheme="minorBidi" w:cstheme="minorBidi"/>
              </w:rPr>
              <w:t xml:space="preserve">BRAF mutation, approximately 62% </w:t>
            </w:r>
            <w:r w:rsidRPr="0064173B">
              <w:rPr>
                <w:rFonts w:asciiTheme="minorBidi" w:hAnsiTheme="minorBidi" w:cstheme="minorBidi"/>
              </w:rPr>
              <w:t>of patients</w:t>
            </w:r>
            <w:r>
              <w:rPr>
                <w:rFonts w:asciiTheme="minorBidi" w:hAnsiTheme="minorBidi" w:cstheme="minorBidi"/>
              </w:rPr>
              <w:t xml:space="preserve"> are not eligible for PBS-subsidised</w:t>
            </w:r>
            <w:r w:rsidR="000D2129">
              <w:rPr>
                <w:rFonts w:asciiTheme="minorBidi" w:hAnsiTheme="minorBidi" w:cstheme="minorBidi"/>
              </w:rPr>
              <w:t xml:space="preserve"> access to adjuvant treatment</w:t>
            </w:r>
            <w:r w:rsidRPr="0064173B">
              <w:rPr>
                <w:rFonts w:asciiTheme="minorBidi" w:hAnsiTheme="minorBidi" w:cstheme="minorBidi"/>
              </w:rPr>
              <w:t xml:space="preserve"> in this setting. MSD will continue to work with the PBAC and the Department of Health on a positive recommendation and PBS listing for this indication.</w:t>
            </w:r>
          </w:p>
        </w:tc>
      </w:tr>
    </w:tbl>
    <w:p w14:paraId="4C6D0016" w14:textId="77777777" w:rsidR="00C26FE5" w:rsidRPr="00B036D6" w:rsidRDefault="00C26FE5" w:rsidP="005A61E8">
      <w:pPr>
        <w:tabs>
          <w:tab w:val="left" w:pos="5210"/>
        </w:tabs>
        <w:rPr>
          <w:rFonts w:ascii="Arial" w:hAnsi="Arial" w:cs="Arial"/>
          <w:sz w:val="2"/>
          <w:szCs w:val="2"/>
        </w:rPr>
      </w:pPr>
    </w:p>
    <w:sectPr w:rsidR="00C26FE5" w:rsidRPr="00B036D6" w:rsidSect="00281EE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B9CB" w14:textId="77777777" w:rsidR="00246F18" w:rsidRDefault="00246F18">
      <w:r>
        <w:separator/>
      </w:r>
    </w:p>
  </w:endnote>
  <w:endnote w:type="continuationSeparator" w:id="0">
    <w:p w14:paraId="50CAB0BB" w14:textId="77777777" w:rsidR="00246F18" w:rsidRDefault="0024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6973" w14:textId="77777777" w:rsidR="00246F18" w:rsidRDefault="00246F1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C6493" w14:textId="77777777" w:rsidR="00246F18" w:rsidRDefault="00246F1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BB92" w14:textId="7C70B2FB" w:rsidR="00246F18" w:rsidRPr="00287C89" w:rsidRDefault="00246F1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ED0F5C">
      <w:rPr>
        <w:rStyle w:val="PageNumber"/>
        <w:rFonts w:ascii="Arial" w:hAnsi="Arial" w:cs="Arial"/>
        <w:noProof/>
      </w:rPr>
      <w:t>3</w:t>
    </w:r>
    <w:r w:rsidRPr="00287C89">
      <w:rPr>
        <w:rStyle w:val="PageNumber"/>
        <w:rFonts w:ascii="Arial" w:hAnsi="Arial" w:cs="Arial"/>
      </w:rPr>
      <w:fldChar w:fldCharType="end"/>
    </w:r>
  </w:p>
  <w:p w14:paraId="4895AC47" w14:textId="77777777" w:rsidR="00246F18" w:rsidRDefault="00246F1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12EA6" w14:textId="77777777" w:rsidR="00CA6D1E" w:rsidRDefault="00CA6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C1ED" w14:textId="77777777" w:rsidR="00246F18" w:rsidRDefault="00246F18">
      <w:r>
        <w:separator/>
      </w:r>
    </w:p>
  </w:footnote>
  <w:footnote w:type="continuationSeparator" w:id="0">
    <w:p w14:paraId="34207613" w14:textId="77777777" w:rsidR="00246F18" w:rsidRDefault="0024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D630E" w14:textId="77777777" w:rsidR="00CA6D1E" w:rsidRDefault="00CA6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E541" w14:textId="4FB54A5B" w:rsidR="00CA6D1E" w:rsidRDefault="00246F18" w:rsidP="00CA6D1E">
    <w:pPr>
      <w:pStyle w:val="Header"/>
      <w:jc w:val="center"/>
      <w:rPr>
        <w:rFonts w:ascii="Arial" w:hAnsi="Arial" w:cs="Arial"/>
        <w:b/>
      </w:rPr>
    </w:pPr>
    <w:r>
      <w:rPr>
        <w:rFonts w:ascii="Arial" w:hAnsi="Arial" w:cs="Arial"/>
        <w:b/>
      </w:rPr>
      <w:t xml:space="preserve">NOVEMBER 2019 </w:t>
    </w:r>
    <w:r w:rsidRPr="00BB0500">
      <w:rPr>
        <w:rFonts w:ascii="Arial" w:hAnsi="Arial" w:cs="Arial"/>
        <w:b/>
      </w:rPr>
      <w:t xml:space="preserve">PBAC OUTCOMES </w:t>
    </w:r>
    <w:r w:rsidR="00CA6D1E">
      <w:rPr>
        <w:rFonts w:ascii="Arial" w:hAnsi="Arial" w:cs="Arial"/>
        <w:b/>
      </w:rPr>
      <w:t>–</w:t>
    </w:r>
    <w:r w:rsidRPr="00BB0500">
      <w:rPr>
        <w:rFonts w:ascii="Arial" w:hAnsi="Arial" w:cs="Arial"/>
        <w:b/>
      </w:rPr>
      <w:t xml:space="preserve"> DEFERRALS</w:t>
    </w:r>
  </w:p>
  <w:p w14:paraId="78F25335" w14:textId="77777777" w:rsidR="00CA6D1E" w:rsidRPr="00BB0500" w:rsidRDefault="00CA6D1E" w:rsidP="00CA6D1E">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91FD" w14:textId="77777777" w:rsidR="00CA6D1E" w:rsidRDefault="00C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A4"/>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0C47"/>
    <w:rsid w:val="0001152D"/>
    <w:rsid w:val="000118E3"/>
    <w:rsid w:val="00011EA7"/>
    <w:rsid w:val="000120D3"/>
    <w:rsid w:val="00012454"/>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724"/>
    <w:rsid w:val="00031946"/>
    <w:rsid w:val="000322EC"/>
    <w:rsid w:val="00032AB9"/>
    <w:rsid w:val="00033D0B"/>
    <w:rsid w:val="00034086"/>
    <w:rsid w:val="00034121"/>
    <w:rsid w:val="000350A9"/>
    <w:rsid w:val="00035472"/>
    <w:rsid w:val="000365B0"/>
    <w:rsid w:val="00036CF7"/>
    <w:rsid w:val="00037E7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08BD"/>
    <w:rsid w:val="000A108A"/>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5C6"/>
    <w:rsid w:val="000B5B24"/>
    <w:rsid w:val="000B6487"/>
    <w:rsid w:val="000B7A91"/>
    <w:rsid w:val="000B7F45"/>
    <w:rsid w:val="000C040A"/>
    <w:rsid w:val="000C0497"/>
    <w:rsid w:val="000C0C68"/>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129"/>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AB"/>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173"/>
    <w:rsid w:val="00114588"/>
    <w:rsid w:val="001149B9"/>
    <w:rsid w:val="00114A58"/>
    <w:rsid w:val="00114D12"/>
    <w:rsid w:val="00115629"/>
    <w:rsid w:val="001158B6"/>
    <w:rsid w:val="00115B67"/>
    <w:rsid w:val="00115FC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F2E"/>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09CA"/>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6C44"/>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2757"/>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22B"/>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251"/>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6F18"/>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448C"/>
    <w:rsid w:val="00285478"/>
    <w:rsid w:val="0028663C"/>
    <w:rsid w:val="00287C89"/>
    <w:rsid w:val="002905B5"/>
    <w:rsid w:val="002915DE"/>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34E"/>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D6D02"/>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AAF"/>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98A"/>
    <w:rsid w:val="003C2F43"/>
    <w:rsid w:val="003C32FC"/>
    <w:rsid w:val="003C49A9"/>
    <w:rsid w:val="003C4EBE"/>
    <w:rsid w:val="003C558C"/>
    <w:rsid w:val="003C56DF"/>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5E8"/>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28F"/>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1FA"/>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01C6"/>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28F"/>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A780D"/>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0FBA"/>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FEA"/>
    <w:rsid w:val="004E53B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59D2"/>
    <w:rsid w:val="0051769B"/>
    <w:rsid w:val="0052052F"/>
    <w:rsid w:val="00520571"/>
    <w:rsid w:val="00522017"/>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7DB"/>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3B6"/>
    <w:rsid w:val="00571640"/>
    <w:rsid w:val="00571902"/>
    <w:rsid w:val="0057194C"/>
    <w:rsid w:val="00571CC5"/>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61E8"/>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43B6"/>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6A3"/>
    <w:rsid w:val="00626CAC"/>
    <w:rsid w:val="0062718A"/>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173B"/>
    <w:rsid w:val="00642351"/>
    <w:rsid w:val="006424F7"/>
    <w:rsid w:val="00642C32"/>
    <w:rsid w:val="006433D0"/>
    <w:rsid w:val="00643467"/>
    <w:rsid w:val="00643A31"/>
    <w:rsid w:val="00643AAE"/>
    <w:rsid w:val="00644A9F"/>
    <w:rsid w:val="00644C4D"/>
    <w:rsid w:val="00646BA0"/>
    <w:rsid w:val="00646F54"/>
    <w:rsid w:val="0065002D"/>
    <w:rsid w:val="00650254"/>
    <w:rsid w:val="006502BB"/>
    <w:rsid w:val="006515EF"/>
    <w:rsid w:val="0065234B"/>
    <w:rsid w:val="006530E2"/>
    <w:rsid w:val="006535DE"/>
    <w:rsid w:val="00653E50"/>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037"/>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13E"/>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687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9B9"/>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64"/>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083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73C"/>
    <w:rsid w:val="00786ED4"/>
    <w:rsid w:val="0078716F"/>
    <w:rsid w:val="007873C8"/>
    <w:rsid w:val="0078793D"/>
    <w:rsid w:val="00790F50"/>
    <w:rsid w:val="00791374"/>
    <w:rsid w:val="00792B66"/>
    <w:rsid w:val="0079352C"/>
    <w:rsid w:val="00793B34"/>
    <w:rsid w:val="00793B84"/>
    <w:rsid w:val="00793D87"/>
    <w:rsid w:val="0079400F"/>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33C"/>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BC4"/>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6E66"/>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57FAF"/>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1A8"/>
    <w:rsid w:val="00880EFA"/>
    <w:rsid w:val="00881705"/>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86C"/>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290"/>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0E43"/>
    <w:rsid w:val="008F142D"/>
    <w:rsid w:val="008F1674"/>
    <w:rsid w:val="008F192D"/>
    <w:rsid w:val="008F2699"/>
    <w:rsid w:val="008F3FE5"/>
    <w:rsid w:val="008F42D7"/>
    <w:rsid w:val="008F4382"/>
    <w:rsid w:val="008F4CE7"/>
    <w:rsid w:val="008F5536"/>
    <w:rsid w:val="008F6537"/>
    <w:rsid w:val="008F7BE4"/>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592D"/>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125"/>
    <w:rsid w:val="00964583"/>
    <w:rsid w:val="00964775"/>
    <w:rsid w:val="00964ACE"/>
    <w:rsid w:val="009659F8"/>
    <w:rsid w:val="009664CB"/>
    <w:rsid w:val="00966CC0"/>
    <w:rsid w:val="009671A1"/>
    <w:rsid w:val="0097179C"/>
    <w:rsid w:val="0097191C"/>
    <w:rsid w:val="0097198A"/>
    <w:rsid w:val="00972CFF"/>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0D86"/>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321"/>
    <w:rsid w:val="00994F4D"/>
    <w:rsid w:val="0099582B"/>
    <w:rsid w:val="00995DAF"/>
    <w:rsid w:val="00995FC3"/>
    <w:rsid w:val="00996AA6"/>
    <w:rsid w:val="00997230"/>
    <w:rsid w:val="009A0274"/>
    <w:rsid w:val="009A035E"/>
    <w:rsid w:val="009A0B93"/>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62D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57E65"/>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1F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5D9F"/>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0B4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36D6"/>
    <w:rsid w:val="00B0432F"/>
    <w:rsid w:val="00B043ED"/>
    <w:rsid w:val="00B054FF"/>
    <w:rsid w:val="00B05CB6"/>
    <w:rsid w:val="00B0633F"/>
    <w:rsid w:val="00B065EE"/>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95F"/>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121"/>
    <w:rsid w:val="00B46847"/>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8C7"/>
    <w:rsid w:val="00B65CBD"/>
    <w:rsid w:val="00B66802"/>
    <w:rsid w:val="00B66E47"/>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138"/>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5AB"/>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4BD"/>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246"/>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DFB"/>
    <w:rsid w:val="00C70FAE"/>
    <w:rsid w:val="00C71284"/>
    <w:rsid w:val="00C72DD5"/>
    <w:rsid w:val="00C733A6"/>
    <w:rsid w:val="00C737B0"/>
    <w:rsid w:val="00C73D39"/>
    <w:rsid w:val="00C7675A"/>
    <w:rsid w:val="00C76E9D"/>
    <w:rsid w:val="00C816DF"/>
    <w:rsid w:val="00C820EE"/>
    <w:rsid w:val="00C83656"/>
    <w:rsid w:val="00C84713"/>
    <w:rsid w:val="00C84758"/>
    <w:rsid w:val="00C853AB"/>
    <w:rsid w:val="00C85F72"/>
    <w:rsid w:val="00C86896"/>
    <w:rsid w:val="00C876E1"/>
    <w:rsid w:val="00C908A9"/>
    <w:rsid w:val="00C908BE"/>
    <w:rsid w:val="00C91507"/>
    <w:rsid w:val="00C92158"/>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D1E"/>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2F3"/>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A1"/>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A7"/>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6DEC"/>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26E6"/>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875"/>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5745"/>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170"/>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3FCE"/>
    <w:rsid w:val="00E94584"/>
    <w:rsid w:val="00E95C26"/>
    <w:rsid w:val="00E95CEA"/>
    <w:rsid w:val="00E967F1"/>
    <w:rsid w:val="00E97FE2"/>
    <w:rsid w:val="00EA08E8"/>
    <w:rsid w:val="00EA0F7E"/>
    <w:rsid w:val="00EA1903"/>
    <w:rsid w:val="00EA1A5A"/>
    <w:rsid w:val="00EA2FC0"/>
    <w:rsid w:val="00EA3151"/>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0F4D"/>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56D2"/>
    <w:rsid w:val="00EC6178"/>
    <w:rsid w:val="00EC65DD"/>
    <w:rsid w:val="00EC6A56"/>
    <w:rsid w:val="00EC7166"/>
    <w:rsid w:val="00EC7CAC"/>
    <w:rsid w:val="00EC7E78"/>
    <w:rsid w:val="00ED06AD"/>
    <w:rsid w:val="00ED0BED"/>
    <w:rsid w:val="00ED0F5C"/>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4663"/>
    <w:rsid w:val="00EF75A6"/>
    <w:rsid w:val="00F0045E"/>
    <w:rsid w:val="00F006D2"/>
    <w:rsid w:val="00F00724"/>
    <w:rsid w:val="00F00774"/>
    <w:rsid w:val="00F0081B"/>
    <w:rsid w:val="00F01968"/>
    <w:rsid w:val="00F01B22"/>
    <w:rsid w:val="00F01F95"/>
    <w:rsid w:val="00F0256E"/>
    <w:rsid w:val="00F03681"/>
    <w:rsid w:val="00F03E2F"/>
    <w:rsid w:val="00F04D9B"/>
    <w:rsid w:val="00F05AB5"/>
    <w:rsid w:val="00F05BC9"/>
    <w:rsid w:val="00F0608B"/>
    <w:rsid w:val="00F0659C"/>
    <w:rsid w:val="00F06776"/>
    <w:rsid w:val="00F0689D"/>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45"/>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7E"/>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EA4"/>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D2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Numbered para,BulletPoints,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Numbered para Char,BulletPoints Char,Bullet point Char,List Paragraph1 Char,List Paragraph11 Char,Recommendation Char,L Char,Bullet Point Char,Bulletr List Paragraph Char,Content descriptions Char,FooterText Char,List Bullet 1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customStyle="1" w:styleId="2Sections">
    <w:name w:val="2. Sections"/>
    <w:qFormat/>
    <w:rsid w:val="00246F18"/>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246F18"/>
    <w:pPr>
      <w:spacing w:after="120" w:line="240" w:lineRule="auto"/>
      <w:ind w:left="720" w:hanging="720"/>
    </w:pPr>
    <w:rPr>
      <w:rFonts w:asciiTheme="minorHAnsi" w:eastAsiaTheme="minorHAnsi" w:hAnsiTheme="minorHAnsi" w:cstheme="minorBidi"/>
      <w:i/>
      <w:sz w:val="24"/>
      <w:szCs w:val="22"/>
      <w:lang w:val="en-AU" w:eastAsia="en-AU"/>
    </w:rPr>
  </w:style>
  <w:style w:type="paragraph" w:styleId="NoSpacing">
    <w:name w:val="No Spacing"/>
    <w:uiPriority w:val="1"/>
    <w:qFormat/>
    <w:rsid w:val="00FC3B7E"/>
    <w:pPr>
      <w:widowControl w:val="0"/>
      <w:jc w:val="both"/>
    </w:pPr>
    <w:rPr>
      <w:rFonts w:ascii="Arial" w:hAnsi="Arial" w:cs="Arial"/>
      <w:snapToGrid w:val="0"/>
      <w:sz w:val="22"/>
      <w:lang w:eastAsia="en-US"/>
    </w:rPr>
  </w:style>
  <w:style w:type="paragraph" w:customStyle="1" w:styleId="xmsonormal">
    <w:name w:val="x_msonormal"/>
    <w:basedOn w:val="Normal"/>
    <w:rsid w:val="00F0689D"/>
    <w:rPr>
      <w:rFonts w:ascii="Calibri" w:eastAsiaTheme="minorHAnsi" w:hAnsi="Calibri" w:cs="Calibri"/>
      <w:sz w:val="22"/>
      <w:szCs w:val="22"/>
    </w:rPr>
  </w:style>
  <w:style w:type="paragraph" w:styleId="Revision">
    <w:name w:val="Revision"/>
    <w:hidden/>
    <w:uiPriority w:val="99"/>
    <w:semiHidden/>
    <w:rsid w:val="00ED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4494268">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5416587">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5147309">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83806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95649227">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4725438">
      <w:bodyDiv w:val="1"/>
      <w:marLeft w:val="0"/>
      <w:marRight w:val="0"/>
      <w:marTop w:val="0"/>
      <w:marBottom w:val="0"/>
      <w:divBdr>
        <w:top w:val="none" w:sz="0" w:space="0" w:color="auto"/>
        <w:left w:val="none" w:sz="0" w:space="0" w:color="auto"/>
        <w:bottom w:val="none" w:sz="0" w:space="0" w:color="auto"/>
        <w:right w:val="none" w:sz="0" w:space="0" w:color="auto"/>
      </w:divBdr>
    </w:div>
    <w:div w:id="326440692">
      <w:bodyDiv w:val="1"/>
      <w:marLeft w:val="0"/>
      <w:marRight w:val="0"/>
      <w:marTop w:val="0"/>
      <w:marBottom w:val="0"/>
      <w:divBdr>
        <w:top w:val="none" w:sz="0" w:space="0" w:color="auto"/>
        <w:left w:val="none" w:sz="0" w:space="0" w:color="auto"/>
        <w:bottom w:val="none" w:sz="0" w:space="0" w:color="auto"/>
        <w:right w:val="none" w:sz="0" w:space="0" w:color="auto"/>
      </w:divBdr>
    </w:div>
    <w:div w:id="331446207">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332423">
      <w:bodyDiv w:val="1"/>
      <w:marLeft w:val="0"/>
      <w:marRight w:val="0"/>
      <w:marTop w:val="0"/>
      <w:marBottom w:val="0"/>
      <w:divBdr>
        <w:top w:val="none" w:sz="0" w:space="0" w:color="auto"/>
        <w:left w:val="none" w:sz="0" w:space="0" w:color="auto"/>
        <w:bottom w:val="none" w:sz="0" w:space="0" w:color="auto"/>
        <w:right w:val="none" w:sz="0" w:space="0" w:color="auto"/>
      </w:divBdr>
    </w:div>
    <w:div w:id="474759852">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948724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05368715">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752699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56905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237491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78709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3823490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804713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57651088">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2379559">
      <w:bodyDiv w:val="1"/>
      <w:marLeft w:val="0"/>
      <w:marRight w:val="0"/>
      <w:marTop w:val="0"/>
      <w:marBottom w:val="0"/>
      <w:divBdr>
        <w:top w:val="none" w:sz="0" w:space="0" w:color="auto"/>
        <w:left w:val="none" w:sz="0" w:space="0" w:color="auto"/>
        <w:bottom w:val="none" w:sz="0" w:space="0" w:color="auto"/>
        <w:right w:val="none" w:sz="0" w:space="0" w:color="auto"/>
      </w:divBdr>
    </w:div>
    <w:div w:id="1183860894">
      <w:bodyDiv w:val="1"/>
      <w:marLeft w:val="0"/>
      <w:marRight w:val="0"/>
      <w:marTop w:val="0"/>
      <w:marBottom w:val="0"/>
      <w:divBdr>
        <w:top w:val="none" w:sz="0" w:space="0" w:color="auto"/>
        <w:left w:val="none" w:sz="0" w:space="0" w:color="auto"/>
        <w:bottom w:val="none" w:sz="0" w:space="0" w:color="auto"/>
        <w:right w:val="none" w:sz="0" w:space="0" w:color="auto"/>
      </w:divBdr>
    </w:div>
    <w:div w:id="1190296574">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2564514">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294429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3912042">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07405821">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6297799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8530773">
      <w:bodyDiv w:val="1"/>
      <w:marLeft w:val="0"/>
      <w:marRight w:val="0"/>
      <w:marTop w:val="0"/>
      <w:marBottom w:val="0"/>
      <w:divBdr>
        <w:top w:val="none" w:sz="0" w:space="0" w:color="auto"/>
        <w:left w:val="none" w:sz="0" w:space="0" w:color="auto"/>
        <w:bottom w:val="none" w:sz="0" w:space="0" w:color="auto"/>
        <w:right w:val="none" w:sz="0" w:space="0" w:color="auto"/>
      </w:divBdr>
    </w:div>
    <w:div w:id="1743718126">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3230407">
      <w:bodyDiv w:val="1"/>
      <w:marLeft w:val="0"/>
      <w:marRight w:val="0"/>
      <w:marTop w:val="0"/>
      <w:marBottom w:val="0"/>
      <w:divBdr>
        <w:top w:val="none" w:sz="0" w:space="0" w:color="auto"/>
        <w:left w:val="none" w:sz="0" w:space="0" w:color="auto"/>
        <w:bottom w:val="none" w:sz="0" w:space="0" w:color="auto"/>
        <w:right w:val="none" w:sz="0" w:space="0" w:color="auto"/>
      </w:divBdr>
    </w:div>
    <w:div w:id="1812746112">
      <w:bodyDiv w:val="1"/>
      <w:marLeft w:val="0"/>
      <w:marRight w:val="0"/>
      <w:marTop w:val="0"/>
      <w:marBottom w:val="0"/>
      <w:divBdr>
        <w:top w:val="none" w:sz="0" w:space="0" w:color="auto"/>
        <w:left w:val="none" w:sz="0" w:space="0" w:color="auto"/>
        <w:bottom w:val="none" w:sz="0" w:space="0" w:color="auto"/>
        <w:right w:val="none" w:sz="0" w:space="0" w:color="auto"/>
      </w:divBdr>
    </w:div>
    <w:div w:id="181352384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8697448">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5515976">
      <w:bodyDiv w:val="1"/>
      <w:marLeft w:val="0"/>
      <w:marRight w:val="0"/>
      <w:marTop w:val="0"/>
      <w:marBottom w:val="0"/>
      <w:divBdr>
        <w:top w:val="none" w:sz="0" w:space="0" w:color="auto"/>
        <w:left w:val="none" w:sz="0" w:space="0" w:color="auto"/>
        <w:bottom w:val="none" w:sz="0" w:space="0" w:color="auto"/>
        <w:right w:val="none" w:sz="0" w:space="0" w:color="auto"/>
      </w:divBdr>
    </w:div>
    <w:div w:id="2110344402">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DC898-F293-4C4D-B38D-16CA4D6C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6462</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2019-12-18T22:33:00Z</dcterms:created>
  <dcterms:modified xsi:type="dcterms:W3CDTF">2019-12-18T22:33:00Z</dcterms:modified>
</cp:coreProperties>
</file>