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268"/>
        <w:gridCol w:w="2988"/>
        <w:gridCol w:w="6758"/>
      </w:tblGrid>
      <w:tr w:rsidR="003D7E12" w:rsidRPr="003D7E12" w14:paraId="61917D71" w14:textId="77777777" w:rsidTr="00D3305E">
        <w:trPr>
          <w:cantSplit/>
          <w:tblHeader/>
        </w:trPr>
        <w:tc>
          <w:tcPr>
            <w:tcW w:w="3509" w:type="dxa"/>
            <w:tcMar>
              <w:top w:w="28" w:type="dxa"/>
              <w:bottom w:w="28" w:type="dxa"/>
            </w:tcMar>
          </w:tcPr>
          <w:p w14:paraId="39F230AB" w14:textId="77777777" w:rsidR="00857CD0" w:rsidRDefault="00857CD0" w:rsidP="00857CD0">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36655E4E" w14:textId="0A6759F1" w:rsidR="003D7E12" w:rsidRPr="003D7E12" w:rsidRDefault="003D7E12" w:rsidP="00857CD0">
            <w:pPr>
              <w:widowControl w:val="0"/>
              <w:jc w:val="center"/>
              <w:rPr>
                <w:rFonts w:ascii="Arial" w:hAnsi="Arial" w:cs="Arial"/>
                <w:b/>
              </w:rPr>
            </w:pPr>
            <w:r w:rsidRPr="003D7E12">
              <w:rPr>
                <w:rFonts w:ascii="Arial" w:hAnsi="Arial" w:cs="Arial"/>
                <w:b/>
              </w:rPr>
              <w:t>TYPE OF SUBMISSION</w:t>
            </w:r>
          </w:p>
        </w:tc>
        <w:tc>
          <w:tcPr>
            <w:tcW w:w="2268" w:type="dxa"/>
            <w:tcMar>
              <w:top w:w="28" w:type="dxa"/>
              <w:bottom w:w="28" w:type="dxa"/>
            </w:tcMar>
          </w:tcPr>
          <w:p w14:paraId="4656B5EF" w14:textId="1CC31955" w:rsidR="003D7E12" w:rsidRPr="00857CD0" w:rsidRDefault="003D7E12" w:rsidP="00857CD0">
            <w:pPr>
              <w:widowControl w:val="0"/>
              <w:jc w:val="center"/>
              <w:rPr>
                <w:rFonts w:ascii="Arial" w:hAnsi="Arial" w:cs="Arial"/>
                <w:b/>
                <w:snapToGrid w:val="0"/>
                <w:lang w:eastAsia="en-US"/>
              </w:rPr>
            </w:pPr>
            <w:r w:rsidRPr="003D7E12">
              <w:rPr>
                <w:rFonts w:ascii="Arial" w:hAnsi="Arial" w:cs="Arial"/>
                <w:b/>
                <w:snapToGrid w:val="0"/>
                <w:lang w:eastAsia="en-US"/>
              </w:rPr>
              <w:t>DRUG TYPE OR USE</w:t>
            </w:r>
          </w:p>
        </w:tc>
        <w:tc>
          <w:tcPr>
            <w:tcW w:w="2988" w:type="dxa"/>
            <w:tcMar>
              <w:top w:w="28" w:type="dxa"/>
              <w:bottom w:w="28" w:type="dxa"/>
            </w:tcMar>
          </w:tcPr>
          <w:p w14:paraId="7B86444B" w14:textId="7042A69F" w:rsidR="003D7E12" w:rsidRPr="00857CD0" w:rsidRDefault="003D7E12" w:rsidP="00857CD0">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F9784E" w:rsidRPr="003D7E12" w14:paraId="52BEFA6B" w14:textId="77777777" w:rsidTr="00C46EC1">
        <w:trPr>
          <w:cantSplit/>
        </w:trPr>
        <w:tc>
          <w:tcPr>
            <w:tcW w:w="3509" w:type="dxa"/>
            <w:tcMar>
              <w:top w:w="28" w:type="dxa"/>
              <w:bottom w:w="28" w:type="dxa"/>
            </w:tcMar>
          </w:tcPr>
          <w:p w14:paraId="6669E8E2" w14:textId="785B66D2" w:rsidR="00A66959" w:rsidRPr="00F9784E" w:rsidRDefault="00A66959" w:rsidP="00A66959">
            <w:pPr>
              <w:widowControl w:val="0"/>
              <w:rPr>
                <w:rFonts w:ascii="Arial" w:hAnsi="Arial" w:cs="Arial"/>
              </w:rPr>
            </w:pPr>
            <w:r>
              <w:rPr>
                <w:rFonts w:ascii="Arial" w:hAnsi="Arial" w:cs="Arial"/>
              </w:rPr>
              <w:t xml:space="preserve">Matters relating to PBS utilisation review: Proton Pump Inhibitors (PPIs) </w:t>
            </w:r>
          </w:p>
          <w:p w14:paraId="081817D9" w14:textId="220537F0" w:rsidR="00F9784E" w:rsidRPr="00F9784E" w:rsidRDefault="00F9784E" w:rsidP="00F9784E">
            <w:pPr>
              <w:widowControl w:val="0"/>
              <w:rPr>
                <w:rFonts w:ascii="Arial" w:hAnsi="Arial" w:cs="Arial"/>
              </w:rPr>
            </w:pPr>
          </w:p>
          <w:p w14:paraId="1FCD0EEE" w14:textId="39E8222A" w:rsidR="00A66959" w:rsidRDefault="00A66959" w:rsidP="00F9784E">
            <w:pPr>
              <w:pStyle w:val="Default"/>
              <w:rPr>
                <w:rFonts w:ascii="Arial" w:hAnsi="Arial" w:cs="Arial"/>
                <w:color w:val="auto"/>
                <w:sz w:val="20"/>
                <w:szCs w:val="20"/>
              </w:rPr>
            </w:pPr>
            <w:r>
              <w:rPr>
                <w:rFonts w:ascii="Arial" w:hAnsi="Arial" w:cs="Arial"/>
                <w:color w:val="auto"/>
                <w:sz w:val="20"/>
                <w:szCs w:val="20"/>
              </w:rPr>
              <w:t>ESOMEPRAZOLE</w:t>
            </w:r>
          </w:p>
          <w:p w14:paraId="1973773B" w14:textId="77777777" w:rsidR="00A66959" w:rsidRDefault="00A66959" w:rsidP="00F9784E">
            <w:pPr>
              <w:pStyle w:val="Default"/>
              <w:rPr>
                <w:rFonts w:ascii="Arial" w:hAnsi="Arial" w:cs="Arial"/>
                <w:color w:val="auto"/>
                <w:sz w:val="20"/>
                <w:szCs w:val="20"/>
              </w:rPr>
            </w:pPr>
          </w:p>
          <w:p w14:paraId="55D4FA8F" w14:textId="03831A3B" w:rsidR="00A66959" w:rsidRDefault="00A66959" w:rsidP="00F9784E">
            <w:pPr>
              <w:pStyle w:val="Default"/>
              <w:rPr>
                <w:rFonts w:ascii="Arial" w:hAnsi="Arial" w:cs="Arial"/>
                <w:color w:val="auto"/>
                <w:sz w:val="20"/>
                <w:szCs w:val="20"/>
              </w:rPr>
            </w:pPr>
            <w:r>
              <w:rPr>
                <w:rFonts w:ascii="Arial" w:hAnsi="Arial" w:cs="Arial"/>
                <w:color w:val="auto"/>
                <w:sz w:val="20"/>
                <w:szCs w:val="20"/>
              </w:rPr>
              <w:t>LANSOPRAZOLE</w:t>
            </w:r>
            <w:r w:rsidR="00F9784E" w:rsidRPr="00F9784E">
              <w:rPr>
                <w:rFonts w:ascii="Arial" w:hAnsi="Arial" w:cs="Arial"/>
                <w:color w:val="auto"/>
                <w:sz w:val="20"/>
                <w:szCs w:val="20"/>
              </w:rPr>
              <w:t xml:space="preserve"> </w:t>
            </w:r>
          </w:p>
          <w:p w14:paraId="09C7F445" w14:textId="77777777" w:rsidR="00A66959" w:rsidRDefault="00A66959" w:rsidP="00F9784E">
            <w:pPr>
              <w:pStyle w:val="Default"/>
              <w:rPr>
                <w:rFonts w:ascii="Arial" w:hAnsi="Arial" w:cs="Arial"/>
                <w:color w:val="auto"/>
                <w:sz w:val="20"/>
                <w:szCs w:val="20"/>
              </w:rPr>
            </w:pPr>
          </w:p>
          <w:p w14:paraId="0E758D5E" w14:textId="58B74466" w:rsidR="00A66959" w:rsidRDefault="00A66959" w:rsidP="00F9784E">
            <w:pPr>
              <w:pStyle w:val="Default"/>
              <w:rPr>
                <w:rFonts w:ascii="Arial" w:hAnsi="Arial" w:cs="Arial"/>
                <w:color w:val="auto"/>
                <w:sz w:val="20"/>
                <w:szCs w:val="20"/>
              </w:rPr>
            </w:pPr>
            <w:r>
              <w:rPr>
                <w:rFonts w:ascii="Arial" w:hAnsi="Arial" w:cs="Arial"/>
                <w:color w:val="auto"/>
                <w:sz w:val="20"/>
                <w:szCs w:val="20"/>
              </w:rPr>
              <w:t>OMEPRAZOLE</w:t>
            </w:r>
          </w:p>
          <w:p w14:paraId="4D73D6F9" w14:textId="77777777" w:rsidR="00A66959" w:rsidRDefault="00A66959" w:rsidP="00F9784E">
            <w:pPr>
              <w:pStyle w:val="Default"/>
              <w:rPr>
                <w:rFonts w:ascii="Arial" w:hAnsi="Arial" w:cs="Arial"/>
                <w:color w:val="auto"/>
                <w:sz w:val="20"/>
                <w:szCs w:val="20"/>
              </w:rPr>
            </w:pPr>
          </w:p>
          <w:p w14:paraId="6DC46917" w14:textId="622C02C9" w:rsidR="00A66959" w:rsidRDefault="00A66959" w:rsidP="00F9784E">
            <w:pPr>
              <w:pStyle w:val="Default"/>
              <w:rPr>
                <w:rFonts w:ascii="Arial" w:hAnsi="Arial" w:cs="Arial"/>
                <w:color w:val="auto"/>
                <w:sz w:val="20"/>
                <w:szCs w:val="20"/>
              </w:rPr>
            </w:pPr>
            <w:r>
              <w:rPr>
                <w:rFonts w:ascii="Arial" w:hAnsi="Arial" w:cs="Arial"/>
                <w:color w:val="auto"/>
                <w:sz w:val="20"/>
                <w:szCs w:val="20"/>
              </w:rPr>
              <w:t>PANTOPRAZOLE</w:t>
            </w:r>
            <w:r w:rsidR="00F9784E" w:rsidRPr="00F9784E">
              <w:rPr>
                <w:rFonts w:ascii="Arial" w:hAnsi="Arial" w:cs="Arial"/>
                <w:color w:val="auto"/>
                <w:sz w:val="20"/>
                <w:szCs w:val="20"/>
              </w:rPr>
              <w:t xml:space="preserve"> </w:t>
            </w:r>
          </w:p>
          <w:p w14:paraId="4323A59D" w14:textId="77777777" w:rsidR="00A66959" w:rsidRDefault="00A66959" w:rsidP="00F9784E">
            <w:pPr>
              <w:pStyle w:val="Default"/>
              <w:rPr>
                <w:rFonts w:ascii="Arial" w:hAnsi="Arial" w:cs="Arial"/>
                <w:color w:val="auto"/>
                <w:sz w:val="20"/>
                <w:szCs w:val="20"/>
              </w:rPr>
            </w:pPr>
          </w:p>
          <w:p w14:paraId="1F5788F8" w14:textId="701079F5" w:rsidR="00F9784E" w:rsidRPr="00F9784E" w:rsidRDefault="00F9784E" w:rsidP="00F9784E">
            <w:pPr>
              <w:pStyle w:val="Default"/>
              <w:rPr>
                <w:rFonts w:ascii="Arial" w:hAnsi="Arial" w:cs="Arial"/>
                <w:color w:val="auto"/>
                <w:sz w:val="20"/>
                <w:szCs w:val="20"/>
              </w:rPr>
            </w:pPr>
            <w:r w:rsidRPr="00F9784E">
              <w:rPr>
                <w:rFonts w:ascii="Arial" w:hAnsi="Arial" w:cs="Arial"/>
                <w:color w:val="auto"/>
                <w:sz w:val="20"/>
                <w:szCs w:val="20"/>
              </w:rPr>
              <w:t xml:space="preserve">RABEPRAZOLE </w:t>
            </w:r>
          </w:p>
          <w:p w14:paraId="7C2E6137" w14:textId="77777777" w:rsidR="00F9784E" w:rsidRPr="00F9784E" w:rsidRDefault="00F9784E" w:rsidP="00F9784E">
            <w:pPr>
              <w:widowControl w:val="0"/>
              <w:rPr>
                <w:rFonts w:ascii="Arial" w:hAnsi="Arial" w:cs="Arial"/>
              </w:rPr>
            </w:pPr>
          </w:p>
          <w:p w14:paraId="7BF54FD6" w14:textId="77777777" w:rsidR="00A66959" w:rsidRDefault="00F9784E" w:rsidP="00F9784E">
            <w:pPr>
              <w:widowControl w:val="0"/>
              <w:rPr>
                <w:rFonts w:ascii="Arial" w:hAnsi="Arial" w:cs="Arial"/>
              </w:rPr>
            </w:pPr>
            <w:r w:rsidRPr="00F9784E">
              <w:rPr>
                <w:rFonts w:ascii="Arial" w:hAnsi="Arial" w:cs="Arial"/>
              </w:rPr>
              <w:t>(All current and previously listed brands, including generic versions)</w:t>
            </w:r>
          </w:p>
          <w:p w14:paraId="5A869426" w14:textId="77777777" w:rsidR="00A66959" w:rsidRDefault="00A66959" w:rsidP="00F9784E">
            <w:pPr>
              <w:widowControl w:val="0"/>
              <w:rPr>
                <w:rFonts w:ascii="Arial" w:hAnsi="Arial" w:cs="Arial"/>
              </w:rPr>
            </w:pPr>
          </w:p>
          <w:p w14:paraId="307506EC" w14:textId="3C08201B" w:rsidR="00F9784E" w:rsidRPr="00FA305A" w:rsidRDefault="00A66959" w:rsidP="00F9784E">
            <w:pPr>
              <w:widowControl w:val="0"/>
              <w:rPr>
                <w:rFonts w:ascii="Arial" w:hAnsi="Arial" w:cs="Arial"/>
              </w:rPr>
            </w:pPr>
            <w:r>
              <w:rPr>
                <w:rFonts w:ascii="Arial" w:hAnsi="Arial" w:cs="Arial"/>
              </w:rPr>
              <w:t>Various Sponsors</w:t>
            </w:r>
            <w:r w:rsidR="00F9784E" w:rsidRPr="00F9784E">
              <w:rPr>
                <w:rFonts w:ascii="Arial" w:hAnsi="Arial" w:cs="Arial"/>
              </w:rPr>
              <w:t xml:space="preserve"> </w:t>
            </w:r>
          </w:p>
        </w:tc>
        <w:tc>
          <w:tcPr>
            <w:tcW w:w="2268" w:type="dxa"/>
            <w:tcMar>
              <w:top w:w="28" w:type="dxa"/>
              <w:bottom w:w="28" w:type="dxa"/>
            </w:tcMar>
          </w:tcPr>
          <w:p w14:paraId="4775B1F1" w14:textId="77777777" w:rsidR="00F9784E" w:rsidRPr="00F9784E" w:rsidRDefault="00F9784E" w:rsidP="00F9784E">
            <w:pPr>
              <w:pStyle w:val="Default"/>
              <w:rPr>
                <w:rFonts w:ascii="Arial" w:hAnsi="Arial" w:cs="Arial"/>
                <w:color w:val="auto"/>
                <w:sz w:val="20"/>
                <w:szCs w:val="20"/>
              </w:rPr>
            </w:pPr>
            <w:r w:rsidRPr="00F9784E">
              <w:rPr>
                <w:rFonts w:ascii="Arial" w:hAnsi="Arial" w:cs="Arial"/>
                <w:color w:val="auto"/>
                <w:sz w:val="20"/>
                <w:szCs w:val="20"/>
              </w:rPr>
              <w:t xml:space="preserve">Treatment of gastrointestinal acid related disorders including: gastro-oesophageal reflux disease (GORD), peptic ulcer, hypersecretory conditions including Zollinger-Ellison Syndrome and scleroderma oesophagus. </w:t>
            </w:r>
          </w:p>
          <w:p w14:paraId="1497699F" w14:textId="26C4C7FA" w:rsidR="00F9784E" w:rsidRPr="00FA305A" w:rsidRDefault="00F9784E" w:rsidP="00F9784E">
            <w:pPr>
              <w:widowControl w:val="0"/>
              <w:rPr>
                <w:rFonts w:ascii="Arial" w:hAnsi="Arial" w:cs="Arial"/>
              </w:rPr>
            </w:pPr>
          </w:p>
        </w:tc>
        <w:tc>
          <w:tcPr>
            <w:tcW w:w="2988" w:type="dxa"/>
            <w:tcMar>
              <w:top w:w="28" w:type="dxa"/>
              <w:bottom w:w="28" w:type="dxa"/>
            </w:tcMar>
          </w:tcPr>
          <w:p w14:paraId="093855DA" w14:textId="77777777" w:rsidR="00F9784E" w:rsidRPr="00F9784E" w:rsidRDefault="00F9784E" w:rsidP="00F9784E">
            <w:pPr>
              <w:spacing w:after="120"/>
              <w:rPr>
                <w:rFonts w:ascii="Arial" w:hAnsi="Arial" w:cs="Arial"/>
              </w:rPr>
            </w:pPr>
            <w:r w:rsidRPr="00F9784E">
              <w:rPr>
                <w:rFonts w:ascii="Arial" w:hAnsi="Arial" w:cs="Arial"/>
              </w:rPr>
              <w:t xml:space="preserve">To provide the PBAC with feedback received by the Department concerning changes to PBS restrictions for PPI medicines, implemented on 1 May 2019. </w:t>
            </w:r>
          </w:p>
          <w:p w14:paraId="514243DE" w14:textId="77777777" w:rsidR="00F9784E" w:rsidRPr="00F9784E" w:rsidRDefault="00F9784E" w:rsidP="00F9784E">
            <w:pPr>
              <w:spacing w:after="120"/>
              <w:rPr>
                <w:rFonts w:ascii="Arial" w:hAnsi="Arial" w:cs="Arial"/>
              </w:rPr>
            </w:pPr>
            <w:r w:rsidRPr="00F9784E">
              <w:rPr>
                <w:rFonts w:ascii="Arial" w:hAnsi="Arial" w:cs="Arial"/>
              </w:rPr>
              <w:t xml:space="preserve">To seek the PBAC’s advice on the specific circumstances where the PBS restrictions for standard dose PPI medicines may require amendment to allow twice daily dosing. </w:t>
            </w:r>
          </w:p>
          <w:p w14:paraId="0FBBC318" w14:textId="4A292031" w:rsidR="00F9784E" w:rsidRPr="00FA305A" w:rsidRDefault="00F9784E" w:rsidP="00F9784E">
            <w:pPr>
              <w:widowControl w:val="0"/>
              <w:rPr>
                <w:rFonts w:ascii="Arial" w:hAnsi="Arial" w:cs="Arial"/>
              </w:rPr>
            </w:pPr>
          </w:p>
        </w:tc>
        <w:tc>
          <w:tcPr>
            <w:tcW w:w="6758" w:type="dxa"/>
          </w:tcPr>
          <w:p w14:paraId="7ADB967C" w14:textId="33E76F3D" w:rsidR="00F9784E" w:rsidRPr="00F9784E" w:rsidRDefault="00F9784E" w:rsidP="00F9784E">
            <w:pPr>
              <w:widowControl w:val="0"/>
              <w:rPr>
                <w:rFonts w:ascii="Arial" w:hAnsi="Arial" w:cs="Arial"/>
              </w:rPr>
            </w:pPr>
            <w:r w:rsidRPr="00F9784E">
              <w:rPr>
                <w:rFonts w:ascii="Arial" w:hAnsi="Arial" w:cs="Arial"/>
              </w:rPr>
              <w:t>The PBAC noted the correspondence from clinicians and patients received by the Department as a result of the implementation of PBS restriction changes to the Proton Pump Inhibito</w:t>
            </w:r>
            <w:r w:rsidR="007B03E3">
              <w:rPr>
                <w:rFonts w:ascii="Arial" w:hAnsi="Arial" w:cs="Arial"/>
              </w:rPr>
              <w:t>r (PPI) medicines on 1 May 2019</w:t>
            </w:r>
            <w:bookmarkStart w:id="0" w:name="_GoBack"/>
            <w:bookmarkEnd w:id="0"/>
            <w:r w:rsidRPr="00F9784E">
              <w:rPr>
                <w:rFonts w:ascii="Arial" w:hAnsi="Arial" w:cs="Arial"/>
              </w:rPr>
              <w:t xml:space="preserve">. The PBAC also noted the concerns raised and </w:t>
            </w:r>
            <w:r w:rsidR="00472A8C">
              <w:rPr>
                <w:rFonts w:ascii="Arial" w:hAnsi="Arial" w:cs="Arial"/>
              </w:rPr>
              <w:t>the</w:t>
            </w:r>
            <w:r w:rsidRPr="00F9784E">
              <w:rPr>
                <w:rFonts w:ascii="Arial" w:hAnsi="Arial" w:cs="Arial"/>
              </w:rPr>
              <w:t xml:space="preserve"> issues identified</w:t>
            </w:r>
            <w:r w:rsidR="00C3133F">
              <w:rPr>
                <w:rFonts w:ascii="Arial" w:hAnsi="Arial" w:cs="Arial"/>
              </w:rPr>
              <w:t xml:space="preserve"> and that the feedback</w:t>
            </w:r>
            <w:r w:rsidR="00C3133F" w:rsidRPr="00C3133F">
              <w:rPr>
                <w:rFonts w:ascii="Arial" w:hAnsi="Arial" w:cs="Arial"/>
              </w:rPr>
              <w:t xml:space="preserve"> represented a small proportion of the numbers of new/original PBS prescriptions for PPIs dispensed annually</w:t>
            </w:r>
            <w:r w:rsidRPr="00F9784E">
              <w:rPr>
                <w:rFonts w:ascii="Arial" w:hAnsi="Arial" w:cs="Arial"/>
              </w:rPr>
              <w:t>.</w:t>
            </w:r>
          </w:p>
          <w:p w14:paraId="21D4A705" w14:textId="0FAB6AB3" w:rsidR="00F9784E" w:rsidRPr="00F9784E" w:rsidRDefault="00F9784E" w:rsidP="00F9784E">
            <w:pPr>
              <w:widowControl w:val="0"/>
              <w:rPr>
                <w:rFonts w:ascii="Arial" w:hAnsi="Arial" w:cs="Arial"/>
              </w:rPr>
            </w:pPr>
            <w:r w:rsidRPr="00F9784E">
              <w:rPr>
                <w:rFonts w:ascii="Arial" w:hAnsi="Arial" w:cs="Arial"/>
              </w:rPr>
              <w:t xml:space="preserve">The current PBS PPI restrictions for standard dose PPIs do not allow twice daily dosing. The Australian Therapeutic Guidelines suggest that if high dose therapy is required for symptom therapy in GORD, then the standard dose given twice daily is more effective than a high dose given once daily. </w:t>
            </w:r>
          </w:p>
          <w:p w14:paraId="17FB41A7" w14:textId="77777777" w:rsidR="00F9784E" w:rsidRPr="00F9784E" w:rsidRDefault="00F9784E" w:rsidP="00F9784E">
            <w:pPr>
              <w:widowControl w:val="0"/>
              <w:rPr>
                <w:rFonts w:ascii="Arial" w:hAnsi="Arial" w:cs="Arial"/>
              </w:rPr>
            </w:pPr>
            <w:r w:rsidRPr="00F9784E">
              <w:rPr>
                <w:rFonts w:ascii="Arial" w:hAnsi="Arial" w:cs="Arial"/>
              </w:rPr>
              <w:t xml:space="preserve">The PBAC expressed concern that under the 1 May 2019 revised restrictions there may be some unintended movement of those patients unable to achieve symptom control with standard dose PPIs prescribed daily to the high dose PPI (esomeprazole 40 mg) taken daily. Conversely, the PBAC was also aware that re-allowing PBS-subsidised increased maximum quantities of standard dose PPIs for GORD risks returning to the situation where high daily doses of PPIs were overused for longer than necessary. </w:t>
            </w:r>
          </w:p>
          <w:p w14:paraId="638EF925" w14:textId="77777777" w:rsidR="00F9784E" w:rsidRPr="00F9784E" w:rsidRDefault="00F9784E" w:rsidP="00F9784E">
            <w:pPr>
              <w:widowControl w:val="0"/>
              <w:rPr>
                <w:rFonts w:ascii="Arial" w:hAnsi="Arial" w:cs="Arial"/>
              </w:rPr>
            </w:pPr>
            <w:r w:rsidRPr="00F9784E">
              <w:rPr>
                <w:rFonts w:ascii="Arial" w:hAnsi="Arial" w:cs="Arial"/>
              </w:rPr>
              <w:t xml:space="preserve">The ability for individuals requiring twice daily dosing to be prescribed increased quantities of low dose PPIs remains an option via telephone authority. </w:t>
            </w:r>
          </w:p>
          <w:p w14:paraId="30BA55B4" w14:textId="77777777" w:rsidR="00F9784E" w:rsidRPr="00F9784E" w:rsidRDefault="00F9784E" w:rsidP="00F9784E">
            <w:pPr>
              <w:widowControl w:val="0"/>
              <w:rPr>
                <w:rFonts w:ascii="Arial" w:hAnsi="Arial" w:cs="Arial"/>
              </w:rPr>
            </w:pPr>
            <w:r w:rsidRPr="00F9784E">
              <w:rPr>
                <w:rFonts w:ascii="Arial" w:hAnsi="Arial" w:cs="Arial"/>
              </w:rPr>
              <w:t>The PBAC did not recommend making further changes to the PBS PPI restrictions which have been in place for less than four months at this time. Assessing changes in the utilisation of PPIs according to dose when more PBS data is available would provide more information for determining if subsequent restriction changes are required. Therefore the PBAC agreed to review the concerns raised on a regular basis and requested that the Department continue to monitor the situation and provide an update to the December 2019 PBAC intra-cycle meeting.</w:t>
            </w:r>
          </w:p>
          <w:p w14:paraId="31382A64" w14:textId="1C49B702" w:rsidR="00F9784E" w:rsidRPr="00FA305A" w:rsidRDefault="00F9784E" w:rsidP="00F9784E">
            <w:pPr>
              <w:widowControl w:val="0"/>
              <w:rPr>
                <w:rFonts w:ascii="Arial" w:hAnsi="Arial" w:cs="Arial"/>
              </w:rPr>
            </w:pPr>
            <w:r w:rsidRPr="00F9784E">
              <w:rPr>
                <w:rFonts w:ascii="Arial" w:hAnsi="Arial" w:cs="Arial"/>
              </w:rPr>
              <w:t>The PBAC also requested that the Department liaise with the Gastroenterological Society of Australia (GESA) and the Royal Australian College of General Practitioners (RACGP) for their input on this matter.</w:t>
            </w:r>
          </w:p>
        </w:tc>
      </w:tr>
    </w:tbl>
    <w:p w14:paraId="74DAB237" w14:textId="3E48E7A6" w:rsidR="003D7E12" w:rsidRPr="00FA305A" w:rsidRDefault="003D7E12" w:rsidP="00FA305A">
      <w:pPr>
        <w:tabs>
          <w:tab w:val="left" w:pos="5210"/>
        </w:tabs>
        <w:rPr>
          <w:rFonts w:ascii="Arial" w:hAnsi="Arial" w:cs="Arial"/>
          <w:lang w:val="en-US"/>
        </w:rPr>
      </w:pPr>
    </w:p>
    <w:sectPr w:rsidR="003D7E12" w:rsidRPr="00FA305A" w:rsidSect="009C43A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0AFC86E0"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7B03E3">
      <w:rPr>
        <w:rStyle w:val="PageNumber"/>
        <w:rFonts w:ascii="Arial" w:hAnsi="Arial" w:cs="Arial"/>
        <w:noProof/>
      </w:rPr>
      <w:t>1</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1DB1" w14:textId="77777777" w:rsidR="00883728" w:rsidRDefault="0088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92CB" w14:textId="77777777" w:rsidR="00883728" w:rsidRDefault="0088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56AC7EA3" w:rsidR="003238E9" w:rsidRDefault="00D3305E" w:rsidP="007D408D">
    <w:pPr>
      <w:pStyle w:val="Header"/>
      <w:jc w:val="center"/>
      <w:rPr>
        <w:rFonts w:ascii="Arial" w:hAnsi="Arial" w:cs="Arial"/>
        <w:b/>
        <w:snapToGrid w:val="0"/>
        <w:lang w:eastAsia="en-US"/>
      </w:rPr>
    </w:pPr>
    <w:r>
      <w:rPr>
        <w:rFonts w:ascii="Arial" w:hAnsi="Arial" w:cs="Arial"/>
        <w:b/>
        <w:snapToGrid w:val="0"/>
        <w:lang w:eastAsia="en-US"/>
      </w:rPr>
      <w:t xml:space="preserve">AUGUST </w:t>
    </w:r>
    <w:r w:rsidR="003238E9">
      <w:rPr>
        <w:rFonts w:ascii="Arial" w:hAnsi="Arial" w:cs="Arial"/>
        <w:b/>
        <w:snapToGrid w:val="0"/>
        <w:lang w:eastAsia="en-US"/>
      </w:rPr>
      <w:t>2019 PBAC MEETING –</w:t>
    </w:r>
    <w:r>
      <w:rPr>
        <w:rFonts w:ascii="Arial" w:hAnsi="Arial" w:cs="Arial"/>
        <w:b/>
        <w:snapToGrid w:val="0"/>
        <w:lang w:eastAsia="en-US"/>
      </w:rPr>
      <w:t xml:space="preserve"> </w:t>
    </w:r>
    <w:r w:rsidR="00F66F29">
      <w:rPr>
        <w:rFonts w:ascii="Arial" w:hAnsi="Arial" w:cs="Arial"/>
        <w:b/>
        <w:snapToGrid w:val="0"/>
        <w:lang w:eastAsia="en-US"/>
      </w:rPr>
      <w:t>DEFERRED</w:t>
    </w:r>
    <w:r w:rsidR="00F9784E">
      <w:rPr>
        <w:rFonts w:ascii="Arial" w:hAnsi="Arial" w:cs="Arial"/>
        <w:b/>
        <w:snapToGrid w:val="0"/>
        <w:lang w:eastAsia="en-US"/>
      </w:rPr>
      <w:t xml:space="preserve"> MATTERS</w:t>
    </w:r>
  </w:p>
  <w:p w14:paraId="159E4E12" w14:textId="77777777" w:rsidR="003238E9" w:rsidRDefault="003238E9"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10C1" w14:textId="77777777" w:rsidR="00883728" w:rsidRDefault="0088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21E22"/>
    <w:multiLevelType w:val="hybridMultilevel"/>
    <w:tmpl w:val="A96AB24A"/>
    <w:lvl w:ilvl="0" w:tplc="4810E2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E01BB8"/>
    <w:multiLevelType w:val="hybridMultilevel"/>
    <w:tmpl w:val="CB42444E"/>
    <w:lvl w:ilvl="0" w:tplc="B6B28284">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A2E5BD8"/>
    <w:multiLevelType w:val="hybridMultilevel"/>
    <w:tmpl w:val="381C0966"/>
    <w:lvl w:ilvl="0" w:tplc="D6DC68C0">
      <w:start w:val="1"/>
      <w:numFmt w:val="lowerLetter"/>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1B0CE3"/>
    <w:multiLevelType w:val="hybridMultilevel"/>
    <w:tmpl w:val="6406903C"/>
    <w:lvl w:ilvl="0" w:tplc="FE280AE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CD44A5"/>
    <w:multiLevelType w:val="hybridMultilevel"/>
    <w:tmpl w:val="9120E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F178ED"/>
    <w:multiLevelType w:val="hybridMultilevel"/>
    <w:tmpl w:val="488EDFF6"/>
    <w:lvl w:ilvl="0" w:tplc="7A521848">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493364B5"/>
    <w:multiLevelType w:val="hybridMultilevel"/>
    <w:tmpl w:val="D3EC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82174D"/>
    <w:multiLevelType w:val="hybridMultilevel"/>
    <w:tmpl w:val="D854920C"/>
    <w:lvl w:ilvl="0" w:tplc="762CFA6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92086A"/>
    <w:multiLevelType w:val="hybridMultilevel"/>
    <w:tmpl w:val="07FE071E"/>
    <w:lvl w:ilvl="0" w:tplc="3C921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776C67"/>
    <w:multiLevelType w:val="hybridMultilevel"/>
    <w:tmpl w:val="00C8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4"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51"/>
  </w:num>
  <w:num w:numId="3">
    <w:abstractNumId w:val="50"/>
  </w:num>
  <w:num w:numId="4">
    <w:abstractNumId w:val="36"/>
  </w:num>
  <w:num w:numId="5">
    <w:abstractNumId w:val="28"/>
  </w:num>
  <w:num w:numId="6">
    <w:abstractNumId w:val="10"/>
  </w:num>
  <w:num w:numId="7">
    <w:abstractNumId w:val="5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5"/>
  </w:num>
  <w:num w:numId="12">
    <w:abstractNumId w:val="54"/>
  </w:num>
  <w:num w:numId="13">
    <w:abstractNumId w:val="11"/>
  </w:num>
  <w:num w:numId="14">
    <w:abstractNumId w:val="41"/>
  </w:num>
  <w:num w:numId="15">
    <w:abstractNumId w:val="17"/>
  </w:num>
  <w:num w:numId="16">
    <w:abstractNumId w:val="44"/>
  </w:num>
  <w:num w:numId="17">
    <w:abstractNumId w:val="2"/>
  </w:num>
  <w:num w:numId="18">
    <w:abstractNumId w:val="4"/>
  </w:num>
  <w:num w:numId="19">
    <w:abstractNumId w:val="18"/>
  </w:num>
  <w:num w:numId="20">
    <w:abstractNumId w:val="48"/>
  </w:num>
  <w:num w:numId="21">
    <w:abstractNumId w:val="39"/>
  </w:num>
  <w:num w:numId="22">
    <w:abstractNumId w:val="47"/>
  </w:num>
  <w:num w:numId="23">
    <w:abstractNumId w:val="1"/>
  </w:num>
  <w:num w:numId="24">
    <w:abstractNumId w:val="7"/>
  </w:num>
  <w:num w:numId="25">
    <w:abstractNumId w:val="43"/>
  </w:num>
  <w:num w:numId="26">
    <w:abstractNumId w:val="53"/>
  </w:num>
  <w:num w:numId="27">
    <w:abstractNumId w:val="23"/>
  </w:num>
  <w:num w:numId="28">
    <w:abstractNumId w:val="5"/>
  </w:num>
  <w:num w:numId="29">
    <w:abstractNumId w:val="16"/>
  </w:num>
  <w:num w:numId="30">
    <w:abstractNumId w:val="19"/>
  </w:num>
  <w:num w:numId="31">
    <w:abstractNumId w:val="32"/>
  </w:num>
  <w:num w:numId="32">
    <w:abstractNumId w:val="30"/>
  </w:num>
  <w:num w:numId="33">
    <w:abstractNumId w:val="45"/>
  </w:num>
  <w:num w:numId="34">
    <w:abstractNumId w:val="37"/>
  </w:num>
  <w:num w:numId="35">
    <w:abstractNumId w:val="25"/>
  </w:num>
  <w:num w:numId="36">
    <w:abstractNumId w:val="20"/>
  </w:num>
  <w:num w:numId="37">
    <w:abstractNumId w:val="22"/>
  </w:num>
  <w:num w:numId="38">
    <w:abstractNumId w:val="49"/>
  </w:num>
  <w:num w:numId="39">
    <w:abstractNumId w:val="6"/>
  </w:num>
  <w:num w:numId="40">
    <w:abstractNumId w:val="9"/>
  </w:num>
  <w:num w:numId="41">
    <w:abstractNumId w:val="31"/>
  </w:num>
  <w:num w:numId="42">
    <w:abstractNumId w:val="14"/>
  </w:num>
  <w:num w:numId="43">
    <w:abstractNumId w:val="35"/>
  </w:num>
  <w:num w:numId="44">
    <w:abstractNumId w:val="13"/>
  </w:num>
  <w:num w:numId="45">
    <w:abstractNumId w:val="8"/>
  </w:num>
  <w:num w:numId="46">
    <w:abstractNumId w:val="33"/>
  </w:num>
  <w:num w:numId="47">
    <w:abstractNumId w:val="3"/>
  </w:num>
  <w:num w:numId="48">
    <w:abstractNumId w:val="38"/>
  </w:num>
  <w:num w:numId="49">
    <w:abstractNumId w:val="46"/>
  </w:num>
  <w:num w:numId="50">
    <w:abstractNumId w:val="21"/>
  </w:num>
  <w:num w:numId="51">
    <w:abstractNumId w:val="42"/>
  </w:num>
  <w:num w:numId="52">
    <w:abstractNumId w:val="26"/>
  </w:num>
  <w:num w:numId="53">
    <w:abstractNumId w:val="34"/>
  </w:num>
  <w:num w:numId="54">
    <w:abstractNumId w:val="27"/>
  </w:num>
  <w:num w:numId="55">
    <w:abstractNumId w:val="15"/>
  </w:num>
  <w:num w:numId="56">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A8C"/>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6FCF"/>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1C56"/>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3AA"/>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3E3"/>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CD0"/>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72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1EB1"/>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4593"/>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3F33"/>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959"/>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6B9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0737"/>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33F"/>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E5"/>
    <w:rsid w:val="00F65D31"/>
    <w:rsid w:val="00F666A7"/>
    <w:rsid w:val="00F66A2E"/>
    <w:rsid w:val="00F66F29"/>
    <w:rsid w:val="00F67C31"/>
    <w:rsid w:val="00F67F09"/>
    <w:rsid w:val="00F706A0"/>
    <w:rsid w:val="00F708C0"/>
    <w:rsid w:val="00F709F5"/>
    <w:rsid w:val="00F717CC"/>
    <w:rsid w:val="00F72F51"/>
    <w:rsid w:val="00F73999"/>
    <w:rsid w:val="00F73AB3"/>
    <w:rsid w:val="00F73AB7"/>
    <w:rsid w:val="00F73BBF"/>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84E"/>
    <w:rsid w:val="00F97A19"/>
    <w:rsid w:val="00FA068B"/>
    <w:rsid w:val="00FA0B65"/>
    <w:rsid w:val="00FA1665"/>
    <w:rsid w:val="00FA1B1B"/>
    <w:rsid w:val="00FA2534"/>
    <w:rsid w:val="00FA2BC2"/>
    <w:rsid w:val="00FA305A"/>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styleId="FootnoteText">
    <w:name w:val="footnote text"/>
    <w:basedOn w:val="Normal"/>
    <w:link w:val="FootnoteTextChar"/>
    <w:semiHidden/>
    <w:unhideWhenUsed/>
    <w:rsid w:val="00F9784E"/>
  </w:style>
  <w:style w:type="character" w:customStyle="1" w:styleId="FootnoteTextChar">
    <w:name w:val="Footnote Text Char"/>
    <w:basedOn w:val="DefaultParagraphFont"/>
    <w:link w:val="FootnoteText"/>
    <w:semiHidden/>
    <w:rsid w:val="00F9784E"/>
  </w:style>
  <w:style w:type="character" w:styleId="FootnoteReference">
    <w:name w:val="footnote reference"/>
    <w:basedOn w:val="DefaultParagraphFont"/>
    <w:semiHidden/>
    <w:unhideWhenUsed/>
    <w:rsid w:val="00F97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6808830">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4644933">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16062064">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013130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2388880">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4735466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9301211">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05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7467-DB32-4454-8FE9-250E7BF6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2019-10-02T07:44:00Z</dcterms:created>
  <dcterms:modified xsi:type="dcterms:W3CDTF">2019-10-03T03:46:00Z</dcterms:modified>
</cp:coreProperties>
</file>