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126"/>
        <w:gridCol w:w="3827"/>
        <w:gridCol w:w="5245"/>
      </w:tblGrid>
      <w:tr w:rsidR="0010394D" w:rsidRPr="00372FDE" w14:paraId="704C1A44" w14:textId="77777777" w:rsidTr="000805C6">
        <w:trPr>
          <w:tblHeader/>
        </w:trPr>
        <w:tc>
          <w:tcPr>
            <w:tcW w:w="2127" w:type="dxa"/>
          </w:tcPr>
          <w:p w14:paraId="6219EDBF" w14:textId="77777777" w:rsidR="0010394D" w:rsidRPr="00372FDE" w:rsidRDefault="001047FA" w:rsidP="001047FA">
            <w:pPr>
              <w:pStyle w:val="Header"/>
              <w:spacing w:after="240"/>
              <w:contextualSpacing/>
              <w:jc w:val="center"/>
              <w:rPr>
                <w:rFonts w:ascii="Arial" w:hAnsi="Arial" w:cs="Arial"/>
                <w:b/>
                <w:snapToGrid w:val="0"/>
                <w:sz w:val="20"/>
                <w:lang w:eastAsia="en-US"/>
              </w:rPr>
            </w:pPr>
            <w:r w:rsidRPr="00372FDE">
              <w:rPr>
                <w:rFonts w:ascii="Arial" w:hAnsi="Arial" w:cs="Arial"/>
                <w:b/>
                <w:snapToGrid w:val="0"/>
                <w:sz w:val="20"/>
                <w:lang w:eastAsia="en-US"/>
              </w:rPr>
              <w:t>DRUG NAME, FORM(S), STRENGTH(S), SPONSOR, TYPE OF SUBMISSION</w:t>
            </w:r>
          </w:p>
        </w:tc>
        <w:tc>
          <w:tcPr>
            <w:tcW w:w="2126" w:type="dxa"/>
          </w:tcPr>
          <w:p w14:paraId="17C2ADCD" w14:textId="77777777" w:rsidR="001047FA" w:rsidRPr="00372FDE" w:rsidRDefault="001047FA" w:rsidP="001047FA">
            <w:pPr>
              <w:pStyle w:val="Header"/>
              <w:spacing w:after="240"/>
              <w:contextualSpacing/>
              <w:jc w:val="center"/>
              <w:rPr>
                <w:rFonts w:ascii="Arial" w:hAnsi="Arial" w:cs="Arial"/>
                <w:b/>
                <w:snapToGrid w:val="0"/>
                <w:sz w:val="20"/>
                <w:lang w:eastAsia="en-US"/>
              </w:rPr>
            </w:pPr>
            <w:r w:rsidRPr="00372FDE">
              <w:rPr>
                <w:rFonts w:ascii="Arial" w:hAnsi="Arial" w:cs="Arial"/>
                <w:b/>
                <w:snapToGrid w:val="0"/>
                <w:sz w:val="20"/>
                <w:lang w:eastAsia="en-US"/>
              </w:rPr>
              <w:t>TGA INDICATION</w:t>
            </w:r>
          </w:p>
          <w:p w14:paraId="22925D27" w14:textId="77777777" w:rsidR="0010394D" w:rsidRPr="00372FDE" w:rsidRDefault="0010394D" w:rsidP="001047FA">
            <w:pPr>
              <w:pStyle w:val="Header"/>
              <w:spacing w:after="240"/>
              <w:contextualSpacing/>
              <w:jc w:val="center"/>
              <w:rPr>
                <w:rFonts w:ascii="Arial" w:hAnsi="Arial" w:cs="Arial"/>
                <w:b/>
                <w:snapToGrid w:val="0"/>
                <w:sz w:val="20"/>
                <w:lang w:eastAsia="en-US"/>
              </w:rPr>
            </w:pPr>
          </w:p>
        </w:tc>
        <w:tc>
          <w:tcPr>
            <w:tcW w:w="2126" w:type="dxa"/>
          </w:tcPr>
          <w:p w14:paraId="640C662D" w14:textId="77777777" w:rsidR="0010394D" w:rsidRPr="00372FDE" w:rsidRDefault="001047FA" w:rsidP="001047FA">
            <w:pPr>
              <w:pStyle w:val="Header"/>
              <w:spacing w:after="240"/>
              <w:contextualSpacing/>
              <w:jc w:val="center"/>
              <w:rPr>
                <w:rFonts w:ascii="Arial" w:hAnsi="Arial" w:cs="Arial"/>
                <w:b/>
                <w:snapToGrid w:val="0"/>
                <w:sz w:val="20"/>
                <w:lang w:eastAsia="en-US"/>
              </w:rPr>
            </w:pPr>
            <w:r w:rsidRPr="00372FDE">
              <w:rPr>
                <w:rFonts w:ascii="Arial" w:hAnsi="Arial" w:cs="Arial"/>
                <w:b/>
                <w:snapToGrid w:val="0"/>
                <w:sz w:val="20"/>
                <w:lang w:eastAsia="en-US"/>
              </w:rPr>
              <w:t>CURRENT PBS LISTING</w:t>
            </w:r>
          </w:p>
        </w:tc>
        <w:tc>
          <w:tcPr>
            <w:tcW w:w="3827" w:type="dxa"/>
            <w:shd w:val="clear" w:color="auto" w:fill="auto"/>
          </w:tcPr>
          <w:p w14:paraId="4AB8B15A" w14:textId="77777777" w:rsidR="0010394D" w:rsidRPr="00372FDE" w:rsidRDefault="001047FA" w:rsidP="001047FA">
            <w:pPr>
              <w:pStyle w:val="Header"/>
              <w:spacing w:after="240"/>
              <w:contextualSpacing/>
              <w:jc w:val="center"/>
              <w:rPr>
                <w:rFonts w:ascii="Arial" w:hAnsi="Arial" w:cs="Arial"/>
                <w:b/>
                <w:snapToGrid w:val="0"/>
                <w:sz w:val="20"/>
                <w:lang w:eastAsia="en-US"/>
              </w:rPr>
            </w:pPr>
            <w:r w:rsidRPr="00372FDE">
              <w:rPr>
                <w:rFonts w:ascii="Arial" w:hAnsi="Arial" w:cs="Arial"/>
                <w:b/>
                <w:snapToGrid w:val="0"/>
                <w:sz w:val="20"/>
                <w:lang w:eastAsia="en-US"/>
              </w:rPr>
              <w:t>LISTING REQUESTED BY SPONSOR / PURPOSE OF SUBMISSION</w:t>
            </w:r>
          </w:p>
        </w:tc>
        <w:tc>
          <w:tcPr>
            <w:tcW w:w="5245" w:type="dxa"/>
          </w:tcPr>
          <w:p w14:paraId="2A789DD7" w14:textId="77777777" w:rsidR="0010394D" w:rsidRPr="00372FDE" w:rsidRDefault="0010394D" w:rsidP="001047FA">
            <w:pPr>
              <w:pStyle w:val="Header"/>
              <w:spacing w:after="240"/>
              <w:contextualSpacing/>
              <w:jc w:val="center"/>
              <w:rPr>
                <w:rFonts w:ascii="Arial" w:hAnsi="Arial" w:cs="Arial"/>
                <w:b/>
                <w:snapToGrid w:val="0"/>
                <w:sz w:val="20"/>
                <w:lang w:eastAsia="en-US"/>
              </w:rPr>
            </w:pPr>
            <w:r w:rsidRPr="00372FDE">
              <w:rPr>
                <w:rFonts w:ascii="Arial" w:hAnsi="Arial" w:cs="Arial"/>
                <w:b/>
                <w:snapToGrid w:val="0"/>
                <w:sz w:val="20"/>
                <w:lang w:eastAsia="en-US"/>
              </w:rPr>
              <w:t xml:space="preserve">PBAC </w:t>
            </w:r>
            <w:r w:rsidR="001047FA" w:rsidRPr="00372FDE">
              <w:rPr>
                <w:rFonts w:ascii="Arial" w:hAnsi="Arial" w:cs="Arial"/>
                <w:b/>
                <w:snapToGrid w:val="0"/>
                <w:sz w:val="20"/>
                <w:lang w:eastAsia="en-US"/>
              </w:rPr>
              <w:t>OUTCOME</w:t>
            </w:r>
          </w:p>
        </w:tc>
      </w:tr>
      <w:tr w:rsidR="00DD675E" w:rsidRPr="00372FDE" w14:paraId="03C93FBB" w14:textId="77777777" w:rsidTr="000805C6">
        <w:trPr>
          <w:trHeight w:val="435"/>
        </w:trPr>
        <w:tc>
          <w:tcPr>
            <w:tcW w:w="2127" w:type="dxa"/>
            <w:vMerge w:val="restart"/>
          </w:tcPr>
          <w:p w14:paraId="3A9B5CF3" w14:textId="2E871B59" w:rsidR="00DD675E" w:rsidRPr="00B67244" w:rsidRDefault="00DD675E" w:rsidP="00DD675E">
            <w:pPr>
              <w:rPr>
                <w:rFonts w:ascii="Arial" w:hAnsi="Arial" w:cs="Arial"/>
                <w:color w:val="000000"/>
                <w:sz w:val="20"/>
              </w:rPr>
            </w:pPr>
            <w:r w:rsidRPr="00B67244">
              <w:rPr>
                <w:rFonts w:ascii="Arial" w:hAnsi="Arial" w:cs="Arial"/>
                <w:color w:val="000000"/>
                <w:sz w:val="20"/>
              </w:rPr>
              <w:t>APALUTAMIDE</w:t>
            </w:r>
          </w:p>
          <w:p w14:paraId="1030F9A1" w14:textId="77777777" w:rsidR="00DD675E" w:rsidRPr="00B67244" w:rsidRDefault="00DD675E" w:rsidP="00DD675E">
            <w:pPr>
              <w:rPr>
                <w:rFonts w:ascii="Arial" w:hAnsi="Arial" w:cs="Arial"/>
                <w:color w:val="000000"/>
                <w:sz w:val="20"/>
              </w:rPr>
            </w:pPr>
          </w:p>
          <w:p w14:paraId="7549B31D" w14:textId="77777777" w:rsidR="00DD675E" w:rsidRPr="00B67244" w:rsidRDefault="00DD675E" w:rsidP="00DD675E">
            <w:pPr>
              <w:rPr>
                <w:rFonts w:ascii="Arial" w:hAnsi="Arial" w:cs="Arial"/>
                <w:color w:val="000000"/>
                <w:sz w:val="20"/>
              </w:rPr>
            </w:pPr>
            <w:r w:rsidRPr="00B67244">
              <w:rPr>
                <w:rFonts w:ascii="Arial" w:hAnsi="Arial" w:cs="Arial"/>
                <w:color w:val="000000"/>
                <w:sz w:val="20"/>
              </w:rPr>
              <w:t>Tablet 60 mg</w:t>
            </w:r>
          </w:p>
          <w:p w14:paraId="106B9D15" w14:textId="77777777" w:rsidR="00DD675E" w:rsidRPr="00B67244" w:rsidRDefault="00DD675E" w:rsidP="00DD675E">
            <w:pPr>
              <w:rPr>
                <w:rFonts w:ascii="Arial" w:hAnsi="Arial" w:cs="Arial"/>
                <w:color w:val="000000"/>
                <w:sz w:val="20"/>
              </w:rPr>
            </w:pPr>
          </w:p>
          <w:p w14:paraId="276946DD" w14:textId="06193750" w:rsidR="00DD675E" w:rsidRPr="00B67244" w:rsidRDefault="00DD675E" w:rsidP="00DD675E">
            <w:pPr>
              <w:rPr>
                <w:rFonts w:ascii="Arial" w:hAnsi="Arial" w:cs="Arial"/>
                <w:color w:val="000000"/>
                <w:sz w:val="20"/>
              </w:rPr>
            </w:pPr>
            <w:r w:rsidRPr="00B67244">
              <w:rPr>
                <w:rFonts w:ascii="Arial" w:hAnsi="Arial" w:cs="Arial"/>
                <w:color w:val="000000"/>
                <w:sz w:val="20"/>
              </w:rPr>
              <w:t>Erlyand</w:t>
            </w:r>
            <w:r w:rsidRPr="00B67244">
              <w:rPr>
                <w:rFonts w:ascii="Arial" w:hAnsi="Arial" w:cs="Arial"/>
                <w:color w:val="000000"/>
                <w:sz w:val="20"/>
                <w:vertAlign w:val="superscript"/>
              </w:rPr>
              <w:t>®</w:t>
            </w:r>
          </w:p>
          <w:p w14:paraId="41362F6A" w14:textId="77777777" w:rsidR="00DD675E" w:rsidRPr="00B67244" w:rsidRDefault="00DD675E" w:rsidP="00DD675E">
            <w:pPr>
              <w:contextualSpacing/>
              <w:rPr>
                <w:rFonts w:ascii="Arial" w:hAnsi="Arial" w:cs="Arial"/>
                <w:color w:val="000000"/>
                <w:sz w:val="20"/>
              </w:rPr>
            </w:pPr>
          </w:p>
          <w:p w14:paraId="259DBDF7" w14:textId="77777777" w:rsidR="00DD675E" w:rsidRPr="00B67244" w:rsidRDefault="00DD675E" w:rsidP="00DD675E">
            <w:pPr>
              <w:contextualSpacing/>
              <w:rPr>
                <w:rFonts w:ascii="Arial" w:hAnsi="Arial" w:cs="Arial"/>
                <w:color w:val="000000"/>
                <w:sz w:val="20"/>
              </w:rPr>
            </w:pPr>
            <w:r w:rsidRPr="00B67244">
              <w:rPr>
                <w:rFonts w:ascii="Arial" w:hAnsi="Arial" w:cs="Arial"/>
                <w:color w:val="000000"/>
                <w:sz w:val="20"/>
              </w:rPr>
              <w:t>Janssen-Cilag Pty Ltd</w:t>
            </w:r>
          </w:p>
          <w:p w14:paraId="6F112F68" w14:textId="77777777" w:rsidR="00DD675E" w:rsidRPr="00B67244" w:rsidRDefault="00DD675E" w:rsidP="00DD675E">
            <w:pPr>
              <w:contextualSpacing/>
              <w:rPr>
                <w:rFonts w:ascii="Arial" w:hAnsi="Arial" w:cs="Arial"/>
                <w:color w:val="000000"/>
                <w:sz w:val="20"/>
              </w:rPr>
            </w:pPr>
          </w:p>
          <w:p w14:paraId="76922902" w14:textId="77777777" w:rsidR="00DD675E" w:rsidRPr="00B67244" w:rsidRDefault="00DD675E" w:rsidP="00DD675E">
            <w:pPr>
              <w:contextualSpacing/>
              <w:rPr>
                <w:rFonts w:ascii="Arial" w:hAnsi="Arial" w:cs="Arial"/>
                <w:color w:val="000000"/>
                <w:sz w:val="20"/>
              </w:rPr>
            </w:pPr>
            <w:r w:rsidRPr="00B67244">
              <w:rPr>
                <w:rFonts w:ascii="Arial" w:hAnsi="Arial" w:cs="Arial"/>
                <w:color w:val="000000"/>
                <w:sz w:val="20"/>
              </w:rPr>
              <w:t>New listing</w:t>
            </w:r>
          </w:p>
          <w:p w14:paraId="3298A8C0" w14:textId="0DEBF509" w:rsidR="00DD675E" w:rsidRPr="00B67244" w:rsidRDefault="00DD675E" w:rsidP="00DD675E">
            <w:pPr>
              <w:contextualSpacing/>
              <w:rPr>
                <w:rFonts w:ascii="Arial" w:hAnsi="Arial" w:cs="Arial"/>
                <w:sz w:val="20"/>
              </w:rPr>
            </w:pPr>
            <w:r w:rsidRPr="00B67244">
              <w:rPr>
                <w:rFonts w:ascii="Arial" w:hAnsi="Arial" w:cs="Arial"/>
                <w:color w:val="000000"/>
                <w:sz w:val="20"/>
              </w:rPr>
              <w:t>(Major Submission)</w:t>
            </w:r>
          </w:p>
        </w:tc>
        <w:tc>
          <w:tcPr>
            <w:tcW w:w="2126" w:type="dxa"/>
            <w:vMerge w:val="restart"/>
          </w:tcPr>
          <w:p w14:paraId="258EA5F1" w14:textId="12CD1C28" w:rsidR="00DD675E" w:rsidRPr="00B67244" w:rsidRDefault="00DD675E" w:rsidP="00DD675E">
            <w:pPr>
              <w:rPr>
                <w:rFonts w:ascii="Arial" w:hAnsi="Arial" w:cs="Arial"/>
                <w:sz w:val="20"/>
              </w:rPr>
            </w:pPr>
            <w:r w:rsidRPr="00B67244">
              <w:rPr>
                <w:rFonts w:ascii="Arial" w:hAnsi="Arial" w:cs="Arial"/>
                <w:sz w:val="20"/>
              </w:rPr>
              <w:t>The treatment of non-metastatic, castration-resistant prostate cancer.</w:t>
            </w:r>
          </w:p>
        </w:tc>
        <w:tc>
          <w:tcPr>
            <w:tcW w:w="2126" w:type="dxa"/>
            <w:vMerge w:val="restart"/>
          </w:tcPr>
          <w:p w14:paraId="6C80E05F" w14:textId="0B28C7DA" w:rsidR="00DD675E" w:rsidRPr="00B67244" w:rsidRDefault="00DD675E" w:rsidP="00DD675E">
            <w:pPr>
              <w:rPr>
                <w:rFonts w:ascii="Arial" w:hAnsi="Arial" w:cs="Arial"/>
                <w:sz w:val="20"/>
              </w:rPr>
            </w:pPr>
            <w:r w:rsidRPr="00B67244">
              <w:rPr>
                <w:rFonts w:ascii="Arial" w:hAnsi="Arial" w:cs="Arial"/>
                <w:sz w:val="20"/>
              </w:rPr>
              <w:t>Apalutamide is not currently listed on the PBS</w:t>
            </w:r>
          </w:p>
        </w:tc>
        <w:tc>
          <w:tcPr>
            <w:tcW w:w="3827" w:type="dxa"/>
          </w:tcPr>
          <w:p w14:paraId="272C83D7" w14:textId="187BBD8B" w:rsidR="00DD675E" w:rsidRPr="00B67244" w:rsidRDefault="00DD675E" w:rsidP="00DD675E">
            <w:pPr>
              <w:keepLines/>
              <w:rPr>
                <w:rFonts w:ascii="Arial" w:hAnsi="Arial" w:cs="Arial"/>
                <w:sz w:val="20"/>
              </w:rPr>
            </w:pPr>
            <w:r w:rsidRPr="00B67244">
              <w:rPr>
                <w:rFonts w:ascii="Arial" w:hAnsi="Arial" w:cs="Arial"/>
                <w:sz w:val="20"/>
              </w:rPr>
              <w:t>Resubmission to request an Authority Required listing for the treatment of non-metastatic castration resistant prostate cancer in combination with androgen deprivation therapy.</w:t>
            </w:r>
          </w:p>
        </w:tc>
        <w:tc>
          <w:tcPr>
            <w:tcW w:w="5245" w:type="dxa"/>
          </w:tcPr>
          <w:p w14:paraId="604F3E89" w14:textId="5F6692ED" w:rsidR="00BA5A7D" w:rsidRPr="00B67244" w:rsidRDefault="00DD675E" w:rsidP="00BA5A7D">
            <w:pPr>
              <w:spacing w:after="120"/>
              <w:rPr>
                <w:rFonts w:ascii="Arial" w:hAnsi="Arial" w:cs="Arial"/>
                <w:snapToGrid w:val="0"/>
                <w:sz w:val="20"/>
              </w:rPr>
            </w:pPr>
            <w:r w:rsidRPr="00B67244">
              <w:rPr>
                <w:rFonts w:ascii="Arial" w:hAnsi="Arial" w:cs="Arial"/>
                <w:snapToGrid w:val="0"/>
                <w:sz w:val="20"/>
              </w:rPr>
              <w:t xml:space="preserve">The PBAC did not recommend the listing of apalutamide for the treatment of patients with non-metastatic castration-resistant prostate cancer who are at high risk of distant metastases. </w:t>
            </w:r>
          </w:p>
          <w:p w14:paraId="71CA9529" w14:textId="3BB553F3" w:rsidR="00DD675E" w:rsidRPr="00B67244" w:rsidRDefault="00DD675E" w:rsidP="00F562A0">
            <w:pPr>
              <w:spacing w:after="120"/>
              <w:rPr>
                <w:rFonts w:ascii="Arial" w:hAnsi="Arial" w:cs="Arial"/>
                <w:sz w:val="20"/>
              </w:rPr>
            </w:pPr>
            <w:r w:rsidRPr="00B67244">
              <w:rPr>
                <w:rFonts w:ascii="Arial" w:hAnsi="Arial" w:cs="Arial"/>
                <w:snapToGrid w:val="0"/>
                <w:sz w:val="20"/>
              </w:rPr>
              <w:t xml:space="preserve">The PBAC considered that apalutamide provided a substantial benefit to some patients in delaying metastases; however, the magnitude of the survival benefit was uncertain. The PBAC considered that the incremental cost-effectiveness ratio (ICER) was high and uncertain, and that a price reduction would be required to bring the ICER into an acceptable range. </w:t>
            </w:r>
          </w:p>
        </w:tc>
      </w:tr>
      <w:tr w:rsidR="00DD675E" w:rsidRPr="00372FDE" w14:paraId="07BCFF2E" w14:textId="77777777" w:rsidTr="000805C6">
        <w:trPr>
          <w:trHeight w:val="433"/>
        </w:trPr>
        <w:tc>
          <w:tcPr>
            <w:tcW w:w="2127" w:type="dxa"/>
            <w:vMerge/>
          </w:tcPr>
          <w:p w14:paraId="5A9EA9E5" w14:textId="77777777" w:rsidR="00DD675E" w:rsidRPr="00B67244" w:rsidRDefault="00DD675E" w:rsidP="00DD675E">
            <w:pPr>
              <w:rPr>
                <w:rFonts w:ascii="Arial" w:hAnsi="Arial" w:cs="Arial"/>
                <w:sz w:val="20"/>
              </w:rPr>
            </w:pPr>
          </w:p>
        </w:tc>
        <w:tc>
          <w:tcPr>
            <w:tcW w:w="2126" w:type="dxa"/>
            <w:vMerge/>
          </w:tcPr>
          <w:p w14:paraId="13E8A28A" w14:textId="77777777" w:rsidR="00DD675E" w:rsidRPr="00B67244" w:rsidRDefault="00DD675E" w:rsidP="00DD675E">
            <w:pPr>
              <w:rPr>
                <w:rFonts w:ascii="Arial" w:hAnsi="Arial" w:cs="Arial"/>
                <w:sz w:val="20"/>
              </w:rPr>
            </w:pPr>
          </w:p>
        </w:tc>
        <w:tc>
          <w:tcPr>
            <w:tcW w:w="2126" w:type="dxa"/>
            <w:vMerge/>
          </w:tcPr>
          <w:p w14:paraId="5EB054A2" w14:textId="77777777" w:rsidR="00DD675E" w:rsidRPr="00B67244" w:rsidRDefault="00DD675E" w:rsidP="00DD675E">
            <w:pPr>
              <w:rPr>
                <w:rFonts w:ascii="Arial" w:hAnsi="Arial" w:cs="Arial"/>
                <w:sz w:val="20"/>
              </w:rPr>
            </w:pPr>
          </w:p>
        </w:tc>
        <w:tc>
          <w:tcPr>
            <w:tcW w:w="3827" w:type="dxa"/>
          </w:tcPr>
          <w:p w14:paraId="2F77ADD7" w14:textId="7D1F77BE" w:rsidR="00DD675E" w:rsidRPr="00B67244" w:rsidRDefault="00DD675E" w:rsidP="00DD675E">
            <w:pPr>
              <w:pStyle w:val="ListBullet"/>
            </w:pPr>
            <w:r w:rsidRPr="00B67244">
              <w:t xml:space="preserve">Comparator: </w:t>
            </w:r>
            <w:r w:rsidR="008240F8" w:rsidRPr="00B67244">
              <w:t>w</w:t>
            </w:r>
            <w:r w:rsidRPr="00B67244">
              <w:t xml:space="preserve">atchful waiting (placebo) </w:t>
            </w:r>
          </w:p>
        </w:tc>
        <w:tc>
          <w:tcPr>
            <w:tcW w:w="5245" w:type="dxa"/>
          </w:tcPr>
          <w:p w14:paraId="5D89BA4D" w14:textId="284CFC37" w:rsidR="00DD675E" w:rsidRPr="00B67244" w:rsidRDefault="00DD675E" w:rsidP="00372FDE">
            <w:pPr>
              <w:spacing w:after="120"/>
              <w:rPr>
                <w:rFonts w:ascii="Arial" w:hAnsi="Arial" w:cs="Arial"/>
                <w:sz w:val="20"/>
              </w:rPr>
            </w:pPr>
            <w:r w:rsidRPr="00B67244">
              <w:rPr>
                <w:rFonts w:ascii="Arial" w:hAnsi="Arial" w:cs="Arial"/>
                <w:snapToGrid w:val="0"/>
                <w:sz w:val="20"/>
              </w:rPr>
              <w:t>The PBAC considered watchful waiting (placebo) remains the appropriate comparator.</w:t>
            </w:r>
          </w:p>
        </w:tc>
      </w:tr>
      <w:tr w:rsidR="00DD675E" w:rsidRPr="00372FDE" w14:paraId="56C196C7" w14:textId="77777777" w:rsidTr="000805C6">
        <w:trPr>
          <w:trHeight w:val="433"/>
        </w:trPr>
        <w:tc>
          <w:tcPr>
            <w:tcW w:w="2127" w:type="dxa"/>
            <w:vMerge/>
          </w:tcPr>
          <w:p w14:paraId="78964E11" w14:textId="77777777" w:rsidR="00DD675E" w:rsidRPr="00B67244" w:rsidRDefault="00DD675E" w:rsidP="00DD675E">
            <w:pPr>
              <w:rPr>
                <w:rFonts w:ascii="Arial" w:hAnsi="Arial" w:cs="Arial"/>
                <w:sz w:val="20"/>
              </w:rPr>
            </w:pPr>
          </w:p>
        </w:tc>
        <w:tc>
          <w:tcPr>
            <w:tcW w:w="2126" w:type="dxa"/>
            <w:vMerge/>
          </w:tcPr>
          <w:p w14:paraId="393DD185" w14:textId="77777777" w:rsidR="00DD675E" w:rsidRPr="00B67244" w:rsidRDefault="00DD675E" w:rsidP="00DD675E">
            <w:pPr>
              <w:rPr>
                <w:rFonts w:ascii="Arial" w:hAnsi="Arial" w:cs="Arial"/>
                <w:sz w:val="20"/>
              </w:rPr>
            </w:pPr>
          </w:p>
        </w:tc>
        <w:tc>
          <w:tcPr>
            <w:tcW w:w="2126" w:type="dxa"/>
            <w:vMerge/>
          </w:tcPr>
          <w:p w14:paraId="139BB229" w14:textId="77777777" w:rsidR="00DD675E" w:rsidRPr="00B67244" w:rsidRDefault="00DD675E" w:rsidP="00DD675E">
            <w:pPr>
              <w:rPr>
                <w:rFonts w:ascii="Arial" w:hAnsi="Arial" w:cs="Arial"/>
                <w:sz w:val="20"/>
              </w:rPr>
            </w:pPr>
          </w:p>
        </w:tc>
        <w:tc>
          <w:tcPr>
            <w:tcW w:w="3827" w:type="dxa"/>
          </w:tcPr>
          <w:p w14:paraId="65ABC5A7" w14:textId="3B9B8EC4" w:rsidR="00DD675E" w:rsidRPr="00B67244" w:rsidRDefault="00DD675E" w:rsidP="00372FDE">
            <w:pPr>
              <w:pStyle w:val="ListBullet"/>
              <w:spacing w:after="120"/>
            </w:pPr>
            <w:r w:rsidRPr="00B67244">
              <w:t>Clinical claim: a statistically significant and clinically important improvement in survival compared with watchful waiting</w:t>
            </w:r>
            <w:r w:rsidR="00DC3F72" w:rsidRPr="00B67244">
              <w:t>.</w:t>
            </w:r>
          </w:p>
        </w:tc>
        <w:tc>
          <w:tcPr>
            <w:tcW w:w="5245" w:type="dxa"/>
          </w:tcPr>
          <w:p w14:paraId="3834A598" w14:textId="57849C5F" w:rsidR="00DD675E" w:rsidRPr="00B67244" w:rsidRDefault="00965B48" w:rsidP="00372FDE">
            <w:pPr>
              <w:spacing w:after="120"/>
              <w:rPr>
                <w:rFonts w:ascii="Arial" w:hAnsi="Arial" w:cs="Arial"/>
                <w:sz w:val="20"/>
                <w:highlight w:val="yellow"/>
              </w:rPr>
            </w:pPr>
            <w:r>
              <w:rPr>
                <w:rFonts w:ascii="Arial" w:hAnsi="Arial" w:cs="Arial"/>
                <w:snapToGrid w:val="0"/>
                <w:sz w:val="20"/>
              </w:rPr>
              <w:t>The PBAC considered that apalutamide provided a substantial benefit to some patients in delaying metastases; however, the magnitude of the survival benefit was uncertain.</w:t>
            </w:r>
          </w:p>
        </w:tc>
      </w:tr>
      <w:tr w:rsidR="00DD675E" w:rsidRPr="00372FDE" w14:paraId="6817D51E" w14:textId="77777777" w:rsidTr="000805C6">
        <w:trPr>
          <w:trHeight w:val="433"/>
        </w:trPr>
        <w:tc>
          <w:tcPr>
            <w:tcW w:w="2127" w:type="dxa"/>
            <w:vMerge/>
          </w:tcPr>
          <w:p w14:paraId="5BC232F9" w14:textId="77777777" w:rsidR="00DD675E" w:rsidRPr="00B67244" w:rsidRDefault="00DD675E" w:rsidP="00DD675E">
            <w:pPr>
              <w:rPr>
                <w:rFonts w:ascii="Arial" w:hAnsi="Arial" w:cs="Arial"/>
                <w:sz w:val="20"/>
              </w:rPr>
            </w:pPr>
          </w:p>
        </w:tc>
        <w:tc>
          <w:tcPr>
            <w:tcW w:w="2126" w:type="dxa"/>
            <w:vMerge/>
          </w:tcPr>
          <w:p w14:paraId="442A5CC3" w14:textId="77777777" w:rsidR="00DD675E" w:rsidRPr="00B67244" w:rsidRDefault="00DD675E" w:rsidP="00DD675E">
            <w:pPr>
              <w:rPr>
                <w:rFonts w:ascii="Arial" w:hAnsi="Arial" w:cs="Arial"/>
                <w:sz w:val="20"/>
              </w:rPr>
            </w:pPr>
          </w:p>
        </w:tc>
        <w:tc>
          <w:tcPr>
            <w:tcW w:w="2126" w:type="dxa"/>
            <w:vMerge/>
          </w:tcPr>
          <w:p w14:paraId="28358AAB" w14:textId="77777777" w:rsidR="00DD675E" w:rsidRPr="00B67244" w:rsidRDefault="00DD675E" w:rsidP="00DD675E">
            <w:pPr>
              <w:rPr>
                <w:rFonts w:ascii="Arial" w:hAnsi="Arial" w:cs="Arial"/>
                <w:sz w:val="20"/>
              </w:rPr>
            </w:pPr>
          </w:p>
        </w:tc>
        <w:tc>
          <w:tcPr>
            <w:tcW w:w="3827" w:type="dxa"/>
          </w:tcPr>
          <w:p w14:paraId="3C2FA7FF" w14:textId="2AFA8466" w:rsidR="00DD675E" w:rsidRPr="00B67244" w:rsidRDefault="00DD675E" w:rsidP="00DD675E">
            <w:pPr>
              <w:pStyle w:val="ListBullet"/>
            </w:pPr>
            <w:r w:rsidRPr="00B67244">
              <w:t>Economic claim: cost-utility analysis compared with watchful waiting</w:t>
            </w:r>
            <w:r w:rsidR="00DC3F72" w:rsidRPr="00B67244">
              <w:t>.</w:t>
            </w:r>
          </w:p>
        </w:tc>
        <w:tc>
          <w:tcPr>
            <w:tcW w:w="5245" w:type="dxa"/>
          </w:tcPr>
          <w:p w14:paraId="1B3F57CB" w14:textId="6977FAE0" w:rsidR="00DD675E" w:rsidRPr="00B67244" w:rsidRDefault="00965B48" w:rsidP="00140CC3">
            <w:pPr>
              <w:pStyle w:val="ListParagraph"/>
              <w:spacing w:after="120"/>
              <w:ind w:left="0"/>
              <w:rPr>
                <w:rFonts w:ascii="Arial" w:hAnsi="Arial" w:cs="Arial"/>
                <w:sz w:val="20"/>
                <w:szCs w:val="20"/>
              </w:rPr>
            </w:pPr>
            <w:r>
              <w:rPr>
                <w:rFonts w:ascii="Arial" w:hAnsi="Arial" w:cs="Arial"/>
                <w:snapToGrid w:val="0"/>
                <w:sz w:val="20"/>
                <w:szCs w:val="20"/>
              </w:rPr>
              <w:t xml:space="preserve">The PBAC considered that the inclusion of an OS difference in the economic analysis was supported, though the magnitude of benefit remains uncertain. </w:t>
            </w:r>
            <w:r w:rsidR="00DD675E" w:rsidRPr="00B67244">
              <w:rPr>
                <w:rFonts w:ascii="Arial" w:hAnsi="Arial" w:cs="Arial"/>
                <w:snapToGrid w:val="0"/>
                <w:sz w:val="20"/>
                <w:szCs w:val="20"/>
              </w:rPr>
              <w:t>The PBAC considered that the ICER was underestimated in the model base case presented and a price reduction would be required to bring the</w:t>
            </w:r>
            <w:r w:rsidR="00140CC3" w:rsidRPr="00B67244">
              <w:rPr>
                <w:rFonts w:ascii="Arial" w:hAnsi="Arial" w:cs="Arial"/>
                <w:snapToGrid w:val="0"/>
                <w:sz w:val="20"/>
                <w:szCs w:val="20"/>
              </w:rPr>
              <w:t xml:space="preserve"> ICER into an acceptable range.</w:t>
            </w:r>
          </w:p>
        </w:tc>
      </w:tr>
      <w:tr w:rsidR="00CE363F" w:rsidRPr="00372FDE" w14:paraId="36D58A7A" w14:textId="77777777" w:rsidTr="000805C6">
        <w:trPr>
          <w:trHeight w:val="433"/>
        </w:trPr>
        <w:tc>
          <w:tcPr>
            <w:tcW w:w="2127" w:type="dxa"/>
            <w:vMerge/>
          </w:tcPr>
          <w:p w14:paraId="7557DFF3" w14:textId="77777777" w:rsidR="00CE363F" w:rsidRPr="00B67244" w:rsidRDefault="00CE363F" w:rsidP="00CE363F">
            <w:pPr>
              <w:rPr>
                <w:rFonts w:ascii="Arial" w:hAnsi="Arial" w:cs="Arial"/>
                <w:sz w:val="20"/>
              </w:rPr>
            </w:pPr>
          </w:p>
        </w:tc>
        <w:tc>
          <w:tcPr>
            <w:tcW w:w="2126" w:type="dxa"/>
            <w:vMerge/>
          </w:tcPr>
          <w:p w14:paraId="47375760" w14:textId="77777777" w:rsidR="00CE363F" w:rsidRPr="00B67244" w:rsidRDefault="00CE363F" w:rsidP="00CE363F">
            <w:pPr>
              <w:rPr>
                <w:rFonts w:ascii="Arial" w:hAnsi="Arial" w:cs="Arial"/>
                <w:sz w:val="20"/>
              </w:rPr>
            </w:pPr>
          </w:p>
        </w:tc>
        <w:tc>
          <w:tcPr>
            <w:tcW w:w="2126" w:type="dxa"/>
            <w:vMerge/>
          </w:tcPr>
          <w:p w14:paraId="311FDF82" w14:textId="77777777" w:rsidR="00CE363F" w:rsidRPr="00B67244" w:rsidRDefault="00CE363F" w:rsidP="00CE363F">
            <w:pPr>
              <w:rPr>
                <w:rFonts w:ascii="Arial" w:hAnsi="Arial" w:cs="Arial"/>
                <w:sz w:val="20"/>
              </w:rPr>
            </w:pPr>
          </w:p>
        </w:tc>
        <w:tc>
          <w:tcPr>
            <w:tcW w:w="3827" w:type="dxa"/>
          </w:tcPr>
          <w:p w14:paraId="3B3B0B30" w14:textId="5F4C1F2B" w:rsidR="00CE363F" w:rsidRPr="00B67244" w:rsidRDefault="00CE363F" w:rsidP="00C91B1E">
            <w:pPr>
              <w:pStyle w:val="ListBullet"/>
              <w:jc w:val="right"/>
              <w:rPr>
                <w:highlight w:val="red"/>
              </w:rPr>
            </w:pPr>
            <w:r w:rsidRPr="00CE363F">
              <w:t>Sponsor’s comment:</w:t>
            </w:r>
          </w:p>
        </w:tc>
        <w:tc>
          <w:tcPr>
            <w:tcW w:w="5245" w:type="dxa"/>
          </w:tcPr>
          <w:p w14:paraId="73A94989" w14:textId="4416B57B" w:rsidR="00965B48" w:rsidRDefault="00965B48" w:rsidP="00965B48">
            <w:pPr>
              <w:pStyle w:val="ListBullet"/>
            </w:pPr>
            <w:r>
              <w:t>The Janssen Pharmaceutical Companies of Johnson &amp; Johnson (Janssen-Cilag Pty Ltd) is disappointed with the PBAC</w:t>
            </w:r>
            <w:r w:rsidR="00F562A0">
              <w:t>’s</w:t>
            </w:r>
            <w:r>
              <w:t xml:space="preserve"> decision not to recommend the PBS listing of ERLYAND</w:t>
            </w:r>
            <w:r w:rsidRPr="00E95308">
              <w:rPr>
                <w:vertAlign w:val="superscript"/>
              </w:rPr>
              <w:t>®</w:t>
            </w:r>
            <w:r>
              <w:t xml:space="preserve"> (apalutamide) for the treatment of Australian men with high-risk non-metastatic castration-resistant prostate cancer.</w:t>
            </w:r>
          </w:p>
          <w:p w14:paraId="40770987" w14:textId="77777777" w:rsidR="00965B48" w:rsidRDefault="00965B48" w:rsidP="00965B48">
            <w:pPr>
              <w:pStyle w:val="ListBullet"/>
            </w:pPr>
          </w:p>
          <w:p w14:paraId="6328FF43" w14:textId="27017E0B" w:rsidR="00CE363F" w:rsidRPr="00B67244" w:rsidRDefault="00965B48" w:rsidP="00CE363F">
            <w:pPr>
              <w:rPr>
                <w:rFonts w:ascii="Arial" w:hAnsi="Arial" w:cs="Arial"/>
                <w:sz w:val="20"/>
              </w:rPr>
            </w:pPr>
            <w:r w:rsidRPr="00E95308">
              <w:rPr>
                <w:rFonts w:ascii="Arial" w:hAnsi="Arial" w:cs="Arial"/>
                <w:snapToGrid w:val="0"/>
                <w:sz w:val="20"/>
                <w:lang w:eastAsia="en-US"/>
              </w:rPr>
              <w:t>Jans</w:t>
            </w:r>
            <w:r w:rsidR="00A6292D">
              <w:rPr>
                <w:rFonts w:ascii="Arial" w:hAnsi="Arial" w:cs="Arial"/>
                <w:snapToGrid w:val="0"/>
                <w:sz w:val="20"/>
                <w:lang w:eastAsia="en-US"/>
              </w:rPr>
              <w:t>sen’s priority is to ensure</w:t>
            </w:r>
            <w:r w:rsidRPr="00E95308">
              <w:rPr>
                <w:rFonts w:ascii="Arial" w:hAnsi="Arial" w:cs="Arial"/>
                <w:snapToGrid w:val="0"/>
                <w:sz w:val="20"/>
                <w:lang w:eastAsia="en-US"/>
              </w:rPr>
              <w:t xml:space="preserve"> access to ERLYAND® so </w:t>
            </w:r>
            <w:r w:rsidRPr="00E95308">
              <w:rPr>
                <w:rFonts w:ascii="Arial" w:hAnsi="Arial" w:cs="Arial"/>
                <w:snapToGrid w:val="0"/>
                <w:sz w:val="20"/>
                <w:lang w:eastAsia="en-US"/>
              </w:rPr>
              <w:lastRenderedPageBreak/>
              <w:t>that Australian men with high-risk non-metastatic castration-resistant prostate cancer may benefit from treatment. We will review the reasons for the decision and continue to work with the PBAC and the Department of Health towards this goal.</w:t>
            </w:r>
          </w:p>
        </w:tc>
      </w:tr>
      <w:tr w:rsidR="00CE363F" w:rsidRPr="00372FDE" w14:paraId="032C9B39" w14:textId="77777777" w:rsidTr="000805C6">
        <w:trPr>
          <w:trHeight w:val="433"/>
        </w:trPr>
        <w:tc>
          <w:tcPr>
            <w:tcW w:w="2127" w:type="dxa"/>
            <w:vMerge w:val="restart"/>
          </w:tcPr>
          <w:p w14:paraId="6DECF6E1" w14:textId="5FAA3ED3" w:rsidR="00CE363F" w:rsidRPr="00372FDE" w:rsidRDefault="00CE363F" w:rsidP="00CE363F">
            <w:pPr>
              <w:spacing w:after="120"/>
              <w:rPr>
                <w:rFonts w:ascii="Arial" w:hAnsi="Arial" w:cs="Arial"/>
                <w:color w:val="000000"/>
                <w:sz w:val="20"/>
              </w:rPr>
            </w:pPr>
            <w:r w:rsidRPr="00372FDE">
              <w:rPr>
                <w:rFonts w:ascii="Arial" w:hAnsi="Arial" w:cs="Arial"/>
                <w:color w:val="000000"/>
                <w:sz w:val="20"/>
              </w:rPr>
              <w:lastRenderedPageBreak/>
              <w:t>BEZLOTOXUMAB</w:t>
            </w:r>
          </w:p>
          <w:p w14:paraId="2138FF18" w14:textId="77777777" w:rsidR="00CE363F" w:rsidRPr="00372FDE" w:rsidRDefault="00CE363F" w:rsidP="00CE363F">
            <w:pPr>
              <w:spacing w:after="120"/>
              <w:rPr>
                <w:rFonts w:ascii="Arial" w:hAnsi="Arial" w:cs="Arial"/>
                <w:color w:val="000000"/>
                <w:sz w:val="20"/>
              </w:rPr>
            </w:pPr>
          </w:p>
          <w:p w14:paraId="36C816EA" w14:textId="77777777" w:rsidR="00CE363F" w:rsidRPr="00372FDE" w:rsidRDefault="00CE363F" w:rsidP="00CE363F">
            <w:pPr>
              <w:spacing w:after="120"/>
              <w:rPr>
                <w:rFonts w:ascii="Arial" w:hAnsi="Arial" w:cs="Arial"/>
                <w:color w:val="000000"/>
                <w:sz w:val="20"/>
              </w:rPr>
            </w:pPr>
            <w:r w:rsidRPr="00372FDE">
              <w:rPr>
                <w:rFonts w:ascii="Arial" w:hAnsi="Arial" w:cs="Arial"/>
                <w:color w:val="000000"/>
                <w:sz w:val="20"/>
              </w:rPr>
              <w:t>Solution concentrate for I.V. infusion</w:t>
            </w:r>
          </w:p>
          <w:p w14:paraId="3523EE8B" w14:textId="77777777" w:rsidR="00CE363F" w:rsidRPr="00372FDE" w:rsidRDefault="00CE363F" w:rsidP="00CE363F">
            <w:pPr>
              <w:spacing w:after="120"/>
              <w:rPr>
                <w:rFonts w:ascii="Arial" w:hAnsi="Arial" w:cs="Arial"/>
                <w:color w:val="000000"/>
                <w:sz w:val="20"/>
              </w:rPr>
            </w:pPr>
            <w:r w:rsidRPr="00372FDE">
              <w:rPr>
                <w:rFonts w:ascii="Arial" w:hAnsi="Arial" w:cs="Arial"/>
                <w:color w:val="000000"/>
                <w:sz w:val="20"/>
              </w:rPr>
              <w:t>1000 mg in 40 mL</w:t>
            </w:r>
          </w:p>
          <w:p w14:paraId="74325947" w14:textId="77777777" w:rsidR="00CE363F" w:rsidRPr="00372FDE" w:rsidRDefault="00CE363F" w:rsidP="00CE363F">
            <w:pPr>
              <w:spacing w:after="120"/>
              <w:rPr>
                <w:rFonts w:ascii="Arial" w:hAnsi="Arial" w:cs="Arial"/>
                <w:color w:val="000000"/>
                <w:sz w:val="20"/>
              </w:rPr>
            </w:pPr>
          </w:p>
          <w:p w14:paraId="3E8314AD" w14:textId="0AD3A374" w:rsidR="00CE363F" w:rsidRPr="00372FDE" w:rsidRDefault="00CE363F" w:rsidP="00CE363F">
            <w:pPr>
              <w:spacing w:after="120"/>
              <w:rPr>
                <w:rFonts w:ascii="Arial" w:hAnsi="Arial" w:cs="Arial"/>
                <w:color w:val="000000"/>
                <w:sz w:val="20"/>
              </w:rPr>
            </w:pPr>
            <w:r w:rsidRPr="00372FDE">
              <w:rPr>
                <w:rFonts w:ascii="Arial" w:hAnsi="Arial" w:cs="Arial"/>
                <w:color w:val="000000"/>
                <w:sz w:val="20"/>
              </w:rPr>
              <w:t>Zinplava</w:t>
            </w:r>
            <w:r w:rsidRPr="00372FDE">
              <w:rPr>
                <w:rFonts w:ascii="Arial" w:hAnsi="Arial" w:cs="Arial"/>
                <w:color w:val="000000"/>
                <w:sz w:val="20"/>
                <w:vertAlign w:val="superscript"/>
              </w:rPr>
              <w:t>®</w:t>
            </w:r>
          </w:p>
          <w:p w14:paraId="27F14A96" w14:textId="77777777" w:rsidR="00CE363F" w:rsidRPr="00372FDE" w:rsidRDefault="00CE363F" w:rsidP="00CE363F">
            <w:pPr>
              <w:spacing w:after="120"/>
              <w:rPr>
                <w:rFonts w:ascii="Arial" w:hAnsi="Arial" w:cs="Arial"/>
                <w:color w:val="000000"/>
                <w:sz w:val="20"/>
              </w:rPr>
            </w:pPr>
          </w:p>
          <w:p w14:paraId="1D47207C" w14:textId="77777777" w:rsidR="00CE363F" w:rsidRPr="00372FDE" w:rsidRDefault="00CE363F" w:rsidP="00CE363F">
            <w:pPr>
              <w:spacing w:after="120"/>
              <w:rPr>
                <w:rFonts w:ascii="Arial" w:hAnsi="Arial" w:cs="Arial"/>
                <w:color w:val="000000"/>
                <w:sz w:val="20"/>
              </w:rPr>
            </w:pPr>
            <w:r w:rsidRPr="00372FDE">
              <w:rPr>
                <w:rFonts w:ascii="Arial" w:hAnsi="Arial" w:cs="Arial"/>
                <w:color w:val="000000"/>
                <w:sz w:val="20"/>
              </w:rPr>
              <w:t>Merck Sharp &amp; Dohme (Australia) Pty Ltd</w:t>
            </w:r>
          </w:p>
          <w:p w14:paraId="3B7D33E6" w14:textId="77777777" w:rsidR="00CE363F" w:rsidRPr="00372FDE" w:rsidRDefault="00CE363F" w:rsidP="00CE363F">
            <w:pPr>
              <w:spacing w:after="120"/>
              <w:rPr>
                <w:rFonts w:ascii="Arial" w:hAnsi="Arial" w:cs="Arial"/>
                <w:color w:val="000000"/>
                <w:sz w:val="20"/>
              </w:rPr>
            </w:pPr>
          </w:p>
          <w:p w14:paraId="1D2520A8" w14:textId="77777777" w:rsidR="00CE363F" w:rsidRPr="00372FDE" w:rsidRDefault="00CE363F" w:rsidP="00CE363F">
            <w:pPr>
              <w:spacing w:after="120"/>
              <w:rPr>
                <w:rFonts w:ascii="Arial" w:hAnsi="Arial" w:cs="Arial"/>
                <w:sz w:val="20"/>
              </w:rPr>
            </w:pPr>
            <w:r w:rsidRPr="00372FDE">
              <w:rPr>
                <w:rFonts w:ascii="Arial" w:hAnsi="Arial" w:cs="Arial"/>
                <w:sz w:val="20"/>
              </w:rPr>
              <w:t>New listing</w:t>
            </w:r>
          </w:p>
          <w:p w14:paraId="6A394542" w14:textId="45CED26F" w:rsidR="00CE363F" w:rsidRPr="00372FDE" w:rsidRDefault="00CE363F" w:rsidP="00CE363F">
            <w:pPr>
              <w:spacing w:after="120"/>
              <w:rPr>
                <w:rFonts w:ascii="Arial" w:hAnsi="Arial" w:cs="Arial"/>
                <w:sz w:val="20"/>
              </w:rPr>
            </w:pPr>
            <w:r w:rsidRPr="00372FDE">
              <w:rPr>
                <w:rFonts w:ascii="Arial" w:hAnsi="Arial" w:cs="Arial"/>
                <w:sz w:val="20"/>
              </w:rPr>
              <w:t>(Major Submission)</w:t>
            </w:r>
          </w:p>
        </w:tc>
        <w:tc>
          <w:tcPr>
            <w:tcW w:w="2126" w:type="dxa"/>
            <w:vMerge w:val="restart"/>
          </w:tcPr>
          <w:p w14:paraId="3222E7B1" w14:textId="78F912C5" w:rsidR="00CE363F" w:rsidRPr="00372FDE" w:rsidRDefault="00CE363F" w:rsidP="00CE363F">
            <w:pPr>
              <w:spacing w:after="120"/>
              <w:rPr>
                <w:rFonts w:ascii="Arial" w:hAnsi="Arial" w:cs="Arial"/>
                <w:sz w:val="20"/>
              </w:rPr>
            </w:pPr>
            <w:r w:rsidRPr="00372FDE">
              <w:rPr>
                <w:rFonts w:ascii="Arial" w:hAnsi="Arial" w:cs="Arial"/>
                <w:sz w:val="20"/>
              </w:rPr>
              <w:t xml:space="preserve">The prevention of recurrence of </w:t>
            </w:r>
            <w:r w:rsidRPr="00372FDE">
              <w:rPr>
                <w:rFonts w:ascii="Arial" w:hAnsi="Arial" w:cs="Arial"/>
                <w:i/>
                <w:sz w:val="20"/>
              </w:rPr>
              <w:t>Clostridium difficile</w:t>
            </w:r>
            <w:r w:rsidRPr="00372FDE">
              <w:rPr>
                <w:rFonts w:ascii="Arial" w:hAnsi="Arial" w:cs="Arial"/>
                <w:sz w:val="20"/>
              </w:rPr>
              <w:t xml:space="preserve"> infection (CDI) in adult patients 18 years or older at high</w:t>
            </w:r>
            <w:r>
              <w:rPr>
                <w:rFonts w:ascii="Arial" w:hAnsi="Arial" w:cs="Arial"/>
                <w:sz w:val="20"/>
              </w:rPr>
              <w:t xml:space="preserve"> </w:t>
            </w:r>
            <w:r w:rsidRPr="00372FDE">
              <w:rPr>
                <w:rFonts w:ascii="Arial" w:hAnsi="Arial" w:cs="Arial"/>
                <w:sz w:val="20"/>
              </w:rPr>
              <w:t>risk for recurrence of CDI who are receiving antibiotic therapy for CDI.</w:t>
            </w:r>
          </w:p>
        </w:tc>
        <w:tc>
          <w:tcPr>
            <w:tcW w:w="2126" w:type="dxa"/>
            <w:vMerge w:val="restart"/>
          </w:tcPr>
          <w:p w14:paraId="001F4EAA" w14:textId="6B73E090" w:rsidR="00CE363F" w:rsidRPr="00372FDE" w:rsidRDefault="00CE363F" w:rsidP="00CE363F">
            <w:pPr>
              <w:spacing w:after="120"/>
              <w:rPr>
                <w:rFonts w:ascii="Arial" w:hAnsi="Arial" w:cs="Arial"/>
                <w:sz w:val="20"/>
              </w:rPr>
            </w:pPr>
            <w:r w:rsidRPr="00372FDE">
              <w:rPr>
                <w:rFonts w:ascii="Arial" w:hAnsi="Arial" w:cs="Arial"/>
                <w:sz w:val="20"/>
              </w:rPr>
              <w:t>Bezlotoxumab is not currently listed on the PBS.</w:t>
            </w:r>
          </w:p>
        </w:tc>
        <w:tc>
          <w:tcPr>
            <w:tcW w:w="3827" w:type="dxa"/>
          </w:tcPr>
          <w:p w14:paraId="4C198FAC" w14:textId="647BCAA5" w:rsidR="00CE363F" w:rsidRPr="00372FDE" w:rsidRDefault="00CE363F" w:rsidP="00CE363F">
            <w:pPr>
              <w:pStyle w:val="ListBullet"/>
              <w:spacing w:after="120"/>
            </w:pPr>
            <w:r w:rsidRPr="00372FDE">
              <w:t>Resubmission to request a Section 100 Authority required listing for the treatment of patients at high risk (≥2 of 4 risk factors) of CDI.</w:t>
            </w:r>
          </w:p>
        </w:tc>
        <w:tc>
          <w:tcPr>
            <w:tcW w:w="5245" w:type="dxa"/>
          </w:tcPr>
          <w:p w14:paraId="0BA99101" w14:textId="537C841A" w:rsidR="00CE363F" w:rsidRPr="00372FDE" w:rsidRDefault="00CE363F" w:rsidP="00CE363F">
            <w:pPr>
              <w:spacing w:after="120"/>
              <w:rPr>
                <w:rFonts w:ascii="Arial" w:hAnsi="Arial" w:cs="Arial"/>
                <w:sz w:val="20"/>
                <w:highlight w:val="yellow"/>
              </w:rPr>
            </w:pPr>
            <w:r w:rsidRPr="00372FDE">
              <w:rPr>
                <w:rFonts w:ascii="Arial" w:hAnsi="Arial" w:cs="Arial"/>
                <w:sz w:val="20"/>
              </w:rPr>
              <w:t>The PBAC did not recommend the listing of bezlotoxumab on the PBS for the prevention of CDI on the basis of the proposed patient population being inadequately justified, its modest effectiveness, and concerns regarding safety, along with a high and uncertain incremental cost-effectiveness ratio (ICER) and uncertain financial estimates.</w:t>
            </w:r>
          </w:p>
        </w:tc>
      </w:tr>
      <w:tr w:rsidR="00CE363F" w:rsidRPr="00372FDE" w14:paraId="7831E6A5" w14:textId="77777777" w:rsidTr="000805C6">
        <w:trPr>
          <w:trHeight w:val="433"/>
        </w:trPr>
        <w:tc>
          <w:tcPr>
            <w:tcW w:w="2127" w:type="dxa"/>
            <w:vMerge/>
          </w:tcPr>
          <w:p w14:paraId="7E18AC27" w14:textId="77777777" w:rsidR="00CE363F" w:rsidRPr="00372FDE" w:rsidRDefault="00CE363F" w:rsidP="00CE363F">
            <w:pPr>
              <w:rPr>
                <w:rFonts w:ascii="Arial" w:hAnsi="Arial" w:cs="Arial"/>
                <w:sz w:val="20"/>
              </w:rPr>
            </w:pPr>
          </w:p>
        </w:tc>
        <w:tc>
          <w:tcPr>
            <w:tcW w:w="2126" w:type="dxa"/>
            <w:vMerge/>
          </w:tcPr>
          <w:p w14:paraId="13915C51" w14:textId="77777777" w:rsidR="00CE363F" w:rsidRPr="00372FDE" w:rsidRDefault="00CE363F" w:rsidP="00CE363F">
            <w:pPr>
              <w:rPr>
                <w:rFonts w:ascii="Arial" w:hAnsi="Arial" w:cs="Arial"/>
                <w:sz w:val="20"/>
              </w:rPr>
            </w:pPr>
          </w:p>
        </w:tc>
        <w:tc>
          <w:tcPr>
            <w:tcW w:w="2126" w:type="dxa"/>
            <w:vMerge/>
          </w:tcPr>
          <w:p w14:paraId="4A8F448D" w14:textId="77777777" w:rsidR="00CE363F" w:rsidRPr="00372FDE" w:rsidRDefault="00CE363F" w:rsidP="00CE363F">
            <w:pPr>
              <w:rPr>
                <w:rFonts w:ascii="Arial" w:hAnsi="Arial" w:cs="Arial"/>
                <w:sz w:val="20"/>
              </w:rPr>
            </w:pPr>
          </w:p>
        </w:tc>
        <w:tc>
          <w:tcPr>
            <w:tcW w:w="3827" w:type="dxa"/>
          </w:tcPr>
          <w:p w14:paraId="7545A6BE" w14:textId="413B925A" w:rsidR="00CE363F" w:rsidRPr="00372FDE" w:rsidRDefault="00CE363F" w:rsidP="00CE363F">
            <w:pPr>
              <w:pStyle w:val="ListBullet"/>
              <w:spacing w:after="120"/>
            </w:pPr>
            <w:r w:rsidRPr="00372FDE">
              <w:t>Comparator: Placebo</w:t>
            </w:r>
          </w:p>
        </w:tc>
        <w:tc>
          <w:tcPr>
            <w:tcW w:w="5245" w:type="dxa"/>
          </w:tcPr>
          <w:p w14:paraId="0C1AB8D8" w14:textId="64DF2289" w:rsidR="00CE363F" w:rsidRPr="00372FDE" w:rsidRDefault="00CE363F" w:rsidP="00CE363F">
            <w:pPr>
              <w:spacing w:after="120"/>
              <w:rPr>
                <w:rFonts w:ascii="Arial" w:hAnsi="Arial" w:cs="Arial"/>
                <w:sz w:val="20"/>
                <w:highlight w:val="yellow"/>
              </w:rPr>
            </w:pPr>
            <w:r w:rsidRPr="00372FDE">
              <w:rPr>
                <w:rFonts w:ascii="Arial" w:hAnsi="Arial" w:cs="Arial"/>
                <w:color w:val="000000"/>
                <w:sz w:val="20"/>
              </w:rPr>
              <w:t>The PBAC previously accepted that the comparator was placebo.</w:t>
            </w:r>
          </w:p>
        </w:tc>
      </w:tr>
      <w:tr w:rsidR="00CE363F" w:rsidRPr="00372FDE" w14:paraId="2891A217" w14:textId="77777777" w:rsidTr="000805C6">
        <w:trPr>
          <w:trHeight w:val="433"/>
        </w:trPr>
        <w:tc>
          <w:tcPr>
            <w:tcW w:w="2127" w:type="dxa"/>
            <w:vMerge/>
          </w:tcPr>
          <w:p w14:paraId="471D2CBF" w14:textId="77777777" w:rsidR="00CE363F" w:rsidRPr="00372FDE" w:rsidRDefault="00CE363F" w:rsidP="00CE363F">
            <w:pPr>
              <w:rPr>
                <w:rFonts w:ascii="Arial" w:hAnsi="Arial" w:cs="Arial"/>
                <w:sz w:val="20"/>
              </w:rPr>
            </w:pPr>
          </w:p>
        </w:tc>
        <w:tc>
          <w:tcPr>
            <w:tcW w:w="2126" w:type="dxa"/>
            <w:vMerge/>
          </w:tcPr>
          <w:p w14:paraId="454A7334" w14:textId="77777777" w:rsidR="00CE363F" w:rsidRPr="00372FDE" w:rsidRDefault="00CE363F" w:rsidP="00CE363F">
            <w:pPr>
              <w:rPr>
                <w:rFonts w:ascii="Arial" w:hAnsi="Arial" w:cs="Arial"/>
                <w:sz w:val="20"/>
              </w:rPr>
            </w:pPr>
          </w:p>
        </w:tc>
        <w:tc>
          <w:tcPr>
            <w:tcW w:w="2126" w:type="dxa"/>
            <w:vMerge/>
          </w:tcPr>
          <w:p w14:paraId="5432673C" w14:textId="77777777" w:rsidR="00CE363F" w:rsidRPr="00372FDE" w:rsidRDefault="00CE363F" w:rsidP="00CE363F">
            <w:pPr>
              <w:rPr>
                <w:rFonts w:ascii="Arial" w:hAnsi="Arial" w:cs="Arial"/>
                <w:sz w:val="20"/>
              </w:rPr>
            </w:pPr>
          </w:p>
        </w:tc>
        <w:tc>
          <w:tcPr>
            <w:tcW w:w="3827" w:type="dxa"/>
          </w:tcPr>
          <w:p w14:paraId="2CAF3E5E" w14:textId="44A1A662" w:rsidR="00CE363F" w:rsidRPr="00372FDE" w:rsidRDefault="00CE363F" w:rsidP="00CE363F">
            <w:pPr>
              <w:pStyle w:val="ListBullet"/>
              <w:spacing w:after="120"/>
            </w:pPr>
            <w:r w:rsidRPr="00372FDE">
              <w:t xml:space="preserve">Clinical claim: </w:t>
            </w:r>
            <w:r w:rsidRPr="00372FDE">
              <w:rPr>
                <w:color w:val="000000"/>
                <w:lang w:eastAsia="en-AU"/>
              </w:rPr>
              <w:t>Superior comparative effectiveness and non-inferior comparative safety compared with placebo.</w:t>
            </w:r>
          </w:p>
        </w:tc>
        <w:tc>
          <w:tcPr>
            <w:tcW w:w="5245" w:type="dxa"/>
          </w:tcPr>
          <w:p w14:paraId="274490BF" w14:textId="0878E3BC" w:rsidR="00CE363F" w:rsidRPr="00372FDE" w:rsidRDefault="00CE363F" w:rsidP="00CE363F">
            <w:pPr>
              <w:autoSpaceDE w:val="0"/>
              <w:autoSpaceDN w:val="0"/>
              <w:spacing w:after="120"/>
              <w:rPr>
                <w:rFonts w:ascii="Arial" w:hAnsi="Arial" w:cs="Arial"/>
                <w:sz w:val="20"/>
              </w:rPr>
            </w:pPr>
            <w:r w:rsidRPr="00372FDE">
              <w:rPr>
                <w:rFonts w:ascii="Arial" w:hAnsi="Arial" w:cs="Arial"/>
                <w:sz w:val="20"/>
              </w:rPr>
              <w:t xml:space="preserve">The PBAC accepted the claim of superior comparative efficacy of bezlotoxumab compared with placebo, although the PBAC considered that the magnitude of benefit was modest. </w:t>
            </w:r>
          </w:p>
          <w:p w14:paraId="59F86042" w14:textId="2FF2BC4A" w:rsidR="00CE363F" w:rsidRPr="00372FDE" w:rsidRDefault="00CE363F" w:rsidP="002E3BD6">
            <w:pPr>
              <w:spacing w:after="120"/>
              <w:rPr>
                <w:rFonts w:ascii="Arial" w:hAnsi="Arial" w:cs="Arial"/>
                <w:sz w:val="20"/>
                <w:highlight w:val="yellow"/>
              </w:rPr>
            </w:pPr>
            <w:r w:rsidRPr="00372FDE">
              <w:rPr>
                <w:rFonts w:ascii="Arial" w:hAnsi="Arial" w:cs="Arial"/>
                <w:sz w:val="20"/>
              </w:rPr>
              <w:t>The PBAC did not accept the claim of non-inferior comparative safety as it considered</w:t>
            </w:r>
            <w:r w:rsidR="0001397B">
              <w:rPr>
                <w:rFonts w:ascii="Arial" w:hAnsi="Arial" w:cs="Arial"/>
                <w:sz w:val="20"/>
              </w:rPr>
              <w:t xml:space="preserve"> there was</w:t>
            </w:r>
            <w:r w:rsidRPr="00372FDE">
              <w:rPr>
                <w:rFonts w:ascii="Arial" w:hAnsi="Arial" w:cs="Arial"/>
                <w:sz w:val="20"/>
              </w:rPr>
              <w:t xml:space="preserve"> </w:t>
            </w:r>
            <w:bookmarkStart w:id="0" w:name="_GoBack"/>
            <w:bookmarkEnd w:id="0"/>
            <w:r w:rsidRPr="00372FDE">
              <w:rPr>
                <w:rFonts w:ascii="Arial" w:hAnsi="Arial" w:cs="Arial"/>
                <w:sz w:val="20"/>
              </w:rPr>
              <w:t>an increased risk of exacerbation of congestive heart failure for patients treated with bezlotoxumab remained.</w:t>
            </w:r>
          </w:p>
        </w:tc>
      </w:tr>
      <w:tr w:rsidR="00CE363F" w:rsidRPr="00372FDE" w14:paraId="08BE699B" w14:textId="77777777" w:rsidTr="000805C6">
        <w:trPr>
          <w:trHeight w:val="433"/>
        </w:trPr>
        <w:tc>
          <w:tcPr>
            <w:tcW w:w="2127" w:type="dxa"/>
            <w:vMerge/>
          </w:tcPr>
          <w:p w14:paraId="22DB0089" w14:textId="77777777" w:rsidR="00CE363F" w:rsidRPr="00372FDE" w:rsidRDefault="00CE363F" w:rsidP="00CE363F">
            <w:pPr>
              <w:rPr>
                <w:rFonts w:ascii="Arial" w:hAnsi="Arial" w:cs="Arial"/>
                <w:sz w:val="20"/>
              </w:rPr>
            </w:pPr>
          </w:p>
        </w:tc>
        <w:tc>
          <w:tcPr>
            <w:tcW w:w="2126" w:type="dxa"/>
            <w:vMerge/>
          </w:tcPr>
          <w:p w14:paraId="46B05937" w14:textId="77777777" w:rsidR="00CE363F" w:rsidRPr="00372FDE" w:rsidRDefault="00CE363F" w:rsidP="00CE363F">
            <w:pPr>
              <w:rPr>
                <w:rFonts w:ascii="Arial" w:hAnsi="Arial" w:cs="Arial"/>
                <w:sz w:val="20"/>
              </w:rPr>
            </w:pPr>
          </w:p>
        </w:tc>
        <w:tc>
          <w:tcPr>
            <w:tcW w:w="2126" w:type="dxa"/>
            <w:vMerge/>
          </w:tcPr>
          <w:p w14:paraId="765B7DD3" w14:textId="77777777" w:rsidR="00CE363F" w:rsidRPr="00372FDE" w:rsidRDefault="00CE363F" w:rsidP="00CE363F">
            <w:pPr>
              <w:rPr>
                <w:rFonts w:ascii="Arial" w:hAnsi="Arial" w:cs="Arial"/>
                <w:sz w:val="20"/>
              </w:rPr>
            </w:pPr>
          </w:p>
        </w:tc>
        <w:tc>
          <w:tcPr>
            <w:tcW w:w="3827" w:type="dxa"/>
          </w:tcPr>
          <w:p w14:paraId="2EF7089B" w14:textId="20C54684" w:rsidR="00CE363F" w:rsidRPr="00372FDE" w:rsidRDefault="00CE363F" w:rsidP="00CE363F">
            <w:pPr>
              <w:pStyle w:val="ListBullet"/>
              <w:spacing w:after="120"/>
            </w:pPr>
            <w:r w:rsidRPr="00372FDE">
              <w:t xml:space="preserve">Economic claim: </w:t>
            </w:r>
            <w:r w:rsidRPr="00372FDE">
              <w:rPr>
                <w:color w:val="000000"/>
                <w:lang w:eastAsia="en-AU"/>
              </w:rPr>
              <w:t>Cost-effectiveness basis compared with standard of care (oral antibiotics).</w:t>
            </w:r>
          </w:p>
        </w:tc>
        <w:tc>
          <w:tcPr>
            <w:tcW w:w="5245" w:type="dxa"/>
          </w:tcPr>
          <w:p w14:paraId="5611ED03" w14:textId="177DC14A" w:rsidR="00CE363F" w:rsidRPr="00367958" w:rsidRDefault="00367958" w:rsidP="00F562A0">
            <w:pPr>
              <w:rPr>
                <w:color w:val="1F497D"/>
                <w:sz w:val="22"/>
              </w:rPr>
            </w:pPr>
            <w:r>
              <w:rPr>
                <w:rFonts w:ascii="Arial" w:hAnsi="Arial" w:cs="Arial"/>
                <w:sz w:val="20"/>
              </w:rPr>
              <w:t xml:space="preserve">The PBAC noted the base case ICER in the resubmission was highly sensitive to the assumed CDI recurrence rates </w:t>
            </w:r>
            <w:r w:rsidRPr="00F562A0">
              <w:rPr>
                <w:rFonts w:ascii="Arial" w:hAnsi="Arial" w:cs="Arial"/>
                <w:sz w:val="20"/>
              </w:rPr>
              <w:t>and it was uncertain whether CDI recurrence rates reported in the MODIFY trials were applicable to the Australian setting</w:t>
            </w:r>
            <w:r w:rsidRPr="00F562A0">
              <w:rPr>
                <w:rFonts w:ascii="Arial" w:hAnsi="Arial" w:cs="Arial"/>
                <w:sz w:val="20"/>
                <w:lang w:val="en-GB"/>
              </w:rPr>
              <w:t>. The PBAC</w:t>
            </w:r>
            <w:r>
              <w:rPr>
                <w:rFonts w:ascii="Arial" w:hAnsi="Arial" w:cs="Arial"/>
                <w:sz w:val="20"/>
                <w:lang w:val="en-GB"/>
              </w:rPr>
              <w:t xml:space="preserve"> further noted that the ICER was uncertain due to the assumed mortality benefit not being supported by the trial data and the reduced efficacy in the trials in patients aged less than 65 years. The PBAC noted the lower effective price proposed in the pre-PBAC response, however </w:t>
            </w:r>
            <w:r>
              <w:rPr>
                <w:rFonts w:ascii="Arial" w:hAnsi="Arial" w:cs="Arial"/>
                <w:sz w:val="20"/>
                <w:lang w:val="en-GB"/>
              </w:rPr>
              <w:lastRenderedPageBreak/>
              <w:t>considered the resulting ICER unreliable for the aforementioned reasons.</w:t>
            </w:r>
          </w:p>
        </w:tc>
      </w:tr>
      <w:tr w:rsidR="00CE363F" w:rsidRPr="00372FDE" w14:paraId="709553D2" w14:textId="77777777" w:rsidTr="000805C6">
        <w:trPr>
          <w:trHeight w:val="433"/>
        </w:trPr>
        <w:tc>
          <w:tcPr>
            <w:tcW w:w="2127" w:type="dxa"/>
            <w:vMerge/>
          </w:tcPr>
          <w:p w14:paraId="728DCB3D" w14:textId="77777777" w:rsidR="00CE363F" w:rsidRPr="00372FDE" w:rsidRDefault="00CE363F" w:rsidP="00CE363F">
            <w:pPr>
              <w:rPr>
                <w:rFonts w:ascii="Arial" w:hAnsi="Arial" w:cs="Arial"/>
                <w:sz w:val="20"/>
              </w:rPr>
            </w:pPr>
          </w:p>
        </w:tc>
        <w:tc>
          <w:tcPr>
            <w:tcW w:w="2126" w:type="dxa"/>
            <w:vMerge/>
          </w:tcPr>
          <w:p w14:paraId="44BAE9A8" w14:textId="77777777" w:rsidR="00CE363F" w:rsidRPr="00372FDE" w:rsidRDefault="00CE363F" w:rsidP="00CE363F">
            <w:pPr>
              <w:rPr>
                <w:rFonts w:ascii="Arial" w:hAnsi="Arial" w:cs="Arial"/>
                <w:sz w:val="20"/>
              </w:rPr>
            </w:pPr>
          </w:p>
        </w:tc>
        <w:tc>
          <w:tcPr>
            <w:tcW w:w="2126" w:type="dxa"/>
            <w:vMerge/>
          </w:tcPr>
          <w:p w14:paraId="51A2ADAB" w14:textId="77777777" w:rsidR="00CE363F" w:rsidRPr="00372FDE" w:rsidRDefault="00CE363F" w:rsidP="00CE363F">
            <w:pPr>
              <w:rPr>
                <w:rFonts w:ascii="Arial" w:hAnsi="Arial" w:cs="Arial"/>
                <w:sz w:val="20"/>
              </w:rPr>
            </w:pPr>
          </w:p>
        </w:tc>
        <w:tc>
          <w:tcPr>
            <w:tcW w:w="3827" w:type="dxa"/>
          </w:tcPr>
          <w:p w14:paraId="68ED5894" w14:textId="0DFF94DF" w:rsidR="00CE363F" w:rsidRPr="000F6967" w:rsidRDefault="00CE363F" w:rsidP="00C91B1E">
            <w:pPr>
              <w:pStyle w:val="ListBullet"/>
              <w:jc w:val="right"/>
              <w:rPr>
                <w:highlight w:val="yellow"/>
              </w:rPr>
            </w:pPr>
            <w:r w:rsidRPr="00E95308">
              <w:t xml:space="preserve">Sponsor’s comment: </w:t>
            </w:r>
          </w:p>
        </w:tc>
        <w:tc>
          <w:tcPr>
            <w:tcW w:w="5245" w:type="dxa"/>
          </w:tcPr>
          <w:p w14:paraId="746C0F56" w14:textId="7F38A5EC" w:rsidR="00CE363F" w:rsidRPr="000F6967" w:rsidRDefault="000F6967" w:rsidP="00CE363F">
            <w:pPr>
              <w:rPr>
                <w:rFonts w:ascii="Arial" w:hAnsi="Arial" w:cs="Arial"/>
                <w:sz w:val="20"/>
                <w:highlight w:val="yellow"/>
              </w:rPr>
            </w:pPr>
            <w:r w:rsidRPr="00E95308">
              <w:rPr>
                <w:rFonts w:ascii="Arial" w:hAnsi="Arial" w:cs="Arial"/>
                <w:sz w:val="20"/>
              </w:rPr>
              <w:t>MSD is disappointed in the PBAC outcome and will continue working to provide access for Australian patients with CDI.</w:t>
            </w:r>
          </w:p>
        </w:tc>
      </w:tr>
      <w:tr w:rsidR="00CE363F" w:rsidRPr="00372FDE" w14:paraId="4F50982E" w14:textId="77777777" w:rsidTr="000805C6">
        <w:trPr>
          <w:trHeight w:val="433"/>
        </w:trPr>
        <w:tc>
          <w:tcPr>
            <w:tcW w:w="2127" w:type="dxa"/>
            <w:vMerge w:val="restart"/>
          </w:tcPr>
          <w:p w14:paraId="392E3BB1" w14:textId="77777777" w:rsidR="00CE363F" w:rsidRPr="00372FDE" w:rsidRDefault="00CE363F" w:rsidP="00CE363F">
            <w:pPr>
              <w:contextualSpacing/>
              <w:rPr>
                <w:rFonts w:ascii="Arial" w:hAnsi="Arial" w:cs="Arial"/>
                <w:sz w:val="20"/>
              </w:rPr>
            </w:pPr>
            <w:r w:rsidRPr="00372FDE">
              <w:rPr>
                <w:rFonts w:ascii="Arial" w:hAnsi="Arial" w:cs="Arial"/>
                <w:sz w:val="20"/>
              </w:rPr>
              <w:t>DENOSUMAB</w:t>
            </w:r>
          </w:p>
          <w:p w14:paraId="3DB4D92E" w14:textId="77777777" w:rsidR="00CE363F" w:rsidRPr="00372FDE" w:rsidRDefault="00CE363F" w:rsidP="00CE363F">
            <w:pPr>
              <w:contextualSpacing/>
              <w:rPr>
                <w:rFonts w:ascii="Arial" w:hAnsi="Arial" w:cs="Arial"/>
                <w:sz w:val="20"/>
              </w:rPr>
            </w:pPr>
          </w:p>
          <w:p w14:paraId="5DFC986B" w14:textId="77777777" w:rsidR="00CE363F" w:rsidRPr="00372FDE" w:rsidRDefault="00CE363F" w:rsidP="00CE363F">
            <w:pPr>
              <w:contextualSpacing/>
              <w:rPr>
                <w:rFonts w:ascii="Arial" w:hAnsi="Arial" w:cs="Arial"/>
                <w:sz w:val="20"/>
              </w:rPr>
            </w:pPr>
            <w:r w:rsidRPr="00372FDE">
              <w:rPr>
                <w:rFonts w:ascii="Arial" w:hAnsi="Arial" w:cs="Arial"/>
                <w:sz w:val="20"/>
              </w:rPr>
              <w:t>Injection 120 mg in 1.7 mL</w:t>
            </w:r>
          </w:p>
          <w:p w14:paraId="3E70317D" w14:textId="77777777" w:rsidR="00CE363F" w:rsidRPr="00372FDE" w:rsidRDefault="00CE363F" w:rsidP="00CE363F">
            <w:pPr>
              <w:contextualSpacing/>
              <w:rPr>
                <w:rFonts w:ascii="Arial" w:hAnsi="Arial" w:cs="Arial"/>
                <w:sz w:val="20"/>
              </w:rPr>
            </w:pPr>
          </w:p>
          <w:p w14:paraId="71276279" w14:textId="77777777" w:rsidR="00CE363F" w:rsidRPr="00372FDE" w:rsidRDefault="00CE363F" w:rsidP="00CE363F">
            <w:pPr>
              <w:contextualSpacing/>
              <w:rPr>
                <w:rFonts w:ascii="Arial" w:hAnsi="Arial" w:cs="Arial"/>
                <w:sz w:val="20"/>
              </w:rPr>
            </w:pPr>
            <w:r w:rsidRPr="00372FDE">
              <w:rPr>
                <w:rFonts w:ascii="Arial" w:hAnsi="Arial" w:cs="Arial"/>
                <w:sz w:val="20"/>
              </w:rPr>
              <w:t>Xgeva</w:t>
            </w:r>
            <w:r w:rsidRPr="00372FDE">
              <w:rPr>
                <w:rFonts w:ascii="Arial" w:hAnsi="Arial" w:cs="Arial"/>
                <w:sz w:val="20"/>
                <w:vertAlign w:val="superscript"/>
              </w:rPr>
              <w:t>®</w:t>
            </w:r>
          </w:p>
          <w:p w14:paraId="0EF9A28A" w14:textId="77777777" w:rsidR="00CE363F" w:rsidRPr="00372FDE" w:rsidRDefault="00CE363F" w:rsidP="00CE363F">
            <w:pPr>
              <w:contextualSpacing/>
              <w:rPr>
                <w:rFonts w:ascii="Arial" w:hAnsi="Arial" w:cs="Arial"/>
                <w:sz w:val="20"/>
              </w:rPr>
            </w:pPr>
          </w:p>
          <w:p w14:paraId="19DD2EE0" w14:textId="77777777" w:rsidR="00CE363F" w:rsidRPr="00372FDE" w:rsidRDefault="00CE363F" w:rsidP="00CE363F">
            <w:pPr>
              <w:contextualSpacing/>
              <w:rPr>
                <w:rFonts w:ascii="Arial" w:hAnsi="Arial" w:cs="Arial"/>
                <w:sz w:val="20"/>
              </w:rPr>
            </w:pPr>
            <w:r w:rsidRPr="00372FDE">
              <w:rPr>
                <w:rFonts w:ascii="Arial" w:hAnsi="Arial" w:cs="Arial"/>
                <w:sz w:val="20"/>
              </w:rPr>
              <w:t>Amgen Australia Pty Ltd</w:t>
            </w:r>
          </w:p>
          <w:p w14:paraId="555BF754" w14:textId="77777777" w:rsidR="00CE363F" w:rsidRPr="00372FDE" w:rsidRDefault="00CE363F" w:rsidP="00CE363F">
            <w:pPr>
              <w:contextualSpacing/>
              <w:rPr>
                <w:rFonts w:ascii="Arial" w:hAnsi="Arial" w:cs="Arial"/>
                <w:sz w:val="20"/>
              </w:rPr>
            </w:pPr>
          </w:p>
          <w:p w14:paraId="442C34F2" w14:textId="77777777" w:rsidR="00CE363F" w:rsidRPr="00372FDE" w:rsidRDefault="00CE363F" w:rsidP="00CE363F">
            <w:pPr>
              <w:contextualSpacing/>
              <w:rPr>
                <w:rFonts w:ascii="Arial" w:hAnsi="Arial" w:cs="Arial"/>
                <w:sz w:val="20"/>
              </w:rPr>
            </w:pPr>
            <w:r w:rsidRPr="00372FDE">
              <w:rPr>
                <w:rFonts w:ascii="Arial" w:hAnsi="Arial" w:cs="Arial"/>
                <w:sz w:val="20"/>
              </w:rPr>
              <w:t>Change to listing</w:t>
            </w:r>
          </w:p>
          <w:p w14:paraId="6EF8032D" w14:textId="44922A6A" w:rsidR="00CE363F" w:rsidRPr="00372FDE" w:rsidRDefault="00CE363F" w:rsidP="00CE363F">
            <w:pPr>
              <w:contextualSpacing/>
              <w:rPr>
                <w:rFonts w:ascii="Arial" w:hAnsi="Arial" w:cs="Arial"/>
                <w:sz w:val="20"/>
                <w:highlight w:val="yellow"/>
              </w:rPr>
            </w:pPr>
            <w:r w:rsidRPr="00372FDE">
              <w:rPr>
                <w:rFonts w:ascii="Arial" w:hAnsi="Arial" w:cs="Arial"/>
                <w:sz w:val="20"/>
              </w:rPr>
              <w:t>(Major Submission)</w:t>
            </w:r>
          </w:p>
        </w:tc>
        <w:tc>
          <w:tcPr>
            <w:tcW w:w="2126" w:type="dxa"/>
            <w:vMerge w:val="restart"/>
          </w:tcPr>
          <w:p w14:paraId="3B9EB854" w14:textId="7D7AE5FD" w:rsidR="00CE363F" w:rsidRPr="00372FDE" w:rsidRDefault="00CE363F" w:rsidP="00CE363F">
            <w:pPr>
              <w:rPr>
                <w:rFonts w:ascii="Arial" w:hAnsi="Arial" w:cs="Arial"/>
                <w:sz w:val="20"/>
                <w:highlight w:val="yellow"/>
              </w:rPr>
            </w:pPr>
            <w:r w:rsidRPr="00372FDE">
              <w:rPr>
                <w:rFonts w:ascii="Arial" w:hAnsi="Arial" w:cs="Arial"/>
                <w:sz w:val="20"/>
              </w:rPr>
              <w:t>The prevention of skeletal related events in patients with multiple myeloma and in patients with bone metastases from solid tumours.</w:t>
            </w:r>
          </w:p>
        </w:tc>
        <w:tc>
          <w:tcPr>
            <w:tcW w:w="2126" w:type="dxa"/>
            <w:vMerge w:val="restart"/>
          </w:tcPr>
          <w:p w14:paraId="53124668" w14:textId="63E01A0F" w:rsidR="00CE363F" w:rsidRPr="00372FDE" w:rsidRDefault="00CE363F" w:rsidP="00CE363F">
            <w:pPr>
              <w:rPr>
                <w:rFonts w:ascii="Arial" w:hAnsi="Arial" w:cs="Arial"/>
                <w:sz w:val="20"/>
                <w:highlight w:val="yellow"/>
              </w:rPr>
            </w:pPr>
            <w:r w:rsidRPr="00372FDE">
              <w:rPr>
                <w:rFonts w:ascii="Arial" w:hAnsi="Arial" w:cs="Arial"/>
                <w:sz w:val="20"/>
              </w:rPr>
              <w:t>Denosumab is currently PBS listed for giant cell tumour of bone, bone metastases from breast cancer or from castrate resistant prostate cancer, and osteoporosis in patients with a bone mineral density T-score of -2.5 or less.</w:t>
            </w:r>
          </w:p>
        </w:tc>
        <w:tc>
          <w:tcPr>
            <w:tcW w:w="3827" w:type="dxa"/>
          </w:tcPr>
          <w:p w14:paraId="7F23E017" w14:textId="01ABFB9E" w:rsidR="00CE363F" w:rsidRPr="00372FDE" w:rsidRDefault="00CE363F" w:rsidP="00CE363F">
            <w:pPr>
              <w:keepLines/>
              <w:spacing w:after="120"/>
              <w:rPr>
                <w:rFonts w:ascii="Arial" w:hAnsi="Arial" w:cs="Arial"/>
                <w:sz w:val="20"/>
              </w:rPr>
            </w:pPr>
            <w:r w:rsidRPr="00372FDE">
              <w:rPr>
                <w:rFonts w:ascii="Arial" w:hAnsi="Arial" w:cs="Arial"/>
                <w:sz w:val="20"/>
              </w:rPr>
              <w:t xml:space="preserve">Resubmission to request an extension of the current Authority Required (STREAMLINED) listing to include patients with multiple myeloma who have renal impairment. </w:t>
            </w:r>
          </w:p>
        </w:tc>
        <w:tc>
          <w:tcPr>
            <w:tcW w:w="5245" w:type="dxa"/>
          </w:tcPr>
          <w:p w14:paraId="1E58CA2B" w14:textId="77777777" w:rsidR="00CE363F" w:rsidRPr="00372FDE" w:rsidRDefault="00CE363F" w:rsidP="00CE363F">
            <w:pPr>
              <w:spacing w:after="120"/>
              <w:rPr>
                <w:rFonts w:ascii="Arial" w:hAnsi="Arial" w:cs="Arial"/>
                <w:sz w:val="20"/>
                <w:highlight w:val="yellow"/>
              </w:rPr>
            </w:pPr>
            <w:r w:rsidRPr="00372FDE">
              <w:rPr>
                <w:rFonts w:ascii="Arial" w:hAnsi="Arial" w:cs="Arial"/>
                <w:sz w:val="20"/>
              </w:rPr>
              <w:t>The PBAC did not recommend extending the current listing of denosumab to include the treatment of patients with multiple myeloma who have renal impairment.</w:t>
            </w:r>
          </w:p>
        </w:tc>
      </w:tr>
      <w:tr w:rsidR="00CE363F" w:rsidRPr="00372FDE" w14:paraId="4FA750D5" w14:textId="77777777" w:rsidTr="000805C6">
        <w:trPr>
          <w:trHeight w:val="433"/>
        </w:trPr>
        <w:tc>
          <w:tcPr>
            <w:tcW w:w="2127" w:type="dxa"/>
            <w:vMerge/>
          </w:tcPr>
          <w:p w14:paraId="61EAFE44" w14:textId="77777777" w:rsidR="00CE363F" w:rsidRPr="00372FDE" w:rsidRDefault="00CE363F" w:rsidP="00CE363F">
            <w:pPr>
              <w:rPr>
                <w:rFonts w:ascii="Arial" w:hAnsi="Arial" w:cs="Arial"/>
                <w:sz w:val="20"/>
              </w:rPr>
            </w:pPr>
          </w:p>
        </w:tc>
        <w:tc>
          <w:tcPr>
            <w:tcW w:w="2126" w:type="dxa"/>
            <w:vMerge/>
          </w:tcPr>
          <w:p w14:paraId="0F296394" w14:textId="77777777" w:rsidR="00CE363F" w:rsidRPr="00372FDE" w:rsidRDefault="00CE363F" w:rsidP="00CE363F">
            <w:pPr>
              <w:rPr>
                <w:rFonts w:ascii="Arial" w:hAnsi="Arial" w:cs="Arial"/>
                <w:sz w:val="20"/>
              </w:rPr>
            </w:pPr>
          </w:p>
        </w:tc>
        <w:tc>
          <w:tcPr>
            <w:tcW w:w="2126" w:type="dxa"/>
            <w:vMerge/>
          </w:tcPr>
          <w:p w14:paraId="41DDD552" w14:textId="77777777" w:rsidR="00CE363F" w:rsidRPr="00372FDE" w:rsidRDefault="00CE363F" w:rsidP="00CE363F">
            <w:pPr>
              <w:rPr>
                <w:rFonts w:ascii="Arial" w:hAnsi="Arial" w:cs="Arial"/>
                <w:sz w:val="20"/>
              </w:rPr>
            </w:pPr>
          </w:p>
        </w:tc>
        <w:tc>
          <w:tcPr>
            <w:tcW w:w="3827" w:type="dxa"/>
          </w:tcPr>
          <w:p w14:paraId="764D793C" w14:textId="3DE08024" w:rsidR="00CE363F" w:rsidRPr="00372FDE" w:rsidRDefault="00CE363F" w:rsidP="00CE363F">
            <w:pPr>
              <w:pStyle w:val="ListBullet"/>
              <w:spacing w:after="120"/>
            </w:pPr>
            <w:r w:rsidRPr="00372FDE">
              <w:t>Comparator: zoledronic acid and pamidronate.</w:t>
            </w:r>
          </w:p>
          <w:p w14:paraId="1530F9D2" w14:textId="77777777" w:rsidR="00CE363F" w:rsidRPr="00372FDE" w:rsidRDefault="00CE363F" w:rsidP="00CE363F">
            <w:pPr>
              <w:pStyle w:val="ListBullet"/>
              <w:spacing w:after="120"/>
            </w:pPr>
          </w:p>
        </w:tc>
        <w:tc>
          <w:tcPr>
            <w:tcW w:w="5245" w:type="dxa"/>
          </w:tcPr>
          <w:p w14:paraId="1CB7BBAB" w14:textId="606ED734" w:rsidR="00CE363F" w:rsidRPr="00372FDE" w:rsidRDefault="00CE363F" w:rsidP="00CE363F">
            <w:pPr>
              <w:spacing w:after="120"/>
              <w:rPr>
                <w:rFonts w:ascii="Arial" w:hAnsi="Arial" w:cs="Arial"/>
                <w:sz w:val="20"/>
                <w:highlight w:val="yellow"/>
              </w:rPr>
            </w:pPr>
            <w:r w:rsidRPr="00372FDE">
              <w:rPr>
                <w:rFonts w:ascii="Arial" w:hAnsi="Arial" w:cs="Arial"/>
                <w:sz w:val="20"/>
              </w:rPr>
              <w:t>The PBAC accepted that zoledronic acid and</w:t>
            </w:r>
            <w:r>
              <w:rPr>
                <w:rFonts w:ascii="Arial" w:hAnsi="Arial" w:cs="Arial"/>
                <w:sz w:val="20"/>
              </w:rPr>
              <w:t xml:space="preserve"> </w:t>
            </w:r>
            <w:r w:rsidRPr="00372FDE">
              <w:rPr>
                <w:rFonts w:ascii="Arial" w:hAnsi="Arial" w:cs="Arial"/>
                <w:sz w:val="20"/>
              </w:rPr>
              <w:t>pamidronate were appropriate comparators.</w:t>
            </w:r>
          </w:p>
        </w:tc>
      </w:tr>
      <w:tr w:rsidR="00CE363F" w:rsidRPr="00372FDE" w14:paraId="0358325A" w14:textId="77777777" w:rsidTr="000805C6">
        <w:trPr>
          <w:trHeight w:val="433"/>
        </w:trPr>
        <w:tc>
          <w:tcPr>
            <w:tcW w:w="2127" w:type="dxa"/>
            <w:vMerge/>
          </w:tcPr>
          <w:p w14:paraId="60D4E0AE" w14:textId="77777777" w:rsidR="00CE363F" w:rsidRPr="00372FDE" w:rsidRDefault="00CE363F" w:rsidP="00CE363F">
            <w:pPr>
              <w:rPr>
                <w:rFonts w:ascii="Arial" w:hAnsi="Arial" w:cs="Arial"/>
                <w:sz w:val="20"/>
              </w:rPr>
            </w:pPr>
          </w:p>
        </w:tc>
        <w:tc>
          <w:tcPr>
            <w:tcW w:w="2126" w:type="dxa"/>
            <w:vMerge/>
          </w:tcPr>
          <w:p w14:paraId="61BC633A" w14:textId="77777777" w:rsidR="00CE363F" w:rsidRPr="00372FDE" w:rsidRDefault="00CE363F" w:rsidP="00CE363F">
            <w:pPr>
              <w:rPr>
                <w:rFonts w:ascii="Arial" w:hAnsi="Arial" w:cs="Arial"/>
                <w:sz w:val="20"/>
              </w:rPr>
            </w:pPr>
          </w:p>
        </w:tc>
        <w:tc>
          <w:tcPr>
            <w:tcW w:w="2126" w:type="dxa"/>
            <w:vMerge/>
          </w:tcPr>
          <w:p w14:paraId="1337971E" w14:textId="77777777" w:rsidR="00CE363F" w:rsidRPr="00372FDE" w:rsidRDefault="00CE363F" w:rsidP="00CE363F">
            <w:pPr>
              <w:rPr>
                <w:rFonts w:ascii="Arial" w:hAnsi="Arial" w:cs="Arial"/>
                <w:sz w:val="20"/>
              </w:rPr>
            </w:pPr>
          </w:p>
        </w:tc>
        <w:tc>
          <w:tcPr>
            <w:tcW w:w="3827" w:type="dxa"/>
          </w:tcPr>
          <w:p w14:paraId="4900A0DF" w14:textId="0F22D5AB" w:rsidR="00CE363F" w:rsidRPr="00372FDE" w:rsidRDefault="00CE363F" w:rsidP="00CE363F">
            <w:pPr>
              <w:pStyle w:val="ListBullet"/>
              <w:spacing w:after="120"/>
            </w:pPr>
            <w:r w:rsidRPr="00372FDE">
              <w:t>Clinical claim: non-inferior comparative effectiveness for prevention of skeletal related events, superior comparative safety due to a lower incidence of renal adverse events.</w:t>
            </w:r>
          </w:p>
        </w:tc>
        <w:tc>
          <w:tcPr>
            <w:tcW w:w="5245" w:type="dxa"/>
          </w:tcPr>
          <w:p w14:paraId="38287689" w14:textId="4E10F007" w:rsidR="00CE363F" w:rsidRPr="00372FDE" w:rsidRDefault="00CE363F" w:rsidP="00CE363F">
            <w:pPr>
              <w:spacing w:after="120"/>
              <w:rPr>
                <w:rFonts w:ascii="Arial" w:hAnsi="Arial" w:cs="Arial"/>
                <w:sz w:val="20"/>
                <w:highlight w:val="yellow"/>
              </w:rPr>
            </w:pPr>
            <w:r w:rsidRPr="00372FDE">
              <w:rPr>
                <w:rFonts w:ascii="Arial" w:hAnsi="Arial" w:cs="Arial"/>
                <w:sz w:val="20"/>
              </w:rPr>
              <w:t xml:space="preserve">Although the clinical evidence indicated likely non-inferiority to zoledronic acid for the outcome of skeletal-related events, the PBAC considered there was an inadequate basis for accepting the claim of superior safety compared with zoledronic acid. </w:t>
            </w:r>
          </w:p>
        </w:tc>
      </w:tr>
      <w:tr w:rsidR="00CE363F" w:rsidRPr="00372FDE" w14:paraId="3FF7F9D0" w14:textId="77777777" w:rsidTr="000805C6">
        <w:trPr>
          <w:trHeight w:val="433"/>
        </w:trPr>
        <w:tc>
          <w:tcPr>
            <w:tcW w:w="2127" w:type="dxa"/>
            <w:vMerge/>
          </w:tcPr>
          <w:p w14:paraId="69904C3B" w14:textId="77777777" w:rsidR="00CE363F" w:rsidRPr="00372FDE" w:rsidRDefault="00CE363F" w:rsidP="00CE363F">
            <w:pPr>
              <w:rPr>
                <w:rFonts w:ascii="Arial" w:hAnsi="Arial" w:cs="Arial"/>
                <w:sz w:val="20"/>
              </w:rPr>
            </w:pPr>
          </w:p>
        </w:tc>
        <w:tc>
          <w:tcPr>
            <w:tcW w:w="2126" w:type="dxa"/>
            <w:vMerge/>
          </w:tcPr>
          <w:p w14:paraId="5FC973B6" w14:textId="77777777" w:rsidR="00CE363F" w:rsidRPr="00372FDE" w:rsidRDefault="00CE363F" w:rsidP="00CE363F">
            <w:pPr>
              <w:rPr>
                <w:rFonts w:ascii="Arial" w:hAnsi="Arial" w:cs="Arial"/>
                <w:sz w:val="20"/>
              </w:rPr>
            </w:pPr>
          </w:p>
        </w:tc>
        <w:tc>
          <w:tcPr>
            <w:tcW w:w="2126" w:type="dxa"/>
            <w:vMerge/>
          </w:tcPr>
          <w:p w14:paraId="4E68E5C2" w14:textId="77777777" w:rsidR="00CE363F" w:rsidRPr="00372FDE" w:rsidRDefault="00CE363F" w:rsidP="00CE363F">
            <w:pPr>
              <w:rPr>
                <w:rFonts w:ascii="Arial" w:hAnsi="Arial" w:cs="Arial"/>
                <w:sz w:val="20"/>
              </w:rPr>
            </w:pPr>
          </w:p>
        </w:tc>
        <w:tc>
          <w:tcPr>
            <w:tcW w:w="3827" w:type="dxa"/>
          </w:tcPr>
          <w:p w14:paraId="294318BF" w14:textId="0E2E3F59" w:rsidR="00CE363F" w:rsidRPr="00372FDE" w:rsidRDefault="00CE363F" w:rsidP="00CE363F">
            <w:pPr>
              <w:pStyle w:val="ListBullet"/>
              <w:spacing w:after="120"/>
            </w:pPr>
            <w:r w:rsidRPr="00372FDE">
              <w:t>Economic claim: cost-utility compared with zoledronic acid, with cost-offsets for infusion costs.</w:t>
            </w:r>
          </w:p>
          <w:p w14:paraId="0E1925FD" w14:textId="77777777" w:rsidR="00CE363F" w:rsidRPr="00372FDE" w:rsidRDefault="00CE363F" w:rsidP="00CE363F">
            <w:pPr>
              <w:pStyle w:val="ListBullet"/>
              <w:spacing w:after="120"/>
            </w:pPr>
          </w:p>
        </w:tc>
        <w:tc>
          <w:tcPr>
            <w:tcW w:w="5245" w:type="dxa"/>
          </w:tcPr>
          <w:p w14:paraId="75D32323" w14:textId="77777777" w:rsidR="00CE363F" w:rsidRPr="00372FDE" w:rsidRDefault="00CE363F" w:rsidP="00CE363F">
            <w:pPr>
              <w:pStyle w:val="ListParagraph"/>
              <w:spacing w:after="120"/>
              <w:ind w:left="0"/>
              <w:rPr>
                <w:rFonts w:ascii="Arial" w:hAnsi="Arial" w:cs="Arial"/>
                <w:sz w:val="20"/>
                <w:szCs w:val="20"/>
                <w:highlight w:val="yellow"/>
              </w:rPr>
            </w:pPr>
            <w:r w:rsidRPr="00372FDE">
              <w:rPr>
                <w:rFonts w:ascii="Arial" w:hAnsi="Arial" w:cs="Arial"/>
                <w:sz w:val="20"/>
                <w:szCs w:val="20"/>
              </w:rPr>
              <w:t>The PBAC considered that the incremental cost-effectiveness based on renal adverse events avoided was not reasonable, as the analysis did not adequately capture the differences in safety profiles between the therapies.</w:t>
            </w:r>
          </w:p>
        </w:tc>
      </w:tr>
      <w:tr w:rsidR="00CE363F" w:rsidRPr="00372FDE" w14:paraId="70EEBED6" w14:textId="77777777" w:rsidTr="000805C6">
        <w:trPr>
          <w:trHeight w:val="433"/>
        </w:trPr>
        <w:tc>
          <w:tcPr>
            <w:tcW w:w="2127" w:type="dxa"/>
            <w:vMerge/>
          </w:tcPr>
          <w:p w14:paraId="27378365" w14:textId="77777777" w:rsidR="00CE363F" w:rsidRPr="00372FDE" w:rsidRDefault="00CE363F" w:rsidP="00CE363F">
            <w:pPr>
              <w:rPr>
                <w:rFonts w:ascii="Arial" w:hAnsi="Arial" w:cs="Arial"/>
                <w:sz w:val="20"/>
              </w:rPr>
            </w:pPr>
          </w:p>
        </w:tc>
        <w:tc>
          <w:tcPr>
            <w:tcW w:w="2126" w:type="dxa"/>
            <w:vMerge/>
          </w:tcPr>
          <w:p w14:paraId="17B88393" w14:textId="77777777" w:rsidR="00CE363F" w:rsidRPr="00372FDE" w:rsidRDefault="00CE363F" w:rsidP="00CE363F">
            <w:pPr>
              <w:rPr>
                <w:rFonts w:ascii="Arial" w:hAnsi="Arial" w:cs="Arial"/>
                <w:sz w:val="20"/>
              </w:rPr>
            </w:pPr>
          </w:p>
        </w:tc>
        <w:tc>
          <w:tcPr>
            <w:tcW w:w="2126" w:type="dxa"/>
            <w:vMerge/>
          </w:tcPr>
          <w:p w14:paraId="1C9C55A1" w14:textId="77777777" w:rsidR="00CE363F" w:rsidRPr="00372FDE" w:rsidRDefault="00CE363F" w:rsidP="00CE363F">
            <w:pPr>
              <w:rPr>
                <w:rFonts w:ascii="Arial" w:hAnsi="Arial" w:cs="Arial"/>
                <w:sz w:val="20"/>
              </w:rPr>
            </w:pPr>
          </w:p>
        </w:tc>
        <w:tc>
          <w:tcPr>
            <w:tcW w:w="3827" w:type="dxa"/>
          </w:tcPr>
          <w:p w14:paraId="3AA3A211" w14:textId="5521B369" w:rsidR="00CE363F" w:rsidRPr="00706EFA" w:rsidRDefault="00CE363F" w:rsidP="00C91B1E">
            <w:pPr>
              <w:pStyle w:val="ListBullet"/>
              <w:jc w:val="right"/>
            </w:pPr>
            <w:r w:rsidRPr="00706EFA">
              <w:t xml:space="preserve">Sponsor’s comment: </w:t>
            </w:r>
          </w:p>
        </w:tc>
        <w:tc>
          <w:tcPr>
            <w:tcW w:w="5245" w:type="dxa"/>
          </w:tcPr>
          <w:p w14:paraId="328D4722" w14:textId="66C1EAF3" w:rsidR="00CE363F" w:rsidRPr="00706EFA" w:rsidRDefault="00CE363F" w:rsidP="00CE363F">
            <w:pPr>
              <w:rPr>
                <w:rFonts w:ascii="Arial" w:hAnsi="Arial" w:cs="Arial"/>
                <w:sz w:val="20"/>
              </w:rPr>
            </w:pPr>
            <w:r w:rsidRPr="00706EFA">
              <w:rPr>
                <w:rFonts w:ascii="Arial" w:hAnsi="Arial" w:cs="Arial"/>
                <w:sz w:val="20"/>
              </w:rPr>
              <w:t>No comment</w:t>
            </w:r>
          </w:p>
        </w:tc>
      </w:tr>
      <w:tr w:rsidR="00CE363F" w:rsidRPr="00372FDE" w14:paraId="2F291A53" w14:textId="77777777" w:rsidTr="000805C6">
        <w:trPr>
          <w:trHeight w:val="433"/>
        </w:trPr>
        <w:tc>
          <w:tcPr>
            <w:tcW w:w="2127" w:type="dxa"/>
            <w:vMerge w:val="restart"/>
          </w:tcPr>
          <w:p w14:paraId="3353297D" w14:textId="5E4F9337" w:rsidR="00CE363F" w:rsidRPr="00372FDE" w:rsidRDefault="00CE363F" w:rsidP="00CE363F">
            <w:pPr>
              <w:rPr>
                <w:rFonts w:ascii="Arial" w:hAnsi="Arial" w:cs="Arial"/>
                <w:color w:val="000000"/>
                <w:sz w:val="20"/>
              </w:rPr>
            </w:pPr>
            <w:r w:rsidRPr="00372FDE">
              <w:rPr>
                <w:rFonts w:ascii="Arial" w:hAnsi="Arial" w:cs="Arial"/>
                <w:color w:val="000000"/>
                <w:sz w:val="20"/>
              </w:rPr>
              <w:t>DUPILUMAB</w:t>
            </w:r>
          </w:p>
          <w:p w14:paraId="2DCF966C" w14:textId="77777777" w:rsidR="00CE363F" w:rsidRPr="00372FDE" w:rsidRDefault="00CE363F" w:rsidP="00CE363F">
            <w:pPr>
              <w:rPr>
                <w:rFonts w:ascii="Arial" w:hAnsi="Arial" w:cs="Arial"/>
                <w:color w:val="000000"/>
                <w:sz w:val="20"/>
              </w:rPr>
            </w:pPr>
          </w:p>
          <w:p w14:paraId="6EF89283" w14:textId="5D7B9E54" w:rsidR="00CE363F" w:rsidRPr="00372FDE" w:rsidRDefault="00CE363F" w:rsidP="00CE363F">
            <w:pPr>
              <w:rPr>
                <w:rFonts w:ascii="Arial" w:hAnsi="Arial" w:cs="Arial"/>
                <w:color w:val="000000"/>
                <w:sz w:val="20"/>
              </w:rPr>
            </w:pPr>
            <w:r w:rsidRPr="00372FDE">
              <w:rPr>
                <w:rFonts w:ascii="Arial" w:hAnsi="Arial" w:cs="Arial"/>
                <w:color w:val="000000"/>
                <w:sz w:val="20"/>
              </w:rPr>
              <w:t>Injection 300 mg in 2 mL single use pre-filled syringe</w:t>
            </w:r>
          </w:p>
          <w:p w14:paraId="6A75DA53" w14:textId="77777777" w:rsidR="00CE363F" w:rsidRPr="00372FDE" w:rsidRDefault="00CE363F" w:rsidP="00CE363F">
            <w:pPr>
              <w:rPr>
                <w:rFonts w:ascii="Arial" w:hAnsi="Arial" w:cs="Arial"/>
                <w:color w:val="000000"/>
                <w:sz w:val="20"/>
              </w:rPr>
            </w:pPr>
          </w:p>
          <w:p w14:paraId="5119AC04" w14:textId="77777777" w:rsidR="00CE363F" w:rsidRPr="00372FDE" w:rsidRDefault="00CE363F" w:rsidP="00CE363F">
            <w:pPr>
              <w:rPr>
                <w:rFonts w:ascii="Arial" w:hAnsi="Arial" w:cs="Arial"/>
                <w:color w:val="000000"/>
                <w:sz w:val="20"/>
              </w:rPr>
            </w:pPr>
            <w:r w:rsidRPr="00372FDE">
              <w:rPr>
                <w:rFonts w:ascii="Arial" w:hAnsi="Arial" w:cs="Arial"/>
                <w:color w:val="000000"/>
                <w:sz w:val="20"/>
              </w:rPr>
              <w:lastRenderedPageBreak/>
              <w:t>Dupixent</w:t>
            </w:r>
            <w:r w:rsidRPr="00372FDE">
              <w:rPr>
                <w:rFonts w:ascii="Arial" w:hAnsi="Arial" w:cs="Arial"/>
                <w:color w:val="000000"/>
                <w:sz w:val="20"/>
                <w:vertAlign w:val="superscript"/>
              </w:rPr>
              <w:t>®</w:t>
            </w:r>
          </w:p>
          <w:p w14:paraId="7B5A4EB4" w14:textId="77777777" w:rsidR="00CE363F" w:rsidRPr="00372FDE" w:rsidRDefault="00CE363F" w:rsidP="00CE363F">
            <w:pPr>
              <w:rPr>
                <w:rFonts w:ascii="Arial" w:hAnsi="Arial" w:cs="Arial"/>
                <w:color w:val="000000"/>
                <w:sz w:val="20"/>
              </w:rPr>
            </w:pPr>
          </w:p>
          <w:p w14:paraId="6F1B6A96" w14:textId="390D3598" w:rsidR="00CE363F" w:rsidRPr="00372FDE" w:rsidRDefault="00CE363F" w:rsidP="00CE363F">
            <w:pPr>
              <w:rPr>
                <w:rFonts w:ascii="Arial" w:hAnsi="Arial" w:cs="Arial"/>
                <w:color w:val="000000"/>
                <w:sz w:val="20"/>
              </w:rPr>
            </w:pPr>
            <w:r w:rsidRPr="00372FDE">
              <w:rPr>
                <w:rFonts w:ascii="Arial" w:hAnsi="Arial" w:cs="Arial"/>
                <w:color w:val="000000"/>
                <w:sz w:val="20"/>
              </w:rPr>
              <w:t>Sanofi-Aventis Australia Pty Ltd</w:t>
            </w:r>
          </w:p>
          <w:p w14:paraId="1A461BDA" w14:textId="77777777" w:rsidR="00CE363F" w:rsidRPr="00372FDE" w:rsidRDefault="00CE363F" w:rsidP="00CE363F">
            <w:pPr>
              <w:rPr>
                <w:rFonts w:ascii="Arial" w:hAnsi="Arial" w:cs="Arial"/>
                <w:color w:val="000000"/>
                <w:sz w:val="20"/>
              </w:rPr>
            </w:pPr>
          </w:p>
          <w:p w14:paraId="3362C3BA" w14:textId="79891060" w:rsidR="00CE363F" w:rsidRPr="00372FDE" w:rsidRDefault="00CE363F" w:rsidP="00CE363F">
            <w:pPr>
              <w:rPr>
                <w:rFonts w:ascii="Arial" w:hAnsi="Arial" w:cs="Arial"/>
                <w:color w:val="000000"/>
                <w:sz w:val="20"/>
              </w:rPr>
            </w:pPr>
            <w:r w:rsidRPr="00372FDE">
              <w:rPr>
                <w:rFonts w:ascii="Arial" w:hAnsi="Arial" w:cs="Arial"/>
                <w:color w:val="000000"/>
                <w:sz w:val="20"/>
              </w:rPr>
              <w:t>New listing</w:t>
            </w:r>
          </w:p>
          <w:p w14:paraId="2C50B157" w14:textId="0D0D501A" w:rsidR="00CE363F" w:rsidRPr="00372FDE" w:rsidRDefault="00CE363F" w:rsidP="00CE363F">
            <w:pPr>
              <w:rPr>
                <w:rFonts w:ascii="Arial" w:hAnsi="Arial" w:cs="Arial"/>
                <w:sz w:val="20"/>
              </w:rPr>
            </w:pPr>
            <w:r w:rsidRPr="00372FDE">
              <w:rPr>
                <w:rFonts w:ascii="Arial" w:hAnsi="Arial" w:cs="Arial"/>
                <w:color w:val="000000"/>
                <w:sz w:val="20"/>
              </w:rPr>
              <w:t>(Major Submission)</w:t>
            </w:r>
          </w:p>
        </w:tc>
        <w:tc>
          <w:tcPr>
            <w:tcW w:w="2126" w:type="dxa"/>
            <w:vMerge w:val="restart"/>
          </w:tcPr>
          <w:p w14:paraId="2EB01C71" w14:textId="229514CD" w:rsidR="00CE363F" w:rsidRPr="00372FDE" w:rsidRDefault="00CE363F" w:rsidP="00CE363F">
            <w:pPr>
              <w:rPr>
                <w:rFonts w:ascii="Arial" w:hAnsi="Arial" w:cs="Arial"/>
                <w:sz w:val="20"/>
              </w:rPr>
            </w:pPr>
            <w:r w:rsidRPr="00372FDE">
              <w:rPr>
                <w:rFonts w:ascii="Arial" w:hAnsi="Arial" w:cs="Arial"/>
                <w:sz w:val="20"/>
              </w:rPr>
              <w:lastRenderedPageBreak/>
              <w:t xml:space="preserve">The treatment of moderate to severe atopic dermatitis (AD) in adult patients who are candidates for chronic </w:t>
            </w:r>
            <w:r w:rsidRPr="00372FDE">
              <w:rPr>
                <w:rFonts w:ascii="Arial" w:hAnsi="Arial" w:cs="Arial"/>
                <w:sz w:val="20"/>
              </w:rPr>
              <w:lastRenderedPageBreak/>
              <w:t>systematic therapy.</w:t>
            </w:r>
          </w:p>
        </w:tc>
        <w:tc>
          <w:tcPr>
            <w:tcW w:w="2126" w:type="dxa"/>
            <w:vMerge w:val="restart"/>
          </w:tcPr>
          <w:p w14:paraId="353FD99E" w14:textId="4ACDD326" w:rsidR="00CE363F" w:rsidRPr="00372FDE" w:rsidRDefault="00CE363F" w:rsidP="00CE363F">
            <w:pPr>
              <w:rPr>
                <w:rFonts w:ascii="Arial" w:hAnsi="Arial" w:cs="Arial"/>
                <w:sz w:val="20"/>
              </w:rPr>
            </w:pPr>
            <w:r w:rsidRPr="00372FDE">
              <w:rPr>
                <w:rFonts w:ascii="Arial" w:hAnsi="Arial" w:cs="Arial"/>
                <w:sz w:val="20"/>
              </w:rPr>
              <w:lastRenderedPageBreak/>
              <w:t>Dupilumab is not currently listed on the PBS.</w:t>
            </w:r>
          </w:p>
        </w:tc>
        <w:tc>
          <w:tcPr>
            <w:tcW w:w="3827" w:type="dxa"/>
          </w:tcPr>
          <w:p w14:paraId="6D8C4F92" w14:textId="4CD4CD69" w:rsidR="00CE363F" w:rsidRPr="00372FDE" w:rsidRDefault="00CE363F" w:rsidP="00CE363F">
            <w:pPr>
              <w:pStyle w:val="ListBullet"/>
              <w:spacing w:after="120"/>
            </w:pPr>
            <w:r w:rsidRPr="00372FDE">
              <w:t>Resubmission to request an Authority Required listing for the treatment of chronic, moderate to severe AD in patients who have had an inadequate response to topical therapies.</w:t>
            </w:r>
          </w:p>
        </w:tc>
        <w:tc>
          <w:tcPr>
            <w:tcW w:w="5245" w:type="dxa"/>
          </w:tcPr>
          <w:p w14:paraId="292C52F6" w14:textId="3D5F6509" w:rsidR="00CE363F" w:rsidRPr="00372FDE" w:rsidRDefault="00CE363F" w:rsidP="00CE363F">
            <w:pPr>
              <w:spacing w:after="120"/>
              <w:rPr>
                <w:rFonts w:ascii="Arial" w:hAnsi="Arial" w:cs="Arial"/>
                <w:sz w:val="20"/>
              </w:rPr>
            </w:pPr>
            <w:r w:rsidRPr="00372FDE">
              <w:rPr>
                <w:rFonts w:ascii="Arial" w:hAnsi="Arial" w:cs="Arial"/>
                <w:sz w:val="20"/>
              </w:rPr>
              <w:t xml:space="preserve">The PBAC did not recommend dupilumab for the treatment of adult patients with moderate-to-severe AD who are inadequately controlled on topical therapies. </w:t>
            </w:r>
          </w:p>
          <w:p w14:paraId="7FF9BB66" w14:textId="4F639301" w:rsidR="00CE363F" w:rsidRPr="00372FDE" w:rsidRDefault="00CE363F" w:rsidP="00CE363F">
            <w:pPr>
              <w:spacing w:after="120"/>
              <w:rPr>
                <w:rFonts w:ascii="Arial" w:hAnsi="Arial" w:cs="Arial"/>
                <w:sz w:val="20"/>
              </w:rPr>
            </w:pPr>
            <w:r w:rsidRPr="00372FDE">
              <w:rPr>
                <w:rFonts w:ascii="Arial" w:hAnsi="Arial" w:cs="Arial"/>
                <w:sz w:val="20"/>
              </w:rPr>
              <w:t>The PBAC acknowledged the effectiveness of dupilumab in a therapeutic area of high clinical need, however considered that dupilumab was not cost-</w:t>
            </w:r>
            <w:r w:rsidRPr="00372FDE">
              <w:rPr>
                <w:rFonts w:ascii="Arial" w:hAnsi="Arial" w:cs="Arial"/>
                <w:sz w:val="20"/>
              </w:rPr>
              <w:lastRenderedPageBreak/>
              <w:t xml:space="preserve">effective at the price proposed in the resubmission. The PBAC also considered that the criteria for defining the patient population for initial and continuing treatment did not appropriately consider the extent of disease in terms of the body surface area affected. </w:t>
            </w:r>
          </w:p>
          <w:p w14:paraId="3A0B7A62" w14:textId="77777777" w:rsidR="00CE363F" w:rsidRPr="00372FDE" w:rsidRDefault="00CE363F" w:rsidP="00CE363F">
            <w:pPr>
              <w:spacing w:after="120"/>
              <w:rPr>
                <w:rFonts w:ascii="Arial" w:hAnsi="Arial" w:cs="Arial"/>
                <w:sz w:val="20"/>
              </w:rPr>
            </w:pPr>
          </w:p>
          <w:p w14:paraId="3AD597B0" w14:textId="7DAD3E82" w:rsidR="00CE363F" w:rsidRPr="00372FDE" w:rsidRDefault="00CE363F" w:rsidP="00CE363F">
            <w:pPr>
              <w:spacing w:after="120"/>
              <w:rPr>
                <w:rFonts w:ascii="Arial" w:hAnsi="Arial" w:cs="Arial"/>
                <w:sz w:val="20"/>
                <w:highlight w:val="yellow"/>
              </w:rPr>
            </w:pPr>
            <w:r w:rsidRPr="00372FDE">
              <w:rPr>
                <w:rFonts w:ascii="Arial" w:hAnsi="Arial" w:cs="Arial"/>
                <w:sz w:val="20"/>
              </w:rPr>
              <w:t>The PBAC considered that the estimated financial implications were very high and uncertain, and that a Risk Sharing Arrangement would be necessary to manage the uncertainty in patient estimates, likely treatment duration and the potential for use outside the proposed restriction.</w:t>
            </w:r>
          </w:p>
        </w:tc>
      </w:tr>
      <w:tr w:rsidR="00CE363F" w:rsidRPr="00372FDE" w14:paraId="5BDA2C3A" w14:textId="77777777" w:rsidTr="000805C6">
        <w:trPr>
          <w:trHeight w:val="433"/>
        </w:trPr>
        <w:tc>
          <w:tcPr>
            <w:tcW w:w="2127" w:type="dxa"/>
            <w:vMerge/>
          </w:tcPr>
          <w:p w14:paraId="7517D991" w14:textId="77777777" w:rsidR="00CE363F" w:rsidRPr="00372FDE" w:rsidRDefault="00CE363F" w:rsidP="00CE363F">
            <w:pPr>
              <w:rPr>
                <w:rFonts w:ascii="Arial" w:hAnsi="Arial" w:cs="Arial"/>
                <w:sz w:val="20"/>
              </w:rPr>
            </w:pPr>
          </w:p>
        </w:tc>
        <w:tc>
          <w:tcPr>
            <w:tcW w:w="2126" w:type="dxa"/>
            <w:vMerge/>
          </w:tcPr>
          <w:p w14:paraId="2F02968C" w14:textId="77777777" w:rsidR="00CE363F" w:rsidRPr="00372FDE" w:rsidRDefault="00CE363F" w:rsidP="00CE363F">
            <w:pPr>
              <w:rPr>
                <w:rFonts w:ascii="Arial" w:hAnsi="Arial" w:cs="Arial"/>
                <w:sz w:val="20"/>
              </w:rPr>
            </w:pPr>
          </w:p>
        </w:tc>
        <w:tc>
          <w:tcPr>
            <w:tcW w:w="2126" w:type="dxa"/>
            <w:vMerge/>
          </w:tcPr>
          <w:p w14:paraId="115650E7" w14:textId="77777777" w:rsidR="00CE363F" w:rsidRPr="00372FDE" w:rsidRDefault="00CE363F" w:rsidP="00CE363F">
            <w:pPr>
              <w:rPr>
                <w:rFonts w:ascii="Arial" w:hAnsi="Arial" w:cs="Arial"/>
                <w:sz w:val="20"/>
              </w:rPr>
            </w:pPr>
          </w:p>
        </w:tc>
        <w:tc>
          <w:tcPr>
            <w:tcW w:w="3827" w:type="dxa"/>
          </w:tcPr>
          <w:p w14:paraId="376A71CE" w14:textId="7A43ECF8" w:rsidR="00CE363F" w:rsidRPr="00372FDE" w:rsidRDefault="00CE363F" w:rsidP="00CE363F">
            <w:pPr>
              <w:pStyle w:val="ListBullet"/>
              <w:spacing w:after="120"/>
            </w:pPr>
            <w:r w:rsidRPr="00372FDE">
              <w:t>Comparator: standard of care (SoC)</w:t>
            </w:r>
          </w:p>
        </w:tc>
        <w:tc>
          <w:tcPr>
            <w:tcW w:w="5245" w:type="dxa"/>
          </w:tcPr>
          <w:p w14:paraId="099CB50B" w14:textId="2455AC9B" w:rsidR="00CE363F" w:rsidRPr="00372FDE" w:rsidRDefault="00CE363F" w:rsidP="00CE363F">
            <w:pPr>
              <w:spacing w:after="120"/>
              <w:rPr>
                <w:rFonts w:ascii="Arial" w:hAnsi="Arial" w:cs="Arial"/>
                <w:sz w:val="20"/>
                <w:highlight w:val="yellow"/>
              </w:rPr>
            </w:pPr>
            <w:r w:rsidRPr="00372FDE">
              <w:rPr>
                <w:rFonts w:ascii="Arial" w:hAnsi="Arial" w:cs="Arial"/>
                <w:sz w:val="20"/>
              </w:rPr>
              <w:t>The PBAC considered that the resubmission appropriately used SoC as the main comparator.</w:t>
            </w:r>
          </w:p>
        </w:tc>
      </w:tr>
      <w:tr w:rsidR="00CE363F" w:rsidRPr="00372FDE" w14:paraId="27F1947B" w14:textId="77777777" w:rsidTr="000805C6">
        <w:trPr>
          <w:trHeight w:val="433"/>
        </w:trPr>
        <w:tc>
          <w:tcPr>
            <w:tcW w:w="2127" w:type="dxa"/>
            <w:vMerge/>
          </w:tcPr>
          <w:p w14:paraId="219D40AF" w14:textId="77777777" w:rsidR="00CE363F" w:rsidRPr="00372FDE" w:rsidRDefault="00CE363F" w:rsidP="00CE363F">
            <w:pPr>
              <w:rPr>
                <w:rFonts w:ascii="Arial" w:hAnsi="Arial" w:cs="Arial"/>
                <w:sz w:val="20"/>
              </w:rPr>
            </w:pPr>
          </w:p>
        </w:tc>
        <w:tc>
          <w:tcPr>
            <w:tcW w:w="2126" w:type="dxa"/>
            <w:vMerge/>
          </w:tcPr>
          <w:p w14:paraId="28C7464D" w14:textId="77777777" w:rsidR="00CE363F" w:rsidRPr="00372FDE" w:rsidRDefault="00CE363F" w:rsidP="00CE363F">
            <w:pPr>
              <w:rPr>
                <w:rFonts w:ascii="Arial" w:hAnsi="Arial" w:cs="Arial"/>
                <w:sz w:val="20"/>
              </w:rPr>
            </w:pPr>
          </w:p>
        </w:tc>
        <w:tc>
          <w:tcPr>
            <w:tcW w:w="2126" w:type="dxa"/>
            <w:vMerge/>
          </w:tcPr>
          <w:p w14:paraId="7FE0D1CF" w14:textId="77777777" w:rsidR="00CE363F" w:rsidRPr="00372FDE" w:rsidRDefault="00CE363F" w:rsidP="00CE363F">
            <w:pPr>
              <w:rPr>
                <w:rFonts w:ascii="Arial" w:hAnsi="Arial" w:cs="Arial"/>
                <w:sz w:val="20"/>
              </w:rPr>
            </w:pPr>
          </w:p>
        </w:tc>
        <w:tc>
          <w:tcPr>
            <w:tcW w:w="3827" w:type="dxa"/>
          </w:tcPr>
          <w:p w14:paraId="6EDDEA3B" w14:textId="026BB821" w:rsidR="00CE363F" w:rsidRPr="00372FDE" w:rsidRDefault="00CE363F" w:rsidP="00CE363F">
            <w:pPr>
              <w:pStyle w:val="ListBullet"/>
              <w:spacing w:after="120"/>
            </w:pPr>
            <w:r w:rsidRPr="00372FDE">
              <w:t>Clinical claim: superior efficacy and similar safety compared with SoC.</w:t>
            </w:r>
            <w:r w:rsidRPr="00372FDE" w:rsidDel="000D3208">
              <w:t xml:space="preserve"> </w:t>
            </w:r>
          </w:p>
        </w:tc>
        <w:tc>
          <w:tcPr>
            <w:tcW w:w="5245" w:type="dxa"/>
          </w:tcPr>
          <w:p w14:paraId="526FD956" w14:textId="2C589B10" w:rsidR="00CE363F" w:rsidRPr="00372FDE" w:rsidRDefault="00CE363F" w:rsidP="00CE363F">
            <w:pPr>
              <w:spacing w:after="120"/>
              <w:rPr>
                <w:rFonts w:ascii="Arial" w:hAnsi="Arial" w:cs="Arial"/>
                <w:sz w:val="20"/>
                <w:highlight w:val="yellow"/>
              </w:rPr>
            </w:pPr>
            <w:r w:rsidRPr="00372FDE">
              <w:rPr>
                <w:rFonts w:ascii="Arial" w:hAnsi="Arial" w:cs="Arial"/>
                <w:sz w:val="20"/>
              </w:rPr>
              <w:t>The PBAC considered that the claim of superior comparative effectiveness of dupilumab compared with SoC for patients with moderate to severe AD was reasonable based on Eczema Area and Severity Index-75 response and Investigator’s Global Assessment score. The PBAC considered that the claim of non-inferior comparative safety was not adequately supported by the data due to a higher incidence of conjunctivitis and injection-site reaction events in dupilumab patients. The PBAC noted that the long-term efficacy and safety for dupilumab beyond 52 weeks is unknown.</w:t>
            </w:r>
          </w:p>
        </w:tc>
      </w:tr>
      <w:tr w:rsidR="00CE363F" w:rsidRPr="00372FDE" w14:paraId="7188D1DE" w14:textId="77777777" w:rsidTr="000805C6">
        <w:trPr>
          <w:trHeight w:val="433"/>
        </w:trPr>
        <w:tc>
          <w:tcPr>
            <w:tcW w:w="2127" w:type="dxa"/>
            <w:vMerge/>
          </w:tcPr>
          <w:p w14:paraId="08895812" w14:textId="77777777" w:rsidR="00CE363F" w:rsidRPr="00372FDE" w:rsidRDefault="00CE363F" w:rsidP="00CE363F">
            <w:pPr>
              <w:rPr>
                <w:rFonts w:ascii="Arial" w:hAnsi="Arial" w:cs="Arial"/>
                <w:sz w:val="20"/>
              </w:rPr>
            </w:pPr>
          </w:p>
        </w:tc>
        <w:tc>
          <w:tcPr>
            <w:tcW w:w="2126" w:type="dxa"/>
            <w:vMerge/>
          </w:tcPr>
          <w:p w14:paraId="1804704D" w14:textId="77777777" w:rsidR="00CE363F" w:rsidRPr="00372FDE" w:rsidRDefault="00CE363F" w:rsidP="00CE363F">
            <w:pPr>
              <w:rPr>
                <w:rFonts w:ascii="Arial" w:hAnsi="Arial" w:cs="Arial"/>
                <w:sz w:val="20"/>
              </w:rPr>
            </w:pPr>
          </w:p>
        </w:tc>
        <w:tc>
          <w:tcPr>
            <w:tcW w:w="2126" w:type="dxa"/>
            <w:vMerge/>
          </w:tcPr>
          <w:p w14:paraId="7D54F191" w14:textId="77777777" w:rsidR="00CE363F" w:rsidRPr="00372FDE" w:rsidRDefault="00CE363F" w:rsidP="00CE363F">
            <w:pPr>
              <w:rPr>
                <w:rFonts w:ascii="Arial" w:hAnsi="Arial" w:cs="Arial"/>
                <w:sz w:val="20"/>
              </w:rPr>
            </w:pPr>
          </w:p>
        </w:tc>
        <w:tc>
          <w:tcPr>
            <w:tcW w:w="3827" w:type="dxa"/>
          </w:tcPr>
          <w:p w14:paraId="3EC43F56" w14:textId="27491168" w:rsidR="00CE363F" w:rsidRPr="00372FDE" w:rsidRDefault="00CE363F" w:rsidP="00CE363F">
            <w:pPr>
              <w:pStyle w:val="ListBullet"/>
              <w:spacing w:after="120"/>
            </w:pPr>
            <w:r w:rsidRPr="00372FDE">
              <w:t>Economic claim: cost-utility analysis compared with SoC.</w:t>
            </w:r>
          </w:p>
        </w:tc>
        <w:tc>
          <w:tcPr>
            <w:tcW w:w="5245" w:type="dxa"/>
          </w:tcPr>
          <w:p w14:paraId="09BEA33B" w14:textId="3F2079B3" w:rsidR="00CE363F" w:rsidRPr="00372FDE" w:rsidRDefault="00CE363F" w:rsidP="00CE363F">
            <w:pPr>
              <w:spacing w:after="120"/>
              <w:rPr>
                <w:rFonts w:ascii="Arial" w:hAnsi="Arial" w:cs="Arial"/>
                <w:sz w:val="20"/>
                <w:highlight w:val="yellow"/>
              </w:rPr>
            </w:pPr>
            <w:r w:rsidRPr="00372FDE">
              <w:rPr>
                <w:rFonts w:ascii="Arial" w:hAnsi="Arial" w:cs="Arial"/>
                <w:sz w:val="20"/>
              </w:rPr>
              <w:t xml:space="preserve">The PBAC considered that the resubmission’s base-case incremental cost-effectiveness ration (ICER) of $15,000–$45,000 per QALY gained was uncertain and appeared to be significantly underestimated due to assumptions in the model such as the cost for non-responders, maintenance of response, and the 10 year </w:t>
            </w:r>
            <w:r w:rsidRPr="00372FDE">
              <w:rPr>
                <w:rFonts w:ascii="Arial" w:hAnsi="Arial" w:cs="Arial"/>
                <w:sz w:val="20"/>
              </w:rPr>
              <w:lastRenderedPageBreak/>
              <w:t>time horizon. The PBAC considered that the true ICER was likely to be unacceptably high at the proposed price.</w:t>
            </w:r>
          </w:p>
        </w:tc>
      </w:tr>
      <w:tr w:rsidR="00CE363F" w:rsidRPr="00372FDE" w14:paraId="1507051A" w14:textId="77777777" w:rsidTr="00E95308">
        <w:trPr>
          <w:trHeight w:val="433"/>
        </w:trPr>
        <w:tc>
          <w:tcPr>
            <w:tcW w:w="2127" w:type="dxa"/>
            <w:vMerge/>
          </w:tcPr>
          <w:p w14:paraId="274BF1CB" w14:textId="77777777" w:rsidR="00CE363F" w:rsidRPr="00372FDE" w:rsidRDefault="00CE363F" w:rsidP="00CE363F">
            <w:pPr>
              <w:rPr>
                <w:rFonts w:ascii="Arial" w:hAnsi="Arial" w:cs="Arial"/>
                <w:sz w:val="20"/>
              </w:rPr>
            </w:pPr>
          </w:p>
        </w:tc>
        <w:tc>
          <w:tcPr>
            <w:tcW w:w="2126" w:type="dxa"/>
            <w:vMerge/>
          </w:tcPr>
          <w:p w14:paraId="2787AF72" w14:textId="77777777" w:rsidR="00CE363F" w:rsidRPr="00372FDE" w:rsidRDefault="00CE363F" w:rsidP="00CE363F">
            <w:pPr>
              <w:rPr>
                <w:rFonts w:ascii="Arial" w:hAnsi="Arial" w:cs="Arial"/>
                <w:sz w:val="20"/>
              </w:rPr>
            </w:pPr>
          </w:p>
        </w:tc>
        <w:tc>
          <w:tcPr>
            <w:tcW w:w="2126" w:type="dxa"/>
            <w:vMerge/>
          </w:tcPr>
          <w:p w14:paraId="1B6272D2" w14:textId="77777777" w:rsidR="00CE363F" w:rsidRPr="00372FDE" w:rsidRDefault="00CE363F" w:rsidP="00CE363F">
            <w:pPr>
              <w:rPr>
                <w:rFonts w:ascii="Arial" w:hAnsi="Arial" w:cs="Arial"/>
                <w:sz w:val="20"/>
              </w:rPr>
            </w:pPr>
          </w:p>
        </w:tc>
        <w:tc>
          <w:tcPr>
            <w:tcW w:w="3827" w:type="dxa"/>
          </w:tcPr>
          <w:p w14:paraId="2ADBA3EE" w14:textId="0EA95121" w:rsidR="00CE363F" w:rsidRPr="00372FDE" w:rsidRDefault="00CE363F" w:rsidP="00C91B1E">
            <w:pPr>
              <w:pStyle w:val="ListBullet"/>
              <w:jc w:val="right"/>
            </w:pPr>
            <w:r w:rsidRPr="00372FDE">
              <w:t xml:space="preserve">Sponsor’s comment: </w:t>
            </w:r>
          </w:p>
        </w:tc>
        <w:tc>
          <w:tcPr>
            <w:tcW w:w="5245" w:type="dxa"/>
            <w:shd w:val="clear" w:color="auto" w:fill="auto"/>
          </w:tcPr>
          <w:p w14:paraId="472C996F" w14:textId="24EAEE45" w:rsidR="00CE363F" w:rsidRPr="00372FDE" w:rsidRDefault="00706EFA" w:rsidP="00CE363F">
            <w:pPr>
              <w:rPr>
                <w:rFonts w:ascii="Arial" w:hAnsi="Arial" w:cs="Arial"/>
                <w:sz w:val="20"/>
                <w:highlight w:val="yellow"/>
              </w:rPr>
            </w:pPr>
            <w:r w:rsidRPr="00E95308">
              <w:rPr>
                <w:rFonts w:ascii="Arial" w:hAnsi="Arial" w:cs="Arial"/>
                <w:sz w:val="20"/>
              </w:rPr>
              <w:t>Sanofi is disappointed with the PBAC’s decision not to recommend dupilumab but welcomes the Committee’s recognition of the need for a safe and effective treatment for patients with moderate-to-severe atopic dermatitis unresponsive to current therapies, and its acknowledgement of dupilumab’s effectiveness. Sanofi remains committed to working with the PBAC to enable access for Australian patients to this effective and innovative therapy.</w:t>
            </w:r>
          </w:p>
        </w:tc>
      </w:tr>
      <w:tr w:rsidR="00CE363F" w:rsidRPr="00372FDE" w14:paraId="078CF92D" w14:textId="77777777" w:rsidTr="000805C6">
        <w:trPr>
          <w:trHeight w:val="433"/>
        </w:trPr>
        <w:tc>
          <w:tcPr>
            <w:tcW w:w="2127" w:type="dxa"/>
            <w:vMerge w:val="restart"/>
          </w:tcPr>
          <w:p w14:paraId="198BDBDE" w14:textId="12FCCC90" w:rsidR="00CE363F" w:rsidRPr="00372FDE" w:rsidRDefault="00CE363F" w:rsidP="00CE363F">
            <w:pPr>
              <w:rPr>
                <w:rFonts w:ascii="Arial" w:hAnsi="Arial" w:cs="Arial"/>
                <w:color w:val="000000"/>
                <w:sz w:val="20"/>
              </w:rPr>
            </w:pPr>
            <w:r w:rsidRPr="00372FDE">
              <w:rPr>
                <w:rFonts w:ascii="Arial" w:hAnsi="Arial" w:cs="Arial"/>
                <w:color w:val="000000"/>
                <w:sz w:val="20"/>
              </w:rPr>
              <w:t>DURVALUMAB</w:t>
            </w:r>
          </w:p>
          <w:p w14:paraId="2D5A5A64" w14:textId="77777777" w:rsidR="00CE363F" w:rsidRPr="00372FDE" w:rsidRDefault="00CE363F" w:rsidP="00CE363F">
            <w:pPr>
              <w:rPr>
                <w:rFonts w:ascii="Arial" w:hAnsi="Arial" w:cs="Arial"/>
                <w:color w:val="000000"/>
                <w:sz w:val="20"/>
              </w:rPr>
            </w:pPr>
          </w:p>
          <w:p w14:paraId="416D8793"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Solution concentrate for I.V. infusion 120 mg in 2.4 mL</w:t>
            </w:r>
          </w:p>
          <w:p w14:paraId="43FE3ED2" w14:textId="638285D1" w:rsidR="00CE363F" w:rsidRPr="00372FDE" w:rsidRDefault="00CE363F" w:rsidP="00CE363F">
            <w:pPr>
              <w:rPr>
                <w:rFonts w:ascii="Arial" w:hAnsi="Arial" w:cs="Arial"/>
                <w:color w:val="000000"/>
                <w:sz w:val="20"/>
              </w:rPr>
            </w:pPr>
            <w:r w:rsidRPr="00372FDE">
              <w:rPr>
                <w:rFonts w:ascii="Arial" w:hAnsi="Arial" w:cs="Arial"/>
                <w:color w:val="000000"/>
                <w:sz w:val="20"/>
              </w:rPr>
              <w:t>Solution concentrate for I.V. infusion 500 mg in 10 mL</w:t>
            </w:r>
          </w:p>
          <w:p w14:paraId="21549A5D" w14:textId="77777777" w:rsidR="00CE363F" w:rsidRPr="00372FDE" w:rsidRDefault="00CE363F" w:rsidP="00CE363F">
            <w:pPr>
              <w:rPr>
                <w:rFonts w:ascii="Arial" w:hAnsi="Arial" w:cs="Arial"/>
                <w:color w:val="000000"/>
                <w:sz w:val="20"/>
              </w:rPr>
            </w:pPr>
          </w:p>
          <w:p w14:paraId="7B66A71D" w14:textId="5291B7E1" w:rsidR="00CE363F" w:rsidRPr="00372FDE" w:rsidRDefault="00CE363F" w:rsidP="00CE363F">
            <w:pPr>
              <w:rPr>
                <w:rFonts w:ascii="Arial" w:hAnsi="Arial" w:cs="Arial"/>
                <w:color w:val="000000"/>
                <w:sz w:val="20"/>
                <w:vertAlign w:val="superscript"/>
              </w:rPr>
            </w:pPr>
            <w:r w:rsidRPr="00372FDE">
              <w:rPr>
                <w:rFonts w:ascii="Arial" w:hAnsi="Arial" w:cs="Arial"/>
                <w:color w:val="000000"/>
                <w:sz w:val="20"/>
              </w:rPr>
              <w:t>Imfinzi</w:t>
            </w:r>
            <w:r w:rsidRPr="00372FDE">
              <w:rPr>
                <w:rFonts w:ascii="Arial" w:hAnsi="Arial" w:cs="Arial"/>
                <w:color w:val="000000"/>
                <w:sz w:val="20"/>
                <w:vertAlign w:val="superscript"/>
              </w:rPr>
              <w:t>TM</w:t>
            </w:r>
          </w:p>
          <w:p w14:paraId="52DF5F4C" w14:textId="77777777" w:rsidR="00CE363F" w:rsidRPr="00372FDE" w:rsidRDefault="00CE363F" w:rsidP="00CE363F">
            <w:pPr>
              <w:rPr>
                <w:rFonts w:ascii="Arial" w:hAnsi="Arial" w:cs="Arial"/>
                <w:color w:val="000000"/>
                <w:sz w:val="20"/>
              </w:rPr>
            </w:pPr>
          </w:p>
          <w:p w14:paraId="17EF63C7"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AstraZeneca Pty Ltd</w:t>
            </w:r>
          </w:p>
          <w:p w14:paraId="205D440D" w14:textId="77777777" w:rsidR="00CE363F" w:rsidRPr="00372FDE" w:rsidRDefault="00CE363F" w:rsidP="00CE363F">
            <w:pPr>
              <w:rPr>
                <w:rFonts w:ascii="Arial" w:hAnsi="Arial" w:cs="Arial"/>
                <w:color w:val="000000"/>
                <w:sz w:val="20"/>
              </w:rPr>
            </w:pPr>
          </w:p>
          <w:p w14:paraId="35086464"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New listing</w:t>
            </w:r>
          </w:p>
          <w:p w14:paraId="66C101A9" w14:textId="678DE077" w:rsidR="00CE363F" w:rsidRPr="00372FDE" w:rsidRDefault="00CE363F" w:rsidP="00CE363F">
            <w:pPr>
              <w:rPr>
                <w:rFonts w:ascii="Arial" w:hAnsi="Arial" w:cs="Arial"/>
                <w:sz w:val="20"/>
              </w:rPr>
            </w:pPr>
            <w:r w:rsidRPr="00372FDE">
              <w:rPr>
                <w:rFonts w:ascii="Arial" w:hAnsi="Arial" w:cs="Arial"/>
                <w:color w:val="000000"/>
                <w:sz w:val="20"/>
              </w:rPr>
              <w:t>(Major Submission)</w:t>
            </w:r>
          </w:p>
        </w:tc>
        <w:tc>
          <w:tcPr>
            <w:tcW w:w="2126" w:type="dxa"/>
            <w:vMerge w:val="restart"/>
          </w:tcPr>
          <w:p w14:paraId="5EB0F6A9" w14:textId="1AE6EE17" w:rsidR="00CE363F" w:rsidRPr="00372FDE" w:rsidRDefault="00CE363F" w:rsidP="00CE363F">
            <w:pPr>
              <w:rPr>
                <w:rFonts w:ascii="Arial" w:hAnsi="Arial" w:cs="Arial"/>
                <w:sz w:val="20"/>
              </w:rPr>
            </w:pPr>
            <w:r w:rsidRPr="00372FDE">
              <w:rPr>
                <w:rFonts w:ascii="Arial" w:hAnsi="Arial" w:cs="Arial"/>
                <w:sz w:val="20"/>
              </w:rPr>
              <w:t xml:space="preserve">Durvalumab is indicated for use: </w:t>
            </w:r>
          </w:p>
          <w:p w14:paraId="404394E7" w14:textId="61091E22" w:rsidR="00CE363F" w:rsidRPr="00372FDE" w:rsidRDefault="00CE363F" w:rsidP="00CE363F">
            <w:pPr>
              <w:pStyle w:val="ListParagraph"/>
              <w:numPr>
                <w:ilvl w:val="0"/>
                <w:numId w:val="12"/>
              </w:numPr>
              <w:autoSpaceDE w:val="0"/>
              <w:autoSpaceDN w:val="0"/>
              <w:adjustRightInd w:val="0"/>
              <w:snapToGrid w:val="0"/>
              <w:ind w:left="217" w:hanging="217"/>
              <w:rPr>
                <w:rFonts w:ascii="Arial" w:hAnsi="Arial" w:cs="Arial"/>
                <w:sz w:val="20"/>
                <w:szCs w:val="20"/>
              </w:rPr>
            </w:pPr>
            <w:r w:rsidRPr="00372FDE">
              <w:rPr>
                <w:rFonts w:ascii="Arial" w:hAnsi="Arial" w:cs="Arial"/>
                <w:sz w:val="20"/>
                <w:szCs w:val="20"/>
              </w:rPr>
              <w:t>in patients with locally advanced or metastatic urothelial</w:t>
            </w:r>
            <w:r>
              <w:rPr>
                <w:rFonts w:ascii="Arial" w:hAnsi="Arial" w:cs="Arial"/>
                <w:sz w:val="20"/>
                <w:szCs w:val="20"/>
              </w:rPr>
              <w:t xml:space="preserve"> </w:t>
            </w:r>
            <w:r w:rsidRPr="00372FDE">
              <w:rPr>
                <w:rFonts w:ascii="Arial" w:hAnsi="Arial" w:cs="Arial"/>
                <w:sz w:val="20"/>
                <w:szCs w:val="20"/>
              </w:rPr>
              <w:t>carcinoma who:</w:t>
            </w:r>
          </w:p>
          <w:p w14:paraId="193691D6" w14:textId="77777777" w:rsidR="00CE363F" w:rsidRPr="00372FDE" w:rsidRDefault="00CE363F" w:rsidP="00CE363F">
            <w:pPr>
              <w:pStyle w:val="ListParagraph"/>
              <w:numPr>
                <w:ilvl w:val="1"/>
                <w:numId w:val="12"/>
              </w:numPr>
              <w:autoSpaceDE w:val="0"/>
              <w:autoSpaceDN w:val="0"/>
              <w:adjustRightInd w:val="0"/>
              <w:snapToGrid w:val="0"/>
              <w:ind w:left="466" w:hanging="284"/>
              <w:rPr>
                <w:rFonts w:ascii="Arial" w:hAnsi="Arial" w:cs="Arial"/>
                <w:sz w:val="20"/>
                <w:szCs w:val="20"/>
              </w:rPr>
            </w:pPr>
            <w:r w:rsidRPr="00372FDE">
              <w:rPr>
                <w:rFonts w:ascii="Arial" w:hAnsi="Arial" w:cs="Arial"/>
                <w:sz w:val="20"/>
                <w:szCs w:val="20"/>
              </w:rPr>
              <w:t>have disease progression during or following platinum-containing chemotherapy.</w:t>
            </w:r>
          </w:p>
          <w:p w14:paraId="17897A1F" w14:textId="77777777" w:rsidR="00CE363F" w:rsidRPr="00372FDE" w:rsidRDefault="00CE363F" w:rsidP="00CE363F">
            <w:pPr>
              <w:pStyle w:val="ListParagraph"/>
              <w:numPr>
                <w:ilvl w:val="1"/>
                <w:numId w:val="12"/>
              </w:numPr>
              <w:autoSpaceDE w:val="0"/>
              <w:autoSpaceDN w:val="0"/>
              <w:adjustRightInd w:val="0"/>
              <w:snapToGrid w:val="0"/>
              <w:ind w:left="466" w:hanging="284"/>
              <w:rPr>
                <w:rFonts w:ascii="Arial" w:hAnsi="Arial" w:cs="Arial"/>
                <w:sz w:val="20"/>
                <w:szCs w:val="20"/>
              </w:rPr>
            </w:pPr>
            <w:r w:rsidRPr="00372FDE">
              <w:rPr>
                <w:rFonts w:ascii="Arial" w:hAnsi="Arial" w:cs="Arial"/>
                <w:sz w:val="20"/>
                <w:szCs w:val="20"/>
              </w:rPr>
              <w:t>have disease progression within 12 months of neoadjuvant or adjuvant treatment with platinum-</w:t>
            </w:r>
            <w:r w:rsidRPr="00372FDE">
              <w:rPr>
                <w:rFonts w:ascii="Arial" w:hAnsi="Arial" w:cs="Arial"/>
                <w:sz w:val="20"/>
                <w:szCs w:val="20"/>
              </w:rPr>
              <w:lastRenderedPageBreak/>
              <w:t>containing chemotherapy.</w:t>
            </w:r>
          </w:p>
          <w:p w14:paraId="156999F9" w14:textId="593D1633" w:rsidR="00CE363F" w:rsidRPr="00372FDE" w:rsidRDefault="00CE363F" w:rsidP="00CE363F">
            <w:pPr>
              <w:pStyle w:val="ListParagraph"/>
              <w:numPr>
                <w:ilvl w:val="0"/>
                <w:numId w:val="12"/>
              </w:numPr>
              <w:autoSpaceDE w:val="0"/>
              <w:autoSpaceDN w:val="0"/>
              <w:adjustRightInd w:val="0"/>
              <w:snapToGrid w:val="0"/>
              <w:rPr>
                <w:rFonts w:ascii="Arial" w:hAnsi="Arial" w:cs="Arial"/>
                <w:sz w:val="20"/>
                <w:szCs w:val="20"/>
              </w:rPr>
            </w:pPr>
            <w:r w:rsidRPr="00372FDE">
              <w:rPr>
                <w:rFonts w:ascii="Arial" w:hAnsi="Arial" w:cs="Arial"/>
                <w:snapToGrid w:val="0"/>
                <w:sz w:val="20"/>
                <w:szCs w:val="20"/>
              </w:rPr>
              <w:t>in patients with locally advanced, unresectable non-small cell lung cancer (NSCLC) whose disease has not progressed following platinum-based chemoradiation therapy (CRT).</w:t>
            </w:r>
          </w:p>
        </w:tc>
        <w:tc>
          <w:tcPr>
            <w:tcW w:w="2126" w:type="dxa"/>
            <w:vMerge w:val="restart"/>
          </w:tcPr>
          <w:p w14:paraId="0F449650" w14:textId="45DB5659" w:rsidR="00CE363F" w:rsidRPr="00372FDE" w:rsidRDefault="00CE363F" w:rsidP="00CE363F">
            <w:pPr>
              <w:rPr>
                <w:rFonts w:ascii="Arial" w:hAnsi="Arial" w:cs="Arial"/>
                <w:sz w:val="20"/>
              </w:rPr>
            </w:pPr>
            <w:r w:rsidRPr="00372FDE">
              <w:rPr>
                <w:rFonts w:ascii="Arial" w:hAnsi="Arial" w:cs="Arial"/>
                <w:sz w:val="20"/>
              </w:rPr>
              <w:lastRenderedPageBreak/>
              <w:t>Durvalumab is not currently listed on the PBS.</w:t>
            </w:r>
          </w:p>
        </w:tc>
        <w:tc>
          <w:tcPr>
            <w:tcW w:w="3827" w:type="dxa"/>
          </w:tcPr>
          <w:p w14:paraId="55473F06" w14:textId="5F742495" w:rsidR="00CE363F" w:rsidRPr="00372FDE" w:rsidRDefault="00CE363F" w:rsidP="00CE363F">
            <w:pPr>
              <w:pStyle w:val="ListBullet"/>
              <w:spacing w:after="120"/>
            </w:pPr>
            <w:r w:rsidRPr="00372FDE">
              <w:t>Resubmission to request a Section 100 (Efficient Funding of Chemotherapy Program) Authority Required (STREAMLINED) listing for the treatment of patients with unresectable Stage III NSCLC whose disease has not progressed following platinum-based CRT.</w:t>
            </w:r>
          </w:p>
        </w:tc>
        <w:tc>
          <w:tcPr>
            <w:tcW w:w="5245" w:type="dxa"/>
          </w:tcPr>
          <w:p w14:paraId="2949995B" w14:textId="4DB73DBC" w:rsidR="00CE363F" w:rsidRPr="00372FDE" w:rsidRDefault="00CE363F" w:rsidP="00CE363F">
            <w:pPr>
              <w:snapToGrid w:val="0"/>
              <w:spacing w:after="120"/>
              <w:rPr>
                <w:rFonts w:ascii="Arial" w:hAnsi="Arial" w:cs="Arial"/>
                <w:sz w:val="20"/>
              </w:rPr>
            </w:pPr>
            <w:r w:rsidRPr="00372FDE">
              <w:rPr>
                <w:rFonts w:ascii="Arial" w:hAnsi="Arial" w:cs="Arial"/>
                <w:sz w:val="20"/>
              </w:rPr>
              <w:t>The PBAC did not recommend the Authority Required (STREAMLINED) listing of durvalumab for the treatment of Stage III unresectable NSCLC in patients whose disease has not progressed following CRT, on the basis of a high, uncertain cost-effectiveness ratio. The PBAC was also concerned about the high cost and very high estimated financial implications associated with listing the treatment. The PBAC acknowledged the clinical need for a consolidation treatment in Stage III, unresectable NSCLC, however considered that at the price proposed durvalumab was not cost-effective in this treatment setting. The PBAC considered the patient estimates were overestimated</w:t>
            </w:r>
            <w:r>
              <w:rPr>
                <w:rFonts w:ascii="Arial" w:hAnsi="Arial" w:cs="Arial"/>
                <w:sz w:val="20"/>
              </w:rPr>
              <w:t>,</w:t>
            </w:r>
            <w:r w:rsidRPr="00372FDE">
              <w:rPr>
                <w:rFonts w:ascii="Arial" w:hAnsi="Arial" w:cs="Arial"/>
                <w:sz w:val="20"/>
              </w:rPr>
              <w:t xml:space="preserve"> and the cost-offsets for subsequent lines of immunotherapy were underestimated. </w:t>
            </w:r>
          </w:p>
        </w:tc>
      </w:tr>
      <w:tr w:rsidR="00CE363F" w:rsidRPr="00372FDE" w14:paraId="749BA7CD" w14:textId="77777777" w:rsidTr="000805C6">
        <w:trPr>
          <w:trHeight w:val="433"/>
        </w:trPr>
        <w:tc>
          <w:tcPr>
            <w:tcW w:w="2127" w:type="dxa"/>
            <w:vMerge/>
          </w:tcPr>
          <w:p w14:paraId="450E4376" w14:textId="77777777" w:rsidR="00CE363F" w:rsidRPr="00372FDE" w:rsidRDefault="00CE363F" w:rsidP="00CE363F">
            <w:pPr>
              <w:rPr>
                <w:rFonts w:ascii="Arial" w:hAnsi="Arial" w:cs="Arial"/>
                <w:sz w:val="20"/>
              </w:rPr>
            </w:pPr>
          </w:p>
        </w:tc>
        <w:tc>
          <w:tcPr>
            <w:tcW w:w="2126" w:type="dxa"/>
            <w:vMerge/>
          </w:tcPr>
          <w:p w14:paraId="4F3EDB82" w14:textId="77777777" w:rsidR="00CE363F" w:rsidRPr="00372FDE" w:rsidRDefault="00CE363F" w:rsidP="00CE363F">
            <w:pPr>
              <w:rPr>
                <w:rFonts w:ascii="Arial" w:hAnsi="Arial" w:cs="Arial"/>
                <w:sz w:val="20"/>
              </w:rPr>
            </w:pPr>
          </w:p>
        </w:tc>
        <w:tc>
          <w:tcPr>
            <w:tcW w:w="2126" w:type="dxa"/>
            <w:vMerge/>
          </w:tcPr>
          <w:p w14:paraId="3977FBAB" w14:textId="77777777" w:rsidR="00CE363F" w:rsidRPr="00372FDE" w:rsidRDefault="00CE363F" w:rsidP="00CE363F">
            <w:pPr>
              <w:rPr>
                <w:rFonts w:ascii="Arial" w:hAnsi="Arial" w:cs="Arial"/>
                <w:sz w:val="20"/>
              </w:rPr>
            </w:pPr>
          </w:p>
        </w:tc>
        <w:tc>
          <w:tcPr>
            <w:tcW w:w="3827" w:type="dxa"/>
          </w:tcPr>
          <w:p w14:paraId="4AFEA91C" w14:textId="646D4749" w:rsidR="00CE363F" w:rsidRPr="00372FDE" w:rsidRDefault="00CE363F" w:rsidP="00CE363F">
            <w:pPr>
              <w:pStyle w:val="ListBullet"/>
            </w:pPr>
            <w:r w:rsidRPr="00372FDE">
              <w:t>Comparator: The resubmission nominated placebo, representing ‘watch-and-wait’ monitoring plus best supportive care, as the main comparator.</w:t>
            </w:r>
          </w:p>
        </w:tc>
        <w:tc>
          <w:tcPr>
            <w:tcW w:w="5245" w:type="dxa"/>
          </w:tcPr>
          <w:p w14:paraId="26AA76C8" w14:textId="1A12FF01" w:rsidR="00CE363F" w:rsidRPr="00372FDE" w:rsidRDefault="00CE363F" w:rsidP="00CE363F">
            <w:pPr>
              <w:rPr>
                <w:rFonts w:ascii="Arial" w:hAnsi="Arial" w:cs="Arial"/>
                <w:sz w:val="20"/>
              </w:rPr>
            </w:pPr>
            <w:r w:rsidRPr="00372FDE">
              <w:rPr>
                <w:rFonts w:ascii="Arial" w:hAnsi="Arial" w:cs="Arial"/>
                <w:snapToGrid w:val="0"/>
                <w:sz w:val="20"/>
              </w:rPr>
              <w:t>The PBAC agreed that this was the appropriate comparator.</w:t>
            </w:r>
          </w:p>
        </w:tc>
      </w:tr>
      <w:tr w:rsidR="00CE363F" w:rsidRPr="00372FDE" w14:paraId="5EFC7724" w14:textId="77777777" w:rsidTr="000805C6">
        <w:trPr>
          <w:trHeight w:val="433"/>
        </w:trPr>
        <w:tc>
          <w:tcPr>
            <w:tcW w:w="2127" w:type="dxa"/>
            <w:vMerge/>
          </w:tcPr>
          <w:p w14:paraId="4A184C0E" w14:textId="77777777" w:rsidR="00CE363F" w:rsidRPr="00372FDE" w:rsidRDefault="00CE363F" w:rsidP="00CE363F">
            <w:pPr>
              <w:rPr>
                <w:rFonts w:ascii="Arial" w:hAnsi="Arial" w:cs="Arial"/>
                <w:sz w:val="20"/>
              </w:rPr>
            </w:pPr>
          </w:p>
        </w:tc>
        <w:tc>
          <w:tcPr>
            <w:tcW w:w="2126" w:type="dxa"/>
            <w:vMerge/>
          </w:tcPr>
          <w:p w14:paraId="212A9D63" w14:textId="77777777" w:rsidR="00CE363F" w:rsidRPr="00372FDE" w:rsidRDefault="00CE363F" w:rsidP="00CE363F">
            <w:pPr>
              <w:rPr>
                <w:rFonts w:ascii="Arial" w:hAnsi="Arial" w:cs="Arial"/>
                <w:sz w:val="20"/>
              </w:rPr>
            </w:pPr>
          </w:p>
        </w:tc>
        <w:tc>
          <w:tcPr>
            <w:tcW w:w="2126" w:type="dxa"/>
            <w:vMerge/>
          </w:tcPr>
          <w:p w14:paraId="7AE4B2CE" w14:textId="77777777" w:rsidR="00CE363F" w:rsidRPr="00372FDE" w:rsidRDefault="00CE363F" w:rsidP="00CE363F">
            <w:pPr>
              <w:rPr>
                <w:rFonts w:ascii="Arial" w:hAnsi="Arial" w:cs="Arial"/>
                <w:sz w:val="20"/>
              </w:rPr>
            </w:pPr>
          </w:p>
        </w:tc>
        <w:tc>
          <w:tcPr>
            <w:tcW w:w="3827" w:type="dxa"/>
          </w:tcPr>
          <w:p w14:paraId="32AC92DB" w14:textId="5E8F2E81" w:rsidR="00CE363F" w:rsidRPr="00372FDE" w:rsidRDefault="00CE363F" w:rsidP="00CE363F">
            <w:pPr>
              <w:pStyle w:val="ListBullet"/>
            </w:pPr>
            <w:r w:rsidRPr="00372FDE">
              <w:t xml:space="preserve">Clinical claim: Superior effectiveness, with similar quality of life, and </w:t>
            </w:r>
            <w:r w:rsidRPr="00372FDE">
              <w:lastRenderedPageBreak/>
              <w:t>manageable safety compared with “watch and wait” monitoring in patients with Stage III NSCLC whose disease has not progressed following CRT.</w:t>
            </w:r>
          </w:p>
        </w:tc>
        <w:tc>
          <w:tcPr>
            <w:tcW w:w="5245" w:type="dxa"/>
          </w:tcPr>
          <w:p w14:paraId="6818CA45" w14:textId="65CD98A3" w:rsidR="00CE363F" w:rsidRPr="00372FDE" w:rsidRDefault="00CE363F" w:rsidP="00CE363F">
            <w:pPr>
              <w:rPr>
                <w:rFonts w:ascii="Arial" w:hAnsi="Arial" w:cs="Arial"/>
                <w:sz w:val="20"/>
              </w:rPr>
            </w:pPr>
            <w:r w:rsidRPr="00372FDE">
              <w:rPr>
                <w:rFonts w:ascii="Arial" w:hAnsi="Arial" w:cs="Arial"/>
                <w:sz w:val="20"/>
              </w:rPr>
              <w:lastRenderedPageBreak/>
              <w:t xml:space="preserve">The PBAC considered that the claim of superior comparative effectiveness and inferior comparative </w:t>
            </w:r>
            <w:r w:rsidRPr="00372FDE">
              <w:rPr>
                <w:rFonts w:ascii="Arial" w:hAnsi="Arial" w:cs="Arial"/>
                <w:sz w:val="20"/>
              </w:rPr>
              <w:lastRenderedPageBreak/>
              <w:t>safety was reasonable.</w:t>
            </w:r>
          </w:p>
          <w:p w14:paraId="1A149C0D" w14:textId="77777777" w:rsidR="00CE363F" w:rsidRPr="00372FDE" w:rsidRDefault="00CE363F" w:rsidP="00CE363F">
            <w:pPr>
              <w:rPr>
                <w:rFonts w:ascii="Arial" w:hAnsi="Arial" w:cs="Arial"/>
                <w:sz w:val="20"/>
                <w:highlight w:val="yellow"/>
              </w:rPr>
            </w:pPr>
          </w:p>
          <w:p w14:paraId="218AA584" w14:textId="0551FB59" w:rsidR="00CE363F" w:rsidRPr="00372FDE" w:rsidRDefault="00CE363F" w:rsidP="00CE363F">
            <w:pPr>
              <w:rPr>
                <w:rFonts w:ascii="Arial" w:hAnsi="Arial" w:cs="Arial"/>
                <w:sz w:val="20"/>
              </w:rPr>
            </w:pPr>
            <w:r w:rsidRPr="00372FDE">
              <w:rPr>
                <w:rFonts w:ascii="Arial" w:hAnsi="Arial" w:cs="Arial"/>
                <w:snapToGrid w:val="0"/>
                <w:sz w:val="20"/>
              </w:rPr>
              <w:t>The PBAC also noted the clinical data presented was immature and considered the extent of clinical benefit with durvalumab was uncertain, given the applicability concerns with the Australian treatment setting, including the lower average age of participants included in the PACIFIC trial compared to the Australian population and the subsequent use of immunotherapies post-progression permitted in the trial, with subsidy currently limited to one course of p</w:t>
            </w:r>
            <w:r>
              <w:rPr>
                <w:rFonts w:ascii="Arial" w:hAnsi="Arial" w:cs="Arial"/>
                <w:snapToGrid w:val="0"/>
                <w:sz w:val="20"/>
              </w:rPr>
              <w:t xml:space="preserve">rogramed cell death (ligand) </w:t>
            </w:r>
            <w:r w:rsidRPr="00372FDE">
              <w:rPr>
                <w:rFonts w:ascii="Arial" w:hAnsi="Arial" w:cs="Arial"/>
                <w:snapToGrid w:val="0"/>
                <w:sz w:val="20"/>
              </w:rPr>
              <w:t>1 therapy</w:t>
            </w:r>
            <w:r>
              <w:rPr>
                <w:rFonts w:ascii="Arial" w:hAnsi="Arial" w:cs="Arial"/>
                <w:snapToGrid w:val="0"/>
                <w:sz w:val="20"/>
              </w:rPr>
              <w:t>.</w:t>
            </w:r>
          </w:p>
        </w:tc>
      </w:tr>
      <w:tr w:rsidR="00CE363F" w:rsidRPr="00372FDE" w14:paraId="7860B431" w14:textId="77777777" w:rsidTr="000805C6">
        <w:trPr>
          <w:trHeight w:val="433"/>
        </w:trPr>
        <w:tc>
          <w:tcPr>
            <w:tcW w:w="2127" w:type="dxa"/>
            <w:vMerge/>
          </w:tcPr>
          <w:p w14:paraId="4D0AFA10" w14:textId="77777777" w:rsidR="00CE363F" w:rsidRPr="00372FDE" w:rsidRDefault="00CE363F" w:rsidP="00CE363F">
            <w:pPr>
              <w:rPr>
                <w:rFonts w:ascii="Arial" w:hAnsi="Arial" w:cs="Arial"/>
                <w:sz w:val="20"/>
              </w:rPr>
            </w:pPr>
          </w:p>
        </w:tc>
        <w:tc>
          <w:tcPr>
            <w:tcW w:w="2126" w:type="dxa"/>
            <w:vMerge/>
          </w:tcPr>
          <w:p w14:paraId="39281147" w14:textId="77777777" w:rsidR="00CE363F" w:rsidRPr="00372FDE" w:rsidRDefault="00CE363F" w:rsidP="00CE363F">
            <w:pPr>
              <w:rPr>
                <w:rFonts w:ascii="Arial" w:hAnsi="Arial" w:cs="Arial"/>
                <w:sz w:val="20"/>
              </w:rPr>
            </w:pPr>
          </w:p>
        </w:tc>
        <w:tc>
          <w:tcPr>
            <w:tcW w:w="2126" w:type="dxa"/>
            <w:vMerge/>
          </w:tcPr>
          <w:p w14:paraId="512BA5FC" w14:textId="77777777" w:rsidR="00CE363F" w:rsidRPr="00372FDE" w:rsidRDefault="00CE363F" w:rsidP="00CE363F">
            <w:pPr>
              <w:rPr>
                <w:rFonts w:ascii="Arial" w:hAnsi="Arial" w:cs="Arial"/>
                <w:sz w:val="20"/>
              </w:rPr>
            </w:pPr>
          </w:p>
        </w:tc>
        <w:tc>
          <w:tcPr>
            <w:tcW w:w="3827" w:type="dxa"/>
          </w:tcPr>
          <w:p w14:paraId="4D227B25" w14:textId="67FE7EF3" w:rsidR="00CE363F" w:rsidRPr="00372FDE" w:rsidRDefault="00CE363F" w:rsidP="00CE363F">
            <w:pPr>
              <w:pStyle w:val="ListBullet"/>
            </w:pPr>
            <w:r w:rsidRPr="00372FDE">
              <w:t>Economic claim: Cost-utility analysis compared with placebo.</w:t>
            </w:r>
          </w:p>
          <w:p w14:paraId="128BA28B" w14:textId="1D85DF07" w:rsidR="00CE363F" w:rsidRPr="00372FDE" w:rsidRDefault="00CE363F" w:rsidP="00CE363F">
            <w:pPr>
              <w:pStyle w:val="ListBullet"/>
            </w:pPr>
            <w:r w:rsidRPr="00372FDE">
              <w:t xml:space="preserve">Rank preserving structural failure of time (RPSFT)-adjusted scenario analysis to adjust for the impact of subsequent therapy on overall survival. </w:t>
            </w:r>
          </w:p>
        </w:tc>
        <w:tc>
          <w:tcPr>
            <w:tcW w:w="5245" w:type="dxa"/>
          </w:tcPr>
          <w:p w14:paraId="5AC065F9" w14:textId="77777777" w:rsidR="00CE363F" w:rsidRPr="00372FDE" w:rsidRDefault="00CE363F" w:rsidP="00CE363F">
            <w:pPr>
              <w:rPr>
                <w:rFonts w:ascii="Arial" w:hAnsi="Arial" w:cs="Arial"/>
                <w:sz w:val="20"/>
              </w:rPr>
            </w:pPr>
            <w:r w:rsidRPr="00372FDE">
              <w:rPr>
                <w:rFonts w:ascii="Arial" w:hAnsi="Arial" w:cs="Arial"/>
                <w:sz w:val="20"/>
              </w:rPr>
              <w:t xml:space="preserve">The PBAC considered there was a number of issues with the resubmitted model, including: (i) lack of convergence of the progression-free survival and overall survival curves and (ii) time point of overall survival extrapolation. </w:t>
            </w:r>
          </w:p>
          <w:p w14:paraId="2214D920" w14:textId="77777777" w:rsidR="00CE363F" w:rsidRPr="00372FDE" w:rsidRDefault="00CE363F" w:rsidP="00CE363F">
            <w:pPr>
              <w:rPr>
                <w:rFonts w:ascii="Arial" w:hAnsi="Arial" w:cs="Arial"/>
                <w:sz w:val="20"/>
              </w:rPr>
            </w:pPr>
          </w:p>
          <w:p w14:paraId="11E77ADA" w14:textId="14DA6809" w:rsidR="00CE363F" w:rsidRPr="00372FDE" w:rsidRDefault="00CE363F" w:rsidP="00CE363F">
            <w:pPr>
              <w:rPr>
                <w:rFonts w:ascii="Arial" w:hAnsi="Arial" w:cs="Arial"/>
                <w:sz w:val="20"/>
              </w:rPr>
            </w:pPr>
            <w:r w:rsidRPr="00372FDE">
              <w:rPr>
                <w:rFonts w:ascii="Arial" w:hAnsi="Arial" w:cs="Arial"/>
                <w:snapToGrid w:val="0"/>
                <w:sz w:val="20"/>
              </w:rPr>
              <w:t>The PBAC also considered the results of the RPSFT-adjusted analysis did not completely mitigate the applicability as the assumptions underpinning the analysis were unverifiable.</w:t>
            </w:r>
          </w:p>
        </w:tc>
      </w:tr>
      <w:tr w:rsidR="00CE363F" w:rsidRPr="00372FDE" w14:paraId="39640C0D" w14:textId="77777777" w:rsidTr="000805C6">
        <w:trPr>
          <w:trHeight w:val="433"/>
        </w:trPr>
        <w:tc>
          <w:tcPr>
            <w:tcW w:w="2127" w:type="dxa"/>
            <w:vMerge/>
          </w:tcPr>
          <w:p w14:paraId="18915793" w14:textId="77777777" w:rsidR="00CE363F" w:rsidRPr="00372FDE" w:rsidRDefault="00CE363F" w:rsidP="00CE363F">
            <w:pPr>
              <w:rPr>
                <w:rFonts w:ascii="Arial" w:hAnsi="Arial" w:cs="Arial"/>
                <w:sz w:val="20"/>
              </w:rPr>
            </w:pPr>
          </w:p>
        </w:tc>
        <w:tc>
          <w:tcPr>
            <w:tcW w:w="2126" w:type="dxa"/>
            <w:vMerge/>
          </w:tcPr>
          <w:p w14:paraId="1AD96E62" w14:textId="77777777" w:rsidR="00CE363F" w:rsidRPr="00372FDE" w:rsidRDefault="00CE363F" w:rsidP="00CE363F">
            <w:pPr>
              <w:rPr>
                <w:rFonts w:ascii="Arial" w:hAnsi="Arial" w:cs="Arial"/>
                <w:sz w:val="20"/>
              </w:rPr>
            </w:pPr>
          </w:p>
        </w:tc>
        <w:tc>
          <w:tcPr>
            <w:tcW w:w="2126" w:type="dxa"/>
            <w:vMerge/>
          </w:tcPr>
          <w:p w14:paraId="226C601F" w14:textId="77777777" w:rsidR="00CE363F" w:rsidRPr="00372FDE" w:rsidRDefault="00CE363F" w:rsidP="00CE363F">
            <w:pPr>
              <w:rPr>
                <w:rFonts w:ascii="Arial" w:hAnsi="Arial" w:cs="Arial"/>
                <w:sz w:val="20"/>
              </w:rPr>
            </w:pPr>
          </w:p>
        </w:tc>
        <w:tc>
          <w:tcPr>
            <w:tcW w:w="3827" w:type="dxa"/>
          </w:tcPr>
          <w:p w14:paraId="4E2F28B6" w14:textId="77777777" w:rsidR="00CE363F" w:rsidRPr="00372FDE" w:rsidRDefault="00CE363F" w:rsidP="00C91B1E">
            <w:pPr>
              <w:pStyle w:val="ListBullet"/>
              <w:jc w:val="right"/>
            </w:pPr>
            <w:r w:rsidRPr="00372FDE">
              <w:t>Sponsor’s comment:</w:t>
            </w:r>
          </w:p>
          <w:p w14:paraId="32B059C8" w14:textId="77777777" w:rsidR="00CE363F" w:rsidRPr="00372FDE" w:rsidRDefault="00CE363F" w:rsidP="00CE363F">
            <w:pPr>
              <w:pStyle w:val="ListBullet"/>
            </w:pPr>
          </w:p>
        </w:tc>
        <w:tc>
          <w:tcPr>
            <w:tcW w:w="5245" w:type="dxa"/>
          </w:tcPr>
          <w:p w14:paraId="3271234D" w14:textId="1EF71343" w:rsidR="00CE363F" w:rsidRPr="00372FDE" w:rsidRDefault="00706EFA" w:rsidP="00CE363F">
            <w:pPr>
              <w:rPr>
                <w:rFonts w:ascii="Arial" w:hAnsi="Arial" w:cs="Arial"/>
                <w:sz w:val="20"/>
              </w:rPr>
            </w:pPr>
            <w:r>
              <w:rPr>
                <w:rFonts w:ascii="Arial" w:hAnsi="Arial" w:cs="Arial"/>
                <w:sz w:val="20"/>
              </w:rPr>
              <w:t>No comment</w:t>
            </w:r>
          </w:p>
        </w:tc>
      </w:tr>
      <w:tr w:rsidR="00CE363F" w:rsidRPr="00372FDE" w14:paraId="563682B0" w14:textId="77777777" w:rsidTr="000805C6">
        <w:trPr>
          <w:trHeight w:val="433"/>
        </w:trPr>
        <w:tc>
          <w:tcPr>
            <w:tcW w:w="2127" w:type="dxa"/>
            <w:vMerge w:val="restart"/>
          </w:tcPr>
          <w:p w14:paraId="379C2C09" w14:textId="77777777" w:rsidR="00CE363F" w:rsidRPr="00372FDE" w:rsidRDefault="00CE363F" w:rsidP="00CE363F">
            <w:pPr>
              <w:rPr>
                <w:rFonts w:ascii="Arial" w:hAnsi="Arial" w:cs="Arial"/>
                <w:sz w:val="20"/>
              </w:rPr>
            </w:pPr>
            <w:r w:rsidRPr="00372FDE">
              <w:rPr>
                <w:rFonts w:ascii="Arial" w:hAnsi="Arial" w:cs="Arial"/>
                <w:sz w:val="20"/>
              </w:rPr>
              <w:t>OBETICHOLIC ACID</w:t>
            </w:r>
          </w:p>
          <w:p w14:paraId="74D28E35" w14:textId="77777777" w:rsidR="00CE363F" w:rsidRPr="00372FDE" w:rsidRDefault="00CE363F" w:rsidP="00CE363F">
            <w:pPr>
              <w:rPr>
                <w:rFonts w:ascii="Arial" w:hAnsi="Arial" w:cs="Arial"/>
                <w:sz w:val="20"/>
              </w:rPr>
            </w:pPr>
          </w:p>
          <w:p w14:paraId="7D522A89" w14:textId="22781BE3" w:rsidR="00CE363F" w:rsidRPr="00372FDE" w:rsidRDefault="00CE363F" w:rsidP="00CE363F">
            <w:pPr>
              <w:rPr>
                <w:rFonts w:ascii="Arial" w:hAnsi="Arial" w:cs="Arial"/>
                <w:sz w:val="20"/>
              </w:rPr>
            </w:pPr>
            <w:r w:rsidRPr="00372FDE">
              <w:rPr>
                <w:rFonts w:ascii="Arial" w:hAnsi="Arial" w:cs="Arial"/>
                <w:sz w:val="20"/>
              </w:rPr>
              <w:t>Tablet 5 mg</w:t>
            </w:r>
          </w:p>
          <w:p w14:paraId="5436BEBB" w14:textId="77777777" w:rsidR="00CE363F" w:rsidRPr="00372FDE" w:rsidRDefault="00CE363F" w:rsidP="00CE363F">
            <w:pPr>
              <w:rPr>
                <w:rFonts w:ascii="Arial" w:hAnsi="Arial" w:cs="Arial"/>
                <w:sz w:val="20"/>
              </w:rPr>
            </w:pPr>
            <w:r w:rsidRPr="00372FDE">
              <w:rPr>
                <w:rFonts w:ascii="Arial" w:hAnsi="Arial" w:cs="Arial"/>
                <w:sz w:val="20"/>
              </w:rPr>
              <w:t>Tablet 10 mg</w:t>
            </w:r>
          </w:p>
          <w:p w14:paraId="5FC265E8" w14:textId="77777777" w:rsidR="00CE363F" w:rsidRPr="00372FDE" w:rsidRDefault="00CE363F" w:rsidP="00CE363F">
            <w:pPr>
              <w:rPr>
                <w:rFonts w:ascii="Arial" w:hAnsi="Arial" w:cs="Arial"/>
                <w:sz w:val="20"/>
              </w:rPr>
            </w:pPr>
          </w:p>
          <w:p w14:paraId="533FFA9A" w14:textId="70614C8B" w:rsidR="00CE363F" w:rsidRPr="00372FDE" w:rsidRDefault="00CE363F" w:rsidP="00CE363F">
            <w:pPr>
              <w:rPr>
                <w:rFonts w:ascii="Arial" w:hAnsi="Arial" w:cs="Arial"/>
                <w:sz w:val="20"/>
              </w:rPr>
            </w:pPr>
            <w:r w:rsidRPr="00372FDE">
              <w:rPr>
                <w:rFonts w:ascii="Arial" w:hAnsi="Arial" w:cs="Arial"/>
                <w:sz w:val="20"/>
              </w:rPr>
              <w:t>Ocaliva</w:t>
            </w:r>
            <w:r w:rsidRPr="00372FDE">
              <w:rPr>
                <w:rFonts w:ascii="Arial" w:hAnsi="Arial" w:cs="Arial"/>
                <w:sz w:val="20"/>
                <w:vertAlign w:val="superscript"/>
              </w:rPr>
              <w:t>®</w:t>
            </w:r>
          </w:p>
          <w:p w14:paraId="357212AB" w14:textId="77777777" w:rsidR="00CE363F" w:rsidRPr="00372FDE" w:rsidRDefault="00CE363F" w:rsidP="00CE363F">
            <w:pPr>
              <w:rPr>
                <w:rFonts w:ascii="Arial" w:hAnsi="Arial" w:cs="Arial"/>
                <w:sz w:val="20"/>
              </w:rPr>
            </w:pPr>
          </w:p>
          <w:p w14:paraId="55247BE0" w14:textId="77777777" w:rsidR="00CE363F" w:rsidRPr="00372FDE" w:rsidRDefault="00CE363F" w:rsidP="00CE363F">
            <w:pPr>
              <w:rPr>
                <w:rFonts w:ascii="Arial" w:hAnsi="Arial" w:cs="Arial"/>
                <w:sz w:val="20"/>
              </w:rPr>
            </w:pPr>
            <w:r w:rsidRPr="00372FDE">
              <w:rPr>
                <w:rFonts w:ascii="Arial" w:hAnsi="Arial" w:cs="Arial"/>
                <w:sz w:val="20"/>
              </w:rPr>
              <w:t>Emerge Health Pty Ltd</w:t>
            </w:r>
          </w:p>
          <w:p w14:paraId="05FCB96C" w14:textId="77777777" w:rsidR="00CE363F" w:rsidRPr="00372FDE" w:rsidRDefault="00CE363F" w:rsidP="00CE363F">
            <w:pPr>
              <w:rPr>
                <w:rFonts w:ascii="Arial" w:hAnsi="Arial" w:cs="Arial"/>
                <w:sz w:val="20"/>
              </w:rPr>
            </w:pPr>
          </w:p>
          <w:p w14:paraId="37E17B64" w14:textId="77777777" w:rsidR="00CE363F" w:rsidRPr="00372FDE" w:rsidRDefault="00CE363F" w:rsidP="00CE363F">
            <w:pPr>
              <w:rPr>
                <w:rFonts w:ascii="Arial" w:hAnsi="Arial" w:cs="Arial"/>
                <w:sz w:val="20"/>
              </w:rPr>
            </w:pPr>
            <w:r w:rsidRPr="00372FDE">
              <w:rPr>
                <w:rFonts w:ascii="Arial" w:hAnsi="Arial" w:cs="Arial"/>
                <w:sz w:val="20"/>
              </w:rPr>
              <w:t>New listing</w:t>
            </w:r>
          </w:p>
          <w:p w14:paraId="12FDB3A6" w14:textId="34A19CB5" w:rsidR="00CE363F" w:rsidRPr="00372FDE" w:rsidRDefault="00CE363F" w:rsidP="00CE363F">
            <w:pPr>
              <w:rPr>
                <w:rFonts w:ascii="Arial" w:hAnsi="Arial" w:cs="Arial"/>
                <w:sz w:val="20"/>
              </w:rPr>
            </w:pPr>
            <w:r w:rsidRPr="00372FDE">
              <w:rPr>
                <w:rFonts w:ascii="Arial" w:hAnsi="Arial" w:cs="Arial"/>
                <w:sz w:val="20"/>
              </w:rPr>
              <w:t>(Major Submission)</w:t>
            </w:r>
          </w:p>
        </w:tc>
        <w:tc>
          <w:tcPr>
            <w:tcW w:w="2126" w:type="dxa"/>
            <w:vMerge w:val="restart"/>
          </w:tcPr>
          <w:p w14:paraId="29E1B2AF" w14:textId="22A26FF0" w:rsidR="00CE363F" w:rsidRPr="00372FDE" w:rsidRDefault="00CE363F" w:rsidP="00CE363F">
            <w:pPr>
              <w:rPr>
                <w:rFonts w:ascii="Arial" w:hAnsi="Arial" w:cs="Arial"/>
                <w:sz w:val="20"/>
              </w:rPr>
            </w:pPr>
            <w:r w:rsidRPr="00372FDE">
              <w:rPr>
                <w:rFonts w:ascii="Arial" w:hAnsi="Arial" w:cs="Arial"/>
                <w:sz w:val="20"/>
              </w:rPr>
              <w:lastRenderedPageBreak/>
              <w:t xml:space="preserve">Obeticholic acid is indicated for the treatment of primary biliary cholangitis (also known as primary biliary cirrhosis) in combination with ursodeoxycholic acid </w:t>
            </w:r>
            <w:r w:rsidRPr="00372FDE">
              <w:rPr>
                <w:rFonts w:ascii="Arial" w:hAnsi="Arial" w:cs="Arial"/>
                <w:sz w:val="20"/>
              </w:rPr>
              <w:lastRenderedPageBreak/>
              <w:t>(UDCA) in adults with an inadequate response to UDCA or as monotherapy in adults unable to tolerate UDCA.</w:t>
            </w:r>
          </w:p>
        </w:tc>
        <w:tc>
          <w:tcPr>
            <w:tcW w:w="2126" w:type="dxa"/>
            <w:vMerge w:val="restart"/>
          </w:tcPr>
          <w:p w14:paraId="5290B313" w14:textId="724CC158" w:rsidR="00CE363F" w:rsidRPr="00372FDE" w:rsidRDefault="00CE363F" w:rsidP="00CE363F">
            <w:pPr>
              <w:rPr>
                <w:rFonts w:ascii="Arial" w:hAnsi="Arial" w:cs="Arial"/>
                <w:sz w:val="20"/>
              </w:rPr>
            </w:pPr>
            <w:r w:rsidRPr="00372FDE">
              <w:rPr>
                <w:rFonts w:ascii="Arial" w:hAnsi="Arial" w:cs="Arial"/>
                <w:sz w:val="20"/>
              </w:rPr>
              <w:lastRenderedPageBreak/>
              <w:t>Obeticholic acid is not currently listed on the PBS</w:t>
            </w:r>
          </w:p>
        </w:tc>
        <w:tc>
          <w:tcPr>
            <w:tcW w:w="3827" w:type="dxa"/>
          </w:tcPr>
          <w:p w14:paraId="1432AF08" w14:textId="3554027F" w:rsidR="00CE363F" w:rsidRPr="00372FDE" w:rsidRDefault="00CE363F" w:rsidP="00CE363F">
            <w:pPr>
              <w:pStyle w:val="ListBullet"/>
            </w:pPr>
            <w:r w:rsidRPr="00372FDE">
              <w:t>Resubmission to request an Authority Required (STREAMLINED) listing for the treatment of patients with primary biliary cholangitis.</w:t>
            </w:r>
          </w:p>
        </w:tc>
        <w:tc>
          <w:tcPr>
            <w:tcW w:w="5245" w:type="dxa"/>
          </w:tcPr>
          <w:p w14:paraId="77717230" w14:textId="2299BDE2" w:rsidR="00CE363F" w:rsidRPr="00372FDE" w:rsidRDefault="00CE363F" w:rsidP="00CE363F">
            <w:pPr>
              <w:rPr>
                <w:rFonts w:ascii="Arial" w:hAnsi="Arial" w:cs="Arial"/>
                <w:sz w:val="20"/>
              </w:rPr>
            </w:pPr>
            <w:r w:rsidRPr="00372FDE">
              <w:rPr>
                <w:rFonts w:ascii="Arial" w:hAnsi="Arial" w:cs="Arial"/>
                <w:bCs/>
                <w:sz w:val="20"/>
              </w:rPr>
              <w:t>The PBAC did not recommend the listing of obeticholic acid as a second-line agent in the treatment of primary biliary cholangitis (PBC). Although acknowledging the clinical need for effective PBC treatments, the PBAC considered that the magnitude of the clinical benefit remained uncertain, the economic model remained highly uncertain and resulted in an incremental cost-effectiveness ratio (ICER) that was unacceptably high and the estimated financial impact was high.</w:t>
            </w:r>
          </w:p>
        </w:tc>
      </w:tr>
      <w:tr w:rsidR="00CE363F" w:rsidRPr="00372FDE" w14:paraId="6F48B848" w14:textId="77777777" w:rsidTr="000805C6">
        <w:trPr>
          <w:trHeight w:val="433"/>
        </w:trPr>
        <w:tc>
          <w:tcPr>
            <w:tcW w:w="2127" w:type="dxa"/>
            <w:vMerge/>
          </w:tcPr>
          <w:p w14:paraId="0C0ACFD5" w14:textId="77777777" w:rsidR="00CE363F" w:rsidRPr="00372FDE" w:rsidRDefault="00CE363F" w:rsidP="00CE363F">
            <w:pPr>
              <w:rPr>
                <w:rFonts w:ascii="Arial" w:hAnsi="Arial" w:cs="Arial"/>
                <w:sz w:val="20"/>
              </w:rPr>
            </w:pPr>
          </w:p>
        </w:tc>
        <w:tc>
          <w:tcPr>
            <w:tcW w:w="2126" w:type="dxa"/>
            <w:vMerge/>
          </w:tcPr>
          <w:p w14:paraId="15D3DC33" w14:textId="77777777" w:rsidR="00CE363F" w:rsidRPr="00372FDE" w:rsidRDefault="00CE363F" w:rsidP="00CE363F">
            <w:pPr>
              <w:rPr>
                <w:rFonts w:ascii="Arial" w:hAnsi="Arial" w:cs="Arial"/>
                <w:sz w:val="20"/>
              </w:rPr>
            </w:pPr>
          </w:p>
        </w:tc>
        <w:tc>
          <w:tcPr>
            <w:tcW w:w="2126" w:type="dxa"/>
            <w:vMerge/>
          </w:tcPr>
          <w:p w14:paraId="7BB33E61" w14:textId="77777777" w:rsidR="00CE363F" w:rsidRPr="00372FDE" w:rsidRDefault="00CE363F" w:rsidP="00CE363F">
            <w:pPr>
              <w:rPr>
                <w:rFonts w:ascii="Arial" w:hAnsi="Arial" w:cs="Arial"/>
                <w:sz w:val="20"/>
              </w:rPr>
            </w:pPr>
          </w:p>
        </w:tc>
        <w:tc>
          <w:tcPr>
            <w:tcW w:w="3827" w:type="dxa"/>
          </w:tcPr>
          <w:p w14:paraId="245440B2" w14:textId="77777777" w:rsidR="00CE363F" w:rsidRPr="00372FDE" w:rsidRDefault="00CE363F" w:rsidP="00CE363F">
            <w:pPr>
              <w:pStyle w:val="ListBullet"/>
            </w:pPr>
            <w:r w:rsidRPr="00372FDE">
              <w:t xml:space="preserve">Comparator: </w:t>
            </w:r>
          </w:p>
          <w:p w14:paraId="53134683" w14:textId="02F94A6C" w:rsidR="00CE363F" w:rsidRPr="00372FDE" w:rsidRDefault="00CE363F" w:rsidP="00CE363F">
            <w:pPr>
              <w:pStyle w:val="ListBullet"/>
            </w:pPr>
            <w:r w:rsidRPr="00372FDE">
              <w:t>For UD</w:t>
            </w:r>
            <w:r>
              <w:t>CA-inadequate responders: UDCA plus</w:t>
            </w:r>
            <w:r w:rsidRPr="00372FDE">
              <w:t xml:space="preserve"> placebo.</w:t>
            </w:r>
          </w:p>
          <w:p w14:paraId="266D15BD" w14:textId="4E6FFD94" w:rsidR="00CE363F" w:rsidRPr="00372FDE" w:rsidRDefault="00CE363F" w:rsidP="00CE363F">
            <w:pPr>
              <w:pStyle w:val="ListBullet"/>
            </w:pPr>
            <w:r w:rsidRPr="00372FDE">
              <w:t>For UDCA-intolerant patients: placebo</w:t>
            </w:r>
          </w:p>
        </w:tc>
        <w:tc>
          <w:tcPr>
            <w:tcW w:w="5245" w:type="dxa"/>
          </w:tcPr>
          <w:p w14:paraId="41E7A8EF" w14:textId="3FE38869" w:rsidR="00CE363F" w:rsidRPr="00372FDE" w:rsidRDefault="00CE363F" w:rsidP="00CE363F">
            <w:pPr>
              <w:rPr>
                <w:rFonts w:ascii="Arial" w:hAnsi="Arial" w:cs="Arial"/>
                <w:sz w:val="20"/>
              </w:rPr>
            </w:pPr>
            <w:r w:rsidRPr="00372FDE">
              <w:rPr>
                <w:rFonts w:ascii="Arial" w:hAnsi="Arial" w:cs="Arial"/>
                <w:bCs/>
                <w:sz w:val="20"/>
              </w:rPr>
              <w:t>The PBAC previously accepted the nominated comparators as being appropriate.</w:t>
            </w:r>
          </w:p>
        </w:tc>
      </w:tr>
      <w:tr w:rsidR="00CE363F" w:rsidRPr="00372FDE" w14:paraId="1FE9B3E3" w14:textId="77777777" w:rsidTr="000805C6">
        <w:trPr>
          <w:trHeight w:val="433"/>
        </w:trPr>
        <w:tc>
          <w:tcPr>
            <w:tcW w:w="2127" w:type="dxa"/>
            <w:vMerge/>
          </w:tcPr>
          <w:p w14:paraId="1634F49C" w14:textId="77777777" w:rsidR="00CE363F" w:rsidRPr="00372FDE" w:rsidRDefault="00CE363F" w:rsidP="00CE363F">
            <w:pPr>
              <w:rPr>
                <w:rFonts w:ascii="Arial" w:hAnsi="Arial" w:cs="Arial"/>
                <w:sz w:val="20"/>
              </w:rPr>
            </w:pPr>
          </w:p>
        </w:tc>
        <w:tc>
          <w:tcPr>
            <w:tcW w:w="2126" w:type="dxa"/>
            <w:vMerge/>
          </w:tcPr>
          <w:p w14:paraId="0898CD82" w14:textId="77777777" w:rsidR="00CE363F" w:rsidRPr="00372FDE" w:rsidRDefault="00CE363F" w:rsidP="00CE363F">
            <w:pPr>
              <w:rPr>
                <w:rFonts w:ascii="Arial" w:hAnsi="Arial" w:cs="Arial"/>
                <w:sz w:val="20"/>
              </w:rPr>
            </w:pPr>
          </w:p>
        </w:tc>
        <w:tc>
          <w:tcPr>
            <w:tcW w:w="2126" w:type="dxa"/>
            <w:vMerge/>
          </w:tcPr>
          <w:p w14:paraId="6910969E" w14:textId="77777777" w:rsidR="00CE363F" w:rsidRPr="00372FDE" w:rsidRDefault="00CE363F" w:rsidP="00CE363F">
            <w:pPr>
              <w:rPr>
                <w:rFonts w:ascii="Arial" w:hAnsi="Arial" w:cs="Arial"/>
                <w:sz w:val="20"/>
              </w:rPr>
            </w:pPr>
          </w:p>
        </w:tc>
        <w:tc>
          <w:tcPr>
            <w:tcW w:w="3827" w:type="dxa"/>
          </w:tcPr>
          <w:p w14:paraId="4B276FFC" w14:textId="77777777" w:rsidR="00CE363F" w:rsidRPr="00372FDE" w:rsidRDefault="00CE363F" w:rsidP="00CE363F">
            <w:pPr>
              <w:rPr>
                <w:rFonts w:ascii="Arial" w:hAnsi="Arial" w:cs="Arial"/>
                <w:bCs/>
                <w:sz w:val="20"/>
              </w:rPr>
            </w:pPr>
            <w:r w:rsidRPr="00372FDE">
              <w:rPr>
                <w:rFonts w:ascii="Arial" w:hAnsi="Arial" w:cs="Arial"/>
                <w:bCs/>
                <w:sz w:val="20"/>
              </w:rPr>
              <w:t>Clinical claim:</w:t>
            </w:r>
          </w:p>
          <w:p w14:paraId="42FFFB7A" w14:textId="6329CC36" w:rsidR="00CE363F" w:rsidRPr="00372FDE" w:rsidRDefault="00CE363F" w:rsidP="00CE363F">
            <w:pPr>
              <w:rPr>
                <w:rFonts w:ascii="Arial" w:hAnsi="Arial" w:cs="Arial"/>
                <w:bCs/>
                <w:sz w:val="20"/>
              </w:rPr>
            </w:pPr>
            <w:r w:rsidRPr="00372FDE">
              <w:rPr>
                <w:rFonts w:ascii="Arial" w:hAnsi="Arial" w:cs="Arial"/>
                <w:bCs/>
                <w:sz w:val="20"/>
              </w:rPr>
              <w:t xml:space="preserve">Obeticholic acid </w:t>
            </w:r>
            <w:r>
              <w:rPr>
                <w:rFonts w:ascii="Arial" w:hAnsi="Arial" w:cs="Arial"/>
                <w:bCs/>
                <w:sz w:val="20"/>
              </w:rPr>
              <w:t>plus</w:t>
            </w:r>
            <w:r w:rsidRPr="00372FDE">
              <w:rPr>
                <w:rFonts w:ascii="Arial" w:hAnsi="Arial" w:cs="Arial"/>
                <w:bCs/>
                <w:sz w:val="20"/>
              </w:rPr>
              <w:t xml:space="preserve"> UDCA was superior in terms of effectiveness compared with UDCA monotherapy in patients with a prior inadequate response to UDCA.</w:t>
            </w:r>
          </w:p>
          <w:p w14:paraId="715F447E" w14:textId="77777777" w:rsidR="00CE363F" w:rsidRPr="00372FDE" w:rsidRDefault="00CE363F" w:rsidP="00CE363F">
            <w:pPr>
              <w:rPr>
                <w:rFonts w:ascii="Arial" w:hAnsi="Arial" w:cs="Arial"/>
                <w:bCs/>
                <w:sz w:val="20"/>
              </w:rPr>
            </w:pPr>
          </w:p>
          <w:p w14:paraId="28882C93" w14:textId="3F895E84" w:rsidR="00CE363F" w:rsidRPr="00372FDE" w:rsidRDefault="00CE363F" w:rsidP="00CE363F">
            <w:pPr>
              <w:rPr>
                <w:rFonts w:ascii="Arial" w:hAnsi="Arial" w:cs="Arial"/>
                <w:bCs/>
                <w:sz w:val="20"/>
              </w:rPr>
            </w:pPr>
            <w:r w:rsidRPr="00372FDE">
              <w:rPr>
                <w:rFonts w:ascii="Arial" w:hAnsi="Arial" w:cs="Arial"/>
                <w:bCs/>
                <w:sz w:val="20"/>
              </w:rPr>
              <w:t>Obeticholic acid</w:t>
            </w:r>
            <w:r w:rsidRPr="00372FDE" w:rsidDel="00432A2F">
              <w:rPr>
                <w:rFonts w:ascii="Arial" w:hAnsi="Arial" w:cs="Arial"/>
                <w:bCs/>
                <w:sz w:val="20"/>
              </w:rPr>
              <w:t xml:space="preserve"> </w:t>
            </w:r>
            <w:r w:rsidRPr="00372FDE">
              <w:rPr>
                <w:rFonts w:ascii="Arial" w:hAnsi="Arial" w:cs="Arial"/>
                <w:bCs/>
                <w:sz w:val="20"/>
              </w:rPr>
              <w:t>monotherapy was superior in terms of effectiveness compared with placebo in patients who were intolerant to UDCA.</w:t>
            </w:r>
          </w:p>
          <w:p w14:paraId="0B22C2DF" w14:textId="77777777" w:rsidR="00CE363F" w:rsidRPr="00372FDE" w:rsidRDefault="00CE363F" w:rsidP="00CE363F">
            <w:pPr>
              <w:rPr>
                <w:rFonts w:ascii="Arial" w:hAnsi="Arial" w:cs="Arial"/>
                <w:bCs/>
                <w:sz w:val="20"/>
              </w:rPr>
            </w:pPr>
          </w:p>
          <w:p w14:paraId="3C6F138D" w14:textId="4F00D676" w:rsidR="00CE363F" w:rsidRPr="00372FDE" w:rsidRDefault="00CE363F" w:rsidP="00CE363F">
            <w:pPr>
              <w:pStyle w:val="ListBullet"/>
            </w:pPr>
            <w:r w:rsidRPr="00372FDE">
              <w:rPr>
                <w:bCs/>
              </w:rPr>
              <w:t>Obeticholic acid</w:t>
            </w:r>
            <w:r w:rsidRPr="00372FDE" w:rsidDel="00432A2F">
              <w:rPr>
                <w:bCs/>
              </w:rPr>
              <w:t xml:space="preserve"> </w:t>
            </w:r>
            <w:r>
              <w:rPr>
                <w:bCs/>
              </w:rPr>
              <w:t>plus</w:t>
            </w:r>
            <w:r w:rsidRPr="00372FDE">
              <w:rPr>
                <w:bCs/>
              </w:rPr>
              <w:t xml:space="preserve"> UDCA and Obeticholic acid</w:t>
            </w:r>
            <w:r w:rsidRPr="00372FDE" w:rsidDel="00432A2F">
              <w:rPr>
                <w:bCs/>
              </w:rPr>
              <w:t xml:space="preserve"> </w:t>
            </w:r>
            <w:r w:rsidRPr="00372FDE">
              <w:rPr>
                <w:bCs/>
              </w:rPr>
              <w:t>monotherapy were inferior in terms of safety compared to UDCA monotherapy in patients who had an inadequate response to UDCA and placebo in patients who were intolerant of UDCA respectively.</w:t>
            </w:r>
          </w:p>
        </w:tc>
        <w:tc>
          <w:tcPr>
            <w:tcW w:w="5245" w:type="dxa"/>
          </w:tcPr>
          <w:p w14:paraId="164CA03D" w14:textId="1F40F25B" w:rsidR="00CE363F" w:rsidRPr="00372FDE" w:rsidRDefault="00CE363F" w:rsidP="00CE363F">
            <w:pPr>
              <w:rPr>
                <w:rFonts w:ascii="Arial" w:hAnsi="Arial" w:cs="Arial"/>
                <w:bCs/>
                <w:sz w:val="20"/>
              </w:rPr>
            </w:pPr>
            <w:r w:rsidRPr="00372FDE">
              <w:rPr>
                <w:rFonts w:ascii="Arial" w:hAnsi="Arial" w:cs="Arial"/>
                <w:bCs/>
                <w:sz w:val="20"/>
              </w:rPr>
              <w:t xml:space="preserve">The PBAC considered that the clinical claim that </w:t>
            </w:r>
            <w:r w:rsidR="002E3BD6">
              <w:rPr>
                <w:rFonts w:ascii="Arial" w:hAnsi="Arial" w:cs="Arial"/>
                <w:bCs/>
                <w:sz w:val="20"/>
              </w:rPr>
              <w:t>o</w:t>
            </w:r>
            <w:r w:rsidRPr="00372FDE">
              <w:rPr>
                <w:rFonts w:ascii="Arial" w:hAnsi="Arial" w:cs="Arial"/>
                <w:bCs/>
                <w:sz w:val="20"/>
              </w:rPr>
              <w:t>beticholic acid</w:t>
            </w:r>
            <w:r w:rsidRPr="00372FDE" w:rsidDel="00432A2F">
              <w:rPr>
                <w:rFonts w:ascii="Arial" w:hAnsi="Arial" w:cs="Arial"/>
                <w:bCs/>
                <w:sz w:val="20"/>
              </w:rPr>
              <w:t xml:space="preserve"> </w:t>
            </w:r>
            <w:r>
              <w:rPr>
                <w:rFonts w:ascii="Arial" w:hAnsi="Arial" w:cs="Arial"/>
                <w:bCs/>
                <w:sz w:val="20"/>
              </w:rPr>
              <w:t xml:space="preserve">plus </w:t>
            </w:r>
            <w:r w:rsidRPr="00372FDE">
              <w:rPr>
                <w:rFonts w:ascii="Arial" w:hAnsi="Arial" w:cs="Arial"/>
                <w:bCs/>
                <w:sz w:val="20"/>
              </w:rPr>
              <w:t>UDCA was superior in terms of effectiveness compared to UDCA monotherapy in patients who were UDCA-inadequate responders was reasonable. The PBAC considered that the magnitude of the clinical benefit remained uncertain given the relatively small sample size in POISE (n=200) and as over 50% of patients failed to meet the primary end point at 12 months.</w:t>
            </w:r>
          </w:p>
          <w:p w14:paraId="14AC04E7" w14:textId="77777777" w:rsidR="00CE363F" w:rsidRPr="00372FDE" w:rsidRDefault="00CE363F" w:rsidP="00CE363F">
            <w:pPr>
              <w:rPr>
                <w:rFonts w:ascii="Arial" w:hAnsi="Arial" w:cs="Arial"/>
                <w:bCs/>
                <w:sz w:val="20"/>
              </w:rPr>
            </w:pPr>
          </w:p>
          <w:p w14:paraId="2644C2FF" w14:textId="2F702364" w:rsidR="00CE363F" w:rsidRPr="00372FDE" w:rsidRDefault="00CE363F" w:rsidP="00CE363F">
            <w:pPr>
              <w:rPr>
                <w:rFonts w:ascii="Arial" w:hAnsi="Arial" w:cs="Arial"/>
                <w:bCs/>
                <w:sz w:val="20"/>
              </w:rPr>
            </w:pPr>
            <w:r w:rsidRPr="00372FDE">
              <w:rPr>
                <w:rFonts w:ascii="Arial" w:hAnsi="Arial" w:cs="Arial"/>
                <w:bCs/>
                <w:sz w:val="20"/>
              </w:rPr>
              <w:t>The PBAC considered that the clinical claim that Obeticholic acid</w:t>
            </w:r>
            <w:r w:rsidRPr="00372FDE" w:rsidDel="00432A2F">
              <w:rPr>
                <w:rFonts w:ascii="Arial" w:hAnsi="Arial" w:cs="Arial"/>
                <w:bCs/>
                <w:sz w:val="20"/>
              </w:rPr>
              <w:t xml:space="preserve"> </w:t>
            </w:r>
            <w:r w:rsidRPr="00372FDE">
              <w:rPr>
                <w:rFonts w:ascii="Arial" w:hAnsi="Arial" w:cs="Arial"/>
                <w:bCs/>
                <w:sz w:val="20"/>
              </w:rPr>
              <w:t>as monotherapy was superior in terms of effectiveness to placebo in patients who were UDCA-intolerant was not adequately supported by the data due to the small size of the subgroup (n=16).</w:t>
            </w:r>
          </w:p>
          <w:p w14:paraId="1E1CDDAD" w14:textId="77777777" w:rsidR="00CE363F" w:rsidRPr="00372FDE" w:rsidRDefault="00CE363F" w:rsidP="00CE363F">
            <w:pPr>
              <w:rPr>
                <w:rFonts w:ascii="Arial" w:hAnsi="Arial" w:cs="Arial"/>
                <w:bCs/>
                <w:sz w:val="20"/>
              </w:rPr>
            </w:pPr>
          </w:p>
          <w:p w14:paraId="0C4DCE22" w14:textId="7C0A8213" w:rsidR="00CE363F" w:rsidRPr="00372FDE" w:rsidRDefault="00CE363F" w:rsidP="00CE363F">
            <w:pPr>
              <w:rPr>
                <w:rFonts w:ascii="Arial" w:hAnsi="Arial" w:cs="Arial"/>
                <w:sz w:val="20"/>
              </w:rPr>
            </w:pPr>
            <w:r w:rsidRPr="00372FDE">
              <w:rPr>
                <w:rFonts w:ascii="Arial" w:hAnsi="Arial" w:cs="Arial"/>
                <w:bCs/>
                <w:sz w:val="20"/>
              </w:rPr>
              <w:t>The PBAC considered that the claim of inferiority in terms of safety was reasonable.</w:t>
            </w:r>
          </w:p>
        </w:tc>
      </w:tr>
      <w:tr w:rsidR="00CE363F" w:rsidRPr="00372FDE" w14:paraId="357310B4" w14:textId="77777777" w:rsidTr="000805C6">
        <w:trPr>
          <w:trHeight w:val="433"/>
        </w:trPr>
        <w:tc>
          <w:tcPr>
            <w:tcW w:w="2127" w:type="dxa"/>
            <w:vMerge/>
          </w:tcPr>
          <w:p w14:paraId="6CF609DD" w14:textId="77777777" w:rsidR="00CE363F" w:rsidRPr="00372FDE" w:rsidRDefault="00CE363F" w:rsidP="00CE363F">
            <w:pPr>
              <w:rPr>
                <w:rFonts w:ascii="Arial" w:hAnsi="Arial" w:cs="Arial"/>
                <w:sz w:val="20"/>
              </w:rPr>
            </w:pPr>
          </w:p>
        </w:tc>
        <w:tc>
          <w:tcPr>
            <w:tcW w:w="2126" w:type="dxa"/>
            <w:vMerge/>
          </w:tcPr>
          <w:p w14:paraId="35E551BB" w14:textId="77777777" w:rsidR="00CE363F" w:rsidRPr="00372FDE" w:rsidRDefault="00CE363F" w:rsidP="00CE363F">
            <w:pPr>
              <w:rPr>
                <w:rFonts w:ascii="Arial" w:hAnsi="Arial" w:cs="Arial"/>
                <w:sz w:val="20"/>
              </w:rPr>
            </w:pPr>
          </w:p>
        </w:tc>
        <w:tc>
          <w:tcPr>
            <w:tcW w:w="2126" w:type="dxa"/>
            <w:vMerge/>
          </w:tcPr>
          <w:p w14:paraId="397D42E2" w14:textId="77777777" w:rsidR="00CE363F" w:rsidRPr="00372FDE" w:rsidRDefault="00CE363F" w:rsidP="00CE363F">
            <w:pPr>
              <w:rPr>
                <w:rFonts w:ascii="Arial" w:hAnsi="Arial" w:cs="Arial"/>
                <w:sz w:val="20"/>
              </w:rPr>
            </w:pPr>
          </w:p>
        </w:tc>
        <w:tc>
          <w:tcPr>
            <w:tcW w:w="3827" w:type="dxa"/>
          </w:tcPr>
          <w:p w14:paraId="1A5499A4" w14:textId="546D4CB1" w:rsidR="00CE363F" w:rsidRPr="00372FDE" w:rsidRDefault="00CE363F" w:rsidP="00CE363F">
            <w:pPr>
              <w:pStyle w:val="ListBullet"/>
            </w:pPr>
            <w:r w:rsidRPr="00372FDE">
              <w:t xml:space="preserve">Economic claim: Cost-utility analyses comparing </w:t>
            </w:r>
            <w:r w:rsidRPr="00372FDE">
              <w:rPr>
                <w:bCs/>
              </w:rPr>
              <w:t>Obeticholic acid</w:t>
            </w:r>
            <w:r w:rsidRPr="00372FDE" w:rsidDel="00432A2F">
              <w:rPr>
                <w:bCs/>
              </w:rPr>
              <w:t xml:space="preserve"> </w:t>
            </w:r>
            <w:r>
              <w:t>plus</w:t>
            </w:r>
            <w:r w:rsidRPr="00372FDE">
              <w:t xml:space="preserve"> UDCA with UDCA monotherapy and OCA monotherapy with placebo.</w:t>
            </w:r>
          </w:p>
          <w:p w14:paraId="157BAAAD" w14:textId="77777777" w:rsidR="00CE363F" w:rsidRPr="00372FDE" w:rsidRDefault="00CE363F" w:rsidP="00CE363F">
            <w:pPr>
              <w:pStyle w:val="ListBullet"/>
            </w:pPr>
          </w:p>
        </w:tc>
        <w:tc>
          <w:tcPr>
            <w:tcW w:w="5245" w:type="dxa"/>
          </w:tcPr>
          <w:p w14:paraId="444F68C4" w14:textId="4E993B6B" w:rsidR="00CE363F" w:rsidRPr="00372FDE" w:rsidRDefault="00CE363F" w:rsidP="00CE363F">
            <w:pPr>
              <w:rPr>
                <w:rFonts w:ascii="Arial" w:hAnsi="Arial" w:cs="Arial"/>
                <w:sz w:val="20"/>
              </w:rPr>
            </w:pPr>
            <w:r w:rsidRPr="00372FDE">
              <w:rPr>
                <w:rFonts w:ascii="Arial" w:hAnsi="Arial" w:cs="Arial"/>
                <w:bCs/>
                <w:sz w:val="20"/>
              </w:rPr>
              <w:t xml:space="preserve">The PBAC considered that the economic model again lacked transparency, lacked clinical plausibility and was insufficient to inform decision-making. The PBAC considered that the ICERs remained unacceptably high at the requested price, especially considering the uncertainty surrounding the incremental clinical benefit. </w:t>
            </w:r>
          </w:p>
        </w:tc>
      </w:tr>
      <w:tr w:rsidR="00CE363F" w:rsidRPr="00372FDE" w14:paraId="139EC592" w14:textId="77777777" w:rsidTr="000805C6">
        <w:trPr>
          <w:trHeight w:val="433"/>
        </w:trPr>
        <w:tc>
          <w:tcPr>
            <w:tcW w:w="2127" w:type="dxa"/>
            <w:vMerge/>
          </w:tcPr>
          <w:p w14:paraId="29EA5017" w14:textId="77777777" w:rsidR="00CE363F" w:rsidRPr="00372FDE" w:rsidRDefault="00CE363F" w:rsidP="00CE363F">
            <w:pPr>
              <w:rPr>
                <w:rFonts w:ascii="Arial" w:hAnsi="Arial" w:cs="Arial"/>
                <w:sz w:val="20"/>
              </w:rPr>
            </w:pPr>
          </w:p>
        </w:tc>
        <w:tc>
          <w:tcPr>
            <w:tcW w:w="2126" w:type="dxa"/>
            <w:vMerge/>
          </w:tcPr>
          <w:p w14:paraId="1D0F4E69" w14:textId="77777777" w:rsidR="00CE363F" w:rsidRPr="00372FDE" w:rsidRDefault="00CE363F" w:rsidP="00CE363F">
            <w:pPr>
              <w:rPr>
                <w:rFonts w:ascii="Arial" w:hAnsi="Arial" w:cs="Arial"/>
                <w:sz w:val="20"/>
              </w:rPr>
            </w:pPr>
          </w:p>
        </w:tc>
        <w:tc>
          <w:tcPr>
            <w:tcW w:w="2126" w:type="dxa"/>
            <w:vMerge/>
          </w:tcPr>
          <w:p w14:paraId="6F3FD3A1" w14:textId="77777777" w:rsidR="00CE363F" w:rsidRPr="00372FDE" w:rsidRDefault="00CE363F" w:rsidP="00CE363F">
            <w:pPr>
              <w:rPr>
                <w:rFonts w:ascii="Arial" w:hAnsi="Arial" w:cs="Arial"/>
                <w:sz w:val="20"/>
              </w:rPr>
            </w:pPr>
          </w:p>
        </w:tc>
        <w:tc>
          <w:tcPr>
            <w:tcW w:w="3827" w:type="dxa"/>
          </w:tcPr>
          <w:p w14:paraId="4D0E3A45" w14:textId="77777777" w:rsidR="00CE363F" w:rsidRPr="00372FDE" w:rsidRDefault="00CE363F" w:rsidP="00C91B1E">
            <w:pPr>
              <w:pStyle w:val="ListBullet"/>
              <w:jc w:val="right"/>
            </w:pPr>
            <w:r w:rsidRPr="00372FDE">
              <w:t>Sponsor’s comment:</w:t>
            </w:r>
          </w:p>
          <w:p w14:paraId="7EA6BE3F" w14:textId="77777777" w:rsidR="00CE363F" w:rsidRPr="00372FDE" w:rsidRDefault="00CE363F" w:rsidP="00CE363F">
            <w:pPr>
              <w:pStyle w:val="ListBullet"/>
            </w:pPr>
          </w:p>
        </w:tc>
        <w:tc>
          <w:tcPr>
            <w:tcW w:w="5245" w:type="dxa"/>
          </w:tcPr>
          <w:p w14:paraId="5DDD7357" w14:textId="0E382F87" w:rsidR="00CE363F" w:rsidRPr="00372FDE" w:rsidRDefault="00706EFA" w:rsidP="00CE363F">
            <w:pPr>
              <w:rPr>
                <w:rFonts w:ascii="Arial" w:hAnsi="Arial" w:cs="Arial"/>
                <w:sz w:val="20"/>
              </w:rPr>
            </w:pPr>
            <w:r>
              <w:rPr>
                <w:rFonts w:ascii="Arial" w:hAnsi="Arial" w:cs="Arial"/>
                <w:sz w:val="20"/>
              </w:rPr>
              <w:t>No comment</w:t>
            </w:r>
          </w:p>
        </w:tc>
      </w:tr>
      <w:tr w:rsidR="00CE363F" w:rsidRPr="00372FDE" w14:paraId="4671E2DE" w14:textId="77777777" w:rsidTr="000805C6">
        <w:trPr>
          <w:trHeight w:val="433"/>
        </w:trPr>
        <w:tc>
          <w:tcPr>
            <w:tcW w:w="2127" w:type="dxa"/>
            <w:vMerge w:val="restart"/>
          </w:tcPr>
          <w:p w14:paraId="079E15A1"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PEMBROLIZUMAB</w:t>
            </w:r>
          </w:p>
          <w:p w14:paraId="56B081ED" w14:textId="77777777" w:rsidR="00CE363F" w:rsidRPr="00372FDE" w:rsidRDefault="00CE363F" w:rsidP="00CE363F">
            <w:pPr>
              <w:rPr>
                <w:rFonts w:ascii="Arial" w:hAnsi="Arial" w:cs="Arial"/>
                <w:color w:val="000000"/>
                <w:sz w:val="20"/>
              </w:rPr>
            </w:pPr>
          </w:p>
          <w:p w14:paraId="4C754307"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 xml:space="preserve">Solution concentrate </w:t>
            </w:r>
            <w:r w:rsidRPr="00372FDE">
              <w:rPr>
                <w:rFonts w:ascii="Arial" w:hAnsi="Arial" w:cs="Arial"/>
                <w:color w:val="000000"/>
                <w:sz w:val="20"/>
              </w:rPr>
              <w:lastRenderedPageBreak/>
              <w:t>for I.V. infusion 100 mg in 4 mL</w:t>
            </w:r>
          </w:p>
          <w:p w14:paraId="49994CE4" w14:textId="77777777" w:rsidR="00CE363F" w:rsidRPr="00372FDE" w:rsidRDefault="00CE363F" w:rsidP="00CE363F">
            <w:pPr>
              <w:rPr>
                <w:rFonts w:ascii="Arial" w:hAnsi="Arial" w:cs="Arial"/>
                <w:color w:val="000000"/>
                <w:sz w:val="20"/>
              </w:rPr>
            </w:pPr>
          </w:p>
          <w:p w14:paraId="1927AF81"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Keytruda</w:t>
            </w:r>
            <w:r w:rsidRPr="00372FDE">
              <w:rPr>
                <w:rFonts w:ascii="Arial" w:hAnsi="Arial" w:cs="Arial"/>
                <w:color w:val="000000"/>
                <w:sz w:val="20"/>
                <w:vertAlign w:val="superscript"/>
              </w:rPr>
              <w:t>®</w:t>
            </w:r>
          </w:p>
          <w:p w14:paraId="2284B830" w14:textId="77777777" w:rsidR="00CE363F" w:rsidRPr="00372FDE" w:rsidRDefault="00CE363F" w:rsidP="00CE363F">
            <w:pPr>
              <w:rPr>
                <w:rFonts w:ascii="Arial" w:hAnsi="Arial" w:cs="Arial"/>
                <w:color w:val="000000"/>
                <w:sz w:val="20"/>
              </w:rPr>
            </w:pPr>
          </w:p>
          <w:p w14:paraId="589AD87C"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Merck Sharp &amp; Dohme (Australia) Pty Ltd</w:t>
            </w:r>
          </w:p>
          <w:p w14:paraId="476FFF16" w14:textId="77777777" w:rsidR="00CE363F" w:rsidRPr="00372FDE" w:rsidRDefault="00CE363F" w:rsidP="00CE363F">
            <w:pPr>
              <w:rPr>
                <w:rFonts w:ascii="Arial" w:hAnsi="Arial" w:cs="Arial"/>
                <w:color w:val="000000"/>
                <w:sz w:val="20"/>
              </w:rPr>
            </w:pPr>
          </w:p>
          <w:p w14:paraId="2E99DA5E"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Change to listing</w:t>
            </w:r>
          </w:p>
          <w:p w14:paraId="4C08118B" w14:textId="5F5B06C9" w:rsidR="00CE363F" w:rsidRPr="00372FDE" w:rsidRDefault="00CE363F" w:rsidP="00CE363F">
            <w:pPr>
              <w:rPr>
                <w:rFonts w:ascii="Arial" w:hAnsi="Arial" w:cs="Arial"/>
                <w:sz w:val="20"/>
              </w:rPr>
            </w:pPr>
            <w:r w:rsidRPr="00372FDE">
              <w:rPr>
                <w:rFonts w:ascii="Arial" w:hAnsi="Arial" w:cs="Arial"/>
                <w:color w:val="000000"/>
                <w:sz w:val="20"/>
              </w:rPr>
              <w:t>(Major Submission)</w:t>
            </w:r>
          </w:p>
        </w:tc>
        <w:tc>
          <w:tcPr>
            <w:tcW w:w="2126" w:type="dxa"/>
            <w:vMerge w:val="restart"/>
          </w:tcPr>
          <w:p w14:paraId="02F9A770" w14:textId="6E2E2D1F" w:rsidR="00CE363F" w:rsidRPr="00372FDE" w:rsidRDefault="00CE363F" w:rsidP="00CE363F">
            <w:pPr>
              <w:autoSpaceDE w:val="0"/>
              <w:autoSpaceDN w:val="0"/>
              <w:adjustRightInd w:val="0"/>
              <w:rPr>
                <w:rFonts w:ascii="Arial" w:hAnsi="Arial" w:cs="Arial"/>
                <w:sz w:val="20"/>
                <w:u w:val="single"/>
              </w:rPr>
            </w:pPr>
            <w:r w:rsidRPr="00372FDE">
              <w:rPr>
                <w:rFonts w:ascii="Arial" w:hAnsi="Arial" w:cs="Arial"/>
                <w:sz w:val="20"/>
              </w:rPr>
              <w:lastRenderedPageBreak/>
              <w:t>PEMBROLIZUMAB is indicated for use in</w:t>
            </w:r>
            <w:r w:rsidRPr="00372FDE">
              <w:rPr>
                <w:rFonts w:ascii="Arial" w:hAnsi="Arial" w:cs="Arial"/>
                <w:sz w:val="20"/>
                <w:u w:val="single"/>
              </w:rPr>
              <w:t xml:space="preserve"> Melanoma: </w:t>
            </w:r>
          </w:p>
          <w:p w14:paraId="3E993806"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lastRenderedPageBreak/>
              <w:t xml:space="preserve">- unresectable or metastatic melanoma in adults; </w:t>
            </w:r>
          </w:p>
          <w:p w14:paraId="17070AD6"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adjuvant treatment of melanoma with lymph node involvement who have undergone complete resection.</w:t>
            </w:r>
          </w:p>
          <w:p w14:paraId="04377742" w14:textId="77777777" w:rsidR="00CE363F" w:rsidRPr="00372FDE" w:rsidRDefault="00CE363F" w:rsidP="00CE363F">
            <w:pPr>
              <w:autoSpaceDE w:val="0"/>
              <w:autoSpaceDN w:val="0"/>
              <w:adjustRightInd w:val="0"/>
              <w:rPr>
                <w:rFonts w:ascii="Arial" w:hAnsi="Arial" w:cs="Arial"/>
                <w:sz w:val="20"/>
                <w:u w:val="single"/>
              </w:rPr>
            </w:pPr>
            <w:r w:rsidRPr="00372FDE">
              <w:rPr>
                <w:rFonts w:ascii="Arial" w:hAnsi="Arial" w:cs="Arial"/>
                <w:sz w:val="20"/>
                <w:u w:val="single"/>
              </w:rPr>
              <w:t>Non-small cell lung cancer (NSCLC):</w:t>
            </w:r>
          </w:p>
          <w:p w14:paraId="5EE6C557" w14:textId="00FCB360"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xml:space="preserve">- first-line treatment of metastatic NSCLC whose tumours express programmed death-ligand 1 (PD-L1) with a greater than or equal to 50% tumour proportion score (TPS), with no epidermal growth factor (EGFR) or anaplastic lymphoma kinase (ALK) genomic tumour aberrations; </w:t>
            </w:r>
          </w:p>
          <w:p w14:paraId="562D7472"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xml:space="preserve">- in combination with pemetrexed and platinum chemotherapy, as first-line treatment of metastatic non-squamous NSCLC, with no EGFR or </w:t>
            </w:r>
            <w:r w:rsidRPr="00372FDE">
              <w:rPr>
                <w:rFonts w:ascii="Arial" w:hAnsi="Arial" w:cs="Arial"/>
                <w:sz w:val="20"/>
              </w:rPr>
              <w:lastRenderedPageBreak/>
              <w:t xml:space="preserve">ALK genomic tumour aberrations; </w:t>
            </w:r>
          </w:p>
          <w:p w14:paraId="28D90B16"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in combination with carboplatin and either paclitaxel or nab-paclitaxel, as first-line treatment of metastatic squamous NSCLC;</w:t>
            </w:r>
          </w:p>
          <w:p w14:paraId="298B2462" w14:textId="29F2A3C0"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xml:space="preserve">- advanced NSCLC whose tumours express PD-L1 with a greater than or equal to 1% TPS and who have received platinum-containing chemotherapy. </w:t>
            </w:r>
          </w:p>
          <w:p w14:paraId="59FF91D3" w14:textId="77777777" w:rsidR="00CE363F" w:rsidRPr="00372FDE" w:rsidRDefault="00CE363F" w:rsidP="00CE363F">
            <w:pPr>
              <w:autoSpaceDE w:val="0"/>
              <w:autoSpaceDN w:val="0"/>
              <w:adjustRightInd w:val="0"/>
              <w:rPr>
                <w:rFonts w:ascii="Arial" w:hAnsi="Arial" w:cs="Arial"/>
                <w:sz w:val="20"/>
                <w:u w:val="single"/>
              </w:rPr>
            </w:pPr>
            <w:r w:rsidRPr="00372FDE">
              <w:rPr>
                <w:rFonts w:ascii="Arial" w:hAnsi="Arial" w:cs="Arial"/>
                <w:sz w:val="20"/>
                <w:u w:val="single"/>
              </w:rPr>
              <w:t>Head and Neck Squamous Cell Cancer (HNSCC):</w:t>
            </w:r>
          </w:p>
          <w:p w14:paraId="3C8A3DC5"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recurrent or metastatic HNSCC with disease progression on or</w:t>
            </w:r>
          </w:p>
          <w:p w14:paraId="1E707A8C"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xml:space="preserve">after platinum-containing chemotherapy. </w:t>
            </w:r>
          </w:p>
          <w:p w14:paraId="5C1A0761" w14:textId="77777777" w:rsidR="00CE363F" w:rsidRPr="00372FDE" w:rsidRDefault="00CE363F" w:rsidP="00CE363F">
            <w:pPr>
              <w:autoSpaceDE w:val="0"/>
              <w:autoSpaceDN w:val="0"/>
              <w:adjustRightInd w:val="0"/>
              <w:rPr>
                <w:rFonts w:ascii="Arial" w:hAnsi="Arial" w:cs="Arial"/>
                <w:sz w:val="20"/>
                <w:u w:val="single"/>
              </w:rPr>
            </w:pPr>
            <w:r w:rsidRPr="00372FDE">
              <w:rPr>
                <w:rFonts w:ascii="Arial" w:hAnsi="Arial" w:cs="Arial"/>
                <w:sz w:val="20"/>
                <w:u w:val="single"/>
              </w:rPr>
              <w:t xml:space="preserve">Classical Hodgkin Lymphoma (cHL): </w:t>
            </w:r>
          </w:p>
          <w:p w14:paraId="6D99E8C1"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xml:space="preserve">- adults with relapsed or refractory cHL following autologous stem cell transplant (ASCT) or, following at least two prior </w:t>
            </w:r>
            <w:r w:rsidRPr="00372FDE">
              <w:rPr>
                <w:rFonts w:ascii="Arial" w:hAnsi="Arial" w:cs="Arial"/>
                <w:sz w:val="20"/>
              </w:rPr>
              <w:lastRenderedPageBreak/>
              <w:t xml:space="preserve">therapies when ASCT or multi-agent chemotherapy is not a treatment option. </w:t>
            </w:r>
          </w:p>
          <w:p w14:paraId="4483301F" w14:textId="7C85EBE1" w:rsidR="00CE363F" w:rsidRPr="00372FDE" w:rsidRDefault="00CE363F" w:rsidP="00CE363F">
            <w:pPr>
              <w:autoSpaceDE w:val="0"/>
              <w:autoSpaceDN w:val="0"/>
              <w:adjustRightInd w:val="0"/>
              <w:rPr>
                <w:rFonts w:ascii="Arial" w:hAnsi="Arial" w:cs="Arial"/>
                <w:sz w:val="20"/>
                <w:u w:val="single"/>
              </w:rPr>
            </w:pPr>
            <w:r w:rsidRPr="00372FDE">
              <w:rPr>
                <w:rFonts w:ascii="Arial" w:hAnsi="Arial" w:cs="Arial"/>
                <w:sz w:val="20"/>
                <w:u w:val="single"/>
              </w:rPr>
              <w:t>Primary Mediastinal B-Cell Lymphoma (PMBCL):</w:t>
            </w:r>
          </w:p>
          <w:p w14:paraId="77D9E069"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xml:space="preserve">- adult and paediatric patients with refractory PMBCL, or who have relapsed after 2 or more prior lines of therapy. </w:t>
            </w:r>
          </w:p>
          <w:p w14:paraId="7C832376"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u w:val="single"/>
              </w:rPr>
              <w:t>Urothelial carcinoma</w:t>
            </w:r>
            <w:r w:rsidRPr="00372FDE">
              <w:rPr>
                <w:rFonts w:ascii="Arial" w:hAnsi="Arial" w:cs="Arial"/>
                <w:sz w:val="20"/>
              </w:rPr>
              <w:t xml:space="preserve">: </w:t>
            </w:r>
          </w:p>
          <w:p w14:paraId="4DF467DE" w14:textId="77777777" w:rsidR="00CE363F" w:rsidRPr="00372FDE" w:rsidRDefault="00CE363F" w:rsidP="00CE363F">
            <w:pPr>
              <w:autoSpaceDE w:val="0"/>
              <w:autoSpaceDN w:val="0"/>
              <w:adjustRightInd w:val="0"/>
              <w:rPr>
                <w:rFonts w:ascii="Arial" w:hAnsi="Arial" w:cs="Arial"/>
                <w:sz w:val="20"/>
              </w:rPr>
            </w:pPr>
            <w:r w:rsidRPr="00372FDE">
              <w:rPr>
                <w:rFonts w:ascii="Arial" w:hAnsi="Arial" w:cs="Arial"/>
                <w:sz w:val="20"/>
              </w:rPr>
              <w:t>- locally advanced or metastatic urothelial carcinoma who are not eligible for cisplatin-containing therapy and whose tumours express PD-L1 [Combined Positive</w:t>
            </w:r>
          </w:p>
          <w:p w14:paraId="34418F2F" w14:textId="2EDA2A9F" w:rsidR="00CE363F" w:rsidRPr="00372FDE" w:rsidRDefault="00CE363F" w:rsidP="00CE363F">
            <w:pPr>
              <w:autoSpaceDE w:val="0"/>
              <w:autoSpaceDN w:val="0"/>
              <w:adjustRightInd w:val="0"/>
              <w:rPr>
                <w:rFonts w:ascii="Arial" w:hAnsi="Arial" w:cs="Arial"/>
                <w:sz w:val="20"/>
              </w:rPr>
            </w:pPr>
            <w:r>
              <w:rPr>
                <w:rFonts w:ascii="Arial" w:hAnsi="Arial" w:cs="Arial"/>
                <w:sz w:val="20"/>
              </w:rPr>
              <w:t xml:space="preserve">Score </w:t>
            </w:r>
            <w:r w:rsidRPr="00372FDE">
              <w:rPr>
                <w:rFonts w:ascii="Arial" w:hAnsi="Arial" w:cs="Arial"/>
                <w:sz w:val="20"/>
              </w:rPr>
              <w:t>greater than or equal to 10], or in patients who are not eligible for any platinum-containing chemotherapy</w:t>
            </w:r>
          </w:p>
          <w:p w14:paraId="6C95EBD1" w14:textId="521EC841" w:rsidR="00CE363F" w:rsidRPr="00372FDE" w:rsidRDefault="00CE363F" w:rsidP="00CE363F">
            <w:pPr>
              <w:rPr>
                <w:rFonts w:ascii="Arial" w:hAnsi="Arial" w:cs="Arial"/>
                <w:sz w:val="20"/>
              </w:rPr>
            </w:pPr>
            <w:r w:rsidRPr="00372FDE">
              <w:rPr>
                <w:rFonts w:ascii="Arial" w:hAnsi="Arial" w:cs="Arial"/>
                <w:sz w:val="20"/>
              </w:rPr>
              <w:t xml:space="preserve">regardless of PD-L1 status; </w:t>
            </w:r>
            <w:r w:rsidRPr="00372FDE">
              <w:rPr>
                <w:rFonts w:ascii="Arial" w:hAnsi="Arial" w:cs="Arial"/>
                <w:sz w:val="20"/>
              </w:rPr>
              <w:br/>
              <w:t>- locally advanced or metastatic urothelial carcinoma who have received platinum-</w:t>
            </w:r>
            <w:r w:rsidRPr="00372FDE">
              <w:rPr>
                <w:rFonts w:ascii="Arial" w:hAnsi="Arial" w:cs="Arial"/>
                <w:sz w:val="20"/>
              </w:rPr>
              <w:lastRenderedPageBreak/>
              <w:t>containing chemotherapy.</w:t>
            </w:r>
          </w:p>
        </w:tc>
        <w:tc>
          <w:tcPr>
            <w:tcW w:w="2126" w:type="dxa"/>
            <w:vMerge w:val="restart"/>
          </w:tcPr>
          <w:p w14:paraId="7A75E49F" w14:textId="77777777" w:rsidR="00CE363F" w:rsidRPr="00372FDE" w:rsidRDefault="00CE363F" w:rsidP="00CE363F">
            <w:pPr>
              <w:rPr>
                <w:rFonts w:ascii="Arial" w:hAnsi="Arial" w:cs="Arial"/>
                <w:bCs/>
                <w:sz w:val="20"/>
              </w:rPr>
            </w:pPr>
            <w:r w:rsidRPr="00372FDE">
              <w:rPr>
                <w:rFonts w:ascii="Arial" w:hAnsi="Arial" w:cs="Arial"/>
                <w:bCs/>
                <w:sz w:val="20"/>
              </w:rPr>
              <w:lastRenderedPageBreak/>
              <w:t xml:space="preserve">Unresectable Stage III or Stage IV malignant </w:t>
            </w:r>
            <w:r w:rsidRPr="00372FDE">
              <w:rPr>
                <w:rFonts w:ascii="Arial" w:hAnsi="Arial" w:cs="Arial"/>
                <w:bCs/>
                <w:sz w:val="20"/>
              </w:rPr>
              <w:lastRenderedPageBreak/>
              <w:t>melanoma;</w:t>
            </w:r>
          </w:p>
          <w:p w14:paraId="6EB38B7F" w14:textId="77777777" w:rsidR="00CE363F" w:rsidRPr="00372FDE" w:rsidRDefault="00CE363F" w:rsidP="00CE363F">
            <w:pPr>
              <w:rPr>
                <w:rFonts w:ascii="Arial" w:hAnsi="Arial" w:cs="Arial"/>
                <w:bCs/>
                <w:sz w:val="20"/>
              </w:rPr>
            </w:pPr>
          </w:p>
          <w:p w14:paraId="17D0A80B" w14:textId="7202C103" w:rsidR="00CE363F" w:rsidRPr="00372FDE" w:rsidRDefault="00CE363F" w:rsidP="00CE363F">
            <w:pPr>
              <w:rPr>
                <w:rFonts w:ascii="Arial" w:hAnsi="Arial" w:cs="Arial"/>
                <w:bCs/>
                <w:sz w:val="20"/>
              </w:rPr>
            </w:pPr>
            <w:r w:rsidRPr="00372FDE">
              <w:rPr>
                <w:rFonts w:ascii="Arial" w:hAnsi="Arial" w:cs="Arial"/>
                <w:bCs/>
                <w:sz w:val="20"/>
              </w:rPr>
              <w:t>Relapsed or refractory Hodgkin lymphoma;</w:t>
            </w:r>
          </w:p>
          <w:p w14:paraId="7D8A0D22" w14:textId="77777777" w:rsidR="00CE363F" w:rsidRPr="00372FDE" w:rsidRDefault="00CE363F" w:rsidP="00CE363F">
            <w:pPr>
              <w:rPr>
                <w:rFonts w:ascii="Arial" w:hAnsi="Arial" w:cs="Arial"/>
                <w:bCs/>
                <w:sz w:val="20"/>
              </w:rPr>
            </w:pPr>
          </w:p>
          <w:p w14:paraId="3ACB6046" w14:textId="617C7E5E" w:rsidR="00CE363F" w:rsidRPr="00372FDE" w:rsidRDefault="00CE363F" w:rsidP="00CE363F">
            <w:pPr>
              <w:rPr>
                <w:rFonts w:ascii="Arial" w:hAnsi="Arial" w:cs="Arial"/>
                <w:bCs/>
                <w:sz w:val="20"/>
              </w:rPr>
            </w:pPr>
            <w:r w:rsidRPr="00372FDE">
              <w:rPr>
                <w:rFonts w:ascii="Arial" w:hAnsi="Arial" w:cs="Arial"/>
                <w:bCs/>
                <w:sz w:val="20"/>
              </w:rPr>
              <w:t>Previously untreated Stage IV (metastatic) NSCLC ;</w:t>
            </w:r>
          </w:p>
          <w:p w14:paraId="110259D2" w14:textId="77777777" w:rsidR="00CE363F" w:rsidRPr="00372FDE" w:rsidRDefault="00CE363F" w:rsidP="00CE363F">
            <w:pPr>
              <w:rPr>
                <w:rFonts w:ascii="Arial" w:hAnsi="Arial" w:cs="Arial"/>
                <w:bCs/>
                <w:sz w:val="20"/>
              </w:rPr>
            </w:pPr>
          </w:p>
          <w:p w14:paraId="4E84A776" w14:textId="1F5167A8" w:rsidR="00CE363F" w:rsidRPr="00372FDE" w:rsidRDefault="00CE363F" w:rsidP="00CE363F">
            <w:pPr>
              <w:rPr>
                <w:rFonts w:ascii="Arial" w:hAnsi="Arial" w:cs="Arial"/>
                <w:bCs/>
                <w:sz w:val="20"/>
              </w:rPr>
            </w:pPr>
            <w:r w:rsidRPr="00372FDE">
              <w:rPr>
                <w:rFonts w:ascii="Arial" w:hAnsi="Arial" w:cs="Arial"/>
                <w:bCs/>
                <w:sz w:val="20"/>
              </w:rPr>
              <w:t>Locally advanced (Stage III) or metastatic (Stage IV) urothelial cancer</w:t>
            </w:r>
          </w:p>
        </w:tc>
        <w:tc>
          <w:tcPr>
            <w:tcW w:w="3827" w:type="dxa"/>
          </w:tcPr>
          <w:p w14:paraId="342B86AE" w14:textId="77777777" w:rsidR="00CE363F" w:rsidRPr="00372FDE" w:rsidRDefault="00CE363F" w:rsidP="00CE363F">
            <w:pPr>
              <w:pStyle w:val="ListBullet"/>
            </w:pPr>
            <w:r w:rsidRPr="00372FDE">
              <w:lastRenderedPageBreak/>
              <w:t xml:space="preserve">Resubmission to request Section 100 (Efficient Funding of Chemotherapy Program) Authority Required </w:t>
            </w:r>
            <w:r w:rsidRPr="00372FDE">
              <w:lastRenderedPageBreak/>
              <w:t>(STREAMLINED) listing for the adjuvant treatment of patients who have had completely surgically resected Stage III malignant melanoma.</w:t>
            </w:r>
          </w:p>
          <w:p w14:paraId="50484EA8" w14:textId="77777777" w:rsidR="00CE363F" w:rsidRPr="00372FDE" w:rsidRDefault="00CE363F" w:rsidP="00CE363F">
            <w:pPr>
              <w:pStyle w:val="ListBullet"/>
            </w:pPr>
          </w:p>
          <w:p w14:paraId="5219417E" w14:textId="315CCD9A" w:rsidR="00CE363F" w:rsidRPr="00372FDE" w:rsidRDefault="00CE363F" w:rsidP="00CE363F">
            <w:pPr>
              <w:pStyle w:val="ListBullet"/>
            </w:pPr>
            <w:r w:rsidRPr="00372FDE">
              <w:t>This was updated to exclude patients with Stage IIIA disease (i.e. for Stage IIIB, IIIC and IIID melanoma only) during evaluation.</w:t>
            </w:r>
          </w:p>
        </w:tc>
        <w:tc>
          <w:tcPr>
            <w:tcW w:w="5245" w:type="dxa"/>
          </w:tcPr>
          <w:p w14:paraId="01665730" w14:textId="0008C367" w:rsidR="00CE363F" w:rsidRPr="00372FDE" w:rsidRDefault="00CE363F" w:rsidP="00CE363F">
            <w:pPr>
              <w:rPr>
                <w:rFonts w:ascii="Arial" w:hAnsi="Arial" w:cs="Arial"/>
                <w:bCs/>
                <w:sz w:val="20"/>
                <w:lang w:val="en-GB"/>
              </w:rPr>
            </w:pPr>
            <w:r w:rsidRPr="00372FDE">
              <w:rPr>
                <w:rFonts w:ascii="Arial" w:hAnsi="Arial" w:cs="Arial"/>
                <w:bCs/>
                <w:sz w:val="20"/>
                <w:lang w:val="en-GB"/>
              </w:rPr>
              <w:lastRenderedPageBreak/>
              <w:t xml:space="preserve">The PBAC did not recommend listing of pembrolizumab as an adjuvant treatment for completely surgically resected Stage IIIB, IIIC or IIID melanoma. The PBAC </w:t>
            </w:r>
            <w:r w:rsidRPr="00372FDE">
              <w:rPr>
                <w:rFonts w:ascii="Arial" w:hAnsi="Arial" w:cs="Arial"/>
                <w:bCs/>
                <w:sz w:val="20"/>
                <w:lang w:val="en-GB"/>
              </w:rPr>
              <w:lastRenderedPageBreak/>
              <w:t xml:space="preserve">acknowledged that there was a high clinical need for effective therapies to reduce the risk of recurrence of resected Stage III melanoma, and considered that in some circumstances recurrence was less likely for those treated with pembrolizumab compared with placebo. </w:t>
            </w:r>
          </w:p>
          <w:p w14:paraId="2DF260A2" w14:textId="56331981" w:rsidR="00CE363F" w:rsidRPr="00372FDE" w:rsidRDefault="00CE363F" w:rsidP="00CE363F">
            <w:pPr>
              <w:rPr>
                <w:rFonts w:ascii="Arial" w:hAnsi="Arial" w:cs="Arial"/>
                <w:sz w:val="20"/>
              </w:rPr>
            </w:pPr>
            <w:r w:rsidRPr="00372FDE">
              <w:rPr>
                <w:rFonts w:ascii="Arial" w:hAnsi="Arial" w:cs="Arial"/>
                <w:bCs/>
                <w:sz w:val="20"/>
                <w:lang w:val="en-GB"/>
              </w:rPr>
              <w:t>However, the PBAC considered that due to the limited duration of follow-up in the key trial, KN054, the magnitude of the clinical benefit was uncertain. The PBAC considered that the modelled incremental benefit, in terms of overall survival, was substantially overestimated and, as a result, the economic model did not provide a reliable basis for assessing the cost-effectiveness of pembrolizumab. The PBAC also remained concerned about the high overall financial opportunity cost.</w:t>
            </w:r>
          </w:p>
        </w:tc>
      </w:tr>
      <w:tr w:rsidR="00CE363F" w:rsidRPr="00372FDE" w14:paraId="2B9B2D9D" w14:textId="77777777" w:rsidTr="000805C6">
        <w:trPr>
          <w:trHeight w:val="433"/>
        </w:trPr>
        <w:tc>
          <w:tcPr>
            <w:tcW w:w="2127" w:type="dxa"/>
            <w:vMerge/>
          </w:tcPr>
          <w:p w14:paraId="7E402435" w14:textId="77777777" w:rsidR="00CE363F" w:rsidRPr="00372FDE" w:rsidRDefault="00CE363F" w:rsidP="00CE363F">
            <w:pPr>
              <w:rPr>
                <w:rFonts w:ascii="Arial" w:hAnsi="Arial" w:cs="Arial"/>
                <w:sz w:val="20"/>
              </w:rPr>
            </w:pPr>
          </w:p>
        </w:tc>
        <w:tc>
          <w:tcPr>
            <w:tcW w:w="2126" w:type="dxa"/>
            <w:vMerge/>
          </w:tcPr>
          <w:p w14:paraId="7DB9EEF9" w14:textId="77777777" w:rsidR="00CE363F" w:rsidRPr="00372FDE" w:rsidRDefault="00CE363F" w:rsidP="00CE363F">
            <w:pPr>
              <w:rPr>
                <w:rFonts w:ascii="Arial" w:hAnsi="Arial" w:cs="Arial"/>
                <w:sz w:val="20"/>
              </w:rPr>
            </w:pPr>
          </w:p>
        </w:tc>
        <w:tc>
          <w:tcPr>
            <w:tcW w:w="2126" w:type="dxa"/>
            <w:vMerge/>
          </w:tcPr>
          <w:p w14:paraId="6111D20C" w14:textId="77777777" w:rsidR="00CE363F" w:rsidRPr="00372FDE" w:rsidRDefault="00CE363F" w:rsidP="00CE363F">
            <w:pPr>
              <w:rPr>
                <w:rFonts w:ascii="Arial" w:hAnsi="Arial" w:cs="Arial"/>
                <w:sz w:val="20"/>
              </w:rPr>
            </w:pPr>
          </w:p>
        </w:tc>
        <w:tc>
          <w:tcPr>
            <w:tcW w:w="3827" w:type="dxa"/>
          </w:tcPr>
          <w:p w14:paraId="03B3FF7D" w14:textId="6932E941" w:rsidR="00CE363F" w:rsidRPr="00372FDE" w:rsidRDefault="00CE363F" w:rsidP="00CE363F">
            <w:pPr>
              <w:pStyle w:val="ListBullet"/>
            </w:pPr>
            <w:r w:rsidRPr="00372FDE">
              <w:t>Comparator: Observation/placebo</w:t>
            </w:r>
          </w:p>
        </w:tc>
        <w:tc>
          <w:tcPr>
            <w:tcW w:w="5245" w:type="dxa"/>
          </w:tcPr>
          <w:p w14:paraId="2B5D0BD1" w14:textId="06263388" w:rsidR="00CE363F" w:rsidRPr="00372FDE" w:rsidRDefault="00CE363F" w:rsidP="00CE363F">
            <w:pPr>
              <w:rPr>
                <w:rFonts w:ascii="Arial" w:hAnsi="Arial" w:cs="Arial"/>
                <w:sz w:val="20"/>
              </w:rPr>
            </w:pPr>
            <w:r w:rsidRPr="00372FDE">
              <w:rPr>
                <w:rFonts w:ascii="Arial" w:hAnsi="Arial" w:cs="Arial"/>
                <w:sz w:val="20"/>
              </w:rPr>
              <w:t xml:space="preserve">The PBAC reaffirmed that standard of care (routine follow-up) was the appropriate main comparator for pembrolizumab as adjuvant treatment for melanoma. Nivolumab was also considered for the same indication at the July 2019 meeting and was a near market comparator. Dabrafenib plus </w:t>
            </w:r>
            <w:r>
              <w:rPr>
                <w:rFonts w:ascii="Arial" w:hAnsi="Arial" w:cs="Arial"/>
                <w:sz w:val="20"/>
              </w:rPr>
              <w:t xml:space="preserve">trametinib was also </w:t>
            </w:r>
            <w:r w:rsidRPr="00372FDE">
              <w:rPr>
                <w:rFonts w:ascii="Arial" w:hAnsi="Arial" w:cs="Arial"/>
                <w:sz w:val="20"/>
              </w:rPr>
              <w:t>considered for adjuvant treatment of patients with BRAF mutant melanoma at the July 2019 meeting and was a near market comparator for the BRAF mutant subgroup of patients.</w:t>
            </w:r>
          </w:p>
        </w:tc>
      </w:tr>
      <w:tr w:rsidR="00CE363F" w:rsidRPr="00372FDE" w14:paraId="0BB963CB" w14:textId="77777777" w:rsidTr="000805C6">
        <w:trPr>
          <w:trHeight w:val="433"/>
        </w:trPr>
        <w:tc>
          <w:tcPr>
            <w:tcW w:w="2127" w:type="dxa"/>
            <w:vMerge/>
          </w:tcPr>
          <w:p w14:paraId="470A68EA" w14:textId="77777777" w:rsidR="00CE363F" w:rsidRPr="00372FDE" w:rsidRDefault="00CE363F" w:rsidP="00CE363F">
            <w:pPr>
              <w:rPr>
                <w:rFonts w:ascii="Arial" w:hAnsi="Arial" w:cs="Arial"/>
                <w:sz w:val="20"/>
              </w:rPr>
            </w:pPr>
          </w:p>
        </w:tc>
        <w:tc>
          <w:tcPr>
            <w:tcW w:w="2126" w:type="dxa"/>
            <w:vMerge/>
          </w:tcPr>
          <w:p w14:paraId="7567B099" w14:textId="77777777" w:rsidR="00CE363F" w:rsidRPr="00372FDE" w:rsidRDefault="00CE363F" w:rsidP="00CE363F">
            <w:pPr>
              <w:rPr>
                <w:rFonts w:ascii="Arial" w:hAnsi="Arial" w:cs="Arial"/>
                <w:sz w:val="20"/>
              </w:rPr>
            </w:pPr>
          </w:p>
        </w:tc>
        <w:tc>
          <w:tcPr>
            <w:tcW w:w="2126" w:type="dxa"/>
            <w:vMerge/>
          </w:tcPr>
          <w:p w14:paraId="25EEC463" w14:textId="77777777" w:rsidR="00CE363F" w:rsidRPr="00372FDE" w:rsidRDefault="00CE363F" w:rsidP="00CE363F">
            <w:pPr>
              <w:rPr>
                <w:rFonts w:ascii="Arial" w:hAnsi="Arial" w:cs="Arial"/>
                <w:sz w:val="20"/>
              </w:rPr>
            </w:pPr>
          </w:p>
        </w:tc>
        <w:tc>
          <w:tcPr>
            <w:tcW w:w="3827" w:type="dxa"/>
          </w:tcPr>
          <w:p w14:paraId="62360CB4" w14:textId="06469931" w:rsidR="00CE363F" w:rsidRPr="00372FDE" w:rsidRDefault="00CE363F" w:rsidP="00CE363F">
            <w:pPr>
              <w:pStyle w:val="ListBullet"/>
            </w:pPr>
            <w:r w:rsidRPr="00372FDE">
              <w:t>Clinical claim: In patients with resected Stage III melanoma, pembrolizumab is superior to placebo in terms of efficacy. In terms of safety, pembrolizumab has inferior but manageable safety.</w:t>
            </w:r>
          </w:p>
          <w:p w14:paraId="53F0C588" w14:textId="77777777" w:rsidR="00CE363F" w:rsidRPr="00372FDE" w:rsidRDefault="00CE363F" w:rsidP="00CE363F">
            <w:pPr>
              <w:pStyle w:val="ListBullet"/>
            </w:pPr>
          </w:p>
        </w:tc>
        <w:tc>
          <w:tcPr>
            <w:tcW w:w="5245" w:type="dxa"/>
          </w:tcPr>
          <w:p w14:paraId="636CD45E" w14:textId="77777777" w:rsidR="00CE363F" w:rsidRPr="00372FDE" w:rsidRDefault="00CE363F" w:rsidP="00CE363F">
            <w:pPr>
              <w:rPr>
                <w:rFonts w:ascii="Arial" w:hAnsi="Arial" w:cs="Arial"/>
                <w:sz w:val="20"/>
              </w:rPr>
            </w:pPr>
            <w:r w:rsidRPr="00372FDE">
              <w:rPr>
                <w:rFonts w:ascii="Arial" w:hAnsi="Arial" w:cs="Arial"/>
                <w:sz w:val="20"/>
              </w:rPr>
              <w:t>The PBAC again considered that the claim that pembrolizumab was superior compared to placebo in terms of recurrence free survival was reasonable, but due to the immaturity of the data considered that the magnitude of the treatment effect was highly uncertain.</w:t>
            </w:r>
          </w:p>
          <w:p w14:paraId="611C030C" w14:textId="6427CFC8" w:rsidR="00CE363F" w:rsidRPr="00372FDE" w:rsidRDefault="00CE363F" w:rsidP="00CE363F">
            <w:pPr>
              <w:rPr>
                <w:rFonts w:ascii="Arial" w:hAnsi="Arial" w:cs="Arial"/>
                <w:sz w:val="20"/>
              </w:rPr>
            </w:pPr>
            <w:r w:rsidRPr="00372FDE">
              <w:rPr>
                <w:rFonts w:ascii="Arial" w:hAnsi="Arial" w:cs="Arial"/>
                <w:sz w:val="20"/>
              </w:rPr>
              <w:t>In terms of overall survival, the PBAC considered that further evidence was required to quantify the relationship between recurrence free and overall survival with PD-1 inhibitor therapy.</w:t>
            </w:r>
          </w:p>
          <w:p w14:paraId="665B0CB0" w14:textId="77777777" w:rsidR="00CE363F" w:rsidRPr="00372FDE" w:rsidRDefault="00CE363F" w:rsidP="00CE363F">
            <w:pPr>
              <w:rPr>
                <w:rFonts w:ascii="Arial" w:hAnsi="Arial" w:cs="Arial"/>
                <w:sz w:val="20"/>
              </w:rPr>
            </w:pPr>
          </w:p>
          <w:p w14:paraId="56D6DBC1" w14:textId="0AADC897" w:rsidR="00CE363F" w:rsidRPr="00372FDE" w:rsidRDefault="00CE363F" w:rsidP="00CE363F">
            <w:pPr>
              <w:rPr>
                <w:rFonts w:ascii="Arial" w:hAnsi="Arial" w:cs="Arial"/>
                <w:sz w:val="20"/>
              </w:rPr>
            </w:pPr>
            <w:r w:rsidRPr="00372FDE">
              <w:rPr>
                <w:rFonts w:ascii="Arial" w:hAnsi="Arial" w:cs="Arial"/>
                <w:sz w:val="20"/>
              </w:rPr>
              <w:t>The PBAC noted that the resubmission described pembrolizumab as inferior compared to placebo in terms of safety, but that the safety profile was manageable. The PBAC considered that this was reasonable.</w:t>
            </w:r>
          </w:p>
        </w:tc>
      </w:tr>
      <w:tr w:rsidR="00CE363F" w:rsidRPr="00372FDE" w14:paraId="3B5278E9" w14:textId="77777777" w:rsidTr="000805C6">
        <w:trPr>
          <w:trHeight w:val="433"/>
        </w:trPr>
        <w:tc>
          <w:tcPr>
            <w:tcW w:w="2127" w:type="dxa"/>
            <w:vMerge/>
          </w:tcPr>
          <w:p w14:paraId="19F4E4DA" w14:textId="77777777" w:rsidR="00CE363F" w:rsidRPr="00372FDE" w:rsidRDefault="00CE363F" w:rsidP="00CE363F">
            <w:pPr>
              <w:rPr>
                <w:rFonts w:ascii="Arial" w:hAnsi="Arial" w:cs="Arial"/>
                <w:sz w:val="20"/>
              </w:rPr>
            </w:pPr>
          </w:p>
        </w:tc>
        <w:tc>
          <w:tcPr>
            <w:tcW w:w="2126" w:type="dxa"/>
            <w:vMerge/>
          </w:tcPr>
          <w:p w14:paraId="62FC4E3E" w14:textId="77777777" w:rsidR="00CE363F" w:rsidRPr="00372FDE" w:rsidRDefault="00CE363F" w:rsidP="00CE363F">
            <w:pPr>
              <w:rPr>
                <w:rFonts w:ascii="Arial" w:hAnsi="Arial" w:cs="Arial"/>
                <w:sz w:val="20"/>
              </w:rPr>
            </w:pPr>
          </w:p>
        </w:tc>
        <w:tc>
          <w:tcPr>
            <w:tcW w:w="2126" w:type="dxa"/>
            <w:vMerge/>
          </w:tcPr>
          <w:p w14:paraId="04529291" w14:textId="77777777" w:rsidR="00CE363F" w:rsidRPr="00372FDE" w:rsidRDefault="00CE363F" w:rsidP="00CE363F">
            <w:pPr>
              <w:rPr>
                <w:rFonts w:ascii="Arial" w:hAnsi="Arial" w:cs="Arial"/>
                <w:sz w:val="20"/>
              </w:rPr>
            </w:pPr>
          </w:p>
        </w:tc>
        <w:tc>
          <w:tcPr>
            <w:tcW w:w="3827" w:type="dxa"/>
          </w:tcPr>
          <w:p w14:paraId="6ECD89AF" w14:textId="1243C9D6" w:rsidR="00CE363F" w:rsidRPr="00372FDE" w:rsidRDefault="00CE363F" w:rsidP="00CE363F">
            <w:pPr>
              <w:pStyle w:val="ListBullet"/>
            </w:pPr>
            <w:r w:rsidRPr="00372FDE">
              <w:t>Economic claim: The base case incremental cost-effectiveness ratio (ICER) of $23,970 over a 10-year horizon is well within generally accepted thresholds for cost-effectiveness in the Australian setting.</w:t>
            </w:r>
          </w:p>
        </w:tc>
        <w:tc>
          <w:tcPr>
            <w:tcW w:w="5245" w:type="dxa"/>
          </w:tcPr>
          <w:p w14:paraId="5E27E393" w14:textId="0659D8B8" w:rsidR="00CE363F" w:rsidRPr="00372FDE" w:rsidRDefault="00CE363F" w:rsidP="00CE363F">
            <w:pPr>
              <w:rPr>
                <w:rFonts w:ascii="Arial" w:hAnsi="Arial" w:cs="Arial"/>
                <w:sz w:val="20"/>
              </w:rPr>
            </w:pPr>
            <w:r w:rsidRPr="00372FDE">
              <w:rPr>
                <w:rFonts w:ascii="Arial" w:hAnsi="Arial" w:cs="Arial"/>
                <w:sz w:val="20"/>
              </w:rPr>
              <w:t>Overall, the PBAC considered that the ICER presented remained highly uncertain, variable and was most likely underestimated.</w:t>
            </w:r>
          </w:p>
        </w:tc>
      </w:tr>
      <w:tr w:rsidR="00CE363F" w:rsidRPr="00372FDE" w14:paraId="3DE7F964" w14:textId="77777777" w:rsidTr="000805C6">
        <w:trPr>
          <w:trHeight w:val="433"/>
        </w:trPr>
        <w:tc>
          <w:tcPr>
            <w:tcW w:w="2127" w:type="dxa"/>
            <w:vMerge/>
          </w:tcPr>
          <w:p w14:paraId="419AC70D" w14:textId="77777777" w:rsidR="00CE363F" w:rsidRPr="00372FDE" w:rsidRDefault="00CE363F" w:rsidP="00CE363F">
            <w:pPr>
              <w:rPr>
                <w:rFonts w:ascii="Arial" w:hAnsi="Arial" w:cs="Arial"/>
                <w:sz w:val="20"/>
              </w:rPr>
            </w:pPr>
          </w:p>
        </w:tc>
        <w:tc>
          <w:tcPr>
            <w:tcW w:w="2126" w:type="dxa"/>
            <w:vMerge/>
          </w:tcPr>
          <w:p w14:paraId="69D31AA2" w14:textId="77777777" w:rsidR="00CE363F" w:rsidRPr="00372FDE" w:rsidRDefault="00CE363F" w:rsidP="00CE363F">
            <w:pPr>
              <w:rPr>
                <w:rFonts w:ascii="Arial" w:hAnsi="Arial" w:cs="Arial"/>
                <w:sz w:val="20"/>
              </w:rPr>
            </w:pPr>
          </w:p>
        </w:tc>
        <w:tc>
          <w:tcPr>
            <w:tcW w:w="2126" w:type="dxa"/>
            <w:vMerge/>
          </w:tcPr>
          <w:p w14:paraId="62B19BAE" w14:textId="77777777" w:rsidR="00CE363F" w:rsidRPr="00372FDE" w:rsidRDefault="00CE363F" w:rsidP="00CE363F">
            <w:pPr>
              <w:rPr>
                <w:rFonts w:ascii="Arial" w:hAnsi="Arial" w:cs="Arial"/>
                <w:sz w:val="20"/>
              </w:rPr>
            </w:pPr>
          </w:p>
        </w:tc>
        <w:tc>
          <w:tcPr>
            <w:tcW w:w="3827" w:type="dxa"/>
          </w:tcPr>
          <w:p w14:paraId="52AE5274" w14:textId="00B88D8E" w:rsidR="00CE363F" w:rsidRPr="00372FDE" w:rsidRDefault="00CE363F" w:rsidP="00C91B1E">
            <w:pPr>
              <w:pStyle w:val="ListBullet"/>
              <w:jc w:val="right"/>
            </w:pPr>
            <w:r w:rsidRPr="00372FDE">
              <w:t xml:space="preserve">Sponsor’s comment: </w:t>
            </w:r>
          </w:p>
        </w:tc>
        <w:tc>
          <w:tcPr>
            <w:tcW w:w="5245" w:type="dxa"/>
          </w:tcPr>
          <w:p w14:paraId="049E09BB" w14:textId="2EC913E6" w:rsidR="00CE363F" w:rsidRPr="00372FDE" w:rsidRDefault="00CE363F" w:rsidP="00CE363F">
            <w:pPr>
              <w:rPr>
                <w:rFonts w:ascii="Arial" w:hAnsi="Arial" w:cs="Arial"/>
                <w:sz w:val="20"/>
              </w:rPr>
            </w:pPr>
            <w:r w:rsidRPr="00E95308">
              <w:rPr>
                <w:rFonts w:ascii="Arial" w:hAnsi="Arial" w:cs="Arial"/>
                <w:sz w:val="20"/>
              </w:rPr>
              <w:t>MSD is disappointed with this outcome and will work with the PBAC to ensure that eligible patients have PBS access for pembrolizumab in adjuvant melanoma as soon as possible.</w:t>
            </w:r>
          </w:p>
        </w:tc>
      </w:tr>
      <w:tr w:rsidR="00CE363F" w:rsidRPr="00372FDE" w14:paraId="0E621A67" w14:textId="77777777" w:rsidTr="000805C6">
        <w:trPr>
          <w:trHeight w:val="433"/>
        </w:trPr>
        <w:tc>
          <w:tcPr>
            <w:tcW w:w="2127" w:type="dxa"/>
            <w:vMerge w:val="restart"/>
          </w:tcPr>
          <w:p w14:paraId="131DE1A0" w14:textId="77777777" w:rsidR="00CE363F" w:rsidRPr="00372FDE" w:rsidRDefault="00CE363F" w:rsidP="00CE363F">
            <w:pPr>
              <w:rPr>
                <w:rFonts w:ascii="Arial" w:hAnsi="Arial" w:cs="Arial"/>
                <w:sz w:val="20"/>
              </w:rPr>
            </w:pPr>
            <w:r w:rsidRPr="00372FDE">
              <w:rPr>
                <w:rFonts w:ascii="Arial" w:hAnsi="Arial" w:cs="Arial"/>
                <w:sz w:val="20"/>
              </w:rPr>
              <w:lastRenderedPageBreak/>
              <w:t xml:space="preserve">REGORAFENIB </w:t>
            </w:r>
          </w:p>
          <w:p w14:paraId="27CB76EA" w14:textId="77777777" w:rsidR="00CE363F" w:rsidRPr="00372FDE" w:rsidRDefault="00CE363F" w:rsidP="00CE363F">
            <w:pPr>
              <w:rPr>
                <w:rFonts w:ascii="Arial" w:hAnsi="Arial" w:cs="Arial"/>
                <w:sz w:val="20"/>
              </w:rPr>
            </w:pPr>
          </w:p>
          <w:p w14:paraId="21D4473E" w14:textId="1A401752" w:rsidR="00CE363F" w:rsidRPr="00372FDE" w:rsidRDefault="00CE363F" w:rsidP="00CE363F">
            <w:pPr>
              <w:rPr>
                <w:rFonts w:ascii="Arial" w:hAnsi="Arial" w:cs="Arial"/>
                <w:sz w:val="20"/>
              </w:rPr>
            </w:pPr>
            <w:r w:rsidRPr="00372FDE">
              <w:rPr>
                <w:rFonts w:ascii="Arial" w:hAnsi="Arial" w:cs="Arial"/>
                <w:sz w:val="20"/>
              </w:rPr>
              <w:t xml:space="preserve">Tablet 40 mg (as monohydrate) </w:t>
            </w:r>
          </w:p>
          <w:p w14:paraId="1C9E15AB" w14:textId="77777777" w:rsidR="00CE363F" w:rsidRPr="00372FDE" w:rsidRDefault="00CE363F" w:rsidP="00CE363F">
            <w:pPr>
              <w:rPr>
                <w:rFonts w:ascii="Arial" w:hAnsi="Arial" w:cs="Arial"/>
                <w:sz w:val="20"/>
              </w:rPr>
            </w:pPr>
          </w:p>
          <w:p w14:paraId="16835B3A" w14:textId="39055517" w:rsidR="00CE363F" w:rsidRPr="00372FDE" w:rsidRDefault="00CE363F" w:rsidP="00CE363F">
            <w:pPr>
              <w:rPr>
                <w:rFonts w:ascii="Arial" w:hAnsi="Arial" w:cs="Arial"/>
                <w:sz w:val="20"/>
              </w:rPr>
            </w:pPr>
            <w:r w:rsidRPr="00372FDE">
              <w:rPr>
                <w:rFonts w:ascii="Arial" w:hAnsi="Arial" w:cs="Arial"/>
                <w:sz w:val="20"/>
              </w:rPr>
              <w:t>Stivarga</w:t>
            </w:r>
            <w:r w:rsidRPr="00372FDE">
              <w:rPr>
                <w:rFonts w:ascii="Arial" w:hAnsi="Arial" w:cs="Arial"/>
                <w:sz w:val="20"/>
                <w:vertAlign w:val="superscript"/>
              </w:rPr>
              <w:t>®</w:t>
            </w:r>
          </w:p>
          <w:p w14:paraId="1B963838" w14:textId="77777777" w:rsidR="00CE363F" w:rsidRPr="00372FDE" w:rsidRDefault="00CE363F" w:rsidP="00CE363F">
            <w:pPr>
              <w:rPr>
                <w:rFonts w:ascii="Arial" w:hAnsi="Arial" w:cs="Arial"/>
                <w:sz w:val="20"/>
              </w:rPr>
            </w:pPr>
          </w:p>
          <w:p w14:paraId="7D00DBB3" w14:textId="0FA72DD7" w:rsidR="00CE363F" w:rsidRPr="00372FDE" w:rsidRDefault="00CE363F" w:rsidP="00CE363F">
            <w:pPr>
              <w:rPr>
                <w:rFonts w:ascii="Arial" w:hAnsi="Arial" w:cs="Arial"/>
                <w:sz w:val="20"/>
              </w:rPr>
            </w:pPr>
            <w:r w:rsidRPr="00372FDE">
              <w:rPr>
                <w:rFonts w:ascii="Arial" w:hAnsi="Arial" w:cs="Arial"/>
                <w:sz w:val="20"/>
              </w:rPr>
              <w:t>Bayer Australia Ltd</w:t>
            </w:r>
          </w:p>
          <w:p w14:paraId="6DB75C91" w14:textId="77777777" w:rsidR="00CE363F" w:rsidRPr="00372FDE" w:rsidRDefault="00CE363F" w:rsidP="00CE363F">
            <w:pPr>
              <w:rPr>
                <w:rFonts w:ascii="Arial" w:hAnsi="Arial" w:cs="Arial"/>
                <w:sz w:val="20"/>
              </w:rPr>
            </w:pPr>
          </w:p>
          <w:p w14:paraId="5B454183" w14:textId="77777777" w:rsidR="00CE363F" w:rsidRPr="00372FDE" w:rsidRDefault="00CE363F" w:rsidP="00CE363F">
            <w:pPr>
              <w:rPr>
                <w:rFonts w:ascii="Arial" w:hAnsi="Arial" w:cs="Arial"/>
                <w:sz w:val="20"/>
              </w:rPr>
            </w:pPr>
            <w:r w:rsidRPr="00372FDE">
              <w:rPr>
                <w:rFonts w:ascii="Arial" w:hAnsi="Arial" w:cs="Arial"/>
                <w:sz w:val="20"/>
              </w:rPr>
              <w:t>New listing</w:t>
            </w:r>
          </w:p>
          <w:p w14:paraId="6B86B3CB" w14:textId="71B9DBCF" w:rsidR="00CE363F" w:rsidRPr="00372FDE" w:rsidRDefault="00CE363F" w:rsidP="00CE363F">
            <w:pPr>
              <w:rPr>
                <w:rFonts w:ascii="Arial" w:hAnsi="Arial" w:cs="Arial"/>
                <w:sz w:val="20"/>
              </w:rPr>
            </w:pPr>
            <w:r w:rsidRPr="00372FDE">
              <w:rPr>
                <w:rFonts w:ascii="Arial" w:hAnsi="Arial" w:cs="Arial"/>
                <w:sz w:val="20"/>
              </w:rPr>
              <w:t>(Minor Submission)</w:t>
            </w:r>
          </w:p>
        </w:tc>
        <w:tc>
          <w:tcPr>
            <w:tcW w:w="2126" w:type="dxa"/>
            <w:vMerge w:val="restart"/>
          </w:tcPr>
          <w:p w14:paraId="29AC5893" w14:textId="1541746E" w:rsidR="00CE363F" w:rsidRPr="00372FDE" w:rsidRDefault="00CE363F" w:rsidP="00CE363F">
            <w:pPr>
              <w:rPr>
                <w:rFonts w:ascii="Arial" w:hAnsi="Arial" w:cs="Arial"/>
                <w:sz w:val="20"/>
              </w:rPr>
            </w:pPr>
            <w:r w:rsidRPr="00372FDE">
              <w:rPr>
                <w:rFonts w:ascii="Arial" w:hAnsi="Arial" w:cs="Arial"/>
                <w:sz w:val="20"/>
              </w:rPr>
              <w:t>The treatment of patients with hepatocellular carcinoma (HCC) who have been previously treated with sorafenib.</w:t>
            </w:r>
          </w:p>
        </w:tc>
        <w:tc>
          <w:tcPr>
            <w:tcW w:w="2126" w:type="dxa"/>
            <w:vMerge w:val="restart"/>
          </w:tcPr>
          <w:p w14:paraId="53CED38C" w14:textId="6904777A" w:rsidR="00CE363F" w:rsidRPr="00372FDE" w:rsidRDefault="00CE363F" w:rsidP="00CE363F">
            <w:pPr>
              <w:rPr>
                <w:rFonts w:ascii="Arial" w:hAnsi="Arial" w:cs="Arial"/>
                <w:sz w:val="20"/>
              </w:rPr>
            </w:pPr>
            <w:r w:rsidRPr="00372FDE">
              <w:rPr>
                <w:rFonts w:ascii="Arial" w:hAnsi="Arial" w:cs="Arial"/>
                <w:sz w:val="20"/>
              </w:rPr>
              <w:t>Regorafenib is not currently listed on the PBS</w:t>
            </w:r>
          </w:p>
        </w:tc>
        <w:tc>
          <w:tcPr>
            <w:tcW w:w="3827" w:type="dxa"/>
          </w:tcPr>
          <w:p w14:paraId="40967B06" w14:textId="4CC30EEE" w:rsidR="00CE363F" w:rsidRPr="00372FDE" w:rsidRDefault="00CE363F" w:rsidP="00CE363F">
            <w:pPr>
              <w:pStyle w:val="ListBullet"/>
            </w:pPr>
            <w:r w:rsidRPr="00372FDE">
              <w:t xml:space="preserve">Resubmission to request an Authority Required (STREAMLINED) listing for the treatment of patients with </w:t>
            </w:r>
            <w:r w:rsidRPr="000B2AF9">
              <w:t xml:space="preserve">unresectable HCC who have progressed on </w:t>
            </w:r>
            <w:r w:rsidR="0075656A" w:rsidRPr="000B2AF9">
              <w:rPr>
                <w:iCs/>
              </w:rPr>
              <w:t>first line treatment with a tyrosine kinase inhibitor (TKI)</w:t>
            </w:r>
            <w:r w:rsidRPr="000B2AF9">
              <w:t>.</w:t>
            </w:r>
          </w:p>
        </w:tc>
        <w:tc>
          <w:tcPr>
            <w:tcW w:w="5245" w:type="dxa"/>
          </w:tcPr>
          <w:p w14:paraId="67FA74DC" w14:textId="15BA0133" w:rsidR="00CE363F" w:rsidRPr="00372FDE" w:rsidRDefault="00CE363F" w:rsidP="0075656A">
            <w:pPr>
              <w:rPr>
                <w:rFonts w:ascii="Arial" w:hAnsi="Arial" w:cs="Arial"/>
                <w:color w:val="000000"/>
                <w:sz w:val="20"/>
                <w:lang w:eastAsia="en-US"/>
              </w:rPr>
            </w:pPr>
            <w:r w:rsidRPr="00372FDE">
              <w:rPr>
                <w:rFonts w:ascii="Arial" w:hAnsi="Arial" w:cs="Arial"/>
                <w:color w:val="000000"/>
                <w:sz w:val="20"/>
                <w:lang w:eastAsia="en-US"/>
              </w:rPr>
              <w:t xml:space="preserve">The PBAC did not recommend the listing of regorafenib for the treatment of hepatocellular carcinoma for patients who have progressed on first line treatment with </w:t>
            </w:r>
            <w:r w:rsidR="0075656A">
              <w:rPr>
                <w:rFonts w:ascii="Arial" w:hAnsi="Arial" w:cs="Arial"/>
                <w:color w:val="000000"/>
                <w:sz w:val="20"/>
                <w:lang w:eastAsia="en-US"/>
              </w:rPr>
              <w:t>a TKI</w:t>
            </w:r>
            <w:r w:rsidRPr="00372FDE">
              <w:rPr>
                <w:rFonts w:ascii="Arial" w:hAnsi="Arial" w:cs="Arial"/>
                <w:color w:val="000000"/>
                <w:sz w:val="20"/>
                <w:lang w:eastAsia="en-US"/>
              </w:rPr>
              <w:t>.</w:t>
            </w:r>
          </w:p>
        </w:tc>
      </w:tr>
      <w:tr w:rsidR="00CE363F" w:rsidRPr="00372FDE" w14:paraId="65233148" w14:textId="77777777" w:rsidTr="000805C6">
        <w:trPr>
          <w:trHeight w:val="433"/>
        </w:trPr>
        <w:tc>
          <w:tcPr>
            <w:tcW w:w="2127" w:type="dxa"/>
            <w:vMerge/>
          </w:tcPr>
          <w:p w14:paraId="7358BAD6" w14:textId="77777777" w:rsidR="00CE363F" w:rsidRPr="00372FDE" w:rsidRDefault="00CE363F" w:rsidP="00CE363F">
            <w:pPr>
              <w:rPr>
                <w:rFonts w:ascii="Arial" w:hAnsi="Arial" w:cs="Arial"/>
                <w:sz w:val="20"/>
              </w:rPr>
            </w:pPr>
          </w:p>
        </w:tc>
        <w:tc>
          <w:tcPr>
            <w:tcW w:w="2126" w:type="dxa"/>
            <w:vMerge/>
          </w:tcPr>
          <w:p w14:paraId="2E0488E6" w14:textId="77777777" w:rsidR="00CE363F" w:rsidRPr="00372FDE" w:rsidRDefault="00CE363F" w:rsidP="00CE363F">
            <w:pPr>
              <w:rPr>
                <w:rFonts w:ascii="Arial" w:hAnsi="Arial" w:cs="Arial"/>
                <w:sz w:val="20"/>
              </w:rPr>
            </w:pPr>
          </w:p>
        </w:tc>
        <w:tc>
          <w:tcPr>
            <w:tcW w:w="2126" w:type="dxa"/>
            <w:vMerge/>
          </w:tcPr>
          <w:p w14:paraId="7F049B6B" w14:textId="77777777" w:rsidR="00CE363F" w:rsidRPr="00372FDE" w:rsidRDefault="00CE363F" w:rsidP="00CE363F">
            <w:pPr>
              <w:rPr>
                <w:rFonts w:ascii="Arial" w:hAnsi="Arial" w:cs="Arial"/>
                <w:sz w:val="20"/>
              </w:rPr>
            </w:pPr>
          </w:p>
        </w:tc>
        <w:tc>
          <w:tcPr>
            <w:tcW w:w="3827" w:type="dxa"/>
          </w:tcPr>
          <w:p w14:paraId="6ECB5D17" w14:textId="39945237" w:rsidR="00CE363F" w:rsidRPr="00372FDE" w:rsidRDefault="00CE363F" w:rsidP="00CE363F">
            <w:pPr>
              <w:pStyle w:val="ListBullet"/>
            </w:pPr>
            <w:r w:rsidRPr="00372FDE">
              <w:t>Comparator: Best supportive care (BSC).</w:t>
            </w:r>
          </w:p>
        </w:tc>
        <w:tc>
          <w:tcPr>
            <w:tcW w:w="5245" w:type="dxa"/>
          </w:tcPr>
          <w:p w14:paraId="1EA610AA" w14:textId="77777777" w:rsidR="00CE363F" w:rsidRPr="00372FDE" w:rsidRDefault="00CE363F" w:rsidP="00CE363F">
            <w:pPr>
              <w:jc w:val="both"/>
              <w:rPr>
                <w:rFonts w:ascii="Arial" w:hAnsi="Arial" w:cs="Arial"/>
                <w:color w:val="000000"/>
                <w:sz w:val="20"/>
                <w:lang w:eastAsia="en-US"/>
              </w:rPr>
            </w:pPr>
            <w:r w:rsidRPr="00372FDE">
              <w:rPr>
                <w:rFonts w:ascii="Arial" w:hAnsi="Arial" w:cs="Arial"/>
                <w:color w:val="000000"/>
                <w:sz w:val="20"/>
                <w:lang w:eastAsia="en-US"/>
              </w:rPr>
              <w:t>The PBAC previously accepted the comparator of BSC.</w:t>
            </w:r>
          </w:p>
          <w:p w14:paraId="0ABF3A10" w14:textId="77777777" w:rsidR="00CE363F" w:rsidRPr="00372FDE" w:rsidRDefault="00CE363F" w:rsidP="00CE363F">
            <w:pPr>
              <w:rPr>
                <w:rFonts w:ascii="Arial" w:hAnsi="Arial" w:cs="Arial"/>
                <w:sz w:val="20"/>
                <w:highlight w:val="yellow"/>
              </w:rPr>
            </w:pPr>
          </w:p>
        </w:tc>
      </w:tr>
      <w:tr w:rsidR="00CE363F" w:rsidRPr="00372FDE" w14:paraId="2263067D" w14:textId="77777777" w:rsidTr="000805C6">
        <w:trPr>
          <w:trHeight w:val="433"/>
        </w:trPr>
        <w:tc>
          <w:tcPr>
            <w:tcW w:w="2127" w:type="dxa"/>
            <w:vMerge/>
          </w:tcPr>
          <w:p w14:paraId="58BD8DFE" w14:textId="77777777" w:rsidR="00CE363F" w:rsidRPr="00372FDE" w:rsidRDefault="00CE363F" w:rsidP="00CE363F">
            <w:pPr>
              <w:rPr>
                <w:rFonts w:ascii="Arial" w:hAnsi="Arial" w:cs="Arial"/>
                <w:sz w:val="20"/>
              </w:rPr>
            </w:pPr>
          </w:p>
        </w:tc>
        <w:tc>
          <w:tcPr>
            <w:tcW w:w="2126" w:type="dxa"/>
            <w:vMerge/>
          </w:tcPr>
          <w:p w14:paraId="7AFD2535" w14:textId="77777777" w:rsidR="00CE363F" w:rsidRPr="00372FDE" w:rsidRDefault="00CE363F" w:rsidP="00CE363F">
            <w:pPr>
              <w:rPr>
                <w:rFonts w:ascii="Arial" w:hAnsi="Arial" w:cs="Arial"/>
                <w:sz w:val="20"/>
              </w:rPr>
            </w:pPr>
          </w:p>
        </w:tc>
        <w:tc>
          <w:tcPr>
            <w:tcW w:w="2126" w:type="dxa"/>
            <w:vMerge/>
          </w:tcPr>
          <w:p w14:paraId="5C895D96" w14:textId="77777777" w:rsidR="00CE363F" w:rsidRPr="00372FDE" w:rsidRDefault="00CE363F" w:rsidP="00CE363F">
            <w:pPr>
              <w:rPr>
                <w:rFonts w:ascii="Arial" w:hAnsi="Arial" w:cs="Arial"/>
                <w:sz w:val="20"/>
              </w:rPr>
            </w:pPr>
          </w:p>
        </w:tc>
        <w:tc>
          <w:tcPr>
            <w:tcW w:w="3827" w:type="dxa"/>
          </w:tcPr>
          <w:p w14:paraId="1CD81CBC" w14:textId="6DCFDD78" w:rsidR="00CE363F" w:rsidRPr="00372FDE" w:rsidRDefault="00CE363F" w:rsidP="00CE363F">
            <w:pPr>
              <w:pStyle w:val="ListBullet"/>
            </w:pPr>
            <w:r w:rsidRPr="00372FDE">
              <w:t xml:space="preserve">Clinical claim: </w:t>
            </w:r>
            <w:r w:rsidRPr="00372FDE">
              <w:rPr>
                <w:color w:val="000000"/>
              </w:rPr>
              <w:t>superior to BSC, providing a statistically significant and clinically significant increase in overall survival but a higher incidence of adverse events.</w:t>
            </w:r>
          </w:p>
        </w:tc>
        <w:tc>
          <w:tcPr>
            <w:tcW w:w="5245" w:type="dxa"/>
          </w:tcPr>
          <w:p w14:paraId="05CFBFD5" w14:textId="77777777" w:rsidR="00CE363F" w:rsidRPr="00372FDE" w:rsidRDefault="00CE363F" w:rsidP="00CE363F">
            <w:pPr>
              <w:pStyle w:val="3Bodytext"/>
              <w:ind w:left="0" w:firstLine="0"/>
              <w:jc w:val="left"/>
              <w:rPr>
                <w:rFonts w:ascii="Arial" w:eastAsia="Times New Roman" w:hAnsi="Arial" w:cs="Arial"/>
                <w:color w:val="000000"/>
                <w:sz w:val="20"/>
                <w:szCs w:val="20"/>
              </w:rPr>
            </w:pPr>
            <w:r w:rsidRPr="00372FDE">
              <w:rPr>
                <w:rFonts w:ascii="Arial" w:eastAsia="Times New Roman" w:hAnsi="Arial" w:cs="Arial"/>
                <w:color w:val="000000"/>
                <w:sz w:val="20"/>
                <w:szCs w:val="20"/>
              </w:rPr>
              <w:t>No additional clinical trial data was presented in the minor resubmission. The PBAC maintained that the claim of superior comparative effectiveness and the claim of inferior comparative safety were reasonable.</w:t>
            </w:r>
          </w:p>
          <w:p w14:paraId="29D31896" w14:textId="77777777" w:rsidR="00CE363F" w:rsidRPr="00372FDE" w:rsidRDefault="00CE363F" w:rsidP="00CE363F">
            <w:pPr>
              <w:rPr>
                <w:rFonts w:ascii="Arial" w:hAnsi="Arial" w:cs="Arial"/>
                <w:sz w:val="20"/>
                <w:highlight w:val="yellow"/>
              </w:rPr>
            </w:pPr>
          </w:p>
        </w:tc>
      </w:tr>
      <w:tr w:rsidR="00CE363F" w:rsidRPr="00372FDE" w14:paraId="66996E05" w14:textId="77777777" w:rsidTr="000805C6">
        <w:trPr>
          <w:trHeight w:val="433"/>
        </w:trPr>
        <w:tc>
          <w:tcPr>
            <w:tcW w:w="2127" w:type="dxa"/>
            <w:vMerge/>
          </w:tcPr>
          <w:p w14:paraId="48FC39A7" w14:textId="77777777" w:rsidR="00CE363F" w:rsidRPr="00372FDE" w:rsidRDefault="00CE363F" w:rsidP="00CE363F">
            <w:pPr>
              <w:rPr>
                <w:rFonts w:ascii="Arial" w:hAnsi="Arial" w:cs="Arial"/>
                <w:sz w:val="20"/>
              </w:rPr>
            </w:pPr>
          </w:p>
        </w:tc>
        <w:tc>
          <w:tcPr>
            <w:tcW w:w="2126" w:type="dxa"/>
            <w:vMerge/>
          </w:tcPr>
          <w:p w14:paraId="0F3C851A" w14:textId="77777777" w:rsidR="00CE363F" w:rsidRPr="00372FDE" w:rsidRDefault="00CE363F" w:rsidP="00CE363F">
            <w:pPr>
              <w:rPr>
                <w:rFonts w:ascii="Arial" w:hAnsi="Arial" w:cs="Arial"/>
                <w:sz w:val="20"/>
              </w:rPr>
            </w:pPr>
          </w:p>
        </w:tc>
        <w:tc>
          <w:tcPr>
            <w:tcW w:w="2126" w:type="dxa"/>
            <w:vMerge/>
          </w:tcPr>
          <w:p w14:paraId="1FCAEA39" w14:textId="77777777" w:rsidR="00CE363F" w:rsidRPr="00372FDE" w:rsidRDefault="00CE363F" w:rsidP="00CE363F">
            <w:pPr>
              <w:rPr>
                <w:rFonts w:ascii="Arial" w:hAnsi="Arial" w:cs="Arial"/>
                <w:sz w:val="20"/>
              </w:rPr>
            </w:pPr>
          </w:p>
        </w:tc>
        <w:tc>
          <w:tcPr>
            <w:tcW w:w="3827" w:type="dxa"/>
          </w:tcPr>
          <w:p w14:paraId="468853E4" w14:textId="3640E4DD" w:rsidR="00CE363F" w:rsidRPr="00372FDE" w:rsidRDefault="00CE363F" w:rsidP="00CE363F">
            <w:pPr>
              <w:pStyle w:val="ListBullet"/>
            </w:pPr>
            <w:r w:rsidRPr="00372FDE">
              <w:t xml:space="preserve">Economic claim: </w:t>
            </w:r>
            <w:r w:rsidRPr="00372FDE">
              <w:rPr>
                <w:color w:val="000000"/>
              </w:rPr>
              <w:t>cost-effectiveness analysis compared with BSC.</w:t>
            </w:r>
          </w:p>
        </w:tc>
        <w:tc>
          <w:tcPr>
            <w:tcW w:w="5245" w:type="dxa"/>
          </w:tcPr>
          <w:p w14:paraId="6D30AFC9" w14:textId="77777777" w:rsidR="00CE363F" w:rsidRPr="00372FDE" w:rsidRDefault="00CE363F" w:rsidP="00CE363F">
            <w:pPr>
              <w:rPr>
                <w:rFonts w:ascii="Arial" w:hAnsi="Arial" w:cs="Arial"/>
                <w:color w:val="000000"/>
                <w:sz w:val="20"/>
                <w:lang w:eastAsia="en-US"/>
              </w:rPr>
            </w:pPr>
            <w:r w:rsidRPr="00372FDE">
              <w:rPr>
                <w:rFonts w:ascii="Arial" w:hAnsi="Arial" w:cs="Arial"/>
                <w:color w:val="000000"/>
                <w:sz w:val="20"/>
                <w:lang w:eastAsia="en-US"/>
              </w:rPr>
              <w:t>The economic analysis presented in the minor resubmission was unchanged from the previous resubmission with no change in the proposed price and hence incremental cost-effectiveness ratio.</w:t>
            </w:r>
          </w:p>
          <w:p w14:paraId="7FD4B225" w14:textId="77777777" w:rsidR="00CE363F" w:rsidRPr="00372FDE" w:rsidRDefault="00CE363F" w:rsidP="00CE363F">
            <w:pPr>
              <w:rPr>
                <w:rFonts w:ascii="Arial" w:hAnsi="Arial" w:cs="Arial"/>
                <w:color w:val="000000"/>
                <w:sz w:val="20"/>
                <w:lang w:eastAsia="en-US"/>
              </w:rPr>
            </w:pPr>
          </w:p>
          <w:p w14:paraId="77071ABB" w14:textId="774EF74B" w:rsidR="00CE363F" w:rsidRPr="00372FDE" w:rsidRDefault="00CE363F" w:rsidP="00CE363F">
            <w:pPr>
              <w:rPr>
                <w:rFonts w:ascii="Arial" w:hAnsi="Arial" w:cs="Arial"/>
                <w:sz w:val="20"/>
                <w:highlight w:val="yellow"/>
              </w:rPr>
            </w:pPr>
            <w:r w:rsidRPr="00372FDE">
              <w:rPr>
                <w:rFonts w:ascii="Arial" w:hAnsi="Arial" w:cs="Arial"/>
                <w:color w:val="000000"/>
                <w:sz w:val="20"/>
                <w:lang w:eastAsia="en-US"/>
              </w:rPr>
              <w:t>The PBAC reiterated its November 2018 advice that at the proposed price, the incremental cost-effectiveness ratio for regorafenib remained unacceptably high given the substantial toxicity and minor added benefit of regorafenib.</w:t>
            </w:r>
          </w:p>
        </w:tc>
      </w:tr>
      <w:tr w:rsidR="00CE363F" w:rsidRPr="00372FDE" w14:paraId="300E56D3" w14:textId="77777777" w:rsidTr="000805C6">
        <w:trPr>
          <w:trHeight w:val="433"/>
        </w:trPr>
        <w:tc>
          <w:tcPr>
            <w:tcW w:w="2127" w:type="dxa"/>
            <w:vMerge/>
          </w:tcPr>
          <w:p w14:paraId="1D8D2407" w14:textId="77777777" w:rsidR="00CE363F" w:rsidRPr="00372FDE" w:rsidRDefault="00CE363F" w:rsidP="00CE363F">
            <w:pPr>
              <w:rPr>
                <w:rFonts w:ascii="Arial" w:hAnsi="Arial" w:cs="Arial"/>
                <w:sz w:val="20"/>
              </w:rPr>
            </w:pPr>
          </w:p>
        </w:tc>
        <w:tc>
          <w:tcPr>
            <w:tcW w:w="2126" w:type="dxa"/>
            <w:vMerge/>
          </w:tcPr>
          <w:p w14:paraId="4AABEE05" w14:textId="77777777" w:rsidR="00CE363F" w:rsidRPr="00372FDE" w:rsidRDefault="00CE363F" w:rsidP="00CE363F">
            <w:pPr>
              <w:rPr>
                <w:rFonts w:ascii="Arial" w:hAnsi="Arial" w:cs="Arial"/>
                <w:sz w:val="20"/>
              </w:rPr>
            </w:pPr>
          </w:p>
        </w:tc>
        <w:tc>
          <w:tcPr>
            <w:tcW w:w="2126" w:type="dxa"/>
            <w:vMerge/>
          </w:tcPr>
          <w:p w14:paraId="40D7089D" w14:textId="77777777" w:rsidR="00CE363F" w:rsidRPr="00372FDE" w:rsidRDefault="00CE363F" w:rsidP="00CE363F">
            <w:pPr>
              <w:rPr>
                <w:rFonts w:ascii="Arial" w:hAnsi="Arial" w:cs="Arial"/>
                <w:sz w:val="20"/>
              </w:rPr>
            </w:pPr>
          </w:p>
        </w:tc>
        <w:tc>
          <w:tcPr>
            <w:tcW w:w="3827" w:type="dxa"/>
          </w:tcPr>
          <w:p w14:paraId="14723DDD" w14:textId="7C50048C" w:rsidR="00CE363F" w:rsidRPr="00706EFA" w:rsidRDefault="00CE363F" w:rsidP="00C91B1E">
            <w:pPr>
              <w:pStyle w:val="ListBullet"/>
              <w:jc w:val="right"/>
            </w:pPr>
            <w:r w:rsidRPr="00706EFA">
              <w:t xml:space="preserve">Sponsor’s comment: </w:t>
            </w:r>
          </w:p>
        </w:tc>
        <w:tc>
          <w:tcPr>
            <w:tcW w:w="5245" w:type="dxa"/>
          </w:tcPr>
          <w:p w14:paraId="7DBBFE0E" w14:textId="1935AEF4" w:rsidR="00CE363F" w:rsidRPr="00706EFA" w:rsidRDefault="0075656A" w:rsidP="0075656A">
            <w:pPr>
              <w:rPr>
                <w:rFonts w:ascii="Arial" w:hAnsi="Arial" w:cs="Arial"/>
                <w:sz w:val="20"/>
              </w:rPr>
            </w:pPr>
            <w:r w:rsidRPr="0075656A">
              <w:rPr>
                <w:rFonts w:ascii="Arial" w:hAnsi="Arial" w:cs="Arial"/>
                <w:sz w:val="20"/>
              </w:rPr>
              <w:t>Bayer is disappointed to receive a negative recommendation from the PBAC for the reimbursement of Stivarga® (regorafenib) in the treatme</w:t>
            </w:r>
            <w:r>
              <w:rPr>
                <w:rFonts w:ascii="Arial" w:hAnsi="Arial" w:cs="Arial"/>
                <w:sz w:val="20"/>
              </w:rPr>
              <w:t xml:space="preserve">nt of </w:t>
            </w:r>
            <w:r w:rsidRPr="0075656A">
              <w:rPr>
                <w:rFonts w:ascii="Arial" w:hAnsi="Arial" w:cs="Arial"/>
                <w:sz w:val="20"/>
              </w:rPr>
              <w:t>HCC. Bayer maintains that the proposal was at a level of cost-effectiveness which was indicative of the current unmet need and low number of patients. Bayer will not be re-submitting for this indication in the future.</w:t>
            </w:r>
          </w:p>
        </w:tc>
      </w:tr>
      <w:tr w:rsidR="00CE363F" w:rsidRPr="00372FDE" w14:paraId="0E63184D" w14:textId="77777777" w:rsidTr="000805C6">
        <w:trPr>
          <w:trHeight w:val="433"/>
        </w:trPr>
        <w:tc>
          <w:tcPr>
            <w:tcW w:w="2127" w:type="dxa"/>
            <w:vMerge w:val="restart"/>
          </w:tcPr>
          <w:p w14:paraId="387D9A10"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ROMOSOZUMAB</w:t>
            </w:r>
          </w:p>
          <w:p w14:paraId="458C3001" w14:textId="77777777" w:rsidR="00CE363F" w:rsidRPr="00372FDE" w:rsidRDefault="00CE363F" w:rsidP="00CE363F">
            <w:pPr>
              <w:rPr>
                <w:rFonts w:ascii="Arial" w:hAnsi="Arial" w:cs="Arial"/>
                <w:color w:val="000000"/>
                <w:sz w:val="20"/>
              </w:rPr>
            </w:pPr>
          </w:p>
          <w:p w14:paraId="5FBCA1ED" w14:textId="77777777" w:rsidR="00CE363F" w:rsidRPr="00372FDE" w:rsidRDefault="00CE363F" w:rsidP="00CE363F">
            <w:pPr>
              <w:rPr>
                <w:rFonts w:ascii="Arial" w:hAnsi="Arial" w:cs="Arial"/>
                <w:color w:val="000000"/>
                <w:sz w:val="20"/>
              </w:rPr>
            </w:pPr>
            <w:r w:rsidRPr="00372FDE">
              <w:rPr>
                <w:rFonts w:ascii="Arial" w:hAnsi="Arial" w:cs="Arial"/>
                <w:color w:val="000000"/>
                <w:sz w:val="20"/>
              </w:rPr>
              <w:lastRenderedPageBreak/>
              <w:t>Injection 105 mg in 1.17 mL single use prefilled syringe</w:t>
            </w:r>
          </w:p>
          <w:p w14:paraId="240200E7" w14:textId="77777777" w:rsidR="00CE363F" w:rsidRPr="00372FDE" w:rsidRDefault="00CE363F" w:rsidP="00CE363F">
            <w:pPr>
              <w:rPr>
                <w:rFonts w:ascii="Arial" w:hAnsi="Arial" w:cs="Arial"/>
                <w:color w:val="000000"/>
                <w:sz w:val="20"/>
              </w:rPr>
            </w:pPr>
          </w:p>
          <w:p w14:paraId="6E5086EB" w14:textId="1E9061BB" w:rsidR="00CE363F" w:rsidRPr="00372FDE" w:rsidRDefault="00CE363F" w:rsidP="00CE363F">
            <w:pPr>
              <w:rPr>
                <w:rFonts w:ascii="Arial" w:hAnsi="Arial" w:cs="Arial"/>
                <w:color w:val="000000"/>
                <w:sz w:val="20"/>
              </w:rPr>
            </w:pPr>
            <w:r w:rsidRPr="00372FDE">
              <w:rPr>
                <w:rFonts w:ascii="Arial" w:hAnsi="Arial" w:cs="Arial"/>
                <w:color w:val="000000"/>
                <w:sz w:val="20"/>
              </w:rPr>
              <w:t>Evenity</w:t>
            </w:r>
            <w:r w:rsidRPr="00372FDE">
              <w:rPr>
                <w:rFonts w:ascii="Arial" w:hAnsi="Arial" w:cs="Arial"/>
                <w:color w:val="000000"/>
                <w:sz w:val="20"/>
                <w:vertAlign w:val="superscript"/>
              </w:rPr>
              <w:t>®</w:t>
            </w:r>
          </w:p>
          <w:p w14:paraId="2254D0AC" w14:textId="77777777" w:rsidR="00CE363F" w:rsidRPr="00372FDE" w:rsidRDefault="00CE363F" w:rsidP="00CE363F">
            <w:pPr>
              <w:rPr>
                <w:rFonts w:ascii="Arial" w:hAnsi="Arial" w:cs="Arial"/>
                <w:color w:val="000000"/>
                <w:sz w:val="20"/>
              </w:rPr>
            </w:pPr>
          </w:p>
          <w:p w14:paraId="2AD60E28"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Amgen Australia Pty Ltd</w:t>
            </w:r>
          </w:p>
          <w:p w14:paraId="70E9ECCB" w14:textId="77777777" w:rsidR="00CE363F" w:rsidRPr="00372FDE" w:rsidRDefault="00CE363F" w:rsidP="00CE363F">
            <w:pPr>
              <w:rPr>
                <w:rFonts w:ascii="Arial" w:hAnsi="Arial" w:cs="Arial"/>
                <w:color w:val="000000"/>
                <w:sz w:val="20"/>
              </w:rPr>
            </w:pPr>
          </w:p>
          <w:p w14:paraId="592E26E6" w14:textId="77777777" w:rsidR="00CE363F" w:rsidRPr="00372FDE" w:rsidRDefault="00CE363F" w:rsidP="00CE363F">
            <w:pPr>
              <w:rPr>
                <w:rFonts w:ascii="Arial" w:hAnsi="Arial" w:cs="Arial"/>
                <w:color w:val="000000"/>
                <w:sz w:val="20"/>
              </w:rPr>
            </w:pPr>
            <w:r w:rsidRPr="00372FDE">
              <w:rPr>
                <w:rFonts w:ascii="Arial" w:hAnsi="Arial" w:cs="Arial"/>
                <w:color w:val="000000"/>
                <w:sz w:val="20"/>
              </w:rPr>
              <w:t>New listing</w:t>
            </w:r>
          </w:p>
          <w:p w14:paraId="2772F869" w14:textId="7BEC2C6C" w:rsidR="00CE363F" w:rsidRPr="00372FDE" w:rsidRDefault="00CE363F" w:rsidP="00CE363F">
            <w:pPr>
              <w:rPr>
                <w:rFonts w:ascii="Arial" w:hAnsi="Arial" w:cs="Arial"/>
                <w:sz w:val="20"/>
              </w:rPr>
            </w:pPr>
            <w:r w:rsidRPr="00372FDE">
              <w:rPr>
                <w:rFonts w:ascii="Arial" w:hAnsi="Arial" w:cs="Arial"/>
                <w:color w:val="000000"/>
                <w:sz w:val="20"/>
              </w:rPr>
              <w:t>(Major Submission)</w:t>
            </w:r>
          </w:p>
        </w:tc>
        <w:tc>
          <w:tcPr>
            <w:tcW w:w="2126" w:type="dxa"/>
            <w:vMerge w:val="restart"/>
          </w:tcPr>
          <w:p w14:paraId="11030476" w14:textId="42B54B9F" w:rsidR="00CE363F" w:rsidRPr="00372FDE" w:rsidRDefault="00CE363F" w:rsidP="00CE363F">
            <w:pPr>
              <w:rPr>
                <w:rFonts w:ascii="Arial" w:hAnsi="Arial" w:cs="Arial"/>
                <w:sz w:val="20"/>
              </w:rPr>
            </w:pPr>
            <w:r w:rsidRPr="00372FDE">
              <w:rPr>
                <w:rFonts w:ascii="Arial" w:hAnsi="Arial" w:cs="Arial"/>
                <w:sz w:val="20"/>
              </w:rPr>
              <w:lastRenderedPageBreak/>
              <w:t xml:space="preserve">The treatment of osteoporosis in </w:t>
            </w:r>
            <w:r w:rsidRPr="00372FDE">
              <w:rPr>
                <w:rFonts w:ascii="Arial" w:hAnsi="Arial" w:cs="Arial"/>
                <w:sz w:val="20"/>
              </w:rPr>
              <w:lastRenderedPageBreak/>
              <w:t>postmenopausal women at high risk of fracture.</w:t>
            </w:r>
          </w:p>
          <w:p w14:paraId="5D1999E2" w14:textId="77777777" w:rsidR="00CE363F" w:rsidRPr="00372FDE" w:rsidRDefault="00CE363F" w:rsidP="00CE363F">
            <w:pPr>
              <w:rPr>
                <w:rFonts w:ascii="Arial" w:hAnsi="Arial" w:cs="Arial"/>
                <w:sz w:val="20"/>
              </w:rPr>
            </w:pPr>
          </w:p>
          <w:p w14:paraId="00B08AFF" w14:textId="030A741A" w:rsidR="00CE363F" w:rsidRPr="00372FDE" w:rsidRDefault="00CE363F" w:rsidP="00CE363F">
            <w:pPr>
              <w:rPr>
                <w:rFonts w:ascii="Arial" w:hAnsi="Arial" w:cs="Arial"/>
                <w:sz w:val="20"/>
              </w:rPr>
            </w:pPr>
            <w:r w:rsidRPr="00372FDE">
              <w:rPr>
                <w:rFonts w:ascii="Arial" w:hAnsi="Arial" w:cs="Arial"/>
                <w:sz w:val="20"/>
              </w:rPr>
              <w:t>To increase bone mass in men with osteoporosis at high risk of fracture.</w:t>
            </w:r>
          </w:p>
        </w:tc>
        <w:tc>
          <w:tcPr>
            <w:tcW w:w="2126" w:type="dxa"/>
            <w:vMerge w:val="restart"/>
          </w:tcPr>
          <w:p w14:paraId="0FD10A9E" w14:textId="3F877D9E" w:rsidR="00CE363F" w:rsidRPr="00372FDE" w:rsidRDefault="00CE363F" w:rsidP="00CE363F">
            <w:pPr>
              <w:rPr>
                <w:rFonts w:ascii="Arial" w:hAnsi="Arial" w:cs="Arial"/>
                <w:sz w:val="20"/>
              </w:rPr>
            </w:pPr>
            <w:r w:rsidRPr="00372FDE">
              <w:rPr>
                <w:rFonts w:ascii="Arial" w:hAnsi="Arial" w:cs="Arial"/>
                <w:sz w:val="20"/>
              </w:rPr>
              <w:lastRenderedPageBreak/>
              <w:t xml:space="preserve">Romosozumab is not currently listed on the </w:t>
            </w:r>
            <w:r w:rsidRPr="00372FDE">
              <w:rPr>
                <w:rFonts w:ascii="Arial" w:hAnsi="Arial" w:cs="Arial"/>
                <w:sz w:val="20"/>
              </w:rPr>
              <w:lastRenderedPageBreak/>
              <w:t>PBS</w:t>
            </w:r>
          </w:p>
        </w:tc>
        <w:tc>
          <w:tcPr>
            <w:tcW w:w="3827" w:type="dxa"/>
          </w:tcPr>
          <w:p w14:paraId="619108CB" w14:textId="40507E77" w:rsidR="00CE363F" w:rsidRPr="00372FDE" w:rsidRDefault="00CE363F" w:rsidP="00CE363F">
            <w:pPr>
              <w:pStyle w:val="ListBullet"/>
            </w:pPr>
            <w:r w:rsidRPr="00372FDE">
              <w:lastRenderedPageBreak/>
              <w:t xml:space="preserve">Resubmission to request an Authority Required listing for the treatment of </w:t>
            </w:r>
            <w:r w:rsidRPr="00372FDE">
              <w:lastRenderedPageBreak/>
              <w:t>severe osteoporosis.</w:t>
            </w:r>
          </w:p>
        </w:tc>
        <w:tc>
          <w:tcPr>
            <w:tcW w:w="5245" w:type="dxa"/>
          </w:tcPr>
          <w:p w14:paraId="140B3E56" w14:textId="5207E00D" w:rsidR="00CE363F" w:rsidRPr="00372FDE" w:rsidRDefault="00CE363F" w:rsidP="00E95308">
            <w:pPr>
              <w:spacing w:after="120"/>
              <w:rPr>
                <w:rFonts w:ascii="Arial" w:hAnsi="Arial" w:cs="Arial"/>
                <w:sz w:val="20"/>
              </w:rPr>
            </w:pPr>
            <w:r w:rsidRPr="00372FDE">
              <w:rPr>
                <w:rFonts w:ascii="Arial" w:hAnsi="Arial" w:cs="Arial"/>
                <w:sz w:val="20"/>
                <w:lang w:val="en-GB"/>
              </w:rPr>
              <w:lastRenderedPageBreak/>
              <w:t xml:space="preserve">The PBAC did not recommend the listing of romosozumab for the treatment of severe osteoporosis </w:t>
            </w:r>
            <w:r w:rsidRPr="00372FDE">
              <w:rPr>
                <w:rFonts w:ascii="Arial" w:hAnsi="Arial" w:cs="Arial"/>
                <w:sz w:val="20"/>
                <w:lang w:val="en-GB"/>
              </w:rPr>
              <w:lastRenderedPageBreak/>
              <w:t>in patients who have experienced a prior fracture while on anti-resorptive therapy (later-line setting) due to concerns regarding the claim of comparative clinical effectiveness, the cardiovascular safety profile of the treatment and the uncertain size of the eligible patient population. The PBAC also considered the estimated financial implications were unacceptably high for a cost-minimisation analysis given it was not clear whether romosozumab would be cost-effective if it is used in a broader population than those patients who currently use teriparatide.</w:t>
            </w:r>
          </w:p>
        </w:tc>
      </w:tr>
      <w:tr w:rsidR="00CE363F" w:rsidRPr="00372FDE" w14:paraId="1C5075AD" w14:textId="77777777" w:rsidTr="000805C6">
        <w:trPr>
          <w:trHeight w:val="433"/>
        </w:trPr>
        <w:tc>
          <w:tcPr>
            <w:tcW w:w="2127" w:type="dxa"/>
            <w:vMerge/>
          </w:tcPr>
          <w:p w14:paraId="39403D53" w14:textId="77777777" w:rsidR="00CE363F" w:rsidRPr="00372FDE" w:rsidRDefault="00CE363F" w:rsidP="00CE363F">
            <w:pPr>
              <w:rPr>
                <w:rFonts w:ascii="Arial" w:hAnsi="Arial" w:cs="Arial"/>
                <w:sz w:val="20"/>
              </w:rPr>
            </w:pPr>
          </w:p>
        </w:tc>
        <w:tc>
          <w:tcPr>
            <w:tcW w:w="2126" w:type="dxa"/>
            <w:vMerge/>
          </w:tcPr>
          <w:p w14:paraId="707D5C36" w14:textId="77777777" w:rsidR="00CE363F" w:rsidRPr="00372FDE" w:rsidRDefault="00CE363F" w:rsidP="00CE363F">
            <w:pPr>
              <w:rPr>
                <w:rFonts w:ascii="Arial" w:hAnsi="Arial" w:cs="Arial"/>
                <w:sz w:val="20"/>
              </w:rPr>
            </w:pPr>
          </w:p>
        </w:tc>
        <w:tc>
          <w:tcPr>
            <w:tcW w:w="2126" w:type="dxa"/>
            <w:vMerge/>
          </w:tcPr>
          <w:p w14:paraId="14477343" w14:textId="77777777" w:rsidR="00CE363F" w:rsidRPr="00372FDE" w:rsidRDefault="00CE363F" w:rsidP="00CE363F">
            <w:pPr>
              <w:rPr>
                <w:rFonts w:ascii="Arial" w:hAnsi="Arial" w:cs="Arial"/>
                <w:sz w:val="20"/>
              </w:rPr>
            </w:pPr>
          </w:p>
        </w:tc>
        <w:tc>
          <w:tcPr>
            <w:tcW w:w="3827" w:type="dxa"/>
          </w:tcPr>
          <w:p w14:paraId="141D9DB2" w14:textId="593F2A15" w:rsidR="00CE363F" w:rsidRPr="00372FDE" w:rsidRDefault="00CE363F" w:rsidP="00CE363F">
            <w:pPr>
              <w:pStyle w:val="ListBullet"/>
            </w:pPr>
            <w:r w:rsidRPr="00372FDE">
              <w:t xml:space="preserve">Comparator: teriparatide </w:t>
            </w:r>
          </w:p>
        </w:tc>
        <w:tc>
          <w:tcPr>
            <w:tcW w:w="5245" w:type="dxa"/>
          </w:tcPr>
          <w:p w14:paraId="4F376CA9" w14:textId="656D7221" w:rsidR="00CE363F" w:rsidRPr="00372FDE" w:rsidRDefault="00CE363F" w:rsidP="00E95308">
            <w:pPr>
              <w:spacing w:after="120"/>
              <w:rPr>
                <w:rFonts w:ascii="Arial" w:hAnsi="Arial" w:cs="Arial"/>
                <w:sz w:val="20"/>
              </w:rPr>
            </w:pPr>
            <w:r w:rsidRPr="00372FDE">
              <w:rPr>
                <w:rFonts w:ascii="Arial" w:hAnsi="Arial" w:cs="Arial"/>
                <w:sz w:val="20"/>
                <w:lang w:val="en-GB"/>
              </w:rPr>
              <w:t>The PBAC considered the nominated comparator appropriate. However, if romosozumab is likely to be used in a much broader population than teriparatide, as predicted by the resubmission,</w:t>
            </w:r>
            <w:r w:rsidRPr="00372FDE">
              <w:rPr>
                <w:rFonts w:ascii="Arial" w:hAnsi="Arial" w:cs="Arial"/>
                <w:sz w:val="20"/>
              </w:rPr>
              <w:t xml:space="preserve"> the PBAC considered a comparison with anti-resorptives is relevant.</w:t>
            </w:r>
          </w:p>
        </w:tc>
      </w:tr>
      <w:tr w:rsidR="00CE363F" w:rsidRPr="00372FDE" w14:paraId="1E99ECCF" w14:textId="77777777" w:rsidTr="000805C6">
        <w:trPr>
          <w:trHeight w:val="433"/>
        </w:trPr>
        <w:tc>
          <w:tcPr>
            <w:tcW w:w="2127" w:type="dxa"/>
            <w:vMerge/>
          </w:tcPr>
          <w:p w14:paraId="3B809599" w14:textId="77777777" w:rsidR="00CE363F" w:rsidRPr="00372FDE" w:rsidRDefault="00CE363F" w:rsidP="00CE363F">
            <w:pPr>
              <w:rPr>
                <w:rFonts w:ascii="Arial" w:hAnsi="Arial" w:cs="Arial"/>
                <w:sz w:val="20"/>
              </w:rPr>
            </w:pPr>
          </w:p>
        </w:tc>
        <w:tc>
          <w:tcPr>
            <w:tcW w:w="2126" w:type="dxa"/>
            <w:vMerge/>
          </w:tcPr>
          <w:p w14:paraId="4EF7EDE4" w14:textId="77777777" w:rsidR="00CE363F" w:rsidRPr="00372FDE" w:rsidRDefault="00CE363F" w:rsidP="00CE363F">
            <w:pPr>
              <w:rPr>
                <w:rFonts w:ascii="Arial" w:hAnsi="Arial" w:cs="Arial"/>
                <w:sz w:val="20"/>
              </w:rPr>
            </w:pPr>
          </w:p>
        </w:tc>
        <w:tc>
          <w:tcPr>
            <w:tcW w:w="2126" w:type="dxa"/>
            <w:vMerge/>
          </w:tcPr>
          <w:p w14:paraId="186E1F78" w14:textId="77777777" w:rsidR="00CE363F" w:rsidRPr="00372FDE" w:rsidRDefault="00CE363F" w:rsidP="00CE363F">
            <w:pPr>
              <w:rPr>
                <w:rFonts w:ascii="Arial" w:hAnsi="Arial" w:cs="Arial"/>
                <w:sz w:val="20"/>
              </w:rPr>
            </w:pPr>
          </w:p>
        </w:tc>
        <w:tc>
          <w:tcPr>
            <w:tcW w:w="3827" w:type="dxa"/>
          </w:tcPr>
          <w:p w14:paraId="53B9F7B0" w14:textId="5F7A4BA2" w:rsidR="00CE363F" w:rsidRPr="00372FDE" w:rsidRDefault="00CE363F" w:rsidP="00CE363F">
            <w:pPr>
              <w:pStyle w:val="ListBullet"/>
            </w:pPr>
            <w:r w:rsidRPr="00372FDE">
              <w:t>Clinical claim: non-inferior comparative effectiveness and inferior comparative safety.</w:t>
            </w:r>
          </w:p>
        </w:tc>
        <w:tc>
          <w:tcPr>
            <w:tcW w:w="5245" w:type="dxa"/>
          </w:tcPr>
          <w:p w14:paraId="0D262BA0" w14:textId="14E5AED2" w:rsidR="00CE363F" w:rsidRPr="00372FDE" w:rsidRDefault="00CE363F" w:rsidP="00E95308">
            <w:pPr>
              <w:spacing w:after="120"/>
              <w:rPr>
                <w:rFonts w:ascii="Arial" w:hAnsi="Arial" w:cs="Arial"/>
                <w:sz w:val="20"/>
              </w:rPr>
            </w:pPr>
            <w:r w:rsidRPr="00372FDE">
              <w:rPr>
                <w:rFonts w:ascii="Arial" w:hAnsi="Arial" w:cs="Arial"/>
                <w:sz w:val="20"/>
              </w:rPr>
              <w:t xml:space="preserve">As there were no changes to the clinical evidence provided in the resubmission compared to the previous submission, the PBAC reiterated its November 2018 consideration that the claim of non-inferior comparative effectiveness was not adequately supported by the data. In addition, </w:t>
            </w:r>
            <w:r w:rsidRPr="00372FDE">
              <w:rPr>
                <w:rFonts w:ascii="Arial" w:hAnsi="Arial" w:cs="Arial"/>
                <w:sz w:val="20"/>
                <w:lang w:val="en-GB"/>
              </w:rPr>
              <w:t xml:space="preserve">the </w:t>
            </w:r>
            <w:r w:rsidRPr="00372FDE">
              <w:rPr>
                <w:rFonts w:ascii="Arial" w:hAnsi="Arial" w:cs="Arial"/>
                <w:sz w:val="20"/>
              </w:rPr>
              <w:t>PBAC considered that the addition of anti-resorptive therapy following cessation of romosozumab treatment was important to the claim of similar comparative efficacy with teriparatide and that it was difficult to ensure that patients received and adhered to subsequent anti-resorptive therapy</w:t>
            </w:r>
            <w:r>
              <w:rPr>
                <w:rFonts w:ascii="Arial" w:hAnsi="Arial" w:cs="Arial"/>
                <w:sz w:val="20"/>
                <w:lang w:val="en-GB"/>
              </w:rPr>
              <w:t>.</w:t>
            </w:r>
          </w:p>
          <w:p w14:paraId="20600484" w14:textId="0C644410" w:rsidR="00CE363F" w:rsidRPr="00372FDE" w:rsidRDefault="00CE363F" w:rsidP="00E95308">
            <w:pPr>
              <w:spacing w:after="120"/>
              <w:rPr>
                <w:rFonts w:ascii="Arial" w:hAnsi="Arial" w:cs="Arial"/>
                <w:sz w:val="20"/>
              </w:rPr>
            </w:pPr>
            <w:r w:rsidRPr="00372FDE">
              <w:rPr>
                <w:rFonts w:ascii="Arial" w:hAnsi="Arial" w:cs="Arial"/>
                <w:sz w:val="20"/>
              </w:rPr>
              <w:t>The PBAC considered that the claim of inferior comparative safety was reasonable.</w:t>
            </w:r>
          </w:p>
        </w:tc>
      </w:tr>
      <w:tr w:rsidR="00CE363F" w:rsidRPr="00372FDE" w14:paraId="0CBA3B07" w14:textId="77777777" w:rsidTr="000805C6">
        <w:trPr>
          <w:trHeight w:val="433"/>
        </w:trPr>
        <w:tc>
          <w:tcPr>
            <w:tcW w:w="2127" w:type="dxa"/>
            <w:vMerge/>
          </w:tcPr>
          <w:p w14:paraId="4969D4AF" w14:textId="77777777" w:rsidR="00CE363F" w:rsidRPr="00372FDE" w:rsidRDefault="00CE363F" w:rsidP="00CE363F">
            <w:pPr>
              <w:rPr>
                <w:rFonts w:ascii="Arial" w:hAnsi="Arial" w:cs="Arial"/>
                <w:sz w:val="20"/>
              </w:rPr>
            </w:pPr>
          </w:p>
        </w:tc>
        <w:tc>
          <w:tcPr>
            <w:tcW w:w="2126" w:type="dxa"/>
            <w:vMerge/>
          </w:tcPr>
          <w:p w14:paraId="7C11111E" w14:textId="77777777" w:rsidR="00CE363F" w:rsidRPr="00372FDE" w:rsidRDefault="00CE363F" w:rsidP="00CE363F">
            <w:pPr>
              <w:rPr>
                <w:rFonts w:ascii="Arial" w:hAnsi="Arial" w:cs="Arial"/>
                <w:sz w:val="20"/>
              </w:rPr>
            </w:pPr>
          </w:p>
        </w:tc>
        <w:tc>
          <w:tcPr>
            <w:tcW w:w="2126" w:type="dxa"/>
            <w:vMerge/>
          </w:tcPr>
          <w:p w14:paraId="35CA9A0B" w14:textId="77777777" w:rsidR="00CE363F" w:rsidRPr="00372FDE" w:rsidRDefault="00CE363F" w:rsidP="00CE363F">
            <w:pPr>
              <w:rPr>
                <w:rFonts w:ascii="Arial" w:hAnsi="Arial" w:cs="Arial"/>
                <w:sz w:val="20"/>
              </w:rPr>
            </w:pPr>
          </w:p>
        </w:tc>
        <w:tc>
          <w:tcPr>
            <w:tcW w:w="3827" w:type="dxa"/>
          </w:tcPr>
          <w:p w14:paraId="3884726F" w14:textId="1ACA5379" w:rsidR="00CE363F" w:rsidRPr="00372FDE" w:rsidRDefault="00CE363F" w:rsidP="00CE363F">
            <w:pPr>
              <w:pStyle w:val="ListBullet"/>
            </w:pPr>
            <w:r w:rsidRPr="00372FDE">
              <w:t>Economic claim: cost-minimisation analysis versus teriparatide.</w:t>
            </w:r>
          </w:p>
        </w:tc>
        <w:tc>
          <w:tcPr>
            <w:tcW w:w="5245" w:type="dxa"/>
          </w:tcPr>
          <w:p w14:paraId="10F9A863" w14:textId="77777777" w:rsidR="00CE363F" w:rsidRPr="00372FDE" w:rsidRDefault="00CE363F" w:rsidP="00E95308">
            <w:pPr>
              <w:spacing w:after="120"/>
              <w:rPr>
                <w:rFonts w:ascii="Arial" w:hAnsi="Arial" w:cs="Arial"/>
                <w:sz w:val="20"/>
              </w:rPr>
            </w:pPr>
            <w:r w:rsidRPr="00372FDE">
              <w:rPr>
                <w:rFonts w:ascii="Arial" w:hAnsi="Arial" w:cs="Arial"/>
                <w:sz w:val="20"/>
              </w:rPr>
              <w:t xml:space="preserve">The PBAC considered the cost-minimisation analysis presented did not adequately address the following areas of concern: the trial-based equi-effective doses </w:t>
            </w:r>
            <w:r w:rsidRPr="00372FDE">
              <w:rPr>
                <w:rFonts w:ascii="Arial" w:hAnsi="Arial" w:cs="Arial"/>
                <w:sz w:val="20"/>
              </w:rPr>
              <w:lastRenderedPageBreak/>
              <w:t xml:space="preserve">used; the additional costs for anti-resorptive therapy following cessation of romosozumab; and administration costs. The PBAC considered that the use of more conservative assumptions, resulting in a reduction in the proposed price for romosozumab, would be appropriate given the uncertainty with the clinical claim of non-inferior efficacy. </w:t>
            </w:r>
          </w:p>
          <w:p w14:paraId="4C26EF61" w14:textId="54BD8C32" w:rsidR="00CE363F" w:rsidRPr="00372FDE" w:rsidRDefault="00CE363F" w:rsidP="00E95308">
            <w:pPr>
              <w:spacing w:after="120"/>
              <w:rPr>
                <w:rFonts w:ascii="Arial" w:hAnsi="Arial" w:cs="Arial"/>
                <w:sz w:val="20"/>
              </w:rPr>
            </w:pPr>
            <w:r w:rsidRPr="00372FDE">
              <w:rPr>
                <w:rFonts w:ascii="Arial" w:hAnsi="Arial" w:cs="Arial"/>
                <w:sz w:val="20"/>
              </w:rPr>
              <w:t>The PBAC considered the estimated financial implications were unacceptably high for a cost-minimisation analysis.</w:t>
            </w:r>
          </w:p>
        </w:tc>
      </w:tr>
      <w:tr w:rsidR="00CE363F" w:rsidRPr="00372FDE" w14:paraId="1407F025" w14:textId="77777777" w:rsidTr="000805C6">
        <w:trPr>
          <w:trHeight w:val="433"/>
        </w:trPr>
        <w:tc>
          <w:tcPr>
            <w:tcW w:w="2127" w:type="dxa"/>
            <w:vMerge/>
          </w:tcPr>
          <w:p w14:paraId="1E3CE49A" w14:textId="77777777" w:rsidR="00CE363F" w:rsidRPr="00372FDE" w:rsidRDefault="00CE363F" w:rsidP="00CE363F">
            <w:pPr>
              <w:rPr>
                <w:rFonts w:ascii="Arial" w:hAnsi="Arial" w:cs="Arial"/>
                <w:sz w:val="20"/>
              </w:rPr>
            </w:pPr>
          </w:p>
        </w:tc>
        <w:tc>
          <w:tcPr>
            <w:tcW w:w="2126" w:type="dxa"/>
            <w:vMerge/>
          </w:tcPr>
          <w:p w14:paraId="211AB101" w14:textId="77777777" w:rsidR="00CE363F" w:rsidRPr="00372FDE" w:rsidRDefault="00CE363F" w:rsidP="00CE363F">
            <w:pPr>
              <w:rPr>
                <w:rFonts w:ascii="Arial" w:hAnsi="Arial" w:cs="Arial"/>
                <w:sz w:val="20"/>
              </w:rPr>
            </w:pPr>
          </w:p>
        </w:tc>
        <w:tc>
          <w:tcPr>
            <w:tcW w:w="2126" w:type="dxa"/>
            <w:vMerge/>
          </w:tcPr>
          <w:p w14:paraId="18052AAA" w14:textId="77777777" w:rsidR="00CE363F" w:rsidRPr="00372FDE" w:rsidRDefault="00CE363F" w:rsidP="00CE363F">
            <w:pPr>
              <w:rPr>
                <w:rFonts w:ascii="Arial" w:hAnsi="Arial" w:cs="Arial"/>
                <w:sz w:val="20"/>
              </w:rPr>
            </w:pPr>
          </w:p>
        </w:tc>
        <w:tc>
          <w:tcPr>
            <w:tcW w:w="3827" w:type="dxa"/>
          </w:tcPr>
          <w:p w14:paraId="1942712F" w14:textId="3AF7F6D7" w:rsidR="00CE363F" w:rsidRPr="00372FDE" w:rsidRDefault="00CE363F" w:rsidP="00C91B1E">
            <w:pPr>
              <w:pStyle w:val="ListBullet"/>
              <w:jc w:val="right"/>
            </w:pPr>
            <w:r w:rsidRPr="00372FDE">
              <w:t xml:space="preserve">Sponsor’s comment: </w:t>
            </w:r>
          </w:p>
        </w:tc>
        <w:tc>
          <w:tcPr>
            <w:tcW w:w="5245" w:type="dxa"/>
          </w:tcPr>
          <w:p w14:paraId="24FCDF1C" w14:textId="3C97EED2" w:rsidR="00CE363F" w:rsidRPr="00372FDE" w:rsidRDefault="00CE363F" w:rsidP="00CE363F">
            <w:pPr>
              <w:rPr>
                <w:rFonts w:ascii="Arial" w:hAnsi="Arial" w:cs="Arial"/>
                <w:sz w:val="20"/>
              </w:rPr>
            </w:pPr>
            <w:r>
              <w:rPr>
                <w:rFonts w:ascii="Arial" w:hAnsi="Arial" w:cs="Arial"/>
                <w:sz w:val="20"/>
              </w:rPr>
              <w:t>No comment</w:t>
            </w:r>
          </w:p>
        </w:tc>
      </w:tr>
    </w:tbl>
    <w:p w14:paraId="121C0FA1" w14:textId="77777777" w:rsidR="0078027D" w:rsidRPr="0010394D" w:rsidRDefault="0078027D" w:rsidP="002A7FDE">
      <w:pPr>
        <w:pStyle w:val="Title"/>
        <w:jc w:val="left"/>
      </w:pPr>
    </w:p>
    <w:sectPr w:rsidR="0078027D" w:rsidRPr="0010394D" w:rsidSect="00DA049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47D5" w14:textId="77777777" w:rsidR="003419C9" w:rsidRDefault="003419C9">
      <w:r>
        <w:separator/>
      </w:r>
    </w:p>
  </w:endnote>
  <w:endnote w:type="continuationSeparator" w:id="0">
    <w:p w14:paraId="66B033FF" w14:textId="77777777"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6F8D" w14:textId="77777777" w:rsidR="00DA049A" w:rsidRDefault="00DA0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F31B" w14:textId="77777777" w:rsidR="000805C6" w:rsidRDefault="000805C6" w:rsidP="000805C6">
    <w:pPr>
      <w:pStyle w:val="Footer"/>
      <w:jc w:val="right"/>
    </w:pPr>
  </w:p>
  <w:p w14:paraId="6DF70921" w14:textId="3342A8C5"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A0B64">
      <w:rPr>
        <w:rFonts w:ascii="Arial" w:hAnsi="Arial" w:cs="Arial"/>
        <w:noProof/>
        <w:sz w:val="22"/>
      </w:rPr>
      <w:t>1</w:t>
    </w:r>
    <w:r w:rsidRPr="000805C6">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5109" w14:textId="77777777" w:rsidR="000805C6" w:rsidRDefault="000805C6">
    <w:pPr>
      <w:pStyle w:val="Footer"/>
      <w:jc w:val="right"/>
    </w:pPr>
  </w:p>
  <w:p w14:paraId="530F7B3E" w14:textId="77777777"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A049A">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B49" w14:textId="77777777" w:rsidR="003419C9" w:rsidRDefault="003419C9">
      <w:r>
        <w:separator/>
      </w:r>
    </w:p>
  </w:footnote>
  <w:footnote w:type="continuationSeparator" w:id="0">
    <w:p w14:paraId="282BAAE3" w14:textId="77777777" w:rsidR="003419C9" w:rsidRDefault="0034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EE26D" w14:textId="77777777" w:rsidR="00DA049A" w:rsidRDefault="00DA0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0044" w14:textId="77777777" w:rsidR="000805C6" w:rsidRDefault="0090223A" w:rsidP="000805C6">
    <w:pPr>
      <w:pStyle w:val="Header"/>
      <w:jc w:val="center"/>
      <w:rPr>
        <w:rFonts w:ascii="Arial" w:hAnsi="Arial" w:cs="Arial"/>
        <w:b/>
        <w:sz w:val="20"/>
      </w:rPr>
    </w:pPr>
    <w:r>
      <w:rPr>
        <w:rFonts w:ascii="Arial" w:hAnsi="Arial" w:cs="Arial"/>
        <w:b/>
        <w:sz w:val="20"/>
      </w:rPr>
      <w:t xml:space="preserve">MONTH YEAR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14:paraId="5D220093" w14:textId="77777777"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190A" w14:textId="77777777" w:rsidR="00613975" w:rsidRDefault="00A24F2E" w:rsidP="00613975">
    <w:pPr>
      <w:pStyle w:val="Header"/>
      <w:jc w:val="center"/>
      <w:rPr>
        <w:rFonts w:ascii="Arial" w:hAnsi="Arial" w:cs="Arial"/>
        <w:b/>
        <w:sz w:val="20"/>
      </w:rPr>
    </w:pPr>
    <w:r w:rsidRPr="00A24F2E">
      <w:rPr>
        <w:rFonts w:ascii="Arial" w:hAnsi="Arial" w:cs="Arial"/>
        <w:b/>
        <w:sz w:val="20"/>
      </w:rPr>
      <w:t xml:space="preserve">MONTH YEAR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14:paraId="10684ABC" w14:textId="77777777"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369DA"/>
    <w:multiLevelType w:val="hybridMultilevel"/>
    <w:tmpl w:val="87A2DA9E"/>
    <w:lvl w:ilvl="0" w:tplc="0C090005">
      <w:start w:val="1"/>
      <w:numFmt w:val="bullet"/>
      <w:lvlText w:val=""/>
      <w:lvlJc w:val="left"/>
      <w:pPr>
        <w:ind w:left="577" w:hanging="360"/>
      </w:pPr>
      <w:rPr>
        <w:rFonts w:ascii="Wingdings" w:hAnsi="Wingdings" w:hint="default"/>
      </w:rPr>
    </w:lvl>
    <w:lvl w:ilvl="1" w:tplc="0C090003">
      <w:start w:val="1"/>
      <w:numFmt w:val="bullet"/>
      <w:lvlText w:val="o"/>
      <w:lvlJc w:val="left"/>
      <w:pPr>
        <w:ind w:left="1297" w:hanging="360"/>
      </w:pPr>
      <w:rPr>
        <w:rFonts w:ascii="Courier New" w:hAnsi="Courier New" w:cs="Courier New" w:hint="default"/>
      </w:rPr>
    </w:lvl>
    <w:lvl w:ilvl="2" w:tplc="0C090005">
      <w:start w:val="1"/>
      <w:numFmt w:val="bullet"/>
      <w:lvlText w:val=""/>
      <w:lvlJc w:val="left"/>
      <w:pPr>
        <w:ind w:left="2017" w:hanging="360"/>
      </w:pPr>
      <w:rPr>
        <w:rFonts w:ascii="Wingdings" w:hAnsi="Wingdings" w:hint="default"/>
      </w:rPr>
    </w:lvl>
    <w:lvl w:ilvl="3" w:tplc="0C090001">
      <w:start w:val="1"/>
      <w:numFmt w:val="bullet"/>
      <w:lvlText w:val=""/>
      <w:lvlJc w:val="left"/>
      <w:pPr>
        <w:ind w:left="2737" w:hanging="360"/>
      </w:pPr>
      <w:rPr>
        <w:rFonts w:ascii="Symbol" w:hAnsi="Symbol" w:hint="default"/>
      </w:rPr>
    </w:lvl>
    <w:lvl w:ilvl="4" w:tplc="0C090003">
      <w:start w:val="1"/>
      <w:numFmt w:val="bullet"/>
      <w:lvlText w:val="o"/>
      <w:lvlJc w:val="left"/>
      <w:pPr>
        <w:ind w:left="3457" w:hanging="360"/>
      </w:pPr>
      <w:rPr>
        <w:rFonts w:ascii="Courier New" w:hAnsi="Courier New" w:cs="Courier New" w:hint="default"/>
      </w:rPr>
    </w:lvl>
    <w:lvl w:ilvl="5" w:tplc="0C090005">
      <w:start w:val="1"/>
      <w:numFmt w:val="bullet"/>
      <w:lvlText w:val=""/>
      <w:lvlJc w:val="left"/>
      <w:pPr>
        <w:ind w:left="4177" w:hanging="360"/>
      </w:pPr>
      <w:rPr>
        <w:rFonts w:ascii="Wingdings" w:hAnsi="Wingdings" w:hint="default"/>
      </w:rPr>
    </w:lvl>
    <w:lvl w:ilvl="6" w:tplc="0C090001">
      <w:start w:val="1"/>
      <w:numFmt w:val="bullet"/>
      <w:lvlText w:val=""/>
      <w:lvlJc w:val="left"/>
      <w:pPr>
        <w:ind w:left="4897" w:hanging="360"/>
      </w:pPr>
      <w:rPr>
        <w:rFonts w:ascii="Symbol" w:hAnsi="Symbol" w:hint="default"/>
      </w:rPr>
    </w:lvl>
    <w:lvl w:ilvl="7" w:tplc="0C090003">
      <w:start w:val="1"/>
      <w:numFmt w:val="bullet"/>
      <w:lvlText w:val="o"/>
      <w:lvlJc w:val="left"/>
      <w:pPr>
        <w:ind w:left="5617" w:hanging="360"/>
      </w:pPr>
      <w:rPr>
        <w:rFonts w:ascii="Courier New" w:hAnsi="Courier New" w:cs="Courier New" w:hint="default"/>
      </w:rPr>
    </w:lvl>
    <w:lvl w:ilvl="8" w:tplc="0C090005">
      <w:start w:val="1"/>
      <w:numFmt w:val="bullet"/>
      <w:lvlText w:val=""/>
      <w:lvlJc w:val="left"/>
      <w:pPr>
        <w:ind w:left="6337" w:hanging="360"/>
      </w:pPr>
      <w:rPr>
        <w:rFonts w:ascii="Wingdings" w:hAnsi="Wingdings" w:hint="default"/>
      </w:rPr>
    </w:lvl>
  </w:abstractNum>
  <w:abstractNum w:abstractNumId="9" w15:restartNumberingAfterBreak="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1" w15:restartNumberingAfterBreak="0">
    <w:nsid w:val="666A383F"/>
    <w:multiLevelType w:val="hybridMultilevel"/>
    <w:tmpl w:val="EEB63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9"/>
  </w:num>
  <w:num w:numId="4">
    <w:abstractNumId w:val="7"/>
  </w:num>
  <w:num w:numId="5">
    <w:abstractNumId w:val="2"/>
  </w:num>
  <w:num w:numId="6">
    <w:abstractNumId w:val="12"/>
  </w:num>
  <w:num w:numId="7">
    <w:abstractNumId w:val="5"/>
  </w:num>
  <w:num w:numId="8">
    <w:abstractNumId w:val="3"/>
  </w:num>
  <w:num w:numId="9">
    <w:abstractNumId w:val="1"/>
  </w:num>
  <w:num w:numId="10">
    <w:abstractNumId w:val="6"/>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27D"/>
    <w:rsid w:val="0000028A"/>
    <w:rsid w:val="0001162E"/>
    <w:rsid w:val="0001397B"/>
    <w:rsid w:val="00014389"/>
    <w:rsid w:val="00016ABD"/>
    <w:rsid w:val="00024634"/>
    <w:rsid w:val="00024F1C"/>
    <w:rsid w:val="00030555"/>
    <w:rsid w:val="00031E49"/>
    <w:rsid w:val="00046D30"/>
    <w:rsid w:val="000632B7"/>
    <w:rsid w:val="00063F01"/>
    <w:rsid w:val="000703F3"/>
    <w:rsid w:val="000708D5"/>
    <w:rsid w:val="000805C6"/>
    <w:rsid w:val="0009305C"/>
    <w:rsid w:val="000B2AF9"/>
    <w:rsid w:val="000B4313"/>
    <w:rsid w:val="000B4F11"/>
    <w:rsid w:val="000B6738"/>
    <w:rsid w:val="000D1304"/>
    <w:rsid w:val="000D3208"/>
    <w:rsid w:val="000D3717"/>
    <w:rsid w:val="000E406F"/>
    <w:rsid w:val="000E52C4"/>
    <w:rsid w:val="000E7183"/>
    <w:rsid w:val="000F05D5"/>
    <w:rsid w:val="000F6967"/>
    <w:rsid w:val="0010394D"/>
    <w:rsid w:val="001047FA"/>
    <w:rsid w:val="0011320E"/>
    <w:rsid w:val="00120488"/>
    <w:rsid w:val="0013119F"/>
    <w:rsid w:val="00140CC3"/>
    <w:rsid w:val="00144E78"/>
    <w:rsid w:val="00170906"/>
    <w:rsid w:val="001738F0"/>
    <w:rsid w:val="001810B2"/>
    <w:rsid w:val="001A29AB"/>
    <w:rsid w:val="001C0908"/>
    <w:rsid w:val="001C5F44"/>
    <w:rsid w:val="001D38D0"/>
    <w:rsid w:val="001E1FE3"/>
    <w:rsid w:val="001F5344"/>
    <w:rsid w:val="002007BA"/>
    <w:rsid w:val="00204DB4"/>
    <w:rsid w:val="002075FB"/>
    <w:rsid w:val="00211150"/>
    <w:rsid w:val="00220228"/>
    <w:rsid w:val="00220C3F"/>
    <w:rsid w:val="00223C4D"/>
    <w:rsid w:val="002341B8"/>
    <w:rsid w:val="00237031"/>
    <w:rsid w:val="00241E9E"/>
    <w:rsid w:val="002440EA"/>
    <w:rsid w:val="002460D4"/>
    <w:rsid w:val="00255313"/>
    <w:rsid w:val="00256ACE"/>
    <w:rsid w:val="002743B5"/>
    <w:rsid w:val="002861D6"/>
    <w:rsid w:val="00287BC5"/>
    <w:rsid w:val="002A1CF2"/>
    <w:rsid w:val="002A42C5"/>
    <w:rsid w:val="002A46E6"/>
    <w:rsid w:val="002A5152"/>
    <w:rsid w:val="002A7FDE"/>
    <w:rsid w:val="002E3BD6"/>
    <w:rsid w:val="002E5B33"/>
    <w:rsid w:val="002F0F71"/>
    <w:rsid w:val="002F5086"/>
    <w:rsid w:val="002F62A6"/>
    <w:rsid w:val="00302B1F"/>
    <w:rsid w:val="00303527"/>
    <w:rsid w:val="00305656"/>
    <w:rsid w:val="00312E87"/>
    <w:rsid w:val="00320F76"/>
    <w:rsid w:val="00322CA5"/>
    <w:rsid w:val="003335F7"/>
    <w:rsid w:val="00337EC3"/>
    <w:rsid w:val="003419C9"/>
    <w:rsid w:val="00347546"/>
    <w:rsid w:val="00367958"/>
    <w:rsid w:val="00367CA3"/>
    <w:rsid w:val="00372FDE"/>
    <w:rsid w:val="00380699"/>
    <w:rsid w:val="0039594A"/>
    <w:rsid w:val="0039641E"/>
    <w:rsid w:val="003B6CFA"/>
    <w:rsid w:val="003C19F8"/>
    <w:rsid w:val="003C3492"/>
    <w:rsid w:val="003E2DEC"/>
    <w:rsid w:val="003E3C69"/>
    <w:rsid w:val="003E5ACC"/>
    <w:rsid w:val="003F12A1"/>
    <w:rsid w:val="003F7763"/>
    <w:rsid w:val="00400291"/>
    <w:rsid w:val="004074CD"/>
    <w:rsid w:val="00416C9D"/>
    <w:rsid w:val="00432A2F"/>
    <w:rsid w:val="0043706A"/>
    <w:rsid w:val="00446F57"/>
    <w:rsid w:val="0044777F"/>
    <w:rsid w:val="00467522"/>
    <w:rsid w:val="00475539"/>
    <w:rsid w:val="00477C5E"/>
    <w:rsid w:val="004874F1"/>
    <w:rsid w:val="0049673E"/>
    <w:rsid w:val="004968F4"/>
    <w:rsid w:val="004A47FF"/>
    <w:rsid w:val="004A7506"/>
    <w:rsid w:val="004A76AD"/>
    <w:rsid w:val="004C071C"/>
    <w:rsid w:val="004C0A09"/>
    <w:rsid w:val="004C3700"/>
    <w:rsid w:val="004D08BF"/>
    <w:rsid w:val="004D2DFC"/>
    <w:rsid w:val="004D3785"/>
    <w:rsid w:val="004E4BB3"/>
    <w:rsid w:val="004E58AE"/>
    <w:rsid w:val="004E61E5"/>
    <w:rsid w:val="004E7F92"/>
    <w:rsid w:val="004F22AF"/>
    <w:rsid w:val="004F53A2"/>
    <w:rsid w:val="005060C3"/>
    <w:rsid w:val="005156A1"/>
    <w:rsid w:val="00524927"/>
    <w:rsid w:val="005334F6"/>
    <w:rsid w:val="00533EC6"/>
    <w:rsid w:val="00551121"/>
    <w:rsid w:val="00556A91"/>
    <w:rsid w:val="0056006F"/>
    <w:rsid w:val="00565922"/>
    <w:rsid w:val="00566485"/>
    <w:rsid w:val="00575B97"/>
    <w:rsid w:val="00576AE4"/>
    <w:rsid w:val="00583A1F"/>
    <w:rsid w:val="00591511"/>
    <w:rsid w:val="005A4700"/>
    <w:rsid w:val="005B1359"/>
    <w:rsid w:val="005C51C0"/>
    <w:rsid w:val="005C529C"/>
    <w:rsid w:val="005C583B"/>
    <w:rsid w:val="005D0350"/>
    <w:rsid w:val="00606B1D"/>
    <w:rsid w:val="00613975"/>
    <w:rsid w:val="0062060A"/>
    <w:rsid w:val="00620C2B"/>
    <w:rsid w:val="006227C5"/>
    <w:rsid w:val="00636B27"/>
    <w:rsid w:val="006378CF"/>
    <w:rsid w:val="00637912"/>
    <w:rsid w:val="00655D5C"/>
    <w:rsid w:val="00670168"/>
    <w:rsid w:val="00674FEC"/>
    <w:rsid w:val="00680915"/>
    <w:rsid w:val="00695D28"/>
    <w:rsid w:val="006A4BE8"/>
    <w:rsid w:val="006C196C"/>
    <w:rsid w:val="006C1CD8"/>
    <w:rsid w:val="006E0C7B"/>
    <w:rsid w:val="006F3F91"/>
    <w:rsid w:val="006F40D1"/>
    <w:rsid w:val="00702619"/>
    <w:rsid w:val="00704ABF"/>
    <w:rsid w:val="00704E74"/>
    <w:rsid w:val="00706EFA"/>
    <w:rsid w:val="00713AE1"/>
    <w:rsid w:val="00720097"/>
    <w:rsid w:val="00735D52"/>
    <w:rsid w:val="00743998"/>
    <w:rsid w:val="00751128"/>
    <w:rsid w:val="0075364D"/>
    <w:rsid w:val="0075656A"/>
    <w:rsid w:val="007572F6"/>
    <w:rsid w:val="00757A9A"/>
    <w:rsid w:val="007605AB"/>
    <w:rsid w:val="0076473F"/>
    <w:rsid w:val="00770B47"/>
    <w:rsid w:val="0078027D"/>
    <w:rsid w:val="00784382"/>
    <w:rsid w:val="0079164A"/>
    <w:rsid w:val="00794439"/>
    <w:rsid w:val="007A29FA"/>
    <w:rsid w:val="007A361E"/>
    <w:rsid w:val="007A73D0"/>
    <w:rsid w:val="007C0EDE"/>
    <w:rsid w:val="007D085A"/>
    <w:rsid w:val="0080031A"/>
    <w:rsid w:val="0080046E"/>
    <w:rsid w:val="008068F2"/>
    <w:rsid w:val="00815D6B"/>
    <w:rsid w:val="0081702A"/>
    <w:rsid w:val="00821E75"/>
    <w:rsid w:val="008240F8"/>
    <w:rsid w:val="00826000"/>
    <w:rsid w:val="00842F8C"/>
    <w:rsid w:val="00850073"/>
    <w:rsid w:val="0086299E"/>
    <w:rsid w:val="0086603E"/>
    <w:rsid w:val="0088217A"/>
    <w:rsid w:val="008A5929"/>
    <w:rsid w:val="008B0E06"/>
    <w:rsid w:val="008B0E22"/>
    <w:rsid w:val="008B7160"/>
    <w:rsid w:val="008C185A"/>
    <w:rsid w:val="008C6E23"/>
    <w:rsid w:val="008D676E"/>
    <w:rsid w:val="008D72BA"/>
    <w:rsid w:val="008E0965"/>
    <w:rsid w:val="008F3700"/>
    <w:rsid w:val="0090223A"/>
    <w:rsid w:val="009044AF"/>
    <w:rsid w:val="009224BE"/>
    <w:rsid w:val="00924932"/>
    <w:rsid w:val="00934AD5"/>
    <w:rsid w:val="00947987"/>
    <w:rsid w:val="00952903"/>
    <w:rsid w:val="00957F9F"/>
    <w:rsid w:val="00965B48"/>
    <w:rsid w:val="00972B1B"/>
    <w:rsid w:val="0098248A"/>
    <w:rsid w:val="00991AFC"/>
    <w:rsid w:val="009B2F04"/>
    <w:rsid w:val="009B6E95"/>
    <w:rsid w:val="009B735A"/>
    <w:rsid w:val="009B7CBE"/>
    <w:rsid w:val="009C73A4"/>
    <w:rsid w:val="009C7FD0"/>
    <w:rsid w:val="009D1D30"/>
    <w:rsid w:val="009E299C"/>
    <w:rsid w:val="009E6539"/>
    <w:rsid w:val="009F0ED6"/>
    <w:rsid w:val="009F42BE"/>
    <w:rsid w:val="009F5E7E"/>
    <w:rsid w:val="00A019A3"/>
    <w:rsid w:val="00A02424"/>
    <w:rsid w:val="00A07C14"/>
    <w:rsid w:val="00A24F2E"/>
    <w:rsid w:val="00A26805"/>
    <w:rsid w:val="00A32110"/>
    <w:rsid w:val="00A42840"/>
    <w:rsid w:val="00A42D88"/>
    <w:rsid w:val="00A55002"/>
    <w:rsid w:val="00A56ED7"/>
    <w:rsid w:val="00A61170"/>
    <w:rsid w:val="00A62091"/>
    <w:rsid w:val="00A6292D"/>
    <w:rsid w:val="00A62D7E"/>
    <w:rsid w:val="00A66732"/>
    <w:rsid w:val="00A706C5"/>
    <w:rsid w:val="00A74BD3"/>
    <w:rsid w:val="00A90F44"/>
    <w:rsid w:val="00A913CA"/>
    <w:rsid w:val="00AA6D36"/>
    <w:rsid w:val="00AA6F27"/>
    <w:rsid w:val="00AB06AE"/>
    <w:rsid w:val="00AC7A6D"/>
    <w:rsid w:val="00AD3357"/>
    <w:rsid w:val="00AE346B"/>
    <w:rsid w:val="00AE3F52"/>
    <w:rsid w:val="00AF4A3C"/>
    <w:rsid w:val="00B10521"/>
    <w:rsid w:val="00B26FF7"/>
    <w:rsid w:val="00B43E46"/>
    <w:rsid w:val="00B44CA8"/>
    <w:rsid w:val="00B67244"/>
    <w:rsid w:val="00B77A97"/>
    <w:rsid w:val="00B80FE3"/>
    <w:rsid w:val="00BA3F70"/>
    <w:rsid w:val="00BA5A7D"/>
    <w:rsid w:val="00BC0474"/>
    <w:rsid w:val="00BC1FB7"/>
    <w:rsid w:val="00BC55C3"/>
    <w:rsid w:val="00BD3C79"/>
    <w:rsid w:val="00BD6EBF"/>
    <w:rsid w:val="00BE32A3"/>
    <w:rsid w:val="00BE58B8"/>
    <w:rsid w:val="00BE7D88"/>
    <w:rsid w:val="00BF684D"/>
    <w:rsid w:val="00C110F0"/>
    <w:rsid w:val="00C2561B"/>
    <w:rsid w:val="00C26A1C"/>
    <w:rsid w:val="00C333D1"/>
    <w:rsid w:val="00C355A7"/>
    <w:rsid w:val="00C4326C"/>
    <w:rsid w:val="00C44762"/>
    <w:rsid w:val="00C464A5"/>
    <w:rsid w:val="00C847AD"/>
    <w:rsid w:val="00C91B1E"/>
    <w:rsid w:val="00C9315F"/>
    <w:rsid w:val="00C9450F"/>
    <w:rsid w:val="00C94D2C"/>
    <w:rsid w:val="00CA0C65"/>
    <w:rsid w:val="00CA2B5C"/>
    <w:rsid w:val="00CD3345"/>
    <w:rsid w:val="00CE363F"/>
    <w:rsid w:val="00CE3D26"/>
    <w:rsid w:val="00CF4E65"/>
    <w:rsid w:val="00D06895"/>
    <w:rsid w:val="00D1123D"/>
    <w:rsid w:val="00D22393"/>
    <w:rsid w:val="00D230A2"/>
    <w:rsid w:val="00D3127D"/>
    <w:rsid w:val="00D46559"/>
    <w:rsid w:val="00D5330C"/>
    <w:rsid w:val="00D54EAF"/>
    <w:rsid w:val="00D641C2"/>
    <w:rsid w:val="00D65DDC"/>
    <w:rsid w:val="00D85166"/>
    <w:rsid w:val="00D87943"/>
    <w:rsid w:val="00D905C6"/>
    <w:rsid w:val="00D95CFA"/>
    <w:rsid w:val="00DA049A"/>
    <w:rsid w:val="00DA0B64"/>
    <w:rsid w:val="00DB0BAD"/>
    <w:rsid w:val="00DB17AB"/>
    <w:rsid w:val="00DB3394"/>
    <w:rsid w:val="00DB589E"/>
    <w:rsid w:val="00DB63C7"/>
    <w:rsid w:val="00DC3F72"/>
    <w:rsid w:val="00DC6B74"/>
    <w:rsid w:val="00DD5B1D"/>
    <w:rsid w:val="00DD66E2"/>
    <w:rsid w:val="00DD675E"/>
    <w:rsid w:val="00DE5D27"/>
    <w:rsid w:val="00DE6421"/>
    <w:rsid w:val="00DE6C5F"/>
    <w:rsid w:val="00DF703C"/>
    <w:rsid w:val="00E05DC5"/>
    <w:rsid w:val="00E16367"/>
    <w:rsid w:val="00E224FF"/>
    <w:rsid w:val="00E239BA"/>
    <w:rsid w:val="00E331E0"/>
    <w:rsid w:val="00E47E9A"/>
    <w:rsid w:val="00E508BC"/>
    <w:rsid w:val="00E60ACD"/>
    <w:rsid w:val="00E7686D"/>
    <w:rsid w:val="00E77EAA"/>
    <w:rsid w:val="00E86609"/>
    <w:rsid w:val="00E95308"/>
    <w:rsid w:val="00EA02A3"/>
    <w:rsid w:val="00EA6994"/>
    <w:rsid w:val="00EB0142"/>
    <w:rsid w:val="00EE1E65"/>
    <w:rsid w:val="00EE5442"/>
    <w:rsid w:val="00EF026E"/>
    <w:rsid w:val="00F20487"/>
    <w:rsid w:val="00F215D2"/>
    <w:rsid w:val="00F23F38"/>
    <w:rsid w:val="00F25545"/>
    <w:rsid w:val="00F40665"/>
    <w:rsid w:val="00F43732"/>
    <w:rsid w:val="00F52E0A"/>
    <w:rsid w:val="00F562A0"/>
    <w:rsid w:val="00F72B54"/>
    <w:rsid w:val="00F75206"/>
    <w:rsid w:val="00F82673"/>
    <w:rsid w:val="00F83FA8"/>
    <w:rsid w:val="00F924D9"/>
    <w:rsid w:val="00FC4900"/>
    <w:rsid w:val="00FD6C20"/>
    <w:rsid w:val="00FD7D78"/>
    <w:rsid w:val="00FE52DE"/>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DE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8">
    <w:name w:val="heading 8"/>
    <w:basedOn w:val="Normal"/>
    <w:next w:val="Normal"/>
    <w:link w:val="Heading8Char"/>
    <w:rsid w:val="00702619"/>
    <w:pPr>
      <w:keepNext/>
      <w:widowControl w:val="0"/>
      <w:jc w:val="right"/>
      <w:outlineLvl w:val="7"/>
    </w:pPr>
    <w:rPr>
      <w:rFonts w:ascii="Calibri" w:hAnsi="Calibri" w:cs="Arial"/>
      <w:b/>
      <w:snapToGrid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Numbered para,BulletPoints,V5.0 Exec bullet List 1,Footnote,Bullet point,List Paragraph1,List Paragraph11,Recommendation,ES Paragraph,PBAC ES Paragraph,PBAC normal points,Bullet List,Bullets Points,Styl moj,Akapit z listą1"/>
    <w:basedOn w:val="Normal"/>
    <w:link w:val="ListParagraphChar"/>
    <w:uiPriority w:val="34"/>
    <w:qFormat/>
    <w:rsid w:val="001810B2"/>
    <w:pPr>
      <w:ind w:left="720"/>
      <w:contextualSpacing/>
    </w:pPr>
    <w:rPr>
      <w:szCs w:val="24"/>
    </w:rPr>
  </w:style>
  <w:style w:type="character" w:customStyle="1" w:styleId="ListParagraphChar">
    <w:name w:val="List Paragraph Char"/>
    <w:aliases w:val="Numbered para Char,BulletPoints Char,V5.0 Exec bullet List 1 Char,Footnote Char,Bullet point Char,List Paragraph1 Char,List Paragraph11 Char,Recommendation Char,ES Paragraph Char,PBAC ES Paragraph Char,PBAC normal points Char"/>
    <w:link w:val="ListParagraph"/>
    <w:uiPriority w:val="34"/>
    <w:qFormat/>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semiHidden/>
    <w:unhideWhenUsed/>
    <w:rsid w:val="00D22393"/>
    <w:rPr>
      <w:sz w:val="16"/>
      <w:szCs w:val="16"/>
    </w:rPr>
  </w:style>
  <w:style w:type="paragraph" w:styleId="CommentText">
    <w:name w:val="annotation text"/>
    <w:basedOn w:val="Normal"/>
    <w:link w:val="CommentTextChar"/>
    <w:semiHidden/>
    <w:unhideWhenUsed/>
    <w:rsid w:val="00D22393"/>
    <w:rPr>
      <w:sz w:val="20"/>
    </w:rPr>
  </w:style>
  <w:style w:type="character" w:customStyle="1" w:styleId="CommentTextChar">
    <w:name w:val="Comment Text Char"/>
    <w:basedOn w:val="DefaultParagraphFont"/>
    <w:link w:val="CommentText"/>
    <w:semiHidden/>
    <w:rsid w:val="00D22393"/>
  </w:style>
  <w:style w:type="paragraph" w:styleId="CommentSubject">
    <w:name w:val="annotation subject"/>
    <w:basedOn w:val="CommentText"/>
    <w:next w:val="CommentText"/>
    <w:link w:val="CommentSubjectChar"/>
    <w:semiHidden/>
    <w:unhideWhenUsed/>
    <w:rsid w:val="00D22393"/>
    <w:rPr>
      <w:b/>
      <w:bCs/>
    </w:rPr>
  </w:style>
  <w:style w:type="character" w:customStyle="1" w:styleId="CommentSubjectChar">
    <w:name w:val="Comment Subject Char"/>
    <w:basedOn w:val="CommentTextChar"/>
    <w:link w:val="CommentSubject"/>
    <w:semiHidden/>
    <w:rsid w:val="00D22393"/>
    <w:rPr>
      <w:b/>
      <w:bCs/>
    </w:rPr>
  </w:style>
  <w:style w:type="character" w:customStyle="1" w:styleId="Heading8Char">
    <w:name w:val="Heading 8 Char"/>
    <w:basedOn w:val="DefaultParagraphFont"/>
    <w:link w:val="Heading8"/>
    <w:rsid w:val="00702619"/>
    <w:rPr>
      <w:rFonts w:ascii="Calibri" w:hAnsi="Calibri" w:cs="Arial"/>
      <w:b/>
      <w:snapToGrid w:val="0"/>
      <w:sz w:val="24"/>
      <w:szCs w:val="22"/>
      <w:lang w:eastAsia="en-US"/>
    </w:rPr>
  </w:style>
  <w:style w:type="paragraph" w:customStyle="1" w:styleId="2Sections">
    <w:name w:val="2. Sections"/>
    <w:qFormat/>
    <w:rsid w:val="00566485"/>
    <w:pPr>
      <w:tabs>
        <w:tab w:val="num" w:pos="360"/>
      </w:tabs>
      <w:spacing w:before="240" w:after="120"/>
      <w:outlineLvl w:val="0"/>
    </w:pPr>
    <w:rPr>
      <w:rFonts w:ascii="Calibri" w:hAnsi="Calibri" w:cs="Arial"/>
      <w:b/>
      <w:snapToGrid w:val="0"/>
      <w:sz w:val="32"/>
      <w:szCs w:val="32"/>
      <w:lang w:eastAsia="en-US"/>
    </w:rPr>
  </w:style>
  <w:style w:type="paragraph" w:customStyle="1" w:styleId="3Bodytext">
    <w:name w:val="3. Body text"/>
    <w:basedOn w:val="ListParagraph"/>
    <w:link w:val="3BodytextChar"/>
    <w:qFormat/>
    <w:rsid w:val="00566485"/>
    <w:pPr>
      <w:spacing w:after="120"/>
      <w:ind w:hanging="720"/>
      <w:contextualSpacing w:val="0"/>
      <w:jc w:val="both"/>
    </w:pPr>
    <w:rPr>
      <w:rFonts w:ascii="Calibri" w:eastAsia="Calibri" w:hAnsi="Calibri"/>
      <w:szCs w:val="22"/>
      <w:lang w:eastAsia="en-US"/>
    </w:rPr>
  </w:style>
  <w:style w:type="character" w:customStyle="1" w:styleId="3BodytextChar">
    <w:name w:val="3. Body text Char"/>
    <w:link w:val="3Bodytext"/>
    <w:rsid w:val="00566485"/>
    <w:rPr>
      <w:rFonts w:ascii="Calibri" w:eastAsia="Calibri" w:hAnsi="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407">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371346629">
      <w:bodyDiv w:val="1"/>
      <w:marLeft w:val="0"/>
      <w:marRight w:val="0"/>
      <w:marTop w:val="0"/>
      <w:marBottom w:val="0"/>
      <w:divBdr>
        <w:top w:val="none" w:sz="0" w:space="0" w:color="auto"/>
        <w:left w:val="none" w:sz="0" w:space="0" w:color="auto"/>
        <w:bottom w:val="none" w:sz="0" w:space="0" w:color="auto"/>
        <w:right w:val="none" w:sz="0" w:space="0" w:color="auto"/>
      </w:divBdr>
    </w:div>
    <w:div w:id="510484548">
      <w:bodyDiv w:val="1"/>
      <w:marLeft w:val="0"/>
      <w:marRight w:val="0"/>
      <w:marTop w:val="0"/>
      <w:marBottom w:val="0"/>
      <w:divBdr>
        <w:top w:val="none" w:sz="0" w:space="0" w:color="auto"/>
        <w:left w:val="none" w:sz="0" w:space="0" w:color="auto"/>
        <w:bottom w:val="none" w:sz="0" w:space="0" w:color="auto"/>
        <w:right w:val="none" w:sz="0" w:space="0" w:color="auto"/>
      </w:divBdr>
    </w:div>
    <w:div w:id="533423563">
      <w:bodyDiv w:val="1"/>
      <w:marLeft w:val="0"/>
      <w:marRight w:val="0"/>
      <w:marTop w:val="0"/>
      <w:marBottom w:val="0"/>
      <w:divBdr>
        <w:top w:val="none" w:sz="0" w:space="0" w:color="auto"/>
        <w:left w:val="none" w:sz="0" w:space="0" w:color="auto"/>
        <w:bottom w:val="none" w:sz="0" w:space="0" w:color="auto"/>
        <w:right w:val="none" w:sz="0" w:space="0" w:color="auto"/>
      </w:divBdr>
    </w:div>
    <w:div w:id="565528882">
      <w:bodyDiv w:val="1"/>
      <w:marLeft w:val="0"/>
      <w:marRight w:val="0"/>
      <w:marTop w:val="0"/>
      <w:marBottom w:val="0"/>
      <w:divBdr>
        <w:top w:val="none" w:sz="0" w:space="0" w:color="auto"/>
        <w:left w:val="none" w:sz="0" w:space="0" w:color="auto"/>
        <w:bottom w:val="none" w:sz="0" w:space="0" w:color="auto"/>
        <w:right w:val="none" w:sz="0" w:space="0" w:color="auto"/>
      </w:divBdr>
    </w:div>
    <w:div w:id="679549730">
      <w:bodyDiv w:val="1"/>
      <w:marLeft w:val="0"/>
      <w:marRight w:val="0"/>
      <w:marTop w:val="0"/>
      <w:marBottom w:val="0"/>
      <w:divBdr>
        <w:top w:val="none" w:sz="0" w:space="0" w:color="auto"/>
        <w:left w:val="none" w:sz="0" w:space="0" w:color="auto"/>
        <w:bottom w:val="none" w:sz="0" w:space="0" w:color="auto"/>
        <w:right w:val="none" w:sz="0" w:space="0" w:color="auto"/>
      </w:divBdr>
    </w:div>
    <w:div w:id="690763098">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00415593">
      <w:bodyDiv w:val="1"/>
      <w:marLeft w:val="0"/>
      <w:marRight w:val="0"/>
      <w:marTop w:val="0"/>
      <w:marBottom w:val="0"/>
      <w:divBdr>
        <w:top w:val="none" w:sz="0" w:space="0" w:color="auto"/>
        <w:left w:val="none" w:sz="0" w:space="0" w:color="auto"/>
        <w:bottom w:val="none" w:sz="0" w:space="0" w:color="auto"/>
        <w:right w:val="none" w:sz="0" w:space="0" w:color="auto"/>
      </w:divBdr>
    </w:div>
    <w:div w:id="8126055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76116522">
      <w:bodyDiv w:val="1"/>
      <w:marLeft w:val="0"/>
      <w:marRight w:val="0"/>
      <w:marTop w:val="0"/>
      <w:marBottom w:val="0"/>
      <w:divBdr>
        <w:top w:val="none" w:sz="0" w:space="0" w:color="auto"/>
        <w:left w:val="none" w:sz="0" w:space="0" w:color="auto"/>
        <w:bottom w:val="none" w:sz="0" w:space="0" w:color="auto"/>
        <w:right w:val="none" w:sz="0" w:space="0" w:color="auto"/>
      </w:divBdr>
    </w:div>
    <w:div w:id="892497857">
      <w:bodyDiv w:val="1"/>
      <w:marLeft w:val="0"/>
      <w:marRight w:val="0"/>
      <w:marTop w:val="0"/>
      <w:marBottom w:val="0"/>
      <w:divBdr>
        <w:top w:val="none" w:sz="0" w:space="0" w:color="auto"/>
        <w:left w:val="none" w:sz="0" w:space="0" w:color="auto"/>
        <w:bottom w:val="none" w:sz="0" w:space="0" w:color="auto"/>
        <w:right w:val="none" w:sz="0" w:space="0" w:color="auto"/>
      </w:divBdr>
    </w:div>
    <w:div w:id="949552994">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47990280">
      <w:bodyDiv w:val="1"/>
      <w:marLeft w:val="0"/>
      <w:marRight w:val="0"/>
      <w:marTop w:val="0"/>
      <w:marBottom w:val="0"/>
      <w:divBdr>
        <w:top w:val="none" w:sz="0" w:space="0" w:color="auto"/>
        <w:left w:val="none" w:sz="0" w:space="0" w:color="auto"/>
        <w:bottom w:val="none" w:sz="0" w:space="0" w:color="auto"/>
        <w:right w:val="none" w:sz="0" w:space="0" w:color="auto"/>
      </w:divBdr>
    </w:div>
    <w:div w:id="1051613013">
      <w:bodyDiv w:val="1"/>
      <w:marLeft w:val="0"/>
      <w:marRight w:val="0"/>
      <w:marTop w:val="0"/>
      <w:marBottom w:val="0"/>
      <w:divBdr>
        <w:top w:val="none" w:sz="0" w:space="0" w:color="auto"/>
        <w:left w:val="none" w:sz="0" w:space="0" w:color="auto"/>
        <w:bottom w:val="none" w:sz="0" w:space="0" w:color="auto"/>
        <w:right w:val="none" w:sz="0" w:space="0" w:color="auto"/>
      </w:divBdr>
    </w:div>
    <w:div w:id="1312367795">
      <w:bodyDiv w:val="1"/>
      <w:marLeft w:val="0"/>
      <w:marRight w:val="0"/>
      <w:marTop w:val="0"/>
      <w:marBottom w:val="0"/>
      <w:divBdr>
        <w:top w:val="none" w:sz="0" w:space="0" w:color="auto"/>
        <w:left w:val="none" w:sz="0" w:space="0" w:color="auto"/>
        <w:bottom w:val="none" w:sz="0" w:space="0" w:color="auto"/>
        <w:right w:val="none" w:sz="0" w:space="0" w:color="auto"/>
      </w:divBdr>
    </w:div>
    <w:div w:id="1359544503">
      <w:bodyDiv w:val="1"/>
      <w:marLeft w:val="0"/>
      <w:marRight w:val="0"/>
      <w:marTop w:val="0"/>
      <w:marBottom w:val="0"/>
      <w:divBdr>
        <w:top w:val="none" w:sz="0" w:space="0" w:color="auto"/>
        <w:left w:val="none" w:sz="0" w:space="0" w:color="auto"/>
        <w:bottom w:val="none" w:sz="0" w:space="0" w:color="auto"/>
        <w:right w:val="none" w:sz="0" w:space="0" w:color="auto"/>
      </w:divBdr>
    </w:div>
    <w:div w:id="1434059502">
      <w:bodyDiv w:val="1"/>
      <w:marLeft w:val="0"/>
      <w:marRight w:val="0"/>
      <w:marTop w:val="0"/>
      <w:marBottom w:val="0"/>
      <w:divBdr>
        <w:top w:val="none" w:sz="0" w:space="0" w:color="auto"/>
        <w:left w:val="none" w:sz="0" w:space="0" w:color="auto"/>
        <w:bottom w:val="none" w:sz="0" w:space="0" w:color="auto"/>
        <w:right w:val="none" w:sz="0" w:space="0" w:color="auto"/>
      </w:divBdr>
    </w:div>
    <w:div w:id="1577931382">
      <w:bodyDiv w:val="1"/>
      <w:marLeft w:val="0"/>
      <w:marRight w:val="0"/>
      <w:marTop w:val="0"/>
      <w:marBottom w:val="0"/>
      <w:divBdr>
        <w:top w:val="none" w:sz="0" w:space="0" w:color="auto"/>
        <w:left w:val="none" w:sz="0" w:space="0" w:color="auto"/>
        <w:bottom w:val="none" w:sz="0" w:space="0" w:color="auto"/>
        <w:right w:val="none" w:sz="0" w:space="0" w:color="auto"/>
      </w:divBdr>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70794569">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75201895">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2019-08-21T08:04:00Z</dcterms:created>
  <dcterms:modified xsi:type="dcterms:W3CDTF">2019-08-23T01:25:00Z</dcterms:modified>
</cp:coreProperties>
</file>