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AB0EE" w14:textId="77777777" w:rsidR="00D7136A" w:rsidRDefault="00464DA0" w:rsidP="00267A9D">
      <w:pPr>
        <w:contextualSpacing/>
        <w:jc w:val="both"/>
        <w:rPr>
          <w:rFonts w:ascii="Arial" w:hAnsi="Arial" w:cs="Arial"/>
          <w:b/>
          <w:szCs w:val="20"/>
          <w:lang w:val="en-AU" w:eastAsia="en-AU"/>
        </w:rPr>
      </w:pPr>
      <w:r>
        <w:rPr>
          <w:rFonts w:ascii="Arial" w:hAnsi="Arial" w:cs="Arial"/>
          <w:b/>
          <w:sz w:val="28"/>
          <w:lang w:val="en-AU" w:eastAsia="en-AU"/>
        </w:rPr>
        <w:t xml:space="preserve">PBAC CONSIDERATION OF THE </w:t>
      </w:r>
      <w:r w:rsidR="00D7136A">
        <w:rPr>
          <w:rFonts w:ascii="Arial" w:hAnsi="Arial" w:cs="Arial"/>
          <w:b/>
          <w:sz w:val="28"/>
          <w:lang w:val="en-AU" w:eastAsia="en-AU"/>
        </w:rPr>
        <w:t>REPORT</w:t>
      </w:r>
      <w:r w:rsidR="00267A9D">
        <w:rPr>
          <w:rFonts w:ascii="Arial" w:hAnsi="Arial" w:cs="Arial"/>
          <w:b/>
          <w:sz w:val="28"/>
          <w:lang w:val="en-AU" w:eastAsia="en-AU"/>
        </w:rPr>
        <w:t xml:space="preserve"> OF THE DRUG </w:t>
      </w:r>
      <w:r w:rsidR="00D7136A" w:rsidRPr="00B94022">
        <w:rPr>
          <w:rFonts w:ascii="Arial" w:hAnsi="Arial" w:cs="Arial"/>
          <w:b/>
          <w:sz w:val="28"/>
          <w:lang w:val="en-AU" w:eastAsia="en-AU"/>
        </w:rPr>
        <w:t>UTILISATION SUB-COMMITTEE</w:t>
      </w:r>
    </w:p>
    <w:p w14:paraId="7F124E9C" w14:textId="77777777" w:rsidR="00D7136A" w:rsidRPr="006951BF" w:rsidRDefault="00D7136A" w:rsidP="00D7136A">
      <w:pPr>
        <w:jc w:val="both"/>
        <w:rPr>
          <w:rFonts w:ascii="Arial" w:hAnsi="Arial" w:cs="Arial"/>
          <w:b/>
          <w:sz w:val="28"/>
          <w:szCs w:val="20"/>
          <w:lang w:val="en-AU" w:eastAsia="en-AU"/>
        </w:rPr>
      </w:pPr>
    </w:p>
    <w:p w14:paraId="7C5EA0B1" w14:textId="39642B34" w:rsidR="00D7136A" w:rsidRPr="006951BF" w:rsidRDefault="00D7136A" w:rsidP="008866E8">
      <w:pPr>
        <w:contextualSpacing/>
        <w:jc w:val="both"/>
        <w:rPr>
          <w:rFonts w:ascii="Arial" w:hAnsi="Arial" w:cs="Arial"/>
          <w:color w:val="A6A6A6"/>
          <w:sz w:val="22"/>
          <w:lang w:val="en-AU" w:eastAsia="en-AU"/>
        </w:rPr>
      </w:pPr>
      <w:r w:rsidRPr="006951BF">
        <w:rPr>
          <w:rFonts w:ascii="Arial" w:hAnsi="Arial" w:cs="Arial"/>
          <w:sz w:val="22"/>
          <w:lang w:val="en-AU" w:eastAsia="en-AU"/>
        </w:rPr>
        <w:t xml:space="preserve">The PBAC noted utilisation reports with associated stakeholder responses from the </w:t>
      </w:r>
      <w:r w:rsidR="0073297F" w:rsidRPr="006951BF">
        <w:rPr>
          <w:rFonts w:ascii="Arial" w:hAnsi="Arial" w:cs="Arial"/>
          <w:sz w:val="22"/>
          <w:lang w:val="en-AU" w:eastAsia="en-AU"/>
        </w:rPr>
        <w:t>June</w:t>
      </w:r>
      <w:r w:rsidR="00D72D36" w:rsidRPr="006951BF">
        <w:rPr>
          <w:rFonts w:ascii="Arial" w:hAnsi="Arial" w:cs="Arial"/>
          <w:sz w:val="22"/>
          <w:lang w:val="en-AU" w:eastAsia="en-AU"/>
        </w:rPr>
        <w:t xml:space="preserve"> 2019</w:t>
      </w:r>
      <w:r w:rsidR="00A31269" w:rsidRPr="006951BF">
        <w:rPr>
          <w:rFonts w:ascii="Arial" w:hAnsi="Arial" w:cs="Arial"/>
          <w:sz w:val="22"/>
          <w:lang w:val="en-AU" w:eastAsia="en-AU"/>
        </w:rPr>
        <w:t xml:space="preserve"> Drug Utilisation Sub-Committee (DUSC) </w:t>
      </w:r>
      <w:r w:rsidRPr="006951BF">
        <w:rPr>
          <w:rFonts w:ascii="Arial" w:hAnsi="Arial" w:cs="Arial"/>
          <w:sz w:val="22"/>
          <w:lang w:val="en-AU" w:eastAsia="en-AU"/>
        </w:rPr>
        <w:t xml:space="preserve">meeting, which </w:t>
      </w:r>
      <w:proofErr w:type="gramStart"/>
      <w:r w:rsidRPr="006951BF">
        <w:rPr>
          <w:rFonts w:ascii="Arial" w:hAnsi="Arial" w:cs="Arial"/>
          <w:sz w:val="22"/>
          <w:lang w:val="en-AU" w:eastAsia="en-AU"/>
        </w:rPr>
        <w:t>were provided</w:t>
      </w:r>
      <w:proofErr w:type="gramEnd"/>
      <w:r w:rsidRPr="006951BF">
        <w:rPr>
          <w:rFonts w:ascii="Arial" w:hAnsi="Arial" w:cs="Arial"/>
          <w:sz w:val="22"/>
          <w:lang w:val="en-AU" w:eastAsia="en-AU"/>
        </w:rPr>
        <w:t xml:space="preserve"> in Item</w:t>
      </w:r>
      <w:r w:rsidR="00A31269" w:rsidRPr="006951BF">
        <w:rPr>
          <w:rFonts w:ascii="Arial" w:hAnsi="Arial" w:cs="Arial"/>
          <w:sz w:val="22"/>
          <w:lang w:val="en-AU" w:eastAsia="en-AU"/>
        </w:rPr>
        <w:t>s 10.0</w:t>
      </w:r>
      <w:r w:rsidR="002F7591" w:rsidRPr="006951BF">
        <w:rPr>
          <w:rFonts w:ascii="Arial" w:hAnsi="Arial" w:cs="Arial"/>
          <w:sz w:val="22"/>
          <w:lang w:val="en-AU" w:eastAsia="en-AU"/>
        </w:rPr>
        <w:t>3</w:t>
      </w:r>
      <w:r w:rsidR="00A31269" w:rsidRPr="006951BF">
        <w:rPr>
          <w:rFonts w:ascii="Arial" w:hAnsi="Arial" w:cs="Arial"/>
          <w:sz w:val="22"/>
          <w:lang w:val="en-AU" w:eastAsia="en-AU"/>
        </w:rPr>
        <w:t xml:space="preserve"> to 10.0</w:t>
      </w:r>
      <w:r w:rsidR="0073297F" w:rsidRPr="006951BF">
        <w:rPr>
          <w:rFonts w:ascii="Arial" w:hAnsi="Arial" w:cs="Arial"/>
          <w:sz w:val="22"/>
          <w:lang w:val="en-AU" w:eastAsia="en-AU"/>
        </w:rPr>
        <w:t>5</w:t>
      </w:r>
      <w:r w:rsidRPr="006951BF">
        <w:rPr>
          <w:rFonts w:ascii="Arial" w:hAnsi="Arial" w:cs="Arial"/>
          <w:sz w:val="22"/>
          <w:lang w:val="en-AU" w:eastAsia="en-AU"/>
        </w:rPr>
        <w:t xml:space="preserve"> of the PBAC Agenda. </w:t>
      </w:r>
      <w:r w:rsidR="00A31269" w:rsidRPr="006951BF">
        <w:rPr>
          <w:rFonts w:ascii="Arial" w:hAnsi="Arial" w:cs="Arial"/>
          <w:sz w:val="22"/>
          <w:lang w:val="en-AU" w:eastAsia="en-AU"/>
        </w:rPr>
        <w:t xml:space="preserve">DUSC minutes relating to these items </w:t>
      </w:r>
      <w:proofErr w:type="gramStart"/>
      <w:r w:rsidR="00A31269" w:rsidRPr="006951BF">
        <w:rPr>
          <w:rFonts w:ascii="Arial" w:hAnsi="Arial" w:cs="Arial"/>
          <w:sz w:val="22"/>
          <w:lang w:val="en-AU" w:eastAsia="en-AU"/>
        </w:rPr>
        <w:t>were provided</w:t>
      </w:r>
      <w:proofErr w:type="gramEnd"/>
      <w:r w:rsidR="00A31269" w:rsidRPr="006951BF">
        <w:rPr>
          <w:rFonts w:ascii="Arial" w:hAnsi="Arial" w:cs="Arial"/>
          <w:sz w:val="22"/>
          <w:lang w:val="en-AU" w:eastAsia="en-AU"/>
        </w:rPr>
        <w:t xml:space="preserve"> to the PBAC</w:t>
      </w:r>
      <w:r w:rsidR="00CB6BC5">
        <w:rPr>
          <w:rFonts w:ascii="Arial" w:hAnsi="Arial" w:cs="Arial"/>
          <w:sz w:val="22"/>
          <w:lang w:val="en-AU" w:eastAsia="en-AU"/>
        </w:rPr>
        <w:t xml:space="preserve"> as the </w:t>
      </w:r>
      <w:hyperlink r:id="rId8" w:history="1">
        <w:r w:rsidR="0073297F" w:rsidRPr="00CB6BC5">
          <w:rPr>
            <w:rStyle w:val="Hyperlink"/>
            <w:rFonts w:ascii="Arial" w:hAnsi="Arial" w:cs="Arial"/>
            <w:sz w:val="22"/>
            <w:lang w:val="en-AU" w:eastAsia="en-AU"/>
          </w:rPr>
          <w:t>June</w:t>
        </w:r>
        <w:r w:rsidR="00D72D36" w:rsidRPr="00CB6BC5">
          <w:rPr>
            <w:rStyle w:val="Hyperlink"/>
            <w:rFonts w:ascii="Arial" w:hAnsi="Arial" w:cs="Arial"/>
            <w:sz w:val="22"/>
            <w:lang w:val="en-AU" w:eastAsia="en-AU"/>
          </w:rPr>
          <w:t xml:space="preserve"> 2019</w:t>
        </w:r>
        <w:r w:rsidR="00A31269" w:rsidRPr="00CB6BC5">
          <w:rPr>
            <w:rStyle w:val="Hyperlink"/>
            <w:rFonts w:ascii="Arial" w:hAnsi="Arial" w:cs="Arial"/>
            <w:sz w:val="22"/>
            <w:lang w:val="en-AU" w:eastAsia="en-AU"/>
          </w:rPr>
          <w:t xml:space="preserve"> DUSC outcome statement</w:t>
        </w:r>
      </w:hyperlink>
      <w:r w:rsidR="00A31269" w:rsidRPr="006951BF">
        <w:rPr>
          <w:rFonts w:ascii="Arial" w:hAnsi="Arial" w:cs="Arial"/>
          <w:sz w:val="22"/>
          <w:lang w:val="en-AU" w:eastAsia="en-AU"/>
        </w:rPr>
        <w:t>.</w:t>
      </w:r>
      <w:bookmarkStart w:id="0" w:name="_GoBack"/>
      <w:bookmarkEnd w:id="0"/>
    </w:p>
    <w:p w14:paraId="2BEF9007" w14:textId="25603A75" w:rsidR="005616CC" w:rsidRPr="006951BF" w:rsidRDefault="005616CC" w:rsidP="008866E8">
      <w:pPr>
        <w:contextualSpacing/>
        <w:jc w:val="both"/>
        <w:rPr>
          <w:rFonts w:ascii="Arial" w:hAnsi="Arial" w:cs="Arial"/>
          <w:b/>
          <w:sz w:val="22"/>
          <w:lang w:val="en-AU" w:eastAsia="en-AU"/>
        </w:rPr>
      </w:pPr>
    </w:p>
    <w:p w14:paraId="38EDF30F" w14:textId="19041BC3" w:rsidR="007C758A" w:rsidRPr="006951BF" w:rsidRDefault="0073297F" w:rsidP="008866E8">
      <w:pPr>
        <w:contextualSpacing/>
        <w:jc w:val="both"/>
        <w:rPr>
          <w:rFonts w:ascii="Arial" w:hAnsi="Arial" w:cs="Arial"/>
          <w:b/>
          <w:sz w:val="22"/>
          <w:lang w:val="en-AU" w:eastAsia="en-AU"/>
        </w:rPr>
      </w:pPr>
      <w:proofErr w:type="spellStart"/>
      <w:r w:rsidRPr="006951BF">
        <w:rPr>
          <w:rFonts w:ascii="Arial" w:hAnsi="Arial" w:cs="Arial"/>
          <w:b/>
          <w:sz w:val="22"/>
          <w:lang w:val="en-AU" w:eastAsia="en-AU"/>
        </w:rPr>
        <w:t>Armodafinil</w:t>
      </w:r>
      <w:proofErr w:type="spellEnd"/>
      <w:r w:rsidRPr="006951BF">
        <w:rPr>
          <w:rFonts w:ascii="Arial" w:hAnsi="Arial" w:cs="Arial"/>
          <w:b/>
          <w:sz w:val="22"/>
          <w:lang w:val="en-AU" w:eastAsia="en-AU"/>
        </w:rPr>
        <w:t xml:space="preserve"> for the treatment of narcolepsy</w:t>
      </w:r>
    </w:p>
    <w:p w14:paraId="1B925BB8" w14:textId="77777777" w:rsidR="00B13AD3" w:rsidRPr="006951BF" w:rsidRDefault="00B13AD3" w:rsidP="008866E8">
      <w:pPr>
        <w:contextualSpacing/>
        <w:jc w:val="both"/>
        <w:rPr>
          <w:rFonts w:ascii="Arial" w:hAnsi="Arial" w:cs="Arial"/>
          <w:sz w:val="22"/>
          <w:lang w:val="en-AU" w:eastAsia="en-AU"/>
        </w:rPr>
      </w:pPr>
    </w:p>
    <w:p w14:paraId="58D57071" w14:textId="5B370FA6" w:rsidR="00B1693A" w:rsidRPr="006951BF" w:rsidRDefault="00B13AD3" w:rsidP="008866E8">
      <w:pPr>
        <w:contextualSpacing/>
        <w:jc w:val="both"/>
        <w:rPr>
          <w:rFonts w:ascii="Arial" w:hAnsi="Arial" w:cs="Arial"/>
          <w:bCs/>
          <w:sz w:val="22"/>
          <w:lang w:val="en-AU" w:eastAsia="en-AU"/>
        </w:rPr>
      </w:pPr>
      <w:r w:rsidRPr="006951BF">
        <w:rPr>
          <w:rFonts w:ascii="Arial" w:hAnsi="Arial" w:cs="Arial"/>
          <w:sz w:val="22"/>
          <w:lang w:val="en-AU" w:eastAsia="en-AU"/>
        </w:rPr>
        <w:t xml:space="preserve">This report considered the </w:t>
      </w:r>
      <w:r w:rsidR="0073297F" w:rsidRPr="006951BF">
        <w:rPr>
          <w:rFonts w:ascii="Arial" w:hAnsi="Arial" w:cs="Arial"/>
          <w:sz w:val="22"/>
          <w:lang w:val="en-AU" w:eastAsia="en-AU"/>
        </w:rPr>
        <w:t xml:space="preserve">predicted and actual utilisation of </w:t>
      </w:r>
      <w:proofErr w:type="spellStart"/>
      <w:r w:rsidR="0073297F" w:rsidRPr="006951BF">
        <w:rPr>
          <w:rFonts w:ascii="Arial" w:hAnsi="Arial" w:cs="Arial"/>
          <w:sz w:val="22"/>
          <w:lang w:val="en-AU" w:eastAsia="en-AU"/>
        </w:rPr>
        <w:t>armodafinil</w:t>
      </w:r>
      <w:proofErr w:type="spellEnd"/>
      <w:r w:rsidR="0073297F" w:rsidRPr="006951BF">
        <w:rPr>
          <w:rFonts w:ascii="Arial" w:hAnsi="Arial" w:cs="Arial"/>
          <w:sz w:val="22"/>
          <w:lang w:val="en-AU" w:eastAsia="en-AU"/>
        </w:rPr>
        <w:t xml:space="preserve"> for narcolepsy since it was PBS listed for this indication.</w:t>
      </w:r>
    </w:p>
    <w:p w14:paraId="0F478DA6" w14:textId="77777777" w:rsidR="00A31269" w:rsidRPr="006951BF" w:rsidRDefault="00A31269" w:rsidP="008866E8">
      <w:pPr>
        <w:contextualSpacing/>
        <w:jc w:val="both"/>
        <w:rPr>
          <w:rFonts w:ascii="Arial" w:hAnsi="Arial" w:cs="Arial"/>
          <w:color w:val="A6A6A6"/>
          <w:sz w:val="22"/>
          <w:lang w:val="en-AU" w:eastAsia="en-AU"/>
        </w:rPr>
      </w:pPr>
    </w:p>
    <w:p w14:paraId="4711D0AD" w14:textId="77777777" w:rsidR="00A31269" w:rsidRPr="006951BF" w:rsidRDefault="00A31269" w:rsidP="008866E8">
      <w:pPr>
        <w:contextualSpacing/>
        <w:jc w:val="both"/>
        <w:rPr>
          <w:rFonts w:ascii="Arial" w:hAnsi="Arial" w:cs="Arial"/>
          <w:i/>
          <w:sz w:val="22"/>
          <w:lang w:val="en-AU" w:eastAsia="en-AU"/>
        </w:rPr>
      </w:pPr>
      <w:r w:rsidRPr="006951BF">
        <w:rPr>
          <w:rFonts w:ascii="Arial" w:hAnsi="Arial" w:cs="Arial"/>
          <w:i/>
          <w:sz w:val="22"/>
          <w:lang w:val="en-AU" w:eastAsia="en-AU"/>
        </w:rPr>
        <w:t>Outcome</w:t>
      </w:r>
    </w:p>
    <w:p w14:paraId="3E64F3C6" w14:textId="64D08793" w:rsidR="005616CC" w:rsidRPr="006951BF" w:rsidRDefault="005616CC" w:rsidP="008866E8">
      <w:pPr>
        <w:contextualSpacing/>
        <w:jc w:val="both"/>
        <w:rPr>
          <w:rFonts w:ascii="Arial" w:hAnsi="Arial" w:cs="Arial"/>
          <w:sz w:val="22"/>
          <w:lang w:val="en-AU" w:eastAsia="en-AU"/>
        </w:rPr>
      </w:pPr>
    </w:p>
    <w:p w14:paraId="2ABD2C3A" w14:textId="4298884A" w:rsidR="0073297F" w:rsidRPr="006951BF" w:rsidRDefault="0073297F" w:rsidP="008866E8">
      <w:pPr>
        <w:contextualSpacing/>
        <w:jc w:val="both"/>
        <w:rPr>
          <w:rFonts w:ascii="Arial" w:hAnsi="Arial" w:cs="Arial"/>
          <w:sz w:val="22"/>
          <w:szCs w:val="22"/>
        </w:rPr>
      </w:pPr>
      <w:r w:rsidRPr="006951BF">
        <w:rPr>
          <w:rFonts w:ascii="Arial" w:hAnsi="Arial" w:cs="Arial"/>
          <w:sz w:val="22"/>
          <w:szCs w:val="22"/>
        </w:rPr>
        <w:t>The PBAC noted the number of patients on PBS-</w:t>
      </w:r>
      <w:proofErr w:type="spellStart"/>
      <w:r w:rsidRPr="006951BF">
        <w:rPr>
          <w:rFonts w:ascii="Arial" w:hAnsi="Arial" w:cs="Arial"/>
          <w:sz w:val="22"/>
          <w:szCs w:val="22"/>
        </w:rPr>
        <w:t>subsidised</w:t>
      </w:r>
      <w:proofErr w:type="spellEnd"/>
      <w:r w:rsidRPr="006951BF">
        <w:rPr>
          <w:rFonts w:ascii="Arial" w:hAnsi="Arial" w:cs="Arial"/>
          <w:sz w:val="22"/>
          <w:szCs w:val="22"/>
        </w:rPr>
        <w:t xml:space="preserve"> therapy for narcolepsy ha</w:t>
      </w:r>
      <w:r w:rsidR="00B20C0D">
        <w:rPr>
          <w:rFonts w:ascii="Arial" w:hAnsi="Arial" w:cs="Arial"/>
          <w:sz w:val="22"/>
          <w:szCs w:val="22"/>
        </w:rPr>
        <w:t>d</w:t>
      </w:r>
      <w:r w:rsidRPr="006951BF">
        <w:rPr>
          <w:rFonts w:ascii="Arial" w:hAnsi="Arial" w:cs="Arial"/>
          <w:sz w:val="22"/>
          <w:szCs w:val="22"/>
        </w:rPr>
        <w:t xml:space="preserve"> increased over the last four years. The listing of </w:t>
      </w:r>
      <w:proofErr w:type="spellStart"/>
      <w:r w:rsidRPr="006951BF">
        <w:rPr>
          <w:rFonts w:ascii="Arial" w:hAnsi="Arial" w:cs="Arial"/>
          <w:sz w:val="22"/>
          <w:szCs w:val="22"/>
        </w:rPr>
        <w:t>armodafinil</w:t>
      </w:r>
      <w:proofErr w:type="spellEnd"/>
      <w:r w:rsidRPr="006951BF">
        <w:rPr>
          <w:rFonts w:ascii="Arial" w:hAnsi="Arial" w:cs="Arial"/>
          <w:sz w:val="22"/>
          <w:szCs w:val="22"/>
        </w:rPr>
        <w:t xml:space="preserve"> ha</w:t>
      </w:r>
      <w:r w:rsidR="00B20C0D">
        <w:rPr>
          <w:rFonts w:ascii="Arial" w:hAnsi="Arial" w:cs="Arial"/>
          <w:sz w:val="22"/>
          <w:szCs w:val="22"/>
        </w:rPr>
        <w:t>d</w:t>
      </w:r>
      <w:r w:rsidRPr="006951BF">
        <w:rPr>
          <w:rFonts w:ascii="Arial" w:hAnsi="Arial" w:cs="Arial"/>
          <w:sz w:val="22"/>
          <w:szCs w:val="22"/>
        </w:rPr>
        <w:t xml:space="preserve"> increased the total narcolepsy market.</w:t>
      </w:r>
    </w:p>
    <w:p w14:paraId="34D68E29" w14:textId="77777777" w:rsidR="0073297F" w:rsidRPr="006951BF" w:rsidRDefault="0073297F" w:rsidP="008866E8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656844A" w14:textId="430B8B81" w:rsidR="0073297F" w:rsidRPr="006951BF" w:rsidRDefault="0073297F" w:rsidP="008866E8">
      <w:pPr>
        <w:contextualSpacing/>
        <w:jc w:val="both"/>
        <w:rPr>
          <w:rFonts w:ascii="Arial" w:hAnsi="Arial" w:cs="Arial"/>
          <w:sz w:val="22"/>
          <w:szCs w:val="22"/>
        </w:rPr>
      </w:pPr>
      <w:r w:rsidRPr="006951BF">
        <w:rPr>
          <w:rFonts w:ascii="Arial" w:hAnsi="Arial" w:cs="Arial"/>
          <w:sz w:val="22"/>
          <w:szCs w:val="22"/>
        </w:rPr>
        <w:t xml:space="preserve">The PBAC recalled when recommending the listing of </w:t>
      </w:r>
      <w:proofErr w:type="spellStart"/>
      <w:r w:rsidRPr="006951BF">
        <w:rPr>
          <w:rFonts w:ascii="Arial" w:hAnsi="Arial" w:cs="Arial"/>
          <w:sz w:val="22"/>
          <w:szCs w:val="22"/>
        </w:rPr>
        <w:t>armodafinil</w:t>
      </w:r>
      <w:proofErr w:type="spellEnd"/>
      <w:r w:rsidRPr="006951BF">
        <w:rPr>
          <w:rFonts w:ascii="Arial" w:hAnsi="Arial" w:cs="Arial"/>
          <w:sz w:val="22"/>
          <w:szCs w:val="22"/>
        </w:rPr>
        <w:t xml:space="preserve">, the committee considered </w:t>
      </w:r>
      <w:proofErr w:type="spellStart"/>
      <w:r w:rsidRPr="006951BF">
        <w:rPr>
          <w:rFonts w:ascii="Arial" w:hAnsi="Arial" w:cs="Arial"/>
          <w:sz w:val="22"/>
          <w:szCs w:val="22"/>
        </w:rPr>
        <w:t>armodafinil</w:t>
      </w:r>
      <w:proofErr w:type="spellEnd"/>
      <w:r w:rsidRPr="006951B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951BF">
        <w:rPr>
          <w:rFonts w:ascii="Arial" w:hAnsi="Arial" w:cs="Arial"/>
          <w:sz w:val="22"/>
          <w:szCs w:val="22"/>
        </w:rPr>
        <w:t>may</w:t>
      </w:r>
      <w:proofErr w:type="gramEnd"/>
      <w:r w:rsidRPr="006951BF">
        <w:rPr>
          <w:rFonts w:ascii="Arial" w:hAnsi="Arial" w:cs="Arial"/>
          <w:sz w:val="22"/>
          <w:szCs w:val="22"/>
        </w:rPr>
        <w:t xml:space="preserve"> cease to be cost-effective over time due to a decrease in the price of </w:t>
      </w:r>
      <w:proofErr w:type="spellStart"/>
      <w:r w:rsidRPr="006951BF">
        <w:rPr>
          <w:rFonts w:ascii="Arial" w:hAnsi="Arial" w:cs="Arial"/>
          <w:sz w:val="22"/>
          <w:szCs w:val="22"/>
        </w:rPr>
        <w:t>modafinil</w:t>
      </w:r>
      <w:proofErr w:type="spellEnd"/>
      <w:r w:rsidRPr="006951BF">
        <w:rPr>
          <w:rFonts w:ascii="Arial" w:hAnsi="Arial" w:cs="Arial"/>
          <w:sz w:val="22"/>
          <w:szCs w:val="22"/>
        </w:rPr>
        <w:t xml:space="preserve"> as a result of patent expiry and the introduction of generic versions of </w:t>
      </w:r>
      <w:proofErr w:type="spellStart"/>
      <w:r w:rsidRPr="006951BF">
        <w:rPr>
          <w:rFonts w:ascii="Arial" w:hAnsi="Arial" w:cs="Arial"/>
          <w:sz w:val="22"/>
          <w:szCs w:val="22"/>
        </w:rPr>
        <w:t>modafinil</w:t>
      </w:r>
      <w:proofErr w:type="spellEnd"/>
      <w:r w:rsidRPr="006951BF">
        <w:rPr>
          <w:rFonts w:ascii="Arial" w:hAnsi="Arial" w:cs="Arial"/>
          <w:sz w:val="22"/>
          <w:szCs w:val="22"/>
        </w:rPr>
        <w:t xml:space="preserve">. The PBAC noted multiple generic brands of </w:t>
      </w:r>
      <w:proofErr w:type="spellStart"/>
      <w:r w:rsidRPr="006951BF">
        <w:rPr>
          <w:rFonts w:ascii="Arial" w:hAnsi="Arial" w:cs="Arial"/>
          <w:sz w:val="22"/>
          <w:szCs w:val="22"/>
        </w:rPr>
        <w:t>modafinil</w:t>
      </w:r>
      <w:proofErr w:type="spellEnd"/>
      <w:r w:rsidRPr="006951BF">
        <w:rPr>
          <w:rFonts w:ascii="Arial" w:hAnsi="Arial" w:cs="Arial"/>
          <w:sz w:val="22"/>
          <w:szCs w:val="22"/>
        </w:rPr>
        <w:t xml:space="preserve"> are now available on the market. </w:t>
      </w:r>
    </w:p>
    <w:p w14:paraId="2CF3BEDD" w14:textId="77777777" w:rsidR="0073297F" w:rsidRPr="006951BF" w:rsidRDefault="0073297F" w:rsidP="008866E8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01DCED8" w14:textId="4796BC9E" w:rsidR="0073297F" w:rsidRPr="006951BF" w:rsidRDefault="0073297F" w:rsidP="008866E8">
      <w:pPr>
        <w:contextualSpacing/>
        <w:jc w:val="both"/>
        <w:rPr>
          <w:rFonts w:ascii="Arial" w:hAnsi="Arial" w:cs="Arial"/>
          <w:sz w:val="22"/>
          <w:szCs w:val="22"/>
        </w:rPr>
      </w:pPr>
      <w:r w:rsidRPr="006951BF">
        <w:rPr>
          <w:rFonts w:ascii="Arial" w:hAnsi="Arial" w:cs="Arial"/>
          <w:sz w:val="22"/>
          <w:szCs w:val="22"/>
        </w:rPr>
        <w:t xml:space="preserve">The PBAC noted </w:t>
      </w:r>
      <w:proofErr w:type="spellStart"/>
      <w:r w:rsidRPr="006951BF">
        <w:rPr>
          <w:rFonts w:ascii="Arial" w:hAnsi="Arial" w:cs="Arial"/>
          <w:sz w:val="22"/>
          <w:szCs w:val="22"/>
        </w:rPr>
        <w:t>modafinil</w:t>
      </w:r>
      <w:proofErr w:type="spellEnd"/>
      <w:r w:rsidRPr="006951BF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6951BF">
        <w:rPr>
          <w:rFonts w:ascii="Arial" w:hAnsi="Arial" w:cs="Arial"/>
          <w:sz w:val="22"/>
          <w:szCs w:val="22"/>
        </w:rPr>
        <w:t>armodafinil</w:t>
      </w:r>
      <w:proofErr w:type="spellEnd"/>
      <w:r w:rsidRPr="006951B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951BF">
        <w:rPr>
          <w:rFonts w:ascii="Arial" w:hAnsi="Arial" w:cs="Arial"/>
          <w:sz w:val="22"/>
          <w:szCs w:val="22"/>
        </w:rPr>
        <w:t>are listed</w:t>
      </w:r>
      <w:proofErr w:type="gramEnd"/>
      <w:r w:rsidRPr="006951BF">
        <w:rPr>
          <w:rFonts w:ascii="Arial" w:hAnsi="Arial" w:cs="Arial"/>
          <w:sz w:val="22"/>
          <w:szCs w:val="22"/>
        </w:rPr>
        <w:t xml:space="preserve"> on the PBS as second line therapy when treatment with </w:t>
      </w:r>
      <w:proofErr w:type="spellStart"/>
      <w:r w:rsidRPr="006951BF">
        <w:rPr>
          <w:rFonts w:ascii="Arial" w:hAnsi="Arial" w:cs="Arial"/>
          <w:sz w:val="22"/>
          <w:szCs w:val="22"/>
        </w:rPr>
        <w:t>dexamfetamine</w:t>
      </w:r>
      <w:proofErr w:type="spellEnd"/>
      <w:r w:rsidRPr="006951BF">
        <w:rPr>
          <w:rFonts w:ascii="Arial" w:hAnsi="Arial" w:cs="Arial"/>
          <w:sz w:val="22"/>
          <w:szCs w:val="22"/>
        </w:rPr>
        <w:t xml:space="preserve"> sulfate poses an unacceptable medical risk or intolerance to </w:t>
      </w:r>
      <w:proofErr w:type="spellStart"/>
      <w:r w:rsidRPr="006951BF">
        <w:rPr>
          <w:rFonts w:ascii="Arial" w:hAnsi="Arial" w:cs="Arial"/>
          <w:sz w:val="22"/>
          <w:szCs w:val="22"/>
        </w:rPr>
        <w:t>dexamfetamine</w:t>
      </w:r>
      <w:proofErr w:type="spellEnd"/>
      <w:r w:rsidRPr="006951BF">
        <w:rPr>
          <w:rFonts w:ascii="Arial" w:hAnsi="Arial" w:cs="Arial"/>
          <w:sz w:val="22"/>
          <w:szCs w:val="22"/>
        </w:rPr>
        <w:t xml:space="preserve"> sulfate is of a severity to necessitate treatment withdrawal.</w:t>
      </w:r>
    </w:p>
    <w:p w14:paraId="7CCEE13F" w14:textId="77777777" w:rsidR="008866E8" w:rsidRPr="006951BF" w:rsidRDefault="008866E8" w:rsidP="008866E8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9A93D88" w14:textId="51DBEB97" w:rsidR="006D0A58" w:rsidRPr="006951BF" w:rsidRDefault="006D0A58" w:rsidP="008866E8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CE9EF92" w14:textId="1CC39A35" w:rsidR="006D0A58" w:rsidRPr="006951BF" w:rsidRDefault="006D0A58" w:rsidP="008866E8">
      <w:pPr>
        <w:contextualSpacing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6951BF">
        <w:rPr>
          <w:rFonts w:ascii="Arial" w:hAnsi="Arial" w:cs="Arial"/>
          <w:b/>
          <w:sz w:val="22"/>
          <w:szCs w:val="22"/>
        </w:rPr>
        <w:t>GnRH</w:t>
      </w:r>
      <w:proofErr w:type="spellEnd"/>
      <w:r w:rsidRPr="006951BF">
        <w:rPr>
          <w:rFonts w:ascii="Arial" w:hAnsi="Arial" w:cs="Arial"/>
          <w:b/>
          <w:sz w:val="22"/>
          <w:szCs w:val="22"/>
        </w:rPr>
        <w:t xml:space="preserve"> agonists for the treatment of carcinoma of the prostate, central precocious puberty, breast cancer, endometriosis, and anticipated premature ovarian failure</w:t>
      </w:r>
    </w:p>
    <w:p w14:paraId="16FF92FC" w14:textId="43DB7997" w:rsidR="006D0A58" w:rsidRPr="006951BF" w:rsidRDefault="006D0A58" w:rsidP="008866E8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55D47623" w14:textId="224FB3FC" w:rsidR="006D0A58" w:rsidRPr="006951BF" w:rsidRDefault="006D0A58" w:rsidP="008866E8">
      <w:pPr>
        <w:contextualSpacing/>
        <w:jc w:val="both"/>
        <w:rPr>
          <w:rFonts w:ascii="Arial" w:hAnsi="Arial" w:cs="Arial"/>
          <w:sz w:val="22"/>
          <w:szCs w:val="22"/>
        </w:rPr>
      </w:pPr>
      <w:r w:rsidRPr="006951BF">
        <w:rPr>
          <w:rFonts w:ascii="Arial" w:hAnsi="Arial" w:cs="Arial"/>
          <w:sz w:val="22"/>
          <w:szCs w:val="22"/>
        </w:rPr>
        <w:t xml:space="preserve">This report considered the </w:t>
      </w:r>
      <w:proofErr w:type="spellStart"/>
      <w:r w:rsidRPr="006951BF">
        <w:rPr>
          <w:rFonts w:ascii="Arial" w:hAnsi="Arial" w:cs="Arial"/>
          <w:sz w:val="22"/>
          <w:szCs w:val="22"/>
        </w:rPr>
        <w:t>utilisation</w:t>
      </w:r>
      <w:proofErr w:type="spellEnd"/>
      <w:r w:rsidRPr="006951BF">
        <w:rPr>
          <w:rFonts w:ascii="Arial" w:hAnsi="Arial" w:cs="Arial"/>
          <w:sz w:val="22"/>
          <w:szCs w:val="22"/>
        </w:rPr>
        <w:t xml:space="preserve"> of gonadotrophin-releasing hormone (</w:t>
      </w:r>
      <w:proofErr w:type="spellStart"/>
      <w:r w:rsidRPr="006951BF">
        <w:rPr>
          <w:rFonts w:ascii="Arial" w:hAnsi="Arial" w:cs="Arial"/>
          <w:sz w:val="22"/>
          <w:szCs w:val="22"/>
        </w:rPr>
        <w:t>GnRH</w:t>
      </w:r>
      <w:proofErr w:type="spellEnd"/>
      <w:r w:rsidRPr="006951BF">
        <w:rPr>
          <w:rFonts w:ascii="Arial" w:hAnsi="Arial" w:cs="Arial"/>
          <w:sz w:val="22"/>
          <w:szCs w:val="22"/>
        </w:rPr>
        <w:t>) agonists for the treatment of carcinoma of the prostate, central precocious puberty, breast cancer, endometriosis, and anticipated premature ovarian failure.</w:t>
      </w:r>
    </w:p>
    <w:p w14:paraId="66B88271" w14:textId="7B93385C" w:rsidR="006D0A58" w:rsidRPr="006951BF" w:rsidRDefault="006D0A58" w:rsidP="0073297F">
      <w:pPr>
        <w:contextualSpacing/>
        <w:rPr>
          <w:rFonts w:ascii="Arial" w:hAnsi="Arial" w:cs="Arial"/>
          <w:sz w:val="22"/>
          <w:szCs w:val="22"/>
        </w:rPr>
      </w:pPr>
    </w:p>
    <w:p w14:paraId="59E60C45" w14:textId="0A53CEE5" w:rsidR="006D0A58" w:rsidRPr="00046F5C" w:rsidRDefault="006D0A58" w:rsidP="0073297F">
      <w:pPr>
        <w:contextualSpacing/>
        <w:rPr>
          <w:rFonts w:ascii="Arial" w:hAnsi="Arial" w:cs="Arial"/>
          <w:i/>
          <w:sz w:val="22"/>
          <w:szCs w:val="22"/>
        </w:rPr>
      </w:pPr>
      <w:r w:rsidRPr="00046F5C">
        <w:rPr>
          <w:rFonts w:ascii="Arial" w:hAnsi="Arial" w:cs="Arial"/>
          <w:i/>
          <w:sz w:val="22"/>
          <w:szCs w:val="22"/>
        </w:rPr>
        <w:t>Outcome</w:t>
      </w:r>
    </w:p>
    <w:p w14:paraId="4C34D5CC" w14:textId="6422FC65" w:rsidR="006D0A58" w:rsidRPr="006951BF" w:rsidRDefault="006D0A58" w:rsidP="0073297F">
      <w:pPr>
        <w:contextualSpacing/>
        <w:rPr>
          <w:rFonts w:ascii="Arial" w:hAnsi="Arial" w:cs="Arial"/>
          <w:sz w:val="22"/>
          <w:szCs w:val="22"/>
        </w:rPr>
      </w:pPr>
    </w:p>
    <w:p w14:paraId="22C60EC8" w14:textId="05F662DF" w:rsidR="006D0A58" w:rsidRPr="006951BF" w:rsidRDefault="006D0A58" w:rsidP="008866E8">
      <w:pPr>
        <w:contextualSpacing/>
        <w:jc w:val="both"/>
        <w:rPr>
          <w:rFonts w:ascii="Arial" w:hAnsi="Arial" w:cs="Arial"/>
          <w:sz w:val="22"/>
          <w:szCs w:val="22"/>
        </w:rPr>
      </w:pPr>
      <w:r w:rsidRPr="006951BF">
        <w:rPr>
          <w:rFonts w:ascii="Arial" w:hAnsi="Arial" w:cs="Arial"/>
          <w:sz w:val="22"/>
          <w:szCs w:val="22"/>
        </w:rPr>
        <w:t xml:space="preserve">The PBAC noted the total number of prescriptions dispensed for </w:t>
      </w:r>
      <w:proofErr w:type="spellStart"/>
      <w:r w:rsidRPr="006951BF">
        <w:rPr>
          <w:rFonts w:ascii="Arial" w:hAnsi="Arial" w:cs="Arial"/>
          <w:sz w:val="22"/>
          <w:szCs w:val="22"/>
        </w:rPr>
        <w:t>GnRH</w:t>
      </w:r>
      <w:proofErr w:type="spellEnd"/>
      <w:r w:rsidRPr="006951BF">
        <w:rPr>
          <w:rFonts w:ascii="Arial" w:hAnsi="Arial" w:cs="Arial"/>
          <w:sz w:val="22"/>
          <w:szCs w:val="22"/>
        </w:rPr>
        <w:t xml:space="preserve"> agonists </w:t>
      </w:r>
      <w:r w:rsidR="00B20C0D">
        <w:rPr>
          <w:rFonts w:ascii="Arial" w:hAnsi="Arial" w:cs="Arial"/>
          <w:sz w:val="22"/>
          <w:szCs w:val="22"/>
        </w:rPr>
        <w:t>wa</w:t>
      </w:r>
      <w:r w:rsidRPr="006951BF">
        <w:rPr>
          <w:rFonts w:ascii="Arial" w:hAnsi="Arial" w:cs="Arial"/>
          <w:sz w:val="22"/>
          <w:szCs w:val="22"/>
        </w:rPr>
        <w:t xml:space="preserve">s growing and </w:t>
      </w:r>
      <w:proofErr w:type="spellStart"/>
      <w:r w:rsidRPr="006951BF">
        <w:rPr>
          <w:rFonts w:ascii="Arial" w:hAnsi="Arial" w:cs="Arial"/>
          <w:sz w:val="22"/>
          <w:szCs w:val="22"/>
        </w:rPr>
        <w:t>goserelin</w:t>
      </w:r>
      <w:proofErr w:type="spellEnd"/>
      <w:r w:rsidRPr="006951BF">
        <w:rPr>
          <w:rFonts w:ascii="Arial" w:hAnsi="Arial" w:cs="Arial"/>
          <w:sz w:val="22"/>
          <w:szCs w:val="22"/>
        </w:rPr>
        <w:t xml:space="preserve"> is dominating the </w:t>
      </w:r>
      <w:proofErr w:type="spellStart"/>
      <w:r w:rsidRPr="006951BF">
        <w:rPr>
          <w:rFonts w:ascii="Arial" w:hAnsi="Arial" w:cs="Arial"/>
          <w:sz w:val="22"/>
          <w:szCs w:val="22"/>
        </w:rPr>
        <w:t>GnRH</w:t>
      </w:r>
      <w:proofErr w:type="spellEnd"/>
      <w:r w:rsidRPr="006951BF">
        <w:rPr>
          <w:rFonts w:ascii="Arial" w:hAnsi="Arial" w:cs="Arial"/>
          <w:sz w:val="22"/>
          <w:szCs w:val="22"/>
        </w:rPr>
        <w:t xml:space="preserve"> market.</w:t>
      </w:r>
    </w:p>
    <w:p w14:paraId="2331C2F5" w14:textId="77777777" w:rsidR="006D0A58" w:rsidRPr="006951BF" w:rsidRDefault="006D0A58" w:rsidP="008866E8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711029A" w14:textId="77777777" w:rsidR="006D0A58" w:rsidRPr="006951BF" w:rsidRDefault="006D0A58" w:rsidP="008866E8">
      <w:pPr>
        <w:contextualSpacing/>
        <w:jc w:val="both"/>
        <w:rPr>
          <w:rFonts w:ascii="Arial" w:hAnsi="Arial" w:cs="Arial"/>
          <w:sz w:val="22"/>
          <w:szCs w:val="22"/>
        </w:rPr>
      </w:pPr>
      <w:r w:rsidRPr="006951BF">
        <w:rPr>
          <w:rFonts w:ascii="Arial" w:hAnsi="Arial" w:cs="Arial"/>
          <w:sz w:val="22"/>
          <w:szCs w:val="22"/>
        </w:rPr>
        <w:t xml:space="preserve">The PBAC noted that the review incorrectly stated that </w:t>
      </w:r>
      <w:proofErr w:type="spellStart"/>
      <w:r w:rsidRPr="006951BF">
        <w:rPr>
          <w:rFonts w:ascii="Arial" w:hAnsi="Arial" w:cs="Arial"/>
          <w:sz w:val="22"/>
          <w:szCs w:val="22"/>
        </w:rPr>
        <w:t>goserelin</w:t>
      </w:r>
      <w:proofErr w:type="spellEnd"/>
      <w:r w:rsidRPr="006951BF">
        <w:rPr>
          <w:rFonts w:ascii="Arial" w:hAnsi="Arial" w:cs="Arial"/>
          <w:sz w:val="22"/>
          <w:szCs w:val="22"/>
        </w:rPr>
        <w:t xml:space="preserve"> had a TGA registered indication for premature ovarian failure (POF). The PBAC requested </w:t>
      </w:r>
      <w:proofErr w:type="gramStart"/>
      <w:r w:rsidRPr="006951BF">
        <w:rPr>
          <w:rFonts w:ascii="Arial" w:hAnsi="Arial" w:cs="Arial"/>
          <w:sz w:val="22"/>
          <w:szCs w:val="22"/>
        </w:rPr>
        <w:t>for this</w:t>
      </w:r>
      <w:proofErr w:type="gramEnd"/>
      <w:r w:rsidRPr="006951BF">
        <w:rPr>
          <w:rFonts w:ascii="Arial" w:hAnsi="Arial" w:cs="Arial"/>
          <w:sz w:val="22"/>
          <w:szCs w:val="22"/>
        </w:rPr>
        <w:t xml:space="preserve"> to be amended in the public release version of the review report. The PBAC recalled its July 2017 recommendation to extend the listing of </w:t>
      </w:r>
      <w:proofErr w:type="spellStart"/>
      <w:r w:rsidRPr="006951BF">
        <w:rPr>
          <w:rFonts w:ascii="Arial" w:hAnsi="Arial" w:cs="Arial"/>
          <w:sz w:val="22"/>
          <w:szCs w:val="22"/>
        </w:rPr>
        <w:t>goserelin</w:t>
      </w:r>
      <w:proofErr w:type="spellEnd"/>
      <w:r w:rsidRPr="006951BF">
        <w:rPr>
          <w:rFonts w:ascii="Arial" w:hAnsi="Arial" w:cs="Arial"/>
          <w:sz w:val="22"/>
          <w:szCs w:val="22"/>
        </w:rPr>
        <w:t xml:space="preserve"> 3.6 mg for the prevention of </w:t>
      </w:r>
      <w:r w:rsidRPr="006951BF">
        <w:rPr>
          <w:rFonts w:ascii="Arial" w:hAnsi="Arial" w:cs="Arial"/>
          <w:sz w:val="22"/>
          <w:szCs w:val="22"/>
        </w:rPr>
        <w:lastRenderedPageBreak/>
        <w:t xml:space="preserve">POF. The PBAC noted that the recommendation </w:t>
      </w:r>
      <w:proofErr w:type="gramStart"/>
      <w:r w:rsidRPr="006951BF">
        <w:rPr>
          <w:rFonts w:ascii="Arial" w:hAnsi="Arial" w:cs="Arial"/>
          <w:sz w:val="22"/>
          <w:szCs w:val="22"/>
        </w:rPr>
        <w:t>was made</w:t>
      </w:r>
      <w:proofErr w:type="gramEnd"/>
      <w:r w:rsidRPr="006951BF">
        <w:rPr>
          <w:rFonts w:ascii="Arial" w:hAnsi="Arial" w:cs="Arial"/>
          <w:sz w:val="22"/>
          <w:szCs w:val="22"/>
        </w:rPr>
        <w:t xml:space="preserve"> in the absence of a TGA registered indication as a pragmatic approach to ensure equity of access for an area of clinical need. </w:t>
      </w:r>
    </w:p>
    <w:p w14:paraId="729DA05D" w14:textId="77777777" w:rsidR="006D0A58" w:rsidRPr="006951BF" w:rsidRDefault="006D0A58" w:rsidP="008866E8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41E087F" w14:textId="22AA08AB" w:rsidR="006D0A58" w:rsidRPr="006951BF" w:rsidRDefault="006D0A58" w:rsidP="008866E8">
      <w:pPr>
        <w:contextualSpacing/>
        <w:jc w:val="both"/>
        <w:rPr>
          <w:rFonts w:ascii="Arial" w:hAnsi="Arial" w:cs="Arial"/>
          <w:sz w:val="22"/>
          <w:szCs w:val="22"/>
        </w:rPr>
      </w:pPr>
      <w:r w:rsidRPr="006951BF">
        <w:rPr>
          <w:rFonts w:ascii="Arial" w:hAnsi="Arial" w:cs="Arial"/>
          <w:sz w:val="22"/>
          <w:szCs w:val="22"/>
        </w:rPr>
        <w:t xml:space="preserve">The PBAC noted the number of new patients treated with </w:t>
      </w:r>
      <w:proofErr w:type="spellStart"/>
      <w:r w:rsidRPr="006951BF">
        <w:rPr>
          <w:rFonts w:ascii="Arial" w:hAnsi="Arial" w:cs="Arial"/>
          <w:sz w:val="22"/>
          <w:szCs w:val="22"/>
        </w:rPr>
        <w:t>GnRH</w:t>
      </w:r>
      <w:proofErr w:type="spellEnd"/>
      <w:r w:rsidRPr="006951BF">
        <w:rPr>
          <w:rFonts w:ascii="Arial" w:hAnsi="Arial" w:cs="Arial"/>
          <w:sz w:val="22"/>
          <w:szCs w:val="22"/>
        </w:rPr>
        <w:t xml:space="preserve"> agonists appear</w:t>
      </w:r>
      <w:r w:rsidR="00B20C0D">
        <w:rPr>
          <w:rFonts w:ascii="Arial" w:hAnsi="Arial" w:cs="Arial"/>
          <w:sz w:val="22"/>
          <w:szCs w:val="22"/>
        </w:rPr>
        <w:t>ed</w:t>
      </w:r>
      <w:r w:rsidRPr="006951BF">
        <w:rPr>
          <w:rFonts w:ascii="Arial" w:hAnsi="Arial" w:cs="Arial"/>
          <w:sz w:val="22"/>
          <w:szCs w:val="22"/>
        </w:rPr>
        <w:t xml:space="preserve"> to be stable but the number of prevalent treated patients </w:t>
      </w:r>
      <w:r w:rsidR="00B20C0D">
        <w:rPr>
          <w:rFonts w:ascii="Arial" w:hAnsi="Arial" w:cs="Arial"/>
          <w:sz w:val="22"/>
          <w:szCs w:val="22"/>
        </w:rPr>
        <w:t>wa</w:t>
      </w:r>
      <w:r w:rsidRPr="006951BF">
        <w:rPr>
          <w:rFonts w:ascii="Arial" w:hAnsi="Arial" w:cs="Arial"/>
          <w:sz w:val="22"/>
          <w:szCs w:val="22"/>
        </w:rPr>
        <w:t>s growing.</w:t>
      </w:r>
    </w:p>
    <w:p w14:paraId="2F38BB97" w14:textId="77777777" w:rsidR="006D0A58" w:rsidRPr="006951BF" w:rsidRDefault="006D0A58" w:rsidP="008866E8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E816653" w14:textId="623F4756" w:rsidR="006D0A58" w:rsidRPr="006951BF" w:rsidRDefault="006D0A58" w:rsidP="008866E8">
      <w:pPr>
        <w:contextualSpacing/>
        <w:jc w:val="both"/>
        <w:rPr>
          <w:rFonts w:ascii="Arial" w:hAnsi="Arial" w:cs="Arial"/>
          <w:sz w:val="22"/>
          <w:szCs w:val="22"/>
        </w:rPr>
      </w:pPr>
      <w:r w:rsidRPr="006951BF">
        <w:rPr>
          <w:rFonts w:ascii="Arial" w:hAnsi="Arial" w:cs="Arial"/>
          <w:sz w:val="22"/>
          <w:szCs w:val="22"/>
        </w:rPr>
        <w:t xml:space="preserve">The PBAC noted there </w:t>
      </w:r>
      <w:r w:rsidR="00B20C0D">
        <w:rPr>
          <w:rFonts w:ascii="Arial" w:hAnsi="Arial" w:cs="Arial"/>
          <w:sz w:val="22"/>
          <w:szCs w:val="22"/>
        </w:rPr>
        <w:t>we</w:t>
      </w:r>
      <w:r w:rsidRPr="006951BF">
        <w:rPr>
          <w:rFonts w:ascii="Arial" w:hAnsi="Arial" w:cs="Arial"/>
          <w:sz w:val="22"/>
          <w:szCs w:val="22"/>
        </w:rPr>
        <w:t xml:space="preserve">re more male patients initiating and </w:t>
      </w:r>
      <w:proofErr w:type="gramStart"/>
      <w:r w:rsidRPr="006951BF">
        <w:rPr>
          <w:rFonts w:ascii="Arial" w:hAnsi="Arial" w:cs="Arial"/>
          <w:sz w:val="22"/>
          <w:szCs w:val="22"/>
        </w:rPr>
        <w:t>being treated</w:t>
      </w:r>
      <w:proofErr w:type="gramEnd"/>
      <w:r w:rsidRPr="006951BF">
        <w:rPr>
          <w:rFonts w:ascii="Arial" w:hAnsi="Arial" w:cs="Arial"/>
          <w:sz w:val="22"/>
          <w:szCs w:val="22"/>
        </w:rPr>
        <w:t xml:space="preserve"> with </w:t>
      </w:r>
      <w:proofErr w:type="spellStart"/>
      <w:r w:rsidRPr="006951BF">
        <w:rPr>
          <w:rFonts w:ascii="Arial" w:hAnsi="Arial" w:cs="Arial"/>
          <w:sz w:val="22"/>
          <w:szCs w:val="22"/>
        </w:rPr>
        <w:t>GnRH</w:t>
      </w:r>
      <w:proofErr w:type="spellEnd"/>
      <w:r w:rsidRPr="006951BF">
        <w:rPr>
          <w:rFonts w:ascii="Arial" w:hAnsi="Arial" w:cs="Arial"/>
          <w:sz w:val="22"/>
          <w:szCs w:val="22"/>
        </w:rPr>
        <w:t xml:space="preserve"> </w:t>
      </w:r>
      <w:r w:rsidR="008866E8" w:rsidRPr="006951BF">
        <w:rPr>
          <w:rFonts w:ascii="Arial" w:hAnsi="Arial" w:cs="Arial"/>
          <w:sz w:val="22"/>
          <w:szCs w:val="22"/>
        </w:rPr>
        <w:t>agonists compared to females.</w:t>
      </w:r>
    </w:p>
    <w:p w14:paraId="353F4928" w14:textId="77777777" w:rsidR="006D0A58" w:rsidRPr="006951BF" w:rsidRDefault="006D0A58" w:rsidP="008866E8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F0D8B91" w14:textId="3075E037" w:rsidR="0073297F" w:rsidRPr="006951BF" w:rsidRDefault="006D0A58" w:rsidP="008866E8">
      <w:pPr>
        <w:contextualSpacing/>
        <w:jc w:val="both"/>
        <w:rPr>
          <w:rFonts w:ascii="Arial" w:hAnsi="Arial" w:cs="Arial"/>
          <w:sz w:val="22"/>
          <w:szCs w:val="22"/>
        </w:rPr>
      </w:pPr>
      <w:r w:rsidRPr="006951BF">
        <w:rPr>
          <w:rFonts w:ascii="Arial" w:hAnsi="Arial" w:cs="Arial"/>
          <w:sz w:val="22"/>
          <w:szCs w:val="22"/>
        </w:rPr>
        <w:t xml:space="preserve">The PBAC noted, overall the review indicated that </w:t>
      </w:r>
      <w:proofErr w:type="spellStart"/>
      <w:r w:rsidRPr="006951BF">
        <w:rPr>
          <w:rFonts w:ascii="Arial" w:hAnsi="Arial" w:cs="Arial"/>
          <w:sz w:val="22"/>
          <w:szCs w:val="22"/>
        </w:rPr>
        <w:t>GnRH</w:t>
      </w:r>
      <w:proofErr w:type="spellEnd"/>
      <w:r w:rsidRPr="006951BF">
        <w:rPr>
          <w:rFonts w:ascii="Arial" w:hAnsi="Arial" w:cs="Arial"/>
          <w:sz w:val="22"/>
          <w:szCs w:val="22"/>
        </w:rPr>
        <w:t xml:space="preserve"> agonists </w:t>
      </w:r>
      <w:proofErr w:type="gramStart"/>
      <w:r w:rsidR="00B20C0D">
        <w:rPr>
          <w:rFonts w:ascii="Arial" w:hAnsi="Arial" w:cs="Arial"/>
          <w:sz w:val="22"/>
          <w:szCs w:val="22"/>
        </w:rPr>
        <w:t>we</w:t>
      </w:r>
      <w:r w:rsidRPr="006951BF">
        <w:rPr>
          <w:rFonts w:ascii="Arial" w:hAnsi="Arial" w:cs="Arial"/>
          <w:sz w:val="22"/>
          <w:szCs w:val="22"/>
        </w:rPr>
        <w:t>re generally being used</w:t>
      </w:r>
      <w:proofErr w:type="gramEnd"/>
      <w:r w:rsidRPr="006951BF">
        <w:rPr>
          <w:rFonts w:ascii="Arial" w:hAnsi="Arial" w:cs="Arial"/>
          <w:sz w:val="22"/>
          <w:szCs w:val="22"/>
        </w:rPr>
        <w:t xml:space="preserve"> within the PBS restrictions.</w:t>
      </w:r>
    </w:p>
    <w:p w14:paraId="4F8D9CEC" w14:textId="77777777" w:rsidR="008866E8" w:rsidRPr="006951BF" w:rsidRDefault="008866E8" w:rsidP="008866E8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2E4295D" w14:textId="5E766A0D" w:rsidR="006D0A58" w:rsidRPr="006951BF" w:rsidRDefault="006D0A58" w:rsidP="006D0A58">
      <w:pPr>
        <w:contextualSpacing/>
        <w:rPr>
          <w:rFonts w:ascii="Arial" w:hAnsi="Arial" w:cs="Arial"/>
          <w:sz w:val="22"/>
          <w:szCs w:val="22"/>
        </w:rPr>
      </w:pPr>
    </w:p>
    <w:p w14:paraId="7FCF6722" w14:textId="68795D72" w:rsidR="006D0A58" w:rsidRPr="006951BF" w:rsidRDefault="006D0A58" w:rsidP="008866E8">
      <w:pPr>
        <w:contextualSpacing/>
        <w:jc w:val="both"/>
        <w:rPr>
          <w:rFonts w:ascii="Arial" w:hAnsi="Arial" w:cs="Arial"/>
          <w:b/>
          <w:sz w:val="22"/>
          <w:lang w:val="en-AU" w:eastAsia="en-AU"/>
        </w:rPr>
      </w:pPr>
      <w:proofErr w:type="spellStart"/>
      <w:r w:rsidRPr="006951BF">
        <w:rPr>
          <w:rFonts w:ascii="Arial" w:hAnsi="Arial" w:cs="Arial"/>
          <w:b/>
          <w:sz w:val="22"/>
          <w:lang w:val="en-AU" w:eastAsia="en-AU"/>
        </w:rPr>
        <w:t>Sapropterin</w:t>
      </w:r>
      <w:proofErr w:type="spellEnd"/>
      <w:r w:rsidRPr="006951BF">
        <w:rPr>
          <w:rFonts w:ascii="Arial" w:hAnsi="Arial" w:cs="Arial"/>
          <w:b/>
          <w:sz w:val="22"/>
          <w:lang w:val="en-AU" w:eastAsia="en-AU"/>
        </w:rPr>
        <w:t xml:space="preserve"> for</w:t>
      </w:r>
      <w:r w:rsidR="006951BF" w:rsidRPr="006951BF">
        <w:rPr>
          <w:rFonts w:ascii="Arial" w:hAnsi="Arial" w:cs="Arial"/>
          <w:b/>
          <w:sz w:val="22"/>
          <w:lang w:val="en-AU" w:eastAsia="en-AU"/>
        </w:rPr>
        <w:t xml:space="preserve"> </w:t>
      </w:r>
      <w:proofErr w:type="spellStart"/>
      <w:r w:rsidR="006951BF" w:rsidRPr="006951BF">
        <w:rPr>
          <w:rFonts w:ascii="Arial" w:hAnsi="Arial" w:cs="Arial"/>
          <w:b/>
          <w:sz w:val="22"/>
          <w:lang w:val="en-AU" w:eastAsia="en-AU"/>
        </w:rPr>
        <w:t>hyperphenylalaninaemia</w:t>
      </w:r>
      <w:proofErr w:type="spellEnd"/>
      <w:r w:rsidR="006951BF" w:rsidRPr="006951BF">
        <w:rPr>
          <w:rFonts w:ascii="Arial" w:hAnsi="Arial" w:cs="Arial"/>
          <w:b/>
          <w:sz w:val="22"/>
          <w:lang w:val="en-AU" w:eastAsia="en-AU"/>
        </w:rPr>
        <w:t xml:space="preserve"> due to BH</w:t>
      </w:r>
      <w:r w:rsidRPr="006951BF">
        <w:rPr>
          <w:rFonts w:ascii="Arial" w:hAnsi="Arial" w:cs="Arial"/>
          <w:b/>
          <w:sz w:val="22"/>
          <w:lang w:val="en-AU" w:eastAsia="en-AU"/>
        </w:rPr>
        <w:t>4 deficiency</w:t>
      </w:r>
    </w:p>
    <w:p w14:paraId="044D8BA5" w14:textId="6A5099ED" w:rsidR="006D0A58" w:rsidRPr="006951BF" w:rsidRDefault="006D0A58" w:rsidP="006D0A58">
      <w:pPr>
        <w:contextualSpacing/>
        <w:rPr>
          <w:rFonts w:ascii="Arial" w:hAnsi="Arial" w:cs="Arial"/>
          <w:b/>
          <w:sz w:val="22"/>
          <w:lang w:val="en-AU" w:eastAsia="en-AU"/>
        </w:rPr>
      </w:pPr>
    </w:p>
    <w:p w14:paraId="312E0E70" w14:textId="1E7F9CE9" w:rsidR="006D0A58" w:rsidRPr="006951BF" w:rsidRDefault="006D0A58" w:rsidP="008866E8">
      <w:pPr>
        <w:contextualSpacing/>
        <w:jc w:val="both"/>
        <w:rPr>
          <w:rFonts w:ascii="Arial" w:hAnsi="Arial" w:cs="Arial"/>
          <w:sz w:val="22"/>
          <w:szCs w:val="22"/>
        </w:rPr>
      </w:pPr>
      <w:r w:rsidRPr="006951BF">
        <w:rPr>
          <w:rFonts w:ascii="Arial" w:hAnsi="Arial" w:cs="Arial"/>
          <w:sz w:val="22"/>
          <w:szCs w:val="22"/>
        </w:rPr>
        <w:t>This report considered</w:t>
      </w:r>
      <w:r w:rsidR="006951BF" w:rsidRPr="006951BF">
        <w:rPr>
          <w:rFonts w:ascii="Arial" w:hAnsi="Arial" w:cs="Arial"/>
          <w:sz w:val="22"/>
          <w:szCs w:val="22"/>
        </w:rPr>
        <w:t xml:space="preserve"> the</w:t>
      </w:r>
      <w:r w:rsidRPr="006951BF">
        <w:rPr>
          <w:rFonts w:ascii="Arial" w:hAnsi="Arial" w:cs="Arial"/>
          <w:sz w:val="22"/>
          <w:szCs w:val="22"/>
        </w:rPr>
        <w:t xml:space="preserve"> predicted versus actual </w:t>
      </w:r>
      <w:proofErr w:type="spellStart"/>
      <w:r w:rsidRPr="006951BF">
        <w:rPr>
          <w:rFonts w:ascii="Arial" w:hAnsi="Arial" w:cs="Arial"/>
          <w:sz w:val="22"/>
          <w:szCs w:val="22"/>
        </w:rPr>
        <w:t>utilisation</w:t>
      </w:r>
      <w:proofErr w:type="spellEnd"/>
      <w:r w:rsidRPr="006951BF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6951BF">
        <w:rPr>
          <w:rFonts w:ascii="Arial" w:hAnsi="Arial" w:cs="Arial"/>
          <w:sz w:val="22"/>
          <w:szCs w:val="22"/>
        </w:rPr>
        <w:t>sapropterin</w:t>
      </w:r>
      <w:proofErr w:type="spellEnd"/>
      <w:r w:rsidRPr="006951BF">
        <w:rPr>
          <w:rFonts w:ascii="Arial" w:hAnsi="Arial" w:cs="Arial"/>
          <w:sz w:val="22"/>
          <w:szCs w:val="22"/>
        </w:rPr>
        <w:t xml:space="preserve"> since PBS listing on 1 May 2014. In recommending </w:t>
      </w:r>
      <w:proofErr w:type="spellStart"/>
      <w:r w:rsidRPr="006951BF">
        <w:rPr>
          <w:rFonts w:ascii="Arial" w:hAnsi="Arial" w:cs="Arial"/>
          <w:sz w:val="22"/>
          <w:szCs w:val="22"/>
        </w:rPr>
        <w:t>sapropterin</w:t>
      </w:r>
      <w:proofErr w:type="spellEnd"/>
      <w:r w:rsidRPr="006951BF">
        <w:rPr>
          <w:rFonts w:ascii="Arial" w:hAnsi="Arial" w:cs="Arial"/>
          <w:sz w:val="22"/>
          <w:szCs w:val="22"/>
        </w:rPr>
        <w:t xml:space="preserve"> for listing, the PBAC requested that the Department review the </w:t>
      </w:r>
      <w:proofErr w:type="spellStart"/>
      <w:r w:rsidRPr="006951BF">
        <w:rPr>
          <w:rFonts w:ascii="Arial" w:hAnsi="Arial" w:cs="Arial"/>
          <w:sz w:val="22"/>
          <w:szCs w:val="22"/>
        </w:rPr>
        <w:t>utilisation</w:t>
      </w:r>
      <w:proofErr w:type="spellEnd"/>
      <w:r w:rsidRPr="006951BF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6951BF">
        <w:rPr>
          <w:rFonts w:ascii="Arial" w:hAnsi="Arial" w:cs="Arial"/>
          <w:sz w:val="22"/>
          <w:szCs w:val="22"/>
        </w:rPr>
        <w:t>sapropterin</w:t>
      </w:r>
      <w:proofErr w:type="spellEnd"/>
      <w:r w:rsidRPr="006951BF">
        <w:rPr>
          <w:rFonts w:ascii="Arial" w:hAnsi="Arial" w:cs="Arial"/>
          <w:sz w:val="22"/>
          <w:szCs w:val="22"/>
        </w:rPr>
        <w:t xml:space="preserve"> after five years of its first listing to examine the number of patients continuing on this therapy.</w:t>
      </w:r>
    </w:p>
    <w:p w14:paraId="16CEE354" w14:textId="75E4D0D9" w:rsidR="006D0A58" w:rsidRPr="006951BF" w:rsidRDefault="006D0A58" w:rsidP="006D0A58">
      <w:pPr>
        <w:contextualSpacing/>
        <w:rPr>
          <w:rFonts w:ascii="Arial" w:hAnsi="Arial" w:cs="Arial"/>
          <w:sz w:val="22"/>
          <w:szCs w:val="22"/>
        </w:rPr>
      </w:pPr>
    </w:p>
    <w:p w14:paraId="662CF902" w14:textId="1485E0C0" w:rsidR="006D0A58" w:rsidRPr="006951BF" w:rsidRDefault="006D0A58" w:rsidP="006D0A58">
      <w:pPr>
        <w:contextualSpacing/>
        <w:rPr>
          <w:rFonts w:ascii="Arial" w:hAnsi="Arial" w:cs="Arial"/>
          <w:i/>
          <w:sz w:val="22"/>
          <w:szCs w:val="22"/>
        </w:rPr>
      </w:pPr>
      <w:r w:rsidRPr="006951BF">
        <w:rPr>
          <w:rFonts w:ascii="Arial" w:hAnsi="Arial" w:cs="Arial"/>
          <w:i/>
          <w:sz w:val="22"/>
          <w:szCs w:val="22"/>
        </w:rPr>
        <w:t>Outcome</w:t>
      </w:r>
    </w:p>
    <w:p w14:paraId="6F0BDAF2" w14:textId="0BC0B14E" w:rsidR="006D0A58" w:rsidRPr="006951BF" w:rsidRDefault="006D0A58" w:rsidP="006D0A58">
      <w:pPr>
        <w:contextualSpacing/>
        <w:rPr>
          <w:rFonts w:ascii="Arial" w:hAnsi="Arial" w:cs="Arial"/>
          <w:i/>
          <w:sz w:val="22"/>
          <w:szCs w:val="22"/>
        </w:rPr>
      </w:pPr>
    </w:p>
    <w:p w14:paraId="62825303" w14:textId="77777777" w:rsidR="006D0A58" w:rsidRPr="006951BF" w:rsidRDefault="006D0A58" w:rsidP="008866E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951BF">
        <w:rPr>
          <w:rFonts w:ascii="Arial" w:hAnsi="Arial" w:cs="Arial"/>
          <w:sz w:val="22"/>
          <w:szCs w:val="22"/>
        </w:rPr>
        <w:t>The PBAC noted the findings of the report. In particular that:</w:t>
      </w:r>
    </w:p>
    <w:p w14:paraId="3CB77C9F" w14:textId="77777777" w:rsidR="006D0A58" w:rsidRPr="006951BF" w:rsidRDefault="006D0A58" w:rsidP="00DE6CA5">
      <w:pPr>
        <w:pStyle w:val="ListParagraph"/>
        <w:numPr>
          <w:ilvl w:val="2"/>
          <w:numId w:val="2"/>
        </w:numPr>
        <w:spacing w:before="120" w:after="120"/>
        <w:ind w:left="426" w:hanging="426"/>
        <w:contextualSpacing w:val="0"/>
        <w:jc w:val="both"/>
        <w:rPr>
          <w:rFonts w:cs="Arial"/>
          <w:szCs w:val="22"/>
        </w:rPr>
      </w:pPr>
      <w:r w:rsidRPr="006951BF">
        <w:rPr>
          <w:rFonts w:cs="Arial"/>
          <w:szCs w:val="22"/>
        </w:rPr>
        <w:t xml:space="preserve">the majority of patients initiated on </w:t>
      </w:r>
      <w:proofErr w:type="spellStart"/>
      <w:r w:rsidRPr="006951BF">
        <w:rPr>
          <w:rFonts w:cs="Arial"/>
          <w:szCs w:val="22"/>
        </w:rPr>
        <w:t>sapropterin</w:t>
      </w:r>
      <w:proofErr w:type="spellEnd"/>
      <w:r w:rsidRPr="006951BF">
        <w:rPr>
          <w:rFonts w:cs="Arial"/>
          <w:szCs w:val="22"/>
        </w:rPr>
        <w:t xml:space="preserve"> are continuing treatment;</w:t>
      </w:r>
    </w:p>
    <w:p w14:paraId="6634B421" w14:textId="77777777" w:rsidR="006D0A58" w:rsidRPr="006951BF" w:rsidRDefault="006D0A58" w:rsidP="00DE6CA5">
      <w:pPr>
        <w:pStyle w:val="ListParagraph"/>
        <w:numPr>
          <w:ilvl w:val="2"/>
          <w:numId w:val="2"/>
        </w:numPr>
        <w:spacing w:before="120" w:after="120"/>
        <w:ind w:left="426" w:hanging="426"/>
        <w:contextualSpacing w:val="0"/>
        <w:jc w:val="both"/>
        <w:rPr>
          <w:rFonts w:cs="Arial"/>
          <w:szCs w:val="22"/>
        </w:rPr>
      </w:pPr>
      <w:r w:rsidRPr="006951BF">
        <w:rPr>
          <w:rFonts w:cs="Arial"/>
          <w:szCs w:val="22"/>
        </w:rPr>
        <w:t xml:space="preserve">the number of actual patients treated with </w:t>
      </w:r>
      <w:proofErr w:type="spellStart"/>
      <w:r w:rsidRPr="006951BF">
        <w:rPr>
          <w:rFonts w:cs="Arial"/>
          <w:szCs w:val="22"/>
        </w:rPr>
        <w:t>sapropterin</w:t>
      </w:r>
      <w:proofErr w:type="spellEnd"/>
      <w:r w:rsidRPr="006951BF">
        <w:rPr>
          <w:rFonts w:cs="Arial"/>
          <w:szCs w:val="22"/>
        </w:rPr>
        <w:t xml:space="preserve"> in the first two years of listing was similar to predicted and exceeded predicted levels from year 3 onwards; and</w:t>
      </w:r>
    </w:p>
    <w:p w14:paraId="0EEF4410" w14:textId="141E1CB5" w:rsidR="006D0A58" w:rsidRPr="006951BF" w:rsidRDefault="006D0A58" w:rsidP="00DE6CA5">
      <w:pPr>
        <w:pStyle w:val="ListParagraph"/>
        <w:numPr>
          <w:ilvl w:val="2"/>
          <w:numId w:val="2"/>
        </w:numPr>
        <w:spacing w:before="120" w:after="120"/>
        <w:ind w:left="426" w:hanging="426"/>
        <w:contextualSpacing w:val="0"/>
        <w:jc w:val="both"/>
        <w:rPr>
          <w:rFonts w:cs="Arial"/>
          <w:szCs w:val="22"/>
        </w:rPr>
      </w:pPr>
      <w:proofErr w:type="gramStart"/>
      <w:r w:rsidRPr="006951BF">
        <w:rPr>
          <w:rFonts w:cs="Arial"/>
          <w:szCs w:val="22"/>
        </w:rPr>
        <w:t>the</w:t>
      </w:r>
      <w:proofErr w:type="gramEnd"/>
      <w:r w:rsidRPr="006951BF">
        <w:rPr>
          <w:rFonts w:cs="Arial"/>
          <w:szCs w:val="22"/>
        </w:rPr>
        <w:t xml:space="preserve"> higher than predicted number of patients in the later years did not translate to a greater than predicte</w:t>
      </w:r>
      <w:r w:rsidR="006951BF" w:rsidRPr="006951BF">
        <w:rPr>
          <w:rFonts w:cs="Arial"/>
          <w:szCs w:val="22"/>
        </w:rPr>
        <w:t xml:space="preserve">d expenditure for </w:t>
      </w:r>
      <w:proofErr w:type="spellStart"/>
      <w:r w:rsidR="006951BF" w:rsidRPr="006951BF">
        <w:rPr>
          <w:rFonts w:cs="Arial"/>
          <w:szCs w:val="22"/>
        </w:rPr>
        <w:t>sapropterin</w:t>
      </w:r>
      <w:proofErr w:type="spellEnd"/>
      <w:r w:rsidR="006951BF" w:rsidRPr="006951BF">
        <w:rPr>
          <w:rFonts w:cs="Arial"/>
          <w:szCs w:val="22"/>
        </w:rPr>
        <w:t>.</w:t>
      </w:r>
    </w:p>
    <w:p w14:paraId="0C12C6C6" w14:textId="77777777" w:rsidR="006D0A58" w:rsidRPr="006951BF" w:rsidRDefault="006D0A58" w:rsidP="008866E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951BF">
        <w:rPr>
          <w:rFonts w:ascii="Arial" w:hAnsi="Arial" w:cs="Arial"/>
          <w:sz w:val="22"/>
          <w:szCs w:val="22"/>
        </w:rPr>
        <w:t xml:space="preserve">The PBAC noted the Metabolic Dietary Disorders Association advice on the </w:t>
      </w:r>
      <w:proofErr w:type="spellStart"/>
      <w:r w:rsidRPr="006951BF">
        <w:rPr>
          <w:rFonts w:ascii="Arial" w:hAnsi="Arial" w:cs="Arial"/>
          <w:sz w:val="22"/>
          <w:szCs w:val="22"/>
        </w:rPr>
        <w:t>utilisation</w:t>
      </w:r>
      <w:proofErr w:type="spellEnd"/>
      <w:r w:rsidRPr="006951BF">
        <w:rPr>
          <w:rFonts w:ascii="Arial" w:hAnsi="Arial" w:cs="Arial"/>
          <w:sz w:val="22"/>
          <w:szCs w:val="22"/>
        </w:rPr>
        <w:t xml:space="preserve"> report for </w:t>
      </w:r>
      <w:proofErr w:type="spellStart"/>
      <w:r w:rsidRPr="006951BF">
        <w:rPr>
          <w:rFonts w:ascii="Arial" w:hAnsi="Arial" w:cs="Arial"/>
          <w:sz w:val="22"/>
          <w:szCs w:val="22"/>
        </w:rPr>
        <w:t>sapropterin</w:t>
      </w:r>
      <w:proofErr w:type="spellEnd"/>
      <w:r w:rsidRPr="006951BF">
        <w:rPr>
          <w:rFonts w:ascii="Arial" w:hAnsi="Arial" w:cs="Arial"/>
          <w:sz w:val="22"/>
          <w:szCs w:val="22"/>
        </w:rPr>
        <w:t>.</w:t>
      </w:r>
    </w:p>
    <w:p w14:paraId="7A5EB767" w14:textId="77777777" w:rsidR="006D0A58" w:rsidRPr="006D0A58" w:rsidRDefault="006D0A58" w:rsidP="006D0A58">
      <w:pPr>
        <w:contextualSpacing/>
        <w:rPr>
          <w:rFonts w:ascii="Arial" w:hAnsi="Arial" w:cs="Arial"/>
          <w:sz w:val="22"/>
          <w:szCs w:val="22"/>
        </w:rPr>
      </w:pPr>
    </w:p>
    <w:sectPr w:rsidR="006D0A58" w:rsidRPr="006D0A58" w:rsidSect="007A24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1440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0FFAC" w14:textId="77777777" w:rsidR="0073297F" w:rsidRDefault="0073297F">
      <w:r>
        <w:separator/>
      </w:r>
    </w:p>
  </w:endnote>
  <w:endnote w:type="continuationSeparator" w:id="0">
    <w:p w14:paraId="1EBA2AEF" w14:textId="77777777" w:rsidR="0073297F" w:rsidRDefault="0073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1BA58" w14:textId="77777777" w:rsidR="00BE182E" w:rsidRDefault="00BE18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7F5BA" w14:textId="77777777" w:rsidR="0073297F" w:rsidRPr="004630FE" w:rsidRDefault="0073297F">
    <w:pPr>
      <w:pStyle w:val="Footer"/>
      <w:jc w:val="center"/>
      <w:rPr>
        <w:rFonts w:ascii="Arial" w:hAnsi="Arial" w:cs="Arial"/>
        <w:sz w:val="22"/>
      </w:rPr>
    </w:pPr>
  </w:p>
  <w:p w14:paraId="2DAABEFB" w14:textId="3B19599D" w:rsidR="0073297F" w:rsidRPr="004630FE" w:rsidRDefault="0073297F">
    <w:pPr>
      <w:pStyle w:val="Footer"/>
      <w:jc w:val="center"/>
      <w:rPr>
        <w:rFonts w:ascii="Arial" w:hAnsi="Arial" w:cs="Arial"/>
        <w:sz w:val="22"/>
      </w:rPr>
    </w:pPr>
    <w:r w:rsidRPr="004630FE">
      <w:rPr>
        <w:rFonts w:ascii="Arial" w:hAnsi="Arial" w:cs="Arial"/>
        <w:sz w:val="22"/>
      </w:rPr>
      <w:fldChar w:fldCharType="begin"/>
    </w:r>
    <w:r w:rsidRPr="004630FE">
      <w:rPr>
        <w:rFonts w:ascii="Arial" w:hAnsi="Arial" w:cs="Arial"/>
        <w:sz w:val="22"/>
      </w:rPr>
      <w:instrText xml:space="preserve"> PAGE   \* MERGEFORMAT </w:instrText>
    </w:r>
    <w:r w:rsidRPr="004630FE">
      <w:rPr>
        <w:rFonts w:ascii="Arial" w:hAnsi="Arial" w:cs="Arial"/>
        <w:sz w:val="22"/>
      </w:rPr>
      <w:fldChar w:fldCharType="separate"/>
    </w:r>
    <w:r w:rsidR="00507F23">
      <w:rPr>
        <w:rFonts w:ascii="Arial" w:hAnsi="Arial" w:cs="Arial"/>
        <w:noProof/>
        <w:sz w:val="22"/>
      </w:rPr>
      <w:t>1</w:t>
    </w:r>
    <w:r w:rsidRPr="004630FE">
      <w:rPr>
        <w:rFonts w:ascii="Arial" w:hAnsi="Arial" w:cs="Arial"/>
        <w:noProof/>
        <w:sz w:val="22"/>
      </w:rPr>
      <w:fldChar w:fldCharType="end"/>
    </w:r>
  </w:p>
  <w:p w14:paraId="0A6D77EE" w14:textId="77777777" w:rsidR="0073297F" w:rsidRDefault="007329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182C1" w14:textId="77777777" w:rsidR="00BE182E" w:rsidRDefault="00BE1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E734C" w14:textId="77777777" w:rsidR="0073297F" w:rsidRDefault="0073297F">
      <w:r>
        <w:separator/>
      </w:r>
    </w:p>
  </w:footnote>
  <w:footnote w:type="continuationSeparator" w:id="0">
    <w:p w14:paraId="13C39C5A" w14:textId="77777777" w:rsidR="0073297F" w:rsidRDefault="00732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CC802" w14:textId="77777777" w:rsidR="00BE182E" w:rsidRDefault="00BE18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587D6" w14:textId="0C2C3415" w:rsidR="0073297F" w:rsidRPr="00520B6E" w:rsidRDefault="0073297F" w:rsidP="004630FE">
    <w:pPr>
      <w:tabs>
        <w:tab w:val="center" w:pos="4153"/>
        <w:tab w:val="right" w:pos="8306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JULY 2019</w:t>
    </w:r>
    <w:r w:rsidRPr="00341E66">
      <w:rPr>
        <w:rFonts w:ascii="Arial" w:hAnsi="Arial" w:cs="Arial"/>
        <w:b/>
        <w:sz w:val="20"/>
      </w:rPr>
      <w:t xml:space="preserve"> </w:t>
    </w:r>
    <w:r w:rsidRPr="00520B6E">
      <w:rPr>
        <w:rFonts w:ascii="Arial" w:hAnsi="Arial" w:cs="Arial"/>
        <w:b/>
        <w:sz w:val="20"/>
      </w:rPr>
      <w:t>PBAC M</w:t>
    </w:r>
    <w:r>
      <w:rPr>
        <w:rFonts w:ascii="Arial" w:hAnsi="Arial" w:cs="Arial"/>
        <w:b/>
        <w:sz w:val="20"/>
      </w:rPr>
      <w:t>EETING – CONSIDERATION OF THE</w:t>
    </w:r>
    <w:r w:rsidRPr="00520B6E">
      <w:rPr>
        <w:rFonts w:ascii="Arial" w:hAnsi="Arial" w:cs="Arial"/>
        <w:b/>
        <w:sz w:val="20"/>
      </w:rPr>
      <w:t xml:space="preserve"> </w:t>
    </w:r>
    <w:r>
      <w:rPr>
        <w:rFonts w:ascii="Arial" w:hAnsi="Arial" w:cs="Arial"/>
        <w:b/>
        <w:sz w:val="20"/>
      </w:rPr>
      <w:t>REPORT OF THE DRUG UTILISATION SUB</w:t>
    </w:r>
    <w:r>
      <w:rPr>
        <w:rFonts w:ascii="Arial" w:hAnsi="Arial" w:cs="Arial"/>
        <w:b/>
        <w:sz w:val="20"/>
      </w:rPr>
      <w:noBreakHyphen/>
      <w:t>COMMITTEE</w:t>
    </w:r>
  </w:p>
  <w:p w14:paraId="6758E2CC" w14:textId="77777777" w:rsidR="0073297F" w:rsidRDefault="007329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6E4A3" w14:textId="77777777" w:rsidR="00BE182E" w:rsidRDefault="00BE18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031B9"/>
    <w:multiLevelType w:val="multilevel"/>
    <w:tmpl w:val="6A0E1B1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8DD109F"/>
    <w:multiLevelType w:val="multilevel"/>
    <w:tmpl w:val="95D6B7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5F050041"/>
    <w:multiLevelType w:val="multilevel"/>
    <w:tmpl w:val="5CB87B68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60FC76BD"/>
    <w:multiLevelType w:val="hybridMultilevel"/>
    <w:tmpl w:val="F474C00E"/>
    <w:lvl w:ilvl="0" w:tplc="BF768F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522C5"/>
    <w:multiLevelType w:val="multilevel"/>
    <w:tmpl w:val="4E1A9C78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i w:val="0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7F874411"/>
    <w:multiLevelType w:val="multilevel"/>
    <w:tmpl w:val="29F890DE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6A"/>
    <w:rsid w:val="00034F16"/>
    <w:rsid w:val="00046F5C"/>
    <w:rsid w:val="0006056A"/>
    <w:rsid w:val="00060A45"/>
    <w:rsid w:val="00095F78"/>
    <w:rsid w:val="000A2CDC"/>
    <w:rsid w:val="000B2DD0"/>
    <w:rsid w:val="001416A4"/>
    <w:rsid w:val="00156D69"/>
    <w:rsid w:val="00176F11"/>
    <w:rsid w:val="001D0B69"/>
    <w:rsid w:val="001D45AF"/>
    <w:rsid w:val="001F0355"/>
    <w:rsid w:val="00251848"/>
    <w:rsid w:val="00265781"/>
    <w:rsid w:val="00267A9D"/>
    <w:rsid w:val="0028590B"/>
    <w:rsid w:val="002D4006"/>
    <w:rsid w:val="002F7591"/>
    <w:rsid w:val="002F775E"/>
    <w:rsid w:val="003172AB"/>
    <w:rsid w:val="00326328"/>
    <w:rsid w:val="00341E66"/>
    <w:rsid w:val="00385940"/>
    <w:rsid w:val="00397836"/>
    <w:rsid w:val="003B79EE"/>
    <w:rsid w:val="003C2B83"/>
    <w:rsid w:val="0040140B"/>
    <w:rsid w:val="004630FE"/>
    <w:rsid w:val="00464B70"/>
    <w:rsid w:val="00464DA0"/>
    <w:rsid w:val="004A1627"/>
    <w:rsid w:val="004D4DEE"/>
    <w:rsid w:val="004E76AE"/>
    <w:rsid w:val="00507F23"/>
    <w:rsid w:val="005166A6"/>
    <w:rsid w:val="00553E58"/>
    <w:rsid w:val="005616CC"/>
    <w:rsid w:val="005642B3"/>
    <w:rsid w:val="00565336"/>
    <w:rsid w:val="00575B2C"/>
    <w:rsid w:val="005C202C"/>
    <w:rsid w:val="005F2273"/>
    <w:rsid w:val="006102C6"/>
    <w:rsid w:val="00641F0C"/>
    <w:rsid w:val="00652D57"/>
    <w:rsid w:val="00666863"/>
    <w:rsid w:val="00677683"/>
    <w:rsid w:val="006847AC"/>
    <w:rsid w:val="006951BF"/>
    <w:rsid w:val="006A2EB2"/>
    <w:rsid w:val="006D0A58"/>
    <w:rsid w:val="006D36DC"/>
    <w:rsid w:val="006D593A"/>
    <w:rsid w:val="006E57A3"/>
    <w:rsid w:val="0070348A"/>
    <w:rsid w:val="007178BA"/>
    <w:rsid w:val="0073297F"/>
    <w:rsid w:val="00793AF0"/>
    <w:rsid w:val="007A2421"/>
    <w:rsid w:val="007C758A"/>
    <w:rsid w:val="007F4E20"/>
    <w:rsid w:val="00801B19"/>
    <w:rsid w:val="00816A6C"/>
    <w:rsid w:val="008545D1"/>
    <w:rsid w:val="008842CE"/>
    <w:rsid w:val="008866E8"/>
    <w:rsid w:val="00890D53"/>
    <w:rsid w:val="008A4311"/>
    <w:rsid w:val="008A4B6F"/>
    <w:rsid w:val="008B4388"/>
    <w:rsid w:val="008D020C"/>
    <w:rsid w:val="00922E47"/>
    <w:rsid w:val="00925E21"/>
    <w:rsid w:val="00933952"/>
    <w:rsid w:val="009E7E00"/>
    <w:rsid w:val="00A0539F"/>
    <w:rsid w:val="00A31269"/>
    <w:rsid w:val="00A32269"/>
    <w:rsid w:val="00A47E2F"/>
    <w:rsid w:val="00A70179"/>
    <w:rsid w:val="00A74CCD"/>
    <w:rsid w:val="00A76D1B"/>
    <w:rsid w:val="00A9331B"/>
    <w:rsid w:val="00AC0FFB"/>
    <w:rsid w:val="00AD2551"/>
    <w:rsid w:val="00AD37E5"/>
    <w:rsid w:val="00AF2F79"/>
    <w:rsid w:val="00AF3B3E"/>
    <w:rsid w:val="00B13AD3"/>
    <w:rsid w:val="00B1693A"/>
    <w:rsid w:val="00B20C0D"/>
    <w:rsid w:val="00B26B58"/>
    <w:rsid w:val="00B445D9"/>
    <w:rsid w:val="00B532C3"/>
    <w:rsid w:val="00B94AFC"/>
    <w:rsid w:val="00B95F3B"/>
    <w:rsid w:val="00BA0860"/>
    <w:rsid w:val="00BC3BE5"/>
    <w:rsid w:val="00BD4745"/>
    <w:rsid w:val="00BE182E"/>
    <w:rsid w:val="00BE4405"/>
    <w:rsid w:val="00C22340"/>
    <w:rsid w:val="00C22AB9"/>
    <w:rsid w:val="00C636C2"/>
    <w:rsid w:val="00CB56CD"/>
    <w:rsid w:val="00CB6BC5"/>
    <w:rsid w:val="00CD04DF"/>
    <w:rsid w:val="00CD2ADF"/>
    <w:rsid w:val="00D47451"/>
    <w:rsid w:val="00D7136A"/>
    <w:rsid w:val="00D72D36"/>
    <w:rsid w:val="00DA2A81"/>
    <w:rsid w:val="00DC7A41"/>
    <w:rsid w:val="00DE6CA5"/>
    <w:rsid w:val="00E11B1E"/>
    <w:rsid w:val="00E16015"/>
    <w:rsid w:val="00E24412"/>
    <w:rsid w:val="00E25A33"/>
    <w:rsid w:val="00E37984"/>
    <w:rsid w:val="00E65BFD"/>
    <w:rsid w:val="00EA43F8"/>
    <w:rsid w:val="00EB38E2"/>
    <w:rsid w:val="00ED0E5B"/>
    <w:rsid w:val="00EE68E4"/>
    <w:rsid w:val="00F514E4"/>
    <w:rsid w:val="00F628C7"/>
    <w:rsid w:val="00F66E50"/>
    <w:rsid w:val="00F87883"/>
    <w:rsid w:val="00FA4D8A"/>
    <w:rsid w:val="00FB5E27"/>
    <w:rsid w:val="00FD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."/>
  <w:listSeparator w:val=","/>
  <w14:docId w14:val="220B9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36A"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36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136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7136A"/>
    <w:rPr>
      <w:rFonts w:eastAsia="Times New Roman" w:cs="Times New Roman"/>
      <w:szCs w:val="24"/>
      <w:lang w:val="en-US"/>
    </w:rPr>
  </w:style>
  <w:style w:type="paragraph" w:customStyle="1" w:styleId="DepartmentalHeading2">
    <w:name w:val="Departmental Heading 2"/>
    <w:basedOn w:val="Heading2"/>
    <w:rsid w:val="00D7136A"/>
    <w:pPr>
      <w:keepLines w:val="0"/>
      <w:spacing w:before="240" w:after="60"/>
    </w:pPr>
    <w:rPr>
      <w:rFonts w:ascii="Arial" w:hAnsi="Arial"/>
      <w:bCs w:val="0"/>
      <w:color w:val="auto"/>
      <w:sz w:val="24"/>
      <w:szCs w:val="20"/>
      <w:lang w:val="en-AU" w:eastAsia="en-AU"/>
    </w:rPr>
  </w:style>
  <w:style w:type="character" w:styleId="Hyperlink">
    <w:name w:val="Hyperlink"/>
    <w:rsid w:val="00D7136A"/>
    <w:rPr>
      <w:color w:val="0000FF"/>
      <w:u w:val="single"/>
    </w:rPr>
  </w:style>
  <w:style w:type="character" w:styleId="CommentReference">
    <w:name w:val="annotation reference"/>
    <w:rsid w:val="00D713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136A"/>
    <w:rPr>
      <w:sz w:val="20"/>
      <w:szCs w:val="20"/>
    </w:rPr>
  </w:style>
  <w:style w:type="character" w:customStyle="1" w:styleId="CommentTextChar">
    <w:name w:val="Comment Text Char"/>
    <w:link w:val="CommentText"/>
    <w:rsid w:val="00D7136A"/>
    <w:rPr>
      <w:rFonts w:eastAsia="Times New Roman" w:cs="Times New Roman"/>
      <w:sz w:val="20"/>
      <w:szCs w:val="20"/>
      <w:lang w:val="en-US"/>
    </w:rPr>
  </w:style>
  <w:style w:type="character" w:customStyle="1" w:styleId="Heading2Char">
    <w:name w:val="Heading 2 Char"/>
    <w:link w:val="Heading2"/>
    <w:uiPriority w:val="9"/>
    <w:semiHidden/>
    <w:rsid w:val="00D7136A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D713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7136A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30F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630FE"/>
    <w:rPr>
      <w:rFonts w:eastAsia="Times New Roman" w:cs="Times New Roman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31269"/>
    <w:pPr>
      <w:ind w:left="720" w:hanging="720"/>
      <w:contextualSpacing/>
    </w:pPr>
    <w:rPr>
      <w:rFonts w:ascii="Arial" w:hAnsi="Arial"/>
      <w:sz w:val="22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2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2AB"/>
    <w:rPr>
      <w:rFonts w:eastAsia="Times New Roman" w:cs="Times New Roman"/>
      <w:b/>
      <w:bCs/>
      <w:sz w:val="20"/>
      <w:szCs w:val="20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A70179"/>
    <w:rPr>
      <w:rFonts w:ascii="Arial" w:eastAsia="Times New Roman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s.gov.au/info/industry/listing/elements/dusc-meetings/do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8179E-ED8D-4B0D-BD89-88FE1ABA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2019-08-15T07:06:00Z</dcterms:created>
  <dcterms:modified xsi:type="dcterms:W3CDTF">2019-08-21T08:15:00Z</dcterms:modified>
</cp:coreProperties>
</file>