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2155"/>
        <w:gridCol w:w="3089"/>
        <w:gridCol w:w="5245"/>
      </w:tblGrid>
      <w:tr w:rsidR="0010394D" w:rsidRPr="00447CFB" w14:paraId="2D79F993" w14:textId="77777777" w:rsidTr="00CA2D5B">
        <w:trPr>
          <w:tblHeader/>
        </w:trPr>
        <w:tc>
          <w:tcPr>
            <w:tcW w:w="2127" w:type="dxa"/>
          </w:tcPr>
          <w:p w14:paraId="2AC16142" w14:textId="77777777" w:rsidR="0010394D"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DRUG NAME, FORM(S), STRENGTH(S), SPONSOR, TYPE OF SUBMISSION</w:t>
            </w:r>
          </w:p>
        </w:tc>
        <w:tc>
          <w:tcPr>
            <w:tcW w:w="2268" w:type="dxa"/>
          </w:tcPr>
          <w:p w14:paraId="57BCEADB" w14:textId="77777777" w:rsidR="001047FA"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TGA INDICATION</w:t>
            </w:r>
          </w:p>
          <w:p w14:paraId="058AB126" w14:textId="77777777" w:rsidR="0010394D" w:rsidRPr="00447CFB" w:rsidRDefault="0010394D" w:rsidP="001047FA">
            <w:pPr>
              <w:pStyle w:val="Header"/>
              <w:spacing w:after="240"/>
              <w:contextualSpacing/>
              <w:jc w:val="center"/>
              <w:rPr>
                <w:rFonts w:ascii="Arial" w:hAnsi="Arial" w:cs="Arial"/>
                <w:b/>
                <w:snapToGrid w:val="0"/>
                <w:sz w:val="20"/>
                <w:lang w:eastAsia="en-US"/>
              </w:rPr>
            </w:pPr>
          </w:p>
        </w:tc>
        <w:tc>
          <w:tcPr>
            <w:tcW w:w="2155" w:type="dxa"/>
          </w:tcPr>
          <w:p w14:paraId="34BAAD43" w14:textId="77777777" w:rsidR="0010394D"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CURRENT PBS LISTING</w:t>
            </w:r>
          </w:p>
        </w:tc>
        <w:tc>
          <w:tcPr>
            <w:tcW w:w="3089" w:type="dxa"/>
            <w:shd w:val="clear" w:color="auto" w:fill="auto"/>
          </w:tcPr>
          <w:p w14:paraId="7895AE7D" w14:textId="77777777" w:rsidR="0010394D"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LISTING REQUESTED BY SPONSOR / PURPOSE OF SUBMISSION</w:t>
            </w:r>
          </w:p>
        </w:tc>
        <w:tc>
          <w:tcPr>
            <w:tcW w:w="5245" w:type="dxa"/>
          </w:tcPr>
          <w:p w14:paraId="2153F8BC" w14:textId="77777777" w:rsidR="0010394D" w:rsidRPr="00447CFB" w:rsidRDefault="0010394D"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 xml:space="preserve">PBAC </w:t>
            </w:r>
            <w:r w:rsidR="001047FA" w:rsidRPr="00447CFB">
              <w:rPr>
                <w:rFonts w:ascii="Arial" w:hAnsi="Arial" w:cs="Arial"/>
                <w:b/>
                <w:snapToGrid w:val="0"/>
                <w:sz w:val="20"/>
                <w:lang w:eastAsia="en-US"/>
              </w:rPr>
              <w:t>OUTCOME</w:t>
            </w:r>
          </w:p>
        </w:tc>
      </w:tr>
      <w:tr w:rsidR="00D407A7" w:rsidRPr="00447CFB" w14:paraId="5ECD42D6" w14:textId="77777777" w:rsidTr="00EB358A">
        <w:trPr>
          <w:trHeight w:val="1636"/>
        </w:trPr>
        <w:tc>
          <w:tcPr>
            <w:tcW w:w="2127" w:type="dxa"/>
            <w:vMerge w:val="restart"/>
          </w:tcPr>
          <w:p w14:paraId="3B683580"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DARATUMUMAB</w:t>
            </w:r>
          </w:p>
          <w:p w14:paraId="27D932B6" w14:textId="77777777" w:rsidR="00D407A7" w:rsidRPr="00D407A7" w:rsidRDefault="00D407A7" w:rsidP="00D407A7">
            <w:pPr>
              <w:widowControl w:val="0"/>
              <w:contextualSpacing/>
              <w:rPr>
                <w:rFonts w:ascii="Arial" w:hAnsi="Arial" w:cs="Arial"/>
                <w:snapToGrid w:val="0"/>
                <w:sz w:val="20"/>
                <w:szCs w:val="22"/>
                <w:lang w:eastAsia="en-US"/>
              </w:rPr>
            </w:pPr>
          </w:p>
          <w:p w14:paraId="527B4755"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 xml:space="preserve">Solution concentrate for IV infusion </w:t>
            </w:r>
          </w:p>
          <w:p w14:paraId="5E6C7233"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100 mg in 5 mL,</w:t>
            </w:r>
          </w:p>
          <w:p w14:paraId="01660511"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400 mg in 20 mL</w:t>
            </w:r>
          </w:p>
          <w:p w14:paraId="41DD1E4A" w14:textId="77777777" w:rsidR="00D407A7" w:rsidRPr="00D407A7" w:rsidRDefault="00D407A7" w:rsidP="00D407A7">
            <w:pPr>
              <w:widowControl w:val="0"/>
              <w:contextualSpacing/>
              <w:rPr>
                <w:rFonts w:ascii="Arial" w:hAnsi="Arial" w:cs="Arial"/>
                <w:snapToGrid w:val="0"/>
                <w:sz w:val="20"/>
                <w:szCs w:val="22"/>
                <w:lang w:eastAsia="en-US"/>
              </w:rPr>
            </w:pPr>
          </w:p>
          <w:p w14:paraId="5ADFD0CD" w14:textId="77777777" w:rsidR="00D407A7" w:rsidRPr="00D407A7" w:rsidRDefault="00D407A7" w:rsidP="00D407A7">
            <w:pPr>
              <w:widowControl w:val="0"/>
              <w:contextualSpacing/>
              <w:rPr>
                <w:rFonts w:ascii="Arial" w:hAnsi="Arial" w:cs="Arial"/>
                <w:snapToGrid w:val="0"/>
                <w:sz w:val="20"/>
                <w:szCs w:val="22"/>
                <w:lang w:eastAsia="en-US"/>
              </w:rPr>
            </w:pPr>
            <w:proofErr w:type="spellStart"/>
            <w:r w:rsidRPr="00D407A7">
              <w:rPr>
                <w:rFonts w:ascii="Arial" w:hAnsi="Arial" w:cs="Arial"/>
                <w:snapToGrid w:val="0"/>
                <w:sz w:val="20"/>
                <w:szCs w:val="22"/>
                <w:lang w:eastAsia="en-US"/>
              </w:rPr>
              <w:t>Darzalex</w:t>
            </w:r>
            <w:proofErr w:type="spellEnd"/>
            <w:r w:rsidRPr="00D407A7">
              <w:rPr>
                <w:rFonts w:ascii="Arial" w:hAnsi="Arial" w:cs="Arial"/>
                <w:snapToGrid w:val="0"/>
                <w:sz w:val="20"/>
                <w:szCs w:val="22"/>
                <w:vertAlign w:val="superscript"/>
                <w:lang w:eastAsia="en-US"/>
              </w:rPr>
              <w:t>®</w:t>
            </w:r>
          </w:p>
          <w:p w14:paraId="575A3E8F" w14:textId="77777777" w:rsidR="00D407A7" w:rsidRPr="00D407A7" w:rsidRDefault="00D407A7" w:rsidP="00D407A7">
            <w:pPr>
              <w:widowControl w:val="0"/>
              <w:contextualSpacing/>
              <w:rPr>
                <w:rFonts w:ascii="Arial" w:hAnsi="Arial" w:cs="Arial"/>
                <w:snapToGrid w:val="0"/>
                <w:sz w:val="20"/>
                <w:szCs w:val="22"/>
                <w:lang w:eastAsia="en-US"/>
              </w:rPr>
            </w:pPr>
          </w:p>
          <w:p w14:paraId="3C1ED7FB"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Janssen-</w:t>
            </w:r>
            <w:proofErr w:type="spellStart"/>
            <w:r w:rsidRPr="00D407A7">
              <w:rPr>
                <w:rFonts w:ascii="Arial" w:hAnsi="Arial" w:cs="Arial"/>
                <w:snapToGrid w:val="0"/>
                <w:sz w:val="20"/>
                <w:szCs w:val="22"/>
                <w:lang w:eastAsia="en-US"/>
              </w:rPr>
              <w:t>Cilag</w:t>
            </w:r>
            <w:proofErr w:type="spellEnd"/>
            <w:r w:rsidRPr="00D407A7">
              <w:rPr>
                <w:rFonts w:ascii="Arial" w:hAnsi="Arial" w:cs="Arial"/>
                <w:snapToGrid w:val="0"/>
                <w:sz w:val="20"/>
                <w:szCs w:val="22"/>
                <w:lang w:eastAsia="en-US"/>
              </w:rPr>
              <w:t xml:space="preserve"> Pty Ltd</w:t>
            </w:r>
          </w:p>
          <w:p w14:paraId="06507E78" w14:textId="77777777" w:rsidR="00D407A7" w:rsidRPr="00D407A7" w:rsidRDefault="00D407A7" w:rsidP="00D407A7">
            <w:pPr>
              <w:widowControl w:val="0"/>
              <w:contextualSpacing/>
              <w:rPr>
                <w:rFonts w:ascii="Arial" w:hAnsi="Arial" w:cs="Arial"/>
                <w:snapToGrid w:val="0"/>
                <w:sz w:val="20"/>
                <w:szCs w:val="22"/>
                <w:lang w:eastAsia="en-US"/>
              </w:rPr>
            </w:pPr>
          </w:p>
          <w:p w14:paraId="5910839B" w14:textId="77777777" w:rsidR="00D407A7" w:rsidRPr="00D407A7" w:rsidRDefault="00D407A7" w:rsidP="00D407A7">
            <w:pPr>
              <w:widowControl w:val="0"/>
              <w:contextualSpacing/>
              <w:rPr>
                <w:rFonts w:ascii="Arial" w:hAnsi="Arial" w:cs="Arial"/>
                <w:snapToGrid w:val="0"/>
                <w:sz w:val="20"/>
                <w:szCs w:val="22"/>
                <w:lang w:eastAsia="en-US"/>
              </w:rPr>
            </w:pPr>
            <w:r w:rsidRPr="00D407A7">
              <w:rPr>
                <w:rFonts w:ascii="Arial" w:hAnsi="Arial" w:cs="Arial"/>
                <w:snapToGrid w:val="0"/>
                <w:sz w:val="20"/>
                <w:szCs w:val="22"/>
                <w:lang w:eastAsia="en-US"/>
              </w:rPr>
              <w:t>New listing</w:t>
            </w:r>
          </w:p>
          <w:p w14:paraId="6995AC1F" w14:textId="77777777" w:rsidR="00D407A7" w:rsidRPr="0046724E" w:rsidRDefault="00D407A7" w:rsidP="00D407A7">
            <w:pPr>
              <w:contextualSpacing/>
              <w:rPr>
                <w:rFonts w:ascii="Arial" w:hAnsi="Arial" w:cs="Arial"/>
                <w:sz w:val="20"/>
              </w:rPr>
            </w:pPr>
            <w:r w:rsidRPr="00D407A7">
              <w:rPr>
                <w:rFonts w:ascii="Arial" w:hAnsi="Arial" w:cs="Arial"/>
                <w:snapToGrid w:val="0"/>
                <w:sz w:val="20"/>
                <w:szCs w:val="22"/>
                <w:lang w:eastAsia="en-US"/>
              </w:rPr>
              <w:t>(Major submission)</w:t>
            </w:r>
          </w:p>
        </w:tc>
        <w:tc>
          <w:tcPr>
            <w:tcW w:w="2268" w:type="dxa"/>
            <w:vMerge w:val="restart"/>
          </w:tcPr>
          <w:p w14:paraId="2DF900CC" w14:textId="77777777" w:rsidR="00D407A7" w:rsidRPr="00A66E75" w:rsidRDefault="00D407A7" w:rsidP="00D407A7">
            <w:pPr>
              <w:rPr>
                <w:rFonts w:ascii="Arial" w:hAnsi="Arial"/>
                <w:sz w:val="20"/>
              </w:rPr>
            </w:pPr>
            <w:r w:rsidRPr="00A66E75">
              <w:rPr>
                <w:rFonts w:ascii="Arial" w:hAnsi="Arial"/>
                <w:sz w:val="20"/>
              </w:rPr>
              <w:t>DARATUMUMAB is indicated for use:</w:t>
            </w:r>
          </w:p>
          <w:p w14:paraId="44A05C4A" w14:textId="77777777" w:rsidR="00D407A7" w:rsidRPr="00A66E75" w:rsidRDefault="00D407A7" w:rsidP="00D407A7">
            <w:pPr>
              <w:pStyle w:val="ListParagraph"/>
              <w:widowControl w:val="0"/>
              <w:numPr>
                <w:ilvl w:val="0"/>
                <w:numId w:val="22"/>
              </w:numPr>
              <w:spacing w:after="160"/>
              <w:ind w:left="284" w:hanging="284"/>
              <w:contextualSpacing w:val="0"/>
              <w:rPr>
                <w:rFonts w:ascii="Arial" w:hAnsi="Arial"/>
                <w:sz w:val="20"/>
              </w:rPr>
            </w:pPr>
            <w:proofErr w:type="gramStart"/>
            <w:r w:rsidRPr="00A66E75">
              <w:rPr>
                <w:rFonts w:ascii="Arial" w:hAnsi="Arial"/>
                <w:sz w:val="20"/>
              </w:rPr>
              <w:t>in</w:t>
            </w:r>
            <w:proofErr w:type="gramEnd"/>
            <w:r w:rsidRPr="00A66E75">
              <w:rPr>
                <w:rFonts w:ascii="Arial" w:hAnsi="Arial"/>
                <w:sz w:val="20"/>
              </w:rPr>
              <w:t xml:space="preserve"> combination with lenalidomide and dexamethasone, or </w:t>
            </w:r>
            <w:proofErr w:type="spellStart"/>
            <w:r w:rsidRPr="00A66E75">
              <w:rPr>
                <w:rFonts w:ascii="Arial" w:hAnsi="Arial"/>
                <w:sz w:val="20"/>
              </w:rPr>
              <w:t>bortezomib</w:t>
            </w:r>
            <w:proofErr w:type="spellEnd"/>
            <w:r w:rsidRPr="00A66E75">
              <w:rPr>
                <w:rFonts w:ascii="Arial" w:hAnsi="Arial"/>
                <w:sz w:val="20"/>
              </w:rPr>
              <w:t xml:space="preserve"> and dexamethasone, for the treatment of patients with multiple myeloma who have received at least one prior therapy.</w:t>
            </w:r>
          </w:p>
          <w:p w14:paraId="570155FA" w14:textId="77777777" w:rsidR="00D407A7" w:rsidRPr="00A66E75" w:rsidRDefault="00D407A7" w:rsidP="00D407A7">
            <w:pPr>
              <w:pStyle w:val="ListParagraph"/>
              <w:widowControl w:val="0"/>
              <w:numPr>
                <w:ilvl w:val="0"/>
                <w:numId w:val="22"/>
              </w:numPr>
              <w:spacing w:after="160"/>
              <w:ind w:left="284" w:hanging="284"/>
              <w:contextualSpacing w:val="0"/>
              <w:rPr>
                <w:rFonts w:ascii="Arial" w:hAnsi="Arial"/>
                <w:sz w:val="20"/>
              </w:rPr>
            </w:pPr>
            <w:proofErr w:type="gramStart"/>
            <w:r w:rsidRPr="00A66E75">
              <w:rPr>
                <w:rFonts w:ascii="Arial" w:hAnsi="Arial"/>
                <w:sz w:val="20"/>
              </w:rPr>
              <w:t>as</w:t>
            </w:r>
            <w:proofErr w:type="gramEnd"/>
            <w:r w:rsidRPr="00A66E75">
              <w:rPr>
                <w:rFonts w:ascii="Arial" w:hAnsi="Arial"/>
                <w:sz w:val="20"/>
              </w:rPr>
              <w:t xml:space="preserve"> monotherapy, for the treatment of patients with multiple myeloma who have received at least three prior lines of therapy including a proteasome inhibitor (PI) and an immunomodulatory agent or who are refractory to both a PI and an immunomodulatory agent.</w:t>
            </w:r>
          </w:p>
        </w:tc>
        <w:tc>
          <w:tcPr>
            <w:tcW w:w="2155" w:type="dxa"/>
            <w:vMerge w:val="restart"/>
          </w:tcPr>
          <w:p w14:paraId="694C4284" w14:textId="77777777" w:rsidR="00D407A7" w:rsidRPr="0046724E" w:rsidRDefault="00D407A7" w:rsidP="00D407A7">
            <w:pPr>
              <w:rPr>
                <w:rFonts w:ascii="Arial" w:hAnsi="Arial" w:cs="Arial"/>
                <w:sz w:val="20"/>
              </w:rPr>
            </w:pPr>
            <w:r w:rsidRPr="00A66E75">
              <w:rPr>
                <w:rFonts w:ascii="Arial" w:hAnsi="Arial"/>
                <w:sz w:val="20"/>
              </w:rPr>
              <w:t>DARATUMUMAB is not currently PBS listed</w:t>
            </w:r>
          </w:p>
        </w:tc>
        <w:tc>
          <w:tcPr>
            <w:tcW w:w="3089" w:type="dxa"/>
            <w:tcBorders>
              <w:bottom w:val="single" w:sz="4" w:space="0" w:color="auto"/>
            </w:tcBorders>
          </w:tcPr>
          <w:p w14:paraId="2DA0B4F8" w14:textId="079608B9" w:rsidR="00D407A7" w:rsidRPr="00D407A7" w:rsidRDefault="00D407A7" w:rsidP="00B2283B">
            <w:pPr>
              <w:keepLines/>
              <w:widowControl w:val="0"/>
              <w:rPr>
                <w:rFonts w:ascii="Arial" w:hAnsi="Arial" w:cs="Arial"/>
                <w:snapToGrid w:val="0"/>
                <w:sz w:val="20"/>
                <w:szCs w:val="22"/>
                <w:lang w:eastAsia="en-US"/>
              </w:rPr>
            </w:pPr>
            <w:r w:rsidRPr="00D407A7">
              <w:rPr>
                <w:rFonts w:ascii="Arial" w:hAnsi="Arial" w:cs="Arial"/>
                <w:snapToGrid w:val="0"/>
                <w:sz w:val="20"/>
                <w:szCs w:val="22"/>
                <w:lang w:eastAsia="en-US"/>
              </w:rPr>
              <w:t xml:space="preserve">Resubmission to request a Section 100 </w:t>
            </w:r>
            <w:r w:rsidR="000C0829">
              <w:rPr>
                <w:rFonts w:ascii="Arial" w:hAnsi="Arial" w:cs="Arial"/>
                <w:snapToGrid w:val="0"/>
                <w:sz w:val="20"/>
                <w:szCs w:val="22"/>
                <w:lang w:eastAsia="en-US"/>
              </w:rPr>
              <w:t>(</w:t>
            </w:r>
            <w:r w:rsidRPr="00D407A7">
              <w:rPr>
                <w:rFonts w:ascii="Arial" w:hAnsi="Arial" w:cs="Arial"/>
                <w:snapToGrid w:val="0"/>
                <w:sz w:val="20"/>
                <w:szCs w:val="22"/>
                <w:lang w:eastAsia="en-US"/>
              </w:rPr>
              <w:t>Efficient funding for Chemotherapy</w:t>
            </w:r>
            <w:r w:rsidR="000C0829">
              <w:rPr>
                <w:rFonts w:ascii="Arial" w:hAnsi="Arial" w:cs="Arial"/>
                <w:snapToGrid w:val="0"/>
                <w:sz w:val="20"/>
                <w:szCs w:val="22"/>
                <w:lang w:eastAsia="en-US"/>
              </w:rPr>
              <w:t>) Authority Required</w:t>
            </w:r>
            <w:r w:rsidRPr="00D407A7">
              <w:rPr>
                <w:rFonts w:ascii="Arial" w:hAnsi="Arial" w:cs="Arial"/>
                <w:snapToGrid w:val="0"/>
                <w:sz w:val="20"/>
                <w:szCs w:val="22"/>
                <w:lang w:eastAsia="en-US"/>
              </w:rPr>
              <w:t xml:space="preserve"> listing:</w:t>
            </w:r>
          </w:p>
          <w:p w14:paraId="094B60F8" w14:textId="788CFC7D" w:rsidR="00D407A7" w:rsidRPr="00D407A7" w:rsidRDefault="00D407A7" w:rsidP="00AB2CF6">
            <w:pPr>
              <w:keepLines/>
              <w:widowControl w:val="0"/>
              <w:numPr>
                <w:ilvl w:val="0"/>
                <w:numId w:val="23"/>
              </w:numPr>
              <w:ind w:left="316" w:hanging="316"/>
              <w:rPr>
                <w:rFonts w:ascii="Arial" w:hAnsi="Arial" w:cs="Arial"/>
                <w:snapToGrid w:val="0"/>
                <w:sz w:val="20"/>
                <w:szCs w:val="22"/>
                <w:lang w:eastAsia="en-US"/>
              </w:rPr>
            </w:pPr>
            <w:r w:rsidRPr="00D407A7">
              <w:rPr>
                <w:rFonts w:ascii="Arial" w:hAnsi="Arial" w:cs="Arial"/>
                <w:snapToGrid w:val="0"/>
                <w:sz w:val="20"/>
                <w:szCs w:val="22"/>
                <w:lang w:eastAsia="en-US"/>
              </w:rPr>
              <w:t xml:space="preserve">in combination with </w:t>
            </w:r>
            <w:proofErr w:type="spellStart"/>
            <w:r w:rsidRPr="00D407A7">
              <w:rPr>
                <w:rFonts w:ascii="Arial" w:hAnsi="Arial" w:cs="Arial"/>
                <w:snapToGrid w:val="0"/>
                <w:sz w:val="20"/>
                <w:szCs w:val="22"/>
                <w:lang w:eastAsia="en-US"/>
              </w:rPr>
              <w:t>bortezomib</w:t>
            </w:r>
            <w:proofErr w:type="spellEnd"/>
            <w:r w:rsidRPr="00D407A7">
              <w:rPr>
                <w:rFonts w:ascii="Arial" w:hAnsi="Arial" w:cs="Arial"/>
                <w:snapToGrid w:val="0"/>
                <w:sz w:val="20"/>
                <w:szCs w:val="22"/>
                <w:lang w:eastAsia="en-US"/>
              </w:rPr>
              <w:t xml:space="preserve"> and dexamethasone</w:t>
            </w:r>
            <w:r w:rsidR="00817AA9">
              <w:rPr>
                <w:rFonts w:ascii="Arial" w:hAnsi="Arial" w:cs="Arial"/>
                <w:snapToGrid w:val="0"/>
                <w:sz w:val="20"/>
                <w:szCs w:val="22"/>
                <w:lang w:eastAsia="en-US"/>
              </w:rPr>
              <w:t xml:space="preserve"> (</w:t>
            </w:r>
            <w:proofErr w:type="spellStart"/>
            <w:r w:rsidR="00817AA9">
              <w:rPr>
                <w:rFonts w:ascii="Arial" w:hAnsi="Arial" w:cs="Arial"/>
                <w:snapToGrid w:val="0"/>
                <w:sz w:val="20"/>
                <w:szCs w:val="22"/>
                <w:lang w:eastAsia="en-US"/>
              </w:rPr>
              <w:t>DBd</w:t>
            </w:r>
            <w:proofErr w:type="spellEnd"/>
            <w:r w:rsidR="00817AA9">
              <w:rPr>
                <w:rFonts w:ascii="Arial" w:hAnsi="Arial" w:cs="Arial"/>
                <w:snapToGrid w:val="0"/>
                <w:sz w:val="20"/>
                <w:szCs w:val="22"/>
                <w:lang w:eastAsia="en-US"/>
              </w:rPr>
              <w:t>)</w:t>
            </w:r>
            <w:r w:rsidRPr="00D407A7">
              <w:rPr>
                <w:rFonts w:ascii="Arial" w:hAnsi="Arial" w:cs="Arial"/>
                <w:snapToGrid w:val="0"/>
                <w:sz w:val="20"/>
                <w:szCs w:val="22"/>
                <w:lang w:eastAsia="en-US"/>
              </w:rPr>
              <w:t xml:space="preserve"> </w:t>
            </w:r>
            <w:r w:rsidR="00AB2CF6">
              <w:rPr>
                <w:rFonts w:ascii="Arial" w:hAnsi="Arial" w:cs="Arial"/>
                <w:snapToGrid w:val="0"/>
                <w:sz w:val="20"/>
                <w:szCs w:val="22"/>
                <w:lang w:eastAsia="en-US"/>
              </w:rPr>
              <w:t xml:space="preserve">for the treatment of </w:t>
            </w:r>
            <w:r w:rsidRPr="00D407A7">
              <w:rPr>
                <w:rFonts w:ascii="Arial" w:hAnsi="Arial" w:cs="Arial"/>
                <w:snapToGrid w:val="0"/>
                <w:sz w:val="20"/>
                <w:szCs w:val="22"/>
                <w:lang w:eastAsia="en-US"/>
              </w:rPr>
              <w:t>patients with relapsed or refractory multiple myeloma</w:t>
            </w:r>
            <w:r w:rsidR="00AB2CF6" w:rsidRPr="00AB2CF6">
              <w:rPr>
                <w:rFonts w:ascii="Arial" w:hAnsi="Arial" w:cs="Arial"/>
                <w:snapToGrid w:val="0"/>
                <w:sz w:val="20"/>
                <w:szCs w:val="22"/>
                <w:lang w:eastAsia="en-US"/>
              </w:rPr>
              <w:t xml:space="preserve"> </w:t>
            </w:r>
            <w:r w:rsidR="00AB2CF6">
              <w:rPr>
                <w:rFonts w:ascii="Arial" w:hAnsi="Arial" w:cs="Arial"/>
                <w:snapToGrid w:val="0"/>
                <w:sz w:val="20"/>
                <w:szCs w:val="22"/>
                <w:lang w:eastAsia="en-US"/>
              </w:rPr>
              <w:t xml:space="preserve">(RRMM) </w:t>
            </w:r>
            <w:r w:rsidR="00AB2CF6" w:rsidRPr="00AB2CF6">
              <w:rPr>
                <w:rFonts w:ascii="Arial" w:hAnsi="Arial" w:cs="Arial"/>
                <w:snapToGrid w:val="0"/>
                <w:sz w:val="20"/>
                <w:szCs w:val="22"/>
                <w:lang w:eastAsia="en-US"/>
              </w:rPr>
              <w:t>who have progressive disease after at least one prior therapy</w:t>
            </w:r>
            <w:r w:rsidRPr="00D407A7">
              <w:rPr>
                <w:rFonts w:ascii="Arial" w:hAnsi="Arial" w:cs="Arial"/>
                <w:snapToGrid w:val="0"/>
                <w:sz w:val="20"/>
                <w:szCs w:val="22"/>
                <w:lang w:eastAsia="en-US"/>
              </w:rPr>
              <w:t>; and</w:t>
            </w:r>
          </w:p>
          <w:p w14:paraId="2BD3B986" w14:textId="23C62724" w:rsidR="00D407A7" w:rsidRPr="0046724E" w:rsidRDefault="00D407A7" w:rsidP="00AB2CF6">
            <w:pPr>
              <w:keepLines/>
              <w:widowControl w:val="0"/>
              <w:numPr>
                <w:ilvl w:val="0"/>
                <w:numId w:val="23"/>
              </w:numPr>
              <w:ind w:left="284" w:hanging="284"/>
              <w:rPr>
                <w:rFonts w:ascii="Arial" w:hAnsi="Arial" w:cs="Arial"/>
                <w:sz w:val="20"/>
              </w:rPr>
            </w:pPr>
            <w:proofErr w:type="gramStart"/>
            <w:r w:rsidRPr="00D407A7">
              <w:rPr>
                <w:rFonts w:ascii="Arial" w:hAnsi="Arial" w:cs="Arial"/>
                <w:snapToGrid w:val="0"/>
                <w:sz w:val="20"/>
                <w:szCs w:val="22"/>
                <w:lang w:eastAsia="en-US"/>
              </w:rPr>
              <w:t>as</w:t>
            </w:r>
            <w:proofErr w:type="gramEnd"/>
            <w:r w:rsidRPr="00D407A7">
              <w:rPr>
                <w:rFonts w:ascii="Arial" w:hAnsi="Arial" w:cs="Arial"/>
                <w:snapToGrid w:val="0"/>
                <w:sz w:val="20"/>
                <w:szCs w:val="22"/>
                <w:lang w:eastAsia="en-US"/>
              </w:rPr>
              <w:t xml:space="preserve"> monotherapy for highly treatment experienced or </w:t>
            </w:r>
            <w:r w:rsidR="00AB2CF6" w:rsidRPr="00D407A7">
              <w:rPr>
                <w:rFonts w:ascii="Arial" w:hAnsi="Arial" w:cs="Arial"/>
                <w:snapToGrid w:val="0"/>
                <w:sz w:val="20"/>
                <w:szCs w:val="22"/>
                <w:lang w:eastAsia="en-US"/>
              </w:rPr>
              <w:t xml:space="preserve">refractory </w:t>
            </w:r>
            <w:r w:rsidRPr="00D407A7">
              <w:rPr>
                <w:rFonts w:ascii="Arial" w:hAnsi="Arial" w:cs="Arial"/>
                <w:snapToGrid w:val="0"/>
                <w:sz w:val="20"/>
                <w:szCs w:val="22"/>
                <w:lang w:eastAsia="en-US"/>
              </w:rPr>
              <w:t>patients</w:t>
            </w:r>
            <w:r w:rsidR="00AB2CF6">
              <w:rPr>
                <w:rFonts w:ascii="Arial" w:hAnsi="Arial" w:cs="Arial"/>
                <w:snapToGrid w:val="0"/>
                <w:sz w:val="20"/>
                <w:szCs w:val="22"/>
                <w:lang w:eastAsia="en-US"/>
              </w:rPr>
              <w:t xml:space="preserve"> with multiple myeloma</w:t>
            </w:r>
            <w:r w:rsidRPr="00D407A7">
              <w:rPr>
                <w:rFonts w:ascii="Arial" w:hAnsi="Arial" w:cs="Arial"/>
                <w:snapToGrid w:val="0"/>
                <w:sz w:val="20"/>
                <w:szCs w:val="22"/>
                <w:lang w:eastAsia="en-US"/>
              </w:rPr>
              <w:t>.</w:t>
            </w:r>
          </w:p>
        </w:tc>
        <w:tc>
          <w:tcPr>
            <w:tcW w:w="5245" w:type="dxa"/>
            <w:tcBorders>
              <w:bottom w:val="single" w:sz="4" w:space="0" w:color="auto"/>
            </w:tcBorders>
          </w:tcPr>
          <w:p w14:paraId="748122B1" w14:textId="7A3966B5" w:rsidR="00D407A7" w:rsidRPr="00D407A7" w:rsidRDefault="00D407A7" w:rsidP="00D407A7">
            <w:pPr>
              <w:widowControl w:val="0"/>
              <w:rPr>
                <w:rFonts w:ascii="Arial" w:hAnsi="Arial" w:cs="Arial"/>
                <w:snapToGrid w:val="0"/>
                <w:sz w:val="20"/>
                <w:lang w:eastAsia="en-US"/>
              </w:rPr>
            </w:pPr>
            <w:r w:rsidRPr="00D407A7">
              <w:rPr>
                <w:rFonts w:ascii="Arial" w:hAnsi="Arial" w:cs="Arial"/>
                <w:snapToGrid w:val="0"/>
                <w:sz w:val="20"/>
                <w:lang w:eastAsia="en-US"/>
              </w:rPr>
              <w:t xml:space="preserve">The PBAC did not recommend the listing of </w:t>
            </w:r>
            <w:proofErr w:type="spellStart"/>
            <w:r w:rsidRPr="00D407A7">
              <w:rPr>
                <w:rFonts w:ascii="Arial" w:hAnsi="Arial" w:cs="Arial"/>
                <w:snapToGrid w:val="0"/>
                <w:sz w:val="20"/>
                <w:lang w:eastAsia="en-US"/>
              </w:rPr>
              <w:t>daratumumab</w:t>
            </w:r>
            <w:proofErr w:type="spellEnd"/>
            <w:r w:rsidRPr="00D407A7">
              <w:rPr>
                <w:rFonts w:ascii="Arial" w:hAnsi="Arial" w:cs="Arial"/>
                <w:snapToGrid w:val="0"/>
                <w:sz w:val="20"/>
                <w:lang w:eastAsia="en-US"/>
              </w:rPr>
              <w:t xml:space="preserve"> for use in combination with </w:t>
            </w:r>
            <w:proofErr w:type="spellStart"/>
            <w:r w:rsidRPr="00D407A7">
              <w:rPr>
                <w:rFonts w:ascii="Arial" w:hAnsi="Arial" w:cs="Arial"/>
                <w:snapToGrid w:val="0"/>
                <w:sz w:val="20"/>
                <w:lang w:eastAsia="en-US"/>
              </w:rPr>
              <w:t>DBd</w:t>
            </w:r>
            <w:proofErr w:type="spellEnd"/>
            <w:r w:rsidRPr="00D407A7">
              <w:rPr>
                <w:rFonts w:ascii="Arial" w:hAnsi="Arial" w:cs="Arial"/>
                <w:snapToGrid w:val="0"/>
                <w:sz w:val="20"/>
                <w:lang w:eastAsia="en-US"/>
              </w:rPr>
              <w:t xml:space="preserve"> in RRMM, on the basis of a high and uncertain cost-effectiveness ratio. The PBAC was also concerned about the very high estimated financial implications. The PBAC acknowledged the clinical need for additional treatments for RRMM and considered that </w:t>
            </w:r>
            <w:proofErr w:type="spellStart"/>
            <w:r w:rsidRPr="00D407A7">
              <w:rPr>
                <w:rFonts w:ascii="Arial" w:hAnsi="Arial" w:cs="Arial"/>
                <w:snapToGrid w:val="0"/>
                <w:sz w:val="20"/>
                <w:lang w:eastAsia="en-US"/>
              </w:rPr>
              <w:t>daratumumab</w:t>
            </w:r>
            <w:proofErr w:type="spellEnd"/>
            <w:r w:rsidRPr="00D407A7">
              <w:rPr>
                <w:rFonts w:ascii="Arial" w:hAnsi="Arial" w:cs="Arial"/>
                <w:snapToGrid w:val="0"/>
                <w:sz w:val="20"/>
                <w:lang w:eastAsia="en-US"/>
              </w:rPr>
              <w:t xml:space="preserve"> is an effective treatment; however, at the price proposed it was not a cost-effective treatment, even in the scenario proposed in the resubmission which included overly optimistic model assumptions regarding its benefits due to the use of a subgroup of the trial population, an uncertain adjustment for crossover and a benefit sustained over 15 to 20 years.</w:t>
            </w:r>
          </w:p>
          <w:p w14:paraId="191CD86A" w14:textId="77777777" w:rsidR="00D407A7" w:rsidRPr="00D407A7" w:rsidRDefault="00D407A7" w:rsidP="00D407A7">
            <w:pPr>
              <w:widowControl w:val="0"/>
              <w:rPr>
                <w:rFonts w:ascii="Arial" w:hAnsi="Arial" w:cs="Arial"/>
                <w:snapToGrid w:val="0"/>
                <w:sz w:val="20"/>
                <w:lang w:eastAsia="en-US"/>
              </w:rPr>
            </w:pPr>
          </w:p>
          <w:p w14:paraId="3AF5FCE5" w14:textId="77777777" w:rsidR="00D407A7" w:rsidRDefault="00D407A7" w:rsidP="00AB2CF6">
            <w:pPr>
              <w:rPr>
                <w:rFonts w:ascii="Arial" w:hAnsi="Arial" w:cs="Arial"/>
                <w:bCs/>
                <w:snapToGrid w:val="0"/>
                <w:sz w:val="20"/>
                <w:lang w:eastAsia="en-US"/>
              </w:rPr>
            </w:pPr>
            <w:r w:rsidRPr="00D407A7">
              <w:rPr>
                <w:rFonts w:ascii="Arial" w:hAnsi="Arial" w:cs="Arial"/>
                <w:bCs/>
                <w:snapToGrid w:val="0"/>
                <w:sz w:val="20"/>
                <w:lang w:eastAsia="en-US"/>
              </w:rPr>
              <w:t xml:space="preserve">The PBAC was unable to consider the listing of </w:t>
            </w:r>
            <w:proofErr w:type="spellStart"/>
            <w:r w:rsidRPr="00D407A7">
              <w:rPr>
                <w:rFonts w:ascii="Arial" w:hAnsi="Arial" w:cs="Arial"/>
                <w:bCs/>
                <w:snapToGrid w:val="0"/>
                <w:sz w:val="20"/>
                <w:lang w:eastAsia="en-US"/>
              </w:rPr>
              <w:t>daratumumab</w:t>
            </w:r>
            <w:proofErr w:type="spellEnd"/>
            <w:r w:rsidRPr="00D407A7">
              <w:rPr>
                <w:rFonts w:ascii="Arial" w:hAnsi="Arial" w:cs="Arial"/>
                <w:bCs/>
                <w:snapToGrid w:val="0"/>
                <w:sz w:val="20"/>
                <w:lang w:eastAsia="en-US"/>
              </w:rPr>
              <w:t xml:space="preserve"> monotherapy as a fourth-line treatment in </w:t>
            </w:r>
            <w:r w:rsidR="00AB2CF6">
              <w:rPr>
                <w:rFonts w:ascii="Arial" w:hAnsi="Arial" w:cs="Arial"/>
                <w:bCs/>
                <w:snapToGrid w:val="0"/>
                <w:sz w:val="20"/>
                <w:lang w:eastAsia="en-US"/>
              </w:rPr>
              <w:t>highly treatment experienced or refractory patients with multiple myeloma</w:t>
            </w:r>
            <w:r w:rsidR="00AB2CF6" w:rsidRPr="00D407A7">
              <w:rPr>
                <w:rFonts w:ascii="Arial" w:hAnsi="Arial" w:cs="Arial"/>
                <w:bCs/>
                <w:snapToGrid w:val="0"/>
                <w:sz w:val="20"/>
                <w:lang w:eastAsia="en-US"/>
              </w:rPr>
              <w:t xml:space="preserve"> </w:t>
            </w:r>
            <w:r w:rsidRPr="00D407A7">
              <w:rPr>
                <w:rFonts w:ascii="Arial" w:hAnsi="Arial" w:cs="Arial"/>
                <w:bCs/>
                <w:snapToGrid w:val="0"/>
                <w:sz w:val="20"/>
                <w:lang w:eastAsia="en-US"/>
              </w:rPr>
              <w:t>as no comparative clinical or economic data were provided.</w:t>
            </w:r>
          </w:p>
          <w:p w14:paraId="02A71495" w14:textId="0DA62C16" w:rsidR="0052700A" w:rsidRPr="0046724E" w:rsidRDefault="0052700A" w:rsidP="00AB2CF6">
            <w:pPr>
              <w:rPr>
                <w:rFonts w:ascii="Arial" w:hAnsi="Arial" w:cs="Arial"/>
                <w:sz w:val="20"/>
                <w:highlight w:val="yellow"/>
              </w:rPr>
            </w:pPr>
          </w:p>
        </w:tc>
      </w:tr>
      <w:tr w:rsidR="00A20B77" w:rsidRPr="00447CFB" w14:paraId="41C4FB71" w14:textId="77777777" w:rsidTr="00537695">
        <w:trPr>
          <w:trHeight w:val="3455"/>
        </w:trPr>
        <w:tc>
          <w:tcPr>
            <w:tcW w:w="2127" w:type="dxa"/>
            <w:vMerge/>
          </w:tcPr>
          <w:p w14:paraId="0389FA1E" w14:textId="77777777" w:rsidR="00A20B77" w:rsidRPr="007E146D" w:rsidRDefault="00A20B77" w:rsidP="00D407A7">
            <w:pPr>
              <w:rPr>
                <w:rFonts w:ascii="Arial" w:hAnsi="Arial" w:cs="Arial"/>
                <w:sz w:val="20"/>
              </w:rPr>
            </w:pPr>
          </w:p>
        </w:tc>
        <w:tc>
          <w:tcPr>
            <w:tcW w:w="2268" w:type="dxa"/>
            <w:vMerge/>
          </w:tcPr>
          <w:p w14:paraId="5F4D0A5E" w14:textId="77777777" w:rsidR="00A20B77" w:rsidRPr="007E146D" w:rsidRDefault="00A20B77" w:rsidP="00D407A7">
            <w:pPr>
              <w:rPr>
                <w:rFonts w:ascii="Arial" w:hAnsi="Arial" w:cs="Arial"/>
                <w:sz w:val="20"/>
              </w:rPr>
            </w:pPr>
          </w:p>
        </w:tc>
        <w:tc>
          <w:tcPr>
            <w:tcW w:w="2155" w:type="dxa"/>
            <w:vMerge/>
          </w:tcPr>
          <w:p w14:paraId="29939E34" w14:textId="77777777" w:rsidR="00A20B77" w:rsidRPr="007E146D" w:rsidRDefault="00A20B77" w:rsidP="00D407A7">
            <w:pPr>
              <w:rPr>
                <w:rFonts w:ascii="Arial" w:hAnsi="Arial" w:cs="Arial"/>
                <w:sz w:val="20"/>
              </w:rPr>
            </w:pPr>
          </w:p>
        </w:tc>
        <w:tc>
          <w:tcPr>
            <w:tcW w:w="3089" w:type="dxa"/>
            <w:tcBorders>
              <w:right w:val="single" w:sz="4" w:space="0" w:color="auto"/>
            </w:tcBorders>
          </w:tcPr>
          <w:p w14:paraId="1F28F381" w14:textId="77777777" w:rsidR="00A20B77" w:rsidRPr="00EB358A" w:rsidRDefault="00A20B77" w:rsidP="00EB358A">
            <w:pPr>
              <w:pStyle w:val="ListBullet"/>
            </w:pPr>
            <w:r w:rsidRPr="0046724E">
              <w:t>Comparator:</w:t>
            </w:r>
          </w:p>
          <w:p w14:paraId="5CD57663" w14:textId="77777777" w:rsidR="00B02F31" w:rsidRDefault="00A20B77" w:rsidP="00EB358A">
            <w:pPr>
              <w:pStyle w:val="ListBullet"/>
            </w:pPr>
            <w:r w:rsidRPr="00A66E75">
              <w:t xml:space="preserve">Combination therapy: </w:t>
            </w:r>
            <w:proofErr w:type="spellStart"/>
            <w:r w:rsidRPr="00B91BCA">
              <w:t>bortezomib</w:t>
            </w:r>
            <w:proofErr w:type="spellEnd"/>
            <w:r w:rsidRPr="00B91BCA">
              <w:t xml:space="preserve"> plus dexamethasone (</w:t>
            </w:r>
            <w:proofErr w:type="spellStart"/>
            <w:r w:rsidRPr="00B91BCA">
              <w:t>Bd</w:t>
            </w:r>
            <w:proofErr w:type="spellEnd"/>
            <w:r w:rsidRPr="00B91BCA">
              <w:t>)</w:t>
            </w:r>
          </w:p>
          <w:p w14:paraId="20146A66" w14:textId="219E9C0E" w:rsidR="00A20B77" w:rsidRPr="00A66E75" w:rsidRDefault="00A20B77" w:rsidP="00EB358A">
            <w:pPr>
              <w:pStyle w:val="ListBullet"/>
            </w:pPr>
            <w:r w:rsidRPr="00A66E75">
              <w:t xml:space="preserve">Monotherapy: </w:t>
            </w:r>
            <w:r w:rsidRPr="00B91BCA">
              <w:t>no comparator was nominated</w:t>
            </w:r>
          </w:p>
          <w:p w14:paraId="4A428D71" w14:textId="77777777" w:rsidR="00A20B77" w:rsidRPr="00EB358A" w:rsidRDefault="00A20B77" w:rsidP="00EB358A">
            <w:pPr>
              <w:pStyle w:val="ListBullet"/>
            </w:pPr>
          </w:p>
        </w:tc>
        <w:tc>
          <w:tcPr>
            <w:tcW w:w="5245" w:type="dxa"/>
            <w:tcBorders>
              <w:left w:val="single" w:sz="4" w:space="0" w:color="auto"/>
            </w:tcBorders>
          </w:tcPr>
          <w:p w14:paraId="7638FF57" w14:textId="77777777" w:rsidR="00A20B77" w:rsidRPr="00D407A7" w:rsidRDefault="00A20B77" w:rsidP="001943AA">
            <w:pPr>
              <w:widowControl w:val="0"/>
              <w:rPr>
                <w:rFonts w:ascii="Arial" w:hAnsi="Arial" w:cs="Arial"/>
                <w:snapToGrid w:val="0"/>
                <w:sz w:val="20"/>
                <w:lang w:eastAsia="en-US"/>
              </w:rPr>
            </w:pPr>
            <w:r w:rsidRPr="00D407A7">
              <w:rPr>
                <w:rFonts w:ascii="Arial" w:hAnsi="Arial" w:cs="Arial"/>
                <w:snapToGrid w:val="0"/>
                <w:sz w:val="20"/>
                <w:lang w:eastAsia="en-US"/>
              </w:rPr>
              <w:t xml:space="preserve">The PBAC previously accepted </w:t>
            </w:r>
            <w:proofErr w:type="spellStart"/>
            <w:r w:rsidRPr="00D407A7">
              <w:rPr>
                <w:rFonts w:ascii="Arial" w:hAnsi="Arial" w:cs="Arial"/>
                <w:snapToGrid w:val="0"/>
                <w:sz w:val="20"/>
                <w:lang w:eastAsia="en-US"/>
              </w:rPr>
              <w:t>Bd</w:t>
            </w:r>
            <w:proofErr w:type="spellEnd"/>
            <w:r w:rsidRPr="00D407A7">
              <w:rPr>
                <w:rFonts w:ascii="Arial" w:hAnsi="Arial" w:cs="Arial"/>
                <w:snapToGrid w:val="0"/>
                <w:sz w:val="20"/>
                <w:lang w:eastAsia="en-US"/>
              </w:rPr>
              <w:t xml:space="preserve"> as the appropriate comparator for </w:t>
            </w:r>
            <w:proofErr w:type="spellStart"/>
            <w:r w:rsidRPr="00D407A7">
              <w:rPr>
                <w:rFonts w:ascii="Arial" w:hAnsi="Arial" w:cs="Arial"/>
                <w:snapToGrid w:val="0"/>
                <w:sz w:val="20"/>
                <w:lang w:eastAsia="en-US"/>
              </w:rPr>
              <w:t>DBd</w:t>
            </w:r>
            <w:proofErr w:type="spellEnd"/>
            <w:r w:rsidRPr="00D407A7">
              <w:rPr>
                <w:rFonts w:ascii="Arial" w:hAnsi="Arial" w:cs="Arial"/>
                <w:snapToGrid w:val="0"/>
                <w:sz w:val="20"/>
                <w:lang w:eastAsia="en-US"/>
              </w:rPr>
              <w:t>.</w:t>
            </w:r>
          </w:p>
          <w:p w14:paraId="03A89DE7" w14:textId="77777777" w:rsidR="00A20B77" w:rsidRPr="00D407A7" w:rsidRDefault="00A20B77" w:rsidP="001943AA">
            <w:pPr>
              <w:widowControl w:val="0"/>
              <w:rPr>
                <w:rFonts w:ascii="Arial" w:hAnsi="Arial" w:cs="Arial"/>
                <w:snapToGrid w:val="0"/>
                <w:sz w:val="20"/>
                <w:lang w:eastAsia="en-US"/>
              </w:rPr>
            </w:pPr>
          </w:p>
          <w:p w14:paraId="7D8DBE28" w14:textId="020F62B9" w:rsidR="00A20B77" w:rsidRPr="007E146D" w:rsidRDefault="00A20B77" w:rsidP="00D407A7">
            <w:pPr>
              <w:rPr>
                <w:rFonts w:ascii="Arial" w:hAnsi="Arial" w:cs="Arial"/>
                <w:sz w:val="20"/>
              </w:rPr>
            </w:pPr>
            <w:r w:rsidRPr="00D407A7">
              <w:rPr>
                <w:rFonts w:ascii="Arial" w:hAnsi="Arial" w:cs="Arial"/>
                <w:snapToGrid w:val="0"/>
                <w:sz w:val="20"/>
                <w:lang w:eastAsia="en-US"/>
              </w:rPr>
              <w:t xml:space="preserve">The PBAC noted that no comparator was nominated for </w:t>
            </w:r>
            <w:proofErr w:type="spellStart"/>
            <w:r w:rsidRPr="00D407A7">
              <w:rPr>
                <w:rFonts w:ascii="Arial" w:hAnsi="Arial" w:cs="Arial"/>
                <w:snapToGrid w:val="0"/>
                <w:sz w:val="20"/>
                <w:lang w:eastAsia="en-US"/>
              </w:rPr>
              <w:t>daratumumab</w:t>
            </w:r>
            <w:proofErr w:type="spellEnd"/>
            <w:r w:rsidRPr="00D407A7">
              <w:rPr>
                <w:rFonts w:ascii="Arial" w:hAnsi="Arial" w:cs="Arial"/>
                <w:snapToGrid w:val="0"/>
                <w:sz w:val="20"/>
                <w:lang w:eastAsia="en-US"/>
              </w:rPr>
              <w:t xml:space="preserve"> monotherapy. </w:t>
            </w:r>
            <w:r w:rsidRPr="00D407A7">
              <w:rPr>
                <w:rFonts w:ascii="Arial" w:hAnsi="Arial" w:cs="Arial"/>
                <w:bCs/>
                <w:snapToGrid w:val="0"/>
                <w:sz w:val="20"/>
                <w:lang w:eastAsia="en-US"/>
              </w:rPr>
              <w:t xml:space="preserve">The PBAC noted that </w:t>
            </w:r>
            <w:proofErr w:type="spellStart"/>
            <w:r w:rsidRPr="00D407A7">
              <w:rPr>
                <w:rFonts w:ascii="Arial" w:hAnsi="Arial" w:cs="Arial"/>
                <w:bCs/>
                <w:snapToGrid w:val="0"/>
                <w:sz w:val="20"/>
                <w:lang w:eastAsia="en-US"/>
              </w:rPr>
              <w:t>i</w:t>
            </w:r>
            <w:proofErr w:type="spellEnd"/>
            <w:r w:rsidRPr="00D407A7">
              <w:rPr>
                <w:rFonts w:ascii="Arial" w:hAnsi="Arial" w:cs="Arial"/>
                <w:bCs/>
                <w:snapToGrid w:val="0"/>
                <w:sz w:val="20"/>
                <w:lang w:eastAsia="en-US"/>
              </w:rPr>
              <w:t xml:space="preserve">) ESC had previously considered that </w:t>
            </w:r>
            <w:proofErr w:type="spellStart"/>
            <w:r w:rsidRPr="00D407A7">
              <w:rPr>
                <w:rFonts w:ascii="Arial" w:hAnsi="Arial" w:cs="Arial"/>
                <w:bCs/>
                <w:snapToGrid w:val="0"/>
                <w:sz w:val="20"/>
                <w:lang w:eastAsia="en-US"/>
              </w:rPr>
              <w:t>pomalidomide</w:t>
            </w:r>
            <w:proofErr w:type="spellEnd"/>
            <w:r w:rsidRPr="00D407A7">
              <w:rPr>
                <w:rFonts w:ascii="Arial" w:hAnsi="Arial" w:cs="Arial"/>
                <w:bCs/>
                <w:snapToGrid w:val="0"/>
                <w:sz w:val="20"/>
                <w:lang w:eastAsia="en-US"/>
              </w:rPr>
              <w:t xml:space="preserve"> would be a potentially relevant comparator (October 2017); and ii) a NICE technology appraisal guidance document in which that </w:t>
            </w:r>
            <w:proofErr w:type="spellStart"/>
            <w:r w:rsidRPr="00D407A7">
              <w:rPr>
                <w:rFonts w:ascii="Arial" w:hAnsi="Arial" w:cs="Arial"/>
                <w:bCs/>
                <w:snapToGrid w:val="0"/>
                <w:sz w:val="20"/>
                <w:lang w:eastAsia="en-US"/>
              </w:rPr>
              <w:t>daratumumab</w:t>
            </w:r>
            <w:proofErr w:type="spellEnd"/>
            <w:r w:rsidRPr="00D407A7">
              <w:rPr>
                <w:rFonts w:ascii="Arial" w:hAnsi="Arial" w:cs="Arial"/>
                <w:bCs/>
                <w:snapToGrid w:val="0"/>
                <w:sz w:val="20"/>
                <w:lang w:eastAsia="en-US"/>
              </w:rPr>
              <w:t xml:space="preserve"> monotherapy was indirectly compared with </w:t>
            </w:r>
            <w:proofErr w:type="spellStart"/>
            <w:r w:rsidRPr="00D407A7">
              <w:rPr>
                <w:rFonts w:ascii="Arial" w:hAnsi="Arial" w:cs="Arial"/>
                <w:bCs/>
                <w:snapToGrid w:val="0"/>
                <w:sz w:val="20"/>
                <w:lang w:eastAsia="en-US"/>
              </w:rPr>
              <w:t>pomalidomide</w:t>
            </w:r>
            <w:proofErr w:type="spellEnd"/>
            <w:r w:rsidRPr="00D407A7">
              <w:rPr>
                <w:rFonts w:ascii="Arial" w:hAnsi="Arial" w:cs="Arial"/>
                <w:bCs/>
                <w:snapToGrid w:val="0"/>
                <w:sz w:val="20"/>
                <w:lang w:eastAsia="en-US"/>
              </w:rPr>
              <w:t xml:space="preserve"> plus dexamethasone.</w:t>
            </w:r>
          </w:p>
        </w:tc>
      </w:tr>
      <w:tr w:rsidR="00A20B77" w:rsidRPr="00447CFB" w14:paraId="7701EF17" w14:textId="77777777" w:rsidTr="0052700A">
        <w:trPr>
          <w:trHeight w:val="1636"/>
        </w:trPr>
        <w:tc>
          <w:tcPr>
            <w:tcW w:w="2127" w:type="dxa"/>
            <w:vMerge/>
          </w:tcPr>
          <w:p w14:paraId="3CEF0215" w14:textId="77777777" w:rsidR="00A20B77" w:rsidRPr="007E146D" w:rsidRDefault="00A20B77" w:rsidP="00D407A7">
            <w:pPr>
              <w:rPr>
                <w:rFonts w:ascii="Arial" w:hAnsi="Arial" w:cs="Arial"/>
                <w:sz w:val="20"/>
              </w:rPr>
            </w:pPr>
          </w:p>
        </w:tc>
        <w:tc>
          <w:tcPr>
            <w:tcW w:w="2268" w:type="dxa"/>
            <w:vMerge/>
          </w:tcPr>
          <w:p w14:paraId="382FA5EA" w14:textId="77777777" w:rsidR="00A20B77" w:rsidRPr="007E146D" w:rsidRDefault="00A20B77" w:rsidP="00D407A7">
            <w:pPr>
              <w:rPr>
                <w:rFonts w:ascii="Arial" w:hAnsi="Arial" w:cs="Arial"/>
                <w:sz w:val="20"/>
              </w:rPr>
            </w:pPr>
          </w:p>
        </w:tc>
        <w:tc>
          <w:tcPr>
            <w:tcW w:w="2155" w:type="dxa"/>
            <w:vMerge/>
          </w:tcPr>
          <w:p w14:paraId="16FCC406" w14:textId="77777777" w:rsidR="00A20B77" w:rsidRPr="007E146D" w:rsidRDefault="00A20B77" w:rsidP="00D407A7">
            <w:pPr>
              <w:rPr>
                <w:rFonts w:ascii="Arial" w:hAnsi="Arial" w:cs="Arial"/>
                <w:sz w:val="20"/>
              </w:rPr>
            </w:pPr>
          </w:p>
        </w:tc>
        <w:tc>
          <w:tcPr>
            <w:tcW w:w="3089" w:type="dxa"/>
            <w:tcBorders>
              <w:right w:val="single" w:sz="4" w:space="0" w:color="auto"/>
            </w:tcBorders>
          </w:tcPr>
          <w:p w14:paraId="79F8CEA0" w14:textId="77777777" w:rsidR="00A20B77" w:rsidRPr="00B91BCA" w:rsidRDefault="00A20B77" w:rsidP="00EB358A">
            <w:pPr>
              <w:pStyle w:val="ListBullet"/>
            </w:pPr>
            <w:r w:rsidRPr="0046724E">
              <w:t xml:space="preserve">Clinical claim: </w:t>
            </w:r>
          </w:p>
          <w:p w14:paraId="7DF55843" w14:textId="423766D7" w:rsidR="00B02F31" w:rsidRDefault="00A20B77" w:rsidP="00EB358A">
            <w:pPr>
              <w:pStyle w:val="ListBullet"/>
            </w:pPr>
            <w:r w:rsidRPr="001943AA">
              <w:t xml:space="preserve">Combination therapy: superior efficacy and inferior safety compared </w:t>
            </w:r>
            <w:r w:rsidR="00C63C8D">
              <w:t>with</w:t>
            </w:r>
            <w:r w:rsidR="00C63C8D" w:rsidRPr="001943AA">
              <w:t xml:space="preserve"> </w:t>
            </w:r>
            <w:proofErr w:type="spellStart"/>
            <w:r w:rsidRPr="001943AA">
              <w:t>Bd</w:t>
            </w:r>
            <w:proofErr w:type="spellEnd"/>
          </w:p>
          <w:p w14:paraId="250F7264" w14:textId="5C3525BB" w:rsidR="00A20B77" w:rsidRPr="00B91BCA" w:rsidRDefault="00A20B77" w:rsidP="00EB358A">
            <w:pPr>
              <w:pStyle w:val="ListBullet"/>
            </w:pPr>
            <w:r w:rsidRPr="001943AA">
              <w:t xml:space="preserve">Monotherapy: no clinical </w:t>
            </w:r>
            <w:r w:rsidRPr="00B91BCA">
              <w:t>claim was made</w:t>
            </w:r>
          </w:p>
        </w:tc>
        <w:tc>
          <w:tcPr>
            <w:tcW w:w="5245" w:type="dxa"/>
            <w:tcBorders>
              <w:left w:val="single" w:sz="4" w:space="0" w:color="auto"/>
            </w:tcBorders>
          </w:tcPr>
          <w:p w14:paraId="5CA4268A" w14:textId="109A2AD7" w:rsidR="00A20B77" w:rsidRPr="00D407A7" w:rsidRDefault="00A20B77" w:rsidP="001943AA">
            <w:pPr>
              <w:widowControl w:val="0"/>
              <w:rPr>
                <w:rFonts w:ascii="Arial" w:hAnsi="Arial" w:cs="Arial"/>
                <w:snapToGrid w:val="0"/>
                <w:color w:val="FF0000"/>
                <w:sz w:val="20"/>
                <w:szCs w:val="22"/>
                <w:lang w:eastAsia="en-US"/>
              </w:rPr>
            </w:pPr>
            <w:r w:rsidRPr="00D407A7">
              <w:rPr>
                <w:rFonts w:ascii="Arial" w:hAnsi="Arial" w:cs="Arial"/>
                <w:snapToGrid w:val="0"/>
                <w:sz w:val="20"/>
                <w:szCs w:val="22"/>
                <w:lang w:eastAsia="en-US"/>
              </w:rPr>
              <w:t xml:space="preserve">The PBAC again considered that the claims </w:t>
            </w:r>
            <w:r w:rsidR="008B0416">
              <w:rPr>
                <w:rFonts w:ascii="Arial" w:hAnsi="Arial" w:cs="Arial"/>
                <w:snapToGrid w:val="0"/>
                <w:sz w:val="20"/>
                <w:szCs w:val="22"/>
                <w:lang w:eastAsia="en-US"/>
              </w:rPr>
              <w:t xml:space="preserve">for combination therapy </w:t>
            </w:r>
            <w:r w:rsidRPr="00D407A7">
              <w:rPr>
                <w:rFonts w:ascii="Arial" w:hAnsi="Arial" w:cs="Arial"/>
                <w:snapToGrid w:val="0"/>
                <w:sz w:val="20"/>
                <w:szCs w:val="22"/>
                <w:lang w:eastAsia="en-US"/>
              </w:rPr>
              <w:t>were reasonable.</w:t>
            </w:r>
          </w:p>
          <w:p w14:paraId="20676F86" w14:textId="77777777" w:rsidR="00A20B77" w:rsidRDefault="00A20B77" w:rsidP="001943AA">
            <w:pPr>
              <w:rPr>
                <w:rFonts w:ascii="Arial" w:hAnsi="Arial" w:cs="Arial"/>
                <w:snapToGrid w:val="0"/>
                <w:sz w:val="20"/>
                <w:szCs w:val="22"/>
                <w:lang w:eastAsia="en-US"/>
              </w:rPr>
            </w:pPr>
          </w:p>
          <w:p w14:paraId="3B2E3708" w14:textId="77777777" w:rsidR="00A20B77" w:rsidRPr="007E146D" w:rsidRDefault="00A20B77" w:rsidP="001943AA">
            <w:pPr>
              <w:rPr>
                <w:rFonts w:ascii="Arial" w:hAnsi="Arial" w:cs="Arial"/>
                <w:sz w:val="20"/>
              </w:rPr>
            </w:pPr>
            <w:r w:rsidRPr="00D407A7">
              <w:rPr>
                <w:rFonts w:ascii="Arial" w:hAnsi="Arial" w:cs="Arial"/>
                <w:snapToGrid w:val="0"/>
                <w:sz w:val="20"/>
                <w:szCs w:val="22"/>
                <w:lang w:eastAsia="en-US"/>
              </w:rPr>
              <w:t>The PBAC considered that it was not possible to assess the comparative effectiveness or safety of monotherapy.</w:t>
            </w:r>
          </w:p>
        </w:tc>
      </w:tr>
      <w:tr w:rsidR="00A20B77" w:rsidRPr="00447CFB" w14:paraId="00CCF9CC" w14:textId="77777777" w:rsidTr="0052700A">
        <w:trPr>
          <w:trHeight w:val="3419"/>
        </w:trPr>
        <w:tc>
          <w:tcPr>
            <w:tcW w:w="2127" w:type="dxa"/>
            <w:vMerge/>
          </w:tcPr>
          <w:p w14:paraId="203E469C" w14:textId="77777777" w:rsidR="00A20B77" w:rsidRPr="00447CFB" w:rsidRDefault="00A20B77" w:rsidP="00D407A7">
            <w:pPr>
              <w:rPr>
                <w:rFonts w:ascii="Arial" w:hAnsi="Arial" w:cs="Arial"/>
                <w:sz w:val="20"/>
              </w:rPr>
            </w:pPr>
          </w:p>
        </w:tc>
        <w:tc>
          <w:tcPr>
            <w:tcW w:w="2268" w:type="dxa"/>
            <w:vMerge/>
          </w:tcPr>
          <w:p w14:paraId="10278EE3" w14:textId="77777777" w:rsidR="00A20B77" w:rsidRPr="00447CFB" w:rsidRDefault="00A20B77" w:rsidP="00D407A7">
            <w:pPr>
              <w:rPr>
                <w:rFonts w:ascii="Arial" w:hAnsi="Arial" w:cs="Arial"/>
                <w:sz w:val="20"/>
              </w:rPr>
            </w:pPr>
          </w:p>
        </w:tc>
        <w:tc>
          <w:tcPr>
            <w:tcW w:w="2155" w:type="dxa"/>
            <w:vMerge/>
          </w:tcPr>
          <w:p w14:paraId="58A1677D" w14:textId="77777777" w:rsidR="00A20B77" w:rsidRPr="00447CFB" w:rsidRDefault="00A20B77" w:rsidP="00D407A7">
            <w:pPr>
              <w:rPr>
                <w:rFonts w:ascii="Arial" w:hAnsi="Arial" w:cs="Arial"/>
                <w:sz w:val="20"/>
              </w:rPr>
            </w:pPr>
          </w:p>
        </w:tc>
        <w:tc>
          <w:tcPr>
            <w:tcW w:w="3089" w:type="dxa"/>
            <w:tcBorders>
              <w:top w:val="single" w:sz="4" w:space="0" w:color="auto"/>
              <w:right w:val="single" w:sz="4" w:space="0" w:color="auto"/>
            </w:tcBorders>
          </w:tcPr>
          <w:p w14:paraId="430C1C1F" w14:textId="77777777" w:rsidR="00A20B77" w:rsidRPr="00447CFB" w:rsidRDefault="00A20B77" w:rsidP="00EB358A">
            <w:pPr>
              <w:pStyle w:val="ListBullet"/>
            </w:pPr>
            <w:r w:rsidRPr="0046724E">
              <w:t xml:space="preserve">Economic claim: </w:t>
            </w:r>
          </w:p>
          <w:p w14:paraId="429FB8D0" w14:textId="3F3E4F8E" w:rsidR="00A20B77" w:rsidRPr="00447CFB" w:rsidRDefault="00A20B77" w:rsidP="00EB358A">
            <w:pPr>
              <w:pStyle w:val="ListBullet"/>
            </w:pPr>
            <w:r w:rsidRPr="00A66E75">
              <w:t xml:space="preserve">Combination therapy: </w:t>
            </w:r>
            <w:r w:rsidRPr="00B91BCA">
              <w:t xml:space="preserve">cost-effectiveness analysis compared </w:t>
            </w:r>
            <w:r w:rsidR="00EB19EB">
              <w:t>with</w:t>
            </w:r>
            <w:r w:rsidR="00EB19EB" w:rsidRPr="00B91BCA">
              <w:t xml:space="preserve"> </w:t>
            </w:r>
            <w:proofErr w:type="spellStart"/>
            <w:r w:rsidRPr="00B91BCA">
              <w:t>Bd</w:t>
            </w:r>
            <w:proofErr w:type="spellEnd"/>
          </w:p>
          <w:p w14:paraId="053FC848" w14:textId="77777777" w:rsidR="00A20B77" w:rsidRPr="00447CFB" w:rsidRDefault="00A20B77" w:rsidP="00EB358A">
            <w:pPr>
              <w:pStyle w:val="ListBullet"/>
            </w:pPr>
            <w:r w:rsidRPr="00A66E75">
              <w:t xml:space="preserve">Monotherapy: </w:t>
            </w:r>
            <w:r w:rsidRPr="00B91BCA">
              <w:t>no cost-effectiveness analysis was presented</w:t>
            </w:r>
          </w:p>
        </w:tc>
        <w:tc>
          <w:tcPr>
            <w:tcW w:w="5245" w:type="dxa"/>
            <w:tcBorders>
              <w:top w:val="single" w:sz="4" w:space="0" w:color="auto"/>
              <w:left w:val="single" w:sz="4" w:space="0" w:color="auto"/>
            </w:tcBorders>
          </w:tcPr>
          <w:p w14:paraId="7AF33836" w14:textId="4EE59601" w:rsidR="00A20B77" w:rsidRPr="00BD31C0" w:rsidRDefault="00A20B77" w:rsidP="00EB358A">
            <w:pPr>
              <w:widowControl w:val="0"/>
              <w:rPr>
                <w:rFonts w:ascii="Arial" w:hAnsi="Arial" w:cs="Arial"/>
                <w:bCs/>
                <w:sz w:val="20"/>
              </w:rPr>
            </w:pPr>
            <w:r w:rsidRPr="00D407A7">
              <w:rPr>
                <w:rFonts w:ascii="Arial" w:hAnsi="Arial" w:cs="Arial"/>
                <w:snapToGrid w:val="0"/>
                <w:sz w:val="20"/>
                <w:lang w:eastAsia="en-US"/>
              </w:rPr>
              <w:t>The PBAC identified two key issues with the economic analysis</w:t>
            </w:r>
            <w:r w:rsidR="002B654B">
              <w:rPr>
                <w:rFonts w:ascii="Arial" w:hAnsi="Arial" w:cs="Arial"/>
                <w:snapToGrid w:val="0"/>
                <w:sz w:val="20"/>
                <w:lang w:eastAsia="en-US"/>
              </w:rPr>
              <w:t xml:space="preserve"> for combination therapy</w:t>
            </w:r>
            <w:r w:rsidRPr="00D407A7">
              <w:rPr>
                <w:rFonts w:ascii="Arial" w:hAnsi="Arial" w:cs="Arial"/>
                <w:snapToGrid w:val="0"/>
                <w:sz w:val="20"/>
                <w:lang w:eastAsia="en-US"/>
              </w:rPr>
              <w:t>: that the time horizon of 20 years (reduced to15 years in the pre-PBAC response) remained too long</w:t>
            </w:r>
            <w:r w:rsidR="00344E6D">
              <w:rPr>
                <w:rFonts w:ascii="Arial" w:hAnsi="Arial" w:cs="Arial"/>
                <w:snapToGrid w:val="0"/>
                <w:sz w:val="20"/>
                <w:lang w:eastAsia="en-US"/>
              </w:rPr>
              <w:t>, with the PBAC again advising that a 10 year time horizon would be appropriate</w:t>
            </w:r>
            <w:r w:rsidRPr="00D407A7">
              <w:rPr>
                <w:rFonts w:ascii="Arial" w:hAnsi="Arial" w:cs="Arial"/>
                <w:snapToGrid w:val="0"/>
                <w:sz w:val="20"/>
                <w:lang w:eastAsia="en-US"/>
              </w:rPr>
              <w:t xml:space="preserve">; and that the base case analysis used a subgroup in which efficacy was improved to inform the model, rather than the total trial population. The PBAC considered that the resulting cost effectiveness analysis was favourable to </w:t>
            </w:r>
            <w:proofErr w:type="spellStart"/>
            <w:r w:rsidRPr="00D407A7">
              <w:rPr>
                <w:rFonts w:ascii="Arial" w:hAnsi="Arial" w:cs="Arial"/>
                <w:snapToGrid w:val="0"/>
                <w:sz w:val="20"/>
                <w:lang w:eastAsia="en-US"/>
              </w:rPr>
              <w:t>DBd</w:t>
            </w:r>
            <w:proofErr w:type="spellEnd"/>
            <w:r w:rsidRPr="00D407A7">
              <w:rPr>
                <w:rFonts w:ascii="Arial" w:hAnsi="Arial" w:cs="Arial"/>
                <w:snapToGrid w:val="0"/>
                <w:sz w:val="20"/>
                <w:lang w:eastAsia="en-US"/>
              </w:rPr>
              <w:t xml:space="preserve"> treatment. The PBAC considered that at the proposed price, </w:t>
            </w:r>
            <w:proofErr w:type="spellStart"/>
            <w:r w:rsidRPr="00D407A7">
              <w:rPr>
                <w:rFonts w:ascii="Arial" w:hAnsi="Arial" w:cs="Arial"/>
                <w:snapToGrid w:val="0"/>
                <w:sz w:val="20"/>
                <w:lang w:eastAsia="en-US"/>
              </w:rPr>
              <w:t>DBd</w:t>
            </w:r>
            <w:proofErr w:type="spellEnd"/>
            <w:r w:rsidRPr="00D407A7">
              <w:rPr>
                <w:rFonts w:ascii="Arial" w:hAnsi="Arial" w:cs="Arial"/>
                <w:snapToGrid w:val="0"/>
                <w:sz w:val="20"/>
                <w:lang w:eastAsia="en-US"/>
              </w:rPr>
              <w:t xml:space="preserve"> was not cost-effective.</w:t>
            </w:r>
          </w:p>
          <w:p w14:paraId="5FC06973" w14:textId="77777777" w:rsidR="00A20B77" w:rsidRDefault="00A20B77" w:rsidP="00EB358A">
            <w:pPr>
              <w:rPr>
                <w:rFonts w:ascii="Arial" w:hAnsi="Arial" w:cs="Arial"/>
                <w:snapToGrid w:val="0"/>
                <w:sz w:val="20"/>
                <w:lang w:eastAsia="en-US"/>
              </w:rPr>
            </w:pPr>
          </w:p>
          <w:p w14:paraId="628C1ECA" w14:textId="4614E78E" w:rsidR="00E71426" w:rsidRPr="00C015D9" w:rsidRDefault="00A20B77" w:rsidP="00C015D9">
            <w:pPr>
              <w:rPr>
                <w:rFonts w:ascii="Arial" w:hAnsi="Arial" w:cs="Arial"/>
                <w:bCs/>
                <w:sz w:val="20"/>
              </w:rPr>
            </w:pPr>
            <w:r w:rsidRPr="00D407A7">
              <w:rPr>
                <w:rFonts w:ascii="Arial" w:hAnsi="Arial" w:cs="Arial"/>
                <w:snapToGrid w:val="0"/>
                <w:sz w:val="20"/>
                <w:lang w:eastAsia="en-US"/>
              </w:rPr>
              <w:t>The PBAC was unable to assess the cost-effectiveness of monotherapy.</w:t>
            </w:r>
          </w:p>
        </w:tc>
      </w:tr>
      <w:tr w:rsidR="00D407A7" w:rsidRPr="00447CFB" w14:paraId="6E4DDFED" w14:textId="77777777" w:rsidTr="0052700A">
        <w:trPr>
          <w:trHeight w:val="218"/>
        </w:trPr>
        <w:tc>
          <w:tcPr>
            <w:tcW w:w="2127" w:type="dxa"/>
            <w:vMerge/>
          </w:tcPr>
          <w:p w14:paraId="5297AD66" w14:textId="77777777" w:rsidR="00D407A7" w:rsidRPr="00447CFB" w:rsidRDefault="00D407A7" w:rsidP="00D407A7">
            <w:pPr>
              <w:rPr>
                <w:rFonts w:ascii="Arial" w:hAnsi="Arial" w:cs="Arial"/>
                <w:sz w:val="20"/>
              </w:rPr>
            </w:pPr>
          </w:p>
        </w:tc>
        <w:tc>
          <w:tcPr>
            <w:tcW w:w="2268" w:type="dxa"/>
            <w:vMerge/>
          </w:tcPr>
          <w:p w14:paraId="1FE3F4EE" w14:textId="77777777" w:rsidR="00D407A7" w:rsidRPr="00447CFB" w:rsidRDefault="00D407A7" w:rsidP="00D407A7">
            <w:pPr>
              <w:rPr>
                <w:rFonts w:ascii="Arial" w:hAnsi="Arial" w:cs="Arial"/>
                <w:sz w:val="20"/>
              </w:rPr>
            </w:pPr>
          </w:p>
        </w:tc>
        <w:tc>
          <w:tcPr>
            <w:tcW w:w="2155" w:type="dxa"/>
            <w:vMerge/>
          </w:tcPr>
          <w:p w14:paraId="0738095C" w14:textId="77777777" w:rsidR="00D407A7" w:rsidRPr="00447CFB" w:rsidRDefault="00D407A7" w:rsidP="00D407A7">
            <w:pPr>
              <w:rPr>
                <w:rFonts w:ascii="Arial" w:hAnsi="Arial" w:cs="Arial"/>
                <w:sz w:val="20"/>
              </w:rPr>
            </w:pPr>
          </w:p>
        </w:tc>
        <w:tc>
          <w:tcPr>
            <w:tcW w:w="3089" w:type="dxa"/>
            <w:tcBorders>
              <w:top w:val="single" w:sz="4" w:space="0" w:color="auto"/>
            </w:tcBorders>
          </w:tcPr>
          <w:p w14:paraId="5008ECCD" w14:textId="20CEEF8C" w:rsidR="00D407A7" w:rsidRPr="00C015D9" w:rsidRDefault="00D407A7" w:rsidP="00C015D9">
            <w:pPr>
              <w:pStyle w:val="ListBullet"/>
            </w:pPr>
            <w:r w:rsidRPr="00447CFB">
              <w:t>Sponsor’s comments:</w:t>
            </w:r>
          </w:p>
        </w:tc>
        <w:tc>
          <w:tcPr>
            <w:tcW w:w="5245" w:type="dxa"/>
            <w:tcBorders>
              <w:top w:val="single" w:sz="4" w:space="0" w:color="auto"/>
            </w:tcBorders>
          </w:tcPr>
          <w:p w14:paraId="4CF0C2AD" w14:textId="77777777" w:rsidR="00D407A7" w:rsidRDefault="00C015D9" w:rsidP="00D407A7">
            <w:pPr>
              <w:jc w:val="both"/>
              <w:rPr>
                <w:rFonts w:ascii="Arial" w:hAnsi="Arial" w:cs="Arial"/>
                <w:sz w:val="20"/>
              </w:rPr>
            </w:pPr>
            <w:r>
              <w:rPr>
                <w:rFonts w:ascii="Arial" w:hAnsi="Arial" w:cs="Arial"/>
                <w:sz w:val="20"/>
              </w:rPr>
              <w:t xml:space="preserve">The sponsor had no comment. </w:t>
            </w:r>
          </w:p>
          <w:p w14:paraId="5408BD2A" w14:textId="0173A795" w:rsidR="0052700A" w:rsidRDefault="0052700A" w:rsidP="00D407A7">
            <w:pPr>
              <w:jc w:val="both"/>
              <w:rPr>
                <w:rFonts w:ascii="Arial" w:hAnsi="Arial" w:cs="Arial"/>
                <w:sz w:val="20"/>
              </w:rPr>
            </w:pPr>
          </w:p>
        </w:tc>
      </w:tr>
      <w:tr w:rsidR="00D407A7" w:rsidRPr="00447CFB" w14:paraId="4C68A682" w14:textId="77777777" w:rsidTr="00CA2D5B">
        <w:trPr>
          <w:cantSplit/>
          <w:trHeight w:val="435"/>
        </w:trPr>
        <w:tc>
          <w:tcPr>
            <w:tcW w:w="2127" w:type="dxa"/>
            <w:vMerge w:val="restart"/>
          </w:tcPr>
          <w:p w14:paraId="3C9487FA" w14:textId="77777777" w:rsidR="00D407A7" w:rsidRPr="00D407A7" w:rsidRDefault="00D407A7" w:rsidP="00D407A7">
            <w:pPr>
              <w:contextualSpacing/>
              <w:rPr>
                <w:rFonts w:ascii="Arial" w:hAnsi="Arial" w:cs="Arial"/>
                <w:sz w:val="20"/>
              </w:rPr>
            </w:pPr>
            <w:r w:rsidRPr="00D407A7">
              <w:rPr>
                <w:rFonts w:ascii="Arial" w:hAnsi="Arial" w:cs="Arial"/>
                <w:sz w:val="20"/>
              </w:rPr>
              <w:t xml:space="preserve">DARBEPOETIN ALFA </w:t>
            </w:r>
          </w:p>
          <w:p w14:paraId="2931457B" w14:textId="77777777" w:rsidR="00D407A7" w:rsidRPr="00D407A7" w:rsidRDefault="00D407A7" w:rsidP="00D407A7">
            <w:pPr>
              <w:contextualSpacing/>
              <w:rPr>
                <w:rFonts w:ascii="Arial" w:hAnsi="Arial" w:cs="Arial"/>
                <w:sz w:val="20"/>
              </w:rPr>
            </w:pPr>
          </w:p>
          <w:p w14:paraId="62435A58" w14:textId="77777777" w:rsidR="00D407A7" w:rsidRPr="00D407A7" w:rsidRDefault="00D407A7" w:rsidP="00D407A7">
            <w:pPr>
              <w:contextualSpacing/>
              <w:rPr>
                <w:rFonts w:ascii="Arial" w:hAnsi="Arial" w:cs="Arial"/>
                <w:sz w:val="20"/>
              </w:rPr>
            </w:pPr>
            <w:r w:rsidRPr="00D407A7">
              <w:rPr>
                <w:rFonts w:ascii="Arial" w:hAnsi="Arial" w:cs="Arial"/>
                <w:sz w:val="20"/>
              </w:rPr>
              <w:t>Injection 200 micrograms in 0.4 mL pre-filled syringe</w:t>
            </w:r>
          </w:p>
          <w:p w14:paraId="4CEDD9EE" w14:textId="77777777" w:rsidR="00D407A7" w:rsidRPr="00D407A7" w:rsidRDefault="00D407A7" w:rsidP="00D407A7">
            <w:pPr>
              <w:contextualSpacing/>
              <w:rPr>
                <w:rFonts w:ascii="Arial" w:hAnsi="Arial" w:cs="Arial"/>
                <w:sz w:val="20"/>
              </w:rPr>
            </w:pPr>
            <w:r w:rsidRPr="00D407A7">
              <w:rPr>
                <w:rFonts w:ascii="Arial" w:hAnsi="Arial" w:cs="Arial"/>
                <w:sz w:val="20"/>
              </w:rPr>
              <w:t>Injection 300 micrograms in 0.6 mL pre-filled syringe</w:t>
            </w:r>
          </w:p>
          <w:p w14:paraId="5BCE51E1" w14:textId="77777777" w:rsidR="00D407A7" w:rsidRPr="00D407A7" w:rsidRDefault="00D407A7" w:rsidP="00D407A7">
            <w:pPr>
              <w:contextualSpacing/>
              <w:rPr>
                <w:rFonts w:ascii="Arial" w:hAnsi="Arial" w:cs="Arial"/>
                <w:sz w:val="20"/>
              </w:rPr>
            </w:pPr>
            <w:r w:rsidRPr="00D407A7">
              <w:rPr>
                <w:rFonts w:ascii="Arial" w:hAnsi="Arial" w:cs="Arial"/>
                <w:sz w:val="20"/>
              </w:rPr>
              <w:lastRenderedPageBreak/>
              <w:t>Injection 500 micrograms in 1 mL pre-filled syringe</w:t>
            </w:r>
          </w:p>
          <w:p w14:paraId="15281D73" w14:textId="77777777" w:rsidR="00D407A7" w:rsidRPr="00D407A7" w:rsidRDefault="00D407A7" w:rsidP="00D407A7">
            <w:pPr>
              <w:contextualSpacing/>
              <w:rPr>
                <w:rFonts w:ascii="Arial" w:hAnsi="Arial" w:cs="Arial"/>
                <w:sz w:val="20"/>
              </w:rPr>
            </w:pPr>
          </w:p>
          <w:p w14:paraId="3EFE9028" w14:textId="77777777" w:rsidR="00D407A7" w:rsidRPr="00D407A7" w:rsidRDefault="00D407A7" w:rsidP="00D407A7">
            <w:pPr>
              <w:contextualSpacing/>
              <w:rPr>
                <w:rFonts w:ascii="Arial" w:hAnsi="Arial" w:cs="Arial"/>
                <w:sz w:val="20"/>
              </w:rPr>
            </w:pPr>
            <w:proofErr w:type="spellStart"/>
            <w:r w:rsidRPr="00D407A7">
              <w:rPr>
                <w:rFonts w:ascii="Arial" w:hAnsi="Arial" w:cs="Arial"/>
                <w:sz w:val="20"/>
              </w:rPr>
              <w:t>Aranesp</w:t>
            </w:r>
            <w:proofErr w:type="spellEnd"/>
            <w:r w:rsidRPr="00D407A7">
              <w:rPr>
                <w:rFonts w:ascii="Arial" w:hAnsi="Arial" w:cs="Arial"/>
                <w:sz w:val="20"/>
              </w:rPr>
              <w:t>®</w:t>
            </w:r>
          </w:p>
          <w:p w14:paraId="46ED1E08" w14:textId="77777777" w:rsidR="00D407A7" w:rsidRPr="00D407A7" w:rsidRDefault="00D407A7" w:rsidP="00D407A7">
            <w:pPr>
              <w:contextualSpacing/>
              <w:rPr>
                <w:rFonts w:ascii="Arial" w:hAnsi="Arial" w:cs="Arial"/>
                <w:sz w:val="20"/>
              </w:rPr>
            </w:pPr>
          </w:p>
          <w:p w14:paraId="11A5E809" w14:textId="77777777" w:rsidR="009432B0" w:rsidRDefault="00D407A7" w:rsidP="00D407A7">
            <w:pPr>
              <w:contextualSpacing/>
              <w:rPr>
                <w:rFonts w:ascii="Arial" w:hAnsi="Arial" w:cs="Arial"/>
                <w:sz w:val="20"/>
                <w:highlight w:val="yellow"/>
              </w:rPr>
            </w:pPr>
            <w:r w:rsidRPr="00D407A7">
              <w:rPr>
                <w:rFonts w:ascii="Arial" w:hAnsi="Arial" w:cs="Arial"/>
                <w:sz w:val="20"/>
              </w:rPr>
              <w:t>Amgen Australia Pty Ltd</w:t>
            </w:r>
          </w:p>
          <w:p w14:paraId="24C34D8E" w14:textId="77777777" w:rsidR="009432B0" w:rsidRDefault="009432B0" w:rsidP="009432B0">
            <w:pPr>
              <w:rPr>
                <w:rFonts w:ascii="Arial" w:hAnsi="Arial" w:cs="Arial"/>
                <w:sz w:val="20"/>
                <w:highlight w:val="yellow"/>
              </w:rPr>
            </w:pPr>
          </w:p>
          <w:p w14:paraId="73830179" w14:textId="77777777" w:rsidR="009432B0" w:rsidRPr="009432B0" w:rsidRDefault="009432B0" w:rsidP="009432B0">
            <w:pPr>
              <w:rPr>
                <w:rFonts w:ascii="Arial" w:hAnsi="Arial" w:cs="Arial"/>
                <w:sz w:val="20"/>
              </w:rPr>
            </w:pPr>
            <w:r>
              <w:rPr>
                <w:rFonts w:ascii="Arial" w:hAnsi="Arial" w:cs="Arial"/>
                <w:sz w:val="20"/>
              </w:rPr>
              <w:t>Change of listing</w:t>
            </w:r>
          </w:p>
          <w:p w14:paraId="03DC6457" w14:textId="77777777" w:rsidR="00D407A7" w:rsidRPr="009432B0" w:rsidRDefault="009432B0" w:rsidP="009432B0">
            <w:pPr>
              <w:rPr>
                <w:rFonts w:ascii="Arial" w:hAnsi="Arial" w:cs="Arial"/>
                <w:sz w:val="20"/>
                <w:highlight w:val="yellow"/>
              </w:rPr>
            </w:pPr>
            <w:r w:rsidRPr="009432B0">
              <w:rPr>
                <w:rFonts w:ascii="Arial" w:hAnsi="Arial" w:cs="Arial"/>
                <w:sz w:val="20"/>
              </w:rPr>
              <w:t>(Major Submission)</w:t>
            </w:r>
          </w:p>
        </w:tc>
        <w:tc>
          <w:tcPr>
            <w:tcW w:w="2268" w:type="dxa"/>
            <w:vMerge w:val="restart"/>
          </w:tcPr>
          <w:p w14:paraId="390207F1" w14:textId="77777777" w:rsidR="00D81CEC" w:rsidRDefault="00241470" w:rsidP="00B74B86">
            <w:pPr>
              <w:contextualSpacing/>
              <w:rPr>
                <w:rFonts w:ascii="Arial" w:hAnsi="Arial" w:cs="Arial"/>
                <w:sz w:val="20"/>
              </w:rPr>
            </w:pPr>
            <w:r w:rsidRPr="00D407A7">
              <w:rPr>
                <w:rFonts w:ascii="Arial" w:hAnsi="Arial" w:cs="Arial"/>
                <w:sz w:val="20"/>
              </w:rPr>
              <w:lastRenderedPageBreak/>
              <w:t>DARBEPOETIN ALFA</w:t>
            </w:r>
            <w:r w:rsidR="00631D79">
              <w:rPr>
                <w:rFonts w:ascii="Arial" w:hAnsi="Arial" w:cs="Arial"/>
                <w:sz w:val="20"/>
              </w:rPr>
              <w:t xml:space="preserve"> </w:t>
            </w:r>
            <w:r>
              <w:rPr>
                <w:rFonts w:ascii="Arial" w:hAnsi="Arial" w:cs="Arial"/>
                <w:sz w:val="20"/>
              </w:rPr>
              <w:t>is indicated for</w:t>
            </w:r>
            <w:r w:rsidR="00D81CEC">
              <w:rPr>
                <w:rFonts w:ascii="Arial" w:hAnsi="Arial" w:cs="Arial"/>
                <w:sz w:val="20"/>
              </w:rPr>
              <w:t>:</w:t>
            </w:r>
          </w:p>
          <w:p w14:paraId="1DF77415" w14:textId="77777777" w:rsidR="00D81CEC" w:rsidRDefault="00B74B86" w:rsidP="00D81CEC">
            <w:pPr>
              <w:pStyle w:val="ListParagraph"/>
              <w:widowControl w:val="0"/>
              <w:numPr>
                <w:ilvl w:val="0"/>
                <w:numId w:val="24"/>
              </w:numPr>
              <w:spacing w:after="160"/>
              <w:ind w:left="284" w:hanging="284"/>
              <w:contextualSpacing w:val="0"/>
              <w:rPr>
                <w:rFonts w:ascii="Arial" w:hAnsi="Arial" w:cs="Arial"/>
                <w:sz w:val="20"/>
              </w:rPr>
            </w:pPr>
            <w:proofErr w:type="gramStart"/>
            <w:r w:rsidRPr="00B74B86">
              <w:rPr>
                <w:rFonts w:ascii="Arial" w:hAnsi="Arial" w:cs="Arial"/>
                <w:sz w:val="20"/>
              </w:rPr>
              <w:t>the</w:t>
            </w:r>
            <w:proofErr w:type="gramEnd"/>
            <w:r w:rsidRPr="00B74B86">
              <w:rPr>
                <w:rFonts w:ascii="Arial" w:hAnsi="Arial" w:cs="Arial"/>
                <w:sz w:val="20"/>
              </w:rPr>
              <w:t xml:space="preserve"> treatment of anaemia associated with chronic renal failure (CRF)</w:t>
            </w:r>
            <w:r>
              <w:rPr>
                <w:rFonts w:ascii="Arial" w:hAnsi="Arial" w:cs="Arial"/>
                <w:sz w:val="20"/>
              </w:rPr>
              <w:t>.</w:t>
            </w:r>
            <w:r w:rsidR="001A761B">
              <w:rPr>
                <w:rFonts w:ascii="Arial" w:hAnsi="Arial" w:cs="Arial"/>
                <w:sz w:val="20"/>
              </w:rPr>
              <w:t xml:space="preserve"> </w:t>
            </w:r>
          </w:p>
          <w:p w14:paraId="392D00B4" w14:textId="77777777" w:rsidR="00D407A7" w:rsidRPr="007A0162" w:rsidRDefault="00B74B86" w:rsidP="00B74B86">
            <w:pPr>
              <w:pStyle w:val="ListParagraph"/>
              <w:widowControl w:val="0"/>
              <w:numPr>
                <w:ilvl w:val="0"/>
                <w:numId w:val="24"/>
              </w:numPr>
              <w:spacing w:after="160"/>
              <w:ind w:left="284" w:hanging="284"/>
              <w:contextualSpacing w:val="0"/>
              <w:rPr>
                <w:rFonts w:ascii="Arial" w:hAnsi="Arial" w:cs="Arial"/>
                <w:sz w:val="20"/>
              </w:rPr>
            </w:pPr>
            <w:proofErr w:type="gramStart"/>
            <w:r w:rsidRPr="007D0B96">
              <w:rPr>
                <w:rFonts w:ascii="Arial" w:hAnsi="Arial" w:cs="Arial"/>
                <w:sz w:val="20"/>
              </w:rPr>
              <w:t>the</w:t>
            </w:r>
            <w:proofErr w:type="gramEnd"/>
            <w:r w:rsidRPr="007D0B96">
              <w:rPr>
                <w:rFonts w:ascii="Arial" w:hAnsi="Arial" w:cs="Arial"/>
                <w:sz w:val="20"/>
              </w:rPr>
              <w:t xml:space="preserve"> treatment of </w:t>
            </w:r>
            <w:r w:rsidRPr="007D0B96">
              <w:rPr>
                <w:rFonts w:ascii="Arial" w:hAnsi="Arial" w:cs="Arial"/>
                <w:sz w:val="20"/>
              </w:rPr>
              <w:lastRenderedPageBreak/>
              <w:t>anaemia and</w:t>
            </w:r>
            <w:r w:rsidR="00D81CEC" w:rsidRPr="007D0B96">
              <w:rPr>
                <w:rFonts w:ascii="Arial" w:hAnsi="Arial" w:cs="Arial"/>
                <w:sz w:val="20"/>
              </w:rPr>
              <w:t xml:space="preserve"> </w:t>
            </w:r>
            <w:r w:rsidRPr="007D0B96">
              <w:rPr>
                <w:rFonts w:ascii="Arial" w:hAnsi="Arial" w:cs="Arial"/>
                <w:sz w:val="20"/>
              </w:rPr>
              <w:t>reduction of transfusion requirements in patients with non-myeloid malignancies where anaemia develops as a result of concomitantly administered</w:t>
            </w:r>
            <w:r w:rsidR="007D0B96">
              <w:rPr>
                <w:rFonts w:ascii="Arial" w:hAnsi="Arial" w:cs="Arial"/>
                <w:sz w:val="20"/>
              </w:rPr>
              <w:t xml:space="preserve"> </w:t>
            </w:r>
            <w:r w:rsidRPr="007D0B96">
              <w:rPr>
                <w:rFonts w:ascii="Arial" w:hAnsi="Arial" w:cs="Arial"/>
                <w:sz w:val="20"/>
              </w:rPr>
              <w:t>chemotherapy</w:t>
            </w:r>
            <w:r w:rsidR="001A761B" w:rsidRPr="007D0B96">
              <w:rPr>
                <w:rFonts w:ascii="Arial" w:hAnsi="Arial" w:cs="Arial"/>
                <w:sz w:val="20"/>
              </w:rPr>
              <w:t>.</w:t>
            </w:r>
          </w:p>
        </w:tc>
        <w:tc>
          <w:tcPr>
            <w:tcW w:w="2155" w:type="dxa"/>
            <w:vMerge w:val="restart"/>
            <w:shd w:val="clear" w:color="auto" w:fill="FFFFFF" w:themeFill="background1"/>
          </w:tcPr>
          <w:p w14:paraId="0E80C047" w14:textId="77777777" w:rsidR="008B6C3E" w:rsidRPr="00D407A7" w:rsidRDefault="008B6C3E" w:rsidP="008B6C3E">
            <w:pPr>
              <w:contextualSpacing/>
              <w:rPr>
                <w:rFonts w:ascii="Arial" w:hAnsi="Arial" w:cs="Arial"/>
                <w:sz w:val="20"/>
              </w:rPr>
            </w:pPr>
            <w:r w:rsidRPr="00D407A7">
              <w:rPr>
                <w:rFonts w:ascii="Arial" w:hAnsi="Arial" w:cs="Arial"/>
                <w:sz w:val="20"/>
              </w:rPr>
              <w:lastRenderedPageBreak/>
              <w:t xml:space="preserve">DARBEPOETIN ALFA </w:t>
            </w:r>
            <w:r>
              <w:rPr>
                <w:rFonts w:ascii="Arial" w:hAnsi="Arial" w:cs="Arial"/>
                <w:sz w:val="20"/>
              </w:rPr>
              <w:t>is currently PBS listed for</w:t>
            </w:r>
          </w:p>
          <w:p w14:paraId="7C5D10D2" w14:textId="77777777" w:rsidR="00D407A7" w:rsidRPr="00E0328A" w:rsidRDefault="003357E8" w:rsidP="007E534D">
            <w:pPr>
              <w:rPr>
                <w:rFonts w:ascii="Arial" w:hAnsi="Arial" w:cs="Arial"/>
                <w:sz w:val="20"/>
              </w:rPr>
            </w:pPr>
            <w:r>
              <w:rPr>
                <w:rFonts w:ascii="Arial" w:hAnsi="Arial" w:cs="Arial"/>
                <w:sz w:val="20"/>
              </w:rPr>
              <w:t>a</w:t>
            </w:r>
            <w:r w:rsidR="00A56D92" w:rsidRPr="00A56D92">
              <w:rPr>
                <w:rFonts w:ascii="Arial" w:hAnsi="Arial" w:cs="Arial"/>
                <w:sz w:val="20"/>
              </w:rPr>
              <w:t xml:space="preserve">naemia associated with </w:t>
            </w:r>
            <w:r w:rsidR="007E534D">
              <w:rPr>
                <w:rFonts w:ascii="Arial" w:hAnsi="Arial" w:cs="Arial"/>
                <w:sz w:val="20"/>
              </w:rPr>
              <w:t>intrinsic</w:t>
            </w:r>
            <w:r w:rsidR="00A56D92" w:rsidRPr="00A56D92">
              <w:rPr>
                <w:rFonts w:ascii="Arial" w:hAnsi="Arial" w:cs="Arial"/>
                <w:sz w:val="20"/>
              </w:rPr>
              <w:t xml:space="preserve"> renal failure</w:t>
            </w:r>
          </w:p>
        </w:tc>
        <w:tc>
          <w:tcPr>
            <w:tcW w:w="3089" w:type="dxa"/>
          </w:tcPr>
          <w:p w14:paraId="195B4EDD" w14:textId="49CDC600" w:rsidR="00D407A7" w:rsidRPr="00E0328A" w:rsidRDefault="00B91BCA" w:rsidP="00D407A7">
            <w:pPr>
              <w:rPr>
                <w:rFonts w:ascii="Arial" w:hAnsi="Arial" w:cs="Arial"/>
                <w:color w:val="000000"/>
                <w:sz w:val="20"/>
              </w:rPr>
            </w:pPr>
            <w:r w:rsidRPr="00B91BCA">
              <w:rPr>
                <w:rFonts w:ascii="Arial" w:hAnsi="Arial" w:cs="Arial"/>
                <w:color w:val="000000"/>
                <w:sz w:val="20"/>
              </w:rPr>
              <w:t>Resubmission to request a Section 100 (Highly Specialised Drug</w:t>
            </w:r>
            <w:r w:rsidR="00937442">
              <w:rPr>
                <w:rFonts w:ascii="Arial" w:hAnsi="Arial" w:cs="Arial"/>
                <w:color w:val="000000"/>
                <w:sz w:val="20"/>
              </w:rPr>
              <w:t>s</w:t>
            </w:r>
            <w:r w:rsidRPr="00B91BCA">
              <w:rPr>
                <w:rFonts w:ascii="Arial" w:hAnsi="Arial" w:cs="Arial"/>
                <w:color w:val="000000"/>
                <w:sz w:val="20"/>
              </w:rPr>
              <w:t>) Authority Required listing for chemotherapy-induced anaemia.</w:t>
            </w:r>
          </w:p>
        </w:tc>
        <w:tc>
          <w:tcPr>
            <w:tcW w:w="5245" w:type="dxa"/>
          </w:tcPr>
          <w:p w14:paraId="65281753" w14:textId="77777777" w:rsidR="00D407A7" w:rsidRDefault="00B91BCA" w:rsidP="00E47CDA">
            <w:pPr>
              <w:jc w:val="both"/>
              <w:rPr>
                <w:rFonts w:ascii="Arial" w:hAnsi="Arial" w:cs="Arial"/>
                <w:sz w:val="20"/>
              </w:rPr>
            </w:pPr>
            <w:r w:rsidRPr="00B91BCA">
              <w:rPr>
                <w:rFonts w:ascii="Arial" w:hAnsi="Arial" w:cs="Arial"/>
                <w:sz w:val="20"/>
              </w:rPr>
              <w:t>The PBAC did not recommend the Section 100 (Highly Specialised Drugs Program) Authority Required listing of darbepoetin alfa for the treatment of moderate to severe chemotherapy</w:t>
            </w:r>
            <w:r w:rsidR="00E47CDA">
              <w:rPr>
                <w:rFonts w:ascii="Arial" w:hAnsi="Arial" w:cs="Arial"/>
                <w:sz w:val="20"/>
              </w:rPr>
              <w:t>-</w:t>
            </w:r>
            <w:r w:rsidRPr="00B91BCA">
              <w:rPr>
                <w:rFonts w:ascii="Arial" w:hAnsi="Arial" w:cs="Arial"/>
                <w:sz w:val="20"/>
              </w:rPr>
              <w:t>induced anaemia. This decision was due to an uncertain clinical need and ongoing concerns regarding overall mortality and venous thromboembolism rates with darbepoetin alfa across the proposed PBS population.</w:t>
            </w:r>
          </w:p>
          <w:p w14:paraId="5EED3073" w14:textId="33A53D29" w:rsidR="0052700A" w:rsidRPr="00DF7278" w:rsidRDefault="0052700A" w:rsidP="00E47CDA">
            <w:pPr>
              <w:jc w:val="both"/>
              <w:rPr>
                <w:rFonts w:ascii="Arial" w:hAnsi="Arial" w:cs="Arial"/>
                <w:sz w:val="20"/>
              </w:rPr>
            </w:pPr>
          </w:p>
        </w:tc>
      </w:tr>
      <w:tr w:rsidR="00D407A7" w:rsidRPr="00447CFB" w14:paraId="34A06E9C" w14:textId="77777777" w:rsidTr="00CA2D5B">
        <w:trPr>
          <w:trHeight w:val="433"/>
        </w:trPr>
        <w:tc>
          <w:tcPr>
            <w:tcW w:w="2127" w:type="dxa"/>
            <w:vMerge/>
          </w:tcPr>
          <w:p w14:paraId="65C8B74B" w14:textId="77777777" w:rsidR="00D407A7" w:rsidRPr="00447CFB" w:rsidRDefault="00D407A7" w:rsidP="00D407A7">
            <w:pPr>
              <w:rPr>
                <w:rFonts w:ascii="Arial" w:hAnsi="Arial" w:cs="Arial"/>
                <w:sz w:val="20"/>
              </w:rPr>
            </w:pPr>
          </w:p>
        </w:tc>
        <w:tc>
          <w:tcPr>
            <w:tcW w:w="2268" w:type="dxa"/>
            <w:vMerge/>
          </w:tcPr>
          <w:p w14:paraId="602CB1EE" w14:textId="77777777" w:rsidR="00D407A7" w:rsidRPr="00E0328A" w:rsidRDefault="00D407A7" w:rsidP="00D407A7">
            <w:pPr>
              <w:rPr>
                <w:rFonts w:ascii="Arial" w:hAnsi="Arial" w:cs="Arial"/>
                <w:sz w:val="20"/>
              </w:rPr>
            </w:pPr>
          </w:p>
        </w:tc>
        <w:tc>
          <w:tcPr>
            <w:tcW w:w="2155" w:type="dxa"/>
            <w:vMerge/>
            <w:shd w:val="clear" w:color="auto" w:fill="FFFFFF" w:themeFill="background1"/>
          </w:tcPr>
          <w:p w14:paraId="2DB2D0B4" w14:textId="77777777" w:rsidR="00D407A7" w:rsidRPr="00E0328A" w:rsidRDefault="00D407A7" w:rsidP="00D407A7">
            <w:pPr>
              <w:rPr>
                <w:rFonts w:ascii="Arial" w:hAnsi="Arial" w:cs="Arial"/>
                <w:sz w:val="20"/>
              </w:rPr>
            </w:pPr>
          </w:p>
        </w:tc>
        <w:tc>
          <w:tcPr>
            <w:tcW w:w="3089" w:type="dxa"/>
          </w:tcPr>
          <w:p w14:paraId="73006C34" w14:textId="095F25A1" w:rsidR="00D407A7" w:rsidRPr="00C015D9" w:rsidRDefault="00B91BCA" w:rsidP="00EB358A">
            <w:pPr>
              <w:pStyle w:val="ListBullet"/>
              <w:rPr>
                <w:color w:val="000000"/>
              </w:rPr>
            </w:pPr>
            <w:r>
              <w:t xml:space="preserve">Comparator: standard medical management </w:t>
            </w:r>
          </w:p>
        </w:tc>
        <w:tc>
          <w:tcPr>
            <w:tcW w:w="5245" w:type="dxa"/>
          </w:tcPr>
          <w:p w14:paraId="4C1B7C28" w14:textId="77777777" w:rsidR="00D407A7" w:rsidRDefault="00B91BCA" w:rsidP="00D407A7">
            <w:pPr>
              <w:jc w:val="both"/>
              <w:rPr>
                <w:rFonts w:ascii="Arial" w:hAnsi="Arial" w:cs="Arial"/>
                <w:sz w:val="20"/>
              </w:rPr>
            </w:pPr>
            <w:r w:rsidRPr="00B91BCA">
              <w:rPr>
                <w:rFonts w:ascii="Arial" w:hAnsi="Arial" w:cs="Arial"/>
                <w:sz w:val="20"/>
              </w:rPr>
              <w:t>The PBAC considered that the comparator of standard medical management was appropriate.</w:t>
            </w:r>
          </w:p>
          <w:p w14:paraId="7243F87B" w14:textId="2436244E" w:rsidR="0052700A" w:rsidRPr="00DF7278" w:rsidRDefault="0052700A" w:rsidP="00D407A7">
            <w:pPr>
              <w:jc w:val="both"/>
              <w:rPr>
                <w:rFonts w:ascii="Arial" w:hAnsi="Arial" w:cs="Arial"/>
                <w:sz w:val="20"/>
                <w:highlight w:val="yellow"/>
              </w:rPr>
            </w:pPr>
          </w:p>
        </w:tc>
      </w:tr>
      <w:tr w:rsidR="00D407A7" w:rsidRPr="00447CFB" w14:paraId="372AB547" w14:textId="77777777" w:rsidTr="00CA2D5B">
        <w:trPr>
          <w:trHeight w:val="433"/>
        </w:trPr>
        <w:tc>
          <w:tcPr>
            <w:tcW w:w="2127" w:type="dxa"/>
            <w:vMerge/>
          </w:tcPr>
          <w:p w14:paraId="09C02E1E" w14:textId="77777777" w:rsidR="00D407A7" w:rsidRPr="00447CFB" w:rsidRDefault="00D407A7" w:rsidP="00D407A7">
            <w:pPr>
              <w:rPr>
                <w:rFonts w:ascii="Arial" w:hAnsi="Arial" w:cs="Arial"/>
                <w:sz w:val="20"/>
              </w:rPr>
            </w:pPr>
          </w:p>
        </w:tc>
        <w:tc>
          <w:tcPr>
            <w:tcW w:w="2268" w:type="dxa"/>
            <w:vMerge/>
          </w:tcPr>
          <w:p w14:paraId="2CB5E767" w14:textId="77777777" w:rsidR="00D407A7" w:rsidRPr="00E0328A" w:rsidRDefault="00D407A7" w:rsidP="00D407A7">
            <w:pPr>
              <w:rPr>
                <w:rFonts w:ascii="Arial" w:hAnsi="Arial" w:cs="Arial"/>
                <w:sz w:val="20"/>
              </w:rPr>
            </w:pPr>
          </w:p>
        </w:tc>
        <w:tc>
          <w:tcPr>
            <w:tcW w:w="2155" w:type="dxa"/>
            <w:vMerge/>
            <w:shd w:val="clear" w:color="auto" w:fill="FFFFFF" w:themeFill="background1"/>
          </w:tcPr>
          <w:p w14:paraId="597B1E3A" w14:textId="77777777" w:rsidR="00D407A7" w:rsidRPr="00E0328A" w:rsidRDefault="00D407A7" w:rsidP="00D407A7">
            <w:pPr>
              <w:rPr>
                <w:rFonts w:ascii="Arial" w:hAnsi="Arial" w:cs="Arial"/>
                <w:sz w:val="20"/>
              </w:rPr>
            </w:pPr>
          </w:p>
        </w:tc>
        <w:tc>
          <w:tcPr>
            <w:tcW w:w="3089" w:type="dxa"/>
          </w:tcPr>
          <w:p w14:paraId="63437FAB" w14:textId="58458E48" w:rsidR="00D407A7" w:rsidRPr="00B91BCA" w:rsidRDefault="00D407A7" w:rsidP="00C63C8D">
            <w:pPr>
              <w:pStyle w:val="ListBullet"/>
            </w:pPr>
            <w:r w:rsidRPr="00E0328A">
              <w:t xml:space="preserve">Clinical claim: </w:t>
            </w:r>
            <w:r w:rsidR="00B91BCA">
              <w:t xml:space="preserve">superior efficacy and non-inferior safety compared </w:t>
            </w:r>
            <w:r w:rsidR="00C63C8D">
              <w:t xml:space="preserve">with </w:t>
            </w:r>
            <w:r w:rsidR="00B91BCA">
              <w:t xml:space="preserve">standard medical management </w:t>
            </w:r>
          </w:p>
        </w:tc>
        <w:tc>
          <w:tcPr>
            <w:tcW w:w="5245" w:type="dxa"/>
          </w:tcPr>
          <w:p w14:paraId="01F6FCD6" w14:textId="77777777" w:rsidR="00D407A7" w:rsidRDefault="00B91BCA" w:rsidP="00D407A7">
            <w:pPr>
              <w:jc w:val="both"/>
              <w:rPr>
                <w:rFonts w:ascii="Arial" w:hAnsi="Arial" w:cs="Arial"/>
                <w:sz w:val="20"/>
              </w:rPr>
            </w:pPr>
            <w:r w:rsidRPr="00B91BCA">
              <w:rPr>
                <w:rFonts w:ascii="Arial" w:hAnsi="Arial" w:cs="Arial"/>
                <w:sz w:val="20"/>
              </w:rPr>
              <w:t>The PBAC considered that the claim of superior comparative effectiveness was adequately supported by the data for haemoglobin and transfusion outcomes. The PBAC considered that the claim of non-inferior comparative safety was not adequately supported by the data.</w:t>
            </w:r>
          </w:p>
          <w:p w14:paraId="2F85B2D7" w14:textId="7E970064" w:rsidR="0052700A" w:rsidRPr="00DF7278" w:rsidRDefault="0052700A" w:rsidP="00D407A7">
            <w:pPr>
              <w:jc w:val="both"/>
              <w:rPr>
                <w:rFonts w:ascii="Arial" w:hAnsi="Arial" w:cs="Arial"/>
                <w:sz w:val="20"/>
              </w:rPr>
            </w:pPr>
          </w:p>
        </w:tc>
      </w:tr>
      <w:tr w:rsidR="00D407A7" w:rsidRPr="00447CFB" w14:paraId="32FE281A" w14:textId="77777777" w:rsidTr="0052700A">
        <w:trPr>
          <w:trHeight w:val="2201"/>
        </w:trPr>
        <w:tc>
          <w:tcPr>
            <w:tcW w:w="2127" w:type="dxa"/>
            <w:vMerge/>
          </w:tcPr>
          <w:p w14:paraId="7C793018" w14:textId="77777777" w:rsidR="00D407A7" w:rsidRPr="00447CFB" w:rsidRDefault="00D407A7" w:rsidP="00D407A7">
            <w:pPr>
              <w:rPr>
                <w:rFonts w:ascii="Arial" w:hAnsi="Arial" w:cs="Arial"/>
                <w:sz w:val="20"/>
              </w:rPr>
            </w:pPr>
          </w:p>
        </w:tc>
        <w:tc>
          <w:tcPr>
            <w:tcW w:w="2268" w:type="dxa"/>
            <w:vMerge/>
          </w:tcPr>
          <w:p w14:paraId="5036F79D" w14:textId="77777777" w:rsidR="00D407A7" w:rsidRPr="00E0328A" w:rsidRDefault="00D407A7" w:rsidP="00D407A7">
            <w:pPr>
              <w:rPr>
                <w:rFonts w:ascii="Arial" w:hAnsi="Arial" w:cs="Arial"/>
                <w:sz w:val="20"/>
              </w:rPr>
            </w:pPr>
          </w:p>
        </w:tc>
        <w:tc>
          <w:tcPr>
            <w:tcW w:w="2155" w:type="dxa"/>
            <w:vMerge/>
            <w:shd w:val="clear" w:color="auto" w:fill="FFFFFF" w:themeFill="background1"/>
          </w:tcPr>
          <w:p w14:paraId="67C61547" w14:textId="77777777" w:rsidR="00D407A7" w:rsidRPr="00E0328A" w:rsidRDefault="00D407A7" w:rsidP="00D407A7">
            <w:pPr>
              <w:rPr>
                <w:rFonts w:ascii="Arial" w:hAnsi="Arial" w:cs="Arial"/>
                <w:sz w:val="20"/>
              </w:rPr>
            </w:pPr>
          </w:p>
        </w:tc>
        <w:tc>
          <w:tcPr>
            <w:tcW w:w="3089" w:type="dxa"/>
          </w:tcPr>
          <w:p w14:paraId="352B3D6E" w14:textId="36A345FE" w:rsidR="00D407A7" w:rsidRPr="00E0328A" w:rsidRDefault="00D407A7" w:rsidP="00EB19EB">
            <w:pPr>
              <w:pStyle w:val="ListBullet"/>
            </w:pPr>
            <w:r w:rsidRPr="00E0328A">
              <w:t xml:space="preserve">Economic </w:t>
            </w:r>
            <w:r w:rsidR="005D34BB" w:rsidRPr="00E0328A">
              <w:t>claim:</w:t>
            </w:r>
            <w:r w:rsidR="005D34BB">
              <w:t xml:space="preserve"> cost-effectiveness</w:t>
            </w:r>
            <w:r w:rsidR="00A772C7">
              <w:t xml:space="preserve"> analysis compared </w:t>
            </w:r>
            <w:r w:rsidR="00EB19EB">
              <w:t xml:space="preserve">with </w:t>
            </w:r>
            <w:r w:rsidR="00A772C7">
              <w:t xml:space="preserve">standard medical management. </w:t>
            </w:r>
            <w:r w:rsidRPr="00E0328A">
              <w:t xml:space="preserve"> </w:t>
            </w:r>
          </w:p>
        </w:tc>
        <w:tc>
          <w:tcPr>
            <w:tcW w:w="5245" w:type="dxa"/>
          </w:tcPr>
          <w:p w14:paraId="56E0695F" w14:textId="76BB2362" w:rsidR="00D407A7" w:rsidRDefault="00B91BCA" w:rsidP="00D407A7">
            <w:pPr>
              <w:rPr>
                <w:rFonts w:ascii="Arial" w:hAnsi="Arial" w:cs="Arial"/>
                <w:color w:val="000000"/>
                <w:sz w:val="20"/>
                <w:lang w:eastAsia="en-US"/>
              </w:rPr>
            </w:pPr>
            <w:r w:rsidRPr="00B91BCA">
              <w:rPr>
                <w:rFonts w:ascii="Arial" w:hAnsi="Arial" w:cs="Arial"/>
                <w:color w:val="000000"/>
                <w:sz w:val="20"/>
                <w:lang w:eastAsia="en-US"/>
              </w:rPr>
              <w:t>The PBAC considered that the selective use of data from Study 231 in the economic model meant that the proportion of patients who received a red blood cell transfusion in the standard medical management arm was overestimated. In addition, the PBAC considered the cost of transfusion used in the model was unreasonably high. Overall the PBAC considered that the cost effectiveness of darbepoetin alfa for chemotherapy induced anaemia was highly uncertain.</w:t>
            </w:r>
          </w:p>
          <w:p w14:paraId="7A373521" w14:textId="1BF751F4" w:rsidR="00D407A7" w:rsidRPr="00DF7278" w:rsidRDefault="00D407A7" w:rsidP="00A729E5">
            <w:pPr>
              <w:rPr>
                <w:rFonts w:ascii="Arial" w:hAnsi="Arial" w:cs="Arial"/>
                <w:color w:val="0070C0"/>
                <w:sz w:val="20"/>
              </w:rPr>
            </w:pPr>
          </w:p>
        </w:tc>
      </w:tr>
      <w:tr w:rsidR="00D407A7" w:rsidRPr="00447CFB" w14:paraId="63634DD6" w14:textId="77777777" w:rsidTr="0052700A">
        <w:trPr>
          <w:trHeight w:val="502"/>
        </w:trPr>
        <w:tc>
          <w:tcPr>
            <w:tcW w:w="2127" w:type="dxa"/>
            <w:vMerge/>
          </w:tcPr>
          <w:p w14:paraId="5B5543B0" w14:textId="77777777" w:rsidR="00D407A7" w:rsidRPr="00447CFB" w:rsidRDefault="00D407A7" w:rsidP="00D407A7">
            <w:pPr>
              <w:rPr>
                <w:rFonts w:ascii="Arial" w:hAnsi="Arial" w:cs="Arial"/>
                <w:sz w:val="20"/>
              </w:rPr>
            </w:pPr>
          </w:p>
        </w:tc>
        <w:tc>
          <w:tcPr>
            <w:tcW w:w="2268" w:type="dxa"/>
            <w:vMerge/>
          </w:tcPr>
          <w:p w14:paraId="71129365" w14:textId="77777777" w:rsidR="00D407A7" w:rsidRPr="00447CFB" w:rsidRDefault="00D407A7" w:rsidP="00D407A7">
            <w:pPr>
              <w:rPr>
                <w:rFonts w:ascii="Arial" w:hAnsi="Arial" w:cs="Arial"/>
                <w:sz w:val="20"/>
              </w:rPr>
            </w:pPr>
          </w:p>
        </w:tc>
        <w:tc>
          <w:tcPr>
            <w:tcW w:w="2155" w:type="dxa"/>
            <w:vMerge/>
            <w:shd w:val="clear" w:color="auto" w:fill="FFFFFF" w:themeFill="background1"/>
          </w:tcPr>
          <w:p w14:paraId="70AD8F70" w14:textId="77777777" w:rsidR="00D407A7" w:rsidRPr="00447CFB" w:rsidRDefault="00D407A7" w:rsidP="00D407A7">
            <w:pPr>
              <w:rPr>
                <w:rFonts w:ascii="Arial" w:hAnsi="Arial" w:cs="Arial"/>
                <w:sz w:val="20"/>
              </w:rPr>
            </w:pPr>
          </w:p>
        </w:tc>
        <w:tc>
          <w:tcPr>
            <w:tcW w:w="3089" w:type="dxa"/>
          </w:tcPr>
          <w:p w14:paraId="4D649E5E" w14:textId="77777777" w:rsidR="00D407A7" w:rsidRPr="00DF7278" w:rsidRDefault="00D407A7" w:rsidP="00EB358A">
            <w:pPr>
              <w:pStyle w:val="ListBullet"/>
            </w:pPr>
            <w:r w:rsidRPr="00DF7278">
              <w:t>Sponsor’s comments:</w:t>
            </w:r>
          </w:p>
        </w:tc>
        <w:tc>
          <w:tcPr>
            <w:tcW w:w="5245" w:type="dxa"/>
          </w:tcPr>
          <w:p w14:paraId="281C5E88" w14:textId="63DD5DAC" w:rsidR="00D407A7" w:rsidRPr="00DF7278" w:rsidRDefault="00C015D9" w:rsidP="00D407A7">
            <w:pPr>
              <w:jc w:val="both"/>
              <w:rPr>
                <w:rFonts w:ascii="Arial" w:hAnsi="Arial" w:cs="Arial"/>
                <w:sz w:val="20"/>
                <w:highlight w:val="yellow"/>
              </w:rPr>
            </w:pPr>
            <w:r w:rsidRPr="00C015D9">
              <w:rPr>
                <w:rFonts w:ascii="Arial" w:hAnsi="Arial" w:cs="Arial"/>
                <w:sz w:val="20"/>
              </w:rPr>
              <w:t>The sponsor had no comment.</w:t>
            </w:r>
          </w:p>
        </w:tc>
      </w:tr>
      <w:tr w:rsidR="00000A7F" w:rsidRPr="00447CFB" w14:paraId="54F96BBC" w14:textId="77777777" w:rsidTr="0052700A">
        <w:trPr>
          <w:trHeight w:val="785"/>
        </w:trPr>
        <w:tc>
          <w:tcPr>
            <w:tcW w:w="2127" w:type="dxa"/>
            <w:vMerge w:val="restart"/>
          </w:tcPr>
          <w:p w14:paraId="73AE010D" w14:textId="77777777" w:rsidR="00000A7F" w:rsidRPr="00000A7F" w:rsidRDefault="00000A7F" w:rsidP="00000A7F">
            <w:pPr>
              <w:rPr>
                <w:rFonts w:ascii="Arial" w:hAnsi="Arial" w:cs="Arial"/>
                <w:sz w:val="20"/>
              </w:rPr>
            </w:pPr>
            <w:r w:rsidRPr="00000A7F">
              <w:rPr>
                <w:rFonts w:ascii="Arial" w:hAnsi="Arial" w:cs="Arial"/>
                <w:sz w:val="20"/>
              </w:rPr>
              <w:t>ERENUMAB</w:t>
            </w:r>
          </w:p>
          <w:p w14:paraId="756B48A7" w14:textId="77777777" w:rsidR="00000A7F" w:rsidRPr="00000A7F" w:rsidRDefault="00000A7F" w:rsidP="00000A7F">
            <w:pPr>
              <w:rPr>
                <w:rFonts w:ascii="Arial" w:hAnsi="Arial" w:cs="Arial"/>
                <w:sz w:val="20"/>
              </w:rPr>
            </w:pPr>
          </w:p>
          <w:p w14:paraId="2FCF3577" w14:textId="77777777" w:rsidR="00000A7F" w:rsidRPr="00000A7F" w:rsidRDefault="00000A7F" w:rsidP="00000A7F">
            <w:pPr>
              <w:rPr>
                <w:rFonts w:ascii="Arial" w:hAnsi="Arial" w:cs="Arial"/>
                <w:sz w:val="20"/>
              </w:rPr>
            </w:pPr>
            <w:r w:rsidRPr="00000A7F">
              <w:rPr>
                <w:rFonts w:ascii="Arial" w:hAnsi="Arial" w:cs="Arial"/>
                <w:sz w:val="20"/>
              </w:rPr>
              <w:t>Injection 70 mg in 1 mL single dose pre-filled pen</w:t>
            </w:r>
          </w:p>
          <w:p w14:paraId="3B42E761" w14:textId="77777777" w:rsidR="00000A7F" w:rsidRPr="00000A7F" w:rsidRDefault="00000A7F" w:rsidP="00000A7F">
            <w:pPr>
              <w:rPr>
                <w:rFonts w:ascii="Arial" w:hAnsi="Arial" w:cs="Arial"/>
                <w:sz w:val="20"/>
              </w:rPr>
            </w:pPr>
          </w:p>
          <w:p w14:paraId="10B34337" w14:textId="77777777" w:rsidR="00000A7F" w:rsidRPr="00000A7F" w:rsidRDefault="00000A7F" w:rsidP="00000A7F">
            <w:pPr>
              <w:rPr>
                <w:rFonts w:ascii="Arial" w:hAnsi="Arial" w:cs="Arial"/>
                <w:sz w:val="20"/>
              </w:rPr>
            </w:pPr>
            <w:proofErr w:type="spellStart"/>
            <w:r w:rsidRPr="00000A7F">
              <w:rPr>
                <w:rFonts w:ascii="Arial" w:hAnsi="Arial" w:cs="Arial"/>
                <w:sz w:val="20"/>
              </w:rPr>
              <w:t>Aimovig</w:t>
            </w:r>
            <w:proofErr w:type="spellEnd"/>
            <w:r w:rsidRPr="00000A7F">
              <w:rPr>
                <w:rFonts w:ascii="Arial" w:hAnsi="Arial" w:cs="Arial"/>
                <w:sz w:val="20"/>
              </w:rPr>
              <w:t>®</w:t>
            </w:r>
          </w:p>
          <w:p w14:paraId="482659B1" w14:textId="77777777" w:rsidR="00000A7F" w:rsidRPr="00000A7F" w:rsidRDefault="00000A7F" w:rsidP="00000A7F">
            <w:pPr>
              <w:rPr>
                <w:rFonts w:ascii="Arial" w:hAnsi="Arial" w:cs="Arial"/>
                <w:sz w:val="20"/>
              </w:rPr>
            </w:pPr>
          </w:p>
          <w:p w14:paraId="024BA46F" w14:textId="77777777" w:rsidR="00000A7F" w:rsidRDefault="00000A7F" w:rsidP="00000A7F">
            <w:pPr>
              <w:rPr>
                <w:rFonts w:ascii="Arial" w:hAnsi="Arial" w:cs="Arial"/>
                <w:sz w:val="20"/>
              </w:rPr>
            </w:pPr>
            <w:r w:rsidRPr="00000A7F">
              <w:rPr>
                <w:rFonts w:ascii="Arial" w:hAnsi="Arial" w:cs="Arial"/>
                <w:sz w:val="20"/>
              </w:rPr>
              <w:t>Novartis Pharmaceuticals Australia Pty Ltd</w:t>
            </w:r>
          </w:p>
          <w:p w14:paraId="2AEFF497" w14:textId="77777777" w:rsidR="009432B0" w:rsidRDefault="009432B0" w:rsidP="00000A7F">
            <w:pPr>
              <w:rPr>
                <w:rFonts w:ascii="Arial" w:hAnsi="Arial" w:cs="Arial"/>
                <w:sz w:val="20"/>
              </w:rPr>
            </w:pPr>
          </w:p>
          <w:p w14:paraId="52871C86" w14:textId="77777777" w:rsidR="009432B0" w:rsidRPr="009432B0" w:rsidRDefault="009432B0" w:rsidP="009432B0">
            <w:pPr>
              <w:rPr>
                <w:rFonts w:ascii="Arial" w:hAnsi="Arial" w:cs="Arial"/>
                <w:sz w:val="20"/>
              </w:rPr>
            </w:pPr>
            <w:r>
              <w:rPr>
                <w:rFonts w:ascii="Arial" w:hAnsi="Arial" w:cs="Arial"/>
                <w:sz w:val="20"/>
              </w:rPr>
              <w:t>New listing</w:t>
            </w:r>
          </w:p>
          <w:p w14:paraId="245E1F17" w14:textId="77777777" w:rsidR="009432B0" w:rsidRPr="00447CFB" w:rsidRDefault="009432B0" w:rsidP="009432B0">
            <w:pPr>
              <w:rPr>
                <w:rFonts w:ascii="Arial" w:hAnsi="Arial" w:cs="Arial"/>
                <w:sz w:val="20"/>
              </w:rPr>
            </w:pPr>
            <w:r w:rsidRPr="009432B0">
              <w:rPr>
                <w:rFonts w:ascii="Arial" w:hAnsi="Arial" w:cs="Arial"/>
                <w:sz w:val="20"/>
              </w:rPr>
              <w:lastRenderedPageBreak/>
              <w:t>(Major Submission)</w:t>
            </w:r>
          </w:p>
        </w:tc>
        <w:tc>
          <w:tcPr>
            <w:tcW w:w="2268" w:type="dxa"/>
            <w:vMerge w:val="restart"/>
          </w:tcPr>
          <w:p w14:paraId="49DB8A19" w14:textId="77777777" w:rsidR="002C2A58" w:rsidRPr="00000A7F" w:rsidRDefault="002C2A58" w:rsidP="002C2A58">
            <w:pPr>
              <w:rPr>
                <w:rFonts w:ascii="Arial" w:hAnsi="Arial" w:cs="Arial"/>
                <w:sz w:val="20"/>
              </w:rPr>
            </w:pPr>
            <w:r w:rsidRPr="00000A7F">
              <w:rPr>
                <w:rFonts w:ascii="Arial" w:hAnsi="Arial" w:cs="Arial"/>
                <w:sz w:val="20"/>
              </w:rPr>
              <w:lastRenderedPageBreak/>
              <w:t>ERENUMAB</w:t>
            </w:r>
          </w:p>
          <w:p w14:paraId="064DCBA2" w14:textId="77777777" w:rsidR="00000A7F" w:rsidRPr="00447CFB" w:rsidRDefault="002C2A58" w:rsidP="000D02B2">
            <w:pPr>
              <w:rPr>
                <w:rFonts w:ascii="Arial" w:hAnsi="Arial" w:cs="Arial"/>
                <w:sz w:val="20"/>
              </w:rPr>
            </w:pPr>
            <w:proofErr w:type="gramStart"/>
            <w:r>
              <w:rPr>
                <w:rFonts w:ascii="Arial" w:hAnsi="Arial" w:cs="Arial"/>
                <w:sz w:val="20"/>
              </w:rPr>
              <w:t>is</w:t>
            </w:r>
            <w:proofErr w:type="gramEnd"/>
            <w:r>
              <w:rPr>
                <w:rFonts w:ascii="Arial" w:hAnsi="Arial" w:cs="Arial"/>
                <w:sz w:val="20"/>
              </w:rPr>
              <w:t xml:space="preserve"> indicated for p</w:t>
            </w:r>
            <w:r w:rsidR="007170DA" w:rsidRPr="007170DA">
              <w:rPr>
                <w:rFonts w:ascii="Arial" w:hAnsi="Arial" w:cs="Arial"/>
                <w:sz w:val="20"/>
              </w:rPr>
              <w:t>rophylaxis of migraine in adults.</w:t>
            </w:r>
          </w:p>
        </w:tc>
        <w:tc>
          <w:tcPr>
            <w:tcW w:w="2155" w:type="dxa"/>
            <w:vMerge w:val="restart"/>
            <w:shd w:val="clear" w:color="auto" w:fill="FFFFFF" w:themeFill="background1"/>
          </w:tcPr>
          <w:p w14:paraId="7189C490" w14:textId="77777777" w:rsidR="00000A7F" w:rsidRPr="00447CFB" w:rsidRDefault="008A71F8" w:rsidP="00D407A7">
            <w:pPr>
              <w:rPr>
                <w:rFonts w:ascii="Arial" w:hAnsi="Arial" w:cs="Arial"/>
                <w:sz w:val="20"/>
              </w:rPr>
            </w:pPr>
            <w:r>
              <w:rPr>
                <w:rFonts w:ascii="Arial" w:hAnsi="Arial" w:cs="Arial"/>
                <w:sz w:val="20"/>
              </w:rPr>
              <w:t>ERENUMAB</w:t>
            </w:r>
            <w:r w:rsidRPr="008A71F8">
              <w:rPr>
                <w:rFonts w:ascii="Arial" w:hAnsi="Arial" w:cs="Arial"/>
                <w:sz w:val="20"/>
              </w:rPr>
              <w:t xml:space="preserve"> is not currently PBS listed</w:t>
            </w:r>
          </w:p>
        </w:tc>
        <w:tc>
          <w:tcPr>
            <w:tcW w:w="3089" w:type="dxa"/>
          </w:tcPr>
          <w:p w14:paraId="4D46C9CA" w14:textId="77777777" w:rsidR="00000A7F" w:rsidRPr="008A71F8" w:rsidRDefault="008A71F8" w:rsidP="00EB358A">
            <w:pPr>
              <w:pStyle w:val="ListBullet"/>
            </w:pPr>
            <w:r w:rsidRPr="008A71F8">
              <w:t>Resubmission to request an Authority Required (STREAMLINED) listing for prophylaxis in patients with chronic migraine.</w:t>
            </w:r>
          </w:p>
        </w:tc>
        <w:tc>
          <w:tcPr>
            <w:tcW w:w="5245" w:type="dxa"/>
          </w:tcPr>
          <w:p w14:paraId="2FB81F6E" w14:textId="6105184B" w:rsidR="008A71F8" w:rsidRDefault="008A71F8" w:rsidP="00D407A7">
            <w:pPr>
              <w:jc w:val="both"/>
              <w:rPr>
                <w:rFonts w:ascii="Arial" w:hAnsi="Arial" w:cs="Arial"/>
                <w:sz w:val="20"/>
              </w:rPr>
            </w:pPr>
            <w:r w:rsidRPr="008A71F8">
              <w:rPr>
                <w:rFonts w:ascii="Arial" w:hAnsi="Arial" w:cs="Arial"/>
                <w:sz w:val="20"/>
              </w:rPr>
              <w:t>The PBAC did not recommend the Authority Required (</w:t>
            </w:r>
            <w:r w:rsidR="005A3618" w:rsidRPr="005A3618">
              <w:rPr>
                <w:rFonts w:ascii="Arial" w:hAnsi="Arial" w:cs="Arial"/>
                <w:sz w:val="20"/>
              </w:rPr>
              <w:t>STREAMLINED</w:t>
            </w:r>
            <w:r w:rsidRPr="008A71F8">
              <w:rPr>
                <w:rFonts w:ascii="Arial" w:hAnsi="Arial" w:cs="Arial"/>
                <w:sz w:val="20"/>
              </w:rPr>
              <w:t>) listing of erenumab for the treatment of</w:t>
            </w:r>
            <w:r w:rsidR="005A3618">
              <w:rPr>
                <w:rFonts w:ascii="Arial" w:hAnsi="Arial" w:cs="Arial"/>
                <w:sz w:val="20"/>
              </w:rPr>
              <w:t xml:space="preserve"> patients with</w:t>
            </w:r>
            <w:r w:rsidRPr="008A71F8">
              <w:rPr>
                <w:rFonts w:ascii="Arial" w:hAnsi="Arial" w:cs="Arial"/>
                <w:sz w:val="20"/>
              </w:rPr>
              <w:t xml:space="preserve"> chronic migraine. The PBAC considered the magnitude of the clinical benefit, and </w:t>
            </w:r>
            <w:r w:rsidR="005A3618">
              <w:rPr>
                <w:rFonts w:ascii="Arial" w:hAnsi="Arial" w:cs="Arial"/>
                <w:sz w:val="20"/>
              </w:rPr>
              <w:t xml:space="preserve">the claim of </w:t>
            </w:r>
            <w:r w:rsidRPr="008A71F8">
              <w:rPr>
                <w:rFonts w:ascii="Arial" w:hAnsi="Arial" w:cs="Arial"/>
                <w:sz w:val="20"/>
              </w:rPr>
              <w:t xml:space="preserve">non-inferior efficacy </w:t>
            </w:r>
            <w:r w:rsidR="005A3618">
              <w:rPr>
                <w:rFonts w:ascii="Arial" w:hAnsi="Arial" w:cs="Arial"/>
                <w:sz w:val="20"/>
              </w:rPr>
              <w:t xml:space="preserve">compared with </w:t>
            </w:r>
            <w:r w:rsidRPr="008A71F8">
              <w:rPr>
                <w:rFonts w:ascii="Arial" w:hAnsi="Arial" w:cs="Arial"/>
                <w:sz w:val="20"/>
              </w:rPr>
              <w:t xml:space="preserve">Botox, were uncertain due to being based on a subgroup of the trial population and clinical data for only the 140 mg dose. </w:t>
            </w:r>
          </w:p>
          <w:p w14:paraId="459A78A8" w14:textId="77777777" w:rsidR="008A71F8" w:rsidRDefault="008A71F8" w:rsidP="00D407A7">
            <w:pPr>
              <w:jc w:val="both"/>
              <w:rPr>
                <w:rFonts w:ascii="Arial" w:hAnsi="Arial" w:cs="Arial"/>
                <w:sz w:val="20"/>
              </w:rPr>
            </w:pPr>
          </w:p>
          <w:p w14:paraId="5039980E" w14:textId="77777777" w:rsidR="00000A7F" w:rsidRDefault="008A71F8" w:rsidP="00D407A7">
            <w:pPr>
              <w:jc w:val="both"/>
              <w:rPr>
                <w:rFonts w:ascii="Arial" w:hAnsi="Arial" w:cs="Arial"/>
                <w:sz w:val="20"/>
              </w:rPr>
            </w:pPr>
            <w:r w:rsidRPr="008A71F8">
              <w:rPr>
                <w:rFonts w:ascii="Arial" w:hAnsi="Arial" w:cs="Arial"/>
                <w:sz w:val="20"/>
              </w:rPr>
              <w:t xml:space="preserve">There were significant issues with the economic model, and the cost-effectiveness of erenumab versus BSC at the price proposed in the resubmission is highly uncertain. The expected financial impact of listing erenumab on the PBS was very high and uncertain. Given </w:t>
            </w:r>
            <w:r w:rsidRPr="008A71F8">
              <w:rPr>
                <w:rFonts w:ascii="Arial" w:hAnsi="Arial" w:cs="Arial"/>
                <w:sz w:val="20"/>
              </w:rPr>
              <w:lastRenderedPageBreak/>
              <w:t>the significant burden of disease and the high number of patients that may benefit from treatment, the PBAC considered it was important to ensure any PBS listing was based on the best available data, was appropriately targeted to the right patients and was cost-effective in those patients.</w:t>
            </w:r>
          </w:p>
          <w:p w14:paraId="521399A0" w14:textId="28D00AC3" w:rsidR="0052700A" w:rsidRPr="00DF7278" w:rsidRDefault="0052700A" w:rsidP="00D407A7">
            <w:pPr>
              <w:jc w:val="both"/>
              <w:rPr>
                <w:rFonts w:ascii="Arial" w:hAnsi="Arial" w:cs="Arial"/>
                <w:sz w:val="20"/>
                <w:highlight w:val="yellow"/>
              </w:rPr>
            </w:pPr>
          </w:p>
        </w:tc>
      </w:tr>
      <w:tr w:rsidR="00000A7F" w:rsidRPr="00447CFB" w14:paraId="3ACFAF90" w14:textId="77777777" w:rsidTr="00A80F6A">
        <w:trPr>
          <w:trHeight w:val="1494"/>
        </w:trPr>
        <w:tc>
          <w:tcPr>
            <w:tcW w:w="2127" w:type="dxa"/>
            <w:vMerge/>
          </w:tcPr>
          <w:p w14:paraId="7FA6F89D" w14:textId="77777777" w:rsidR="00000A7F" w:rsidRPr="00447CFB" w:rsidRDefault="00000A7F" w:rsidP="00D407A7">
            <w:pPr>
              <w:rPr>
                <w:rFonts w:ascii="Arial" w:hAnsi="Arial" w:cs="Arial"/>
                <w:sz w:val="20"/>
              </w:rPr>
            </w:pPr>
          </w:p>
        </w:tc>
        <w:tc>
          <w:tcPr>
            <w:tcW w:w="2268" w:type="dxa"/>
            <w:vMerge/>
          </w:tcPr>
          <w:p w14:paraId="439C9FC3" w14:textId="77777777" w:rsidR="00000A7F" w:rsidRPr="00447CFB" w:rsidRDefault="00000A7F" w:rsidP="00D407A7">
            <w:pPr>
              <w:rPr>
                <w:rFonts w:ascii="Arial" w:hAnsi="Arial" w:cs="Arial"/>
                <w:sz w:val="20"/>
              </w:rPr>
            </w:pPr>
          </w:p>
        </w:tc>
        <w:tc>
          <w:tcPr>
            <w:tcW w:w="2155" w:type="dxa"/>
            <w:vMerge/>
            <w:shd w:val="clear" w:color="auto" w:fill="FFFFFF" w:themeFill="background1"/>
          </w:tcPr>
          <w:p w14:paraId="6AA9D813" w14:textId="77777777" w:rsidR="00000A7F" w:rsidRPr="00447CFB" w:rsidRDefault="00000A7F" w:rsidP="00D407A7">
            <w:pPr>
              <w:rPr>
                <w:rFonts w:ascii="Arial" w:hAnsi="Arial" w:cs="Arial"/>
                <w:sz w:val="20"/>
              </w:rPr>
            </w:pPr>
          </w:p>
        </w:tc>
        <w:tc>
          <w:tcPr>
            <w:tcW w:w="3089" w:type="dxa"/>
          </w:tcPr>
          <w:p w14:paraId="10D341BF" w14:textId="77777777" w:rsidR="005D34BB" w:rsidRDefault="00000A7F" w:rsidP="00EB358A">
            <w:pPr>
              <w:pStyle w:val="ListBullet"/>
            </w:pPr>
            <w:r>
              <w:t>Comparator:</w:t>
            </w:r>
            <w:r w:rsidR="008A71F8">
              <w:t xml:space="preserve"> </w:t>
            </w:r>
          </w:p>
          <w:p w14:paraId="138E04FF" w14:textId="08E86594" w:rsidR="00000A7F" w:rsidRPr="00DF7278" w:rsidRDefault="002F00C6" w:rsidP="00EB358A">
            <w:pPr>
              <w:pStyle w:val="ListBullet"/>
            </w:pPr>
            <w:r>
              <w:t>B</w:t>
            </w:r>
            <w:r w:rsidR="008A71F8" w:rsidRPr="008A71F8">
              <w:t>otulinum toxin type A (Botox</w:t>
            </w:r>
            <w:r w:rsidR="002C0422">
              <w:t>®</w:t>
            </w:r>
            <w:r w:rsidR="008A71F8" w:rsidRPr="008A71F8">
              <w:t>) and Best Supportive Care (BSC)</w:t>
            </w:r>
          </w:p>
        </w:tc>
        <w:tc>
          <w:tcPr>
            <w:tcW w:w="5245" w:type="dxa"/>
          </w:tcPr>
          <w:p w14:paraId="70F64349" w14:textId="77777777" w:rsidR="00000A7F" w:rsidRDefault="008A71F8" w:rsidP="00D407A7">
            <w:pPr>
              <w:jc w:val="both"/>
              <w:rPr>
                <w:rFonts w:ascii="Arial" w:hAnsi="Arial" w:cs="Arial"/>
                <w:sz w:val="20"/>
              </w:rPr>
            </w:pPr>
            <w:r w:rsidRPr="008A71F8">
              <w:rPr>
                <w:rFonts w:ascii="Arial" w:hAnsi="Arial" w:cs="Arial"/>
                <w:sz w:val="20"/>
              </w:rPr>
              <w:t>Accepted. The PBAC did not consider the weighting across the comparators to be adequately supported. Further, the PBAC did not consider the differential price for the two groups of patients (those treated with Botox versus those not treated with Botox) to be adequately justified.</w:t>
            </w:r>
          </w:p>
          <w:p w14:paraId="4A625E7D" w14:textId="5DF3E71E" w:rsidR="0052700A" w:rsidRPr="00DF7278" w:rsidRDefault="0052700A" w:rsidP="00D407A7">
            <w:pPr>
              <w:jc w:val="both"/>
              <w:rPr>
                <w:rFonts w:ascii="Arial" w:hAnsi="Arial" w:cs="Arial"/>
                <w:sz w:val="20"/>
                <w:highlight w:val="yellow"/>
              </w:rPr>
            </w:pPr>
          </w:p>
        </w:tc>
      </w:tr>
      <w:tr w:rsidR="00000A7F" w:rsidRPr="00447CFB" w14:paraId="354A9B21" w14:textId="77777777" w:rsidTr="0052700A">
        <w:trPr>
          <w:trHeight w:val="1919"/>
        </w:trPr>
        <w:tc>
          <w:tcPr>
            <w:tcW w:w="2127" w:type="dxa"/>
            <w:vMerge/>
          </w:tcPr>
          <w:p w14:paraId="4C8EEC19" w14:textId="77777777" w:rsidR="00000A7F" w:rsidRPr="00447CFB" w:rsidRDefault="00000A7F" w:rsidP="00D407A7">
            <w:pPr>
              <w:rPr>
                <w:rFonts w:ascii="Arial" w:hAnsi="Arial" w:cs="Arial"/>
                <w:sz w:val="20"/>
              </w:rPr>
            </w:pPr>
          </w:p>
        </w:tc>
        <w:tc>
          <w:tcPr>
            <w:tcW w:w="2268" w:type="dxa"/>
            <w:vMerge/>
          </w:tcPr>
          <w:p w14:paraId="22044B2F" w14:textId="77777777" w:rsidR="00000A7F" w:rsidRPr="00447CFB" w:rsidRDefault="00000A7F" w:rsidP="00D407A7">
            <w:pPr>
              <w:rPr>
                <w:rFonts w:ascii="Arial" w:hAnsi="Arial" w:cs="Arial"/>
                <w:sz w:val="20"/>
              </w:rPr>
            </w:pPr>
          </w:p>
        </w:tc>
        <w:tc>
          <w:tcPr>
            <w:tcW w:w="2155" w:type="dxa"/>
            <w:vMerge/>
            <w:shd w:val="clear" w:color="auto" w:fill="FFFFFF" w:themeFill="background1"/>
          </w:tcPr>
          <w:p w14:paraId="19C50439" w14:textId="77777777" w:rsidR="00000A7F" w:rsidRPr="00447CFB" w:rsidRDefault="00000A7F" w:rsidP="00D407A7">
            <w:pPr>
              <w:rPr>
                <w:rFonts w:ascii="Arial" w:hAnsi="Arial" w:cs="Arial"/>
                <w:sz w:val="20"/>
              </w:rPr>
            </w:pPr>
          </w:p>
        </w:tc>
        <w:tc>
          <w:tcPr>
            <w:tcW w:w="3089" w:type="dxa"/>
          </w:tcPr>
          <w:p w14:paraId="0A70400F" w14:textId="77777777" w:rsidR="00030F8C" w:rsidRDefault="00000A7F" w:rsidP="00EB358A">
            <w:pPr>
              <w:pStyle w:val="ListBullet"/>
            </w:pPr>
            <w:r>
              <w:t>Clinical claim:</w:t>
            </w:r>
            <w:r w:rsidR="008A71F8">
              <w:t xml:space="preserve"> </w:t>
            </w:r>
          </w:p>
          <w:p w14:paraId="363FB063" w14:textId="060DC669" w:rsidR="008A71F8" w:rsidRDefault="00030F8C" w:rsidP="00EB358A">
            <w:pPr>
              <w:pStyle w:val="ListBullet"/>
            </w:pPr>
            <w:r>
              <w:t>S</w:t>
            </w:r>
            <w:r w:rsidR="005D34BB">
              <w:t xml:space="preserve">uperior </w:t>
            </w:r>
            <w:r w:rsidR="008A71F8">
              <w:t>comparative efficacy and safety versus BSC</w:t>
            </w:r>
          </w:p>
          <w:p w14:paraId="79DB3966" w14:textId="77777777" w:rsidR="00000A7F" w:rsidRPr="00DF7278" w:rsidRDefault="008A71F8" w:rsidP="00EB358A">
            <w:pPr>
              <w:pStyle w:val="ListBullet"/>
            </w:pPr>
            <w:r>
              <w:t xml:space="preserve">Non-inferior comparative efficacy and safety versus Botox.  </w:t>
            </w:r>
          </w:p>
        </w:tc>
        <w:tc>
          <w:tcPr>
            <w:tcW w:w="5245" w:type="dxa"/>
          </w:tcPr>
          <w:p w14:paraId="6A35E9A6" w14:textId="4FC58F5B" w:rsidR="008A71F8" w:rsidRPr="008A71F8" w:rsidRDefault="008A71F8" w:rsidP="008A71F8">
            <w:pPr>
              <w:jc w:val="both"/>
              <w:rPr>
                <w:rFonts w:ascii="Arial" w:hAnsi="Arial" w:cs="Arial"/>
                <w:sz w:val="20"/>
              </w:rPr>
            </w:pPr>
            <w:r w:rsidRPr="008A71F8">
              <w:rPr>
                <w:rFonts w:ascii="Arial" w:hAnsi="Arial" w:cs="Arial"/>
                <w:sz w:val="20"/>
              </w:rPr>
              <w:t xml:space="preserve">Not accepted. The PBAC noted the clinical claims in the resubmission were based on a small subgroup of patients in the pivotal study and considered the use of a subgroup to support the comparisons to BSC and Botox was inadequately supported. The PBAC noted erenumab decreased monthly migraine days (MMD) and achieved a higher proportion of patients with a 50% reduction in MMD over 12 weeks of treatment compared </w:t>
            </w:r>
            <w:r w:rsidR="00EB19EB">
              <w:rPr>
                <w:rFonts w:ascii="Arial" w:hAnsi="Arial" w:cs="Arial"/>
                <w:sz w:val="20"/>
              </w:rPr>
              <w:t>with</w:t>
            </w:r>
            <w:r w:rsidR="00EB19EB" w:rsidRPr="008A71F8">
              <w:rPr>
                <w:rFonts w:ascii="Arial" w:hAnsi="Arial" w:cs="Arial"/>
                <w:sz w:val="20"/>
              </w:rPr>
              <w:t xml:space="preserve"> </w:t>
            </w:r>
            <w:r w:rsidRPr="008A71F8">
              <w:rPr>
                <w:rFonts w:ascii="Arial" w:hAnsi="Arial" w:cs="Arial"/>
                <w:sz w:val="20"/>
              </w:rPr>
              <w:t xml:space="preserve">BSC but considered the magnitude and clinical significance of the benefit was uncertain. The uncertainty was increased by the lack of data provided for the 70 mg dose. </w:t>
            </w:r>
          </w:p>
          <w:p w14:paraId="31517F37" w14:textId="77777777" w:rsidR="008A71F8" w:rsidRPr="008A71F8" w:rsidRDefault="008A71F8" w:rsidP="008A71F8">
            <w:pPr>
              <w:jc w:val="both"/>
              <w:rPr>
                <w:rFonts w:ascii="Arial" w:hAnsi="Arial" w:cs="Arial"/>
                <w:sz w:val="20"/>
              </w:rPr>
            </w:pPr>
          </w:p>
          <w:p w14:paraId="00FCDB17" w14:textId="77777777" w:rsidR="00000A7F" w:rsidRDefault="008A71F8" w:rsidP="007045F6">
            <w:pPr>
              <w:jc w:val="both"/>
              <w:rPr>
                <w:rFonts w:ascii="Arial" w:hAnsi="Arial" w:cs="Arial"/>
                <w:sz w:val="20"/>
              </w:rPr>
            </w:pPr>
            <w:r w:rsidRPr="008A71F8">
              <w:rPr>
                <w:rFonts w:ascii="Arial" w:hAnsi="Arial" w:cs="Arial"/>
                <w:sz w:val="20"/>
              </w:rPr>
              <w:t>The PBAC considered there were significant transitivity issues with the indirect comparison to Botox</w:t>
            </w:r>
            <w:r w:rsidR="007045F6">
              <w:rPr>
                <w:rFonts w:ascii="Arial" w:hAnsi="Arial" w:cs="Arial"/>
                <w:sz w:val="20"/>
              </w:rPr>
              <w:t xml:space="preserve"> as there were substantial differences in responses observed in the placebo arms of the two studies being indirectly compared</w:t>
            </w:r>
            <w:r w:rsidRPr="008A71F8">
              <w:rPr>
                <w:rFonts w:ascii="Arial" w:hAnsi="Arial" w:cs="Arial"/>
                <w:sz w:val="20"/>
              </w:rPr>
              <w:t>.</w:t>
            </w:r>
          </w:p>
          <w:p w14:paraId="1E8A28C4" w14:textId="750CA402" w:rsidR="0052700A" w:rsidRPr="00DF7278" w:rsidRDefault="0052700A" w:rsidP="007045F6">
            <w:pPr>
              <w:jc w:val="both"/>
              <w:rPr>
                <w:rFonts w:ascii="Arial" w:hAnsi="Arial" w:cs="Arial"/>
                <w:sz w:val="20"/>
                <w:highlight w:val="yellow"/>
              </w:rPr>
            </w:pPr>
          </w:p>
        </w:tc>
      </w:tr>
      <w:tr w:rsidR="00000A7F" w:rsidRPr="00447CFB" w14:paraId="0FBCAFEA" w14:textId="77777777" w:rsidTr="00D749D3">
        <w:trPr>
          <w:trHeight w:val="2770"/>
        </w:trPr>
        <w:tc>
          <w:tcPr>
            <w:tcW w:w="2127" w:type="dxa"/>
            <w:vMerge/>
          </w:tcPr>
          <w:p w14:paraId="0A2E161C" w14:textId="77777777" w:rsidR="00000A7F" w:rsidRPr="00447CFB" w:rsidRDefault="00000A7F" w:rsidP="00D407A7">
            <w:pPr>
              <w:rPr>
                <w:rFonts w:ascii="Arial" w:hAnsi="Arial" w:cs="Arial"/>
                <w:sz w:val="20"/>
              </w:rPr>
            </w:pPr>
          </w:p>
        </w:tc>
        <w:tc>
          <w:tcPr>
            <w:tcW w:w="2268" w:type="dxa"/>
            <w:vMerge/>
          </w:tcPr>
          <w:p w14:paraId="2512F0D6" w14:textId="77777777" w:rsidR="00000A7F" w:rsidRPr="00447CFB" w:rsidRDefault="00000A7F" w:rsidP="00D407A7">
            <w:pPr>
              <w:rPr>
                <w:rFonts w:ascii="Arial" w:hAnsi="Arial" w:cs="Arial"/>
                <w:sz w:val="20"/>
              </w:rPr>
            </w:pPr>
          </w:p>
        </w:tc>
        <w:tc>
          <w:tcPr>
            <w:tcW w:w="2155" w:type="dxa"/>
            <w:vMerge/>
            <w:shd w:val="clear" w:color="auto" w:fill="FFFFFF" w:themeFill="background1"/>
          </w:tcPr>
          <w:p w14:paraId="62AE1237" w14:textId="77777777" w:rsidR="00000A7F" w:rsidRPr="00447CFB" w:rsidRDefault="00000A7F" w:rsidP="00D407A7">
            <w:pPr>
              <w:rPr>
                <w:rFonts w:ascii="Arial" w:hAnsi="Arial" w:cs="Arial"/>
                <w:sz w:val="20"/>
              </w:rPr>
            </w:pPr>
          </w:p>
        </w:tc>
        <w:tc>
          <w:tcPr>
            <w:tcW w:w="3089" w:type="dxa"/>
          </w:tcPr>
          <w:p w14:paraId="68B4D259" w14:textId="77777777" w:rsidR="002F00C6" w:rsidRDefault="00000A7F" w:rsidP="00EB358A">
            <w:pPr>
              <w:pStyle w:val="ListBullet"/>
            </w:pPr>
            <w:r>
              <w:t xml:space="preserve">Economic claim: </w:t>
            </w:r>
          </w:p>
          <w:p w14:paraId="4AFDA4F7" w14:textId="6A34B202" w:rsidR="008A71F8" w:rsidRDefault="002F00C6" w:rsidP="00EB358A">
            <w:pPr>
              <w:pStyle w:val="ListBullet"/>
            </w:pPr>
            <w:r>
              <w:t>C</w:t>
            </w:r>
            <w:r w:rsidR="008A71F8">
              <w:t>ost-effectiveness versus BSC</w:t>
            </w:r>
          </w:p>
          <w:p w14:paraId="64AC042A" w14:textId="77777777" w:rsidR="00000A7F" w:rsidRPr="00DF7278" w:rsidRDefault="008A71F8" w:rsidP="00EB358A">
            <w:pPr>
              <w:pStyle w:val="ListBullet"/>
            </w:pPr>
            <w:r>
              <w:t>Cost-minimisation versus Botox</w:t>
            </w:r>
          </w:p>
        </w:tc>
        <w:tc>
          <w:tcPr>
            <w:tcW w:w="5245" w:type="dxa"/>
          </w:tcPr>
          <w:p w14:paraId="36289D4B" w14:textId="77777777" w:rsidR="008A71F8" w:rsidRPr="008A71F8" w:rsidRDefault="008A71F8" w:rsidP="008A71F8">
            <w:pPr>
              <w:jc w:val="both"/>
              <w:rPr>
                <w:rFonts w:ascii="Arial" w:hAnsi="Arial" w:cs="Arial"/>
                <w:sz w:val="20"/>
              </w:rPr>
            </w:pPr>
            <w:r w:rsidRPr="008A71F8">
              <w:rPr>
                <w:rFonts w:ascii="Arial" w:hAnsi="Arial" w:cs="Arial"/>
                <w:sz w:val="20"/>
              </w:rPr>
              <w:t xml:space="preserve">Not Accepted. </w:t>
            </w:r>
          </w:p>
          <w:p w14:paraId="4F271E83" w14:textId="77777777" w:rsidR="008A71F8" w:rsidRPr="008A71F8" w:rsidRDefault="008A71F8" w:rsidP="008A71F8">
            <w:pPr>
              <w:jc w:val="both"/>
              <w:rPr>
                <w:rFonts w:ascii="Arial" w:hAnsi="Arial" w:cs="Arial"/>
                <w:sz w:val="20"/>
              </w:rPr>
            </w:pPr>
          </w:p>
          <w:p w14:paraId="2ACA6062" w14:textId="77777777" w:rsidR="008A71F8" w:rsidRDefault="008A71F8" w:rsidP="008A71F8">
            <w:pPr>
              <w:jc w:val="both"/>
              <w:rPr>
                <w:rFonts w:ascii="Arial" w:hAnsi="Arial" w:cs="Arial"/>
                <w:sz w:val="20"/>
              </w:rPr>
            </w:pPr>
            <w:r w:rsidRPr="008A71F8">
              <w:rPr>
                <w:rFonts w:ascii="Arial" w:hAnsi="Arial" w:cs="Arial"/>
                <w:sz w:val="20"/>
              </w:rPr>
              <w:t>The PBAC considered there were significant issues with the economic model and, in addition to the uncertainty of the clinical benefit in the subgroup population, considered it was of limited value in determining the cost-effectiveness of erenumab.</w:t>
            </w:r>
          </w:p>
          <w:p w14:paraId="30E04C72" w14:textId="77777777" w:rsidR="008A71F8" w:rsidRPr="008A71F8" w:rsidRDefault="008A71F8" w:rsidP="008A71F8">
            <w:pPr>
              <w:jc w:val="both"/>
              <w:rPr>
                <w:rFonts w:ascii="Arial" w:hAnsi="Arial" w:cs="Arial"/>
                <w:sz w:val="20"/>
              </w:rPr>
            </w:pPr>
          </w:p>
          <w:p w14:paraId="1F17113F" w14:textId="77777777" w:rsidR="00E71426" w:rsidRDefault="008A71F8" w:rsidP="008A71F8">
            <w:pPr>
              <w:jc w:val="both"/>
              <w:rPr>
                <w:rFonts w:ascii="Arial" w:hAnsi="Arial" w:cs="Arial"/>
                <w:sz w:val="20"/>
              </w:rPr>
            </w:pPr>
            <w:r w:rsidRPr="008A71F8">
              <w:rPr>
                <w:rFonts w:ascii="Arial" w:hAnsi="Arial" w:cs="Arial"/>
                <w:sz w:val="20"/>
              </w:rPr>
              <w:t>The PBAC considered a cost-minimisation analysis may not be appropriate as non-inferiority was not supported with the data presented in the resubmission.</w:t>
            </w:r>
          </w:p>
          <w:p w14:paraId="27E177C6" w14:textId="03502759" w:rsidR="0052700A" w:rsidRPr="0052700A" w:rsidRDefault="0052700A" w:rsidP="008A71F8">
            <w:pPr>
              <w:jc w:val="both"/>
              <w:rPr>
                <w:rFonts w:ascii="Arial" w:hAnsi="Arial" w:cs="Arial"/>
                <w:sz w:val="20"/>
              </w:rPr>
            </w:pPr>
          </w:p>
        </w:tc>
      </w:tr>
      <w:tr w:rsidR="00000A7F" w:rsidRPr="00447CFB" w14:paraId="06FE08BC" w14:textId="77777777" w:rsidTr="00A80F6A">
        <w:trPr>
          <w:trHeight w:val="502"/>
        </w:trPr>
        <w:tc>
          <w:tcPr>
            <w:tcW w:w="2127" w:type="dxa"/>
            <w:vMerge/>
          </w:tcPr>
          <w:p w14:paraId="54B55456" w14:textId="77777777" w:rsidR="00000A7F" w:rsidRPr="00447CFB" w:rsidRDefault="00000A7F" w:rsidP="00D407A7">
            <w:pPr>
              <w:rPr>
                <w:rFonts w:ascii="Arial" w:hAnsi="Arial" w:cs="Arial"/>
                <w:sz w:val="20"/>
              </w:rPr>
            </w:pPr>
          </w:p>
        </w:tc>
        <w:tc>
          <w:tcPr>
            <w:tcW w:w="2268" w:type="dxa"/>
            <w:vMerge/>
          </w:tcPr>
          <w:p w14:paraId="4B714726" w14:textId="77777777" w:rsidR="00000A7F" w:rsidRPr="00447CFB" w:rsidRDefault="00000A7F" w:rsidP="00D407A7">
            <w:pPr>
              <w:rPr>
                <w:rFonts w:ascii="Arial" w:hAnsi="Arial" w:cs="Arial"/>
                <w:sz w:val="20"/>
              </w:rPr>
            </w:pPr>
          </w:p>
        </w:tc>
        <w:tc>
          <w:tcPr>
            <w:tcW w:w="2155" w:type="dxa"/>
            <w:vMerge/>
            <w:shd w:val="clear" w:color="auto" w:fill="FFFFFF" w:themeFill="background1"/>
          </w:tcPr>
          <w:p w14:paraId="53C369D3" w14:textId="77777777" w:rsidR="00000A7F" w:rsidRPr="00447CFB" w:rsidRDefault="00000A7F" w:rsidP="00D407A7">
            <w:pPr>
              <w:rPr>
                <w:rFonts w:ascii="Arial" w:hAnsi="Arial" w:cs="Arial"/>
                <w:sz w:val="20"/>
              </w:rPr>
            </w:pPr>
          </w:p>
        </w:tc>
        <w:tc>
          <w:tcPr>
            <w:tcW w:w="3089" w:type="dxa"/>
          </w:tcPr>
          <w:p w14:paraId="0ABFA882" w14:textId="77777777" w:rsidR="00000A7F" w:rsidRPr="00DF7278" w:rsidRDefault="00000A7F" w:rsidP="00EB358A">
            <w:pPr>
              <w:pStyle w:val="ListBullet"/>
            </w:pPr>
            <w:r>
              <w:t xml:space="preserve">Sponsor’s comments: </w:t>
            </w:r>
          </w:p>
        </w:tc>
        <w:tc>
          <w:tcPr>
            <w:tcW w:w="5245" w:type="dxa"/>
          </w:tcPr>
          <w:p w14:paraId="304262B7" w14:textId="77777777" w:rsidR="00000A7F" w:rsidRDefault="00246190" w:rsidP="00D407A7">
            <w:pPr>
              <w:jc w:val="both"/>
              <w:rPr>
                <w:rFonts w:ascii="Arial" w:hAnsi="Arial" w:cs="Arial"/>
                <w:sz w:val="20"/>
              </w:rPr>
            </w:pPr>
            <w:r w:rsidRPr="00246190">
              <w:rPr>
                <w:rFonts w:ascii="Arial" w:hAnsi="Arial" w:cs="Arial"/>
                <w:sz w:val="20"/>
              </w:rPr>
              <w:t>Novartis is disappointed for the migraine community with the committee’s decision not to recommend the reimbursement of erenumab.  Nevertheless, the clinical need for a new therapy in migraine is evident through the broad range of consumer comments and the PBAC noting that there is a significant burden of disease and a high number of patients that may benefit from treatment. Novartis remains committed to exploring options with the PBAC and The Department to enable access to erenumab for Australian migraine patients.</w:t>
            </w:r>
          </w:p>
          <w:p w14:paraId="75B0496E" w14:textId="5C793064" w:rsidR="0052700A" w:rsidRPr="00DF7278" w:rsidRDefault="0052700A" w:rsidP="00D407A7">
            <w:pPr>
              <w:jc w:val="both"/>
              <w:rPr>
                <w:rFonts w:ascii="Arial" w:hAnsi="Arial" w:cs="Arial"/>
                <w:sz w:val="20"/>
                <w:highlight w:val="yellow"/>
              </w:rPr>
            </w:pPr>
          </w:p>
        </w:tc>
      </w:tr>
      <w:tr w:rsidR="009124A8" w:rsidRPr="00447CFB" w14:paraId="63D41653" w14:textId="77777777" w:rsidTr="00CA2D5B">
        <w:trPr>
          <w:trHeight w:val="1636"/>
        </w:trPr>
        <w:tc>
          <w:tcPr>
            <w:tcW w:w="2127" w:type="dxa"/>
            <w:vMerge w:val="restart"/>
          </w:tcPr>
          <w:p w14:paraId="5AA1CCDE" w14:textId="77777777" w:rsidR="009124A8" w:rsidRPr="008A71F8" w:rsidRDefault="009124A8" w:rsidP="008A71F8">
            <w:pPr>
              <w:rPr>
                <w:rFonts w:ascii="Arial" w:hAnsi="Arial" w:cs="Arial"/>
                <w:sz w:val="20"/>
              </w:rPr>
            </w:pPr>
            <w:r w:rsidRPr="008A71F8">
              <w:rPr>
                <w:rFonts w:ascii="Arial" w:hAnsi="Arial" w:cs="Arial"/>
                <w:sz w:val="20"/>
              </w:rPr>
              <w:t>INSULIN GLARGINE with LIXISENATIDE</w:t>
            </w:r>
          </w:p>
          <w:p w14:paraId="0C3D3FD0" w14:textId="77777777" w:rsidR="009124A8" w:rsidRPr="008A71F8" w:rsidRDefault="009124A8" w:rsidP="008A71F8">
            <w:pPr>
              <w:rPr>
                <w:rFonts w:ascii="Arial" w:hAnsi="Arial" w:cs="Arial"/>
                <w:sz w:val="20"/>
              </w:rPr>
            </w:pPr>
          </w:p>
          <w:p w14:paraId="24C5B5E7" w14:textId="77777777" w:rsidR="009124A8" w:rsidRPr="008A71F8" w:rsidRDefault="009124A8" w:rsidP="008A71F8">
            <w:pPr>
              <w:rPr>
                <w:rFonts w:ascii="Arial" w:hAnsi="Arial" w:cs="Arial"/>
                <w:sz w:val="20"/>
              </w:rPr>
            </w:pPr>
            <w:r w:rsidRPr="008A71F8">
              <w:rPr>
                <w:rFonts w:ascii="Arial" w:hAnsi="Arial" w:cs="Arial"/>
                <w:sz w:val="20"/>
              </w:rPr>
              <w:t>Injections (human analogue), cartridges, insulin glargine 100 units per mL with lixisenatide 50 micrograms per mL, 3 mL, 5</w:t>
            </w:r>
          </w:p>
          <w:p w14:paraId="4FE02041" w14:textId="77777777" w:rsidR="009124A8" w:rsidRPr="008A71F8" w:rsidRDefault="009124A8" w:rsidP="008A71F8">
            <w:pPr>
              <w:rPr>
                <w:rFonts w:ascii="Arial" w:hAnsi="Arial" w:cs="Arial"/>
                <w:sz w:val="20"/>
              </w:rPr>
            </w:pPr>
            <w:r w:rsidRPr="008A71F8">
              <w:rPr>
                <w:rFonts w:ascii="Arial" w:hAnsi="Arial" w:cs="Arial"/>
                <w:sz w:val="20"/>
              </w:rPr>
              <w:lastRenderedPageBreak/>
              <w:t>Injections (human analogue), cartridges, insulin glargine 100 units per mL with lixisenatide 33 micrograms per mL, 3 mL, 5</w:t>
            </w:r>
          </w:p>
          <w:p w14:paraId="64424670" w14:textId="77777777" w:rsidR="009124A8" w:rsidRPr="008A71F8" w:rsidRDefault="009124A8" w:rsidP="008A71F8">
            <w:pPr>
              <w:rPr>
                <w:rFonts w:ascii="Arial" w:hAnsi="Arial" w:cs="Arial"/>
                <w:sz w:val="20"/>
              </w:rPr>
            </w:pPr>
          </w:p>
          <w:p w14:paraId="5D9514F2" w14:textId="77777777" w:rsidR="009124A8" w:rsidRPr="008A71F8" w:rsidRDefault="009124A8" w:rsidP="008A71F8">
            <w:pPr>
              <w:rPr>
                <w:rFonts w:ascii="Arial" w:hAnsi="Arial" w:cs="Arial"/>
                <w:sz w:val="20"/>
              </w:rPr>
            </w:pPr>
            <w:r w:rsidRPr="008A71F8">
              <w:rPr>
                <w:rFonts w:ascii="Arial" w:hAnsi="Arial" w:cs="Arial"/>
                <w:sz w:val="20"/>
              </w:rPr>
              <w:t>Soliqua®</w:t>
            </w:r>
          </w:p>
          <w:p w14:paraId="3B517516" w14:textId="77777777" w:rsidR="009124A8" w:rsidRPr="008A71F8" w:rsidRDefault="009124A8" w:rsidP="008A71F8">
            <w:pPr>
              <w:rPr>
                <w:rFonts w:ascii="Arial" w:hAnsi="Arial" w:cs="Arial"/>
                <w:sz w:val="20"/>
              </w:rPr>
            </w:pPr>
          </w:p>
          <w:p w14:paraId="3F05996B" w14:textId="77777777" w:rsidR="009124A8" w:rsidRDefault="009124A8" w:rsidP="008A71F8">
            <w:pPr>
              <w:rPr>
                <w:rFonts w:ascii="Arial" w:hAnsi="Arial" w:cs="Arial"/>
                <w:sz w:val="20"/>
              </w:rPr>
            </w:pPr>
            <w:r w:rsidRPr="008A71F8">
              <w:rPr>
                <w:rFonts w:ascii="Arial" w:hAnsi="Arial" w:cs="Arial"/>
                <w:sz w:val="20"/>
              </w:rPr>
              <w:t>Sanofi-Aventis Australia Pty Ltd</w:t>
            </w:r>
          </w:p>
          <w:p w14:paraId="54DB8233" w14:textId="77777777" w:rsidR="009432B0" w:rsidRDefault="009432B0" w:rsidP="008A71F8">
            <w:pPr>
              <w:rPr>
                <w:rFonts w:ascii="Arial" w:hAnsi="Arial" w:cs="Arial"/>
                <w:sz w:val="20"/>
              </w:rPr>
            </w:pPr>
          </w:p>
          <w:p w14:paraId="041EC0B0" w14:textId="77777777" w:rsidR="009432B0" w:rsidRPr="009432B0" w:rsidRDefault="009432B0" w:rsidP="009432B0">
            <w:pPr>
              <w:rPr>
                <w:rFonts w:ascii="Arial" w:hAnsi="Arial" w:cs="Arial"/>
                <w:sz w:val="20"/>
              </w:rPr>
            </w:pPr>
            <w:r>
              <w:rPr>
                <w:rFonts w:ascii="Arial" w:hAnsi="Arial" w:cs="Arial"/>
                <w:sz w:val="20"/>
              </w:rPr>
              <w:t>New listing</w:t>
            </w:r>
          </w:p>
          <w:p w14:paraId="2AD2D177" w14:textId="77777777" w:rsidR="009432B0" w:rsidRPr="00447CFB" w:rsidRDefault="009432B0" w:rsidP="009432B0">
            <w:pPr>
              <w:rPr>
                <w:rFonts w:ascii="Arial" w:hAnsi="Arial" w:cs="Arial"/>
                <w:sz w:val="20"/>
              </w:rPr>
            </w:pPr>
            <w:r w:rsidRPr="009432B0">
              <w:rPr>
                <w:rFonts w:ascii="Arial" w:hAnsi="Arial" w:cs="Arial"/>
                <w:sz w:val="20"/>
              </w:rPr>
              <w:t>(Major Submission)</w:t>
            </w:r>
          </w:p>
        </w:tc>
        <w:tc>
          <w:tcPr>
            <w:tcW w:w="2268" w:type="dxa"/>
            <w:vMerge w:val="restart"/>
          </w:tcPr>
          <w:p w14:paraId="74BA9E8A" w14:textId="77777777" w:rsidR="009124A8" w:rsidRPr="009124A8" w:rsidRDefault="009124A8" w:rsidP="009124A8">
            <w:pPr>
              <w:rPr>
                <w:rFonts w:ascii="Arial" w:hAnsi="Arial" w:cs="Arial"/>
                <w:sz w:val="20"/>
              </w:rPr>
            </w:pPr>
            <w:r>
              <w:rPr>
                <w:rFonts w:ascii="Arial" w:hAnsi="Arial" w:cs="Arial"/>
                <w:sz w:val="20"/>
              </w:rPr>
              <w:lastRenderedPageBreak/>
              <w:t>INSULIN GLARGINE with LIXISENATIDE</w:t>
            </w:r>
            <w:r w:rsidRPr="009124A8">
              <w:rPr>
                <w:rFonts w:ascii="Arial" w:hAnsi="Arial" w:cs="Arial"/>
                <w:sz w:val="20"/>
              </w:rPr>
              <w:t xml:space="preserve"> is indicated in combination with metformin for the treatment of adults with type 2 diabetes</w:t>
            </w:r>
          </w:p>
          <w:p w14:paraId="36610BF2" w14:textId="77777777" w:rsidR="009124A8" w:rsidRPr="009124A8" w:rsidRDefault="009124A8" w:rsidP="009124A8">
            <w:pPr>
              <w:rPr>
                <w:rFonts w:ascii="Arial" w:hAnsi="Arial" w:cs="Arial"/>
                <w:sz w:val="20"/>
              </w:rPr>
            </w:pPr>
            <w:r w:rsidRPr="009124A8">
              <w:rPr>
                <w:rFonts w:ascii="Arial" w:hAnsi="Arial" w:cs="Arial"/>
                <w:sz w:val="20"/>
              </w:rPr>
              <w:t xml:space="preserve">mellitus to improve glycaemic control when this has not been provided by </w:t>
            </w:r>
            <w:r w:rsidRPr="009124A8">
              <w:rPr>
                <w:rFonts w:ascii="Arial" w:hAnsi="Arial" w:cs="Arial"/>
                <w:sz w:val="20"/>
              </w:rPr>
              <w:lastRenderedPageBreak/>
              <w:t>metformin alone or metformin</w:t>
            </w:r>
          </w:p>
          <w:p w14:paraId="44140779" w14:textId="77777777" w:rsidR="009124A8" w:rsidRPr="00447CFB" w:rsidRDefault="009124A8" w:rsidP="009124A8">
            <w:pPr>
              <w:rPr>
                <w:rFonts w:ascii="Arial" w:hAnsi="Arial" w:cs="Arial"/>
                <w:sz w:val="20"/>
              </w:rPr>
            </w:pPr>
            <w:r w:rsidRPr="009124A8">
              <w:rPr>
                <w:rFonts w:ascii="Arial" w:hAnsi="Arial" w:cs="Arial"/>
                <w:sz w:val="20"/>
              </w:rPr>
              <w:t>combined with another oral glucose lowering medicinal product or with basal insulin</w:t>
            </w:r>
          </w:p>
        </w:tc>
        <w:tc>
          <w:tcPr>
            <w:tcW w:w="2155" w:type="dxa"/>
            <w:vMerge w:val="restart"/>
            <w:shd w:val="clear" w:color="auto" w:fill="FFFFFF" w:themeFill="background1"/>
          </w:tcPr>
          <w:p w14:paraId="4F6F8E83" w14:textId="77777777" w:rsidR="00D6558A" w:rsidRPr="008A71F8" w:rsidRDefault="00D6558A" w:rsidP="00D6558A">
            <w:pPr>
              <w:rPr>
                <w:rFonts w:ascii="Arial" w:hAnsi="Arial" w:cs="Arial"/>
                <w:sz w:val="20"/>
              </w:rPr>
            </w:pPr>
            <w:r w:rsidRPr="008A71F8">
              <w:rPr>
                <w:rFonts w:ascii="Arial" w:hAnsi="Arial" w:cs="Arial"/>
                <w:sz w:val="20"/>
              </w:rPr>
              <w:lastRenderedPageBreak/>
              <w:t>INSULIN GLARGINE with LIXISENATIDE</w:t>
            </w:r>
            <w:r>
              <w:rPr>
                <w:rFonts w:ascii="Arial" w:hAnsi="Arial" w:cs="Arial"/>
                <w:sz w:val="20"/>
              </w:rPr>
              <w:t xml:space="preserve"> is </w:t>
            </w:r>
            <w:r w:rsidRPr="008A71F8">
              <w:rPr>
                <w:rFonts w:ascii="Arial" w:hAnsi="Arial" w:cs="Arial"/>
                <w:sz w:val="20"/>
              </w:rPr>
              <w:t>not currently PBS listed</w:t>
            </w:r>
          </w:p>
          <w:p w14:paraId="05BB2477" w14:textId="77777777" w:rsidR="009124A8" w:rsidRPr="00447CFB" w:rsidRDefault="009124A8" w:rsidP="00D407A7">
            <w:pPr>
              <w:rPr>
                <w:rFonts w:ascii="Arial" w:hAnsi="Arial" w:cs="Arial"/>
                <w:sz w:val="20"/>
              </w:rPr>
            </w:pPr>
          </w:p>
        </w:tc>
        <w:tc>
          <w:tcPr>
            <w:tcW w:w="3089" w:type="dxa"/>
          </w:tcPr>
          <w:p w14:paraId="777299C8" w14:textId="77777777" w:rsidR="009124A8" w:rsidRPr="00DF7278" w:rsidRDefault="009124A8" w:rsidP="00EB358A">
            <w:pPr>
              <w:pStyle w:val="ListBullet"/>
            </w:pPr>
            <w:r w:rsidRPr="00247B7A">
              <w:t>Resubmission to request an Authority Required (STREAMLINED) listing for the treatment of patients with T2DM who have inadequate glycaemic control with basal insulin.</w:t>
            </w:r>
          </w:p>
        </w:tc>
        <w:tc>
          <w:tcPr>
            <w:tcW w:w="5245" w:type="dxa"/>
          </w:tcPr>
          <w:p w14:paraId="06E3DEAA" w14:textId="77777777" w:rsidR="009124A8" w:rsidRDefault="009124A8" w:rsidP="002F00C6">
            <w:pPr>
              <w:jc w:val="both"/>
              <w:rPr>
                <w:rFonts w:ascii="Arial" w:hAnsi="Arial" w:cs="Arial"/>
                <w:sz w:val="20"/>
              </w:rPr>
            </w:pPr>
            <w:r w:rsidRPr="009124A8">
              <w:rPr>
                <w:rFonts w:ascii="Arial" w:hAnsi="Arial" w:cs="Arial"/>
                <w:sz w:val="20"/>
              </w:rPr>
              <w:t xml:space="preserve">The PBAC did not recommend the listing of insulin glargine with lixisenatide fixed ratio combination (FRC) for treatment of adults with </w:t>
            </w:r>
            <w:r w:rsidR="002F00C6">
              <w:rPr>
                <w:rFonts w:ascii="Arial" w:hAnsi="Arial" w:cs="Arial"/>
                <w:sz w:val="20"/>
              </w:rPr>
              <w:t>T2DM</w:t>
            </w:r>
            <w:r w:rsidRPr="009124A8">
              <w:rPr>
                <w:rFonts w:ascii="Arial" w:hAnsi="Arial" w:cs="Arial"/>
                <w:sz w:val="20"/>
              </w:rPr>
              <w:t xml:space="preserve"> who have inadequate glycaemic control with basal insulin on the basis that the proposed price was unacceptably high given the residual uncertainty around the claim of non-inferiority and the appropriate equi-effective doses.</w:t>
            </w:r>
          </w:p>
          <w:p w14:paraId="02828279" w14:textId="387F4E19" w:rsidR="0052700A" w:rsidRPr="00DF7278" w:rsidRDefault="0052700A" w:rsidP="002F00C6">
            <w:pPr>
              <w:jc w:val="both"/>
              <w:rPr>
                <w:rFonts w:ascii="Arial" w:hAnsi="Arial" w:cs="Arial"/>
                <w:sz w:val="20"/>
                <w:highlight w:val="yellow"/>
              </w:rPr>
            </w:pPr>
          </w:p>
        </w:tc>
      </w:tr>
      <w:tr w:rsidR="009124A8" w:rsidRPr="00447CFB" w14:paraId="5F150E93" w14:textId="77777777" w:rsidTr="00CA2D5B">
        <w:trPr>
          <w:trHeight w:val="695"/>
        </w:trPr>
        <w:tc>
          <w:tcPr>
            <w:tcW w:w="2127" w:type="dxa"/>
            <w:vMerge/>
          </w:tcPr>
          <w:p w14:paraId="5A695B19" w14:textId="77777777" w:rsidR="009124A8" w:rsidRPr="00447CFB" w:rsidRDefault="009124A8" w:rsidP="00D407A7">
            <w:pPr>
              <w:rPr>
                <w:rFonts w:ascii="Arial" w:hAnsi="Arial" w:cs="Arial"/>
                <w:sz w:val="20"/>
              </w:rPr>
            </w:pPr>
          </w:p>
        </w:tc>
        <w:tc>
          <w:tcPr>
            <w:tcW w:w="2268" w:type="dxa"/>
            <w:vMerge/>
          </w:tcPr>
          <w:p w14:paraId="16D8C2F9" w14:textId="77777777" w:rsidR="009124A8" w:rsidRPr="00447CFB" w:rsidRDefault="009124A8" w:rsidP="00D407A7">
            <w:pPr>
              <w:rPr>
                <w:rFonts w:ascii="Arial" w:hAnsi="Arial" w:cs="Arial"/>
                <w:sz w:val="20"/>
              </w:rPr>
            </w:pPr>
          </w:p>
        </w:tc>
        <w:tc>
          <w:tcPr>
            <w:tcW w:w="2155" w:type="dxa"/>
            <w:vMerge/>
            <w:shd w:val="clear" w:color="auto" w:fill="FFFFFF" w:themeFill="background1"/>
          </w:tcPr>
          <w:p w14:paraId="14BC8BB9" w14:textId="77777777" w:rsidR="009124A8" w:rsidRPr="00447CFB" w:rsidRDefault="009124A8" w:rsidP="00D407A7">
            <w:pPr>
              <w:rPr>
                <w:rFonts w:ascii="Arial" w:hAnsi="Arial" w:cs="Arial"/>
                <w:sz w:val="20"/>
              </w:rPr>
            </w:pPr>
          </w:p>
        </w:tc>
        <w:tc>
          <w:tcPr>
            <w:tcW w:w="3089" w:type="dxa"/>
          </w:tcPr>
          <w:p w14:paraId="2048F3B4" w14:textId="77777777" w:rsidR="009124A8" w:rsidRPr="009124A8" w:rsidRDefault="009124A8" w:rsidP="00A93A3A">
            <w:pPr>
              <w:pStyle w:val="ListBullet"/>
              <w:spacing w:after="0"/>
            </w:pPr>
            <w:r w:rsidRPr="009124A8">
              <w:t xml:space="preserve">Comparator: </w:t>
            </w:r>
            <w:r w:rsidRPr="009124A8">
              <w:br/>
            </w:r>
            <w:proofErr w:type="spellStart"/>
            <w:r w:rsidRPr="009124A8">
              <w:t>Exenatide</w:t>
            </w:r>
            <w:proofErr w:type="spellEnd"/>
            <w:r w:rsidRPr="009124A8">
              <w:t xml:space="preserve"> twice daily plus insulin glargine.</w:t>
            </w:r>
          </w:p>
        </w:tc>
        <w:tc>
          <w:tcPr>
            <w:tcW w:w="5245" w:type="dxa"/>
          </w:tcPr>
          <w:p w14:paraId="29B9FC69" w14:textId="4B0E6CB0" w:rsidR="009124A8" w:rsidRPr="00DF7278" w:rsidRDefault="009124A8" w:rsidP="00D407A7">
            <w:pPr>
              <w:jc w:val="both"/>
              <w:rPr>
                <w:rFonts w:ascii="Arial" w:hAnsi="Arial" w:cs="Arial"/>
                <w:sz w:val="20"/>
                <w:highlight w:val="yellow"/>
              </w:rPr>
            </w:pPr>
            <w:r w:rsidRPr="009124A8">
              <w:rPr>
                <w:rFonts w:ascii="Arial" w:hAnsi="Arial" w:cs="Arial"/>
                <w:sz w:val="20"/>
              </w:rPr>
              <w:t>The PBAC considered that the comparator proposed by the submission remained appropriate</w:t>
            </w:r>
            <w:r w:rsidR="00A93A3A">
              <w:rPr>
                <w:rFonts w:ascii="Arial" w:hAnsi="Arial" w:cs="Arial"/>
                <w:sz w:val="20"/>
              </w:rPr>
              <w:t>.</w:t>
            </w:r>
          </w:p>
        </w:tc>
      </w:tr>
      <w:tr w:rsidR="009124A8" w:rsidRPr="00447CFB" w14:paraId="154CC7FF" w14:textId="77777777" w:rsidTr="00CA2D5B">
        <w:trPr>
          <w:trHeight w:val="550"/>
        </w:trPr>
        <w:tc>
          <w:tcPr>
            <w:tcW w:w="2127" w:type="dxa"/>
            <w:vMerge/>
          </w:tcPr>
          <w:p w14:paraId="45DD13B7" w14:textId="77777777" w:rsidR="009124A8" w:rsidRPr="00447CFB" w:rsidRDefault="009124A8" w:rsidP="00D407A7">
            <w:pPr>
              <w:rPr>
                <w:rFonts w:ascii="Arial" w:hAnsi="Arial" w:cs="Arial"/>
                <w:sz w:val="20"/>
              </w:rPr>
            </w:pPr>
          </w:p>
        </w:tc>
        <w:tc>
          <w:tcPr>
            <w:tcW w:w="2268" w:type="dxa"/>
            <w:vMerge/>
          </w:tcPr>
          <w:p w14:paraId="4D4A260D" w14:textId="77777777" w:rsidR="009124A8" w:rsidRPr="00447CFB" w:rsidRDefault="009124A8" w:rsidP="00D407A7">
            <w:pPr>
              <w:rPr>
                <w:rFonts w:ascii="Arial" w:hAnsi="Arial" w:cs="Arial"/>
                <w:sz w:val="20"/>
              </w:rPr>
            </w:pPr>
          </w:p>
        </w:tc>
        <w:tc>
          <w:tcPr>
            <w:tcW w:w="2155" w:type="dxa"/>
            <w:vMerge/>
            <w:shd w:val="clear" w:color="auto" w:fill="FFFFFF" w:themeFill="background1"/>
          </w:tcPr>
          <w:p w14:paraId="30A2A102" w14:textId="77777777" w:rsidR="009124A8" w:rsidRPr="00447CFB" w:rsidRDefault="009124A8" w:rsidP="00D407A7">
            <w:pPr>
              <w:rPr>
                <w:rFonts w:ascii="Arial" w:hAnsi="Arial" w:cs="Arial"/>
                <w:sz w:val="20"/>
              </w:rPr>
            </w:pPr>
          </w:p>
        </w:tc>
        <w:tc>
          <w:tcPr>
            <w:tcW w:w="3089" w:type="dxa"/>
          </w:tcPr>
          <w:p w14:paraId="6A078CDC" w14:textId="77777777" w:rsidR="009124A8" w:rsidRPr="009124A8" w:rsidRDefault="009124A8" w:rsidP="00A93A3A">
            <w:pPr>
              <w:pStyle w:val="ListBullet"/>
              <w:spacing w:after="0"/>
            </w:pPr>
            <w:r w:rsidRPr="009124A8">
              <w:t xml:space="preserve">Clinical claim: </w:t>
            </w:r>
          </w:p>
          <w:p w14:paraId="3EB3CA89" w14:textId="2DA559CF" w:rsidR="009124A8" w:rsidRPr="009124A8" w:rsidRDefault="00A93A3A" w:rsidP="00A93A3A">
            <w:pPr>
              <w:rPr>
                <w:rFonts w:ascii="Arial" w:hAnsi="Arial" w:cs="Arial"/>
                <w:snapToGrid w:val="0"/>
                <w:color w:val="000000"/>
                <w:sz w:val="20"/>
                <w:szCs w:val="22"/>
                <w:lang w:eastAsia="en-US"/>
              </w:rPr>
            </w:pPr>
            <w:r>
              <w:rPr>
                <w:rFonts w:ascii="Arial" w:hAnsi="Arial" w:cs="Arial"/>
                <w:snapToGrid w:val="0"/>
                <w:color w:val="000000"/>
                <w:sz w:val="20"/>
                <w:szCs w:val="22"/>
                <w:lang w:eastAsia="en-US"/>
              </w:rPr>
              <w:t>N</w:t>
            </w:r>
            <w:r w:rsidR="009124A8" w:rsidRPr="009124A8">
              <w:rPr>
                <w:rFonts w:ascii="Arial" w:hAnsi="Arial" w:cs="Arial"/>
                <w:snapToGrid w:val="0"/>
                <w:color w:val="000000"/>
                <w:sz w:val="20"/>
                <w:szCs w:val="22"/>
                <w:lang w:eastAsia="en-US"/>
              </w:rPr>
              <w:t>on-inferior efficacy and safety</w:t>
            </w:r>
          </w:p>
        </w:tc>
        <w:tc>
          <w:tcPr>
            <w:tcW w:w="5245" w:type="dxa"/>
          </w:tcPr>
          <w:p w14:paraId="3E150C23" w14:textId="77777777" w:rsidR="009124A8" w:rsidRDefault="009124A8" w:rsidP="00D407A7">
            <w:pPr>
              <w:jc w:val="both"/>
              <w:rPr>
                <w:rFonts w:ascii="Arial" w:hAnsi="Arial" w:cs="Arial"/>
                <w:sz w:val="20"/>
              </w:rPr>
            </w:pPr>
            <w:r w:rsidRPr="009124A8">
              <w:rPr>
                <w:rFonts w:ascii="Arial" w:hAnsi="Arial" w:cs="Arial"/>
                <w:sz w:val="20"/>
              </w:rPr>
              <w:t>The PBAC reiterated its March 2018 advice that the claim of non-inferior comparative effectiveness was uncertain but may be reasonable</w:t>
            </w:r>
            <w:r w:rsidR="00A93A3A">
              <w:rPr>
                <w:rFonts w:ascii="Arial" w:hAnsi="Arial" w:cs="Arial"/>
                <w:sz w:val="20"/>
              </w:rPr>
              <w:t>.</w:t>
            </w:r>
          </w:p>
          <w:p w14:paraId="126DB1DB" w14:textId="405954BF" w:rsidR="0052700A" w:rsidRPr="00DF7278" w:rsidRDefault="0052700A" w:rsidP="00D407A7">
            <w:pPr>
              <w:jc w:val="both"/>
              <w:rPr>
                <w:rFonts w:ascii="Arial" w:hAnsi="Arial" w:cs="Arial"/>
                <w:sz w:val="20"/>
                <w:highlight w:val="yellow"/>
              </w:rPr>
            </w:pPr>
          </w:p>
        </w:tc>
      </w:tr>
      <w:tr w:rsidR="009124A8" w:rsidRPr="00447CFB" w14:paraId="65581A35" w14:textId="77777777" w:rsidTr="00CA2D5B">
        <w:trPr>
          <w:trHeight w:val="999"/>
        </w:trPr>
        <w:tc>
          <w:tcPr>
            <w:tcW w:w="2127" w:type="dxa"/>
            <w:vMerge/>
          </w:tcPr>
          <w:p w14:paraId="3DA14646" w14:textId="77777777" w:rsidR="009124A8" w:rsidRPr="00447CFB" w:rsidRDefault="009124A8" w:rsidP="00D407A7">
            <w:pPr>
              <w:rPr>
                <w:rFonts w:ascii="Arial" w:hAnsi="Arial" w:cs="Arial"/>
                <w:sz w:val="20"/>
              </w:rPr>
            </w:pPr>
          </w:p>
        </w:tc>
        <w:tc>
          <w:tcPr>
            <w:tcW w:w="2268" w:type="dxa"/>
            <w:vMerge/>
          </w:tcPr>
          <w:p w14:paraId="6F11AD97" w14:textId="77777777" w:rsidR="009124A8" w:rsidRPr="00447CFB" w:rsidRDefault="009124A8" w:rsidP="00D407A7">
            <w:pPr>
              <w:rPr>
                <w:rFonts w:ascii="Arial" w:hAnsi="Arial" w:cs="Arial"/>
                <w:sz w:val="20"/>
              </w:rPr>
            </w:pPr>
          </w:p>
        </w:tc>
        <w:tc>
          <w:tcPr>
            <w:tcW w:w="2155" w:type="dxa"/>
            <w:vMerge/>
            <w:shd w:val="clear" w:color="auto" w:fill="FFFFFF" w:themeFill="background1"/>
          </w:tcPr>
          <w:p w14:paraId="143D629C" w14:textId="77777777" w:rsidR="009124A8" w:rsidRPr="00447CFB" w:rsidRDefault="009124A8" w:rsidP="00D407A7">
            <w:pPr>
              <w:rPr>
                <w:rFonts w:ascii="Arial" w:hAnsi="Arial" w:cs="Arial"/>
                <w:sz w:val="20"/>
              </w:rPr>
            </w:pPr>
          </w:p>
        </w:tc>
        <w:tc>
          <w:tcPr>
            <w:tcW w:w="3089" w:type="dxa"/>
          </w:tcPr>
          <w:p w14:paraId="11FCABC1" w14:textId="208C7BBF" w:rsidR="009124A8" w:rsidRPr="002F1CF6" w:rsidRDefault="009124A8" w:rsidP="00A93A3A">
            <w:pPr>
              <w:pStyle w:val="ListBullet"/>
              <w:spacing w:after="0"/>
            </w:pPr>
            <w:r w:rsidRPr="009124A8">
              <w:t>Economic claim</w:t>
            </w:r>
            <w:proofErr w:type="gramStart"/>
            <w:r w:rsidRPr="009124A8">
              <w:t>:</w:t>
            </w:r>
            <w:proofErr w:type="gramEnd"/>
            <w:r w:rsidR="005D34BB">
              <w:rPr>
                <w:snapToGrid/>
              </w:rPr>
              <w:br/>
            </w:r>
            <w:r w:rsidR="00A93A3A">
              <w:rPr>
                <w:snapToGrid/>
              </w:rPr>
              <w:t>C</w:t>
            </w:r>
            <w:r w:rsidRPr="009124A8">
              <w:rPr>
                <w:snapToGrid/>
              </w:rPr>
              <w:t xml:space="preserve">ost-minimisation based on an assumed 1:1 dose relativity of lixisenatide and </w:t>
            </w:r>
            <w:proofErr w:type="spellStart"/>
            <w:r w:rsidRPr="009124A8">
              <w:rPr>
                <w:snapToGrid/>
              </w:rPr>
              <w:t>exenatide</w:t>
            </w:r>
            <w:proofErr w:type="spellEnd"/>
            <w:r w:rsidRPr="009124A8">
              <w:rPr>
                <w:snapToGrid/>
              </w:rPr>
              <w:t xml:space="preserve">. </w:t>
            </w:r>
          </w:p>
        </w:tc>
        <w:tc>
          <w:tcPr>
            <w:tcW w:w="5245" w:type="dxa"/>
          </w:tcPr>
          <w:p w14:paraId="312928A1" w14:textId="7EFB3544" w:rsidR="00E71426" w:rsidRDefault="009124A8" w:rsidP="00A93A3A">
            <w:pPr>
              <w:jc w:val="both"/>
              <w:rPr>
                <w:rFonts w:ascii="Arial" w:hAnsi="Arial" w:cs="Arial"/>
                <w:sz w:val="20"/>
              </w:rPr>
            </w:pPr>
            <w:r w:rsidRPr="009124A8">
              <w:rPr>
                <w:rFonts w:ascii="Arial" w:hAnsi="Arial" w:cs="Arial"/>
                <w:sz w:val="20"/>
              </w:rPr>
              <w:t xml:space="preserve">The PBAC considered the revised equi-effective ratio may remain optimistic, as the PBAC had previously considered lixisenatide may be inferior to </w:t>
            </w:r>
            <w:proofErr w:type="spellStart"/>
            <w:r w:rsidRPr="009124A8">
              <w:rPr>
                <w:rFonts w:ascii="Arial" w:hAnsi="Arial" w:cs="Arial"/>
                <w:sz w:val="20"/>
              </w:rPr>
              <w:t>exenatide</w:t>
            </w:r>
            <w:proofErr w:type="spellEnd"/>
            <w:r w:rsidRPr="009124A8">
              <w:rPr>
                <w:rFonts w:ascii="Arial" w:hAnsi="Arial" w:cs="Arial"/>
                <w:sz w:val="20"/>
              </w:rPr>
              <w:t xml:space="preserve"> on a </w:t>
            </w:r>
            <w:r w:rsidR="00A93A3A">
              <w:rPr>
                <w:rFonts w:ascii="Arial" w:hAnsi="Arial" w:cs="Arial"/>
                <w:sz w:val="20"/>
              </w:rPr>
              <w:t>microgram</w:t>
            </w:r>
            <w:r w:rsidR="00A93A3A" w:rsidRPr="009124A8">
              <w:rPr>
                <w:rFonts w:ascii="Arial" w:hAnsi="Arial" w:cs="Arial"/>
                <w:sz w:val="20"/>
              </w:rPr>
              <w:t xml:space="preserve"> </w:t>
            </w:r>
            <w:r w:rsidRPr="009124A8">
              <w:rPr>
                <w:rFonts w:ascii="Arial" w:hAnsi="Arial" w:cs="Arial"/>
                <w:sz w:val="20"/>
              </w:rPr>
              <w:t xml:space="preserve">to </w:t>
            </w:r>
            <w:r w:rsidR="00A93A3A">
              <w:rPr>
                <w:rFonts w:ascii="Arial" w:hAnsi="Arial" w:cs="Arial"/>
                <w:sz w:val="20"/>
              </w:rPr>
              <w:t>microgram</w:t>
            </w:r>
            <w:r w:rsidRPr="009124A8">
              <w:rPr>
                <w:rFonts w:ascii="Arial" w:hAnsi="Arial" w:cs="Arial"/>
                <w:sz w:val="20"/>
              </w:rPr>
              <w:t xml:space="preserve"> basis</w:t>
            </w:r>
            <w:r w:rsidR="00D749D3">
              <w:rPr>
                <w:rFonts w:ascii="Arial" w:hAnsi="Arial" w:cs="Arial"/>
                <w:sz w:val="20"/>
              </w:rPr>
              <w:t>.</w:t>
            </w:r>
          </w:p>
          <w:p w14:paraId="2555BD9E" w14:textId="6A5A9C40" w:rsidR="0052700A" w:rsidRPr="00DF7278" w:rsidRDefault="0052700A" w:rsidP="00A93A3A">
            <w:pPr>
              <w:jc w:val="both"/>
              <w:rPr>
                <w:rFonts w:ascii="Arial" w:hAnsi="Arial" w:cs="Arial"/>
                <w:sz w:val="20"/>
                <w:highlight w:val="yellow"/>
              </w:rPr>
            </w:pPr>
          </w:p>
        </w:tc>
      </w:tr>
      <w:tr w:rsidR="009124A8" w:rsidRPr="00447CFB" w14:paraId="0DC9F100" w14:textId="77777777" w:rsidTr="0052700A">
        <w:trPr>
          <w:trHeight w:val="1099"/>
        </w:trPr>
        <w:tc>
          <w:tcPr>
            <w:tcW w:w="2127" w:type="dxa"/>
            <w:vMerge/>
          </w:tcPr>
          <w:p w14:paraId="7FF24BDA" w14:textId="77777777" w:rsidR="009124A8" w:rsidRPr="00447CFB" w:rsidRDefault="009124A8" w:rsidP="00D407A7">
            <w:pPr>
              <w:rPr>
                <w:rFonts w:ascii="Arial" w:hAnsi="Arial" w:cs="Arial"/>
                <w:sz w:val="20"/>
              </w:rPr>
            </w:pPr>
          </w:p>
        </w:tc>
        <w:tc>
          <w:tcPr>
            <w:tcW w:w="2268" w:type="dxa"/>
            <w:vMerge/>
          </w:tcPr>
          <w:p w14:paraId="0D54D9EB" w14:textId="77777777" w:rsidR="009124A8" w:rsidRPr="00447CFB" w:rsidRDefault="009124A8" w:rsidP="00D407A7">
            <w:pPr>
              <w:rPr>
                <w:rFonts w:ascii="Arial" w:hAnsi="Arial" w:cs="Arial"/>
                <w:sz w:val="20"/>
              </w:rPr>
            </w:pPr>
          </w:p>
        </w:tc>
        <w:tc>
          <w:tcPr>
            <w:tcW w:w="2155" w:type="dxa"/>
            <w:vMerge/>
            <w:shd w:val="clear" w:color="auto" w:fill="FFFFFF" w:themeFill="background1"/>
          </w:tcPr>
          <w:p w14:paraId="0B38B942" w14:textId="77777777" w:rsidR="009124A8" w:rsidRPr="00447CFB" w:rsidRDefault="009124A8" w:rsidP="00D407A7">
            <w:pPr>
              <w:rPr>
                <w:rFonts w:ascii="Arial" w:hAnsi="Arial" w:cs="Arial"/>
                <w:sz w:val="20"/>
              </w:rPr>
            </w:pPr>
          </w:p>
        </w:tc>
        <w:tc>
          <w:tcPr>
            <w:tcW w:w="3089" w:type="dxa"/>
          </w:tcPr>
          <w:p w14:paraId="1A27C4E3" w14:textId="77777777" w:rsidR="009124A8" w:rsidRPr="00DF7278" w:rsidRDefault="009124A8" w:rsidP="00EB358A">
            <w:pPr>
              <w:pStyle w:val="ListBullet"/>
            </w:pPr>
            <w:r>
              <w:t xml:space="preserve">Sponsor’s comments: </w:t>
            </w:r>
          </w:p>
        </w:tc>
        <w:tc>
          <w:tcPr>
            <w:tcW w:w="5245" w:type="dxa"/>
          </w:tcPr>
          <w:p w14:paraId="02B8FCE1" w14:textId="2BB42BC4" w:rsidR="0052700A" w:rsidRPr="0052700A" w:rsidRDefault="00D11816" w:rsidP="00D407A7">
            <w:pPr>
              <w:jc w:val="both"/>
              <w:rPr>
                <w:rFonts w:ascii="Arial" w:hAnsi="Arial" w:cs="Arial"/>
                <w:sz w:val="20"/>
              </w:rPr>
            </w:pPr>
            <w:r w:rsidRPr="00D11816">
              <w:rPr>
                <w:rFonts w:ascii="Arial" w:hAnsi="Arial" w:cs="Arial"/>
                <w:sz w:val="20"/>
              </w:rPr>
              <w:t>Sanofi is disappointed by the Committee’s decision.  The fixed ratio combination of lixisenatide with insulin glargine provides a convenient alternative treatment option for Australian diabetics and we will continue to work towards providing access to this medicine.</w:t>
            </w:r>
          </w:p>
        </w:tc>
      </w:tr>
      <w:tr w:rsidR="003D509D" w:rsidRPr="00447CFB" w14:paraId="7A3EBF90" w14:textId="77777777" w:rsidTr="00D749D3">
        <w:trPr>
          <w:trHeight w:val="1916"/>
        </w:trPr>
        <w:tc>
          <w:tcPr>
            <w:tcW w:w="2127" w:type="dxa"/>
            <w:vMerge w:val="restart"/>
          </w:tcPr>
          <w:p w14:paraId="172F3564" w14:textId="77777777" w:rsidR="003D509D" w:rsidRPr="007170DA" w:rsidRDefault="003D509D" w:rsidP="007170DA">
            <w:pPr>
              <w:rPr>
                <w:rFonts w:ascii="Arial" w:hAnsi="Arial" w:cs="Arial"/>
                <w:sz w:val="20"/>
              </w:rPr>
            </w:pPr>
            <w:r w:rsidRPr="007170DA">
              <w:rPr>
                <w:rFonts w:ascii="Arial" w:hAnsi="Arial" w:cs="Arial"/>
                <w:sz w:val="20"/>
              </w:rPr>
              <w:t>LETERMOVIR</w:t>
            </w:r>
          </w:p>
          <w:p w14:paraId="09200424" w14:textId="77777777" w:rsidR="003D509D" w:rsidRPr="007170DA" w:rsidRDefault="003D509D" w:rsidP="007170DA">
            <w:pPr>
              <w:rPr>
                <w:rFonts w:ascii="Arial" w:hAnsi="Arial" w:cs="Arial"/>
                <w:sz w:val="20"/>
              </w:rPr>
            </w:pPr>
          </w:p>
          <w:p w14:paraId="2C4B7F25" w14:textId="77777777" w:rsidR="003D509D" w:rsidRPr="007170DA" w:rsidRDefault="003D509D" w:rsidP="007170DA">
            <w:pPr>
              <w:rPr>
                <w:rFonts w:ascii="Arial" w:hAnsi="Arial" w:cs="Arial"/>
                <w:sz w:val="20"/>
              </w:rPr>
            </w:pPr>
            <w:r w:rsidRPr="007170DA">
              <w:rPr>
                <w:rFonts w:ascii="Arial" w:hAnsi="Arial" w:cs="Arial"/>
                <w:sz w:val="20"/>
              </w:rPr>
              <w:t>Tablet 240 mg</w:t>
            </w:r>
          </w:p>
          <w:p w14:paraId="67596C68" w14:textId="77777777" w:rsidR="003D509D" w:rsidRPr="007170DA" w:rsidRDefault="003D509D" w:rsidP="007170DA">
            <w:pPr>
              <w:rPr>
                <w:rFonts w:ascii="Arial" w:hAnsi="Arial" w:cs="Arial"/>
                <w:sz w:val="20"/>
              </w:rPr>
            </w:pPr>
          </w:p>
          <w:p w14:paraId="6CA0B3EF" w14:textId="77777777" w:rsidR="003D509D" w:rsidRPr="007170DA" w:rsidRDefault="003D509D" w:rsidP="007170DA">
            <w:pPr>
              <w:rPr>
                <w:rFonts w:ascii="Arial" w:hAnsi="Arial" w:cs="Arial"/>
                <w:sz w:val="20"/>
              </w:rPr>
            </w:pPr>
            <w:proofErr w:type="spellStart"/>
            <w:r w:rsidRPr="007170DA">
              <w:rPr>
                <w:rFonts w:ascii="Arial" w:hAnsi="Arial" w:cs="Arial"/>
                <w:sz w:val="20"/>
              </w:rPr>
              <w:t>Prevymis</w:t>
            </w:r>
            <w:proofErr w:type="spellEnd"/>
            <w:r w:rsidRPr="007170DA">
              <w:rPr>
                <w:rFonts w:ascii="Arial" w:hAnsi="Arial" w:cs="Arial"/>
                <w:sz w:val="20"/>
              </w:rPr>
              <w:t>®</w:t>
            </w:r>
          </w:p>
          <w:p w14:paraId="6C23D613" w14:textId="77777777" w:rsidR="003D509D" w:rsidRPr="007170DA" w:rsidRDefault="003D509D" w:rsidP="007170DA">
            <w:pPr>
              <w:rPr>
                <w:rFonts w:ascii="Arial" w:hAnsi="Arial" w:cs="Arial"/>
                <w:sz w:val="20"/>
              </w:rPr>
            </w:pPr>
          </w:p>
          <w:p w14:paraId="35D899A7" w14:textId="77777777" w:rsidR="003D509D" w:rsidRDefault="003D509D" w:rsidP="007170DA">
            <w:pPr>
              <w:rPr>
                <w:rFonts w:ascii="Arial" w:hAnsi="Arial" w:cs="Arial"/>
                <w:sz w:val="20"/>
              </w:rPr>
            </w:pPr>
            <w:r w:rsidRPr="007170DA">
              <w:rPr>
                <w:rFonts w:ascii="Arial" w:hAnsi="Arial" w:cs="Arial"/>
                <w:sz w:val="20"/>
              </w:rPr>
              <w:t xml:space="preserve">Merck Sharp and </w:t>
            </w:r>
            <w:proofErr w:type="spellStart"/>
            <w:r w:rsidRPr="007170DA">
              <w:rPr>
                <w:rFonts w:ascii="Arial" w:hAnsi="Arial" w:cs="Arial"/>
                <w:sz w:val="20"/>
              </w:rPr>
              <w:t>Dohme</w:t>
            </w:r>
            <w:proofErr w:type="spellEnd"/>
            <w:r w:rsidRPr="007170DA">
              <w:rPr>
                <w:rFonts w:ascii="Arial" w:hAnsi="Arial" w:cs="Arial"/>
                <w:sz w:val="20"/>
              </w:rPr>
              <w:t xml:space="preserve"> (Australia) Pty Ltd</w:t>
            </w:r>
          </w:p>
          <w:p w14:paraId="518B7428" w14:textId="77777777" w:rsidR="009432B0" w:rsidRDefault="009432B0" w:rsidP="007170DA">
            <w:pPr>
              <w:rPr>
                <w:rFonts w:ascii="Arial" w:hAnsi="Arial" w:cs="Arial"/>
                <w:sz w:val="20"/>
              </w:rPr>
            </w:pPr>
          </w:p>
          <w:p w14:paraId="6DF41039" w14:textId="77777777" w:rsidR="009432B0" w:rsidRPr="009432B0" w:rsidRDefault="009432B0" w:rsidP="009432B0">
            <w:pPr>
              <w:rPr>
                <w:rFonts w:ascii="Arial" w:hAnsi="Arial" w:cs="Arial"/>
                <w:sz w:val="20"/>
              </w:rPr>
            </w:pPr>
            <w:r>
              <w:rPr>
                <w:rFonts w:ascii="Arial" w:hAnsi="Arial" w:cs="Arial"/>
                <w:sz w:val="20"/>
              </w:rPr>
              <w:t>New listing</w:t>
            </w:r>
          </w:p>
          <w:p w14:paraId="471F57E9" w14:textId="77777777" w:rsidR="009432B0" w:rsidRPr="00447CFB" w:rsidRDefault="009432B0" w:rsidP="009432B0">
            <w:pPr>
              <w:rPr>
                <w:rFonts w:ascii="Arial" w:hAnsi="Arial" w:cs="Arial"/>
                <w:sz w:val="20"/>
              </w:rPr>
            </w:pPr>
            <w:r w:rsidRPr="009432B0">
              <w:rPr>
                <w:rFonts w:ascii="Arial" w:hAnsi="Arial" w:cs="Arial"/>
                <w:sz w:val="20"/>
              </w:rPr>
              <w:t>(Major Submission)</w:t>
            </w:r>
          </w:p>
        </w:tc>
        <w:tc>
          <w:tcPr>
            <w:tcW w:w="2268" w:type="dxa"/>
            <w:vMerge w:val="restart"/>
          </w:tcPr>
          <w:p w14:paraId="187C7391" w14:textId="51CE5386" w:rsidR="003D509D" w:rsidRPr="00447CFB" w:rsidRDefault="000E365A" w:rsidP="0048240E">
            <w:pPr>
              <w:rPr>
                <w:rFonts w:ascii="Arial" w:hAnsi="Arial" w:cs="Arial"/>
                <w:sz w:val="20"/>
              </w:rPr>
            </w:pPr>
            <w:r w:rsidRPr="007170DA">
              <w:rPr>
                <w:rFonts w:ascii="Arial" w:hAnsi="Arial" w:cs="Arial"/>
                <w:sz w:val="20"/>
              </w:rPr>
              <w:t>LETERMOVIR</w:t>
            </w:r>
            <w:r w:rsidRPr="000E365A">
              <w:rPr>
                <w:rFonts w:ascii="Arial" w:hAnsi="Arial" w:cs="Arial"/>
                <w:sz w:val="20"/>
              </w:rPr>
              <w:t xml:space="preserve"> </w:t>
            </w:r>
            <w:r>
              <w:rPr>
                <w:rFonts w:ascii="Arial" w:hAnsi="Arial" w:cs="Arial"/>
                <w:sz w:val="20"/>
              </w:rPr>
              <w:t xml:space="preserve">is indicated </w:t>
            </w:r>
            <w:r w:rsidRPr="000E365A">
              <w:rPr>
                <w:rFonts w:ascii="Arial" w:hAnsi="Arial" w:cs="Arial"/>
                <w:sz w:val="20"/>
              </w:rPr>
              <w:t>for the prophylaxis of cytomegalovirus (CMV) infection or disease in adult CMV-seropositive recipients of an allogeneic hematopoietic stem cell transplant (HSCT)</w:t>
            </w:r>
          </w:p>
        </w:tc>
        <w:tc>
          <w:tcPr>
            <w:tcW w:w="2155" w:type="dxa"/>
            <w:vMerge w:val="restart"/>
            <w:shd w:val="clear" w:color="auto" w:fill="FFFFFF" w:themeFill="background1"/>
          </w:tcPr>
          <w:p w14:paraId="796A470E" w14:textId="77777777" w:rsidR="003D509D" w:rsidRPr="00447CFB" w:rsidRDefault="003D509D" w:rsidP="00D407A7">
            <w:pPr>
              <w:rPr>
                <w:rFonts w:ascii="Arial" w:hAnsi="Arial" w:cs="Arial"/>
                <w:sz w:val="20"/>
              </w:rPr>
            </w:pPr>
            <w:r>
              <w:rPr>
                <w:rFonts w:ascii="Arial" w:hAnsi="Arial" w:cs="Arial"/>
                <w:sz w:val="20"/>
              </w:rPr>
              <w:t xml:space="preserve">LETERMOVIR is not currently PBS listed </w:t>
            </w:r>
          </w:p>
        </w:tc>
        <w:tc>
          <w:tcPr>
            <w:tcW w:w="3089" w:type="dxa"/>
          </w:tcPr>
          <w:p w14:paraId="7D34EBED" w14:textId="31C4129A" w:rsidR="003D509D" w:rsidRDefault="003D509D" w:rsidP="00EB358A">
            <w:pPr>
              <w:pStyle w:val="ListBullet"/>
            </w:pPr>
            <w:r>
              <w:t xml:space="preserve">Resubmission to request a Section 100 (Highly Specialised Drugs Program) Authority </w:t>
            </w:r>
            <w:proofErr w:type="gramStart"/>
            <w:r>
              <w:t>Required</w:t>
            </w:r>
            <w:proofErr w:type="gramEnd"/>
            <w:r>
              <w:t xml:space="preserve"> listing for the prophylaxis of CMV infection or disease in adult CMV-seropositive recipients of allogeneic</w:t>
            </w:r>
            <w:r w:rsidR="0048240E">
              <w:t xml:space="preserve"> </w:t>
            </w:r>
            <w:r>
              <w:t>HSCT.</w:t>
            </w:r>
          </w:p>
          <w:p w14:paraId="724BEF70" w14:textId="37C78137" w:rsidR="003D509D" w:rsidRPr="00DF7278" w:rsidRDefault="003D509D" w:rsidP="00EB358A">
            <w:pPr>
              <w:pStyle w:val="ListBullet"/>
            </w:pPr>
          </w:p>
        </w:tc>
        <w:tc>
          <w:tcPr>
            <w:tcW w:w="5245" w:type="dxa"/>
          </w:tcPr>
          <w:p w14:paraId="662D7DC4" w14:textId="69D8EAD6" w:rsidR="003D509D" w:rsidRPr="00DF7278" w:rsidRDefault="003D509D" w:rsidP="0048240E">
            <w:pPr>
              <w:jc w:val="both"/>
              <w:rPr>
                <w:rFonts w:ascii="Arial" w:hAnsi="Arial" w:cs="Arial"/>
                <w:sz w:val="20"/>
                <w:highlight w:val="yellow"/>
              </w:rPr>
            </w:pPr>
            <w:r w:rsidRPr="007170DA">
              <w:rPr>
                <w:rFonts w:ascii="Arial" w:hAnsi="Arial" w:cs="Arial"/>
                <w:sz w:val="20"/>
              </w:rPr>
              <w:t>The PBAC did not recommend the Section 100 (Highly Specialised Drugs Program) Authority Required listing for letermovir for prophylaxis of CMV infection or disease in CMV seropositive patients who have received an allogeneic HSCT.</w:t>
            </w:r>
          </w:p>
        </w:tc>
      </w:tr>
      <w:tr w:rsidR="003D509D" w:rsidRPr="00447CFB" w14:paraId="6140882D" w14:textId="77777777" w:rsidTr="00A80F6A">
        <w:trPr>
          <w:trHeight w:val="743"/>
        </w:trPr>
        <w:tc>
          <w:tcPr>
            <w:tcW w:w="2127" w:type="dxa"/>
            <w:vMerge/>
          </w:tcPr>
          <w:p w14:paraId="5447DEB6" w14:textId="77777777" w:rsidR="003D509D" w:rsidRPr="00447CFB" w:rsidRDefault="003D509D" w:rsidP="00D407A7">
            <w:pPr>
              <w:rPr>
                <w:rFonts w:ascii="Arial" w:hAnsi="Arial" w:cs="Arial"/>
                <w:sz w:val="20"/>
              </w:rPr>
            </w:pPr>
          </w:p>
        </w:tc>
        <w:tc>
          <w:tcPr>
            <w:tcW w:w="2268" w:type="dxa"/>
            <w:vMerge/>
          </w:tcPr>
          <w:p w14:paraId="6437DF6E" w14:textId="77777777" w:rsidR="003D509D" w:rsidRPr="00447CFB" w:rsidRDefault="003D509D" w:rsidP="00D407A7">
            <w:pPr>
              <w:rPr>
                <w:rFonts w:ascii="Arial" w:hAnsi="Arial" w:cs="Arial"/>
                <w:sz w:val="20"/>
              </w:rPr>
            </w:pPr>
          </w:p>
        </w:tc>
        <w:tc>
          <w:tcPr>
            <w:tcW w:w="2155" w:type="dxa"/>
            <w:vMerge/>
            <w:shd w:val="clear" w:color="auto" w:fill="FFFFFF" w:themeFill="background1"/>
          </w:tcPr>
          <w:p w14:paraId="4E836DB4" w14:textId="77777777" w:rsidR="003D509D" w:rsidRPr="00447CFB" w:rsidRDefault="003D509D" w:rsidP="00D407A7">
            <w:pPr>
              <w:rPr>
                <w:rFonts w:ascii="Arial" w:hAnsi="Arial" w:cs="Arial"/>
                <w:sz w:val="20"/>
              </w:rPr>
            </w:pPr>
          </w:p>
        </w:tc>
        <w:tc>
          <w:tcPr>
            <w:tcW w:w="3089" w:type="dxa"/>
          </w:tcPr>
          <w:p w14:paraId="23147E11" w14:textId="77777777" w:rsidR="003D509D" w:rsidRPr="00DF7278" w:rsidRDefault="003D509D" w:rsidP="00EB358A">
            <w:pPr>
              <w:pStyle w:val="ListBullet"/>
            </w:pPr>
            <w:r>
              <w:t>Comparator: placebo</w:t>
            </w:r>
          </w:p>
        </w:tc>
        <w:tc>
          <w:tcPr>
            <w:tcW w:w="5245" w:type="dxa"/>
          </w:tcPr>
          <w:p w14:paraId="403E084D" w14:textId="77777777" w:rsidR="003D509D" w:rsidRDefault="003D509D" w:rsidP="00D407A7">
            <w:pPr>
              <w:jc w:val="both"/>
              <w:rPr>
                <w:rFonts w:ascii="Arial" w:hAnsi="Arial" w:cs="Arial"/>
                <w:sz w:val="20"/>
              </w:rPr>
            </w:pPr>
            <w:r w:rsidRPr="007170DA">
              <w:rPr>
                <w:rFonts w:ascii="Arial" w:hAnsi="Arial" w:cs="Arial"/>
                <w:sz w:val="20"/>
              </w:rPr>
              <w:t>The PBAC advised that, in addition to placebo, a comparison of letermovir with antivirals as prophylaxis for CMV was required to inform decision making.</w:t>
            </w:r>
          </w:p>
          <w:p w14:paraId="64350653" w14:textId="293A64E9" w:rsidR="0052700A" w:rsidRPr="00DF7278" w:rsidRDefault="0052700A" w:rsidP="00D407A7">
            <w:pPr>
              <w:jc w:val="both"/>
              <w:rPr>
                <w:rFonts w:ascii="Arial" w:hAnsi="Arial" w:cs="Arial"/>
                <w:sz w:val="20"/>
                <w:highlight w:val="yellow"/>
              </w:rPr>
            </w:pPr>
          </w:p>
        </w:tc>
      </w:tr>
      <w:tr w:rsidR="003D509D" w:rsidRPr="00447CFB" w14:paraId="2515416A" w14:textId="77777777" w:rsidTr="00A729E5">
        <w:trPr>
          <w:trHeight w:val="1448"/>
        </w:trPr>
        <w:tc>
          <w:tcPr>
            <w:tcW w:w="2127" w:type="dxa"/>
            <w:vMerge/>
          </w:tcPr>
          <w:p w14:paraId="03B50104" w14:textId="77777777" w:rsidR="003D509D" w:rsidRPr="00447CFB" w:rsidRDefault="003D509D" w:rsidP="00D407A7">
            <w:pPr>
              <w:rPr>
                <w:rFonts w:ascii="Arial" w:hAnsi="Arial" w:cs="Arial"/>
                <w:sz w:val="20"/>
              </w:rPr>
            </w:pPr>
          </w:p>
        </w:tc>
        <w:tc>
          <w:tcPr>
            <w:tcW w:w="2268" w:type="dxa"/>
            <w:vMerge/>
          </w:tcPr>
          <w:p w14:paraId="51F4A1B0" w14:textId="77777777" w:rsidR="003D509D" w:rsidRPr="00447CFB" w:rsidRDefault="003D509D" w:rsidP="00D407A7">
            <w:pPr>
              <w:rPr>
                <w:rFonts w:ascii="Arial" w:hAnsi="Arial" w:cs="Arial"/>
                <w:sz w:val="20"/>
              </w:rPr>
            </w:pPr>
          </w:p>
        </w:tc>
        <w:tc>
          <w:tcPr>
            <w:tcW w:w="2155" w:type="dxa"/>
            <w:vMerge/>
            <w:shd w:val="clear" w:color="auto" w:fill="FFFFFF" w:themeFill="background1"/>
          </w:tcPr>
          <w:p w14:paraId="30EBAF5C" w14:textId="77777777" w:rsidR="003D509D" w:rsidRPr="00447CFB" w:rsidRDefault="003D509D" w:rsidP="00D407A7">
            <w:pPr>
              <w:rPr>
                <w:rFonts w:ascii="Arial" w:hAnsi="Arial" w:cs="Arial"/>
                <w:sz w:val="20"/>
              </w:rPr>
            </w:pPr>
          </w:p>
        </w:tc>
        <w:tc>
          <w:tcPr>
            <w:tcW w:w="3089" w:type="dxa"/>
          </w:tcPr>
          <w:p w14:paraId="5CB32EC4" w14:textId="77777777" w:rsidR="003D509D" w:rsidRPr="00DF7278" w:rsidRDefault="005D34BB" w:rsidP="00EB358A">
            <w:pPr>
              <w:pStyle w:val="ListBullet"/>
            </w:pPr>
            <w:r>
              <w:t>Clinical claim: s</w:t>
            </w:r>
            <w:r w:rsidR="003D509D">
              <w:t xml:space="preserve">uperior comparative efficacy and non-inferior comparative safety </w:t>
            </w:r>
          </w:p>
        </w:tc>
        <w:tc>
          <w:tcPr>
            <w:tcW w:w="5245" w:type="dxa"/>
          </w:tcPr>
          <w:p w14:paraId="741D1A6F" w14:textId="77777777" w:rsidR="003D509D" w:rsidRDefault="003D509D" w:rsidP="00D407A7">
            <w:pPr>
              <w:jc w:val="both"/>
              <w:rPr>
                <w:rFonts w:ascii="Arial" w:hAnsi="Arial" w:cs="Arial"/>
                <w:sz w:val="20"/>
              </w:rPr>
            </w:pPr>
            <w:r w:rsidRPr="007170DA">
              <w:rPr>
                <w:rFonts w:ascii="Arial" w:hAnsi="Arial" w:cs="Arial"/>
                <w:sz w:val="20"/>
              </w:rPr>
              <w:t xml:space="preserve">The PBAC considered that the claim of superior comparative effectiveness </w:t>
            </w:r>
            <w:r w:rsidR="00EB19EB" w:rsidRPr="00EB19EB">
              <w:rPr>
                <w:rFonts w:ascii="Arial" w:hAnsi="Arial" w:cs="Arial"/>
                <w:sz w:val="20"/>
              </w:rPr>
              <w:t xml:space="preserve">compared with pre-emptive therapy or other antivirals used as prophylaxis </w:t>
            </w:r>
            <w:r w:rsidRPr="007170DA">
              <w:rPr>
                <w:rFonts w:ascii="Arial" w:hAnsi="Arial" w:cs="Arial"/>
                <w:sz w:val="20"/>
              </w:rPr>
              <w:t>was not adequately supported by the data. The PBAC considered that the claim of non-inferior comparative safety was reasonably supported by the data.</w:t>
            </w:r>
          </w:p>
          <w:p w14:paraId="611606F1" w14:textId="4388D9EC" w:rsidR="0052700A" w:rsidRPr="00DF7278" w:rsidRDefault="0052700A" w:rsidP="00D407A7">
            <w:pPr>
              <w:jc w:val="both"/>
              <w:rPr>
                <w:rFonts w:ascii="Arial" w:hAnsi="Arial" w:cs="Arial"/>
                <w:sz w:val="20"/>
                <w:highlight w:val="yellow"/>
              </w:rPr>
            </w:pPr>
          </w:p>
        </w:tc>
      </w:tr>
      <w:tr w:rsidR="003D509D" w:rsidRPr="00447CFB" w14:paraId="6689A8C7" w14:textId="77777777" w:rsidTr="00A729E5">
        <w:trPr>
          <w:trHeight w:val="1965"/>
        </w:trPr>
        <w:tc>
          <w:tcPr>
            <w:tcW w:w="2127" w:type="dxa"/>
            <w:vMerge/>
          </w:tcPr>
          <w:p w14:paraId="3B7B4EA2" w14:textId="77777777" w:rsidR="003D509D" w:rsidRPr="00447CFB" w:rsidRDefault="003D509D" w:rsidP="00D407A7">
            <w:pPr>
              <w:rPr>
                <w:rFonts w:ascii="Arial" w:hAnsi="Arial" w:cs="Arial"/>
                <w:sz w:val="20"/>
              </w:rPr>
            </w:pPr>
          </w:p>
        </w:tc>
        <w:tc>
          <w:tcPr>
            <w:tcW w:w="2268" w:type="dxa"/>
            <w:vMerge/>
          </w:tcPr>
          <w:p w14:paraId="04846F80" w14:textId="77777777" w:rsidR="003D509D" w:rsidRPr="00447CFB" w:rsidRDefault="003D509D" w:rsidP="00D407A7">
            <w:pPr>
              <w:rPr>
                <w:rFonts w:ascii="Arial" w:hAnsi="Arial" w:cs="Arial"/>
                <w:sz w:val="20"/>
              </w:rPr>
            </w:pPr>
          </w:p>
        </w:tc>
        <w:tc>
          <w:tcPr>
            <w:tcW w:w="2155" w:type="dxa"/>
            <w:vMerge/>
            <w:shd w:val="clear" w:color="auto" w:fill="FFFFFF" w:themeFill="background1"/>
          </w:tcPr>
          <w:p w14:paraId="67B64263" w14:textId="77777777" w:rsidR="003D509D" w:rsidRPr="00447CFB" w:rsidRDefault="003D509D" w:rsidP="00D407A7">
            <w:pPr>
              <w:rPr>
                <w:rFonts w:ascii="Arial" w:hAnsi="Arial" w:cs="Arial"/>
                <w:sz w:val="20"/>
              </w:rPr>
            </w:pPr>
          </w:p>
        </w:tc>
        <w:tc>
          <w:tcPr>
            <w:tcW w:w="3089" w:type="dxa"/>
          </w:tcPr>
          <w:p w14:paraId="561DB558" w14:textId="77777777" w:rsidR="003D509D" w:rsidRPr="00DF7278" w:rsidRDefault="005D34BB" w:rsidP="00EB358A">
            <w:pPr>
              <w:pStyle w:val="ListBullet"/>
            </w:pPr>
            <w:r>
              <w:t>Economic claim: c</w:t>
            </w:r>
            <w:r w:rsidR="003D509D">
              <w:t xml:space="preserve">ost-effectiveness analysis against placebo </w:t>
            </w:r>
          </w:p>
        </w:tc>
        <w:tc>
          <w:tcPr>
            <w:tcW w:w="5245" w:type="dxa"/>
          </w:tcPr>
          <w:p w14:paraId="4CC2C197" w14:textId="0810FAB9" w:rsidR="00E71426" w:rsidRPr="00DF7278" w:rsidRDefault="003D509D" w:rsidP="00D407A7">
            <w:pPr>
              <w:jc w:val="both"/>
              <w:rPr>
                <w:rFonts w:ascii="Arial" w:hAnsi="Arial" w:cs="Arial"/>
                <w:sz w:val="20"/>
                <w:highlight w:val="yellow"/>
              </w:rPr>
            </w:pPr>
            <w:r w:rsidRPr="003D509D">
              <w:rPr>
                <w:rFonts w:ascii="Arial" w:hAnsi="Arial" w:cs="Arial"/>
                <w:sz w:val="20"/>
              </w:rPr>
              <w:t>The PBAC acknowledged the clinical utility of letermovir for this indication but considered that the mortality and re-hospitalisation benefits attributed to letermovir were not supported by the trial evidence provided in the resubmission. As these outcomes formed the basis of the revised economic model the PBAC considered that the cost-effectiveness of letermovir was unable to be assessed.</w:t>
            </w:r>
          </w:p>
        </w:tc>
      </w:tr>
      <w:tr w:rsidR="003D509D" w:rsidRPr="00447CFB" w14:paraId="40789BD8" w14:textId="77777777" w:rsidTr="00A55142">
        <w:trPr>
          <w:trHeight w:val="534"/>
        </w:trPr>
        <w:tc>
          <w:tcPr>
            <w:tcW w:w="2127" w:type="dxa"/>
            <w:vMerge/>
          </w:tcPr>
          <w:p w14:paraId="4A1CBBD9" w14:textId="77777777" w:rsidR="003D509D" w:rsidRPr="00447CFB" w:rsidRDefault="003D509D" w:rsidP="00D407A7">
            <w:pPr>
              <w:rPr>
                <w:rFonts w:ascii="Arial" w:hAnsi="Arial" w:cs="Arial"/>
                <w:sz w:val="20"/>
              </w:rPr>
            </w:pPr>
          </w:p>
        </w:tc>
        <w:tc>
          <w:tcPr>
            <w:tcW w:w="2268" w:type="dxa"/>
            <w:vMerge/>
          </w:tcPr>
          <w:p w14:paraId="4B5F60B4" w14:textId="77777777" w:rsidR="003D509D" w:rsidRPr="00447CFB" w:rsidRDefault="003D509D" w:rsidP="00D407A7">
            <w:pPr>
              <w:rPr>
                <w:rFonts w:ascii="Arial" w:hAnsi="Arial" w:cs="Arial"/>
                <w:sz w:val="20"/>
              </w:rPr>
            </w:pPr>
          </w:p>
        </w:tc>
        <w:tc>
          <w:tcPr>
            <w:tcW w:w="2155" w:type="dxa"/>
            <w:vMerge/>
            <w:shd w:val="clear" w:color="auto" w:fill="FFFFFF" w:themeFill="background1"/>
          </w:tcPr>
          <w:p w14:paraId="250DB04F" w14:textId="77777777" w:rsidR="003D509D" w:rsidRPr="00447CFB" w:rsidRDefault="003D509D" w:rsidP="00D407A7">
            <w:pPr>
              <w:rPr>
                <w:rFonts w:ascii="Arial" w:hAnsi="Arial" w:cs="Arial"/>
                <w:sz w:val="20"/>
              </w:rPr>
            </w:pPr>
          </w:p>
        </w:tc>
        <w:tc>
          <w:tcPr>
            <w:tcW w:w="3089" w:type="dxa"/>
          </w:tcPr>
          <w:p w14:paraId="19319527" w14:textId="77777777" w:rsidR="003D509D" w:rsidRPr="00DF7278" w:rsidRDefault="003D509D" w:rsidP="00EB358A">
            <w:pPr>
              <w:pStyle w:val="ListBullet"/>
            </w:pPr>
            <w:r>
              <w:t xml:space="preserve">Sponsor comments: </w:t>
            </w:r>
          </w:p>
        </w:tc>
        <w:tc>
          <w:tcPr>
            <w:tcW w:w="5245" w:type="dxa"/>
          </w:tcPr>
          <w:p w14:paraId="5AA93AA6" w14:textId="77777777" w:rsidR="003D509D" w:rsidRDefault="00AD632B" w:rsidP="00D407A7">
            <w:pPr>
              <w:jc w:val="both"/>
              <w:rPr>
                <w:rFonts w:ascii="Arial" w:hAnsi="Arial" w:cs="Arial"/>
                <w:sz w:val="20"/>
              </w:rPr>
            </w:pPr>
            <w:r w:rsidRPr="00AD632B">
              <w:rPr>
                <w:rFonts w:ascii="Arial" w:hAnsi="Arial" w:cs="Arial"/>
                <w:sz w:val="20"/>
              </w:rPr>
              <w:t>The sponsor is disappointed that the PBAC has not recognised the benefits that letermovir would bring to patients undergoing allogeneic bone marrow transplants who are at risk of CMV reactivation. MSD will continue working to gain access for Australian patients.</w:t>
            </w:r>
          </w:p>
          <w:p w14:paraId="1E33B377" w14:textId="0D038245" w:rsidR="0052700A" w:rsidRPr="00DF7278" w:rsidRDefault="0052700A" w:rsidP="00D407A7">
            <w:pPr>
              <w:jc w:val="both"/>
              <w:rPr>
                <w:rFonts w:ascii="Arial" w:hAnsi="Arial" w:cs="Arial"/>
                <w:sz w:val="20"/>
                <w:highlight w:val="yellow"/>
              </w:rPr>
            </w:pPr>
          </w:p>
        </w:tc>
      </w:tr>
      <w:tr w:rsidR="00E54EFE" w:rsidRPr="00447CFB" w14:paraId="0E338A85" w14:textId="77777777" w:rsidTr="00D749D3">
        <w:trPr>
          <w:trHeight w:val="927"/>
        </w:trPr>
        <w:tc>
          <w:tcPr>
            <w:tcW w:w="2127" w:type="dxa"/>
            <w:vMerge w:val="restart"/>
          </w:tcPr>
          <w:p w14:paraId="6DFF8F79" w14:textId="77777777" w:rsidR="00E54EFE" w:rsidRPr="0078430D" w:rsidRDefault="00E54EFE" w:rsidP="0078430D">
            <w:pPr>
              <w:rPr>
                <w:rFonts w:ascii="Arial" w:hAnsi="Arial" w:cs="Arial"/>
                <w:sz w:val="20"/>
              </w:rPr>
            </w:pPr>
            <w:r w:rsidRPr="0078430D">
              <w:rPr>
                <w:rFonts w:ascii="Arial" w:hAnsi="Arial" w:cs="Arial"/>
                <w:sz w:val="20"/>
              </w:rPr>
              <w:t>NIVOLUMAB</w:t>
            </w:r>
          </w:p>
          <w:p w14:paraId="00300547" w14:textId="77777777" w:rsidR="00E54EFE" w:rsidRPr="0078430D" w:rsidRDefault="00E54EFE" w:rsidP="0078430D">
            <w:pPr>
              <w:rPr>
                <w:rFonts w:ascii="Arial" w:hAnsi="Arial" w:cs="Arial"/>
                <w:sz w:val="20"/>
              </w:rPr>
            </w:pPr>
          </w:p>
          <w:p w14:paraId="4D47330F" w14:textId="77777777" w:rsidR="00E54EFE" w:rsidRPr="0078430D" w:rsidRDefault="00E54EFE" w:rsidP="0078430D">
            <w:pPr>
              <w:rPr>
                <w:rFonts w:ascii="Arial" w:hAnsi="Arial" w:cs="Arial"/>
                <w:sz w:val="20"/>
              </w:rPr>
            </w:pPr>
            <w:r w:rsidRPr="0078430D">
              <w:rPr>
                <w:rFonts w:ascii="Arial" w:hAnsi="Arial" w:cs="Arial"/>
                <w:sz w:val="20"/>
              </w:rPr>
              <w:t>Injection concentrate for IV infusion</w:t>
            </w:r>
          </w:p>
          <w:p w14:paraId="3F7E9E1E" w14:textId="77777777" w:rsidR="00E54EFE" w:rsidRPr="0078430D" w:rsidRDefault="00E54EFE" w:rsidP="0078430D">
            <w:pPr>
              <w:rPr>
                <w:rFonts w:ascii="Arial" w:hAnsi="Arial" w:cs="Arial"/>
                <w:sz w:val="20"/>
              </w:rPr>
            </w:pPr>
            <w:r w:rsidRPr="0078430D">
              <w:rPr>
                <w:rFonts w:ascii="Arial" w:hAnsi="Arial" w:cs="Arial"/>
                <w:sz w:val="20"/>
              </w:rPr>
              <w:t>40 mg in 4 mL,</w:t>
            </w:r>
          </w:p>
          <w:p w14:paraId="7784BAB0" w14:textId="77777777" w:rsidR="00E54EFE" w:rsidRPr="0078430D" w:rsidRDefault="00E54EFE" w:rsidP="0078430D">
            <w:pPr>
              <w:rPr>
                <w:rFonts w:ascii="Arial" w:hAnsi="Arial" w:cs="Arial"/>
                <w:sz w:val="20"/>
              </w:rPr>
            </w:pPr>
            <w:r w:rsidRPr="0078430D">
              <w:rPr>
                <w:rFonts w:ascii="Arial" w:hAnsi="Arial" w:cs="Arial"/>
                <w:sz w:val="20"/>
              </w:rPr>
              <w:t>100 mg in 10 mL</w:t>
            </w:r>
          </w:p>
          <w:p w14:paraId="39FAF151" w14:textId="77777777" w:rsidR="00E54EFE" w:rsidRPr="0078430D" w:rsidRDefault="00E54EFE" w:rsidP="0078430D">
            <w:pPr>
              <w:rPr>
                <w:rFonts w:ascii="Arial" w:hAnsi="Arial" w:cs="Arial"/>
                <w:sz w:val="20"/>
              </w:rPr>
            </w:pPr>
          </w:p>
          <w:p w14:paraId="6B08822C" w14:textId="77777777" w:rsidR="00E54EFE" w:rsidRPr="0078430D" w:rsidRDefault="00E54EFE" w:rsidP="0078430D">
            <w:pPr>
              <w:rPr>
                <w:rFonts w:ascii="Arial" w:hAnsi="Arial" w:cs="Arial"/>
                <w:sz w:val="20"/>
              </w:rPr>
            </w:pPr>
            <w:proofErr w:type="spellStart"/>
            <w:r w:rsidRPr="0078430D">
              <w:rPr>
                <w:rFonts w:ascii="Arial" w:hAnsi="Arial" w:cs="Arial"/>
                <w:sz w:val="20"/>
              </w:rPr>
              <w:t>Opdivo</w:t>
            </w:r>
            <w:proofErr w:type="spellEnd"/>
            <w:r w:rsidRPr="0078430D">
              <w:rPr>
                <w:rFonts w:ascii="Arial" w:hAnsi="Arial" w:cs="Arial"/>
                <w:sz w:val="20"/>
              </w:rPr>
              <w:t>®</w:t>
            </w:r>
          </w:p>
          <w:p w14:paraId="4076B258" w14:textId="77777777" w:rsidR="00E54EFE" w:rsidRPr="0078430D" w:rsidRDefault="00E54EFE" w:rsidP="0078430D">
            <w:pPr>
              <w:rPr>
                <w:rFonts w:ascii="Arial" w:hAnsi="Arial" w:cs="Arial"/>
                <w:sz w:val="20"/>
              </w:rPr>
            </w:pPr>
          </w:p>
          <w:p w14:paraId="24A4A43A" w14:textId="77777777" w:rsidR="00E54EFE" w:rsidRPr="0078430D" w:rsidRDefault="00E54EFE" w:rsidP="0078430D">
            <w:pPr>
              <w:rPr>
                <w:rFonts w:ascii="Arial" w:hAnsi="Arial" w:cs="Arial"/>
                <w:sz w:val="20"/>
              </w:rPr>
            </w:pPr>
            <w:r w:rsidRPr="0078430D">
              <w:rPr>
                <w:rFonts w:ascii="Arial" w:hAnsi="Arial" w:cs="Arial"/>
                <w:sz w:val="20"/>
              </w:rPr>
              <w:t>Bristol-Myers Squibb Australia Pty Ltd</w:t>
            </w:r>
          </w:p>
          <w:p w14:paraId="5B3CF8C5" w14:textId="77777777" w:rsidR="00E54EFE" w:rsidRPr="0078430D" w:rsidRDefault="00E54EFE" w:rsidP="0078430D">
            <w:pPr>
              <w:rPr>
                <w:rFonts w:ascii="Arial" w:hAnsi="Arial" w:cs="Arial"/>
                <w:sz w:val="20"/>
              </w:rPr>
            </w:pPr>
          </w:p>
          <w:p w14:paraId="4D208425" w14:textId="77777777" w:rsidR="00E54EFE" w:rsidRPr="0078430D" w:rsidRDefault="00E54EFE" w:rsidP="0078430D">
            <w:pPr>
              <w:rPr>
                <w:rFonts w:ascii="Arial" w:hAnsi="Arial" w:cs="Arial"/>
                <w:sz w:val="20"/>
              </w:rPr>
            </w:pPr>
            <w:r w:rsidRPr="0078430D">
              <w:rPr>
                <w:rFonts w:ascii="Arial" w:hAnsi="Arial" w:cs="Arial"/>
                <w:sz w:val="20"/>
              </w:rPr>
              <w:t>Change to listing</w:t>
            </w:r>
          </w:p>
          <w:p w14:paraId="737A4C77" w14:textId="77777777" w:rsidR="00E54EFE" w:rsidRPr="00447CFB" w:rsidRDefault="00E54EFE" w:rsidP="0078430D">
            <w:pPr>
              <w:rPr>
                <w:rFonts w:ascii="Arial" w:hAnsi="Arial" w:cs="Arial"/>
                <w:sz w:val="20"/>
              </w:rPr>
            </w:pPr>
            <w:r w:rsidRPr="0078430D">
              <w:rPr>
                <w:rFonts w:ascii="Arial" w:hAnsi="Arial" w:cs="Arial"/>
                <w:sz w:val="20"/>
              </w:rPr>
              <w:lastRenderedPageBreak/>
              <w:t>(Major submission</w:t>
            </w:r>
          </w:p>
        </w:tc>
        <w:tc>
          <w:tcPr>
            <w:tcW w:w="2268" w:type="dxa"/>
            <w:vMerge w:val="restart"/>
          </w:tcPr>
          <w:p w14:paraId="35D466F2" w14:textId="77777777" w:rsidR="00E54EFE" w:rsidRPr="0078430D" w:rsidRDefault="00E54EFE" w:rsidP="0078430D">
            <w:pPr>
              <w:rPr>
                <w:rFonts w:ascii="Arial" w:hAnsi="Arial" w:cs="Arial"/>
                <w:sz w:val="20"/>
              </w:rPr>
            </w:pPr>
            <w:r w:rsidRPr="0078430D">
              <w:rPr>
                <w:rFonts w:ascii="Arial" w:hAnsi="Arial" w:cs="Arial"/>
                <w:sz w:val="20"/>
              </w:rPr>
              <w:lastRenderedPageBreak/>
              <w:t>NIVOLUMAB, as monotherapy, is indicated for:</w:t>
            </w:r>
          </w:p>
          <w:p w14:paraId="307E132E"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Adjuvant treatment of patients with melanoma with involvement of lymph nodes or metastatic disease who have undergone complete resection.</w:t>
            </w:r>
          </w:p>
          <w:p w14:paraId="6FB28734"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lastRenderedPageBreak/>
              <w:t xml:space="preserve">Patients with </w:t>
            </w:r>
            <w:proofErr w:type="spellStart"/>
            <w:r w:rsidRPr="0078430D">
              <w:rPr>
                <w:rFonts w:ascii="Arial" w:hAnsi="Arial" w:cs="Arial"/>
                <w:sz w:val="20"/>
              </w:rPr>
              <w:t>unresectable</w:t>
            </w:r>
            <w:proofErr w:type="spellEnd"/>
            <w:r w:rsidRPr="0078430D">
              <w:rPr>
                <w:rFonts w:ascii="Arial" w:hAnsi="Arial" w:cs="Arial"/>
                <w:sz w:val="20"/>
              </w:rPr>
              <w:t xml:space="preserve"> or metastatic melanoma</w:t>
            </w:r>
          </w:p>
          <w:p w14:paraId="2EF9B846"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Locally advanced or metastatic squamous non-small cell lung cancer with progression on or after prior chemotherapy</w:t>
            </w:r>
          </w:p>
          <w:p w14:paraId="3D1F1BF0"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Locally advanced or metastatic non-squamous non-small cell lung cancer with progression on or after prior chemotherapy</w:t>
            </w:r>
          </w:p>
          <w:p w14:paraId="6D7F9D1A" w14:textId="77777777" w:rsidR="00E54EFE" w:rsidRPr="0078430D" w:rsidRDefault="003028B7" w:rsidP="003028B7">
            <w:pPr>
              <w:pStyle w:val="ListParagraph"/>
              <w:widowControl w:val="0"/>
              <w:numPr>
                <w:ilvl w:val="0"/>
                <w:numId w:val="24"/>
              </w:numPr>
              <w:spacing w:after="160"/>
              <w:ind w:left="284" w:hanging="284"/>
              <w:contextualSpacing w:val="0"/>
              <w:rPr>
                <w:rFonts w:ascii="Arial" w:hAnsi="Arial" w:cs="Arial"/>
                <w:sz w:val="20"/>
              </w:rPr>
            </w:pPr>
            <w:r>
              <w:rPr>
                <w:rFonts w:ascii="Arial" w:hAnsi="Arial" w:cs="Arial"/>
                <w:sz w:val="20"/>
              </w:rPr>
              <w:t>A</w:t>
            </w:r>
            <w:r w:rsidR="00E54EFE" w:rsidRPr="0078430D">
              <w:rPr>
                <w:rFonts w:ascii="Arial" w:hAnsi="Arial" w:cs="Arial"/>
                <w:sz w:val="20"/>
              </w:rPr>
              <w:t>dvanced clear cell renal cell carcinoma after prior anti-angiogenic therapy</w:t>
            </w:r>
          </w:p>
          <w:p w14:paraId="53BAE342"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 xml:space="preserve">Relapsed or refractory classical Hodgkin lymphoma after autologous stem cell transplant and treatment with </w:t>
            </w:r>
            <w:proofErr w:type="spellStart"/>
            <w:r w:rsidRPr="0078430D">
              <w:rPr>
                <w:rFonts w:ascii="Arial" w:hAnsi="Arial" w:cs="Arial"/>
                <w:sz w:val="20"/>
              </w:rPr>
              <w:t>brentuximab</w:t>
            </w:r>
            <w:proofErr w:type="spellEnd"/>
            <w:r w:rsidRPr="0078430D">
              <w:rPr>
                <w:rFonts w:ascii="Arial" w:hAnsi="Arial" w:cs="Arial"/>
                <w:sz w:val="20"/>
              </w:rPr>
              <w:t xml:space="preserve"> </w:t>
            </w:r>
            <w:proofErr w:type="spellStart"/>
            <w:r w:rsidRPr="0078430D">
              <w:rPr>
                <w:rFonts w:ascii="Arial" w:hAnsi="Arial" w:cs="Arial"/>
                <w:sz w:val="20"/>
              </w:rPr>
              <w:lastRenderedPageBreak/>
              <w:t>vedotin</w:t>
            </w:r>
            <w:proofErr w:type="spellEnd"/>
          </w:p>
          <w:p w14:paraId="43AD3BB6"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Recurrent or metastatic squamous cell cancer of the head and neck in patients progressing on or after platinum based therapy</w:t>
            </w:r>
          </w:p>
          <w:p w14:paraId="67D87BB3"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 xml:space="preserve">Locally advanced </w:t>
            </w:r>
            <w:proofErr w:type="spellStart"/>
            <w:r w:rsidRPr="0078430D">
              <w:rPr>
                <w:rFonts w:ascii="Arial" w:hAnsi="Arial" w:cs="Arial"/>
                <w:sz w:val="20"/>
              </w:rPr>
              <w:t>unresectable</w:t>
            </w:r>
            <w:proofErr w:type="spellEnd"/>
            <w:r w:rsidRPr="0078430D">
              <w:rPr>
                <w:rFonts w:ascii="Arial" w:hAnsi="Arial" w:cs="Arial"/>
                <w:sz w:val="20"/>
              </w:rPr>
              <w:t xml:space="preserve"> or metastatic urothelial carcinoma after prior platinum-</w:t>
            </w:r>
            <w:r w:rsidRPr="003028B7">
              <w:rPr>
                <w:rFonts w:ascii="Arial" w:hAnsi="Arial"/>
                <w:sz w:val="20"/>
              </w:rPr>
              <w:t>containing</w:t>
            </w:r>
            <w:r w:rsidRPr="0078430D">
              <w:rPr>
                <w:rFonts w:ascii="Arial" w:hAnsi="Arial" w:cs="Arial"/>
                <w:sz w:val="20"/>
              </w:rPr>
              <w:t xml:space="preserve"> therapy</w:t>
            </w:r>
          </w:p>
          <w:p w14:paraId="770E5FE9"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 xml:space="preserve">Hepatocellular carcinoma after prior </w:t>
            </w:r>
            <w:proofErr w:type="spellStart"/>
            <w:r w:rsidRPr="0078430D">
              <w:rPr>
                <w:rFonts w:ascii="Arial" w:hAnsi="Arial" w:cs="Arial"/>
                <w:sz w:val="20"/>
              </w:rPr>
              <w:t>sorafenib</w:t>
            </w:r>
            <w:proofErr w:type="spellEnd"/>
            <w:r w:rsidRPr="0078430D">
              <w:rPr>
                <w:rFonts w:ascii="Arial" w:hAnsi="Arial" w:cs="Arial"/>
                <w:sz w:val="20"/>
              </w:rPr>
              <w:t xml:space="preserve"> therapy</w:t>
            </w:r>
          </w:p>
          <w:p w14:paraId="7D825E55" w14:textId="77777777" w:rsidR="00E54EFE" w:rsidRPr="0078430D" w:rsidRDefault="00E54EFE" w:rsidP="0078430D">
            <w:pPr>
              <w:rPr>
                <w:rFonts w:ascii="Arial" w:hAnsi="Arial" w:cs="Arial"/>
                <w:sz w:val="20"/>
              </w:rPr>
            </w:pPr>
            <w:r w:rsidRPr="0078430D">
              <w:rPr>
                <w:rFonts w:ascii="Arial" w:hAnsi="Arial" w:cs="Arial"/>
                <w:sz w:val="20"/>
              </w:rPr>
              <w:t xml:space="preserve">NIVOLUMAB, in combination with </w:t>
            </w:r>
            <w:proofErr w:type="spellStart"/>
            <w:r w:rsidRPr="0078430D">
              <w:rPr>
                <w:rFonts w:ascii="Arial" w:hAnsi="Arial" w:cs="Arial"/>
                <w:sz w:val="20"/>
              </w:rPr>
              <w:t>ipilimumab</w:t>
            </w:r>
            <w:proofErr w:type="spellEnd"/>
            <w:r w:rsidRPr="0078430D">
              <w:rPr>
                <w:rFonts w:ascii="Arial" w:hAnsi="Arial" w:cs="Arial"/>
                <w:sz w:val="20"/>
              </w:rPr>
              <w:t>, is indicated for:</w:t>
            </w:r>
          </w:p>
          <w:p w14:paraId="0D69EA47" w14:textId="77777777" w:rsidR="00E54EFE" w:rsidRPr="0078430D" w:rsidRDefault="00E54EFE" w:rsidP="003028B7">
            <w:pPr>
              <w:pStyle w:val="ListParagraph"/>
              <w:widowControl w:val="0"/>
              <w:numPr>
                <w:ilvl w:val="0"/>
                <w:numId w:val="24"/>
              </w:numPr>
              <w:spacing w:after="160"/>
              <w:ind w:left="284" w:hanging="284"/>
              <w:contextualSpacing w:val="0"/>
              <w:rPr>
                <w:rFonts w:ascii="Arial" w:hAnsi="Arial" w:cs="Arial"/>
                <w:sz w:val="20"/>
              </w:rPr>
            </w:pPr>
            <w:proofErr w:type="spellStart"/>
            <w:r w:rsidRPr="0078430D">
              <w:rPr>
                <w:rFonts w:ascii="Arial" w:hAnsi="Arial" w:cs="Arial"/>
                <w:sz w:val="20"/>
              </w:rPr>
              <w:t>Unresectable</w:t>
            </w:r>
            <w:proofErr w:type="spellEnd"/>
            <w:r w:rsidRPr="0078430D">
              <w:rPr>
                <w:rFonts w:ascii="Arial" w:hAnsi="Arial" w:cs="Arial"/>
                <w:sz w:val="20"/>
              </w:rPr>
              <w:t xml:space="preserve"> or metastatic melanoma</w:t>
            </w:r>
          </w:p>
          <w:p w14:paraId="334D61F6" w14:textId="77777777" w:rsidR="00E54EFE" w:rsidRPr="00447CFB" w:rsidRDefault="00E54EFE" w:rsidP="003028B7">
            <w:pPr>
              <w:pStyle w:val="ListParagraph"/>
              <w:widowControl w:val="0"/>
              <w:numPr>
                <w:ilvl w:val="0"/>
                <w:numId w:val="24"/>
              </w:numPr>
              <w:spacing w:after="160"/>
              <w:ind w:left="284" w:hanging="284"/>
              <w:contextualSpacing w:val="0"/>
              <w:rPr>
                <w:rFonts w:ascii="Arial" w:hAnsi="Arial" w:cs="Arial"/>
                <w:sz w:val="20"/>
              </w:rPr>
            </w:pPr>
            <w:r w:rsidRPr="0078430D">
              <w:rPr>
                <w:rFonts w:ascii="Arial" w:hAnsi="Arial" w:cs="Arial"/>
                <w:sz w:val="20"/>
              </w:rPr>
              <w:t xml:space="preserve">Intermediate/poor-risk, previously untreated renal cell </w:t>
            </w:r>
            <w:r w:rsidRPr="0078430D">
              <w:rPr>
                <w:rFonts w:ascii="Arial" w:hAnsi="Arial" w:cs="Arial"/>
                <w:sz w:val="20"/>
              </w:rPr>
              <w:lastRenderedPageBreak/>
              <w:t>carcinoma</w:t>
            </w:r>
          </w:p>
        </w:tc>
        <w:tc>
          <w:tcPr>
            <w:tcW w:w="2155" w:type="dxa"/>
            <w:vMerge w:val="restart"/>
          </w:tcPr>
          <w:p w14:paraId="3AB3EEBD" w14:textId="77777777" w:rsidR="00E54EFE" w:rsidRPr="00795225" w:rsidRDefault="00E54EFE" w:rsidP="0078430D">
            <w:pPr>
              <w:rPr>
                <w:rFonts w:ascii="Arial" w:hAnsi="Arial"/>
                <w:sz w:val="20"/>
              </w:rPr>
            </w:pPr>
            <w:r w:rsidRPr="00795225">
              <w:rPr>
                <w:rFonts w:ascii="Arial" w:hAnsi="Arial"/>
                <w:sz w:val="20"/>
              </w:rPr>
              <w:lastRenderedPageBreak/>
              <w:t>NIVOLUMAB, as monotherapy, is currently PBS listed for:</w:t>
            </w:r>
          </w:p>
          <w:p w14:paraId="23DA905E" w14:textId="77777777" w:rsidR="00E54EFE" w:rsidRPr="00795225" w:rsidRDefault="00E54EFE" w:rsidP="0078430D">
            <w:pPr>
              <w:pStyle w:val="ListParagraph"/>
              <w:widowControl w:val="0"/>
              <w:numPr>
                <w:ilvl w:val="0"/>
                <w:numId w:val="24"/>
              </w:numPr>
              <w:spacing w:after="160"/>
              <w:ind w:left="284" w:hanging="284"/>
              <w:contextualSpacing w:val="0"/>
              <w:rPr>
                <w:rFonts w:ascii="Arial" w:hAnsi="Arial"/>
                <w:sz w:val="20"/>
              </w:rPr>
            </w:pPr>
            <w:proofErr w:type="spellStart"/>
            <w:r w:rsidRPr="00795225">
              <w:rPr>
                <w:rFonts w:ascii="Arial" w:hAnsi="Arial"/>
                <w:sz w:val="20"/>
              </w:rPr>
              <w:t>Unresectable</w:t>
            </w:r>
            <w:proofErr w:type="spellEnd"/>
            <w:r w:rsidRPr="00795225">
              <w:rPr>
                <w:rFonts w:ascii="Arial" w:hAnsi="Arial"/>
                <w:sz w:val="20"/>
              </w:rPr>
              <w:t xml:space="preserve"> Stage III or Stage IV malignant melanoma</w:t>
            </w:r>
          </w:p>
          <w:p w14:paraId="12E13979" w14:textId="77777777" w:rsidR="00E54EFE" w:rsidRPr="00795225" w:rsidRDefault="00E54EFE" w:rsidP="0078430D">
            <w:pPr>
              <w:pStyle w:val="ListParagraph"/>
              <w:widowControl w:val="0"/>
              <w:numPr>
                <w:ilvl w:val="0"/>
                <w:numId w:val="24"/>
              </w:numPr>
              <w:spacing w:after="160"/>
              <w:ind w:left="284" w:hanging="284"/>
              <w:contextualSpacing w:val="0"/>
              <w:rPr>
                <w:rFonts w:ascii="Arial" w:hAnsi="Arial"/>
                <w:sz w:val="20"/>
              </w:rPr>
            </w:pPr>
            <w:r w:rsidRPr="00795225">
              <w:rPr>
                <w:rFonts w:ascii="Arial" w:hAnsi="Arial"/>
                <w:sz w:val="20"/>
              </w:rPr>
              <w:t xml:space="preserve">Locally advanced or metastatic non-small cell lung </w:t>
            </w:r>
            <w:r w:rsidRPr="00795225">
              <w:rPr>
                <w:rFonts w:ascii="Arial" w:hAnsi="Arial"/>
                <w:sz w:val="20"/>
              </w:rPr>
              <w:lastRenderedPageBreak/>
              <w:t>cancer</w:t>
            </w:r>
          </w:p>
          <w:p w14:paraId="656689D5" w14:textId="77777777" w:rsidR="00E54EFE" w:rsidRPr="00795225" w:rsidRDefault="00E54EFE" w:rsidP="0078430D">
            <w:pPr>
              <w:pStyle w:val="ListParagraph"/>
              <w:widowControl w:val="0"/>
              <w:numPr>
                <w:ilvl w:val="0"/>
                <w:numId w:val="24"/>
              </w:numPr>
              <w:spacing w:after="160"/>
              <w:ind w:left="284" w:hanging="284"/>
              <w:contextualSpacing w:val="0"/>
              <w:rPr>
                <w:rFonts w:ascii="Arial" w:hAnsi="Arial"/>
                <w:sz w:val="20"/>
              </w:rPr>
            </w:pPr>
            <w:r w:rsidRPr="00795225">
              <w:rPr>
                <w:rFonts w:ascii="Arial" w:hAnsi="Arial"/>
                <w:sz w:val="20"/>
              </w:rPr>
              <w:t>Stage IV clear cell variant renal cell carcinoma</w:t>
            </w:r>
          </w:p>
          <w:p w14:paraId="29C29708" w14:textId="77777777" w:rsidR="00E54EFE" w:rsidRPr="00795225" w:rsidRDefault="00E54EFE" w:rsidP="0078430D">
            <w:pPr>
              <w:pStyle w:val="ListParagraph"/>
              <w:widowControl w:val="0"/>
              <w:numPr>
                <w:ilvl w:val="0"/>
                <w:numId w:val="24"/>
              </w:numPr>
              <w:spacing w:after="160"/>
              <w:ind w:left="284" w:hanging="284"/>
              <w:contextualSpacing w:val="0"/>
              <w:rPr>
                <w:rFonts w:ascii="Arial" w:hAnsi="Arial"/>
                <w:sz w:val="20"/>
              </w:rPr>
            </w:pPr>
            <w:r w:rsidRPr="00795225">
              <w:rPr>
                <w:rFonts w:ascii="Arial" w:hAnsi="Arial"/>
                <w:sz w:val="20"/>
              </w:rPr>
              <w:t>Recurrent or metastatic squamous cell carcinoma of the oral cavity, pharynx or larynx</w:t>
            </w:r>
          </w:p>
        </w:tc>
        <w:tc>
          <w:tcPr>
            <w:tcW w:w="3089" w:type="dxa"/>
          </w:tcPr>
          <w:p w14:paraId="2928E1E7" w14:textId="77777777" w:rsidR="00E54EFE" w:rsidRPr="00DF7278" w:rsidRDefault="00E54EFE" w:rsidP="00EB358A">
            <w:pPr>
              <w:pStyle w:val="ListBullet"/>
            </w:pPr>
            <w:r w:rsidRPr="0078430D">
              <w:lastRenderedPageBreak/>
              <w:t>Resubmission to request an extension of the current Section 100 – Efficient Funding of Chemotherapy Authority Required (STREAMLINED) listing of nivolumab to include adjuvant treatment for completely resected Stage III or completely resected Stage IV melanoma.</w:t>
            </w:r>
          </w:p>
        </w:tc>
        <w:tc>
          <w:tcPr>
            <w:tcW w:w="5245" w:type="dxa"/>
          </w:tcPr>
          <w:p w14:paraId="206F2626" w14:textId="032AF095" w:rsidR="00E54EFE" w:rsidRDefault="00E54EFE" w:rsidP="0078430D">
            <w:pPr>
              <w:jc w:val="both"/>
              <w:rPr>
                <w:rFonts w:ascii="Arial" w:hAnsi="Arial" w:cs="Arial"/>
                <w:sz w:val="20"/>
              </w:rPr>
            </w:pPr>
            <w:r w:rsidRPr="0078430D">
              <w:rPr>
                <w:rFonts w:ascii="Arial" w:hAnsi="Arial" w:cs="Arial"/>
                <w:sz w:val="20"/>
              </w:rPr>
              <w:t xml:space="preserve">The PBAC decided not to recommend nivolumab as an adjuvant treatment for completely resected Stage III or IV melanoma. The PBAC again acknowledged that there was a high unmet clinical need for effective therapies to reduce the risks of recurrence, and considered that in some circumstances recurrence was less likely for nivolumab compared </w:t>
            </w:r>
            <w:r w:rsidR="00EB19EB">
              <w:rPr>
                <w:rFonts w:ascii="Arial" w:hAnsi="Arial" w:cs="Arial"/>
                <w:sz w:val="20"/>
              </w:rPr>
              <w:t>with</w:t>
            </w:r>
            <w:r w:rsidR="00EB19EB" w:rsidRPr="0078430D">
              <w:rPr>
                <w:rFonts w:ascii="Arial" w:hAnsi="Arial" w:cs="Arial"/>
                <w:sz w:val="20"/>
              </w:rPr>
              <w:t xml:space="preserve"> </w:t>
            </w:r>
            <w:r w:rsidRPr="0078430D">
              <w:rPr>
                <w:rFonts w:ascii="Arial" w:hAnsi="Arial" w:cs="Arial"/>
                <w:sz w:val="20"/>
              </w:rPr>
              <w:t>placebo. However, the PBAC remained concerned that there was uncertainty in the magnitude of the clinical benefit and in the incremental cost-effectiveness ratio</w:t>
            </w:r>
            <w:r w:rsidR="00000FFD">
              <w:rPr>
                <w:rFonts w:ascii="Arial" w:hAnsi="Arial" w:cs="Arial"/>
                <w:sz w:val="20"/>
              </w:rPr>
              <w:t xml:space="preserve"> (ICER)</w:t>
            </w:r>
            <w:r w:rsidRPr="0078430D">
              <w:rPr>
                <w:rFonts w:ascii="Arial" w:hAnsi="Arial" w:cs="Arial"/>
                <w:sz w:val="20"/>
              </w:rPr>
              <w:t xml:space="preserve"> due to the immaturity of the data, and that the estimated financial impact remained high and uncertain.</w:t>
            </w:r>
            <w:r w:rsidR="00344E6D">
              <w:rPr>
                <w:rFonts w:ascii="Arial" w:hAnsi="Arial" w:cs="Arial"/>
                <w:sz w:val="20"/>
              </w:rPr>
              <w:t xml:space="preserve"> </w:t>
            </w:r>
          </w:p>
          <w:p w14:paraId="04A3630E" w14:textId="77777777" w:rsidR="00000FFD" w:rsidRPr="0078430D" w:rsidRDefault="00000FFD" w:rsidP="0078430D">
            <w:pPr>
              <w:jc w:val="both"/>
              <w:rPr>
                <w:rFonts w:ascii="Arial" w:hAnsi="Arial" w:cs="Arial"/>
                <w:sz w:val="20"/>
              </w:rPr>
            </w:pPr>
          </w:p>
          <w:p w14:paraId="6317415D" w14:textId="41853B35" w:rsidR="00E54EFE" w:rsidRPr="00DF7278" w:rsidRDefault="00E54EFE" w:rsidP="0078430D">
            <w:pPr>
              <w:jc w:val="both"/>
              <w:rPr>
                <w:rFonts w:ascii="Arial" w:hAnsi="Arial" w:cs="Arial"/>
                <w:sz w:val="20"/>
                <w:highlight w:val="yellow"/>
              </w:rPr>
            </w:pPr>
            <w:r w:rsidRPr="0078430D">
              <w:rPr>
                <w:rFonts w:ascii="Arial" w:hAnsi="Arial" w:cs="Arial"/>
                <w:sz w:val="20"/>
              </w:rPr>
              <w:lastRenderedPageBreak/>
              <w:t>The PBAC considered the PBS listing should be for resected Stage IIIB, Stage IIIC, Stage IIID and Stage IV</w:t>
            </w:r>
            <w:r w:rsidR="00000FFD">
              <w:rPr>
                <w:rFonts w:ascii="Arial" w:hAnsi="Arial" w:cs="Arial"/>
                <w:sz w:val="20"/>
              </w:rPr>
              <w:t xml:space="preserve"> melanoma</w:t>
            </w:r>
            <w:r w:rsidRPr="0078430D">
              <w:rPr>
                <w:rFonts w:ascii="Arial" w:hAnsi="Arial" w:cs="Arial"/>
                <w:sz w:val="20"/>
              </w:rPr>
              <w:t>.</w:t>
            </w:r>
          </w:p>
        </w:tc>
      </w:tr>
      <w:tr w:rsidR="00E54EFE" w:rsidRPr="00447CFB" w14:paraId="5D7401E5" w14:textId="77777777" w:rsidTr="0052700A">
        <w:trPr>
          <w:trHeight w:val="839"/>
        </w:trPr>
        <w:tc>
          <w:tcPr>
            <w:tcW w:w="2127" w:type="dxa"/>
            <w:vMerge/>
          </w:tcPr>
          <w:p w14:paraId="6A55BBD9" w14:textId="77777777" w:rsidR="00E54EFE" w:rsidRPr="00447CFB" w:rsidRDefault="00E54EFE" w:rsidP="0078430D">
            <w:pPr>
              <w:rPr>
                <w:rFonts w:ascii="Arial" w:hAnsi="Arial" w:cs="Arial"/>
                <w:sz w:val="20"/>
              </w:rPr>
            </w:pPr>
          </w:p>
        </w:tc>
        <w:tc>
          <w:tcPr>
            <w:tcW w:w="2268" w:type="dxa"/>
            <w:vMerge/>
          </w:tcPr>
          <w:p w14:paraId="76146220" w14:textId="77777777" w:rsidR="00E54EFE" w:rsidRPr="00447CFB" w:rsidRDefault="00E54EFE" w:rsidP="0078430D">
            <w:pPr>
              <w:rPr>
                <w:rFonts w:ascii="Arial" w:hAnsi="Arial" w:cs="Arial"/>
                <w:sz w:val="20"/>
              </w:rPr>
            </w:pPr>
          </w:p>
        </w:tc>
        <w:tc>
          <w:tcPr>
            <w:tcW w:w="2155" w:type="dxa"/>
            <w:vMerge/>
            <w:shd w:val="clear" w:color="auto" w:fill="FFFFFF" w:themeFill="background1"/>
          </w:tcPr>
          <w:p w14:paraId="07054DDB" w14:textId="77777777" w:rsidR="00E54EFE" w:rsidRPr="00447CFB" w:rsidRDefault="00E54EFE" w:rsidP="0078430D">
            <w:pPr>
              <w:rPr>
                <w:rFonts w:ascii="Arial" w:hAnsi="Arial" w:cs="Arial"/>
                <w:sz w:val="20"/>
              </w:rPr>
            </w:pPr>
          </w:p>
        </w:tc>
        <w:tc>
          <w:tcPr>
            <w:tcW w:w="3089" w:type="dxa"/>
          </w:tcPr>
          <w:p w14:paraId="71887125" w14:textId="77777777" w:rsidR="00E54EFE" w:rsidRPr="00DF7278" w:rsidRDefault="00E54EFE" w:rsidP="00EB358A">
            <w:pPr>
              <w:pStyle w:val="ListBullet"/>
            </w:pPr>
            <w:r>
              <w:t xml:space="preserve">Comparator: </w:t>
            </w:r>
            <w:r w:rsidRPr="00E54EFE">
              <w:t>observation as standard of care was the main comparator</w:t>
            </w:r>
          </w:p>
        </w:tc>
        <w:tc>
          <w:tcPr>
            <w:tcW w:w="5245" w:type="dxa"/>
          </w:tcPr>
          <w:p w14:paraId="1A698730" w14:textId="77777777" w:rsidR="00E54EFE" w:rsidRPr="00DF7278" w:rsidRDefault="00E54EFE" w:rsidP="0078430D">
            <w:pPr>
              <w:jc w:val="both"/>
              <w:rPr>
                <w:rFonts w:ascii="Arial" w:hAnsi="Arial" w:cs="Arial"/>
                <w:sz w:val="20"/>
                <w:highlight w:val="yellow"/>
              </w:rPr>
            </w:pPr>
            <w:r w:rsidRPr="00E54EFE">
              <w:rPr>
                <w:rFonts w:ascii="Arial" w:hAnsi="Arial" w:cs="Arial"/>
                <w:sz w:val="20"/>
              </w:rPr>
              <w:t>The PBAC had previously accepted that the comparator was reasonable.</w:t>
            </w:r>
          </w:p>
        </w:tc>
      </w:tr>
      <w:tr w:rsidR="00E54EFE" w:rsidRPr="00447CFB" w14:paraId="1BD38612" w14:textId="77777777" w:rsidTr="00A729E5">
        <w:trPr>
          <w:trHeight w:val="1839"/>
        </w:trPr>
        <w:tc>
          <w:tcPr>
            <w:tcW w:w="2127" w:type="dxa"/>
            <w:vMerge/>
          </w:tcPr>
          <w:p w14:paraId="467996A4" w14:textId="77777777" w:rsidR="00E54EFE" w:rsidRPr="00447CFB" w:rsidRDefault="00E54EFE" w:rsidP="0078430D">
            <w:pPr>
              <w:rPr>
                <w:rFonts w:ascii="Arial" w:hAnsi="Arial" w:cs="Arial"/>
                <w:sz w:val="20"/>
              </w:rPr>
            </w:pPr>
          </w:p>
        </w:tc>
        <w:tc>
          <w:tcPr>
            <w:tcW w:w="2268" w:type="dxa"/>
            <w:vMerge/>
          </w:tcPr>
          <w:p w14:paraId="4194F35C" w14:textId="77777777" w:rsidR="00E54EFE" w:rsidRPr="00447CFB" w:rsidRDefault="00E54EFE" w:rsidP="0078430D">
            <w:pPr>
              <w:rPr>
                <w:rFonts w:ascii="Arial" w:hAnsi="Arial" w:cs="Arial"/>
                <w:sz w:val="20"/>
              </w:rPr>
            </w:pPr>
          </w:p>
        </w:tc>
        <w:tc>
          <w:tcPr>
            <w:tcW w:w="2155" w:type="dxa"/>
            <w:vMerge/>
            <w:shd w:val="clear" w:color="auto" w:fill="FFFFFF" w:themeFill="background1"/>
          </w:tcPr>
          <w:p w14:paraId="0A48EBD7" w14:textId="77777777" w:rsidR="00E54EFE" w:rsidRPr="00447CFB" w:rsidRDefault="00E54EFE" w:rsidP="0078430D">
            <w:pPr>
              <w:rPr>
                <w:rFonts w:ascii="Arial" w:hAnsi="Arial" w:cs="Arial"/>
                <w:sz w:val="20"/>
              </w:rPr>
            </w:pPr>
          </w:p>
        </w:tc>
        <w:tc>
          <w:tcPr>
            <w:tcW w:w="3089" w:type="dxa"/>
          </w:tcPr>
          <w:p w14:paraId="2A8C3B4C" w14:textId="00E45ECD" w:rsidR="00E54EFE" w:rsidRDefault="00E54EFE" w:rsidP="00EB19EB">
            <w:pPr>
              <w:pStyle w:val="ListBullet"/>
            </w:pPr>
            <w:r>
              <w:t xml:space="preserve">Clinical claim: </w:t>
            </w:r>
            <w:r w:rsidRPr="00E54EFE">
              <w:t xml:space="preserve">superior in terms of effectiveness and ‘moderately’ inferior in terms of safety compared </w:t>
            </w:r>
            <w:r w:rsidR="00EB19EB">
              <w:t>with</w:t>
            </w:r>
            <w:r w:rsidR="00EB19EB" w:rsidRPr="00E54EFE">
              <w:t xml:space="preserve"> </w:t>
            </w:r>
            <w:r w:rsidRPr="00E54EFE">
              <w:t xml:space="preserve">placebo  </w:t>
            </w:r>
          </w:p>
        </w:tc>
        <w:tc>
          <w:tcPr>
            <w:tcW w:w="5245" w:type="dxa"/>
          </w:tcPr>
          <w:p w14:paraId="60CBA22E" w14:textId="257DE1E9" w:rsidR="00E54EFE" w:rsidRPr="00E54EFE" w:rsidRDefault="00E54EFE" w:rsidP="00E54EFE">
            <w:pPr>
              <w:jc w:val="both"/>
              <w:rPr>
                <w:rFonts w:ascii="Arial" w:hAnsi="Arial" w:cs="Arial"/>
                <w:sz w:val="20"/>
              </w:rPr>
            </w:pPr>
            <w:r w:rsidRPr="00E54EFE">
              <w:rPr>
                <w:rFonts w:ascii="Arial" w:hAnsi="Arial" w:cs="Arial"/>
                <w:sz w:val="20"/>
              </w:rPr>
              <w:t xml:space="preserve">The PBAC considered that nivolumab was superior in terms of comparative effectiveness in patients with Stage IIIB, IIIC, IIID and Stage IV completely resected melanoma compared </w:t>
            </w:r>
            <w:r w:rsidR="00EB19EB">
              <w:rPr>
                <w:rFonts w:ascii="Arial" w:hAnsi="Arial" w:cs="Arial"/>
                <w:sz w:val="20"/>
              </w:rPr>
              <w:t>with</w:t>
            </w:r>
            <w:r w:rsidR="00EB19EB" w:rsidRPr="00E54EFE">
              <w:rPr>
                <w:rFonts w:ascii="Arial" w:hAnsi="Arial" w:cs="Arial"/>
                <w:sz w:val="20"/>
              </w:rPr>
              <w:t xml:space="preserve"> </w:t>
            </w:r>
            <w:r w:rsidRPr="00E54EFE">
              <w:rPr>
                <w:rFonts w:ascii="Arial" w:hAnsi="Arial" w:cs="Arial"/>
                <w:sz w:val="20"/>
              </w:rPr>
              <w:t>placebo.</w:t>
            </w:r>
          </w:p>
          <w:p w14:paraId="7F19BB2A" w14:textId="77777777" w:rsidR="00E54EFE" w:rsidRPr="00E54EFE" w:rsidRDefault="00E54EFE" w:rsidP="00E54EFE">
            <w:pPr>
              <w:jc w:val="both"/>
              <w:rPr>
                <w:rFonts w:ascii="Arial" w:hAnsi="Arial" w:cs="Arial"/>
                <w:sz w:val="20"/>
              </w:rPr>
            </w:pPr>
          </w:p>
          <w:p w14:paraId="192E2F26" w14:textId="77777777" w:rsidR="00E54EFE" w:rsidRPr="00DF7278" w:rsidRDefault="00E54EFE" w:rsidP="00E54EFE">
            <w:pPr>
              <w:jc w:val="both"/>
              <w:rPr>
                <w:rFonts w:ascii="Arial" w:hAnsi="Arial" w:cs="Arial"/>
                <w:sz w:val="20"/>
                <w:highlight w:val="yellow"/>
              </w:rPr>
            </w:pPr>
            <w:r w:rsidRPr="00E54EFE">
              <w:rPr>
                <w:rFonts w:ascii="Arial" w:hAnsi="Arial" w:cs="Arial"/>
                <w:sz w:val="20"/>
              </w:rPr>
              <w:t>The PBAC considered that nivolumab was inferior to placebo in terms of comparative safety.</w:t>
            </w:r>
          </w:p>
        </w:tc>
      </w:tr>
      <w:tr w:rsidR="00E54EFE" w:rsidRPr="00447CFB" w14:paraId="09894392" w14:textId="77777777" w:rsidTr="00CA2D5B">
        <w:trPr>
          <w:trHeight w:val="2221"/>
        </w:trPr>
        <w:tc>
          <w:tcPr>
            <w:tcW w:w="2127" w:type="dxa"/>
            <w:vMerge/>
          </w:tcPr>
          <w:p w14:paraId="1CCB1C09" w14:textId="77777777" w:rsidR="00E54EFE" w:rsidRPr="00447CFB" w:rsidRDefault="00E54EFE" w:rsidP="0078430D">
            <w:pPr>
              <w:rPr>
                <w:rFonts w:ascii="Arial" w:hAnsi="Arial" w:cs="Arial"/>
                <w:sz w:val="20"/>
              </w:rPr>
            </w:pPr>
          </w:p>
        </w:tc>
        <w:tc>
          <w:tcPr>
            <w:tcW w:w="2268" w:type="dxa"/>
            <w:vMerge/>
          </w:tcPr>
          <w:p w14:paraId="36FF414A" w14:textId="77777777" w:rsidR="00E54EFE" w:rsidRPr="00447CFB" w:rsidRDefault="00E54EFE" w:rsidP="0078430D">
            <w:pPr>
              <w:rPr>
                <w:rFonts w:ascii="Arial" w:hAnsi="Arial" w:cs="Arial"/>
                <w:sz w:val="20"/>
              </w:rPr>
            </w:pPr>
          </w:p>
        </w:tc>
        <w:tc>
          <w:tcPr>
            <w:tcW w:w="2155" w:type="dxa"/>
            <w:vMerge/>
            <w:shd w:val="clear" w:color="auto" w:fill="FFFFFF" w:themeFill="background1"/>
          </w:tcPr>
          <w:p w14:paraId="79787A50" w14:textId="77777777" w:rsidR="00E54EFE" w:rsidRPr="00447CFB" w:rsidRDefault="00E54EFE" w:rsidP="0078430D">
            <w:pPr>
              <w:rPr>
                <w:rFonts w:ascii="Arial" w:hAnsi="Arial" w:cs="Arial"/>
                <w:sz w:val="20"/>
              </w:rPr>
            </w:pPr>
          </w:p>
        </w:tc>
        <w:tc>
          <w:tcPr>
            <w:tcW w:w="3089" w:type="dxa"/>
          </w:tcPr>
          <w:p w14:paraId="1DF94560" w14:textId="77777777" w:rsidR="00E54EFE" w:rsidRDefault="00E54EFE" w:rsidP="00EB358A">
            <w:pPr>
              <w:pStyle w:val="ListBullet"/>
            </w:pPr>
            <w:r>
              <w:t>Economic claim:</w:t>
            </w:r>
            <w:r w:rsidRPr="00E54EFE">
              <w:t xml:space="preserve"> cost-effectiveness analysis presented</w:t>
            </w:r>
          </w:p>
        </w:tc>
        <w:tc>
          <w:tcPr>
            <w:tcW w:w="5245" w:type="dxa"/>
          </w:tcPr>
          <w:p w14:paraId="1E1054E0" w14:textId="27B2014C" w:rsidR="00E54EFE" w:rsidRDefault="00E54EFE" w:rsidP="00EB19EB">
            <w:pPr>
              <w:jc w:val="both"/>
              <w:rPr>
                <w:rFonts w:ascii="Arial" w:hAnsi="Arial" w:cs="Arial"/>
                <w:sz w:val="20"/>
              </w:rPr>
            </w:pPr>
            <w:r w:rsidRPr="00E54EFE">
              <w:rPr>
                <w:rFonts w:ascii="Arial" w:hAnsi="Arial" w:cs="Arial"/>
                <w:sz w:val="20"/>
              </w:rPr>
              <w:t xml:space="preserve">The PBAC considered that the resultant ICER was high and also uncertain as there was a lack of data supporting the modelled continued treatment effect and the impact of treatment on overall survival. In addition, the overall survival in the observation arm was considered pessimistic when compared </w:t>
            </w:r>
            <w:r w:rsidR="00EB19EB">
              <w:rPr>
                <w:rFonts w:ascii="Arial" w:hAnsi="Arial" w:cs="Arial"/>
                <w:sz w:val="20"/>
              </w:rPr>
              <w:t>with</w:t>
            </w:r>
            <w:r w:rsidR="00EB19EB" w:rsidRPr="00E54EFE">
              <w:rPr>
                <w:rFonts w:ascii="Arial" w:hAnsi="Arial" w:cs="Arial"/>
                <w:sz w:val="20"/>
              </w:rPr>
              <w:t xml:space="preserve"> </w:t>
            </w:r>
            <w:r w:rsidRPr="00E54EFE">
              <w:rPr>
                <w:rFonts w:ascii="Arial" w:hAnsi="Arial" w:cs="Arial"/>
                <w:sz w:val="20"/>
              </w:rPr>
              <w:t>other published models.</w:t>
            </w:r>
            <w:r w:rsidR="00AB2CF6">
              <w:rPr>
                <w:rFonts w:ascii="Arial" w:hAnsi="Arial" w:cs="Arial"/>
                <w:sz w:val="20"/>
              </w:rPr>
              <w:t xml:space="preserve"> The PBAC considered that a price reduction would be required for nivolumab to be considered cost effective in the adjuvant setting.</w:t>
            </w:r>
          </w:p>
          <w:p w14:paraId="7EE74684" w14:textId="2A416505" w:rsidR="00E71426" w:rsidRPr="00DF7278" w:rsidRDefault="00E71426" w:rsidP="00EB19EB">
            <w:pPr>
              <w:jc w:val="both"/>
              <w:rPr>
                <w:rFonts w:ascii="Arial" w:hAnsi="Arial" w:cs="Arial"/>
                <w:sz w:val="20"/>
                <w:highlight w:val="yellow"/>
              </w:rPr>
            </w:pPr>
          </w:p>
        </w:tc>
      </w:tr>
      <w:tr w:rsidR="00E54EFE" w:rsidRPr="00447CFB" w14:paraId="3FE95405" w14:textId="77777777" w:rsidTr="00CA2D5B">
        <w:trPr>
          <w:trHeight w:val="2221"/>
        </w:trPr>
        <w:tc>
          <w:tcPr>
            <w:tcW w:w="2127" w:type="dxa"/>
            <w:vMerge/>
          </w:tcPr>
          <w:p w14:paraId="71F1F733" w14:textId="77777777" w:rsidR="00E54EFE" w:rsidRPr="00447CFB" w:rsidRDefault="00E54EFE" w:rsidP="0078430D">
            <w:pPr>
              <w:rPr>
                <w:rFonts w:ascii="Arial" w:hAnsi="Arial" w:cs="Arial"/>
                <w:sz w:val="20"/>
              </w:rPr>
            </w:pPr>
          </w:p>
        </w:tc>
        <w:tc>
          <w:tcPr>
            <w:tcW w:w="2268" w:type="dxa"/>
            <w:vMerge/>
          </w:tcPr>
          <w:p w14:paraId="6AA56473" w14:textId="77777777" w:rsidR="00E54EFE" w:rsidRPr="00447CFB" w:rsidRDefault="00E54EFE" w:rsidP="0078430D">
            <w:pPr>
              <w:rPr>
                <w:rFonts w:ascii="Arial" w:hAnsi="Arial" w:cs="Arial"/>
                <w:sz w:val="20"/>
              </w:rPr>
            </w:pPr>
          </w:p>
        </w:tc>
        <w:tc>
          <w:tcPr>
            <w:tcW w:w="2155" w:type="dxa"/>
            <w:vMerge/>
            <w:shd w:val="clear" w:color="auto" w:fill="FFFFFF" w:themeFill="background1"/>
          </w:tcPr>
          <w:p w14:paraId="660B729B" w14:textId="77777777" w:rsidR="00E54EFE" w:rsidRPr="00447CFB" w:rsidRDefault="00E54EFE" w:rsidP="0078430D">
            <w:pPr>
              <w:rPr>
                <w:rFonts w:ascii="Arial" w:hAnsi="Arial" w:cs="Arial"/>
                <w:sz w:val="20"/>
              </w:rPr>
            </w:pPr>
          </w:p>
        </w:tc>
        <w:tc>
          <w:tcPr>
            <w:tcW w:w="3089" w:type="dxa"/>
          </w:tcPr>
          <w:p w14:paraId="6038948D" w14:textId="77777777" w:rsidR="00E54EFE" w:rsidRDefault="00E54EFE" w:rsidP="00EB358A">
            <w:pPr>
              <w:pStyle w:val="ListBullet"/>
            </w:pPr>
            <w:r>
              <w:t>Sponsor’s comments:</w:t>
            </w:r>
          </w:p>
        </w:tc>
        <w:tc>
          <w:tcPr>
            <w:tcW w:w="5245" w:type="dxa"/>
          </w:tcPr>
          <w:p w14:paraId="75A7C2CE" w14:textId="28387F6C" w:rsidR="00E54EFE" w:rsidRPr="00DF7278" w:rsidRDefault="00C015D9" w:rsidP="0078430D">
            <w:pPr>
              <w:jc w:val="both"/>
              <w:rPr>
                <w:rFonts w:ascii="Arial" w:hAnsi="Arial" w:cs="Arial"/>
                <w:sz w:val="20"/>
                <w:highlight w:val="yellow"/>
              </w:rPr>
            </w:pPr>
            <w:r w:rsidRPr="00C015D9">
              <w:rPr>
                <w:rFonts w:ascii="Arial" w:hAnsi="Arial" w:cs="Arial"/>
                <w:sz w:val="20"/>
              </w:rPr>
              <w:t>The sponsor had no comment.</w:t>
            </w:r>
          </w:p>
        </w:tc>
      </w:tr>
      <w:tr w:rsidR="007544D3" w:rsidRPr="00447CFB" w14:paraId="5BF4CB38" w14:textId="77777777" w:rsidTr="0052700A">
        <w:trPr>
          <w:trHeight w:val="644"/>
        </w:trPr>
        <w:tc>
          <w:tcPr>
            <w:tcW w:w="2127" w:type="dxa"/>
            <w:vMerge w:val="restart"/>
          </w:tcPr>
          <w:p w14:paraId="75490EF7" w14:textId="77777777" w:rsidR="007544D3" w:rsidRPr="00E54EFE" w:rsidRDefault="007544D3" w:rsidP="00E54EFE">
            <w:pPr>
              <w:rPr>
                <w:rFonts w:ascii="Arial" w:hAnsi="Arial" w:cs="Arial"/>
                <w:sz w:val="20"/>
              </w:rPr>
            </w:pPr>
            <w:r w:rsidRPr="00E54EFE">
              <w:rPr>
                <w:rFonts w:ascii="Arial" w:hAnsi="Arial" w:cs="Arial"/>
                <w:sz w:val="20"/>
              </w:rPr>
              <w:lastRenderedPageBreak/>
              <w:t>PERTUZUMAB</w:t>
            </w:r>
          </w:p>
          <w:p w14:paraId="0ED0210E" w14:textId="77777777" w:rsidR="007544D3" w:rsidRPr="00E54EFE" w:rsidRDefault="007544D3" w:rsidP="00E54EFE">
            <w:pPr>
              <w:rPr>
                <w:rFonts w:ascii="Arial" w:hAnsi="Arial" w:cs="Arial"/>
                <w:sz w:val="20"/>
              </w:rPr>
            </w:pPr>
          </w:p>
          <w:p w14:paraId="6190CB5C" w14:textId="77777777" w:rsidR="007544D3" w:rsidRPr="00E54EFE" w:rsidRDefault="007544D3" w:rsidP="00E54EFE">
            <w:pPr>
              <w:rPr>
                <w:rFonts w:ascii="Arial" w:hAnsi="Arial" w:cs="Arial"/>
                <w:sz w:val="20"/>
              </w:rPr>
            </w:pPr>
            <w:r w:rsidRPr="00E54EFE">
              <w:rPr>
                <w:rFonts w:ascii="Arial" w:hAnsi="Arial" w:cs="Arial"/>
                <w:sz w:val="20"/>
              </w:rPr>
              <w:t>Solution for I.V. infusion 420 mg in 14 mL</w:t>
            </w:r>
          </w:p>
          <w:p w14:paraId="0AD667E2" w14:textId="77777777" w:rsidR="007544D3" w:rsidRPr="00E54EFE" w:rsidRDefault="007544D3" w:rsidP="00E54EFE">
            <w:pPr>
              <w:rPr>
                <w:rFonts w:ascii="Arial" w:hAnsi="Arial" w:cs="Arial"/>
                <w:sz w:val="20"/>
              </w:rPr>
            </w:pPr>
          </w:p>
          <w:p w14:paraId="5E5C0C50" w14:textId="77777777" w:rsidR="007544D3" w:rsidRPr="00E54EFE" w:rsidRDefault="007544D3" w:rsidP="00E54EFE">
            <w:pPr>
              <w:rPr>
                <w:rFonts w:ascii="Arial" w:hAnsi="Arial" w:cs="Arial"/>
                <w:sz w:val="20"/>
              </w:rPr>
            </w:pPr>
            <w:r w:rsidRPr="00E54EFE">
              <w:rPr>
                <w:rFonts w:ascii="Arial" w:hAnsi="Arial" w:cs="Arial"/>
                <w:sz w:val="20"/>
              </w:rPr>
              <w:t>Perjeta®</w:t>
            </w:r>
          </w:p>
          <w:p w14:paraId="0C513048" w14:textId="77777777" w:rsidR="007544D3" w:rsidRPr="00E54EFE" w:rsidRDefault="007544D3" w:rsidP="00E54EFE">
            <w:pPr>
              <w:rPr>
                <w:rFonts w:ascii="Arial" w:hAnsi="Arial" w:cs="Arial"/>
                <w:sz w:val="20"/>
              </w:rPr>
            </w:pPr>
          </w:p>
          <w:p w14:paraId="21B5FE1E" w14:textId="77777777" w:rsidR="007544D3" w:rsidRDefault="007544D3" w:rsidP="00E54EFE">
            <w:pPr>
              <w:rPr>
                <w:rFonts w:ascii="Arial" w:hAnsi="Arial" w:cs="Arial"/>
                <w:sz w:val="20"/>
              </w:rPr>
            </w:pPr>
            <w:r w:rsidRPr="00E54EFE">
              <w:rPr>
                <w:rFonts w:ascii="Arial" w:hAnsi="Arial" w:cs="Arial"/>
                <w:sz w:val="20"/>
              </w:rPr>
              <w:t>Roche Products Pty Ltd</w:t>
            </w:r>
          </w:p>
          <w:p w14:paraId="5DE29512" w14:textId="77777777" w:rsidR="009432B0" w:rsidRDefault="009432B0" w:rsidP="00E54EFE">
            <w:pPr>
              <w:rPr>
                <w:rFonts w:ascii="Arial" w:hAnsi="Arial" w:cs="Arial"/>
                <w:sz w:val="20"/>
              </w:rPr>
            </w:pPr>
          </w:p>
          <w:p w14:paraId="587DBB04" w14:textId="77777777" w:rsidR="009432B0" w:rsidRPr="009432B0" w:rsidRDefault="009432B0" w:rsidP="009432B0">
            <w:pPr>
              <w:rPr>
                <w:rFonts w:ascii="Arial" w:hAnsi="Arial" w:cs="Arial"/>
                <w:sz w:val="20"/>
              </w:rPr>
            </w:pPr>
            <w:r>
              <w:rPr>
                <w:rFonts w:ascii="Arial" w:hAnsi="Arial" w:cs="Arial"/>
                <w:sz w:val="20"/>
              </w:rPr>
              <w:t>Change to listing</w:t>
            </w:r>
          </w:p>
          <w:p w14:paraId="6A7C5C5F" w14:textId="77777777" w:rsidR="009432B0" w:rsidRPr="00447CFB" w:rsidRDefault="009432B0" w:rsidP="009432B0">
            <w:pPr>
              <w:rPr>
                <w:rFonts w:ascii="Arial" w:hAnsi="Arial" w:cs="Arial"/>
                <w:sz w:val="20"/>
              </w:rPr>
            </w:pPr>
            <w:r w:rsidRPr="009432B0">
              <w:rPr>
                <w:rFonts w:ascii="Arial" w:hAnsi="Arial" w:cs="Arial"/>
                <w:sz w:val="20"/>
              </w:rPr>
              <w:t>(Major Submission)</w:t>
            </w:r>
          </w:p>
        </w:tc>
        <w:tc>
          <w:tcPr>
            <w:tcW w:w="2268" w:type="dxa"/>
            <w:vMerge w:val="restart"/>
          </w:tcPr>
          <w:p w14:paraId="3FF09323" w14:textId="77777777" w:rsidR="007544D3" w:rsidRDefault="0059387E" w:rsidP="0078430D">
            <w:pPr>
              <w:rPr>
                <w:rFonts w:ascii="Arial" w:hAnsi="Arial" w:cs="Arial"/>
                <w:sz w:val="20"/>
              </w:rPr>
            </w:pPr>
            <w:r w:rsidRPr="00E54EFE">
              <w:rPr>
                <w:rFonts w:ascii="Arial" w:hAnsi="Arial" w:cs="Arial"/>
                <w:sz w:val="20"/>
              </w:rPr>
              <w:t>PERTUZUMAB</w:t>
            </w:r>
            <w:r>
              <w:rPr>
                <w:rFonts w:ascii="Arial" w:hAnsi="Arial" w:cs="Arial"/>
                <w:sz w:val="20"/>
              </w:rPr>
              <w:t xml:space="preserve"> is indicated for:</w:t>
            </w:r>
          </w:p>
          <w:p w14:paraId="0B496B67" w14:textId="3B739770" w:rsidR="00A659C7" w:rsidRDefault="0059387E" w:rsidP="00D670A5">
            <w:pPr>
              <w:pStyle w:val="ListParagraph"/>
              <w:widowControl w:val="0"/>
              <w:numPr>
                <w:ilvl w:val="0"/>
                <w:numId w:val="24"/>
              </w:numPr>
              <w:spacing w:after="160"/>
              <w:ind w:left="211" w:hanging="211"/>
              <w:contextualSpacing w:val="0"/>
              <w:rPr>
                <w:rFonts w:ascii="Arial" w:hAnsi="Arial" w:cs="Arial"/>
                <w:sz w:val="20"/>
              </w:rPr>
            </w:pPr>
            <w:r w:rsidRPr="00A659C7">
              <w:rPr>
                <w:rFonts w:ascii="Arial" w:hAnsi="Arial" w:cs="Arial"/>
                <w:sz w:val="20"/>
              </w:rPr>
              <w:t>Early Breast Cancer</w:t>
            </w:r>
            <w:r w:rsidR="00A659C7" w:rsidRPr="00A659C7">
              <w:rPr>
                <w:rFonts w:ascii="Arial" w:hAnsi="Arial" w:cs="Arial"/>
                <w:sz w:val="20"/>
              </w:rPr>
              <w:t xml:space="preserve">: </w:t>
            </w:r>
            <w:r w:rsidRPr="00A659C7">
              <w:rPr>
                <w:rFonts w:ascii="Arial" w:hAnsi="Arial" w:cs="Arial"/>
                <w:sz w:val="20"/>
              </w:rPr>
              <w:t xml:space="preserve">Perjeta is indicated in combination with trastuzumab and chemotherapy for: the neoadjuvant treatment of patients with </w:t>
            </w:r>
            <w:r w:rsidR="00D670A5" w:rsidRPr="00D670A5">
              <w:rPr>
                <w:rFonts w:ascii="Arial" w:hAnsi="Arial" w:cs="Arial"/>
                <w:sz w:val="20"/>
              </w:rPr>
              <w:t xml:space="preserve">human epidermal growth factor receptor-2 </w:t>
            </w:r>
            <w:r w:rsidR="00D670A5">
              <w:rPr>
                <w:rFonts w:ascii="Arial" w:hAnsi="Arial" w:cs="Arial"/>
                <w:sz w:val="20"/>
              </w:rPr>
              <w:t>positive (</w:t>
            </w:r>
            <w:r w:rsidRPr="00A659C7">
              <w:rPr>
                <w:rFonts w:ascii="Arial" w:hAnsi="Arial" w:cs="Arial"/>
                <w:sz w:val="20"/>
              </w:rPr>
              <w:t>HER2</w:t>
            </w:r>
            <w:r w:rsidR="00D670A5">
              <w:rPr>
                <w:rFonts w:ascii="Arial" w:hAnsi="Arial" w:cs="Arial"/>
                <w:sz w:val="20"/>
              </w:rPr>
              <w:t>+</w:t>
            </w:r>
            <w:proofErr w:type="gramStart"/>
            <w:r w:rsidR="00D670A5">
              <w:rPr>
                <w:rFonts w:ascii="Arial" w:hAnsi="Arial" w:cs="Arial"/>
                <w:sz w:val="20"/>
              </w:rPr>
              <w:t xml:space="preserve">) </w:t>
            </w:r>
            <w:r w:rsidRPr="00A659C7">
              <w:rPr>
                <w:rFonts w:ascii="Arial" w:hAnsi="Arial" w:cs="Arial"/>
                <w:sz w:val="20"/>
              </w:rPr>
              <w:t xml:space="preserve"> inflammatory</w:t>
            </w:r>
            <w:proofErr w:type="gramEnd"/>
            <w:r w:rsidR="00A659C7" w:rsidRPr="00A659C7">
              <w:rPr>
                <w:rFonts w:ascii="Arial" w:hAnsi="Arial" w:cs="Arial"/>
                <w:sz w:val="20"/>
              </w:rPr>
              <w:t>;</w:t>
            </w:r>
            <w:r w:rsidRPr="00A659C7">
              <w:rPr>
                <w:rFonts w:ascii="Arial" w:hAnsi="Arial" w:cs="Arial"/>
                <w:sz w:val="20"/>
              </w:rPr>
              <w:t xml:space="preserve"> or</w:t>
            </w:r>
            <w:r w:rsidR="00A659C7" w:rsidRPr="00A659C7">
              <w:rPr>
                <w:rFonts w:ascii="Arial" w:hAnsi="Arial" w:cs="Arial"/>
                <w:sz w:val="20"/>
              </w:rPr>
              <w:t xml:space="preserve"> </w:t>
            </w:r>
            <w:r w:rsidRPr="00A659C7">
              <w:rPr>
                <w:rFonts w:ascii="Arial" w:hAnsi="Arial" w:cs="Arial"/>
                <w:sz w:val="20"/>
              </w:rPr>
              <w:t xml:space="preserve">locally advanced, or early stage (either &gt; 2 cm in diameter or node positive) breast cancer as part of a complete </w:t>
            </w:r>
            <w:r w:rsidRPr="00A659C7">
              <w:rPr>
                <w:rFonts w:ascii="Arial" w:hAnsi="Arial" w:cs="Arial"/>
                <w:sz w:val="20"/>
              </w:rPr>
              <w:lastRenderedPageBreak/>
              <w:t>treatment regimen for early breast</w:t>
            </w:r>
            <w:r w:rsidR="00A659C7" w:rsidRPr="00A659C7">
              <w:rPr>
                <w:rFonts w:ascii="Arial" w:hAnsi="Arial" w:cs="Arial"/>
                <w:sz w:val="20"/>
              </w:rPr>
              <w:t xml:space="preserve"> cancer; </w:t>
            </w:r>
            <w:r w:rsidRPr="00A659C7">
              <w:rPr>
                <w:rFonts w:ascii="Arial" w:hAnsi="Arial" w:cs="Arial"/>
                <w:sz w:val="20"/>
              </w:rPr>
              <w:t>the adjuvant treatment of patients with HER2</w:t>
            </w:r>
            <w:r w:rsidR="00D670A5">
              <w:rPr>
                <w:rFonts w:ascii="Arial" w:hAnsi="Arial" w:cs="Arial"/>
                <w:sz w:val="20"/>
              </w:rPr>
              <w:t>+</w:t>
            </w:r>
            <w:r w:rsidRPr="00A659C7">
              <w:rPr>
                <w:rFonts w:ascii="Arial" w:hAnsi="Arial" w:cs="Arial"/>
                <w:sz w:val="20"/>
              </w:rPr>
              <w:t xml:space="preserve"> early breast cancer at high risk of recurrence.</w:t>
            </w:r>
          </w:p>
          <w:p w14:paraId="1AA9FF0D" w14:textId="6E49F1CE" w:rsidR="0059387E" w:rsidRPr="00447CFB" w:rsidRDefault="0059387E" w:rsidP="00A729E5">
            <w:pPr>
              <w:pStyle w:val="ListParagraph"/>
              <w:widowControl w:val="0"/>
              <w:numPr>
                <w:ilvl w:val="0"/>
                <w:numId w:val="24"/>
              </w:numPr>
              <w:spacing w:after="160"/>
              <w:ind w:left="211" w:hanging="211"/>
              <w:contextualSpacing w:val="0"/>
              <w:rPr>
                <w:rFonts w:ascii="Arial" w:hAnsi="Arial" w:cs="Arial"/>
                <w:sz w:val="20"/>
              </w:rPr>
            </w:pPr>
            <w:r w:rsidRPr="00A659C7">
              <w:rPr>
                <w:rFonts w:ascii="Arial" w:hAnsi="Arial" w:cs="Arial"/>
                <w:sz w:val="20"/>
              </w:rPr>
              <w:t>Metastatic Breast Cancer</w:t>
            </w:r>
            <w:r w:rsidR="00A659C7">
              <w:rPr>
                <w:rFonts w:ascii="Arial" w:hAnsi="Arial" w:cs="Arial"/>
                <w:sz w:val="20"/>
              </w:rPr>
              <w:t xml:space="preserve">: </w:t>
            </w:r>
            <w:r w:rsidRPr="0059387E">
              <w:rPr>
                <w:rFonts w:ascii="Arial" w:hAnsi="Arial" w:cs="Arial"/>
                <w:sz w:val="20"/>
              </w:rPr>
              <w:t>Perjeta is</w:t>
            </w:r>
            <w:r>
              <w:rPr>
                <w:rFonts w:ascii="Arial" w:hAnsi="Arial" w:cs="Arial"/>
                <w:sz w:val="20"/>
              </w:rPr>
              <w:t xml:space="preserve"> </w:t>
            </w:r>
            <w:r w:rsidRPr="0059387E">
              <w:rPr>
                <w:rFonts w:ascii="Arial" w:hAnsi="Arial" w:cs="Arial"/>
                <w:sz w:val="20"/>
              </w:rPr>
              <w:t>indicated in combination with trastuzumab and docetaxel for patients with metastatic HER2</w:t>
            </w:r>
            <w:r w:rsidR="00D670A5">
              <w:rPr>
                <w:rFonts w:ascii="Arial" w:hAnsi="Arial" w:cs="Arial"/>
                <w:sz w:val="20"/>
              </w:rPr>
              <w:t>+</w:t>
            </w:r>
            <w:r w:rsidRPr="0059387E">
              <w:rPr>
                <w:rFonts w:ascii="Arial" w:hAnsi="Arial" w:cs="Arial"/>
                <w:sz w:val="20"/>
              </w:rPr>
              <w:t xml:space="preserve"> breast cancer who have not received prior anti-HER2</w:t>
            </w:r>
            <w:r>
              <w:rPr>
                <w:rFonts w:ascii="Arial" w:hAnsi="Arial" w:cs="Arial"/>
                <w:sz w:val="20"/>
              </w:rPr>
              <w:t xml:space="preserve"> therapy or </w:t>
            </w:r>
            <w:r w:rsidRPr="0059387E">
              <w:rPr>
                <w:rFonts w:ascii="Arial" w:hAnsi="Arial" w:cs="Arial"/>
                <w:sz w:val="20"/>
              </w:rPr>
              <w:t>chemotherapy for their metastatic disease.</w:t>
            </w:r>
          </w:p>
        </w:tc>
        <w:tc>
          <w:tcPr>
            <w:tcW w:w="2155" w:type="dxa"/>
            <w:vMerge w:val="restart"/>
            <w:shd w:val="clear" w:color="auto" w:fill="FFFFFF" w:themeFill="background1"/>
          </w:tcPr>
          <w:p w14:paraId="06AA44C8" w14:textId="77777777" w:rsidR="00B36AD3" w:rsidRDefault="00702F6F" w:rsidP="0078430D">
            <w:pPr>
              <w:rPr>
                <w:rFonts w:ascii="Arial" w:hAnsi="Arial"/>
                <w:sz w:val="20"/>
              </w:rPr>
            </w:pPr>
            <w:r w:rsidRPr="00E54EFE">
              <w:rPr>
                <w:rFonts w:ascii="Arial" w:hAnsi="Arial" w:cs="Arial"/>
                <w:sz w:val="20"/>
              </w:rPr>
              <w:lastRenderedPageBreak/>
              <w:t>PERTUZUMAB</w:t>
            </w:r>
            <w:r>
              <w:rPr>
                <w:rFonts w:ascii="Arial" w:hAnsi="Arial" w:cs="Arial"/>
                <w:sz w:val="20"/>
              </w:rPr>
              <w:t xml:space="preserve"> is </w:t>
            </w:r>
            <w:r w:rsidRPr="00795225">
              <w:rPr>
                <w:rFonts w:ascii="Arial" w:hAnsi="Arial"/>
                <w:sz w:val="20"/>
              </w:rPr>
              <w:t>currently PBS listed for</w:t>
            </w:r>
            <w:r>
              <w:rPr>
                <w:rFonts w:ascii="Arial" w:hAnsi="Arial"/>
                <w:sz w:val="20"/>
              </w:rPr>
              <w:t xml:space="preserve">: </w:t>
            </w:r>
          </w:p>
          <w:p w14:paraId="4D1D62D4" w14:textId="4B1E01A3" w:rsidR="007544D3" w:rsidRDefault="00B36AD3" w:rsidP="00B36AD3">
            <w:pPr>
              <w:pStyle w:val="ListParagraph"/>
              <w:widowControl w:val="0"/>
              <w:numPr>
                <w:ilvl w:val="0"/>
                <w:numId w:val="24"/>
              </w:numPr>
              <w:spacing w:after="160"/>
              <w:ind w:left="284" w:hanging="284"/>
              <w:contextualSpacing w:val="0"/>
              <w:rPr>
                <w:rFonts w:ascii="Arial" w:hAnsi="Arial" w:cs="Arial"/>
                <w:sz w:val="20"/>
              </w:rPr>
            </w:pPr>
            <w:r w:rsidRPr="00B36AD3">
              <w:rPr>
                <w:rFonts w:ascii="Arial" w:hAnsi="Arial" w:cs="Arial"/>
                <w:sz w:val="20"/>
              </w:rPr>
              <w:t>Metastatic (Stage IV) HER2</w:t>
            </w:r>
            <w:r w:rsidR="00D670A5">
              <w:rPr>
                <w:rFonts w:ascii="Arial" w:hAnsi="Arial" w:cs="Arial"/>
                <w:sz w:val="20"/>
              </w:rPr>
              <w:t>+</w:t>
            </w:r>
            <w:r w:rsidRPr="00B36AD3">
              <w:rPr>
                <w:rFonts w:ascii="Arial" w:hAnsi="Arial" w:cs="Arial"/>
                <w:sz w:val="20"/>
              </w:rPr>
              <w:t xml:space="preserve"> breast cancer</w:t>
            </w:r>
            <w:r w:rsidR="00702F6F">
              <w:rPr>
                <w:rFonts w:ascii="Arial" w:hAnsi="Arial" w:cs="Arial"/>
                <w:sz w:val="20"/>
              </w:rPr>
              <w:t xml:space="preserve"> </w:t>
            </w:r>
          </w:p>
          <w:p w14:paraId="7B65455D" w14:textId="0C9C54DC" w:rsidR="00B36AD3" w:rsidRPr="00B36AD3" w:rsidRDefault="00B36AD3" w:rsidP="00D670A5">
            <w:pPr>
              <w:pStyle w:val="ListParagraph"/>
              <w:widowControl w:val="0"/>
              <w:numPr>
                <w:ilvl w:val="0"/>
                <w:numId w:val="24"/>
              </w:numPr>
              <w:spacing w:after="160"/>
              <w:ind w:left="284" w:hanging="284"/>
              <w:contextualSpacing w:val="0"/>
              <w:rPr>
                <w:rFonts w:ascii="Arial" w:hAnsi="Arial" w:cs="Arial"/>
                <w:sz w:val="20"/>
              </w:rPr>
            </w:pPr>
            <w:r w:rsidRPr="00B36AD3">
              <w:rPr>
                <w:rFonts w:ascii="Arial" w:hAnsi="Arial" w:cs="Arial"/>
                <w:sz w:val="20"/>
              </w:rPr>
              <w:t>HER2</w:t>
            </w:r>
            <w:r w:rsidR="00D670A5">
              <w:rPr>
                <w:rFonts w:ascii="Arial" w:hAnsi="Arial" w:cs="Arial"/>
                <w:sz w:val="20"/>
              </w:rPr>
              <w:t>+</w:t>
            </w:r>
            <w:r w:rsidRPr="00B36AD3">
              <w:rPr>
                <w:rFonts w:ascii="Arial" w:hAnsi="Arial" w:cs="Arial"/>
                <w:sz w:val="20"/>
              </w:rPr>
              <w:t>breast cancer</w:t>
            </w:r>
          </w:p>
        </w:tc>
        <w:tc>
          <w:tcPr>
            <w:tcW w:w="3089" w:type="dxa"/>
          </w:tcPr>
          <w:p w14:paraId="772305A1" w14:textId="7BD647AA" w:rsidR="007544D3" w:rsidRDefault="007544D3" w:rsidP="00D670A5">
            <w:pPr>
              <w:pStyle w:val="ListBullet"/>
            </w:pPr>
            <w:r w:rsidRPr="00E54EFE">
              <w:t xml:space="preserve">Resubmission to request a Section 100 (Efficient Funding of Chemotherapy) Authority </w:t>
            </w:r>
            <w:proofErr w:type="gramStart"/>
            <w:r w:rsidRPr="00E54EFE">
              <w:t>Required</w:t>
            </w:r>
            <w:proofErr w:type="gramEnd"/>
            <w:r w:rsidRPr="00E54EFE">
              <w:t xml:space="preserve"> listing in combination with trastuzumab and chemotherapy, for the adjuvant treatment of HER2+ lymph node positive e</w:t>
            </w:r>
            <w:r w:rsidR="00D670A5">
              <w:t>arly breast cancer (eBC)</w:t>
            </w:r>
            <w:r w:rsidRPr="00E54EFE">
              <w:t>.</w:t>
            </w:r>
          </w:p>
        </w:tc>
        <w:tc>
          <w:tcPr>
            <w:tcW w:w="5245" w:type="dxa"/>
          </w:tcPr>
          <w:p w14:paraId="159BF3A4" w14:textId="3A5F88FB" w:rsidR="007544D3" w:rsidRDefault="007544D3" w:rsidP="00E54EFE">
            <w:pPr>
              <w:jc w:val="both"/>
              <w:rPr>
                <w:rFonts w:ascii="Arial" w:hAnsi="Arial" w:cs="Arial"/>
                <w:sz w:val="20"/>
              </w:rPr>
            </w:pPr>
            <w:r w:rsidRPr="00E54EFE">
              <w:rPr>
                <w:rFonts w:ascii="Arial" w:hAnsi="Arial" w:cs="Arial"/>
                <w:sz w:val="20"/>
              </w:rPr>
              <w:t>The PBAC did not recommend the Section 100 (Efficient Funding of Chemotherapy), Authority Required listing of pertuzumab in combination with trastuzumab and chemotherapy for the adjuvant treatment of HER2</w:t>
            </w:r>
            <w:r w:rsidR="00255D6E">
              <w:rPr>
                <w:rFonts w:ascii="Arial" w:hAnsi="Arial" w:cs="Arial"/>
                <w:sz w:val="20"/>
              </w:rPr>
              <w:t>+</w:t>
            </w:r>
            <w:r w:rsidRPr="00E54EFE">
              <w:rPr>
                <w:rFonts w:ascii="Arial" w:hAnsi="Arial" w:cs="Arial"/>
                <w:sz w:val="20"/>
              </w:rPr>
              <w:t xml:space="preserve">, lymph node positive, eBC. </w:t>
            </w:r>
          </w:p>
          <w:p w14:paraId="1ADEA1B0" w14:textId="77777777" w:rsidR="007544D3" w:rsidRDefault="007544D3" w:rsidP="00E54EFE">
            <w:pPr>
              <w:jc w:val="both"/>
              <w:rPr>
                <w:rFonts w:ascii="Arial" w:hAnsi="Arial" w:cs="Arial"/>
                <w:sz w:val="20"/>
              </w:rPr>
            </w:pPr>
          </w:p>
          <w:p w14:paraId="3F80B4A7" w14:textId="77777777" w:rsidR="007544D3" w:rsidRDefault="007544D3" w:rsidP="00E54EFE">
            <w:pPr>
              <w:jc w:val="both"/>
              <w:rPr>
                <w:rFonts w:ascii="Arial" w:hAnsi="Arial" w:cs="Arial"/>
                <w:sz w:val="20"/>
              </w:rPr>
            </w:pPr>
            <w:r w:rsidRPr="00E54EFE">
              <w:rPr>
                <w:rFonts w:ascii="Arial" w:hAnsi="Arial" w:cs="Arial"/>
                <w:sz w:val="20"/>
              </w:rPr>
              <w:t xml:space="preserve">The PBAC considered that the clinical place for pertuzumab </w:t>
            </w:r>
            <w:r w:rsidR="000C1D6F" w:rsidRPr="000C1D6F">
              <w:rPr>
                <w:rFonts w:ascii="Arial" w:hAnsi="Arial" w:cs="Arial"/>
                <w:sz w:val="20"/>
              </w:rPr>
              <w:t xml:space="preserve">in the adjuvant setting </w:t>
            </w:r>
            <w:r w:rsidRPr="00E54EFE">
              <w:rPr>
                <w:rFonts w:ascii="Arial" w:hAnsi="Arial" w:cs="Arial"/>
                <w:sz w:val="20"/>
              </w:rPr>
              <w:t>is unclear given the shift towards treating high-risk patients in the neoadjuvant setting and the lack of data for adjuvant pertuzumab following neoadjuvant treatment. The PBAC’s concerns remained regarding the small benefit with the addition of pertuzumab in terms of invasive disease free survival (with overall survival data pending), balanced against the increased risk of adverse events and the impact of additional treatment infusions on both patients and the health care system.</w:t>
            </w:r>
          </w:p>
          <w:p w14:paraId="69ED9EDF" w14:textId="63F81669" w:rsidR="0052700A" w:rsidRPr="00DF7278" w:rsidRDefault="0052700A" w:rsidP="00E54EFE">
            <w:pPr>
              <w:jc w:val="both"/>
              <w:rPr>
                <w:rFonts w:ascii="Arial" w:hAnsi="Arial" w:cs="Arial"/>
                <w:sz w:val="20"/>
                <w:highlight w:val="yellow"/>
              </w:rPr>
            </w:pPr>
          </w:p>
        </w:tc>
      </w:tr>
      <w:tr w:rsidR="007544D3" w:rsidRPr="00447CFB" w14:paraId="1FCF1A43" w14:textId="77777777" w:rsidTr="0052700A">
        <w:trPr>
          <w:trHeight w:val="817"/>
        </w:trPr>
        <w:tc>
          <w:tcPr>
            <w:tcW w:w="2127" w:type="dxa"/>
            <w:vMerge/>
          </w:tcPr>
          <w:p w14:paraId="592506FF" w14:textId="77777777" w:rsidR="007544D3" w:rsidRPr="00E54EFE" w:rsidRDefault="007544D3" w:rsidP="00E54EFE">
            <w:pPr>
              <w:rPr>
                <w:rFonts w:ascii="Arial" w:hAnsi="Arial" w:cs="Arial"/>
                <w:sz w:val="20"/>
              </w:rPr>
            </w:pPr>
          </w:p>
        </w:tc>
        <w:tc>
          <w:tcPr>
            <w:tcW w:w="2268" w:type="dxa"/>
            <w:vMerge/>
          </w:tcPr>
          <w:p w14:paraId="7C8A54CD" w14:textId="77777777" w:rsidR="007544D3" w:rsidRPr="00447CFB" w:rsidRDefault="007544D3" w:rsidP="0078430D">
            <w:pPr>
              <w:rPr>
                <w:rFonts w:ascii="Arial" w:hAnsi="Arial" w:cs="Arial"/>
                <w:sz w:val="20"/>
              </w:rPr>
            </w:pPr>
          </w:p>
        </w:tc>
        <w:tc>
          <w:tcPr>
            <w:tcW w:w="2155" w:type="dxa"/>
            <w:vMerge/>
            <w:shd w:val="clear" w:color="auto" w:fill="FFFFFF" w:themeFill="background1"/>
          </w:tcPr>
          <w:p w14:paraId="61E43974" w14:textId="77777777" w:rsidR="007544D3" w:rsidRPr="00447CFB" w:rsidRDefault="007544D3" w:rsidP="0078430D">
            <w:pPr>
              <w:rPr>
                <w:rFonts w:ascii="Arial" w:hAnsi="Arial" w:cs="Arial"/>
                <w:sz w:val="20"/>
              </w:rPr>
            </w:pPr>
          </w:p>
        </w:tc>
        <w:tc>
          <w:tcPr>
            <w:tcW w:w="3089" w:type="dxa"/>
          </w:tcPr>
          <w:p w14:paraId="0B7CF016" w14:textId="77777777" w:rsidR="007544D3" w:rsidRPr="00E54EFE" w:rsidRDefault="007544D3" w:rsidP="00EB358A">
            <w:pPr>
              <w:pStyle w:val="ListBullet"/>
            </w:pPr>
            <w:r>
              <w:t xml:space="preserve">Comparator: </w:t>
            </w:r>
            <w:r w:rsidRPr="007544D3">
              <w:t>trastuzumab in combination with chemotherapy (T+Chemo)</w:t>
            </w:r>
          </w:p>
        </w:tc>
        <w:tc>
          <w:tcPr>
            <w:tcW w:w="5245" w:type="dxa"/>
          </w:tcPr>
          <w:p w14:paraId="3F18F29B" w14:textId="30405E9E" w:rsidR="007544D3" w:rsidRPr="0052700A" w:rsidRDefault="007544D3" w:rsidP="0052700A">
            <w:pPr>
              <w:jc w:val="both"/>
              <w:rPr>
                <w:rFonts w:ascii="Arial" w:hAnsi="Arial" w:cs="Arial"/>
                <w:sz w:val="20"/>
              </w:rPr>
            </w:pPr>
            <w:r w:rsidRPr="007544D3">
              <w:rPr>
                <w:rFonts w:ascii="Arial" w:hAnsi="Arial" w:cs="Arial"/>
                <w:sz w:val="20"/>
              </w:rPr>
              <w:t>The PBAC previously accepted that the comparator was T+Chemo.</w:t>
            </w:r>
          </w:p>
        </w:tc>
      </w:tr>
      <w:tr w:rsidR="007544D3" w:rsidRPr="00447CFB" w14:paraId="2247FEED" w14:textId="77777777" w:rsidTr="00CA2D5B">
        <w:trPr>
          <w:trHeight w:val="2221"/>
        </w:trPr>
        <w:tc>
          <w:tcPr>
            <w:tcW w:w="2127" w:type="dxa"/>
            <w:vMerge/>
          </w:tcPr>
          <w:p w14:paraId="672F4611" w14:textId="77777777" w:rsidR="007544D3" w:rsidRPr="00E54EFE" w:rsidRDefault="007544D3" w:rsidP="00E54EFE">
            <w:pPr>
              <w:rPr>
                <w:rFonts w:ascii="Arial" w:hAnsi="Arial" w:cs="Arial"/>
                <w:sz w:val="20"/>
              </w:rPr>
            </w:pPr>
          </w:p>
        </w:tc>
        <w:tc>
          <w:tcPr>
            <w:tcW w:w="2268" w:type="dxa"/>
            <w:vMerge/>
          </w:tcPr>
          <w:p w14:paraId="1B9FF031" w14:textId="77777777" w:rsidR="007544D3" w:rsidRPr="00447CFB" w:rsidRDefault="007544D3" w:rsidP="0078430D">
            <w:pPr>
              <w:rPr>
                <w:rFonts w:ascii="Arial" w:hAnsi="Arial" w:cs="Arial"/>
                <w:sz w:val="20"/>
              </w:rPr>
            </w:pPr>
          </w:p>
        </w:tc>
        <w:tc>
          <w:tcPr>
            <w:tcW w:w="2155" w:type="dxa"/>
            <w:vMerge/>
            <w:shd w:val="clear" w:color="auto" w:fill="FFFFFF" w:themeFill="background1"/>
          </w:tcPr>
          <w:p w14:paraId="61CE3E7F" w14:textId="77777777" w:rsidR="007544D3" w:rsidRPr="00447CFB" w:rsidRDefault="007544D3" w:rsidP="0078430D">
            <w:pPr>
              <w:rPr>
                <w:rFonts w:ascii="Arial" w:hAnsi="Arial" w:cs="Arial"/>
                <w:sz w:val="20"/>
              </w:rPr>
            </w:pPr>
          </w:p>
        </w:tc>
        <w:tc>
          <w:tcPr>
            <w:tcW w:w="3089" w:type="dxa"/>
          </w:tcPr>
          <w:p w14:paraId="40407EE7" w14:textId="7CB05ED1" w:rsidR="007544D3" w:rsidRPr="00E54EFE" w:rsidRDefault="007544D3" w:rsidP="00EB19EB">
            <w:pPr>
              <w:pStyle w:val="ListBullet"/>
            </w:pPr>
            <w:r>
              <w:t xml:space="preserve">Clinical claim: </w:t>
            </w:r>
            <w:r w:rsidR="005D34BB">
              <w:t>s</w:t>
            </w:r>
            <w:r w:rsidRPr="007544D3">
              <w:t xml:space="preserve">uperior comparative effectiveness and inferior comparative safety compared </w:t>
            </w:r>
            <w:r w:rsidR="00EB19EB">
              <w:t>with</w:t>
            </w:r>
            <w:r w:rsidR="00EB19EB" w:rsidRPr="007544D3">
              <w:t xml:space="preserve"> </w:t>
            </w:r>
            <w:r w:rsidRPr="007544D3">
              <w:t>T+Chemo.</w:t>
            </w:r>
          </w:p>
        </w:tc>
        <w:tc>
          <w:tcPr>
            <w:tcW w:w="5245" w:type="dxa"/>
          </w:tcPr>
          <w:p w14:paraId="05514BEC" w14:textId="6229B028" w:rsidR="007544D3" w:rsidRPr="007544D3" w:rsidRDefault="007544D3" w:rsidP="007544D3">
            <w:pPr>
              <w:jc w:val="both"/>
              <w:rPr>
                <w:rFonts w:ascii="Arial" w:hAnsi="Arial" w:cs="Arial"/>
                <w:sz w:val="20"/>
              </w:rPr>
            </w:pPr>
            <w:r w:rsidRPr="007544D3">
              <w:rPr>
                <w:rFonts w:ascii="Arial" w:hAnsi="Arial" w:cs="Arial"/>
                <w:sz w:val="20"/>
              </w:rPr>
              <w:t>The PBAC maintained its view that the claim of superior comparative effectiveness was reasonable in terms of the risk of recurrence but the magnitude of benefit was small.</w:t>
            </w:r>
          </w:p>
          <w:p w14:paraId="1ADA54B5" w14:textId="77777777" w:rsidR="007544D3" w:rsidRPr="007544D3" w:rsidRDefault="007544D3" w:rsidP="007544D3">
            <w:pPr>
              <w:jc w:val="both"/>
              <w:rPr>
                <w:rFonts w:ascii="Arial" w:hAnsi="Arial" w:cs="Arial"/>
                <w:sz w:val="20"/>
              </w:rPr>
            </w:pPr>
            <w:r w:rsidRPr="007544D3">
              <w:rPr>
                <w:rFonts w:ascii="Arial" w:hAnsi="Arial" w:cs="Arial"/>
                <w:sz w:val="20"/>
              </w:rPr>
              <w:t xml:space="preserve"> </w:t>
            </w:r>
          </w:p>
          <w:p w14:paraId="44F07188" w14:textId="77777777" w:rsidR="007544D3" w:rsidRPr="007544D3" w:rsidRDefault="007544D3" w:rsidP="007544D3">
            <w:pPr>
              <w:jc w:val="both"/>
              <w:rPr>
                <w:rFonts w:ascii="Arial" w:hAnsi="Arial" w:cs="Arial"/>
                <w:sz w:val="20"/>
              </w:rPr>
            </w:pPr>
            <w:r w:rsidRPr="007544D3">
              <w:rPr>
                <w:rFonts w:ascii="Arial" w:hAnsi="Arial" w:cs="Arial"/>
                <w:sz w:val="20"/>
              </w:rPr>
              <w:t xml:space="preserve">The claim of inferior safety was reasonable and was supported by the data. </w:t>
            </w:r>
          </w:p>
          <w:p w14:paraId="574036B6" w14:textId="77777777" w:rsidR="007544D3" w:rsidRPr="007544D3" w:rsidRDefault="007544D3" w:rsidP="007544D3">
            <w:pPr>
              <w:jc w:val="both"/>
              <w:rPr>
                <w:rFonts w:ascii="Arial" w:hAnsi="Arial" w:cs="Arial"/>
                <w:sz w:val="20"/>
              </w:rPr>
            </w:pPr>
          </w:p>
          <w:p w14:paraId="149A4EFD" w14:textId="77777777" w:rsidR="007544D3" w:rsidRDefault="007544D3" w:rsidP="007544D3">
            <w:pPr>
              <w:jc w:val="both"/>
              <w:rPr>
                <w:rFonts w:ascii="Arial" w:hAnsi="Arial" w:cs="Arial"/>
                <w:sz w:val="20"/>
              </w:rPr>
            </w:pPr>
            <w:r w:rsidRPr="007544D3">
              <w:rPr>
                <w:rFonts w:ascii="Arial" w:hAnsi="Arial" w:cs="Arial"/>
                <w:sz w:val="20"/>
              </w:rPr>
              <w:t>The PBAC maintained its view that despite the additional information presented in the resubmission, the same uncertainties remain as the benefit to harm ratio was essentially unchanged from the previous submission.</w:t>
            </w:r>
          </w:p>
          <w:p w14:paraId="557FC8D2" w14:textId="2D43943A" w:rsidR="0052700A" w:rsidRPr="00E54EFE" w:rsidRDefault="0052700A" w:rsidP="007544D3">
            <w:pPr>
              <w:jc w:val="both"/>
              <w:rPr>
                <w:rFonts w:ascii="Arial" w:hAnsi="Arial" w:cs="Arial"/>
                <w:sz w:val="20"/>
              </w:rPr>
            </w:pPr>
          </w:p>
        </w:tc>
      </w:tr>
      <w:tr w:rsidR="007544D3" w:rsidRPr="00447CFB" w14:paraId="44103E1C" w14:textId="77777777" w:rsidTr="00A729E5">
        <w:trPr>
          <w:trHeight w:val="630"/>
        </w:trPr>
        <w:tc>
          <w:tcPr>
            <w:tcW w:w="2127" w:type="dxa"/>
            <w:vMerge/>
          </w:tcPr>
          <w:p w14:paraId="3F0B8D62" w14:textId="77777777" w:rsidR="007544D3" w:rsidRPr="00E54EFE" w:rsidRDefault="007544D3" w:rsidP="00E54EFE">
            <w:pPr>
              <w:rPr>
                <w:rFonts w:ascii="Arial" w:hAnsi="Arial" w:cs="Arial"/>
                <w:sz w:val="20"/>
              </w:rPr>
            </w:pPr>
          </w:p>
        </w:tc>
        <w:tc>
          <w:tcPr>
            <w:tcW w:w="2268" w:type="dxa"/>
            <w:vMerge/>
          </w:tcPr>
          <w:p w14:paraId="393BC6CA" w14:textId="77777777" w:rsidR="007544D3" w:rsidRPr="00447CFB" w:rsidRDefault="007544D3" w:rsidP="0078430D">
            <w:pPr>
              <w:rPr>
                <w:rFonts w:ascii="Arial" w:hAnsi="Arial" w:cs="Arial"/>
                <w:sz w:val="20"/>
              </w:rPr>
            </w:pPr>
          </w:p>
        </w:tc>
        <w:tc>
          <w:tcPr>
            <w:tcW w:w="2155" w:type="dxa"/>
            <w:vMerge/>
            <w:shd w:val="clear" w:color="auto" w:fill="FFFFFF" w:themeFill="background1"/>
          </w:tcPr>
          <w:p w14:paraId="4545F339" w14:textId="77777777" w:rsidR="007544D3" w:rsidRPr="00447CFB" w:rsidRDefault="007544D3" w:rsidP="0078430D">
            <w:pPr>
              <w:rPr>
                <w:rFonts w:ascii="Arial" w:hAnsi="Arial" w:cs="Arial"/>
                <w:sz w:val="20"/>
              </w:rPr>
            </w:pPr>
          </w:p>
        </w:tc>
        <w:tc>
          <w:tcPr>
            <w:tcW w:w="3089" w:type="dxa"/>
          </w:tcPr>
          <w:p w14:paraId="2790A242" w14:textId="74D3E734" w:rsidR="007544D3" w:rsidRPr="00E54EFE" w:rsidRDefault="007544D3" w:rsidP="00EB19EB">
            <w:pPr>
              <w:pStyle w:val="ListBullet"/>
            </w:pPr>
            <w:r>
              <w:t xml:space="preserve">Economic claim: </w:t>
            </w:r>
            <w:r w:rsidR="005D34BB">
              <w:t>c</w:t>
            </w:r>
            <w:r w:rsidRPr="007544D3">
              <w:t xml:space="preserve">ost-utility basis compared </w:t>
            </w:r>
            <w:r w:rsidR="00EB19EB">
              <w:t>with</w:t>
            </w:r>
            <w:r w:rsidR="00EB19EB" w:rsidRPr="007544D3">
              <w:t xml:space="preserve"> </w:t>
            </w:r>
            <w:r w:rsidRPr="007544D3">
              <w:t>T+Chemo</w:t>
            </w:r>
          </w:p>
        </w:tc>
        <w:tc>
          <w:tcPr>
            <w:tcW w:w="5245" w:type="dxa"/>
          </w:tcPr>
          <w:p w14:paraId="72AD7B91" w14:textId="2C5BF720" w:rsidR="007544D3" w:rsidRPr="007544D3" w:rsidRDefault="007544D3" w:rsidP="007544D3">
            <w:pPr>
              <w:jc w:val="both"/>
              <w:rPr>
                <w:rFonts w:ascii="Arial" w:hAnsi="Arial" w:cs="Arial"/>
                <w:sz w:val="20"/>
              </w:rPr>
            </w:pPr>
            <w:r w:rsidRPr="007544D3">
              <w:rPr>
                <w:rFonts w:ascii="Arial" w:hAnsi="Arial" w:cs="Arial"/>
                <w:sz w:val="20"/>
              </w:rPr>
              <w:t xml:space="preserve">The PBAC considered that the </w:t>
            </w:r>
            <w:r w:rsidR="0046124D" w:rsidRPr="0078430D">
              <w:rPr>
                <w:rFonts w:ascii="Arial" w:hAnsi="Arial" w:cs="Arial"/>
                <w:sz w:val="20"/>
              </w:rPr>
              <w:t>incremental cost-effectiveness ratio</w:t>
            </w:r>
            <w:r w:rsidR="0046124D">
              <w:rPr>
                <w:rFonts w:ascii="Arial" w:hAnsi="Arial" w:cs="Arial"/>
                <w:sz w:val="20"/>
              </w:rPr>
              <w:t xml:space="preserve"> (</w:t>
            </w:r>
            <w:r w:rsidRPr="007544D3">
              <w:rPr>
                <w:rFonts w:ascii="Arial" w:hAnsi="Arial" w:cs="Arial"/>
                <w:sz w:val="20"/>
              </w:rPr>
              <w:t>ICER</w:t>
            </w:r>
            <w:r w:rsidR="0046124D">
              <w:rPr>
                <w:rFonts w:ascii="Arial" w:hAnsi="Arial" w:cs="Arial"/>
                <w:sz w:val="20"/>
              </w:rPr>
              <w:t>)</w:t>
            </w:r>
            <w:r w:rsidRPr="007544D3">
              <w:rPr>
                <w:rFonts w:ascii="Arial" w:hAnsi="Arial" w:cs="Arial"/>
                <w:sz w:val="20"/>
              </w:rPr>
              <w:t xml:space="preserve"> for pertuzumab remained uncertain because much of the assumed benefit in the model relied on extrapolation of outcomes and external data sources. </w:t>
            </w:r>
          </w:p>
          <w:p w14:paraId="046A4F5C" w14:textId="77777777" w:rsidR="007544D3" w:rsidRPr="007544D3" w:rsidRDefault="007544D3" w:rsidP="007544D3">
            <w:pPr>
              <w:jc w:val="both"/>
              <w:rPr>
                <w:rFonts w:ascii="Arial" w:hAnsi="Arial" w:cs="Arial"/>
                <w:sz w:val="20"/>
              </w:rPr>
            </w:pPr>
          </w:p>
          <w:p w14:paraId="06BF83E8" w14:textId="77777777" w:rsidR="007544D3" w:rsidRDefault="007544D3" w:rsidP="007544D3">
            <w:pPr>
              <w:jc w:val="both"/>
              <w:rPr>
                <w:rFonts w:ascii="Arial" w:hAnsi="Arial" w:cs="Arial"/>
                <w:sz w:val="20"/>
              </w:rPr>
            </w:pPr>
            <w:r w:rsidRPr="007544D3">
              <w:rPr>
                <w:rFonts w:ascii="Arial" w:hAnsi="Arial" w:cs="Arial"/>
                <w:sz w:val="20"/>
              </w:rPr>
              <w:t>The PBAC considered that the ICER for pertuzumab remained uncertain because much of the assumed benefit in the model relied on extrapolation of outcomes and external data sources, and the base case ICER was dependent on a reduction in the cost of trastuzumab. The PBAC’s concerns regarding the sponsor’s price proposal were secondary to its concerns about the extent of clinical benefit with pertuzumab and its clinical place in eBC therapy.</w:t>
            </w:r>
          </w:p>
          <w:p w14:paraId="7D731C43" w14:textId="0D74D8E2" w:rsidR="00E71426" w:rsidRPr="00E54EFE" w:rsidRDefault="00E71426" w:rsidP="007544D3">
            <w:pPr>
              <w:jc w:val="both"/>
              <w:rPr>
                <w:rFonts w:ascii="Arial" w:hAnsi="Arial" w:cs="Arial"/>
                <w:sz w:val="20"/>
              </w:rPr>
            </w:pPr>
          </w:p>
        </w:tc>
      </w:tr>
      <w:tr w:rsidR="007544D3" w:rsidRPr="00447CFB" w14:paraId="27201B7F" w14:textId="77777777" w:rsidTr="00A80F6A">
        <w:trPr>
          <w:trHeight w:val="643"/>
        </w:trPr>
        <w:tc>
          <w:tcPr>
            <w:tcW w:w="2127" w:type="dxa"/>
            <w:vMerge/>
          </w:tcPr>
          <w:p w14:paraId="3E2B971B" w14:textId="77777777" w:rsidR="007544D3" w:rsidRPr="00E54EFE" w:rsidRDefault="007544D3" w:rsidP="00E54EFE">
            <w:pPr>
              <w:rPr>
                <w:rFonts w:ascii="Arial" w:hAnsi="Arial" w:cs="Arial"/>
                <w:sz w:val="20"/>
              </w:rPr>
            </w:pPr>
          </w:p>
        </w:tc>
        <w:tc>
          <w:tcPr>
            <w:tcW w:w="2268" w:type="dxa"/>
            <w:vMerge/>
          </w:tcPr>
          <w:p w14:paraId="2950C5F8" w14:textId="77777777" w:rsidR="007544D3" w:rsidRPr="00447CFB" w:rsidRDefault="007544D3" w:rsidP="0078430D">
            <w:pPr>
              <w:rPr>
                <w:rFonts w:ascii="Arial" w:hAnsi="Arial" w:cs="Arial"/>
                <w:sz w:val="20"/>
              </w:rPr>
            </w:pPr>
          </w:p>
        </w:tc>
        <w:tc>
          <w:tcPr>
            <w:tcW w:w="2155" w:type="dxa"/>
            <w:vMerge/>
            <w:shd w:val="clear" w:color="auto" w:fill="FFFFFF" w:themeFill="background1"/>
          </w:tcPr>
          <w:p w14:paraId="1AC788CC" w14:textId="77777777" w:rsidR="007544D3" w:rsidRPr="00447CFB" w:rsidRDefault="007544D3" w:rsidP="0078430D">
            <w:pPr>
              <w:rPr>
                <w:rFonts w:ascii="Arial" w:hAnsi="Arial" w:cs="Arial"/>
                <w:sz w:val="20"/>
              </w:rPr>
            </w:pPr>
          </w:p>
        </w:tc>
        <w:tc>
          <w:tcPr>
            <w:tcW w:w="3089" w:type="dxa"/>
          </w:tcPr>
          <w:p w14:paraId="73D7BB72" w14:textId="77777777" w:rsidR="007544D3" w:rsidRPr="00E54EFE" w:rsidRDefault="007544D3" w:rsidP="00EB358A">
            <w:pPr>
              <w:pStyle w:val="ListBullet"/>
            </w:pPr>
            <w:r>
              <w:t xml:space="preserve">Sponsor’s comments: </w:t>
            </w:r>
          </w:p>
        </w:tc>
        <w:tc>
          <w:tcPr>
            <w:tcW w:w="5245" w:type="dxa"/>
          </w:tcPr>
          <w:p w14:paraId="363EED3D" w14:textId="2EC7CE05" w:rsidR="0052700A" w:rsidRPr="00E54EFE" w:rsidRDefault="00C0791F" w:rsidP="00C0791F">
            <w:pPr>
              <w:jc w:val="both"/>
              <w:rPr>
                <w:rFonts w:ascii="Arial" w:hAnsi="Arial" w:cs="Arial"/>
                <w:sz w:val="20"/>
              </w:rPr>
            </w:pPr>
            <w:r>
              <w:rPr>
                <w:rFonts w:ascii="Arial" w:hAnsi="Arial" w:cs="Arial"/>
                <w:sz w:val="20"/>
              </w:rPr>
              <w:t xml:space="preserve">The sponsor had no comment. </w:t>
            </w:r>
            <w:bookmarkStart w:id="0" w:name="_GoBack"/>
            <w:bookmarkEnd w:id="0"/>
          </w:p>
        </w:tc>
      </w:tr>
      <w:tr w:rsidR="00576702" w:rsidRPr="00447CFB" w14:paraId="1CF1C6BD" w14:textId="77777777" w:rsidTr="00CA2D5B">
        <w:trPr>
          <w:trHeight w:val="2221"/>
        </w:trPr>
        <w:tc>
          <w:tcPr>
            <w:tcW w:w="2127" w:type="dxa"/>
            <w:vMerge w:val="restart"/>
          </w:tcPr>
          <w:p w14:paraId="15CBA4EA" w14:textId="77777777" w:rsidR="00576702" w:rsidRPr="000927B3" w:rsidRDefault="00576702" w:rsidP="000927B3">
            <w:pPr>
              <w:rPr>
                <w:rFonts w:ascii="Arial" w:hAnsi="Arial" w:cs="Arial"/>
                <w:sz w:val="20"/>
              </w:rPr>
            </w:pPr>
            <w:r w:rsidRPr="000927B3">
              <w:rPr>
                <w:rFonts w:ascii="Arial" w:hAnsi="Arial" w:cs="Arial"/>
                <w:sz w:val="20"/>
              </w:rPr>
              <w:lastRenderedPageBreak/>
              <w:t>SODIUM PHENYLBUTYRATE</w:t>
            </w:r>
          </w:p>
          <w:p w14:paraId="40826D50" w14:textId="77777777" w:rsidR="00576702" w:rsidRPr="000927B3" w:rsidRDefault="00576702" w:rsidP="000927B3">
            <w:pPr>
              <w:rPr>
                <w:rFonts w:ascii="Arial" w:hAnsi="Arial" w:cs="Arial"/>
                <w:sz w:val="20"/>
              </w:rPr>
            </w:pPr>
          </w:p>
          <w:p w14:paraId="66A87AC4" w14:textId="77777777" w:rsidR="00576702" w:rsidRPr="000927B3" w:rsidRDefault="00576702" w:rsidP="000927B3">
            <w:pPr>
              <w:rPr>
                <w:rFonts w:ascii="Arial" w:hAnsi="Arial" w:cs="Arial"/>
                <w:sz w:val="20"/>
              </w:rPr>
            </w:pPr>
            <w:r w:rsidRPr="000927B3">
              <w:rPr>
                <w:rFonts w:ascii="Arial" w:hAnsi="Arial" w:cs="Arial"/>
                <w:sz w:val="20"/>
              </w:rPr>
              <w:t>Granules 483 mg (as sodium) per g, 174 g</w:t>
            </w:r>
          </w:p>
          <w:p w14:paraId="687A8FD6" w14:textId="77777777" w:rsidR="00576702" w:rsidRPr="000927B3" w:rsidRDefault="00576702" w:rsidP="000927B3">
            <w:pPr>
              <w:rPr>
                <w:rFonts w:ascii="Arial" w:hAnsi="Arial" w:cs="Arial"/>
                <w:sz w:val="20"/>
              </w:rPr>
            </w:pPr>
          </w:p>
          <w:p w14:paraId="40ECEE64" w14:textId="77777777" w:rsidR="00576702" w:rsidRPr="000927B3" w:rsidRDefault="00576702" w:rsidP="000927B3">
            <w:pPr>
              <w:rPr>
                <w:rFonts w:ascii="Arial" w:hAnsi="Arial" w:cs="Arial"/>
                <w:sz w:val="20"/>
              </w:rPr>
            </w:pPr>
            <w:r w:rsidRPr="000927B3">
              <w:rPr>
                <w:rFonts w:ascii="Arial" w:hAnsi="Arial" w:cs="Arial"/>
                <w:sz w:val="20"/>
              </w:rPr>
              <w:t>Pheburane®</w:t>
            </w:r>
          </w:p>
          <w:p w14:paraId="5C825083" w14:textId="77777777" w:rsidR="00576702" w:rsidRPr="000927B3" w:rsidRDefault="00576702" w:rsidP="000927B3">
            <w:pPr>
              <w:rPr>
                <w:rFonts w:ascii="Arial" w:hAnsi="Arial" w:cs="Arial"/>
                <w:sz w:val="20"/>
              </w:rPr>
            </w:pPr>
          </w:p>
          <w:p w14:paraId="0E5797CC" w14:textId="77777777" w:rsidR="00576702" w:rsidRDefault="00576702" w:rsidP="000927B3">
            <w:pPr>
              <w:rPr>
                <w:rFonts w:ascii="Arial" w:hAnsi="Arial" w:cs="Arial"/>
                <w:sz w:val="20"/>
              </w:rPr>
            </w:pPr>
            <w:r w:rsidRPr="000927B3">
              <w:rPr>
                <w:rFonts w:ascii="Arial" w:hAnsi="Arial" w:cs="Arial"/>
                <w:sz w:val="20"/>
              </w:rPr>
              <w:t>Orpharma Pty Ltd</w:t>
            </w:r>
          </w:p>
          <w:p w14:paraId="5167174B" w14:textId="77777777" w:rsidR="009432B0" w:rsidRDefault="009432B0" w:rsidP="000927B3">
            <w:pPr>
              <w:rPr>
                <w:rFonts w:ascii="Arial" w:hAnsi="Arial" w:cs="Arial"/>
                <w:sz w:val="20"/>
              </w:rPr>
            </w:pPr>
          </w:p>
          <w:p w14:paraId="7AF57C32" w14:textId="77777777" w:rsidR="009432B0" w:rsidRPr="009432B0" w:rsidRDefault="009432B0" w:rsidP="009432B0">
            <w:pPr>
              <w:rPr>
                <w:rFonts w:ascii="Arial" w:hAnsi="Arial" w:cs="Arial"/>
                <w:sz w:val="20"/>
              </w:rPr>
            </w:pPr>
            <w:r>
              <w:rPr>
                <w:rFonts w:ascii="Arial" w:hAnsi="Arial" w:cs="Arial"/>
                <w:sz w:val="20"/>
              </w:rPr>
              <w:t>New listing</w:t>
            </w:r>
          </w:p>
          <w:p w14:paraId="36AA9635" w14:textId="77777777" w:rsidR="009432B0" w:rsidRPr="00E54EFE" w:rsidRDefault="009432B0" w:rsidP="009432B0">
            <w:pPr>
              <w:rPr>
                <w:rFonts w:ascii="Arial" w:hAnsi="Arial" w:cs="Arial"/>
                <w:sz w:val="20"/>
              </w:rPr>
            </w:pPr>
            <w:r w:rsidRPr="009432B0">
              <w:rPr>
                <w:rFonts w:ascii="Arial" w:hAnsi="Arial" w:cs="Arial"/>
                <w:sz w:val="20"/>
              </w:rPr>
              <w:t>(Major Submission)</w:t>
            </w:r>
          </w:p>
        </w:tc>
        <w:tc>
          <w:tcPr>
            <w:tcW w:w="2268" w:type="dxa"/>
            <w:vMerge w:val="restart"/>
          </w:tcPr>
          <w:p w14:paraId="49513576" w14:textId="16250958" w:rsidR="00576702" w:rsidRPr="00447CFB" w:rsidRDefault="00576702" w:rsidP="0078430D">
            <w:pPr>
              <w:rPr>
                <w:rFonts w:ascii="Arial" w:hAnsi="Arial" w:cs="Arial"/>
                <w:sz w:val="20"/>
              </w:rPr>
            </w:pPr>
            <w:r>
              <w:rPr>
                <w:rFonts w:ascii="Arial" w:hAnsi="Arial" w:cs="Arial"/>
                <w:sz w:val="20"/>
              </w:rPr>
              <w:t xml:space="preserve">SODIUM PHENYLBUTYRATE </w:t>
            </w:r>
            <w:r w:rsidRPr="00EB0261">
              <w:rPr>
                <w:rFonts w:ascii="Arial" w:hAnsi="Arial" w:cs="Arial"/>
                <w:sz w:val="20"/>
              </w:rPr>
              <w:t xml:space="preserve">is indicated for the management of </w:t>
            </w:r>
            <w:proofErr w:type="spellStart"/>
            <w:r w:rsidRPr="00EB0261">
              <w:rPr>
                <w:rFonts w:ascii="Arial" w:hAnsi="Arial" w:cs="Arial"/>
                <w:sz w:val="20"/>
              </w:rPr>
              <w:t>hyperammonaemia</w:t>
            </w:r>
            <w:proofErr w:type="spellEnd"/>
            <w:r w:rsidRPr="00EB0261">
              <w:rPr>
                <w:rFonts w:ascii="Arial" w:hAnsi="Arial" w:cs="Arial"/>
                <w:sz w:val="20"/>
              </w:rPr>
              <w:t xml:space="preserve"> associated with urea cycle disorders</w:t>
            </w:r>
            <w:r w:rsidR="00382308">
              <w:rPr>
                <w:rFonts w:ascii="Arial" w:hAnsi="Arial" w:cs="Arial"/>
                <w:sz w:val="20"/>
              </w:rPr>
              <w:t xml:space="preserve"> (UCD)</w:t>
            </w:r>
            <w:r w:rsidRPr="00EB0261">
              <w:rPr>
                <w:rFonts w:ascii="Arial" w:hAnsi="Arial" w:cs="Arial"/>
                <w:sz w:val="20"/>
              </w:rPr>
              <w:t>.</w:t>
            </w:r>
          </w:p>
        </w:tc>
        <w:tc>
          <w:tcPr>
            <w:tcW w:w="2155" w:type="dxa"/>
            <w:vMerge w:val="restart"/>
            <w:shd w:val="clear" w:color="auto" w:fill="FFFFFF" w:themeFill="background1"/>
          </w:tcPr>
          <w:p w14:paraId="4B7CD146" w14:textId="77777777" w:rsidR="00576702" w:rsidRPr="00447CFB" w:rsidRDefault="00576702" w:rsidP="00641035">
            <w:pPr>
              <w:rPr>
                <w:rFonts w:ascii="Arial" w:hAnsi="Arial" w:cs="Arial"/>
                <w:sz w:val="20"/>
              </w:rPr>
            </w:pPr>
            <w:r w:rsidRPr="000927B3">
              <w:rPr>
                <w:rFonts w:ascii="Arial" w:hAnsi="Arial" w:cs="Arial"/>
                <w:sz w:val="20"/>
              </w:rPr>
              <w:t>SODIUM PHENYLBUTYRATE</w:t>
            </w:r>
            <w:r>
              <w:rPr>
                <w:rFonts w:ascii="Arial" w:hAnsi="Arial" w:cs="Arial"/>
                <w:sz w:val="20"/>
              </w:rPr>
              <w:t xml:space="preserve"> is not currently PBS listed</w:t>
            </w:r>
          </w:p>
        </w:tc>
        <w:tc>
          <w:tcPr>
            <w:tcW w:w="3089" w:type="dxa"/>
          </w:tcPr>
          <w:p w14:paraId="0E75495E" w14:textId="58982F59" w:rsidR="00576702" w:rsidRDefault="00576702" w:rsidP="00576702">
            <w:pPr>
              <w:keepLines/>
              <w:rPr>
                <w:rFonts w:ascii="Arial" w:hAnsi="Arial" w:cs="Arial"/>
                <w:sz w:val="20"/>
              </w:rPr>
            </w:pPr>
            <w:r>
              <w:rPr>
                <w:rFonts w:ascii="Arial" w:hAnsi="Arial" w:cs="Arial"/>
                <w:sz w:val="20"/>
              </w:rPr>
              <w:t xml:space="preserve">Resubmission to request an Authority Required listing for a sugar-coated granule formulation of sodium </w:t>
            </w:r>
            <w:proofErr w:type="spellStart"/>
            <w:r>
              <w:rPr>
                <w:rFonts w:ascii="Arial" w:hAnsi="Arial" w:cs="Arial"/>
                <w:sz w:val="20"/>
              </w:rPr>
              <w:t>phenylbutyrate</w:t>
            </w:r>
            <w:proofErr w:type="spellEnd"/>
            <w:r>
              <w:rPr>
                <w:rFonts w:ascii="Arial" w:hAnsi="Arial" w:cs="Arial"/>
                <w:sz w:val="20"/>
              </w:rPr>
              <w:t xml:space="preserve"> (referred to as ‘coated </w:t>
            </w:r>
            <w:proofErr w:type="spellStart"/>
            <w:r>
              <w:rPr>
                <w:rFonts w:ascii="Arial" w:hAnsi="Arial" w:cs="Arial"/>
                <w:sz w:val="20"/>
              </w:rPr>
              <w:t>NaPb</w:t>
            </w:r>
            <w:proofErr w:type="spellEnd"/>
            <w:r>
              <w:rPr>
                <w:rFonts w:ascii="Arial" w:hAnsi="Arial" w:cs="Arial"/>
                <w:sz w:val="20"/>
              </w:rPr>
              <w:t xml:space="preserve">’) for the treatment of patients with UCD. </w:t>
            </w:r>
          </w:p>
          <w:p w14:paraId="448C53F2" w14:textId="77777777" w:rsidR="00576702" w:rsidRDefault="00576702" w:rsidP="00EB358A">
            <w:pPr>
              <w:pStyle w:val="ListBullet"/>
            </w:pPr>
          </w:p>
        </w:tc>
        <w:tc>
          <w:tcPr>
            <w:tcW w:w="5245" w:type="dxa"/>
          </w:tcPr>
          <w:p w14:paraId="63912F02" w14:textId="77777777" w:rsidR="00576702" w:rsidRDefault="00576702" w:rsidP="00E54EFE">
            <w:pPr>
              <w:jc w:val="both"/>
              <w:rPr>
                <w:rFonts w:ascii="Arial" w:hAnsi="Arial" w:cs="Arial"/>
                <w:bCs/>
                <w:sz w:val="20"/>
              </w:rPr>
            </w:pPr>
            <w:r w:rsidRPr="00A10A15">
              <w:rPr>
                <w:rFonts w:ascii="Arial" w:hAnsi="Arial" w:cs="Arial"/>
                <w:bCs/>
                <w:sz w:val="20"/>
              </w:rPr>
              <w:t xml:space="preserve">The PBAC did not recommend the listing of a sugar-coated granule formulation of sodium </w:t>
            </w:r>
            <w:proofErr w:type="spellStart"/>
            <w:r w:rsidRPr="00A10A15">
              <w:rPr>
                <w:rFonts w:ascii="Arial" w:hAnsi="Arial" w:cs="Arial"/>
                <w:bCs/>
                <w:sz w:val="20"/>
              </w:rPr>
              <w:t>phenylbutyrate</w:t>
            </w:r>
            <w:proofErr w:type="spellEnd"/>
            <w:r w:rsidRPr="00A10A15">
              <w:rPr>
                <w:rFonts w:ascii="Arial" w:hAnsi="Arial" w:cs="Arial"/>
                <w:bCs/>
                <w:sz w:val="20"/>
              </w:rPr>
              <w:t xml:space="preserve"> (referred to as </w:t>
            </w:r>
            <w:r w:rsidR="00382308">
              <w:rPr>
                <w:rFonts w:ascii="Arial" w:hAnsi="Arial" w:cs="Arial"/>
                <w:bCs/>
                <w:sz w:val="20"/>
              </w:rPr>
              <w:t>‘</w:t>
            </w:r>
            <w:r w:rsidRPr="00A10A15">
              <w:rPr>
                <w:rFonts w:ascii="Arial" w:hAnsi="Arial" w:cs="Arial"/>
                <w:bCs/>
                <w:sz w:val="20"/>
              </w:rPr>
              <w:t xml:space="preserve">coated </w:t>
            </w:r>
            <w:proofErr w:type="spellStart"/>
            <w:r w:rsidRPr="00A10A15">
              <w:rPr>
                <w:rFonts w:ascii="Arial" w:hAnsi="Arial" w:cs="Arial"/>
                <w:bCs/>
                <w:sz w:val="20"/>
              </w:rPr>
              <w:t>NaPb</w:t>
            </w:r>
            <w:proofErr w:type="spellEnd"/>
            <w:r w:rsidR="00382308">
              <w:rPr>
                <w:rFonts w:ascii="Arial" w:hAnsi="Arial" w:cs="Arial"/>
                <w:bCs/>
                <w:sz w:val="20"/>
              </w:rPr>
              <w:t>’</w:t>
            </w:r>
            <w:r w:rsidRPr="00A10A15">
              <w:rPr>
                <w:rFonts w:ascii="Arial" w:hAnsi="Arial" w:cs="Arial"/>
                <w:bCs/>
                <w:sz w:val="20"/>
              </w:rPr>
              <w:t>) on the basis that the proposed clinical place, which was as a second-line therapy after failure and/or intolerability to a medicine that is neither TGA-registered nor PBS-listed (sodium benzoate</w:t>
            </w:r>
            <w:r w:rsidR="009E08FF">
              <w:rPr>
                <w:rFonts w:ascii="Arial" w:hAnsi="Arial" w:cs="Arial"/>
                <w:bCs/>
                <w:sz w:val="20"/>
              </w:rPr>
              <w:t xml:space="preserve">, </w:t>
            </w:r>
            <w:proofErr w:type="spellStart"/>
            <w:r w:rsidR="009E08FF">
              <w:rPr>
                <w:rFonts w:ascii="Arial" w:hAnsi="Arial" w:cs="Arial"/>
                <w:bCs/>
                <w:sz w:val="20"/>
              </w:rPr>
              <w:t>NaBz</w:t>
            </w:r>
            <w:proofErr w:type="spellEnd"/>
            <w:r w:rsidRPr="00A10A15">
              <w:rPr>
                <w:rFonts w:ascii="Arial" w:hAnsi="Arial" w:cs="Arial"/>
                <w:bCs/>
                <w:sz w:val="20"/>
              </w:rPr>
              <w:t xml:space="preserve">), was inappropriate, and the cost-minimisation analysis had significantly overestimated the cost of the comparator. </w:t>
            </w:r>
            <w:r>
              <w:rPr>
                <w:rFonts w:ascii="Arial" w:hAnsi="Arial" w:cs="Arial"/>
                <w:bCs/>
                <w:sz w:val="20"/>
              </w:rPr>
              <w:br/>
            </w:r>
            <w:r>
              <w:rPr>
                <w:rFonts w:ascii="Arial" w:hAnsi="Arial" w:cs="Arial"/>
                <w:bCs/>
                <w:sz w:val="20"/>
              </w:rPr>
              <w:br/>
            </w:r>
            <w:r w:rsidRPr="00702023">
              <w:rPr>
                <w:rFonts w:ascii="Arial" w:hAnsi="Arial" w:cs="Arial"/>
                <w:bCs/>
                <w:sz w:val="20"/>
              </w:rPr>
              <w:t xml:space="preserve">The PBAC reiterated its previous consideration that ammonia scavengers have an important clinical place, and that there is a need to ensure the continuing availability of </w:t>
            </w:r>
            <w:proofErr w:type="spellStart"/>
            <w:r w:rsidRPr="00702023">
              <w:rPr>
                <w:rFonts w:ascii="Arial" w:hAnsi="Arial" w:cs="Arial"/>
                <w:bCs/>
                <w:sz w:val="20"/>
              </w:rPr>
              <w:t>NaPb</w:t>
            </w:r>
            <w:proofErr w:type="spellEnd"/>
            <w:r w:rsidRPr="00702023">
              <w:rPr>
                <w:rFonts w:ascii="Arial" w:hAnsi="Arial" w:cs="Arial"/>
                <w:bCs/>
                <w:sz w:val="20"/>
              </w:rPr>
              <w:t xml:space="preserve">. The PBAC considered that, given there is currently no TGA-approved or PBS-listed product in Australia for this condition, it would be beneficial to list coated </w:t>
            </w:r>
            <w:proofErr w:type="spellStart"/>
            <w:r w:rsidRPr="00702023">
              <w:rPr>
                <w:rFonts w:ascii="Arial" w:hAnsi="Arial" w:cs="Arial"/>
                <w:bCs/>
                <w:sz w:val="20"/>
              </w:rPr>
              <w:t>NaPb</w:t>
            </w:r>
            <w:proofErr w:type="spellEnd"/>
            <w:r w:rsidRPr="00702023">
              <w:rPr>
                <w:rFonts w:ascii="Arial" w:hAnsi="Arial" w:cs="Arial"/>
                <w:bCs/>
                <w:sz w:val="20"/>
              </w:rPr>
              <w:t xml:space="preserve"> if the above issues were able to be addressed.</w:t>
            </w:r>
          </w:p>
          <w:p w14:paraId="567D389D" w14:textId="5EF7CD70" w:rsidR="0052700A" w:rsidRPr="00576702" w:rsidRDefault="0052700A" w:rsidP="00E54EFE">
            <w:pPr>
              <w:jc w:val="both"/>
              <w:rPr>
                <w:rFonts w:ascii="Arial" w:hAnsi="Arial" w:cs="Arial"/>
                <w:bCs/>
                <w:sz w:val="20"/>
              </w:rPr>
            </w:pPr>
          </w:p>
        </w:tc>
      </w:tr>
      <w:tr w:rsidR="00576702" w:rsidRPr="00447CFB" w14:paraId="14AB38E8" w14:textId="77777777" w:rsidTr="00CA2D5B">
        <w:trPr>
          <w:trHeight w:val="1581"/>
        </w:trPr>
        <w:tc>
          <w:tcPr>
            <w:tcW w:w="2127" w:type="dxa"/>
            <w:vMerge/>
          </w:tcPr>
          <w:p w14:paraId="02620320" w14:textId="77777777" w:rsidR="00576702" w:rsidRPr="00E54EFE" w:rsidRDefault="00576702" w:rsidP="00576702">
            <w:pPr>
              <w:rPr>
                <w:rFonts w:ascii="Arial" w:hAnsi="Arial" w:cs="Arial"/>
                <w:sz w:val="20"/>
              </w:rPr>
            </w:pPr>
          </w:p>
        </w:tc>
        <w:tc>
          <w:tcPr>
            <w:tcW w:w="2268" w:type="dxa"/>
            <w:vMerge/>
          </w:tcPr>
          <w:p w14:paraId="051E9A87" w14:textId="77777777" w:rsidR="00576702" w:rsidRPr="00447CFB" w:rsidRDefault="00576702" w:rsidP="00576702">
            <w:pPr>
              <w:rPr>
                <w:rFonts w:ascii="Arial" w:hAnsi="Arial" w:cs="Arial"/>
                <w:sz w:val="20"/>
              </w:rPr>
            </w:pPr>
          </w:p>
        </w:tc>
        <w:tc>
          <w:tcPr>
            <w:tcW w:w="2155" w:type="dxa"/>
            <w:vMerge/>
            <w:shd w:val="clear" w:color="auto" w:fill="FFFFFF" w:themeFill="background1"/>
          </w:tcPr>
          <w:p w14:paraId="021ACD7E" w14:textId="77777777" w:rsidR="00576702" w:rsidRPr="00447CFB" w:rsidRDefault="00576702" w:rsidP="00576702">
            <w:pPr>
              <w:rPr>
                <w:rFonts w:ascii="Arial" w:hAnsi="Arial" w:cs="Arial"/>
                <w:sz w:val="20"/>
              </w:rPr>
            </w:pPr>
          </w:p>
        </w:tc>
        <w:tc>
          <w:tcPr>
            <w:tcW w:w="3089" w:type="dxa"/>
          </w:tcPr>
          <w:p w14:paraId="594A17D4" w14:textId="77777777" w:rsidR="00576702" w:rsidRPr="00CA0C65" w:rsidRDefault="00576702" w:rsidP="00EB358A">
            <w:pPr>
              <w:pStyle w:val="ListBullet"/>
            </w:pPr>
            <w:r>
              <w:t xml:space="preserve">Comparator: The comparator nominated by the resubmission was uncoated </w:t>
            </w:r>
            <w:proofErr w:type="spellStart"/>
            <w:r>
              <w:t>NaPb</w:t>
            </w:r>
            <w:proofErr w:type="spellEnd"/>
            <w:r>
              <w:t xml:space="preserve"> powder compounded into an oral suspension or capsules by a compounding pharmacy. </w:t>
            </w:r>
            <w:r w:rsidRPr="00CA0C65">
              <w:t xml:space="preserve"> </w:t>
            </w:r>
          </w:p>
        </w:tc>
        <w:tc>
          <w:tcPr>
            <w:tcW w:w="5245" w:type="dxa"/>
          </w:tcPr>
          <w:p w14:paraId="0A811264" w14:textId="77777777" w:rsidR="00576702" w:rsidRPr="00576702" w:rsidRDefault="00576702" w:rsidP="00576702">
            <w:pPr>
              <w:jc w:val="both"/>
              <w:rPr>
                <w:rFonts w:ascii="Arial" w:hAnsi="Arial" w:cs="Arial"/>
                <w:bCs/>
                <w:sz w:val="20"/>
              </w:rPr>
            </w:pPr>
            <w:r w:rsidRPr="00A10A15">
              <w:rPr>
                <w:rFonts w:ascii="Arial" w:hAnsi="Arial" w:cs="Arial"/>
                <w:sz w:val="20"/>
              </w:rPr>
              <w:t xml:space="preserve">The PBAC reiterated its November 2017 </w:t>
            </w:r>
            <w:r w:rsidRPr="00A10A15">
              <w:rPr>
                <w:rFonts w:ascii="Arial" w:hAnsi="Arial" w:cs="Arial"/>
                <w:bCs/>
                <w:sz w:val="20"/>
              </w:rPr>
              <w:t xml:space="preserve">and March 2018 consideration that </w:t>
            </w:r>
            <w:proofErr w:type="spellStart"/>
            <w:r w:rsidRPr="00A10A15">
              <w:rPr>
                <w:rFonts w:ascii="Arial" w:hAnsi="Arial" w:cs="Arial"/>
                <w:bCs/>
                <w:sz w:val="20"/>
              </w:rPr>
              <w:t>NaBz</w:t>
            </w:r>
            <w:proofErr w:type="spellEnd"/>
            <w:r w:rsidRPr="00A10A15">
              <w:rPr>
                <w:rFonts w:ascii="Arial" w:hAnsi="Arial" w:cs="Arial"/>
                <w:bCs/>
                <w:sz w:val="20"/>
              </w:rPr>
              <w:t xml:space="preserve"> was also a relevant comparator.</w:t>
            </w:r>
          </w:p>
        </w:tc>
      </w:tr>
      <w:tr w:rsidR="00576702" w:rsidRPr="00447CFB" w14:paraId="4CC60946" w14:textId="77777777" w:rsidTr="00A80F6A">
        <w:trPr>
          <w:trHeight w:val="502"/>
        </w:trPr>
        <w:tc>
          <w:tcPr>
            <w:tcW w:w="2127" w:type="dxa"/>
            <w:vMerge/>
          </w:tcPr>
          <w:p w14:paraId="07B2E710" w14:textId="77777777" w:rsidR="00576702" w:rsidRPr="00E54EFE" w:rsidRDefault="00576702" w:rsidP="00576702">
            <w:pPr>
              <w:rPr>
                <w:rFonts w:ascii="Arial" w:hAnsi="Arial" w:cs="Arial"/>
                <w:sz w:val="20"/>
              </w:rPr>
            </w:pPr>
          </w:p>
        </w:tc>
        <w:tc>
          <w:tcPr>
            <w:tcW w:w="2268" w:type="dxa"/>
            <w:vMerge/>
          </w:tcPr>
          <w:p w14:paraId="75570EED" w14:textId="77777777" w:rsidR="00576702" w:rsidRPr="00447CFB" w:rsidRDefault="00576702" w:rsidP="00576702">
            <w:pPr>
              <w:rPr>
                <w:rFonts w:ascii="Arial" w:hAnsi="Arial" w:cs="Arial"/>
                <w:sz w:val="20"/>
              </w:rPr>
            </w:pPr>
          </w:p>
        </w:tc>
        <w:tc>
          <w:tcPr>
            <w:tcW w:w="2155" w:type="dxa"/>
            <w:vMerge/>
            <w:shd w:val="clear" w:color="auto" w:fill="FFFFFF" w:themeFill="background1"/>
          </w:tcPr>
          <w:p w14:paraId="27E48A31" w14:textId="77777777" w:rsidR="00576702" w:rsidRPr="00447CFB" w:rsidRDefault="00576702" w:rsidP="00576702">
            <w:pPr>
              <w:rPr>
                <w:rFonts w:ascii="Arial" w:hAnsi="Arial" w:cs="Arial"/>
                <w:sz w:val="20"/>
              </w:rPr>
            </w:pPr>
          </w:p>
        </w:tc>
        <w:tc>
          <w:tcPr>
            <w:tcW w:w="3089" w:type="dxa"/>
          </w:tcPr>
          <w:p w14:paraId="05964974" w14:textId="77777777" w:rsidR="00576702" w:rsidRPr="00CA0C65" w:rsidRDefault="00576702" w:rsidP="00EB358A">
            <w:pPr>
              <w:pStyle w:val="ListBullet"/>
            </w:pPr>
            <w:r w:rsidRPr="00CA0C65">
              <w:t>Clinical claim:</w:t>
            </w:r>
            <w:r w:rsidR="005D34BB">
              <w:t xml:space="preserve"> c</w:t>
            </w:r>
            <w:r>
              <w:t xml:space="preserve">oated </w:t>
            </w:r>
            <w:proofErr w:type="spellStart"/>
            <w:r>
              <w:t>NaPb</w:t>
            </w:r>
            <w:proofErr w:type="spellEnd"/>
            <w:r>
              <w:t xml:space="preserve"> is non-inferior in terms of effectiveness and safety compared with uncoated </w:t>
            </w:r>
            <w:proofErr w:type="spellStart"/>
            <w:r>
              <w:t>NaPb</w:t>
            </w:r>
            <w:proofErr w:type="spellEnd"/>
            <w:r>
              <w:t xml:space="preserve"> </w:t>
            </w:r>
            <w:r w:rsidRPr="006D0EAF">
              <w:t xml:space="preserve">(for patients who were intolerant to or inadequately controlled by </w:t>
            </w:r>
            <w:proofErr w:type="spellStart"/>
            <w:r w:rsidRPr="006D0EAF">
              <w:t>NaBz</w:t>
            </w:r>
            <w:proofErr w:type="spellEnd"/>
            <w:r w:rsidRPr="006D0EAF">
              <w:t xml:space="preserve"> or requiring co</w:t>
            </w:r>
            <w:r>
              <w:t>mbination therapy).</w:t>
            </w:r>
          </w:p>
        </w:tc>
        <w:tc>
          <w:tcPr>
            <w:tcW w:w="5245" w:type="dxa"/>
          </w:tcPr>
          <w:p w14:paraId="718C9DD6" w14:textId="77777777" w:rsidR="00576702" w:rsidRDefault="00576702" w:rsidP="00576702">
            <w:pPr>
              <w:jc w:val="both"/>
              <w:rPr>
                <w:rFonts w:ascii="Arial" w:hAnsi="Arial" w:cs="Arial"/>
                <w:sz w:val="20"/>
              </w:rPr>
            </w:pPr>
            <w:r w:rsidRPr="00556749">
              <w:rPr>
                <w:rFonts w:ascii="Arial" w:hAnsi="Arial" w:cs="Arial"/>
                <w:sz w:val="20"/>
              </w:rPr>
              <w:t xml:space="preserve">The PBAC considered that the claim of non-inferior comparative effectiveness to uncoated </w:t>
            </w:r>
            <w:proofErr w:type="spellStart"/>
            <w:r w:rsidRPr="00556749">
              <w:rPr>
                <w:rFonts w:ascii="Arial" w:hAnsi="Arial" w:cs="Arial"/>
                <w:sz w:val="20"/>
              </w:rPr>
              <w:t>NaPb</w:t>
            </w:r>
            <w:proofErr w:type="spellEnd"/>
            <w:r w:rsidRPr="00556749">
              <w:rPr>
                <w:rFonts w:ascii="Arial" w:hAnsi="Arial" w:cs="Arial"/>
                <w:sz w:val="20"/>
              </w:rPr>
              <w:t xml:space="preserve"> was reasonable when the lin</w:t>
            </w:r>
            <w:r>
              <w:rPr>
                <w:rFonts w:ascii="Arial" w:hAnsi="Arial" w:cs="Arial"/>
                <w:sz w:val="20"/>
              </w:rPr>
              <w:t>e of therapy was not specified.</w:t>
            </w:r>
          </w:p>
          <w:p w14:paraId="3A900B83" w14:textId="77777777" w:rsidR="00576702" w:rsidRDefault="00576702" w:rsidP="00576702">
            <w:pPr>
              <w:jc w:val="both"/>
              <w:rPr>
                <w:rFonts w:ascii="Arial" w:hAnsi="Arial" w:cs="Arial"/>
                <w:sz w:val="20"/>
              </w:rPr>
            </w:pPr>
          </w:p>
          <w:p w14:paraId="4316624D" w14:textId="77777777" w:rsidR="00576702" w:rsidRPr="00595283" w:rsidRDefault="00576702" w:rsidP="00576702">
            <w:pPr>
              <w:jc w:val="both"/>
              <w:rPr>
                <w:rFonts w:ascii="Arial" w:hAnsi="Arial" w:cs="Arial"/>
                <w:sz w:val="20"/>
              </w:rPr>
            </w:pPr>
            <w:r w:rsidRPr="00595283">
              <w:rPr>
                <w:rFonts w:ascii="Arial" w:hAnsi="Arial" w:cs="Arial"/>
                <w:bCs/>
                <w:sz w:val="20"/>
              </w:rPr>
              <w:t xml:space="preserve">The PBAC reiterated its previous consideration that coated </w:t>
            </w:r>
            <w:proofErr w:type="spellStart"/>
            <w:r w:rsidRPr="00595283">
              <w:rPr>
                <w:rFonts w:ascii="Arial" w:hAnsi="Arial" w:cs="Arial"/>
                <w:bCs/>
                <w:sz w:val="20"/>
              </w:rPr>
              <w:t>NaPb</w:t>
            </w:r>
            <w:proofErr w:type="spellEnd"/>
            <w:r w:rsidRPr="00595283">
              <w:rPr>
                <w:rFonts w:ascii="Arial" w:hAnsi="Arial" w:cs="Arial"/>
                <w:bCs/>
                <w:sz w:val="20"/>
              </w:rPr>
              <w:t xml:space="preserve"> was non-inferior in terms of comparative efficacy and safety compared with other ammonia scavengers (uncoated </w:t>
            </w:r>
            <w:proofErr w:type="spellStart"/>
            <w:r w:rsidRPr="00595283">
              <w:rPr>
                <w:rFonts w:ascii="Arial" w:hAnsi="Arial" w:cs="Arial"/>
                <w:bCs/>
                <w:sz w:val="20"/>
              </w:rPr>
              <w:t>NaPb</w:t>
            </w:r>
            <w:proofErr w:type="spellEnd"/>
            <w:r w:rsidRPr="00595283">
              <w:rPr>
                <w:rFonts w:ascii="Arial" w:hAnsi="Arial" w:cs="Arial"/>
                <w:bCs/>
                <w:sz w:val="20"/>
              </w:rPr>
              <w:t xml:space="preserve"> and </w:t>
            </w:r>
            <w:proofErr w:type="spellStart"/>
            <w:r w:rsidRPr="00595283">
              <w:rPr>
                <w:rFonts w:ascii="Arial" w:hAnsi="Arial" w:cs="Arial"/>
                <w:bCs/>
                <w:sz w:val="20"/>
              </w:rPr>
              <w:t>NaBz</w:t>
            </w:r>
            <w:proofErr w:type="spellEnd"/>
            <w:r w:rsidRPr="00595283">
              <w:rPr>
                <w:rFonts w:ascii="Arial" w:hAnsi="Arial" w:cs="Arial"/>
                <w:bCs/>
                <w:sz w:val="20"/>
              </w:rPr>
              <w:t>).</w:t>
            </w:r>
          </w:p>
        </w:tc>
      </w:tr>
      <w:tr w:rsidR="00576702" w:rsidRPr="00447CFB" w14:paraId="35D8A931" w14:textId="77777777" w:rsidTr="00CA2D5B">
        <w:trPr>
          <w:trHeight w:val="2221"/>
        </w:trPr>
        <w:tc>
          <w:tcPr>
            <w:tcW w:w="2127" w:type="dxa"/>
            <w:vMerge/>
          </w:tcPr>
          <w:p w14:paraId="645EB272" w14:textId="77777777" w:rsidR="00576702" w:rsidRPr="00E54EFE" w:rsidRDefault="00576702" w:rsidP="00576702">
            <w:pPr>
              <w:rPr>
                <w:rFonts w:ascii="Arial" w:hAnsi="Arial" w:cs="Arial"/>
                <w:sz w:val="20"/>
              </w:rPr>
            </w:pPr>
          </w:p>
        </w:tc>
        <w:tc>
          <w:tcPr>
            <w:tcW w:w="2268" w:type="dxa"/>
            <w:vMerge/>
          </w:tcPr>
          <w:p w14:paraId="1FF0AE76" w14:textId="77777777" w:rsidR="00576702" w:rsidRPr="00447CFB" w:rsidRDefault="00576702" w:rsidP="00576702">
            <w:pPr>
              <w:rPr>
                <w:rFonts w:ascii="Arial" w:hAnsi="Arial" w:cs="Arial"/>
                <w:sz w:val="20"/>
              </w:rPr>
            </w:pPr>
          </w:p>
        </w:tc>
        <w:tc>
          <w:tcPr>
            <w:tcW w:w="2155" w:type="dxa"/>
            <w:vMerge/>
            <w:shd w:val="clear" w:color="auto" w:fill="FFFFFF" w:themeFill="background1"/>
          </w:tcPr>
          <w:p w14:paraId="6F619FAF" w14:textId="77777777" w:rsidR="00576702" w:rsidRPr="00447CFB" w:rsidRDefault="00576702" w:rsidP="00576702">
            <w:pPr>
              <w:rPr>
                <w:rFonts w:ascii="Arial" w:hAnsi="Arial" w:cs="Arial"/>
                <w:sz w:val="20"/>
              </w:rPr>
            </w:pPr>
          </w:p>
        </w:tc>
        <w:tc>
          <w:tcPr>
            <w:tcW w:w="3089" w:type="dxa"/>
          </w:tcPr>
          <w:p w14:paraId="0F37ECF8" w14:textId="77777777" w:rsidR="00576702" w:rsidRPr="00CA0C65" w:rsidRDefault="00576702" w:rsidP="00EB358A">
            <w:pPr>
              <w:pStyle w:val="ListBullet"/>
            </w:pPr>
            <w:r w:rsidRPr="00CA0C65">
              <w:t>Economic claim:</w:t>
            </w:r>
            <w:r w:rsidR="00462DD8">
              <w:t xml:space="preserve"> </w:t>
            </w:r>
            <w:r w:rsidR="005D34BB">
              <w:t>c</w:t>
            </w:r>
            <w:r>
              <w:t xml:space="preserve">ost-minimisation analysis versus compounded </w:t>
            </w:r>
            <w:proofErr w:type="spellStart"/>
            <w:r>
              <w:t>NaPb</w:t>
            </w:r>
            <w:proofErr w:type="spellEnd"/>
            <w:r>
              <w:t xml:space="preserve">, i.e. uncoated </w:t>
            </w:r>
            <w:proofErr w:type="spellStart"/>
            <w:r>
              <w:t>NaPb</w:t>
            </w:r>
            <w:proofErr w:type="spellEnd"/>
            <w:r>
              <w:t xml:space="preserve"> powder that was compounded into an oral suspension or capsules by a compounding pharmacy. </w:t>
            </w:r>
          </w:p>
        </w:tc>
        <w:tc>
          <w:tcPr>
            <w:tcW w:w="5245" w:type="dxa"/>
          </w:tcPr>
          <w:p w14:paraId="514785D4" w14:textId="77777777" w:rsidR="00E71426" w:rsidRDefault="00576702" w:rsidP="00D107B1">
            <w:pPr>
              <w:jc w:val="both"/>
              <w:rPr>
                <w:rFonts w:ascii="Arial" w:hAnsi="Arial" w:cs="Arial"/>
                <w:bCs/>
                <w:sz w:val="20"/>
              </w:rPr>
            </w:pPr>
            <w:r w:rsidRPr="00C12EA5">
              <w:rPr>
                <w:rFonts w:ascii="Arial" w:hAnsi="Arial" w:cs="Arial"/>
                <w:bCs/>
                <w:sz w:val="20"/>
              </w:rPr>
              <w:t>The PBAC considered that the resubmission’s cost-minimisation analysis had significantly overestimated the cost of the comparator because the analysis: included significant costs for compounding, wastage, mark-ups or other fees that accounted for approximately 80% of the proposed costs; and did not include the cost-offset for compounding the coated tablets</w:t>
            </w:r>
            <w:r w:rsidRPr="00C12EA5">
              <w:rPr>
                <w:rFonts w:ascii="Arial" w:hAnsi="Arial" w:cs="Arial"/>
                <w:sz w:val="20"/>
              </w:rPr>
              <w:t xml:space="preserve"> </w:t>
            </w:r>
            <w:r w:rsidRPr="00C12EA5">
              <w:rPr>
                <w:rFonts w:ascii="Arial" w:hAnsi="Arial" w:cs="Arial"/>
                <w:bCs/>
                <w:sz w:val="20"/>
              </w:rPr>
              <w:t>into a liquid solution for patients with nasogastric or gastrostomy tubes. Overall, the PBAC considered that the cost-minimisation analysis did not reflect the cost of compounded ammonia scavengers that would be applicable under the PBS.</w:t>
            </w:r>
          </w:p>
          <w:p w14:paraId="6F8AAB40" w14:textId="0E864D13" w:rsidR="0052700A" w:rsidRPr="00C12EA5" w:rsidRDefault="0052700A" w:rsidP="00D107B1">
            <w:pPr>
              <w:jc w:val="both"/>
              <w:rPr>
                <w:rFonts w:ascii="Arial" w:hAnsi="Arial" w:cs="Arial"/>
                <w:bCs/>
                <w:sz w:val="20"/>
              </w:rPr>
            </w:pPr>
          </w:p>
        </w:tc>
      </w:tr>
      <w:tr w:rsidR="00576702" w:rsidRPr="00447CFB" w14:paraId="0357E1D8" w14:textId="77777777" w:rsidTr="00584F3A">
        <w:trPr>
          <w:trHeight w:val="644"/>
        </w:trPr>
        <w:tc>
          <w:tcPr>
            <w:tcW w:w="2127" w:type="dxa"/>
            <w:vMerge/>
          </w:tcPr>
          <w:p w14:paraId="53DF88DA" w14:textId="77777777" w:rsidR="00576702" w:rsidRPr="00E54EFE" w:rsidRDefault="00576702" w:rsidP="00576702">
            <w:pPr>
              <w:rPr>
                <w:rFonts w:ascii="Arial" w:hAnsi="Arial" w:cs="Arial"/>
                <w:sz w:val="20"/>
              </w:rPr>
            </w:pPr>
          </w:p>
        </w:tc>
        <w:tc>
          <w:tcPr>
            <w:tcW w:w="2268" w:type="dxa"/>
            <w:vMerge/>
          </w:tcPr>
          <w:p w14:paraId="4191FB0C" w14:textId="77777777" w:rsidR="00576702" w:rsidRPr="00447CFB" w:rsidRDefault="00576702" w:rsidP="00576702">
            <w:pPr>
              <w:rPr>
                <w:rFonts w:ascii="Arial" w:hAnsi="Arial" w:cs="Arial"/>
                <w:sz w:val="20"/>
              </w:rPr>
            </w:pPr>
          </w:p>
        </w:tc>
        <w:tc>
          <w:tcPr>
            <w:tcW w:w="2155" w:type="dxa"/>
            <w:vMerge/>
            <w:shd w:val="clear" w:color="auto" w:fill="FFFFFF" w:themeFill="background1"/>
          </w:tcPr>
          <w:p w14:paraId="1858CBC3" w14:textId="77777777" w:rsidR="00576702" w:rsidRPr="00447CFB" w:rsidRDefault="00576702" w:rsidP="00576702">
            <w:pPr>
              <w:rPr>
                <w:rFonts w:ascii="Arial" w:hAnsi="Arial" w:cs="Arial"/>
                <w:sz w:val="20"/>
              </w:rPr>
            </w:pPr>
          </w:p>
        </w:tc>
        <w:tc>
          <w:tcPr>
            <w:tcW w:w="3089" w:type="dxa"/>
          </w:tcPr>
          <w:p w14:paraId="218DA77F" w14:textId="77777777" w:rsidR="00576702" w:rsidRPr="000805C6" w:rsidRDefault="00576702" w:rsidP="00EB358A">
            <w:pPr>
              <w:pStyle w:val="ListBullet"/>
            </w:pPr>
            <w:r w:rsidRPr="000805C6">
              <w:t>Sponsor’s comment:</w:t>
            </w:r>
          </w:p>
          <w:p w14:paraId="525F7AB1" w14:textId="77777777" w:rsidR="00576702" w:rsidRPr="00CA0C65" w:rsidRDefault="00576702" w:rsidP="00EB358A">
            <w:pPr>
              <w:pStyle w:val="ListBullet"/>
            </w:pPr>
          </w:p>
        </w:tc>
        <w:tc>
          <w:tcPr>
            <w:tcW w:w="5245" w:type="dxa"/>
          </w:tcPr>
          <w:p w14:paraId="1404C807" w14:textId="77777777" w:rsidR="00576702" w:rsidRDefault="006973A6" w:rsidP="00576702">
            <w:pPr>
              <w:jc w:val="both"/>
              <w:rPr>
                <w:rFonts w:ascii="Arial" w:hAnsi="Arial" w:cs="Arial"/>
                <w:bCs/>
                <w:sz w:val="20"/>
              </w:rPr>
            </w:pPr>
            <w:r w:rsidRPr="006973A6">
              <w:rPr>
                <w:rFonts w:ascii="Arial" w:hAnsi="Arial" w:cs="Arial"/>
                <w:bCs/>
                <w:sz w:val="20"/>
              </w:rPr>
              <w:t>Orpharma will continue to work with the PBAC and will address the ongoing concerns raised in order to make Pheburane available.</w:t>
            </w:r>
          </w:p>
          <w:p w14:paraId="33F2C40C" w14:textId="74484826" w:rsidR="0052700A" w:rsidRPr="00C12EA5" w:rsidRDefault="0052700A" w:rsidP="00576702">
            <w:pPr>
              <w:jc w:val="both"/>
              <w:rPr>
                <w:rFonts w:ascii="Arial" w:hAnsi="Arial" w:cs="Arial"/>
                <w:bCs/>
                <w:sz w:val="20"/>
              </w:rPr>
            </w:pPr>
          </w:p>
        </w:tc>
      </w:tr>
    </w:tbl>
    <w:p w14:paraId="5D7FDB02" w14:textId="77777777" w:rsidR="0078027D" w:rsidRPr="0010394D" w:rsidRDefault="0078027D" w:rsidP="005948E2">
      <w:pPr>
        <w:pStyle w:val="Title"/>
        <w:jc w:val="left"/>
      </w:pPr>
    </w:p>
    <w:sectPr w:rsidR="0078027D" w:rsidRPr="0010394D" w:rsidSect="00853C13">
      <w:headerReference w:type="default" r:id="rId8"/>
      <w:footerReference w:type="default" r:id="rId9"/>
      <w:headerReference w:type="first" r:id="rId10"/>
      <w:footerReference w:type="first" r:id="rId11"/>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5F32" w14:textId="77777777" w:rsidR="003419C9" w:rsidRDefault="003419C9">
      <w:r>
        <w:separator/>
      </w:r>
    </w:p>
  </w:endnote>
  <w:endnote w:type="continuationSeparator" w:id="0">
    <w:p w14:paraId="3BA0AC65"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DB29" w14:textId="77777777" w:rsidR="000805C6" w:rsidRDefault="000805C6" w:rsidP="000805C6">
    <w:pPr>
      <w:pStyle w:val="Footer"/>
      <w:jc w:val="right"/>
    </w:pPr>
  </w:p>
  <w:p w14:paraId="0DD699A7" w14:textId="62A32D0F"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C0791F">
      <w:rPr>
        <w:rFonts w:ascii="Arial" w:hAnsi="Arial" w:cs="Arial"/>
        <w:noProof/>
        <w:sz w:val="22"/>
      </w:rPr>
      <w:t>12</w:t>
    </w:r>
    <w:r w:rsidRPr="000805C6">
      <w:rPr>
        <w:rFonts w:ascii="Arial" w:hAnsi="Arial" w:cs="Arial"/>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E12E" w14:textId="77777777" w:rsidR="000805C6" w:rsidRDefault="000805C6">
    <w:pPr>
      <w:pStyle w:val="Footer"/>
      <w:jc w:val="right"/>
    </w:pPr>
  </w:p>
  <w:p w14:paraId="40F17076"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853C13">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C5FD0" w14:textId="77777777" w:rsidR="003419C9" w:rsidRDefault="003419C9">
      <w:r>
        <w:separator/>
      </w:r>
    </w:p>
  </w:footnote>
  <w:footnote w:type="continuationSeparator" w:id="0">
    <w:p w14:paraId="13127C7E"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D463" w14:textId="77777777" w:rsidR="000805C6" w:rsidRDefault="005930ED" w:rsidP="000805C6">
    <w:pPr>
      <w:pStyle w:val="Header"/>
      <w:jc w:val="center"/>
      <w:rPr>
        <w:rFonts w:ascii="Arial" w:hAnsi="Arial" w:cs="Arial"/>
        <w:b/>
        <w:sz w:val="20"/>
      </w:rPr>
    </w:pPr>
    <w:r>
      <w:rPr>
        <w:rFonts w:ascii="Arial" w:hAnsi="Arial" w:cs="Arial"/>
        <w:b/>
        <w:sz w:val="20"/>
      </w:rPr>
      <w:t>MARCH</w:t>
    </w:r>
    <w:r w:rsidR="000805C6">
      <w:rPr>
        <w:rFonts w:ascii="Arial" w:hAnsi="Arial" w:cs="Arial"/>
        <w:b/>
        <w:sz w:val="20"/>
      </w:rPr>
      <w:t xml:space="preserve"> 201</w:t>
    </w:r>
    <w:r>
      <w:rPr>
        <w:rFonts w:ascii="Arial" w:hAnsi="Arial" w:cs="Arial"/>
        <w:b/>
        <w:sz w:val="20"/>
      </w:rPr>
      <w:t>9</w:t>
    </w:r>
    <w:r w:rsidR="00011B57">
      <w:rPr>
        <w:rFonts w:ascii="Arial" w:hAnsi="Arial" w:cs="Arial"/>
        <w:b/>
        <w:sz w:val="20"/>
      </w:rPr>
      <w:t xml:space="preserve">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4A6BCF87" w14:textId="77777777"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661A" w14:textId="77777777" w:rsidR="00613975" w:rsidRDefault="00100024" w:rsidP="00613975">
    <w:pPr>
      <w:pStyle w:val="Header"/>
      <w:jc w:val="center"/>
      <w:rPr>
        <w:rFonts w:ascii="Arial" w:hAnsi="Arial" w:cs="Arial"/>
        <w:b/>
        <w:sz w:val="20"/>
      </w:rPr>
    </w:pPr>
    <w:r>
      <w:rPr>
        <w:rFonts w:ascii="Arial" w:hAnsi="Arial" w:cs="Arial"/>
        <w:b/>
        <w:sz w:val="20"/>
      </w:rPr>
      <w:t>NOVEMBER 2017</w:t>
    </w:r>
    <w:r w:rsidR="00A24F2E" w:rsidRPr="00A24F2E">
      <w:rPr>
        <w:rFonts w:ascii="Arial" w:hAnsi="Arial" w:cs="Arial"/>
        <w:b/>
        <w:sz w:val="20"/>
      </w:rPr>
      <w:t xml:space="preserve">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6872B082"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E93696D"/>
    <w:multiLevelType w:val="hybridMultilevel"/>
    <w:tmpl w:val="6F4A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EB3949"/>
    <w:multiLevelType w:val="hybridMultilevel"/>
    <w:tmpl w:val="CFBA9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73860"/>
    <w:multiLevelType w:val="hybridMultilevel"/>
    <w:tmpl w:val="F12A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D3C83"/>
    <w:multiLevelType w:val="hybridMultilevel"/>
    <w:tmpl w:val="616E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047611"/>
    <w:multiLevelType w:val="hybridMultilevel"/>
    <w:tmpl w:val="8F321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3B3106"/>
    <w:multiLevelType w:val="hybridMultilevel"/>
    <w:tmpl w:val="EBB29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6BB83544"/>
    <w:multiLevelType w:val="hybridMultilevel"/>
    <w:tmpl w:val="4AA4D96A"/>
    <w:lvl w:ilvl="0" w:tplc="0C090001">
      <w:start w:val="1"/>
      <w:numFmt w:val="bullet"/>
      <w:lvlText w:val=""/>
      <w:lvlJc w:val="left"/>
      <w:pPr>
        <w:ind w:left="469" w:hanging="360"/>
      </w:pPr>
      <w:rPr>
        <w:rFonts w:ascii="Symbol" w:hAnsi="Symbol" w:hint="default"/>
      </w:rPr>
    </w:lvl>
    <w:lvl w:ilvl="1" w:tplc="0C090003" w:tentative="1">
      <w:start w:val="1"/>
      <w:numFmt w:val="bullet"/>
      <w:lvlText w:val="o"/>
      <w:lvlJc w:val="left"/>
      <w:pPr>
        <w:ind w:left="1189" w:hanging="360"/>
      </w:pPr>
      <w:rPr>
        <w:rFonts w:ascii="Courier New" w:hAnsi="Courier New" w:cs="Courier New" w:hint="default"/>
      </w:rPr>
    </w:lvl>
    <w:lvl w:ilvl="2" w:tplc="0C090005" w:tentative="1">
      <w:start w:val="1"/>
      <w:numFmt w:val="bullet"/>
      <w:lvlText w:val=""/>
      <w:lvlJc w:val="left"/>
      <w:pPr>
        <w:ind w:left="1909" w:hanging="360"/>
      </w:pPr>
      <w:rPr>
        <w:rFonts w:ascii="Wingdings" w:hAnsi="Wingdings" w:hint="default"/>
      </w:rPr>
    </w:lvl>
    <w:lvl w:ilvl="3" w:tplc="0C090001" w:tentative="1">
      <w:start w:val="1"/>
      <w:numFmt w:val="bullet"/>
      <w:lvlText w:val=""/>
      <w:lvlJc w:val="left"/>
      <w:pPr>
        <w:ind w:left="2629" w:hanging="360"/>
      </w:pPr>
      <w:rPr>
        <w:rFonts w:ascii="Symbol" w:hAnsi="Symbol" w:hint="default"/>
      </w:rPr>
    </w:lvl>
    <w:lvl w:ilvl="4" w:tplc="0C090003" w:tentative="1">
      <w:start w:val="1"/>
      <w:numFmt w:val="bullet"/>
      <w:lvlText w:val="o"/>
      <w:lvlJc w:val="left"/>
      <w:pPr>
        <w:ind w:left="3349" w:hanging="360"/>
      </w:pPr>
      <w:rPr>
        <w:rFonts w:ascii="Courier New" w:hAnsi="Courier New" w:cs="Courier New" w:hint="default"/>
      </w:rPr>
    </w:lvl>
    <w:lvl w:ilvl="5" w:tplc="0C090005" w:tentative="1">
      <w:start w:val="1"/>
      <w:numFmt w:val="bullet"/>
      <w:lvlText w:val=""/>
      <w:lvlJc w:val="left"/>
      <w:pPr>
        <w:ind w:left="4069" w:hanging="360"/>
      </w:pPr>
      <w:rPr>
        <w:rFonts w:ascii="Wingdings" w:hAnsi="Wingdings" w:hint="default"/>
      </w:rPr>
    </w:lvl>
    <w:lvl w:ilvl="6" w:tplc="0C090001" w:tentative="1">
      <w:start w:val="1"/>
      <w:numFmt w:val="bullet"/>
      <w:lvlText w:val=""/>
      <w:lvlJc w:val="left"/>
      <w:pPr>
        <w:ind w:left="4789" w:hanging="360"/>
      </w:pPr>
      <w:rPr>
        <w:rFonts w:ascii="Symbol" w:hAnsi="Symbol" w:hint="default"/>
      </w:rPr>
    </w:lvl>
    <w:lvl w:ilvl="7" w:tplc="0C090003" w:tentative="1">
      <w:start w:val="1"/>
      <w:numFmt w:val="bullet"/>
      <w:lvlText w:val="o"/>
      <w:lvlJc w:val="left"/>
      <w:pPr>
        <w:ind w:left="5509" w:hanging="360"/>
      </w:pPr>
      <w:rPr>
        <w:rFonts w:ascii="Courier New" w:hAnsi="Courier New" w:cs="Courier New" w:hint="default"/>
      </w:rPr>
    </w:lvl>
    <w:lvl w:ilvl="8" w:tplc="0C090005" w:tentative="1">
      <w:start w:val="1"/>
      <w:numFmt w:val="bullet"/>
      <w:lvlText w:val=""/>
      <w:lvlJc w:val="left"/>
      <w:pPr>
        <w:ind w:left="6229" w:hanging="360"/>
      </w:pPr>
      <w:rPr>
        <w:rFonts w:ascii="Wingdings" w:hAnsi="Wingdings" w:hint="default"/>
      </w:rPr>
    </w:lvl>
  </w:abstractNum>
  <w:abstractNum w:abstractNumId="20" w15:restartNumberingAfterBreak="0">
    <w:nsid w:val="6E7A13D2"/>
    <w:multiLevelType w:val="hybridMultilevel"/>
    <w:tmpl w:val="37F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3A2D42"/>
    <w:multiLevelType w:val="hybridMultilevel"/>
    <w:tmpl w:val="F48A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494AEE"/>
    <w:multiLevelType w:val="hybridMultilevel"/>
    <w:tmpl w:val="C69AA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5"/>
  </w:num>
  <w:num w:numId="4">
    <w:abstractNumId w:val="13"/>
  </w:num>
  <w:num w:numId="5">
    <w:abstractNumId w:val="4"/>
  </w:num>
  <w:num w:numId="6">
    <w:abstractNumId w:val="21"/>
  </w:num>
  <w:num w:numId="7">
    <w:abstractNumId w:val="9"/>
  </w:num>
  <w:num w:numId="8">
    <w:abstractNumId w:val="5"/>
  </w:num>
  <w:num w:numId="9">
    <w:abstractNumId w:val="3"/>
  </w:num>
  <w:num w:numId="10">
    <w:abstractNumId w:val="11"/>
  </w:num>
  <w:num w:numId="11">
    <w:abstractNumId w:val="6"/>
  </w:num>
  <w:num w:numId="12">
    <w:abstractNumId w:val="22"/>
  </w:num>
  <w:num w:numId="13">
    <w:abstractNumId w:val="23"/>
  </w:num>
  <w:num w:numId="14">
    <w:abstractNumId w:val="7"/>
  </w:num>
  <w:num w:numId="15">
    <w:abstractNumId w:val="1"/>
  </w:num>
  <w:num w:numId="16">
    <w:abstractNumId w:val="8"/>
  </w:num>
  <w:num w:numId="17">
    <w:abstractNumId w:val="2"/>
  </w:num>
  <w:num w:numId="18">
    <w:abstractNumId w:val="14"/>
  </w:num>
  <w:num w:numId="19">
    <w:abstractNumId w:val="19"/>
  </w:num>
  <w:num w:numId="20">
    <w:abstractNumId w:val="12"/>
  </w:num>
  <w:num w:numId="21">
    <w:abstractNumId w:val="10"/>
  </w:num>
  <w:num w:numId="22">
    <w:abstractNumId w:val="16"/>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7D"/>
    <w:rsid w:val="0000028A"/>
    <w:rsid w:val="00000A7F"/>
    <w:rsid w:val="00000FFD"/>
    <w:rsid w:val="000057CB"/>
    <w:rsid w:val="0001162E"/>
    <w:rsid w:val="00011B57"/>
    <w:rsid w:val="00014389"/>
    <w:rsid w:val="00016ABD"/>
    <w:rsid w:val="00021AAE"/>
    <w:rsid w:val="000239AB"/>
    <w:rsid w:val="00024634"/>
    <w:rsid w:val="00024F1C"/>
    <w:rsid w:val="00030555"/>
    <w:rsid w:val="00030F8C"/>
    <w:rsid w:val="000313B4"/>
    <w:rsid w:val="00031E49"/>
    <w:rsid w:val="00046D30"/>
    <w:rsid w:val="00060BDC"/>
    <w:rsid w:val="00062B17"/>
    <w:rsid w:val="000632B7"/>
    <w:rsid w:val="00063F01"/>
    <w:rsid w:val="000703F3"/>
    <w:rsid w:val="000805C6"/>
    <w:rsid w:val="000927B3"/>
    <w:rsid w:val="0009305C"/>
    <w:rsid w:val="00096AEE"/>
    <w:rsid w:val="000B4313"/>
    <w:rsid w:val="000B6738"/>
    <w:rsid w:val="000C0829"/>
    <w:rsid w:val="000C1D6F"/>
    <w:rsid w:val="000C4095"/>
    <w:rsid w:val="000D02B2"/>
    <w:rsid w:val="000D1304"/>
    <w:rsid w:val="000D3717"/>
    <w:rsid w:val="000E365A"/>
    <w:rsid w:val="000E406F"/>
    <w:rsid w:val="000E52C4"/>
    <w:rsid w:val="000E59BE"/>
    <w:rsid w:val="00100024"/>
    <w:rsid w:val="0010394D"/>
    <w:rsid w:val="001047FA"/>
    <w:rsid w:val="00120488"/>
    <w:rsid w:val="001263F7"/>
    <w:rsid w:val="0013547D"/>
    <w:rsid w:val="00144E78"/>
    <w:rsid w:val="00146698"/>
    <w:rsid w:val="00167BBC"/>
    <w:rsid w:val="00167F3A"/>
    <w:rsid w:val="00170906"/>
    <w:rsid w:val="001810B2"/>
    <w:rsid w:val="001943AA"/>
    <w:rsid w:val="001A761B"/>
    <w:rsid w:val="001C0908"/>
    <w:rsid w:val="001D38D0"/>
    <w:rsid w:val="001E3A3F"/>
    <w:rsid w:val="001F5344"/>
    <w:rsid w:val="002007BA"/>
    <w:rsid w:val="00204DAD"/>
    <w:rsid w:val="00204DB4"/>
    <w:rsid w:val="002075FB"/>
    <w:rsid w:val="00220228"/>
    <w:rsid w:val="00220C3F"/>
    <w:rsid w:val="00223C4D"/>
    <w:rsid w:val="00235E77"/>
    <w:rsid w:val="00237031"/>
    <w:rsid w:val="00241470"/>
    <w:rsid w:val="00241E9E"/>
    <w:rsid w:val="002440EA"/>
    <w:rsid w:val="002460D4"/>
    <w:rsid w:val="00246190"/>
    <w:rsid w:val="002527E3"/>
    <w:rsid w:val="00255313"/>
    <w:rsid w:val="00255AE8"/>
    <w:rsid w:val="00255D6E"/>
    <w:rsid w:val="00256ACE"/>
    <w:rsid w:val="00261171"/>
    <w:rsid w:val="002743B5"/>
    <w:rsid w:val="00283041"/>
    <w:rsid w:val="002861D6"/>
    <w:rsid w:val="00287BC5"/>
    <w:rsid w:val="002951DC"/>
    <w:rsid w:val="00297A0B"/>
    <w:rsid w:val="002A1CF2"/>
    <w:rsid w:val="002A3C25"/>
    <w:rsid w:val="002A42C5"/>
    <w:rsid w:val="002A46E6"/>
    <w:rsid w:val="002A5152"/>
    <w:rsid w:val="002A6D25"/>
    <w:rsid w:val="002A7FDE"/>
    <w:rsid w:val="002B654B"/>
    <w:rsid w:val="002C0422"/>
    <w:rsid w:val="002C2A58"/>
    <w:rsid w:val="002D5215"/>
    <w:rsid w:val="002D70FB"/>
    <w:rsid w:val="002E5B33"/>
    <w:rsid w:val="002F00C6"/>
    <w:rsid w:val="002F0F71"/>
    <w:rsid w:val="002F1CF6"/>
    <w:rsid w:val="002F5086"/>
    <w:rsid w:val="002F62A6"/>
    <w:rsid w:val="003028B7"/>
    <w:rsid w:val="00302B1F"/>
    <w:rsid w:val="00303527"/>
    <w:rsid w:val="00305656"/>
    <w:rsid w:val="003117DA"/>
    <w:rsid w:val="00312342"/>
    <w:rsid w:val="00312E87"/>
    <w:rsid w:val="00320F76"/>
    <w:rsid w:val="00322CA5"/>
    <w:rsid w:val="00323A96"/>
    <w:rsid w:val="00324853"/>
    <w:rsid w:val="0033156A"/>
    <w:rsid w:val="003335F7"/>
    <w:rsid w:val="003357E8"/>
    <w:rsid w:val="00337EC3"/>
    <w:rsid w:val="003415EF"/>
    <w:rsid w:val="003419C9"/>
    <w:rsid w:val="00344E6D"/>
    <w:rsid w:val="00344F7D"/>
    <w:rsid w:val="00347546"/>
    <w:rsid w:val="00367CA3"/>
    <w:rsid w:val="0037588D"/>
    <w:rsid w:val="00380699"/>
    <w:rsid w:val="00382308"/>
    <w:rsid w:val="0039594A"/>
    <w:rsid w:val="0039641E"/>
    <w:rsid w:val="003B42DB"/>
    <w:rsid w:val="003B6CFA"/>
    <w:rsid w:val="003C3492"/>
    <w:rsid w:val="003D509D"/>
    <w:rsid w:val="003E2DEC"/>
    <w:rsid w:val="003E3C69"/>
    <w:rsid w:val="003E5ACC"/>
    <w:rsid w:val="003F12A1"/>
    <w:rsid w:val="003F7763"/>
    <w:rsid w:val="00401F5B"/>
    <w:rsid w:val="00403549"/>
    <w:rsid w:val="004045D0"/>
    <w:rsid w:val="004074CD"/>
    <w:rsid w:val="00416C9D"/>
    <w:rsid w:val="0042091B"/>
    <w:rsid w:val="00422B04"/>
    <w:rsid w:val="00434AD2"/>
    <w:rsid w:val="00434AEF"/>
    <w:rsid w:val="0043706A"/>
    <w:rsid w:val="00446F57"/>
    <w:rsid w:val="0044777F"/>
    <w:rsid w:val="00447CFB"/>
    <w:rsid w:val="004568DD"/>
    <w:rsid w:val="0046124D"/>
    <w:rsid w:val="00462DD8"/>
    <w:rsid w:val="00467522"/>
    <w:rsid w:val="00475539"/>
    <w:rsid w:val="00477C5E"/>
    <w:rsid w:val="0048240E"/>
    <w:rsid w:val="004869E4"/>
    <w:rsid w:val="004874F1"/>
    <w:rsid w:val="00490C42"/>
    <w:rsid w:val="0049673E"/>
    <w:rsid w:val="004968F4"/>
    <w:rsid w:val="004A4FC2"/>
    <w:rsid w:val="004A7506"/>
    <w:rsid w:val="004A76AD"/>
    <w:rsid w:val="004B42E8"/>
    <w:rsid w:val="004C071C"/>
    <w:rsid w:val="004C0A09"/>
    <w:rsid w:val="004C3700"/>
    <w:rsid w:val="004D08BF"/>
    <w:rsid w:val="004D2DFC"/>
    <w:rsid w:val="004D3707"/>
    <w:rsid w:val="004E4BB3"/>
    <w:rsid w:val="004E58AE"/>
    <w:rsid w:val="004E61E5"/>
    <w:rsid w:val="004E7F92"/>
    <w:rsid w:val="004F22AF"/>
    <w:rsid w:val="004F53A2"/>
    <w:rsid w:val="00503F31"/>
    <w:rsid w:val="005060C3"/>
    <w:rsid w:val="00510EEE"/>
    <w:rsid w:val="005156A1"/>
    <w:rsid w:val="0051671E"/>
    <w:rsid w:val="00523F16"/>
    <w:rsid w:val="00524927"/>
    <w:rsid w:val="00526875"/>
    <w:rsid w:val="0052700A"/>
    <w:rsid w:val="00531FFC"/>
    <w:rsid w:val="005334F6"/>
    <w:rsid w:val="00533EC6"/>
    <w:rsid w:val="0054618C"/>
    <w:rsid w:val="00550526"/>
    <w:rsid w:val="00551121"/>
    <w:rsid w:val="00556A91"/>
    <w:rsid w:val="0056006F"/>
    <w:rsid w:val="00565922"/>
    <w:rsid w:val="00566859"/>
    <w:rsid w:val="00575B97"/>
    <w:rsid w:val="00576702"/>
    <w:rsid w:val="00583A1F"/>
    <w:rsid w:val="00584F3A"/>
    <w:rsid w:val="00591511"/>
    <w:rsid w:val="005930ED"/>
    <w:rsid w:val="0059387E"/>
    <w:rsid w:val="005948E2"/>
    <w:rsid w:val="005A3618"/>
    <w:rsid w:val="005A4700"/>
    <w:rsid w:val="005B07F6"/>
    <w:rsid w:val="005B1359"/>
    <w:rsid w:val="005B6144"/>
    <w:rsid w:val="005C51C0"/>
    <w:rsid w:val="005C529C"/>
    <w:rsid w:val="005C583B"/>
    <w:rsid w:val="005C63E0"/>
    <w:rsid w:val="005D0350"/>
    <w:rsid w:val="005D0C2F"/>
    <w:rsid w:val="005D34BB"/>
    <w:rsid w:val="005E4432"/>
    <w:rsid w:val="005E6A00"/>
    <w:rsid w:val="005E7C18"/>
    <w:rsid w:val="005F5AFB"/>
    <w:rsid w:val="00606B1D"/>
    <w:rsid w:val="00613975"/>
    <w:rsid w:val="00615900"/>
    <w:rsid w:val="0062060A"/>
    <w:rsid w:val="006227C5"/>
    <w:rsid w:val="00631D79"/>
    <w:rsid w:val="00636B27"/>
    <w:rsid w:val="0063770E"/>
    <w:rsid w:val="006378CF"/>
    <w:rsid w:val="00641035"/>
    <w:rsid w:val="00650F34"/>
    <w:rsid w:val="00655D5C"/>
    <w:rsid w:val="00670168"/>
    <w:rsid w:val="00674FEC"/>
    <w:rsid w:val="00680915"/>
    <w:rsid w:val="00686972"/>
    <w:rsid w:val="00690AA4"/>
    <w:rsid w:val="00695D28"/>
    <w:rsid w:val="006973A6"/>
    <w:rsid w:val="006A4BE8"/>
    <w:rsid w:val="006B1423"/>
    <w:rsid w:val="006C15C5"/>
    <w:rsid w:val="006C196C"/>
    <w:rsid w:val="006C1CD8"/>
    <w:rsid w:val="006E0C7B"/>
    <w:rsid w:val="006E4FBA"/>
    <w:rsid w:val="006F3F91"/>
    <w:rsid w:val="006F40D1"/>
    <w:rsid w:val="00702F6F"/>
    <w:rsid w:val="007045F6"/>
    <w:rsid w:val="00704ABF"/>
    <w:rsid w:val="00704E74"/>
    <w:rsid w:val="007170DA"/>
    <w:rsid w:val="00720097"/>
    <w:rsid w:val="00735D52"/>
    <w:rsid w:val="00743998"/>
    <w:rsid w:val="00751128"/>
    <w:rsid w:val="0075364D"/>
    <w:rsid w:val="007544D3"/>
    <w:rsid w:val="007572F6"/>
    <w:rsid w:val="007605AB"/>
    <w:rsid w:val="0076473F"/>
    <w:rsid w:val="00770B47"/>
    <w:rsid w:val="00777395"/>
    <w:rsid w:val="0078027D"/>
    <w:rsid w:val="00783EF0"/>
    <w:rsid w:val="0078430D"/>
    <w:rsid w:val="00784382"/>
    <w:rsid w:val="0079164A"/>
    <w:rsid w:val="007A0162"/>
    <w:rsid w:val="007A29FA"/>
    <w:rsid w:val="007A361E"/>
    <w:rsid w:val="007C0EDE"/>
    <w:rsid w:val="007D085A"/>
    <w:rsid w:val="007D0B96"/>
    <w:rsid w:val="007D44F0"/>
    <w:rsid w:val="007E146D"/>
    <w:rsid w:val="007E534D"/>
    <w:rsid w:val="007F4D1F"/>
    <w:rsid w:val="007F78CC"/>
    <w:rsid w:val="007F7F08"/>
    <w:rsid w:val="0080031A"/>
    <w:rsid w:val="0080046E"/>
    <w:rsid w:val="008068F2"/>
    <w:rsid w:val="00815D6B"/>
    <w:rsid w:val="0081702A"/>
    <w:rsid w:val="00817AA9"/>
    <w:rsid w:val="00821E75"/>
    <w:rsid w:val="00826000"/>
    <w:rsid w:val="008332AE"/>
    <w:rsid w:val="00842F8C"/>
    <w:rsid w:val="00850073"/>
    <w:rsid w:val="00853C13"/>
    <w:rsid w:val="00855CF7"/>
    <w:rsid w:val="0086299E"/>
    <w:rsid w:val="0086603E"/>
    <w:rsid w:val="00883077"/>
    <w:rsid w:val="0089118B"/>
    <w:rsid w:val="008930AC"/>
    <w:rsid w:val="008965DE"/>
    <w:rsid w:val="008A5929"/>
    <w:rsid w:val="008A71F8"/>
    <w:rsid w:val="008B0416"/>
    <w:rsid w:val="008B0E22"/>
    <w:rsid w:val="008B6C3E"/>
    <w:rsid w:val="008B7160"/>
    <w:rsid w:val="008C185A"/>
    <w:rsid w:val="008C6E23"/>
    <w:rsid w:val="008D0CCA"/>
    <w:rsid w:val="008D676E"/>
    <w:rsid w:val="008D72BA"/>
    <w:rsid w:val="008E0965"/>
    <w:rsid w:val="009014E2"/>
    <w:rsid w:val="009044AF"/>
    <w:rsid w:val="009124A8"/>
    <w:rsid w:val="009224BE"/>
    <w:rsid w:val="00924932"/>
    <w:rsid w:val="00926BBF"/>
    <w:rsid w:val="0093171D"/>
    <w:rsid w:val="00933E50"/>
    <w:rsid w:val="00934AD5"/>
    <w:rsid w:val="00937442"/>
    <w:rsid w:val="009432B0"/>
    <w:rsid w:val="00947987"/>
    <w:rsid w:val="00957F9F"/>
    <w:rsid w:val="00972B1B"/>
    <w:rsid w:val="00975931"/>
    <w:rsid w:val="0098248A"/>
    <w:rsid w:val="009903EF"/>
    <w:rsid w:val="00991AFC"/>
    <w:rsid w:val="00995BF6"/>
    <w:rsid w:val="009967A2"/>
    <w:rsid w:val="009A6515"/>
    <w:rsid w:val="009B2F04"/>
    <w:rsid w:val="009B6BB1"/>
    <w:rsid w:val="009B6E95"/>
    <w:rsid w:val="009B735A"/>
    <w:rsid w:val="009B7CBE"/>
    <w:rsid w:val="009C73A4"/>
    <w:rsid w:val="009C7FD0"/>
    <w:rsid w:val="009D1D30"/>
    <w:rsid w:val="009E08FF"/>
    <w:rsid w:val="009E299C"/>
    <w:rsid w:val="009E6539"/>
    <w:rsid w:val="009F0ED6"/>
    <w:rsid w:val="009F26E9"/>
    <w:rsid w:val="009F42BE"/>
    <w:rsid w:val="009F5E7E"/>
    <w:rsid w:val="00A017D1"/>
    <w:rsid w:val="00A02424"/>
    <w:rsid w:val="00A07C14"/>
    <w:rsid w:val="00A20B77"/>
    <w:rsid w:val="00A24F2E"/>
    <w:rsid w:val="00A26805"/>
    <w:rsid w:val="00A42D88"/>
    <w:rsid w:val="00A54D11"/>
    <w:rsid w:val="00A55002"/>
    <w:rsid w:val="00A55142"/>
    <w:rsid w:val="00A56D92"/>
    <w:rsid w:val="00A56ED7"/>
    <w:rsid w:val="00A62091"/>
    <w:rsid w:val="00A62A65"/>
    <w:rsid w:val="00A62D7E"/>
    <w:rsid w:val="00A659C7"/>
    <w:rsid w:val="00A706C5"/>
    <w:rsid w:val="00A71CF4"/>
    <w:rsid w:val="00A729E5"/>
    <w:rsid w:val="00A74BD3"/>
    <w:rsid w:val="00A772C7"/>
    <w:rsid w:val="00A80F6A"/>
    <w:rsid w:val="00A90705"/>
    <w:rsid w:val="00A90F44"/>
    <w:rsid w:val="00A913CA"/>
    <w:rsid w:val="00A93A3A"/>
    <w:rsid w:val="00AB2CF6"/>
    <w:rsid w:val="00AD3357"/>
    <w:rsid w:val="00AD632B"/>
    <w:rsid w:val="00AE346B"/>
    <w:rsid w:val="00AE3F52"/>
    <w:rsid w:val="00AF4A3C"/>
    <w:rsid w:val="00B01740"/>
    <w:rsid w:val="00B02F31"/>
    <w:rsid w:val="00B10521"/>
    <w:rsid w:val="00B216CD"/>
    <w:rsid w:val="00B2283B"/>
    <w:rsid w:val="00B26FF7"/>
    <w:rsid w:val="00B31015"/>
    <w:rsid w:val="00B312A2"/>
    <w:rsid w:val="00B36AD3"/>
    <w:rsid w:val="00B43E46"/>
    <w:rsid w:val="00B44CA8"/>
    <w:rsid w:val="00B45F4E"/>
    <w:rsid w:val="00B74B86"/>
    <w:rsid w:val="00B77A97"/>
    <w:rsid w:val="00B80FE3"/>
    <w:rsid w:val="00B91BCA"/>
    <w:rsid w:val="00B93B4A"/>
    <w:rsid w:val="00BA3A69"/>
    <w:rsid w:val="00BC0474"/>
    <w:rsid w:val="00BC1FB7"/>
    <w:rsid w:val="00BC3F63"/>
    <w:rsid w:val="00BC55C3"/>
    <w:rsid w:val="00BD2203"/>
    <w:rsid w:val="00BD31C0"/>
    <w:rsid w:val="00BD6EBF"/>
    <w:rsid w:val="00BE58B8"/>
    <w:rsid w:val="00BE7663"/>
    <w:rsid w:val="00BE7D88"/>
    <w:rsid w:val="00C015D9"/>
    <w:rsid w:val="00C0791F"/>
    <w:rsid w:val="00C110F0"/>
    <w:rsid w:val="00C16D96"/>
    <w:rsid w:val="00C2561B"/>
    <w:rsid w:val="00C26A1C"/>
    <w:rsid w:val="00C333D1"/>
    <w:rsid w:val="00C355A7"/>
    <w:rsid w:val="00C4326C"/>
    <w:rsid w:val="00C44740"/>
    <w:rsid w:val="00C44762"/>
    <w:rsid w:val="00C464A5"/>
    <w:rsid w:val="00C63C8D"/>
    <w:rsid w:val="00C822F1"/>
    <w:rsid w:val="00C86595"/>
    <w:rsid w:val="00C9315F"/>
    <w:rsid w:val="00C9450F"/>
    <w:rsid w:val="00C94D2C"/>
    <w:rsid w:val="00CA0C65"/>
    <w:rsid w:val="00CA2B5C"/>
    <w:rsid w:val="00CA2D5B"/>
    <w:rsid w:val="00CA7CB3"/>
    <w:rsid w:val="00CB2370"/>
    <w:rsid w:val="00CB5BEE"/>
    <w:rsid w:val="00CC13EE"/>
    <w:rsid w:val="00CC5D35"/>
    <w:rsid w:val="00CD3345"/>
    <w:rsid w:val="00CE3D26"/>
    <w:rsid w:val="00CE3E9F"/>
    <w:rsid w:val="00D041FE"/>
    <w:rsid w:val="00D06895"/>
    <w:rsid w:val="00D107B1"/>
    <w:rsid w:val="00D11816"/>
    <w:rsid w:val="00D230A2"/>
    <w:rsid w:val="00D3127D"/>
    <w:rsid w:val="00D40601"/>
    <w:rsid w:val="00D407A7"/>
    <w:rsid w:val="00D4464D"/>
    <w:rsid w:val="00D4717B"/>
    <w:rsid w:val="00D5330C"/>
    <w:rsid w:val="00D61D0B"/>
    <w:rsid w:val="00D641C2"/>
    <w:rsid w:val="00D6558A"/>
    <w:rsid w:val="00D65DDC"/>
    <w:rsid w:val="00D670A5"/>
    <w:rsid w:val="00D70CFE"/>
    <w:rsid w:val="00D749D3"/>
    <w:rsid w:val="00D81CEC"/>
    <w:rsid w:val="00D85166"/>
    <w:rsid w:val="00D901F8"/>
    <w:rsid w:val="00D905C6"/>
    <w:rsid w:val="00DA337C"/>
    <w:rsid w:val="00DA3C84"/>
    <w:rsid w:val="00DB0BAD"/>
    <w:rsid w:val="00DB3394"/>
    <w:rsid w:val="00DB589E"/>
    <w:rsid w:val="00DB63C7"/>
    <w:rsid w:val="00DD5B1D"/>
    <w:rsid w:val="00DD66E2"/>
    <w:rsid w:val="00DE6421"/>
    <w:rsid w:val="00DE6C5F"/>
    <w:rsid w:val="00DF703C"/>
    <w:rsid w:val="00DF7278"/>
    <w:rsid w:val="00E01701"/>
    <w:rsid w:val="00E0328A"/>
    <w:rsid w:val="00E0664F"/>
    <w:rsid w:val="00E16367"/>
    <w:rsid w:val="00E224FF"/>
    <w:rsid w:val="00E239BA"/>
    <w:rsid w:val="00E331E0"/>
    <w:rsid w:val="00E368A2"/>
    <w:rsid w:val="00E47CDA"/>
    <w:rsid w:val="00E47E9A"/>
    <w:rsid w:val="00E508BC"/>
    <w:rsid w:val="00E5289F"/>
    <w:rsid w:val="00E54EFE"/>
    <w:rsid w:val="00E57D8D"/>
    <w:rsid w:val="00E60ACD"/>
    <w:rsid w:val="00E62C57"/>
    <w:rsid w:val="00E62D88"/>
    <w:rsid w:val="00E71426"/>
    <w:rsid w:val="00E7686D"/>
    <w:rsid w:val="00E77EAA"/>
    <w:rsid w:val="00E84559"/>
    <w:rsid w:val="00E86609"/>
    <w:rsid w:val="00E86F09"/>
    <w:rsid w:val="00E96332"/>
    <w:rsid w:val="00EA02A3"/>
    <w:rsid w:val="00EA46DB"/>
    <w:rsid w:val="00EA6994"/>
    <w:rsid w:val="00EB0261"/>
    <w:rsid w:val="00EB19EB"/>
    <w:rsid w:val="00EB358A"/>
    <w:rsid w:val="00EB79F5"/>
    <w:rsid w:val="00EC5E1E"/>
    <w:rsid w:val="00ED0EFA"/>
    <w:rsid w:val="00EE1E65"/>
    <w:rsid w:val="00EE5442"/>
    <w:rsid w:val="00EF026E"/>
    <w:rsid w:val="00EF6BE3"/>
    <w:rsid w:val="00F20487"/>
    <w:rsid w:val="00F215D2"/>
    <w:rsid w:val="00F23F38"/>
    <w:rsid w:val="00F25545"/>
    <w:rsid w:val="00F40665"/>
    <w:rsid w:val="00F43732"/>
    <w:rsid w:val="00F474B8"/>
    <w:rsid w:val="00F52E0A"/>
    <w:rsid w:val="00F61C70"/>
    <w:rsid w:val="00F72B54"/>
    <w:rsid w:val="00F75206"/>
    <w:rsid w:val="00F82673"/>
    <w:rsid w:val="00F83FA8"/>
    <w:rsid w:val="00F87ECD"/>
    <w:rsid w:val="00F924D9"/>
    <w:rsid w:val="00FB02AB"/>
    <w:rsid w:val="00FC0CE0"/>
    <w:rsid w:val="00FC4900"/>
    <w:rsid w:val="00FD1332"/>
    <w:rsid w:val="00FD6C20"/>
    <w:rsid w:val="00FD7D78"/>
    <w:rsid w:val="00FE1279"/>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6953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uiPriority w:val="1"/>
    <w:qFormat/>
    <w:pPr>
      <w:keepNext/>
      <w:outlineLvl w:val="0"/>
    </w:pPr>
    <w:rPr>
      <w:rFonts w:ascii="Arial" w:hAnsi="Arial"/>
      <w:b/>
      <w:sz w:val="20"/>
    </w:rPr>
  </w:style>
  <w:style w:type="paragraph" w:styleId="Heading8">
    <w:name w:val="heading 8"/>
    <w:basedOn w:val="Normal"/>
    <w:next w:val="Normal"/>
    <w:link w:val="Heading8Char"/>
    <w:uiPriority w:val="7"/>
    <w:unhideWhenUsed/>
    <w:qFormat/>
    <w:rsid w:val="00C822F1"/>
    <w:pPr>
      <w:keepNext/>
      <w:keepLines/>
      <w:spacing w:before="40"/>
      <w:ind w:left="1440" w:hanging="1440"/>
      <w:outlineLvl w:val="7"/>
    </w:pPr>
    <w:rPr>
      <w:rFonts w:ascii="Calibri Light" w:eastAsia="MS Gothic" w:hAnsi="Calibri Light"/>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EB358A"/>
    <w:pPr>
      <w:spacing w:after="120"/>
    </w:pPr>
    <w:rPr>
      <w:rFonts w:ascii="Arial" w:hAnsi="Arial" w:cs="Arial"/>
      <w:snapToGrid w:val="0"/>
      <w:sz w:val="20"/>
      <w:szCs w:val="22"/>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Footnote,Bullet point,List Paragraph1,List Paragraph11,Recommendation,Numbered para,ES Paragraph,PBAC ES Paragraph,PBAC normal points,Bullet List"/>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Numbered para Char,ES Paragraph Char,PBAC ES Paragraph Char,PBAC normal points Char,Bullet List Char"/>
    <w:link w:val="ListParagraph"/>
    <w:uiPriority w:val="34"/>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1CharCharChar">
    <w:name w:val="Char1 Char Char Char"/>
    <w:basedOn w:val="Normal"/>
    <w:rsid w:val="00261171"/>
    <w:pPr>
      <w:spacing w:after="160" w:line="240" w:lineRule="exact"/>
    </w:pPr>
    <w:rPr>
      <w:rFonts w:ascii="Verdana" w:eastAsia="MS Mincho" w:hAnsi="Verdana" w:cs="Verdana"/>
      <w:sz w:val="20"/>
      <w:lang w:val="en-US" w:eastAsia="en-US"/>
    </w:rPr>
  </w:style>
  <w:style w:type="character" w:customStyle="1" w:styleId="Heading8Char">
    <w:name w:val="Heading 8 Char"/>
    <w:basedOn w:val="DefaultParagraphFont"/>
    <w:link w:val="Heading8"/>
    <w:uiPriority w:val="7"/>
    <w:rsid w:val="00C822F1"/>
    <w:rPr>
      <w:rFonts w:ascii="Calibri Light" w:eastAsia="MS Gothic" w:hAnsi="Calibri Light"/>
      <w:color w:val="272727"/>
      <w:sz w:val="21"/>
      <w:szCs w:val="21"/>
      <w:lang w:eastAsia="en-US"/>
    </w:rPr>
  </w:style>
  <w:style w:type="character" w:styleId="CommentReference">
    <w:name w:val="annotation reference"/>
    <w:basedOn w:val="DefaultParagraphFont"/>
    <w:rsid w:val="006E4FBA"/>
    <w:rPr>
      <w:sz w:val="16"/>
      <w:szCs w:val="16"/>
    </w:rPr>
  </w:style>
  <w:style w:type="paragraph" w:styleId="CommentText">
    <w:name w:val="annotation text"/>
    <w:basedOn w:val="Normal"/>
    <w:link w:val="CommentTextChar"/>
    <w:rsid w:val="006E4FBA"/>
    <w:rPr>
      <w:sz w:val="20"/>
    </w:rPr>
  </w:style>
  <w:style w:type="character" w:customStyle="1" w:styleId="CommentTextChar">
    <w:name w:val="Comment Text Char"/>
    <w:basedOn w:val="DefaultParagraphFont"/>
    <w:link w:val="CommentText"/>
    <w:rsid w:val="006E4FBA"/>
  </w:style>
  <w:style w:type="paragraph" w:styleId="CommentSubject">
    <w:name w:val="annotation subject"/>
    <w:basedOn w:val="CommentText"/>
    <w:next w:val="CommentText"/>
    <w:link w:val="CommentSubjectChar"/>
    <w:rsid w:val="006E4FBA"/>
    <w:rPr>
      <w:b/>
      <w:bCs/>
    </w:rPr>
  </w:style>
  <w:style w:type="character" w:customStyle="1" w:styleId="CommentSubjectChar">
    <w:name w:val="Comment Subject Char"/>
    <w:basedOn w:val="CommentTextChar"/>
    <w:link w:val="CommentSubject"/>
    <w:rsid w:val="006E4FBA"/>
    <w:rPr>
      <w:b/>
      <w:bCs/>
    </w:rPr>
  </w:style>
  <w:style w:type="character" w:customStyle="1" w:styleId="TitleChar">
    <w:name w:val="Title Char"/>
    <w:basedOn w:val="DefaultParagraphFont"/>
    <w:link w:val="Title"/>
    <w:rsid w:val="00CB237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905">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21197178">
      <w:bodyDiv w:val="1"/>
      <w:marLeft w:val="0"/>
      <w:marRight w:val="0"/>
      <w:marTop w:val="0"/>
      <w:marBottom w:val="0"/>
      <w:divBdr>
        <w:top w:val="none" w:sz="0" w:space="0" w:color="auto"/>
        <w:left w:val="none" w:sz="0" w:space="0" w:color="auto"/>
        <w:bottom w:val="none" w:sz="0" w:space="0" w:color="auto"/>
        <w:right w:val="none" w:sz="0" w:space="0" w:color="auto"/>
      </w:divBdr>
    </w:div>
    <w:div w:id="205723273">
      <w:bodyDiv w:val="1"/>
      <w:marLeft w:val="0"/>
      <w:marRight w:val="0"/>
      <w:marTop w:val="0"/>
      <w:marBottom w:val="0"/>
      <w:divBdr>
        <w:top w:val="none" w:sz="0" w:space="0" w:color="auto"/>
        <w:left w:val="none" w:sz="0" w:space="0" w:color="auto"/>
        <w:bottom w:val="none" w:sz="0" w:space="0" w:color="auto"/>
        <w:right w:val="none" w:sz="0" w:space="0" w:color="auto"/>
      </w:divBdr>
    </w:div>
    <w:div w:id="215508864">
      <w:bodyDiv w:val="1"/>
      <w:marLeft w:val="0"/>
      <w:marRight w:val="0"/>
      <w:marTop w:val="0"/>
      <w:marBottom w:val="0"/>
      <w:divBdr>
        <w:top w:val="none" w:sz="0" w:space="0" w:color="auto"/>
        <w:left w:val="none" w:sz="0" w:space="0" w:color="auto"/>
        <w:bottom w:val="none" w:sz="0" w:space="0" w:color="auto"/>
        <w:right w:val="none" w:sz="0" w:space="0" w:color="auto"/>
      </w:divBdr>
    </w:div>
    <w:div w:id="220481906">
      <w:bodyDiv w:val="1"/>
      <w:marLeft w:val="0"/>
      <w:marRight w:val="0"/>
      <w:marTop w:val="0"/>
      <w:marBottom w:val="0"/>
      <w:divBdr>
        <w:top w:val="none" w:sz="0" w:space="0" w:color="auto"/>
        <w:left w:val="none" w:sz="0" w:space="0" w:color="auto"/>
        <w:bottom w:val="none" w:sz="0" w:space="0" w:color="auto"/>
        <w:right w:val="none" w:sz="0" w:space="0" w:color="auto"/>
      </w:divBdr>
    </w:div>
    <w:div w:id="324751222">
      <w:bodyDiv w:val="1"/>
      <w:marLeft w:val="0"/>
      <w:marRight w:val="0"/>
      <w:marTop w:val="0"/>
      <w:marBottom w:val="0"/>
      <w:divBdr>
        <w:top w:val="none" w:sz="0" w:space="0" w:color="auto"/>
        <w:left w:val="none" w:sz="0" w:space="0" w:color="auto"/>
        <w:bottom w:val="none" w:sz="0" w:space="0" w:color="auto"/>
        <w:right w:val="none" w:sz="0" w:space="0" w:color="auto"/>
      </w:divBdr>
    </w:div>
    <w:div w:id="337317736">
      <w:bodyDiv w:val="1"/>
      <w:marLeft w:val="0"/>
      <w:marRight w:val="0"/>
      <w:marTop w:val="0"/>
      <w:marBottom w:val="0"/>
      <w:divBdr>
        <w:top w:val="none" w:sz="0" w:space="0" w:color="auto"/>
        <w:left w:val="none" w:sz="0" w:space="0" w:color="auto"/>
        <w:bottom w:val="none" w:sz="0" w:space="0" w:color="auto"/>
        <w:right w:val="none" w:sz="0" w:space="0" w:color="auto"/>
      </w:divBdr>
    </w:div>
    <w:div w:id="372274896">
      <w:bodyDiv w:val="1"/>
      <w:marLeft w:val="0"/>
      <w:marRight w:val="0"/>
      <w:marTop w:val="0"/>
      <w:marBottom w:val="0"/>
      <w:divBdr>
        <w:top w:val="none" w:sz="0" w:space="0" w:color="auto"/>
        <w:left w:val="none" w:sz="0" w:space="0" w:color="auto"/>
        <w:bottom w:val="none" w:sz="0" w:space="0" w:color="auto"/>
        <w:right w:val="none" w:sz="0" w:space="0" w:color="auto"/>
      </w:divBdr>
    </w:div>
    <w:div w:id="395905807">
      <w:bodyDiv w:val="1"/>
      <w:marLeft w:val="0"/>
      <w:marRight w:val="0"/>
      <w:marTop w:val="0"/>
      <w:marBottom w:val="0"/>
      <w:divBdr>
        <w:top w:val="none" w:sz="0" w:space="0" w:color="auto"/>
        <w:left w:val="none" w:sz="0" w:space="0" w:color="auto"/>
        <w:bottom w:val="none" w:sz="0" w:space="0" w:color="auto"/>
        <w:right w:val="none" w:sz="0" w:space="0" w:color="auto"/>
      </w:divBdr>
    </w:div>
    <w:div w:id="402413444">
      <w:bodyDiv w:val="1"/>
      <w:marLeft w:val="0"/>
      <w:marRight w:val="0"/>
      <w:marTop w:val="0"/>
      <w:marBottom w:val="0"/>
      <w:divBdr>
        <w:top w:val="none" w:sz="0" w:space="0" w:color="auto"/>
        <w:left w:val="none" w:sz="0" w:space="0" w:color="auto"/>
        <w:bottom w:val="none" w:sz="0" w:space="0" w:color="auto"/>
        <w:right w:val="none" w:sz="0" w:space="0" w:color="auto"/>
      </w:divBdr>
    </w:div>
    <w:div w:id="621225633">
      <w:bodyDiv w:val="1"/>
      <w:marLeft w:val="0"/>
      <w:marRight w:val="0"/>
      <w:marTop w:val="0"/>
      <w:marBottom w:val="0"/>
      <w:divBdr>
        <w:top w:val="none" w:sz="0" w:space="0" w:color="auto"/>
        <w:left w:val="none" w:sz="0" w:space="0" w:color="auto"/>
        <w:bottom w:val="none" w:sz="0" w:space="0" w:color="auto"/>
        <w:right w:val="none" w:sz="0" w:space="0" w:color="auto"/>
      </w:divBdr>
    </w:div>
    <w:div w:id="621501225">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09590467">
      <w:bodyDiv w:val="1"/>
      <w:marLeft w:val="0"/>
      <w:marRight w:val="0"/>
      <w:marTop w:val="0"/>
      <w:marBottom w:val="0"/>
      <w:divBdr>
        <w:top w:val="none" w:sz="0" w:space="0" w:color="auto"/>
        <w:left w:val="none" w:sz="0" w:space="0" w:color="auto"/>
        <w:bottom w:val="none" w:sz="0" w:space="0" w:color="auto"/>
        <w:right w:val="none" w:sz="0" w:space="0" w:color="auto"/>
      </w:divBdr>
    </w:div>
    <w:div w:id="811408643">
      <w:bodyDiv w:val="1"/>
      <w:marLeft w:val="0"/>
      <w:marRight w:val="0"/>
      <w:marTop w:val="0"/>
      <w:marBottom w:val="0"/>
      <w:divBdr>
        <w:top w:val="none" w:sz="0" w:space="0" w:color="auto"/>
        <w:left w:val="none" w:sz="0" w:space="0" w:color="auto"/>
        <w:bottom w:val="none" w:sz="0" w:space="0" w:color="auto"/>
        <w:right w:val="none" w:sz="0" w:space="0" w:color="auto"/>
      </w:divBdr>
    </w:div>
    <w:div w:id="823354256">
      <w:bodyDiv w:val="1"/>
      <w:marLeft w:val="0"/>
      <w:marRight w:val="0"/>
      <w:marTop w:val="0"/>
      <w:marBottom w:val="0"/>
      <w:divBdr>
        <w:top w:val="none" w:sz="0" w:space="0" w:color="auto"/>
        <w:left w:val="none" w:sz="0" w:space="0" w:color="auto"/>
        <w:bottom w:val="none" w:sz="0" w:space="0" w:color="auto"/>
        <w:right w:val="none" w:sz="0" w:space="0" w:color="auto"/>
      </w:divBdr>
    </w:div>
    <w:div w:id="831486260">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46041732">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10513237">
      <w:bodyDiv w:val="1"/>
      <w:marLeft w:val="0"/>
      <w:marRight w:val="0"/>
      <w:marTop w:val="0"/>
      <w:marBottom w:val="0"/>
      <w:divBdr>
        <w:top w:val="none" w:sz="0" w:space="0" w:color="auto"/>
        <w:left w:val="none" w:sz="0" w:space="0" w:color="auto"/>
        <w:bottom w:val="none" w:sz="0" w:space="0" w:color="auto"/>
        <w:right w:val="none" w:sz="0" w:space="0" w:color="auto"/>
      </w:divBdr>
    </w:div>
    <w:div w:id="1174952275">
      <w:bodyDiv w:val="1"/>
      <w:marLeft w:val="0"/>
      <w:marRight w:val="0"/>
      <w:marTop w:val="0"/>
      <w:marBottom w:val="0"/>
      <w:divBdr>
        <w:top w:val="none" w:sz="0" w:space="0" w:color="auto"/>
        <w:left w:val="none" w:sz="0" w:space="0" w:color="auto"/>
        <w:bottom w:val="none" w:sz="0" w:space="0" w:color="auto"/>
        <w:right w:val="none" w:sz="0" w:space="0" w:color="auto"/>
      </w:divBdr>
    </w:div>
    <w:div w:id="1245216185">
      <w:bodyDiv w:val="1"/>
      <w:marLeft w:val="0"/>
      <w:marRight w:val="0"/>
      <w:marTop w:val="0"/>
      <w:marBottom w:val="0"/>
      <w:divBdr>
        <w:top w:val="none" w:sz="0" w:space="0" w:color="auto"/>
        <w:left w:val="none" w:sz="0" w:space="0" w:color="auto"/>
        <w:bottom w:val="none" w:sz="0" w:space="0" w:color="auto"/>
        <w:right w:val="none" w:sz="0" w:space="0" w:color="auto"/>
      </w:divBdr>
    </w:div>
    <w:div w:id="1324771868">
      <w:bodyDiv w:val="1"/>
      <w:marLeft w:val="0"/>
      <w:marRight w:val="0"/>
      <w:marTop w:val="0"/>
      <w:marBottom w:val="0"/>
      <w:divBdr>
        <w:top w:val="none" w:sz="0" w:space="0" w:color="auto"/>
        <w:left w:val="none" w:sz="0" w:space="0" w:color="auto"/>
        <w:bottom w:val="none" w:sz="0" w:space="0" w:color="auto"/>
        <w:right w:val="none" w:sz="0" w:space="0" w:color="auto"/>
      </w:divBdr>
    </w:div>
    <w:div w:id="1349599482">
      <w:bodyDiv w:val="1"/>
      <w:marLeft w:val="0"/>
      <w:marRight w:val="0"/>
      <w:marTop w:val="0"/>
      <w:marBottom w:val="0"/>
      <w:divBdr>
        <w:top w:val="none" w:sz="0" w:space="0" w:color="auto"/>
        <w:left w:val="none" w:sz="0" w:space="0" w:color="auto"/>
        <w:bottom w:val="none" w:sz="0" w:space="0" w:color="auto"/>
        <w:right w:val="none" w:sz="0" w:space="0" w:color="auto"/>
      </w:divBdr>
    </w:div>
    <w:div w:id="1366448394">
      <w:bodyDiv w:val="1"/>
      <w:marLeft w:val="0"/>
      <w:marRight w:val="0"/>
      <w:marTop w:val="0"/>
      <w:marBottom w:val="0"/>
      <w:divBdr>
        <w:top w:val="none" w:sz="0" w:space="0" w:color="auto"/>
        <w:left w:val="none" w:sz="0" w:space="0" w:color="auto"/>
        <w:bottom w:val="none" w:sz="0" w:space="0" w:color="auto"/>
        <w:right w:val="none" w:sz="0" w:space="0" w:color="auto"/>
      </w:divBdr>
    </w:div>
    <w:div w:id="1373263853">
      <w:bodyDiv w:val="1"/>
      <w:marLeft w:val="0"/>
      <w:marRight w:val="0"/>
      <w:marTop w:val="0"/>
      <w:marBottom w:val="0"/>
      <w:divBdr>
        <w:top w:val="none" w:sz="0" w:space="0" w:color="auto"/>
        <w:left w:val="none" w:sz="0" w:space="0" w:color="auto"/>
        <w:bottom w:val="none" w:sz="0" w:space="0" w:color="auto"/>
        <w:right w:val="none" w:sz="0" w:space="0" w:color="auto"/>
      </w:divBdr>
    </w:div>
    <w:div w:id="1381053485">
      <w:bodyDiv w:val="1"/>
      <w:marLeft w:val="0"/>
      <w:marRight w:val="0"/>
      <w:marTop w:val="0"/>
      <w:marBottom w:val="0"/>
      <w:divBdr>
        <w:top w:val="none" w:sz="0" w:space="0" w:color="auto"/>
        <w:left w:val="none" w:sz="0" w:space="0" w:color="auto"/>
        <w:bottom w:val="none" w:sz="0" w:space="0" w:color="auto"/>
        <w:right w:val="none" w:sz="0" w:space="0" w:color="auto"/>
      </w:divBdr>
    </w:div>
    <w:div w:id="1455171149">
      <w:bodyDiv w:val="1"/>
      <w:marLeft w:val="0"/>
      <w:marRight w:val="0"/>
      <w:marTop w:val="0"/>
      <w:marBottom w:val="0"/>
      <w:divBdr>
        <w:top w:val="none" w:sz="0" w:space="0" w:color="auto"/>
        <w:left w:val="none" w:sz="0" w:space="0" w:color="auto"/>
        <w:bottom w:val="none" w:sz="0" w:space="0" w:color="auto"/>
        <w:right w:val="none" w:sz="0" w:space="0" w:color="auto"/>
      </w:divBdr>
    </w:div>
    <w:div w:id="1528182291">
      <w:bodyDiv w:val="1"/>
      <w:marLeft w:val="0"/>
      <w:marRight w:val="0"/>
      <w:marTop w:val="0"/>
      <w:marBottom w:val="0"/>
      <w:divBdr>
        <w:top w:val="none" w:sz="0" w:space="0" w:color="auto"/>
        <w:left w:val="none" w:sz="0" w:space="0" w:color="auto"/>
        <w:bottom w:val="none" w:sz="0" w:space="0" w:color="auto"/>
        <w:right w:val="none" w:sz="0" w:space="0" w:color="auto"/>
      </w:divBdr>
    </w:div>
    <w:div w:id="1596473957">
      <w:bodyDiv w:val="1"/>
      <w:marLeft w:val="0"/>
      <w:marRight w:val="0"/>
      <w:marTop w:val="0"/>
      <w:marBottom w:val="0"/>
      <w:divBdr>
        <w:top w:val="none" w:sz="0" w:space="0" w:color="auto"/>
        <w:left w:val="none" w:sz="0" w:space="0" w:color="auto"/>
        <w:bottom w:val="none" w:sz="0" w:space="0" w:color="auto"/>
        <w:right w:val="none" w:sz="0" w:space="0" w:color="auto"/>
      </w:divBdr>
    </w:div>
    <w:div w:id="1634215257">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0983">
      <w:bodyDiv w:val="1"/>
      <w:marLeft w:val="0"/>
      <w:marRight w:val="0"/>
      <w:marTop w:val="0"/>
      <w:marBottom w:val="0"/>
      <w:divBdr>
        <w:top w:val="none" w:sz="0" w:space="0" w:color="auto"/>
        <w:left w:val="none" w:sz="0" w:space="0" w:color="auto"/>
        <w:bottom w:val="none" w:sz="0" w:space="0" w:color="auto"/>
        <w:right w:val="none" w:sz="0" w:space="0" w:color="auto"/>
      </w:divBdr>
    </w:div>
    <w:div w:id="1856731270">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74168730">
      <w:bodyDiv w:val="1"/>
      <w:marLeft w:val="0"/>
      <w:marRight w:val="0"/>
      <w:marTop w:val="0"/>
      <w:marBottom w:val="0"/>
      <w:divBdr>
        <w:top w:val="none" w:sz="0" w:space="0" w:color="auto"/>
        <w:left w:val="none" w:sz="0" w:space="0" w:color="auto"/>
        <w:bottom w:val="none" w:sz="0" w:space="0" w:color="auto"/>
        <w:right w:val="none" w:sz="0" w:space="0" w:color="auto"/>
      </w:divBdr>
    </w:div>
    <w:div w:id="1997029777">
      <w:bodyDiv w:val="1"/>
      <w:marLeft w:val="0"/>
      <w:marRight w:val="0"/>
      <w:marTop w:val="0"/>
      <w:marBottom w:val="0"/>
      <w:divBdr>
        <w:top w:val="none" w:sz="0" w:space="0" w:color="auto"/>
        <w:left w:val="none" w:sz="0" w:space="0" w:color="auto"/>
        <w:bottom w:val="none" w:sz="0" w:space="0" w:color="auto"/>
        <w:right w:val="none" w:sz="0" w:space="0" w:color="auto"/>
      </w:divBdr>
    </w:div>
    <w:div w:id="200253797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 w:id="21042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B78E-E6B7-4267-89D2-B8A1F4FC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2018-12-10T22:44:00Z</dcterms:created>
  <dcterms:modified xsi:type="dcterms:W3CDTF">2019-04-26T05:44:00Z</dcterms:modified>
</cp:coreProperties>
</file>