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409"/>
        <w:gridCol w:w="3261"/>
        <w:gridCol w:w="6947"/>
      </w:tblGrid>
      <w:tr w:rsidR="000950AB" w:rsidRPr="00F609BF" w14:paraId="6611C304" w14:textId="77777777" w:rsidTr="000950AB">
        <w:trPr>
          <w:tblHeader/>
        </w:trPr>
        <w:tc>
          <w:tcPr>
            <w:tcW w:w="2835" w:type="dxa"/>
            <w:tcMar>
              <w:top w:w="28" w:type="dxa"/>
              <w:bottom w:w="28" w:type="dxa"/>
            </w:tcMar>
          </w:tcPr>
          <w:p w14:paraId="39EB407B" w14:textId="77777777" w:rsidR="000950AB" w:rsidRDefault="000950AB" w:rsidP="002960C3">
            <w:pPr>
              <w:widowControl w:val="0"/>
              <w:jc w:val="center"/>
              <w:rPr>
                <w:rFonts w:ascii="Arial" w:hAnsi="Arial" w:cs="Arial"/>
                <w:b/>
              </w:rPr>
            </w:pPr>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p w14:paraId="1115720C" w14:textId="77777777" w:rsidR="000950AB" w:rsidRPr="00F609BF" w:rsidRDefault="000950AB" w:rsidP="002960C3">
            <w:pPr>
              <w:widowControl w:val="0"/>
              <w:jc w:val="center"/>
              <w:rPr>
                <w:rFonts w:ascii="Arial" w:hAnsi="Arial" w:cs="Arial"/>
                <w:b/>
              </w:rPr>
            </w:pPr>
          </w:p>
        </w:tc>
        <w:tc>
          <w:tcPr>
            <w:tcW w:w="2409" w:type="dxa"/>
            <w:tcMar>
              <w:top w:w="28" w:type="dxa"/>
              <w:bottom w:w="28" w:type="dxa"/>
            </w:tcMar>
          </w:tcPr>
          <w:p w14:paraId="7EC4F525" w14:textId="77777777" w:rsidR="000950AB" w:rsidRPr="00F609BF" w:rsidRDefault="000950AB" w:rsidP="002960C3">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14:paraId="64FD94E2" w14:textId="77777777" w:rsidR="000950AB" w:rsidRPr="00F609BF" w:rsidRDefault="000950AB" w:rsidP="002960C3">
            <w:pPr>
              <w:widowControl w:val="0"/>
              <w:jc w:val="center"/>
              <w:rPr>
                <w:rFonts w:ascii="Arial" w:hAnsi="Arial" w:cs="Arial"/>
                <w:b/>
                <w:snapToGrid w:val="0"/>
                <w:lang w:eastAsia="en-US"/>
              </w:rPr>
            </w:pPr>
          </w:p>
        </w:tc>
        <w:tc>
          <w:tcPr>
            <w:tcW w:w="3261" w:type="dxa"/>
            <w:tcMar>
              <w:top w:w="28" w:type="dxa"/>
              <w:bottom w:w="28" w:type="dxa"/>
            </w:tcMar>
          </w:tcPr>
          <w:p w14:paraId="6F459976" w14:textId="77777777" w:rsidR="000950AB" w:rsidRPr="00F609BF" w:rsidRDefault="000950AB" w:rsidP="002960C3">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47" w:type="dxa"/>
          </w:tcPr>
          <w:p w14:paraId="5C1D2B44" w14:textId="77777777" w:rsidR="000950AB" w:rsidRPr="004F0BCC" w:rsidRDefault="000950AB" w:rsidP="004F0BCC">
            <w:pPr>
              <w:pStyle w:val="Header"/>
              <w:jc w:val="both"/>
              <w:rPr>
                <w:rFonts w:ascii="Arial" w:hAnsi="Arial" w:cs="Arial"/>
                <w:b/>
                <w:snapToGrid w:val="0"/>
                <w:lang w:eastAsia="en-US"/>
              </w:rPr>
            </w:pPr>
            <w:r w:rsidRPr="004F0BCC">
              <w:rPr>
                <w:rFonts w:ascii="Arial" w:hAnsi="Arial" w:cs="Arial"/>
                <w:b/>
                <w:snapToGrid w:val="0"/>
                <w:lang w:eastAsia="en-US"/>
              </w:rPr>
              <w:t>PBAC OUTCOME</w:t>
            </w:r>
          </w:p>
        </w:tc>
      </w:tr>
      <w:tr w:rsidR="000950AB" w:rsidRPr="00395B97" w14:paraId="6D60BEF9" w14:textId="77777777" w:rsidTr="00132E35">
        <w:trPr>
          <w:trHeight w:val="4030"/>
        </w:trPr>
        <w:tc>
          <w:tcPr>
            <w:tcW w:w="2835" w:type="dxa"/>
            <w:vMerge w:val="restart"/>
            <w:tcMar>
              <w:top w:w="28" w:type="dxa"/>
              <w:bottom w:w="28" w:type="dxa"/>
            </w:tcMar>
          </w:tcPr>
          <w:p w14:paraId="52735F32" w14:textId="77777777" w:rsidR="007534CC" w:rsidRPr="007534CC" w:rsidRDefault="007534CC" w:rsidP="007534CC">
            <w:pPr>
              <w:rPr>
                <w:rFonts w:ascii="Arial" w:hAnsi="Arial" w:cs="Arial"/>
              </w:rPr>
            </w:pPr>
            <w:r w:rsidRPr="007534CC">
              <w:rPr>
                <w:rFonts w:ascii="Arial" w:hAnsi="Arial" w:cs="Arial"/>
              </w:rPr>
              <w:t>ALECTINIB</w:t>
            </w:r>
          </w:p>
          <w:p w14:paraId="2F17ECD6" w14:textId="77777777" w:rsidR="007534CC" w:rsidRPr="007534CC" w:rsidRDefault="007534CC" w:rsidP="007534CC">
            <w:pPr>
              <w:rPr>
                <w:rFonts w:ascii="Arial" w:hAnsi="Arial" w:cs="Arial"/>
              </w:rPr>
            </w:pPr>
          </w:p>
          <w:p w14:paraId="43E5A841" w14:textId="77777777" w:rsidR="007534CC" w:rsidRPr="007534CC" w:rsidRDefault="007534CC" w:rsidP="007534CC">
            <w:pPr>
              <w:rPr>
                <w:rFonts w:ascii="Arial" w:hAnsi="Arial" w:cs="Arial"/>
              </w:rPr>
            </w:pPr>
            <w:r w:rsidRPr="007534CC">
              <w:rPr>
                <w:rFonts w:ascii="Arial" w:hAnsi="Arial" w:cs="Arial"/>
              </w:rPr>
              <w:t>Capsule 150 mg</w:t>
            </w:r>
          </w:p>
          <w:p w14:paraId="5C74AFA3" w14:textId="77777777" w:rsidR="007534CC" w:rsidRPr="007534CC" w:rsidRDefault="007534CC" w:rsidP="007534CC">
            <w:pPr>
              <w:rPr>
                <w:rFonts w:ascii="Arial" w:hAnsi="Arial" w:cs="Arial"/>
              </w:rPr>
            </w:pPr>
          </w:p>
          <w:p w14:paraId="0382DAE2" w14:textId="77777777" w:rsidR="007534CC" w:rsidRPr="007534CC" w:rsidRDefault="007534CC" w:rsidP="007534CC">
            <w:pPr>
              <w:rPr>
                <w:rFonts w:ascii="Arial" w:hAnsi="Arial" w:cs="Arial"/>
              </w:rPr>
            </w:pPr>
            <w:proofErr w:type="spellStart"/>
            <w:r w:rsidRPr="007534CC">
              <w:rPr>
                <w:rFonts w:ascii="Arial" w:hAnsi="Arial" w:cs="Arial"/>
              </w:rPr>
              <w:t>Alecensa</w:t>
            </w:r>
            <w:proofErr w:type="spellEnd"/>
            <w:r w:rsidRPr="007534CC">
              <w:rPr>
                <w:rFonts w:ascii="Arial" w:hAnsi="Arial" w:cs="Arial"/>
              </w:rPr>
              <w:t>®</w:t>
            </w:r>
          </w:p>
          <w:p w14:paraId="4E13BB56" w14:textId="77777777" w:rsidR="007534CC" w:rsidRPr="007534CC" w:rsidRDefault="007534CC" w:rsidP="007534CC">
            <w:pPr>
              <w:rPr>
                <w:rFonts w:ascii="Arial" w:hAnsi="Arial" w:cs="Arial"/>
              </w:rPr>
            </w:pPr>
          </w:p>
          <w:p w14:paraId="6606A4A9" w14:textId="77777777" w:rsidR="000950AB" w:rsidRDefault="007534CC" w:rsidP="007534CC">
            <w:pPr>
              <w:rPr>
                <w:rFonts w:ascii="Arial" w:hAnsi="Arial" w:cs="Arial"/>
              </w:rPr>
            </w:pPr>
            <w:r w:rsidRPr="007534CC">
              <w:rPr>
                <w:rFonts w:ascii="Arial" w:hAnsi="Arial" w:cs="Arial"/>
              </w:rPr>
              <w:t>Roche Products Pty Ltd</w:t>
            </w:r>
          </w:p>
          <w:p w14:paraId="27E7E01B" w14:textId="77777777" w:rsidR="007534CC" w:rsidRDefault="007534CC" w:rsidP="007534CC">
            <w:pPr>
              <w:rPr>
                <w:rFonts w:ascii="Arial" w:hAnsi="Arial" w:cs="Arial"/>
              </w:rPr>
            </w:pPr>
          </w:p>
          <w:p w14:paraId="058D3731" w14:textId="77777777" w:rsidR="007534CC" w:rsidRPr="007534CC" w:rsidRDefault="007534CC" w:rsidP="007534CC">
            <w:pPr>
              <w:rPr>
                <w:rFonts w:ascii="Arial" w:hAnsi="Arial" w:cs="Arial"/>
              </w:rPr>
            </w:pPr>
            <w:r>
              <w:rPr>
                <w:rFonts w:ascii="Arial" w:hAnsi="Arial" w:cs="Arial"/>
              </w:rPr>
              <w:t>Change to listing</w:t>
            </w:r>
          </w:p>
          <w:p w14:paraId="158AFBF0" w14:textId="77777777" w:rsidR="007534CC" w:rsidRPr="007534CC" w:rsidRDefault="007534CC" w:rsidP="007534CC">
            <w:pPr>
              <w:rPr>
                <w:rFonts w:ascii="Arial" w:hAnsi="Arial" w:cs="Arial"/>
              </w:rPr>
            </w:pPr>
            <w:r w:rsidRPr="007534CC">
              <w:rPr>
                <w:rFonts w:ascii="Arial" w:hAnsi="Arial" w:cs="Arial"/>
              </w:rPr>
              <w:t>(Minor Submission)</w:t>
            </w:r>
          </w:p>
        </w:tc>
        <w:tc>
          <w:tcPr>
            <w:tcW w:w="2409" w:type="dxa"/>
            <w:vMerge w:val="restart"/>
          </w:tcPr>
          <w:p w14:paraId="0FEFF551" w14:textId="77777777" w:rsidR="000950AB" w:rsidRDefault="007534CC" w:rsidP="00646869">
            <w:pPr>
              <w:rPr>
                <w:rFonts w:ascii="Arial" w:hAnsi="Arial" w:cs="Arial"/>
                <w:color w:val="000000"/>
              </w:rPr>
            </w:pPr>
            <w:r w:rsidRPr="007534CC">
              <w:rPr>
                <w:rFonts w:ascii="Arial" w:hAnsi="Arial" w:cs="Arial"/>
                <w:color w:val="000000"/>
              </w:rPr>
              <w:t>Non-small cell lung cancer (NSCLC)</w:t>
            </w:r>
          </w:p>
        </w:tc>
        <w:tc>
          <w:tcPr>
            <w:tcW w:w="3261" w:type="dxa"/>
            <w:tcMar>
              <w:top w:w="28" w:type="dxa"/>
              <w:bottom w:w="28" w:type="dxa"/>
            </w:tcMar>
          </w:tcPr>
          <w:p w14:paraId="03A2D0B6" w14:textId="77777777" w:rsidR="000950AB" w:rsidRPr="00E42E4E" w:rsidRDefault="007534CC" w:rsidP="00646869">
            <w:pPr>
              <w:rPr>
                <w:rFonts w:ascii="Arial" w:hAnsi="Arial" w:cs="Arial"/>
                <w:color w:val="000000"/>
              </w:rPr>
            </w:pPr>
            <w:r w:rsidRPr="007534CC">
              <w:rPr>
                <w:rFonts w:ascii="Arial" w:hAnsi="Arial" w:cs="Arial"/>
                <w:color w:val="000000"/>
              </w:rPr>
              <w:t>To request a change in the authority level of the current listing from Authority Required (Telephone) to Authority Required (STREAMLINED) and an increase in the maximum number of repeats from 1 to 5.</w:t>
            </w:r>
          </w:p>
        </w:tc>
        <w:tc>
          <w:tcPr>
            <w:tcW w:w="6947" w:type="dxa"/>
          </w:tcPr>
          <w:p w14:paraId="182D9702" w14:textId="77777777" w:rsidR="00736038" w:rsidRPr="00736038" w:rsidRDefault="00736038" w:rsidP="00736038">
            <w:pPr>
              <w:jc w:val="both"/>
              <w:rPr>
                <w:rFonts w:ascii="Arial" w:hAnsi="Arial" w:cs="Arial"/>
                <w:iCs/>
              </w:rPr>
            </w:pPr>
            <w:r w:rsidRPr="00736038">
              <w:rPr>
                <w:rFonts w:ascii="Arial" w:hAnsi="Arial" w:cs="Arial"/>
                <w:iCs/>
              </w:rPr>
              <w:t xml:space="preserve">The PBAC did not recommend the requested changes to the PBS-listing of </w:t>
            </w:r>
            <w:proofErr w:type="spellStart"/>
            <w:r w:rsidRPr="00736038">
              <w:rPr>
                <w:rFonts w:ascii="Arial" w:hAnsi="Arial" w:cs="Arial"/>
                <w:iCs/>
              </w:rPr>
              <w:t>alectinib</w:t>
            </w:r>
            <w:proofErr w:type="spellEnd"/>
            <w:r w:rsidRPr="00736038">
              <w:rPr>
                <w:rFonts w:ascii="Arial" w:hAnsi="Arial" w:cs="Arial"/>
                <w:iCs/>
              </w:rPr>
              <w:t xml:space="preserve"> to lower the authority level from Authority Required (Telephone) to Authority Required (STREAMLINED) and to allow for an increased number of repeats from one to five. </w:t>
            </w:r>
          </w:p>
          <w:p w14:paraId="2806E6BE" w14:textId="77777777" w:rsidR="00736038" w:rsidRPr="00736038" w:rsidRDefault="00736038" w:rsidP="00736038">
            <w:pPr>
              <w:jc w:val="both"/>
              <w:rPr>
                <w:rFonts w:ascii="Arial" w:hAnsi="Arial" w:cs="Arial"/>
                <w:iCs/>
              </w:rPr>
            </w:pPr>
          </w:p>
          <w:p w14:paraId="2BCED7A6" w14:textId="3D3762CB" w:rsidR="00736038" w:rsidRDefault="00736038" w:rsidP="00736038">
            <w:pPr>
              <w:jc w:val="both"/>
              <w:rPr>
                <w:rFonts w:ascii="Arial" w:hAnsi="Arial" w:cs="Arial"/>
                <w:iCs/>
              </w:rPr>
            </w:pPr>
            <w:r w:rsidRPr="00736038">
              <w:rPr>
                <w:rFonts w:ascii="Arial" w:hAnsi="Arial" w:cs="Arial"/>
                <w:iCs/>
              </w:rPr>
              <w:t>The PBAC considered that increasing the repeats from one to five could inappropriately extend the treatment duration in some patients, with the risk of continuing an ineffective treatment and/or unmanaged toxicity, and that the impact on the cost</w:t>
            </w:r>
            <w:r w:rsidR="00F02B90">
              <w:rPr>
                <w:rFonts w:ascii="Arial" w:hAnsi="Arial" w:cs="Arial"/>
                <w:iCs/>
              </w:rPr>
              <w:t>-</w:t>
            </w:r>
            <w:r w:rsidRPr="00736038">
              <w:rPr>
                <w:rFonts w:ascii="Arial" w:hAnsi="Arial" w:cs="Arial"/>
                <w:iCs/>
              </w:rPr>
              <w:t xml:space="preserve">effectiveness of such extended treatment is unclear. The PBAC further considered that because the use of ALK-inhibitors is continuing to increase, an Authority Required (STREAMLINED) listing would be inappropriate at this time until the ALK-inhibitor market had stabilised. </w:t>
            </w:r>
          </w:p>
          <w:p w14:paraId="3933BFDD" w14:textId="77777777" w:rsidR="00736038" w:rsidRPr="00736038" w:rsidRDefault="00736038" w:rsidP="00736038">
            <w:pPr>
              <w:jc w:val="both"/>
              <w:rPr>
                <w:rFonts w:ascii="Arial" w:hAnsi="Arial" w:cs="Arial"/>
                <w:iCs/>
              </w:rPr>
            </w:pPr>
          </w:p>
          <w:p w14:paraId="115462D8" w14:textId="043D7003" w:rsidR="00F02B90" w:rsidRPr="004F0BCC" w:rsidRDefault="00736038" w:rsidP="00736038">
            <w:pPr>
              <w:jc w:val="both"/>
              <w:rPr>
                <w:rFonts w:ascii="Arial" w:hAnsi="Arial" w:cs="Arial"/>
                <w:iCs/>
              </w:rPr>
            </w:pPr>
            <w:r w:rsidRPr="00736038">
              <w:rPr>
                <w:rFonts w:ascii="Arial" w:hAnsi="Arial" w:cs="Arial"/>
                <w:iCs/>
              </w:rPr>
              <w:t xml:space="preserve">The PBAC would be willing to reconsider a future request for lowering the authority level and increasing repeats for continuing treatment when longer-term PBS utilisation data (at least 24 months) is available for </w:t>
            </w:r>
            <w:proofErr w:type="spellStart"/>
            <w:r w:rsidRPr="00736038">
              <w:rPr>
                <w:rFonts w:ascii="Arial" w:hAnsi="Arial" w:cs="Arial"/>
                <w:iCs/>
              </w:rPr>
              <w:t>alectinib</w:t>
            </w:r>
            <w:proofErr w:type="spellEnd"/>
            <w:r w:rsidRPr="00736038">
              <w:rPr>
                <w:rFonts w:ascii="Arial" w:hAnsi="Arial" w:cs="Arial"/>
                <w:iCs/>
              </w:rPr>
              <w:t xml:space="preserve">, and advised that this should be considered in the context of all PBS-listed ALK-inhibitors for this indication. </w:t>
            </w:r>
          </w:p>
        </w:tc>
      </w:tr>
      <w:tr w:rsidR="000950AB" w:rsidRPr="00395B97" w14:paraId="44135548" w14:textId="77777777" w:rsidTr="00132E35">
        <w:trPr>
          <w:trHeight w:val="1053"/>
        </w:trPr>
        <w:tc>
          <w:tcPr>
            <w:tcW w:w="2835" w:type="dxa"/>
            <w:vMerge/>
            <w:tcMar>
              <w:top w:w="28" w:type="dxa"/>
              <w:bottom w:w="28" w:type="dxa"/>
            </w:tcMar>
          </w:tcPr>
          <w:p w14:paraId="338B53BD" w14:textId="77777777" w:rsidR="000950AB" w:rsidRPr="001C1D66" w:rsidRDefault="000950AB" w:rsidP="0053482B">
            <w:pPr>
              <w:rPr>
                <w:rFonts w:ascii="Arial" w:hAnsi="Arial" w:cs="Arial"/>
                <w:color w:val="000000"/>
              </w:rPr>
            </w:pPr>
          </w:p>
        </w:tc>
        <w:tc>
          <w:tcPr>
            <w:tcW w:w="2409" w:type="dxa"/>
            <w:vMerge/>
          </w:tcPr>
          <w:p w14:paraId="0318481D" w14:textId="77777777" w:rsidR="000950AB" w:rsidRPr="001C1D66" w:rsidRDefault="000950AB" w:rsidP="002A6AB9">
            <w:pPr>
              <w:rPr>
                <w:rFonts w:ascii="Arial" w:hAnsi="Arial" w:cs="Arial"/>
                <w:color w:val="000000"/>
              </w:rPr>
            </w:pPr>
          </w:p>
        </w:tc>
        <w:tc>
          <w:tcPr>
            <w:tcW w:w="3261" w:type="dxa"/>
            <w:tcBorders>
              <w:bottom w:val="single" w:sz="4" w:space="0" w:color="auto"/>
            </w:tcBorders>
            <w:tcMar>
              <w:top w:w="28" w:type="dxa"/>
              <w:bottom w:w="28" w:type="dxa"/>
            </w:tcMar>
          </w:tcPr>
          <w:p w14:paraId="55933AD4" w14:textId="77777777" w:rsidR="000950AB" w:rsidRPr="00D857EF" w:rsidRDefault="000950AB" w:rsidP="00D857EF">
            <w:pPr>
              <w:rPr>
                <w:rFonts w:ascii="Arial" w:hAnsi="Arial" w:cs="Arial"/>
                <w:color w:val="000000"/>
              </w:rPr>
            </w:pPr>
            <w:r w:rsidRPr="00E42E4E">
              <w:rPr>
                <w:rFonts w:ascii="Arial" w:hAnsi="Arial" w:cs="Arial"/>
                <w:snapToGrid w:val="0"/>
                <w:lang w:eastAsia="en-US"/>
              </w:rPr>
              <w:t>Sponsor Comment:</w:t>
            </w:r>
          </w:p>
        </w:tc>
        <w:tc>
          <w:tcPr>
            <w:tcW w:w="6947" w:type="dxa"/>
          </w:tcPr>
          <w:p w14:paraId="27889A6C" w14:textId="77777777" w:rsidR="00C82982" w:rsidRPr="00C82982" w:rsidRDefault="00C82982" w:rsidP="00C82982">
            <w:pPr>
              <w:rPr>
                <w:rFonts w:ascii="Arial" w:eastAsia="SimSun" w:hAnsi="Arial" w:cs="Arial"/>
                <w:iCs/>
              </w:rPr>
            </w:pPr>
            <w:r w:rsidRPr="00C82982">
              <w:rPr>
                <w:rFonts w:ascii="Arial" w:eastAsia="SimSun" w:hAnsi="Arial" w:cs="Arial"/>
                <w:iCs/>
              </w:rPr>
              <w:t>Roche is disappointed with the decision and is committed to ensuring optimal outcomes for patients with ALK-positive NSCLC. Roche put forward this application based on patient and clinical community feedback on the current PBS listing.</w:t>
            </w:r>
          </w:p>
          <w:p w14:paraId="0C44BD00" w14:textId="3E98DAC8" w:rsidR="000950AB" w:rsidRPr="00132E35" w:rsidRDefault="00C82982" w:rsidP="00C82982">
            <w:pPr>
              <w:rPr>
                <w:rFonts w:ascii="Arial" w:eastAsia="SimSun" w:hAnsi="Arial" w:cs="Arial"/>
                <w:iCs/>
              </w:rPr>
            </w:pPr>
            <w:r w:rsidRPr="00C82982">
              <w:rPr>
                <w:rFonts w:ascii="Arial" w:eastAsia="SimSun" w:hAnsi="Arial" w:cs="Arial"/>
                <w:iCs/>
              </w:rPr>
              <w:t>Roche will work with the relevant stakeholders to progress a future change to the PBS listing.</w:t>
            </w:r>
          </w:p>
        </w:tc>
      </w:tr>
      <w:tr w:rsidR="000950AB" w:rsidRPr="00395B97" w14:paraId="7924A62E" w14:textId="77777777" w:rsidTr="00132E35">
        <w:trPr>
          <w:trHeight w:val="2942"/>
        </w:trPr>
        <w:tc>
          <w:tcPr>
            <w:tcW w:w="2835" w:type="dxa"/>
            <w:vMerge w:val="restart"/>
            <w:tcMar>
              <w:top w:w="28" w:type="dxa"/>
              <w:bottom w:w="28" w:type="dxa"/>
            </w:tcMar>
          </w:tcPr>
          <w:p w14:paraId="34BB9269" w14:textId="77777777" w:rsidR="007534CC" w:rsidRPr="007534CC" w:rsidRDefault="007534CC" w:rsidP="007534CC">
            <w:pPr>
              <w:rPr>
                <w:rFonts w:ascii="Arial" w:hAnsi="Arial" w:cs="Arial"/>
                <w:color w:val="000000"/>
              </w:rPr>
            </w:pPr>
            <w:r w:rsidRPr="007534CC">
              <w:rPr>
                <w:rFonts w:ascii="Arial" w:hAnsi="Arial" w:cs="Arial"/>
                <w:color w:val="000000"/>
              </w:rPr>
              <w:lastRenderedPageBreak/>
              <w:t>CABOZANTINIB</w:t>
            </w:r>
          </w:p>
          <w:p w14:paraId="1AEC8529" w14:textId="77777777" w:rsidR="007534CC" w:rsidRPr="007534CC" w:rsidRDefault="007534CC" w:rsidP="007534CC">
            <w:pPr>
              <w:rPr>
                <w:rFonts w:ascii="Arial" w:hAnsi="Arial" w:cs="Arial"/>
                <w:color w:val="000000"/>
              </w:rPr>
            </w:pPr>
          </w:p>
          <w:p w14:paraId="7EBD4684" w14:textId="77777777" w:rsidR="007534CC" w:rsidRPr="007534CC" w:rsidRDefault="007534CC" w:rsidP="007534CC">
            <w:pPr>
              <w:rPr>
                <w:rFonts w:ascii="Arial" w:hAnsi="Arial" w:cs="Arial"/>
                <w:color w:val="000000"/>
              </w:rPr>
            </w:pPr>
            <w:r w:rsidRPr="007534CC">
              <w:rPr>
                <w:rFonts w:ascii="Arial" w:hAnsi="Arial" w:cs="Arial"/>
                <w:color w:val="000000"/>
              </w:rPr>
              <w:t>Tablet 20 mg</w:t>
            </w:r>
          </w:p>
          <w:p w14:paraId="3E4720E0" w14:textId="77777777" w:rsidR="007534CC" w:rsidRPr="007534CC" w:rsidRDefault="007534CC" w:rsidP="007534CC">
            <w:pPr>
              <w:rPr>
                <w:rFonts w:ascii="Arial" w:hAnsi="Arial" w:cs="Arial"/>
                <w:color w:val="000000"/>
              </w:rPr>
            </w:pPr>
            <w:r w:rsidRPr="007534CC">
              <w:rPr>
                <w:rFonts w:ascii="Arial" w:hAnsi="Arial" w:cs="Arial"/>
                <w:color w:val="000000"/>
              </w:rPr>
              <w:t>Tablet 40 mg</w:t>
            </w:r>
          </w:p>
          <w:p w14:paraId="49C51302" w14:textId="77777777" w:rsidR="007534CC" w:rsidRPr="007534CC" w:rsidRDefault="007534CC" w:rsidP="007534CC">
            <w:pPr>
              <w:rPr>
                <w:rFonts w:ascii="Arial" w:hAnsi="Arial" w:cs="Arial"/>
                <w:color w:val="000000"/>
              </w:rPr>
            </w:pPr>
            <w:r w:rsidRPr="007534CC">
              <w:rPr>
                <w:rFonts w:ascii="Arial" w:hAnsi="Arial" w:cs="Arial"/>
                <w:color w:val="000000"/>
              </w:rPr>
              <w:t>Tablet 60 mg</w:t>
            </w:r>
          </w:p>
          <w:p w14:paraId="28770134" w14:textId="77777777" w:rsidR="007534CC" w:rsidRPr="007534CC" w:rsidRDefault="007534CC" w:rsidP="007534CC">
            <w:pPr>
              <w:rPr>
                <w:rFonts w:ascii="Arial" w:hAnsi="Arial" w:cs="Arial"/>
                <w:color w:val="000000"/>
              </w:rPr>
            </w:pPr>
          </w:p>
          <w:p w14:paraId="7875FAAF" w14:textId="77777777" w:rsidR="007534CC" w:rsidRPr="007534CC" w:rsidRDefault="007534CC" w:rsidP="007534CC">
            <w:pPr>
              <w:rPr>
                <w:rFonts w:ascii="Arial" w:hAnsi="Arial" w:cs="Arial"/>
                <w:color w:val="000000"/>
              </w:rPr>
            </w:pPr>
            <w:proofErr w:type="spellStart"/>
            <w:r w:rsidRPr="007534CC">
              <w:rPr>
                <w:rFonts w:ascii="Arial" w:hAnsi="Arial" w:cs="Arial"/>
                <w:color w:val="000000"/>
              </w:rPr>
              <w:t>Cabometyx</w:t>
            </w:r>
            <w:proofErr w:type="spellEnd"/>
            <w:r w:rsidRPr="007534CC">
              <w:rPr>
                <w:rFonts w:ascii="Arial" w:hAnsi="Arial" w:cs="Arial"/>
                <w:color w:val="000000"/>
              </w:rPr>
              <w:t>®</w:t>
            </w:r>
          </w:p>
          <w:p w14:paraId="611F00C3" w14:textId="77777777" w:rsidR="007534CC" w:rsidRPr="007534CC" w:rsidRDefault="007534CC" w:rsidP="007534CC">
            <w:pPr>
              <w:rPr>
                <w:rFonts w:ascii="Arial" w:hAnsi="Arial" w:cs="Arial"/>
                <w:color w:val="000000"/>
              </w:rPr>
            </w:pPr>
          </w:p>
          <w:p w14:paraId="7D6D15F9" w14:textId="77777777" w:rsidR="000950AB" w:rsidRDefault="007534CC" w:rsidP="007534CC">
            <w:pPr>
              <w:rPr>
                <w:rFonts w:ascii="Arial" w:hAnsi="Arial" w:cs="Arial"/>
                <w:color w:val="000000"/>
              </w:rPr>
            </w:pPr>
            <w:proofErr w:type="spellStart"/>
            <w:r w:rsidRPr="007534CC">
              <w:rPr>
                <w:rFonts w:ascii="Arial" w:hAnsi="Arial" w:cs="Arial"/>
                <w:color w:val="000000"/>
              </w:rPr>
              <w:t>Ipsen</w:t>
            </w:r>
            <w:proofErr w:type="spellEnd"/>
            <w:r w:rsidRPr="007534CC">
              <w:rPr>
                <w:rFonts w:ascii="Arial" w:hAnsi="Arial" w:cs="Arial"/>
                <w:color w:val="000000"/>
              </w:rPr>
              <w:t xml:space="preserve"> Pty Ltd</w:t>
            </w:r>
          </w:p>
          <w:p w14:paraId="5CF0E931" w14:textId="77777777" w:rsidR="007534CC" w:rsidRDefault="007534CC" w:rsidP="007534CC">
            <w:pPr>
              <w:rPr>
                <w:rFonts w:ascii="Arial" w:hAnsi="Arial" w:cs="Arial"/>
                <w:color w:val="000000"/>
              </w:rPr>
            </w:pPr>
          </w:p>
          <w:p w14:paraId="212EE0D5" w14:textId="77777777" w:rsidR="007534CC" w:rsidRPr="007534CC" w:rsidRDefault="007534CC" w:rsidP="007534CC">
            <w:pPr>
              <w:rPr>
                <w:rFonts w:ascii="Arial" w:hAnsi="Arial" w:cs="Arial"/>
                <w:color w:val="000000"/>
              </w:rPr>
            </w:pPr>
            <w:r>
              <w:rPr>
                <w:rFonts w:ascii="Arial" w:hAnsi="Arial" w:cs="Arial"/>
                <w:color w:val="000000"/>
              </w:rPr>
              <w:t>Change to listing</w:t>
            </w:r>
          </w:p>
          <w:p w14:paraId="1E7411AA" w14:textId="77777777" w:rsidR="007534CC" w:rsidRDefault="007534CC" w:rsidP="007534CC">
            <w:pPr>
              <w:rPr>
                <w:rFonts w:ascii="Arial" w:hAnsi="Arial" w:cs="Arial"/>
                <w:color w:val="000000"/>
              </w:rPr>
            </w:pPr>
            <w:r w:rsidRPr="007534CC">
              <w:rPr>
                <w:rFonts w:ascii="Arial" w:hAnsi="Arial" w:cs="Arial"/>
                <w:color w:val="000000"/>
              </w:rPr>
              <w:t>(Major Submission)</w:t>
            </w:r>
          </w:p>
        </w:tc>
        <w:tc>
          <w:tcPr>
            <w:tcW w:w="2409" w:type="dxa"/>
            <w:vMerge w:val="restart"/>
            <w:tcBorders>
              <w:right w:val="single" w:sz="4" w:space="0" w:color="auto"/>
            </w:tcBorders>
          </w:tcPr>
          <w:p w14:paraId="65D668C5" w14:textId="77777777" w:rsidR="000950AB" w:rsidRPr="00395B97" w:rsidRDefault="007534CC" w:rsidP="009E7A72">
            <w:pPr>
              <w:rPr>
                <w:rFonts w:ascii="Arial" w:hAnsi="Arial" w:cs="Arial"/>
              </w:rPr>
            </w:pPr>
            <w:r w:rsidRPr="007534CC">
              <w:rPr>
                <w:rFonts w:ascii="Arial" w:hAnsi="Arial" w:cs="Arial"/>
              </w:rPr>
              <w:t>Renal cell carcinoma (RCC)</w:t>
            </w:r>
          </w:p>
        </w:tc>
        <w:tc>
          <w:tcPr>
            <w:tcW w:w="3261" w:type="dxa"/>
            <w:tcBorders>
              <w:top w:val="single" w:sz="4" w:space="0" w:color="auto"/>
              <w:left w:val="single" w:sz="4" w:space="0" w:color="auto"/>
              <w:bottom w:val="single" w:sz="4" w:space="0" w:color="auto"/>
              <w:right w:val="single" w:sz="4" w:space="0" w:color="auto"/>
            </w:tcBorders>
            <w:tcMar>
              <w:top w:w="28" w:type="dxa"/>
              <w:bottom w:w="28" w:type="dxa"/>
            </w:tcMar>
          </w:tcPr>
          <w:p w14:paraId="6D7E2861" w14:textId="77777777" w:rsidR="000950AB" w:rsidRPr="004D56AB" w:rsidRDefault="00DE1075" w:rsidP="009E7A72">
            <w:pPr>
              <w:rPr>
                <w:rFonts w:ascii="Arial" w:hAnsi="Arial" w:cs="Arial"/>
                <w:color w:val="000000"/>
              </w:rPr>
            </w:pPr>
            <w:r w:rsidRPr="00DE1075">
              <w:rPr>
                <w:rFonts w:ascii="Arial" w:hAnsi="Arial" w:cs="Arial"/>
                <w:color w:val="000000"/>
              </w:rPr>
              <w:t>To request an extension to the current listing for the treatment of Stage IV clear cell variant RCC to include previously untreated patients.</w:t>
            </w:r>
          </w:p>
        </w:tc>
        <w:tc>
          <w:tcPr>
            <w:tcW w:w="6947" w:type="dxa"/>
            <w:tcBorders>
              <w:left w:val="single" w:sz="4" w:space="0" w:color="auto"/>
            </w:tcBorders>
          </w:tcPr>
          <w:p w14:paraId="1BDFF0C6" w14:textId="2CEAFE86" w:rsidR="00F02B90" w:rsidRDefault="00736038" w:rsidP="00F02B90">
            <w:pPr>
              <w:rPr>
                <w:rFonts w:ascii="Arial" w:hAnsi="Arial" w:cs="Arial"/>
                <w:color w:val="000000"/>
              </w:rPr>
            </w:pPr>
            <w:r w:rsidRPr="00736038">
              <w:rPr>
                <w:rFonts w:ascii="Arial" w:hAnsi="Arial" w:cs="Arial"/>
                <w:color w:val="000000"/>
              </w:rPr>
              <w:t xml:space="preserve">The PBAC did not recommend the listing of </w:t>
            </w:r>
            <w:proofErr w:type="spellStart"/>
            <w:r w:rsidRPr="00736038">
              <w:rPr>
                <w:rFonts w:ascii="Arial" w:hAnsi="Arial" w:cs="Arial"/>
                <w:color w:val="000000"/>
              </w:rPr>
              <w:t>cabozantinib</w:t>
            </w:r>
            <w:proofErr w:type="spellEnd"/>
            <w:r w:rsidRPr="00736038">
              <w:rPr>
                <w:rFonts w:ascii="Arial" w:hAnsi="Arial" w:cs="Arial"/>
                <w:color w:val="000000"/>
              </w:rPr>
              <w:t xml:space="preserve"> for the first line treatment of stage IV clear cell variant renal cell carcinoma. The PBAC considered that, for the comparison of </w:t>
            </w:r>
            <w:proofErr w:type="spellStart"/>
            <w:r w:rsidRPr="00736038">
              <w:rPr>
                <w:rFonts w:ascii="Arial" w:hAnsi="Arial" w:cs="Arial"/>
                <w:color w:val="000000"/>
              </w:rPr>
              <w:t>cabozantinib</w:t>
            </w:r>
            <w:proofErr w:type="spellEnd"/>
            <w:r w:rsidRPr="00736038">
              <w:rPr>
                <w:rFonts w:ascii="Arial" w:hAnsi="Arial" w:cs="Arial"/>
                <w:color w:val="000000"/>
              </w:rPr>
              <w:t xml:space="preserve"> versus </w:t>
            </w:r>
            <w:proofErr w:type="spellStart"/>
            <w:r w:rsidRPr="00736038">
              <w:rPr>
                <w:rFonts w:ascii="Arial" w:hAnsi="Arial" w:cs="Arial"/>
                <w:color w:val="000000"/>
              </w:rPr>
              <w:t>sunitinib</w:t>
            </w:r>
            <w:proofErr w:type="spellEnd"/>
            <w:r w:rsidRPr="00736038">
              <w:rPr>
                <w:rFonts w:ascii="Arial" w:hAnsi="Arial" w:cs="Arial"/>
                <w:color w:val="000000"/>
              </w:rPr>
              <w:t>, the magnitude of the clinical benefit in terms of progression free survival was uncertain due to the small sample size and high risk of bias in the clinical trial, and the PBAC noted there was no demonstrated benefit in overall survival or safety. The PBAC considered that the revised incremental cost</w:t>
            </w:r>
            <w:r w:rsidR="00F02B90">
              <w:rPr>
                <w:rFonts w:ascii="Arial" w:hAnsi="Arial" w:cs="Arial"/>
                <w:color w:val="000000"/>
              </w:rPr>
              <w:t>-</w:t>
            </w:r>
            <w:r w:rsidRPr="00736038">
              <w:rPr>
                <w:rFonts w:ascii="Arial" w:hAnsi="Arial" w:cs="Arial"/>
                <w:color w:val="000000"/>
              </w:rPr>
              <w:t xml:space="preserve">effectiveness ratio for </w:t>
            </w:r>
            <w:proofErr w:type="spellStart"/>
            <w:r w:rsidRPr="00736038">
              <w:rPr>
                <w:rFonts w:ascii="Arial" w:hAnsi="Arial" w:cs="Arial"/>
                <w:color w:val="000000"/>
              </w:rPr>
              <w:t>cabozantinib</w:t>
            </w:r>
            <w:proofErr w:type="spellEnd"/>
            <w:r w:rsidRPr="00736038">
              <w:rPr>
                <w:rFonts w:ascii="Arial" w:hAnsi="Arial" w:cs="Arial"/>
                <w:color w:val="000000"/>
              </w:rPr>
              <w:t xml:space="preserve"> versus </w:t>
            </w:r>
            <w:proofErr w:type="spellStart"/>
            <w:r w:rsidRPr="00736038">
              <w:rPr>
                <w:rFonts w:ascii="Arial" w:hAnsi="Arial" w:cs="Arial"/>
                <w:color w:val="000000"/>
              </w:rPr>
              <w:t>sunitinib</w:t>
            </w:r>
            <w:proofErr w:type="spellEnd"/>
            <w:r w:rsidRPr="00736038">
              <w:rPr>
                <w:rFonts w:ascii="Arial" w:hAnsi="Arial" w:cs="Arial"/>
                <w:color w:val="000000"/>
              </w:rPr>
              <w:t xml:space="preserve">, based on the PBAC’s preferred assumptions, was high. For the comparison versus nivolumab </w:t>
            </w:r>
            <w:r w:rsidR="002C331C">
              <w:rPr>
                <w:rFonts w:ascii="Arial" w:hAnsi="Arial" w:cs="Arial"/>
                <w:color w:val="000000"/>
              </w:rPr>
              <w:t>+</w:t>
            </w:r>
            <w:r w:rsidR="002C331C" w:rsidRPr="00736038">
              <w:rPr>
                <w:rFonts w:ascii="Arial" w:hAnsi="Arial" w:cs="Arial"/>
                <w:color w:val="000000"/>
              </w:rPr>
              <w:t xml:space="preserve"> </w:t>
            </w:r>
            <w:proofErr w:type="spellStart"/>
            <w:r w:rsidRPr="00736038">
              <w:rPr>
                <w:rFonts w:ascii="Arial" w:hAnsi="Arial" w:cs="Arial"/>
                <w:color w:val="000000"/>
              </w:rPr>
              <w:t>ipilimumab</w:t>
            </w:r>
            <w:proofErr w:type="spellEnd"/>
            <w:r w:rsidRPr="00736038">
              <w:rPr>
                <w:rFonts w:ascii="Arial" w:hAnsi="Arial" w:cs="Arial"/>
                <w:color w:val="000000"/>
              </w:rPr>
              <w:t xml:space="preserve">, the PBAC considered that </w:t>
            </w:r>
            <w:proofErr w:type="spellStart"/>
            <w:r w:rsidRPr="00736038">
              <w:rPr>
                <w:rFonts w:ascii="Arial" w:hAnsi="Arial" w:cs="Arial"/>
                <w:color w:val="000000"/>
              </w:rPr>
              <w:t>cabozantinib</w:t>
            </w:r>
            <w:proofErr w:type="spellEnd"/>
            <w:r w:rsidRPr="00736038">
              <w:rPr>
                <w:rFonts w:ascii="Arial" w:hAnsi="Arial" w:cs="Arial"/>
                <w:color w:val="000000"/>
              </w:rPr>
              <w:t xml:space="preserve"> may be inferior to </w:t>
            </w:r>
            <w:r w:rsidR="002C331C" w:rsidRPr="00736038">
              <w:rPr>
                <w:rFonts w:ascii="Arial" w:hAnsi="Arial" w:cs="Arial"/>
                <w:color w:val="000000"/>
              </w:rPr>
              <w:t xml:space="preserve">nivolumab </w:t>
            </w:r>
            <w:r w:rsidR="002C331C">
              <w:rPr>
                <w:rFonts w:ascii="Arial" w:hAnsi="Arial" w:cs="Arial"/>
                <w:color w:val="000000"/>
              </w:rPr>
              <w:t>+</w:t>
            </w:r>
            <w:r w:rsidR="002C331C" w:rsidRPr="00736038">
              <w:rPr>
                <w:rFonts w:ascii="Arial" w:hAnsi="Arial" w:cs="Arial"/>
                <w:color w:val="000000"/>
              </w:rPr>
              <w:t xml:space="preserve"> </w:t>
            </w:r>
            <w:proofErr w:type="spellStart"/>
            <w:r w:rsidR="002C331C" w:rsidRPr="00736038">
              <w:rPr>
                <w:rFonts w:ascii="Arial" w:hAnsi="Arial" w:cs="Arial"/>
                <w:color w:val="000000"/>
              </w:rPr>
              <w:t>ipilimumab</w:t>
            </w:r>
            <w:proofErr w:type="spellEnd"/>
            <w:r w:rsidRPr="00736038">
              <w:rPr>
                <w:rFonts w:ascii="Arial" w:hAnsi="Arial" w:cs="Arial"/>
                <w:color w:val="000000"/>
              </w:rPr>
              <w:t>, based on the clinical evidence presented.</w:t>
            </w:r>
          </w:p>
        </w:tc>
      </w:tr>
      <w:tr w:rsidR="000950AB" w:rsidRPr="00395B97" w14:paraId="3E42EBFE" w14:textId="77777777" w:rsidTr="000950AB">
        <w:trPr>
          <w:trHeight w:val="440"/>
        </w:trPr>
        <w:tc>
          <w:tcPr>
            <w:tcW w:w="2835" w:type="dxa"/>
            <w:vMerge/>
            <w:tcMar>
              <w:top w:w="28" w:type="dxa"/>
              <w:bottom w:w="28" w:type="dxa"/>
            </w:tcMar>
          </w:tcPr>
          <w:p w14:paraId="0E083324" w14:textId="77777777" w:rsidR="000950AB" w:rsidRPr="00E01B22" w:rsidRDefault="000950AB" w:rsidP="00F13F46">
            <w:pPr>
              <w:rPr>
                <w:rFonts w:ascii="Arial" w:hAnsi="Arial" w:cs="Arial"/>
                <w:color w:val="000000"/>
              </w:rPr>
            </w:pPr>
          </w:p>
        </w:tc>
        <w:tc>
          <w:tcPr>
            <w:tcW w:w="2409" w:type="dxa"/>
            <w:vMerge/>
          </w:tcPr>
          <w:p w14:paraId="6B9EAC70" w14:textId="77777777" w:rsidR="000950AB" w:rsidRPr="00E01B22" w:rsidRDefault="000950AB" w:rsidP="00F13F46">
            <w:pPr>
              <w:pStyle w:val="Default"/>
              <w:rPr>
                <w:rFonts w:ascii="Arial" w:hAnsi="Arial" w:cs="Arial"/>
                <w:sz w:val="20"/>
                <w:szCs w:val="20"/>
              </w:rPr>
            </w:pPr>
          </w:p>
        </w:tc>
        <w:tc>
          <w:tcPr>
            <w:tcW w:w="3261" w:type="dxa"/>
            <w:tcBorders>
              <w:top w:val="single" w:sz="4" w:space="0" w:color="auto"/>
            </w:tcBorders>
            <w:tcMar>
              <w:top w:w="28" w:type="dxa"/>
              <w:bottom w:w="28" w:type="dxa"/>
            </w:tcMar>
          </w:tcPr>
          <w:p w14:paraId="414A4604" w14:textId="77777777" w:rsidR="000950AB" w:rsidRPr="00E42E4E" w:rsidRDefault="00CA1206" w:rsidP="00476F5F">
            <w:pPr>
              <w:rPr>
                <w:rFonts w:ascii="Arial" w:hAnsi="Arial" w:cs="Arial"/>
                <w:color w:val="000000"/>
              </w:rPr>
            </w:pPr>
            <w:r w:rsidRPr="00E42E4E">
              <w:rPr>
                <w:rFonts w:ascii="Arial" w:hAnsi="Arial" w:cs="Arial"/>
                <w:snapToGrid w:val="0"/>
                <w:lang w:eastAsia="en-US"/>
              </w:rPr>
              <w:t>Sponsor Comment:</w:t>
            </w:r>
          </w:p>
        </w:tc>
        <w:tc>
          <w:tcPr>
            <w:tcW w:w="6947" w:type="dxa"/>
          </w:tcPr>
          <w:p w14:paraId="596CCEB5" w14:textId="5AC65BCB" w:rsidR="000950AB" w:rsidRPr="00E01B22" w:rsidRDefault="00A76891" w:rsidP="00AC43F5">
            <w:pPr>
              <w:rPr>
                <w:rFonts w:ascii="Arial" w:hAnsi="Arial" w:cs="Arial"/>
                <w:color w:val="000000"/>
              </w:rPr>
            </w:pPr>
            <w:r w:rsidRPr="00A76891">
              <w:rPr>
                <w:rFonts w:ascii="Arial" w:hAnsi="Arial" w:cs="Arial"/>
                <w:color w:val="000000"/>
              </w:rPr>
              <w:t>The sponsor had no comment.</w:t>
            </w:r>
          </w:p>
        </w:tc>
      </w:tr>
      <w:tr w:rsidR="000950AB" w:rsidRPr="00395B97" w14:paraId="710A7E0F" w14:textId="77777777" w:rsidTr="00132E35">
        <w:trPr>
          <w:trHeight w:val="1753"/>
        </w:trPr>
        <w:tc>
          <w:tcPr>
            <w:tcW w:w="2835" w:type="dxa"/>
            <w:vMerge w:val="restart"/>
            <w:tcMar>
              <w:top w:w="28" w:type="dxa"/>
              <w:bottom w:w="28" w:type="dxa"/>
            </w:tcMar>
          </w:tcPr>
          <w:p w14:paraId="28643AE1" w14:textId="77777777" w:rsidR="00DE1075" w:rsidRPr="00DE1075" w:rsidRDefault="00DE1075" w:rsidP="00DE1075">
            <w:pPr>
              <w:rPr>
                <w:rFonts w:ascii="Arial" w:hAnsi="Arial" w:cs="Arial"/>
                <w:color w:val="000000"/>
              </w:rPr>
            </w:pPr>
            <w:r w:rsidRPr="00DE1075">
              <w:rPr>
                <w:rFonts w:ascii="Arial" w:hAnsi="Arial" w:cs="Arial"/>
                <w:color w:val="000000"/>
              </w:rPr>
              <w:t>EXENATIDE</w:t>
            </w:r>
          </w:p>
          <w:p w14:paraId="283387C8" w14:textId="77777777" w:rsidR="00DE1075" w:rsidRPr="00DE1075" w:rsidRDefault="00DE1075" w:rsidP="00DE1075">
            <w:pPr>
              <w:rPr>
                <w:rFonts w:ascii="Arial" w:hAnsi="Arial" w:cs="Arial"/>
                <w:color w:val="000000"/>
              </w:rPr>
            </w:pPr>
          </w:p>
          <w:p w14:paraId="5BECC66A" w14:textId="77777777" w:rsidR="00DE1075" w:rsidRPr="00DE1075" w:rsidRDefault="00DE1075" w:rsidP="00DE1075">
            <w:pPr>
              <w:rPr>
                <w:rFonts w:ascii="Arial" w:hAnsi="Arial" w:cs="Arial"/>
                <w:color w:val="000000"/>
              </w:rPr>
            </w:pPr>
            <w:r w:rsidRPr="00DE1075">
              <w:rPr>
                <w:rFonts w:ascii="Arial" w:hAnsi="Arial" w:cs="Arial"/>
                <w:color w:val="000000"/>
              </w:rPr>
              <w:t xml:space="preserve">Injection 2 mg in 0.85 mL single dose </w:t>
            </w:r>
            <w:proofErr w:type="spellStart"/>
            <w:r w:rsidRPr="00DE1075">
              <w:rPr>
                <w:rFonts w:ascii="Arial" w:hAnsi="Arial" w:cs="Arial"/>
                <w:color w:val="000000"/>
              </w:rPr>
              <w:t>autoinjector</w:t>
            </w:r>
            <w:proofErr w:type="spellEnd"/>
          </w:p>
          <w:p w14:paraId="2584CAA5" w14:textId="77777777" w:rsidR="00DE1075" w:rsidRPr="00DE1075" w:rsidRDefault="00DE1075" w:rsidP="00DE1075">
            <w:pPr>
              <w:rPr>
                <w:rFonts w:ascii="Arial" w:hAnsi="Arial" w:cs="Arial"/>
                <w:color w:val="000000"/>
              </w:rPr>
            </w:pPr>
          </w:p>
          <w:p w14:paraId="725ED243" w14:textId="77777777" w:rsidR="00DE1075" w:rsidRPr="00DE1075" w:rsidRDefault="00DE1075" w:rsidP="00DE1075">
            <w:pPr>
              <w:rPr>
                <w:rFonts w:ascii="Arial" w:hAnsi="Arial" w:cs="Arial"/>
                <w:color w:val="000000"/>
              </w:rPr>
            </w:pPr>
            <w:proofErr w:type="spellStart"/>
            <w:r w:rsidRPr="00DE1075">
              <w:rPr>
                <w:rFonts w:ascii="Arial" w:hAnsi="Arial" w:cs="Arial"/>
                <w:color w:val="000000"/>
              </w:rPr>
              <w:t>Bydureon</w:t>
            </w:r>
            <w:proofErr w:type="spellEnd"/>
            <w:r w:rsidRPr="00DE1075">
              <w:rPr>
                <w:rFonts w:ascii="Arial" w:hAnsi="Arial" w:cs="Arial"/>
                <w:color w:val="000000"/>
              </w:rPr>
              <w:t xml:space="preserve">® </w:t>
            </w:r>
            <w:proofErr w:type="spellStart"/>
            <w:r w:rsidRPr="00DE1075">
              <w:rPr>
                <w:rFonts w:ascii="Arial" w:hAnsi="Arial" w:cs="Arial"/>
                <w:color w:val="000000"/>
              </w:rPr>
              <w:t>BCise</w:t>
            </w:r>
            <w:proofErr w:type="spellEnd"/>
            <w:r w:rsidRPr="00DE1075">
              <w:rPr>
                <w:rFonts w:ascii="Arial" w:hAnsi="Arial" w:cs="Arial"/>
                <w:color w:val="000000"/>
              </w:rPr>
              <w:t>®</w:t>
            </w:r>
          </w:p>
          <w:p w14:paraId="3AB548A1" w14:textId="77777777" w:rsidR="00DE1075" w:rsidRPr="00DE1075" w:rsidRDefault="00DE1075" w:rsidP="00DE1075">
            <w:pPr>
              <w:rPr>
                <w:rFonts w:ascii="Arial" w:hAnsi="Arial" w:cs="Arial"/>
                <w:color w:val="000000"/>
              </w:rPr>
            </w:pPr>
          </w:p>
          <w:p w14:paraId="57B01EBB" w14:textId="77777777" w:rsidR="000950AB" w:rsidRDefault="00DE1075" w:rsidP="00DE1075">
            <w:pPr>
              <w:rPr>
                <w:rFonts w:ascii="Arial" w:hAnsi="Arial" w:cs="Arial"/>
                <w:color w:val="000000"/>
              </w:rPr>
            </w:pPr>
            <w:r w:rsidRPr="00DE1075">
              <w:rPr>
                <w:rFonts w:ascii="Arial" w:hAnsi="Arial" w:cs="Arial"/>
                <w:color w:val="000000"/>
              </w:rPr>
              <w:t>AstraZeneca Pty Ltd</w:t>
            </w:r>
          </w:p>
          <w:p w14:paraId="1A97C866" w14:textId="77777777" w:rsidR="00DE1075" w:rsidRDefault="00DE1075" w:rsidP="00DE1075">
            <w:pPr>
              <w:rPr>
                <w:rFonts w:ascii="Arial" w:hAnsi="Arial" w:cs="Arial"/>
                <w:color w:val="000000"/>
              </w:rPr>
            </w:pPr>
          </w:p>
          <w:p w14:paraId="4BEFAA13" w14:textId="77777777" w:rsidR="00DE1075" w:rsidRPr="00DE1075" w:rsidRDefault="00DE1075" w:rsidP="00DE1075">
            <w:pPr>
              <w:rPr>
                <w:rFonts w:ascii="Arial" w:hAnsi="Arial" w:cs="Arial"/>
                <w:color w:val="000000"/>
              </w:rPr>
            </w:pPr>
            <w:r>
              <w:rPr>
                <w:rFonts w:ascii="Arial" w:hAnsi="Arial" w:cs="Arial"/>
                <w:color w:val="000000"/>
              </w:rPr>
              <w:t>New listing</w:t>
            </w:r>
          </w:p>
          <w:p w14:paraId="445C7D82" w14:textId="77777777" w:rsidR="00DE1075" w:rsidRPr="007F7D95" w:rsidRDefault="00DE1075" w:rsidP="00DE1075">
            <w:pPr>
              <w:rPr>
                <w:rFonts w:ascii="Arial" w:hAnsi="Arial" w:cs="Arial"/>
                <w:color w:val="000000"/>
              </w:rPr>
            </w:pPr>
            <w:r w:rsidRPr="00DE1075">
              <w:rPr>
                <w:rFonts w:ascii="Arial" w:hAnsi="Arial" w:cs="Arial"/>
                <w:color w:val="000000"/>
              </w:rPr>
              <w:t>(Major Submission)</w:t>
            </w:r>
          </w:p>
        </w:tc>
        <w:tc>
          <w:tcPr>
            <w:tcW w:w="2409" w:type="dxa"/>
            <w:vMerge w:val="restart"/>
          </w:tcPr>
          <w:p w14:paraId="2B47BF91" w14:textId="77777777" w:rsidR="000950AB" w:rsidRPr="00DE1075" w:rsidRDefault="00DE1075" w:rsidP="00DE1075">
            <w:pPr>
              <w:keepNext/>
              <w:rPr>
                <w:rFonts w:ascii="Arial" w:hAnsi="Arial" w:cs="Arial"/>
              </w:rPr>
            </w:pPr>
            <w:r w:rsidRPr="00DE1075">
              <w:rPr>
                <w:rFonts w:ascii="Arial" w:hAnsi="Arial" w:cs="Arial"/>
              </w:rPr>
              <w:t>Type 2 diabetes mellitus (T2DM)</w:t>
            </w:r>
          </w:p>
        </w:tc>
        <w:tc>
          <w:tcPr>
            <w:tcW w:w="3261" w:type="dxa"/>
            <w:tcMar>
              <w:top w:w="28" w:type="dxa"/>
              <w:bottom w:w="28" w:type="dxa"/>
            </w:tcMar>
          </w:tcPr>
          <w:p w14:paraId="7A8CE142" w14:textId="77777777" w:rsidR="000950AB" w:rsidRPr="007F7D95" w:rsidRDefault="00DE1075" w:rsidP="00F97C5D">
            <w:pPr>
              <w:rPr>
                <w:rFonts w:ascii="Arial" w:hAnsi="Arial" w:cs="Arial"/>
                <w:color w:val="000000"/>
              </w:rPr>
            </w:pPr>
            <w:r w:rsidRPr="00DE1075">
              <w:rPr>
                <w:rFonts w:ascii="Arial" w:hAnsi="Arial" w:cs="Arial"/>
                <w:color w:val="000000"/>
              </w:rPr>
              <w:t>To request an Authority Required (STREAMLINED) listing for use in combination with metformin or sulfonylurea for the treatment of patients with T2DM.</w:t>
            </w:r>
          </w:p>
        </w:tc>
        <w:tc>
          <w:tcPr>
            <w:tcW w:w="6947" w:type="dxa"/>
          </w:tcPr>
          <w:p w14:paraId="09AA9B0A" w14:textId="72C89D1C" w:rsidR="00F02B90" w:rsidRPr="00170DE3" w:rsidRDefault="00736038" w:rsidP="002C331C">
            <w:pPr>
              <w:rPr>
                <w:rFonts w:ascii="Arial" w:hAnsi="Arial" w:cs="Arial"/>
                <w:color w:val="000000"/>
              </w:rPr>
            </w:pPr>
            <w:r w:rsidRPr="00736038">
              <w:rPr>
                <w:rFonts w:ascii="Arial" w:hAnsi="Arial" w:cs="Arial"/>
                <w:color w:val="000000"/>
              </w:rPr>
              <w:t xml:space="preserve">The PBAC did not recommend </w:t>
            </w:r>
            <w:proofErr w:type="spellStart"/>
            <w:r w:rsidRPr="00736038">
              <w:rPr>
                <w:rFonts w:ascii="Arial" w:hAnsi="Arial" w:cs="Arial"/>
                <w:color w:val="000000"/>
              </w:rPr>
              <w:t>exenatide</w:t>
            </w:r>
            <w:proofErr w:type="spellEnd"/>
            <w:r w:rsidRPr="00736038">
              <w:rPr>
                <w:rFonts w:ascii="Arial" w:hAnsi="Arial" w:cs="Arial"/>
                <w:color w:val="000000"/>
              </w:rPr>
              <w:t xml:space="preserve"> 2 mg once weekly </w:t>
            </w:r>
            <w:proofErr w:type="spellStart"/>
            <w:r w:rsidRPr="00736038">
              <w:rPr>
                <w:rFonts w:ascii="Arial" w:hAnsi="Arial" w:cs="Arial"/>
                <w:color w:val="000000"/>
              </w:rPr>
              <w:t>autoinjector</w:t>
            </w:r>
            <w:proofErr w:type="spellEnd"/>
            <w:r w:rsidRPr="00736038">
              <w:rPr>
                <w:rFonts w:ascii="Arial" w:hAnsi="Arial" w:cs="Arial"/>
                <w:color w:val="000000"/>
              </w:rPr>
              <w:t xml:space="preserve"> for the treatment of T2DM on the basis that the indirect treatment comparison presented in the submission did not support the claim that </w:t>
            </w:r>
            <w:proofErr w:type="spellStart"/>
            <w:r w:rsidRPr="00736038">
              <w:rPr>
                <w:rFonts w:ascii="Arial" w:hAnsi="Arial" w:cs="Arial"/>
                <w:color w:val="000000"/>
              </w:rPr>
              <w:t>exenatide</w:t>
            </w:r>
            <w:proofErr w:type="spellEnd"/>
            <w:r w:rsidRPr="00736038">
              <w:rPr>
                <w:rFonts w:ascii="Arial" w:hAnsi="Arial" w:cs="Arial"/>
                <w:color w:val="000000"/>
              </w:rPr>
              <w:t xml:space="preserve"> </w:t>
            </w:r>
            <w:proofErr w:type="spellStart"/>
            <w:r w:rsidRPr="00736038">
              <w:rPr>
                <w:rFonts w:ascii="Arial" w:hAnsi="Arial" w:cs="Arial"/>
                <w:color w:val="000000"/>
              </w:rPr>
              <w:t>autoinjector</w:t>
            </w:r>
            <w:proofErr w:type="spellEnd"/>
            <w:r w:rsidRPr="00736038">
              <w:rPr>
                <w:rFonts w:ascii="Arial" w:hAnsi="Arial" w:cs="Arial"/>
                <w:color w:val="000000"/>
              </w:rPr>
              <w:t xml:space="preserve"> was non-inferior in effectiveness to the currently PBS-listed </w:t>
            </w:r>
            <w:proofErr w:type="spellStart"/>
            <w:r w:rsidRPr="00736038">
              <w:rPr>
                <w:rFonts w:ascii="Arial" w:hAnsi="Arial" w:cs="Arial"/>
                <w:color w:val="000000"/>
              </w:rPr>
              <w:t>exenatide</w:t>
            </w:r>
            <w:proofErr w:type="spellEnd"/>
            <w:r w:rsidRPr="00736038">
              <w:rPr>
                <w:rFonts w:ascii="Arial" w:hAnsi="Arial" w:cs="Arial"/>
                <w:color w:val="000000"/>
              </w:rPr>
              <w:t xml:space="preserve"> dual chamber pen. While there may be patient-related benefits of using the </w:t>
            </w:r>
            <w:proofErr w:type="spellStart"/>
            <w:r w:rsidRPr="00736038">
              <w:rPr>
                <w:rFonts w:ascii="Arial" w:hAnsi="Arial" w:cs="Arial"/>
                <w:color w:val="000000"/>
              </w:rPr>
              <w:t>autoinjector</w:t>
            </w:r>
            <w:proofErr w:type="spellEnd"/>
            <w:r w:rsidRPr="00736038">
              <w:rPr>
                <w:rFonts w:ascii="Arial" w:hAnsi="Arial" w:cs="Arial"/>
                <w:color w:val="000000"/>
              </w:rPr>
              <w:t xml:space="preserve"> formulation due to ease of administration, the PBAC noted there was a low clinical need to list a new formulation of </w:t>
            </w:r>
            <w:proofErr w:type="spellStart"/>
            <w:r w:rsidRPr="00736038">
              <w:rPr>
                <w:rFonts w:ascii="Arial" w:hAnsi="Arial" w:cs="Arial"/>
                <w:color w:val="000000"/>
              </w:rPr>
              <w:t>exenatide</w:t>
            </w:r>
            <w:proofErr w:type="spellEnd"/>
            <w:r w:rsidRPr="00736038">
              <w:rPr>
                <w:rFonts w:ascii="Arial" w:hAnsi="Arial" w:cs="Arial"/>
                <w:color w:val="000000"/>
              </w:rPr>
              <w:t xml:space="preserve"> due to the availability of other weekly antidiabetic agents on the PBS for the same patient population.</w:t>
            </w:r>
          </w:p>
        </w:tc>
      </w:tr>
      <w:tr w:rsidR="000950AB" w:rsidRPr="00395B97" w14:paraId="0118DBFC" w14:textId="77777777" w:rsidTr="000950AB">
        <w:trPr>
          <w:trHeight w:val="440"/>
        </w:trPr>
        <w:tc>
          <w:tcPr>
            <w:tcW w:w="2835" w:type="dxa"/>
            <w:vMerge/>
            <w:tcMar>
              <w:top w:w="28" w:type="dxa"/>
              <w:bottom w:w="28" w:type="dxa"/>
            </w:tcMar>
          </w:tcPr>
          <w:p w14:paraId="3A9304D4" w14:textId="77777777" w:rsidR="000950AB" w:rsidRPr="00B139DD" w:rsidRDefault="000950AB" w:rsidP="00B139DD">
            <w:pPr>
              <w:keepNext/>
              <w:rPr>
                <w:rFonts w:ascii="Arial" w:hAnsi="Arial" w:cs="Arial"/>
                <w:color w:val="000000"/>
              </w:rPr>
            </w:pPr>
          </w:p>
        </w:tc>
        <w:tc>
          <w:tcPr>
            <w:tcW w:w="2409" w:type="dxa"/>
            <w:vMerge/>
          </w:tcPr>
          <w:p w14:paraId="352D0AC3" w14:textId="77777777" w:rsidR="000950AB" w:rsidRPr="00597810" w:rsidRDefault="000950AB" w:rsidP="00597810">
            <w:pPr>
              <w:pStyle w:val="Default"/>
              <w:rPr>
                <w:rFonts w:ascii="Arial" w:hAnsi="Arial" w:cs="Arial"/>
                <w:sz w:val="20"/>
                <w:szCs w:val="20"/>
              </w:rPr>
            </w:pPr>
          </w:p>
        </w:tc>
        <w:tc>
          <w:tcPr>
            <w:tcW w:w="3261" w:type="dxa"/>
            <w:tcMar>
              <w:top w:w="28" w:type="dxa"/>
              <w:bottom w:w="28" w:type="dxa"/>
            </w:tcMar>
          </w:tcPr>
          <w:p w14:paraId="1C02BB33" w14:textId="77777777" w:rsidR="000950AB" w:rsidRPr="00B139DD" w:rsidRDefault="000950AB" w:rsidP="00476F5F">
            <w:pPr>
              <w:rPr>
                <w:rFonts w:ascii="Arial" w:hAnsi="Arial" w:cs="Arial"/>
                <w:color w:val="000000"/>
              </w:rPr>
            </w:pPr>
            <w:r>
              <w:rPr>
                <w:rFonts w:ascii="Arial" w:hAnsi="Arial" w:cs="Arial"/>
                <w:color w:val="000000"/>
              </w:rPr>
              <w:t>Sponsor comment:</w:t>
            </w:r>
          </w:p>
        </w:tc>
        <w:tc>
          <w:tcPr>
            <w:tcW w:w="6947" w:type="dxa"/>
          </w:tcPr>
          <w:p w14:paraId="2FD45DA2" w14:textId="168533F2" w:rsidR="000950AB" w:rsidRPr="00F97C5D" w:rsidRDefault="00693DBE" w:rsidP="00AD1685">
            <w:pPr>
              <w:pStyle w:val="ListParagraph"/>
              <w:ind w:left="0"/>
              <w:jc w:val="both"/>
              <w:rPr>
                <w:rFonts w:ascii="Arial" w:hAnsi="Arial" w:cs="Arial"/>
                <w:iCs/>
                <w:sz w:val="20"/>
                <w:szCs w:val="20"/>
              </w:rPr>
            </w:pPr>
            <w:r w:rsidRPr="00693DBE">
              <w:rPr>
                <w:rFonts w:ascii="Arial" w:hAnsi="Arial" w:cs="Arial"/>
                <w:iCs/>
                <w:sz w:val="20"/>
                <w:szCs w:val="20"/>
              </w:rPr>
              <w:t xml:space="preserve">AstraZeneca was disappointed to learn that the PBAC did not recommend </w:t>
            </w:r>
            <w:proofErr w:type="spellStart"/>
            <w:r w:rsidRPr="00693DBE">
              <w:rPr>
                <w:rFonts w:ascii="Arial" w:hAnsi="Arial" w:cs="Arial"/>
                <w:iCs/>
                <w:sz w:val="20"/>
                <w:szCs w:val="20"/>
              </w:rPr>
              <w:t>Bydureon</w:t>
            </w:r>
            <w:proofErr w:type="spellEnd"/>
            <w:r w:rsidRPr="00693DBE">
              <w:rPr>
                <w:rFonts w:ascii="Arial" w:hAnsi="Arial" w:cs="Arial"/>
                <w:iCs/>
                <w:sz w:val="20"/>
                <w:szCs w:val="20"/>
              </w:rPr>
              <w:t xml:space="preserve"> </w:t>
            </w:r>
            <w:proofErr w:type="spellStart"/>
            <w:r w:rsidRPr="00693DBE">
              <w:rPr>
                <w:rFonts w:ascii="Arial" w:hAnsi="Arial" w:cs="Arial"/>
                <w:iCs/>
                <w:sz w:val="20"/>
                <w:szCs w:val="20"/>
              </w:rPr>
              <w:t>BCise</w:t>
            </w:r>
            <w:proofErr w:type="spellEnd"/>
            <w:r w:rsidRPr="00693DBE">
              <w:rPr>
                <w:rFonts w:ascii="Arial" w:hAnsi="Arial" w:cs="Arial"/>
                <w:iCs/>
                <w:sz w:val="20"/>
                <w:szCs w:val="20"/>
              </w:rPr>
              <w:t xml:space="preserve">. This device is equivalent to the current presentation and </w:t>
            </w:r>
            <w:r w:rsidR="009858E1" w:rsidRPr="00693DBE">
              <w:rPr>
                <w:rFonts w:ascii="Arial" w:hAnsi="Arial" w:cs="Arial"/>
                <w:iCs/>
                <w:sz w:val="20"/>
                <w:szCs w:val="20"/>
              </w:rPr>
              <w:t>its</w:t>
            </w:r>
            <w:r w:rsidRPr="00693DBE">
              <w:rPr>
                <w:rFonts w:ascii="Arial" w:hAnsi="Arial" w:cs="Arial"/>
                <w:iCs/>
                <w:sz w:val="20"/>
                <w:szCs w:val="20"/>
              </w:rPr>
              <w:t xml:space="preserve"> ease of administration enables patients to better manage their T2DM. AstraZeneca will work with the PBAC to ensure that patients can access </w:t>
            </w:r>
            <w:proofErr w:type="spellStart"/>
            <w:r w:rsidRPr="00693DBE">
              <w:rPr>
                <w:rFonts w:ascii="Arial" w:hAnsi="Arial" w:cs="Arial"/>
                <w:iCs/>
                <w:sz w:val="20"/>
                <w:szCs w:val="20"/>
              </w:rPr>
              <w:t>Bydureon</w:t>
            </w:r>
            <w:proofErr w:type="spellEnd"/>
            <w:r w:rsidRPr="00693DBE">
              <w:rPr>
                <w:rFonts w:ascii="Arial" w:hAnsi="Arial" w:cs="Arial"/>
                <w:iCs/>
                <w:sz w:val="20"/>
                <w:szCs w:val="20"/>
              </w:rPr>
              <w:t xml:space="preserve"> </w:t>
            </w:r>
            <w:proofErr w:type="spellStart"/>
            <w:r w:rsidRPr="00693DBE">
              <w:rPr>
                <w:rFonts w:ascii="Arial" w:hAnsi="Arial" w:cs="Arial"/>
                <w:iCs/>
                <w:sz w:val="20"/>
                <w:szCs w:val="20"/>
              </w:rPr>
              <w:t>BCise</w:t>
            </w:r>
            <w:proofErr w:type="spellEnd"/>
            <w:r w:rsidRPr="00693DBE">
              <w:rPr>
                <w:rFonts w:ascii="Arial" w:hAnsi="Arial" w:cs="Arial"/>
                <w:iCs/>
                <w:sz w:val="20"/>
                <w:szCs w:val="20"/>
              </w:rPr>
              <w:t>.</w:t>
            </w:r>
          </w:p>
        </w:tc>
      </w:tr>
      <w:tr w:rsidR="000950AB" w:rsidRPr="00395B97" w14:paraId="562A7AC3" w14:textId="77777777" w:rsidTr="00581C56">
        <w:trPr>
          <w:trHeight w:val="1634"/>
        </w:trPr>
        <w:tc>
          <w:tcPr>
            <w:tcW w:w="2835" w:type="dxa"/>
            <w:vMerge w:val="restart"/>
            <w:tcMar>
              <w:top w:w="28" w:type="dxa"/>
              <w:bottom w:w="28" w:type="dxa"/>
            </w:tcMar>
          </w:tcPr>
          <w:p w14:paraId="31BBF4A4" w14:textId="77777777" w:rsidR="00DE1075" w:rsidRPr="00DE1075" w:rsidRDefault="00DE1075" w:rsidP="00DE1075">
            <w:pPr>
              <w:pageBreakBefore/>
              <w:rPr>
                <w:rFonts w:ascii="Arial" w:hAnsi="Arial" w:cs="Arial"/>
                <w:color w:val="000000"/>
              </w:rPr>
            </w:pPr>
            <w:r w:rsidRPr="00DE1075">
              <w:rPr>
                <w:rFonts w:ascii="Arial" w:hAnsi="Arial" w:cs="Arial"/>
                <w:color w:val="000000"/>
              </w:rPr>
              <w:lastRenderedPageBreak/>
              <w:t>LENALIDOMIDE</w:t>
            </w:r>
          </w:p>
          <w:p w14:paraId="12A503DC" w14:textId="77777777" w:rsidR="00DE1075" w:rsidRPr="00DE1075" w:rsidRDefault="00DE1075" w:rsidP="00DE1075">
            <w:pPr>
              <w:pageBreakBefore/>
              <w:rPr>
                <w:rFonts w:ascii="Arial" w:hAnsi="Arial" w:cs="Arial"/>
                <w:color w:val="000000"/>
              </w:rPr>
            </w:pPr>
          </w:p>
          <w:p w14:paraId="5F91CA73" w14:textId="77777777" w:rsidR="00DE1075" w:rsidRPr="00DE1075" w:rsidRDefault="00DE1075" w:rsidP="00DE1075">
            <w:pPr>
              <w:pageBreakBefore/>
              <w:rPr>
                <w:rFonts w:ascii="Arial" w:hAnsi="Arial" w:cs="Arial"/>
                <w:color w:val="000000"/>
              </w:rPr>
            </w:pPr>
            <w:r w:rsidRPr="00DE1075">
              <w:rPr>
                <w:rFonts w:ascii="Arial" w:hAnsi="Arial" w:cs="Arial"/>
                <w:color w:val="000000"/>
              </w:rPr>
              <w:t>Capsule 5 mg</w:t>
            </w:r>
          </w:p>
          <w:p w14:paraId="771096D2" w14:textId="77777777" w:rsidR="00DE1075" w:rsidRPr="00DE1075" w:rsidRDefault="00DE1075" w:rsidP="00DE1075">
            <w:pPr>
              <w:pageBreakBefore/>
              <w:rPr>
                <w:rFonts w:ascii="Arial" w:hAnsi="Arial" w:cs="Arial"/>
                <w:color w:val="000000"/>
              </w:rPr>
            </w:pPr>
            <w:r w:rsidRPr="00DE1075">
              <w:rPr>
                <w:rFonts w:ascii="Arial" w:hAnsi="Arial" w:cs="Arial"/>
                <w:color w:val="000000"/>
              </w:rPr>
              <w:t>Capsule 10 mg</w:t>
            </w:r>
          </w:p>
          <w:p w14:paraId="5276F42B" w14:textId="77777777" w:rsidR="00DE1075" w:rsidRPr="00DE1075" w:rsidRDefault="00DE1075" w:rsidP="00DE1075">
            <w:pPr>
              <w:pageBreakBefore/>
              <w:rPr>
                <w:rFonts w:ascii="Arial" w:hAnsi="Arial" w:cs="Arial"/>
                <w:color w:val="000000"/>
              </w:rPr>
            </w:pPr>
            <w:r w:rsidRPr="00DE1075">
              <w:rPr>
                <w:rFonts w:ascii="Arial" w:hAnsi="Arial" w:cs="Arial"/>
                <w:color w:val="000000"/>
              </w:rPr>
              <w:t>Capsule 15 mg</w:t>
            </w:r>
          </w:p>
          <w:p w14:paraId="3881F575" w14:textId="77777777" w:rsidR="00DE1075" w:rsidRPr="00DE1075" w:rsidRDefault="00DE1075" w:rsidP="00DE1075">
            <w:pPr>
              <w:pageBreakBefore/>
              <w:rPr>
                <w:rFonts w:ascii="Arial" w:hAnsi="Arial" w:cs="Arial"/>
                <w:color w:val="000000"/>
              </w:rPr>
            </w:pPr>
            <w:r w:rsidRPr="00DE1075">
              <w:rPr>
                <w:rFonts w:ascii="Arial" w:hAnsi="Arial" w:cs="Arial"/>
                <w:color w:val="000000"/>
              </w:rPr>
              <w:t>Capsule 25 mg</w:t>
            </w:r>
          </w:p>
          <w:p w14:paraId="6CB24931" w14:textId="77777777" w:rsidR="00DE1075" w:rsidRPr="00DE1075" w:rsidRDefault="00DE1075" w:rsidP="00DE1075">
            <w:pPr>
              <w:pageBreakBefore/>
              <w:rPr>
                <w:rFonts w:ascii="Arial" w:hAnsi="Arial" w:cs="Arial"/>
                <w:color w:val="000000"/>
              </w:rPr>
            </w:pPr>
          </w:p>
          <w:p w14:paraId="0EAEC5C7" w14:textId="77777777" w:rsidR="00DE1075" w:rsidRPr="00DE1075" w:rsidRDefault="00DE1075" w:rsidP="00DE1075">
            <w:pPr>
              <w:pageBreakBefore/>
              <w:rPr>
                <w:rFonts w:ascii="Arial" w:hAnsi="Arial" w:cs="Arial"/>
                <w:color w:val="000000"/>
              </w:rPr>
            </w:pPr>
            <w:proofErr w:type="spellStart"/>
            <w:r w:rsidRPr="00DE1075">
              <w:rPr>
                <w:rFonts w:ascii="Arial" w:hAnsi="Arial" w:cs="Arial"/>
                <w:color w:val="000000"/>
              </w:rPr>
              <w:t>Revlimid</w:t>
            </w:r>
            <w:proofErr w:type="spellEnd"/>
            <w:r w:rsidRPr="00DE1075">
              <w:rPr>
                <w:rFonts w:ascii="Arial" w:hAnsi="Arial" w:cs="Arial"/>
                <w:color w:val="000000"/>
              </w:rPr>
              <w:t>®</w:t>
            </w:r>
          </w:p>
          <w:p w14:paraId="61E62933" w14:textId="77777777" w:rsidR="00DE1075" w:rsidRPr="00DE1075" w:rsidRDefault="00DE1075" w:rsidP="00DE1075">
            <w:pPr>
              <w:pageBreakBefore/>
              <w:rPr>
                <w:rFonts w:ascii="Arial" w:hAnsi="Arial" w:cs="Arial"/>
                <w:color w:val="000000"/>
              </w:rPr>
            </w:pPr>
          </w:p>
          <w:p w14:paraId="55C7756C" w14:textId="77777777" w:rsidR="000950AB" w:rsidRDefault="00DE1075" w:rsidP="00DE1075">
            <w:pPr>
              <w:pageBreakBefore/>
              <w:rPr>
                <w:rFonts w:ascii="Arial" w:hAnsi="Arial" w:cs="Arial"/>
                <w:color w:val="000000"/>
              </w:rPr>
            </w:pPr>
            <w:r w:rsidRPr="00DE1075">
              <w:rPr>
                <w:rFonts w:ascii="Arial" w:hAnsi="Arial" w:cs="Arial"/>
                <w:color w:val="000000"/>
              </w:rPr>
              <w:t>Celgene Pty Ltd</w:t>
            </w:r>
          </w:p>
          <w:p w14:paraId="5FF09FA7" w14:textId="77777777" w:rsidR="00DE1075" w:rsidRDefault="00DE1075" w:rsidP="00DE1075">
            <w:pPr>
              <w:pageBreakBefore/>
              <w:rPr>
                <w:rFonts w:ascii="Arial" w:hAnsi="Arial" w:cs="Arial"/>
                <w:color w:val="000000"/>
              </w:rPr>
            </w:pPr>
          </w:p>
          <w:p w14:paraId="2D29A754" w14:textId="77777777" w:rsidR="00DE1075" w:rsidRPr="00DE1075" w:rsidRDefault="00DE1075" w:rsidP="00DE1075">
            <w:pPr>
              <w:pageBreakBefore/>
              <w:rPr>
                <w:rFonts w:ascii="Arial" w:hAnsi="Arial" w:cs="Arial"/>
                <w:color w:val="000000"/>
              </w:rPr>
            </w:pPr>
            <w:r>
              <w:rPr>
                <w:rFonts w:ascii="Arial" w:hAnsi="Arial" w:cs="Arial"/>
                <w:color w:val="000000"/>
              </w:rPr>
              <w:t>Change to listing</w:t>
            </w:r>
          </w:p>
          <w:p w14:paraId="32051D4E" w14:textId="77777777" w:rsidR="00DE1075" w:rsidRDefault="00DE1075" w:rsidP="00DE1075">
            <w:pPr>
              <w:pageBreakBefore/>
              <w:rPr>
                <w:rFonts w:ascii="Arial" w:hAnsi="Arial" w:cs="Arial"/>
                <w:color w:val="000000"/>
              </w:rPr>
            </w:pPr>
            <w:r w:rsidRPr="00DE1075">
              <w:rPr>
                <w:rFonts w:ascii="Arial" w:hAnsi="Arial" w:cs="Arial"/>
                <w:color w:val="000000"/>
              </w:rPr>
              <w:t>(Minor Submission)</w:t>
            </w:r>
          </w:p>
          <w:p w14:paraId="0942005F" w14:textId="77777777" w:rsidR="00DE1075" w:rsidRPr="007F7D95" w:rsidRDefault="00DE1075" w:rsidP="00DE1075">
            <w:pPr>
              <w:pageBreakBefore/>
              <w:rPr>
                <w:rFonts w:ascii="Arial" w:hAnsi="Arial" w:cs="Arial"/>
                <w:color w:val="000000"/>
              </w:rPr>
            </w:pPr>
          </w:p>
        </w:tc>
        <w:tc>
          <w:tcPr>
            <w:tcW w:w="2409" w:type="dxa"/>
            <w:vMerge w:val="restart"/>
          </w:tcPr>
          <w:p w14:paraId="4414F77B" w14:textId="77777777" w:rsidR="000950AB" w:rsidRPr="007F7D95" w:rsidRDefault="00DE1075" w:rsidP="006F6B2C">
            <w:pPr>
              <w:pageBreakBefore/>
              <w:rPr>
                <w:rFonts w:ascii="Arial" w:hAnsi="Arial" w:cs="Arial"/>
                <w:color w:val="000000"/>
              </w:rPr>
            </w:pPr>
            <w:r>
              <w:rPr>
                <w:rFonts w:ascii="Arial" w:hAnsi="Arial" w:cs="Arial"/>
                <w:color w:val="000000"/>
              </w:rPr>
              <w:t>Multiple Myeloma</w:t>
            </w:r>
          </w:p>
        </w:tc>
        <w:tc>
          <w:tcPr>
            <w:tcW w:w="3261" w:type="dxa"/>
            <w:tcMar>
              <w:top w:w="28" w:type="dxa"/>
              <w:bottom w:w="28" w:type="dxa"/>
            </w:tcMar>
          </w:tcPr>
          <w:p w14:paraId="736701A6" w14:textId="77777777" w:rsidR="000950AB" w:rsidRPr="007F7D95" w:rsidRDefault="00DE1075" w:rsidP="006F6B2C">
            <w:pPr>
              <w:pageBreakBefore/>
              <w:rPr>
                <w:rFonts w:ascii="Arial" w:hAnsi="Arial" w:cs="Arial"/>
                <w:color w:val="000000"/>
              </w:rPr>
            </w:pPr>
            <w:r w:rsidRPr="00DE1075">
              <w:rPr>
                <w:rFonts w:ascii="Arial" w:hAnsi="Arial" w:cs="Arial"/>
                <w:color w:val="000000"/>
              </w:rPr>
              <w:t>To request the current Authority Required (written) listings of lenalidomide for multiple myeloma be amended to Authority Required (STREAMLINED).</w:t>
            </w:r>
          </w:p>
        </w:tc>
        <w:tc>
          <w:tcPr>
            <w:tcW w:w="6947" w:type="dxa"/>
          </w:tcPr>
          <w:p w14:paraId="51B72095" w14:textId="453F9B95" w:rsidR="00736038" w:rsidRPr="00736038" w:rsidRDefault="00736038" w:rsidP="00736038">
            <w:pPr>
              <w:pageBreakBefore/>
              <w:rPr>
                <w:rFonts w:ascii="Arial" w:hAnsi="Arial" w:cs="Arial"/>
                <w:color w:val="000000"/>
              </w:rPr>
            </w:pPr>
            <w:r w:rsidRPr="00736038">
              <w:rPr>
                <w:rFonts w:ascii="Arial" w:hAnsi="Arial" w:cs="Arial"/>
                <w:color w:val="000000"/>
              </w:rPr>
              <w:t>The PBAC decided not to recommend a change to the restriction level of the existing PBS listings for lenalidomide for multiple myeloma from Authority Required (Written) to Authority Required (STREAMLINED). Lenalidomide is currently PBS listed for the treatment of patients with newly diagnosed multiple myeloma who are ineligible for a stem cell transplant and relapsed or refractory multiple myeloma.</w:t>
            </w:r>
          </w:p>
          <w:p w14:paraId="7969E7E4" w14:textId="77777777" w:rsidR="00736038" w:rsidRPr="00736038" w:rsidRDefault="00736038" w:rsidP="00736038">
            <w:pPr>
              <w:pageBreakBefore/>
              <w:rPr>
                <w:rFonts w:ascii="Arial" w:hAnsi="Arial" w:cs="Arial"/>
                <w:color w:val="000000"/>
              </w:rPr>
            </w:pPr>
          </w:p>
          <w:p w14:paraId="6EF20804" w14:textId="494CFA45" w:rsidR="00F02B90" w:rsidRPr="00D13819" w:rsidRDefault="00736038" w:rsidP="00736038">
            <w:pPr>
              <w:pageBreakBefore/>
              <w:rPr>
                <w:rFonts w:ascii="Arial" w:hAnsi="Arial" w:cs="Arial"/>
                <w:color w:val="000000"/>
              </w:rPr>
            </w:pPr>
            <w:r w:rsidRPr="00736038">
              <w:rPr>
                <w:rFonts w:ascii="Arial" w:hAnsi="Arial" w:cs="Arial"/>
                <w:color w:val="000000"/>
              </w:rPr>
              <w:t xml:space="preserve">The PBAC did not consider the proposed increase in the rebate for the </w:t>
            </w:r>
            <w:r w:rsidR="002C331C" w:rsidRPr="00736038">
              <w:rPr>
                <w:rFonts w:ascii="Arial" w:hAnsi="Arial" w:cs="Arial"/>
                <w:color w:val="000000"/>
              </w:rPr>
              <w:t xml:space="preserve">newly diagnosed multiple </w:t>
            </w:r>
            <w:proofErr w:type="spellStart"/>
            <w:r w:rsidR="002C331C" w:rsidRPr="00736038">
              <w:rPr>
                <w:rFonts w:ascii="Arial" w:hAnsi="Arial" w:cs="Arial"/>
                <w:color w:val="000000"/>
              </w:rPr>
              <w:t>myeloma</w:t>
            </w:r>
            <w:r w:rsidRPr="00736038">
              <w:rPr>
                <w:rFonts w:ascii="Arial" w:hAnsi="Arial" w:cs="Arial"/>
                <w:color w:val="000000"/>
              </w:rPr>
              <w:t>ND</w:t>
            </w:r>
            <w:proofErr w:type="spellEnd"/>
            <w:r w:rsidRPr="00736038">
              <w:rPr>
                <w:rFonts w:ascii="Arial" w:hAnsi="Arial" w:cs="Arial"/>
                <w:color w:val="000000"/>
              </w:rPr>
              <w:t xml:space="preserve"> MM population was sufficient to mitigate the risk of use outside the intended PBS population due to the change in authority level.</w:t>
            </w:r>
          </w:p>
        </w:tc>
      </w:tr>
      <w:tr w:rsidR="000950AB" w:rsidRPr="00395B97" w14:paraId="688B666C" w14:textId="77777777" w:rsidTr="000950AB">
        <w:trPr>
          <w:trHeight w:val="465"/>
        </w:trPr>
        <w:tc>
          <w:tcPr>
            <w:tcW w:w="2835" w:type="dxa"/>
            <w:vMerge/>
            <w:tcBorders>
              <w:bottom w:val="single" w:sz="4" w:space="0" w:color="auto"/>
            </w:tcBorders>
            <w:tcMar>
              <w:top w:w="28" w:type="dxa"/>
              <w:bottom w:w="28" w:type="dxa"/>
            </w:tcMar>
          </w:tcPr>
          <w:p w14:paraId="36B467AD" w14:textId="77777777" w:rsidR="000950AB" w:rsidRPr="001C1D66" w:rsidRDefault="000950AB" w:rsidP="0053482B">
            <w:pPr>
              <w:rPr>
                <w:rFonts w:ascii="Arial" w:hAnsi="Arial" w:cs="Arial"/>
                <w:color w:val="000000"/>
              </w:rPr>
            </w:pPr>
          </w:p>
        </w:tc>
        <w:tc>
          <w:tcPr>
            <w:tcW w:w="2409" w:type="dxa"/>
            <w:vMerge/>
            <w:tcBorders>
              <w:bottom w:val="single" w:sz="4" w:space="0" w:color="auto"/>
            </w:tcBorders>
          </w:tcPr>
          <w:p w14:paraId="41FA33B6" w14:textId="77777777" w:rsidR="000950AB" w:rsidRPr="001C1D66" w:rsidRDefault="000950AB" w:rsidP="002A6AB9">
            <w:pPr>
              <w:rPr>
                <w:rFonts w:ascii="Arial" w:hAnsi="Arial" w:cs="Arial"/>
                <w:color w:val="000000"/>
              </w:rPr>
            </w:pPr>
          </w:p>
        </w:tc>
        <w:tc>
          <w:tcPr>
            <w:tcW w:w="3261" w:type="dxa"/>
            <w:tcBorders>
              <w:bottom w:val="single" w:sz="4" w:space="0" w:color="auto"/>
            </w:tcBorders>
            <w:tcMar>
              <w:top w:w="28" w:type="dxa"/>
              <w:bottom w:w="28" w:type="dxa"/>
            </w:tcMar>
          </w:tcPr>
          <w:p w14:paraId="369E9B1E" w14:textId="77777777" w:rsidR="000950AB" w:rsidRDefault="000950AB" w:rsidP="00476F5F">
            <w:pPr>
              <w:rPr>
                <w:rFonts w:ascii="Arial" w:hAnsi="Arial" w:cs="Arial"/>
              </w:rPr>
            </w:pPr>
            <w:r w:rsidRPr="00BF16B4">
              <w:rPr>
                <w:rFonts w:ascii="Arial" w:hAnsi="Arial" w:cs="Arial"/>
              </w:rPr>
              <w:t>Sponsor Comment:</w:t>
            </w:r>
          </w:p>
          <w:p w14:paraId="7DB1AB1B" w14:textId="77777777" w:rsidR="00D857EF" w:rsidRDefault="00D857EF" w:rsidP="00476F5F">
            <w:pPr>
              <w:rPr>
                <w:rFonts w:ascii="Arial" w:hAnsi="Arial" w:cs="Arial"/>
              </w:rPr>
            </w:pPr>
          </w:p>
        </w:tc>
        <w:tc>
          <w:tcPr>
            <w:tcW w:w="6947" w:type="dxa"/>
            <w:tcBorders>
              <w:bottom w:val="single" w:sz="4" w:space="0" w:color="auto"/>
            </w:tcBorders>
          </w:tcPr>
          <w:p w14:paraId="23FE2984" w14:textId="13EB1A8D" w:rsidR="000950AB" w:rsidRPr="00F97C5D" w:rsidRDefault="007161A1" w:rsidP="00AD1685">
            <w:pPr>
              <w:pStyle w:val="ListParagraph"/>
              <w:ind w:left="0"/>
              <w:jc w:val="both"/>
              <w:rPr>
                <w:rFonts w:ascii="Arial" w:hAnsi="Arial" w:cs="Arial"/>
                <w:iCs/>
                <w:sz w:val="20"/>
                <w:szCs w:val="20"/>
              </w:rPr>
            </w:pPr>
            <w:r w:rsidRPr="007161A1">
              <w:rPr>
                <w:rFonts w:ascii="Arial" w:hAnsi="Arial" w:cs="Arial"/>
                <w:iCs/>
                <w:sz w:val="20"/>
                <w:szCs w:val="20"/>
              </w:rPr>
              <w:t>Celgene is committed to working with the PBAC to secure equitable access to Multiple Myeloma treatments for patients and physicians.</w:t>
            </w:r>
          </w:p>
        </w:tc>
      </w:tr>
      <w:tr w:rsidR="000950AB" w:rsidRPr="00395B97" w14:paraId="5192A123" w14:textId="77777777" w:rsidTr="00132E35">
        <w:trPr>
          <w:trHeight w:val="2910"/>
        </w:trPr>
        <w:tc>
          <w:tcPr>
            <w:tcW w:w="2835" w:type="dxa"/>
            <w:vMerge w:val="restart"/>
            <w:tcMar>
              <w:top w:w="28" w:type="dxa"/>
              <w:bottom w:w="28" w:type="dxa"/>
            </w:tcMar>
          </w:tcPr>
          <w:p w14:paraId="46E52349" w14:textId="77777777" w:rsidR="00DE1075" w:rsidRPr="00DE1075" w:rsidRDefault="00DE1075" w:rsidP="00DE1075">
            <w:pPr>
              <w:pStyle w:val="Default"/>
              <w:keepNext/>
              <w:widowControl w:val="0"/>
              <w:rPr>
                <w:rFonts w:ascii="Arial" w:hAnsi="Arial" w:cs="Arial"/>
                <w:sz w:val="20"/>
                <w:szCs w:val="20"/>
              </w:rPr>
            </w:pPr>
            <w:r w:rsidRPr="00DE1075">
              <w:rPr>
                <w:rFonts w:ascii="Arial" w:hAnsi="Arial" w:cs="Arial"/>
                <w:sz w:val="20"/>
                <w:szCs w:val="20"/>
              </w:rPr>
              <w:t>NERATINIB</w:t>
            </w:r>
          </w:p>
          <w:p w14:paraId="5F87907E" w14:textId="77777777" w:rsidR="00DE1075" w:rsidRPr="00DE1075" w:rsidRDefault="00DE1075" w:rsidP="00DE1075">
            <w:pPr>
              <w:pStyle w:val="Default"/>
              <w:keepNext/>
              <w:widowControl w:val="0"/>
              <w:rPr>
                <w:rFonts w:ascii="Arial" w:hAnsi="Arial" w:cs="Arial"/>
                <w:sz w:val="20"/>
                <w:szCs w:val="20"/>
              </w:rPr>
            </w:pPr>
          </w:p>
          <w:p w14:paraId="6EBF1DF8" w14:textId="77777777" w:rsidR="00DE1075" w:rsidRPr="00DE1075" w:rsidRDefault="00DE1075" w:rsidP="00DE1075">
            <w:pPr>
              <w:pStyle w:val="Default"/>
              <w:keepNext/>
              <w:widowControl w:val="0"/>
              <w:rPr>
                <w:rFonts w:ascii="Arial" w:hAnsi="Arial" w:cs="Arial"/>
                <w:sz w:val="20"/>
                <w:szCs w:val="20"/>
              </w:rPr>
            </w:pPr>
            <w:r w:rsidRPr="00DE1075">
              <w:rPr>
                <w:rFonts w:ascii="Arial" w:hAnsi="Arial" w:cs="Arial"/>
                <w:sz w:val="20"/>
                <w:szCs w:val="20"/>
              </w:rPr>
              <w:t xml:space="preserve">Tablet 40 mg </w:t>
            </w:r>
          </w:p>
          <w:p w14:paraId="34ED9806" w14:textId="77777777" w:rsidR="00DE1075" w:rsidRPr="00DE1075" w:rsidRDefault="00DE1075" w:rsidP="00DE1075">
            <w:pPr>
              <w:pStyle w:val="Default"/>
              <w:keepNext/>
              <w:widowControl w:val="0"/>
              <w:rPr>
                <w:rFonts w:ascii="Arial" w:hAnsi="Arial" w:cs="Arial"/>
                <w:sz w:val="20"/>
                <w:szCs w:val="20"/>
              </w:rPr>
            </w:pPr>
          </w:p>
          <w:p w14:paraId="19EDEB6F" w14:textId="77777777" w:rsidR="00DE1075" w:rsidRPr="00DE1075" w:rsidRDefault="00DE1075" w:rsidP="00DE1075">
            <w:pPr>
              <w:pStyle w:val="Default"/>
              <w:keepNext/>
              <w:widowControl w:val="0"/>
              <w:rPr>
                <w:rFonts w:ascii="Arial" w:hAnsi="Arial" w:cs="Arial"/>
                <w:sz w:val="20"/>
                <w:szCs w:val="20"/>
              </w:rPr>
            </w:pPr>
            <w:r w:rsidRPr="00DE1075">
              <w:rPr>
                <w:rFonts w:ascii="Arial" w:hAnsi="Arial" w:cs="Arial"/>
                <w:sz w:val="20"/>
                <w:szCs w:val="20"/>
              </w:rPr>
              <w:t>Nerlynx®</w:t>
            </w:r>
          </w:p>
          <w:p w14:paraId="576DBF37" w14:textId="77777777" w:rsidR="00DE1075" w:rsidRPr="00DE1075" w:rsidRDefault="00DE1075" w:rsidP="00DE1075">
            <w:pPr>
              <w:pStyle w:val="Default"/>
              <w:keepNext/>
              <w:widowControl w:val="0"/>
              <w:rPr>
                <w:rFonts w:ascii="Arial" w:hAnsi="Arial" w:cs="Arial"/>
                <w:sz w:val="20"/>
                <w:szCs w:val="20"/>
              </w:rPr>
            </w:pPr>
          </w:p>
          <w:p w14:paraId="284D7C2C" w14:textId="77777777" w:rsidR="000950AB" w:rsidRDefault="00DE1075" w:rsidP="00DE1075">
            <w:pPr>
              <w:pStyle w:val="Default"/>
              <w:keepNext/>
              <w:widowControl w:val="0"/>
              <w:rPr>
                <w:rFonts w:ascii="Arial" w:hAnsi="Arial" w:cs="Arial"/>
                <w:sz w:val="20"/>
                <w:szCs w:val="20"/>
              </w:rPr>
            </w:pPr>
            <w:r w:rsidRPr="00DE1075">
              <w:rPr>
                <w:rFonts w:ascii="Arial" w:hAnsi="Arial" w:cs="Arial"/>
                <w:sz w:val="20"/>
                <w:szCs w:val="20"/>
              </w:rPr>
              <w:t>Specialised Therapeutics Pty Ltd</w:t>
            </w:r>
          </w:p>
          <w:p w14:paraId="3FA159A2" w14:textId="77777777" w:rsidR="00DE1075" w:rsidRDefault="00DE1075" w:rsidP="00DE1075">
            <w:pPr>
              <w:pStyle w:val="Default"/>
              <w:keepNext/>
              <w:widowControl w:val="0"/>
              <w:rPr>
                <w:rFonts w:ascii="Arial" w:hAnsi="Arial" w:cs="Arial"/>
                <w:sz w:val="20"/>
                <w:szCs w:val="20"/>
              </w:rPr>
            </w:pPr>
          </w:p>
          <w:p w14:paraId="2BF877CA" w14:textId="77777777" w:rsidR="00DE1075" w:rsidRPr="00DE1075" w:rsidRDefault="00DE1075" w:rsidP="00DE1075">
            <w:pPr>
              <w:pStyle w:val="Default"/>
              <w:keepNext/>
              <w:widowControl w:val="0"/>
              <w:rPr>
                <w:rFonts w:ascii="Arial" w:hAnsi="Arial" w:cs="Arial"/>
                <w:sz w:val="20"/>
                <w:szCs w:val="20"/>
              </w:rPr>
            </w:pPr>
            <w:r w:rsidRPr="00DE1075">
              <w:rPr>
                <w:rFonts w:ascii="Arial" w:hAnsi="Arial" w:cs="Arial"/>
                <w:sz w:val="20"/>
                <w:szCs w:val="20"/>
              </w:rPr>
              <w:t>New listi</w:t>
            </w:r>
            <w:r>
              <w:rPr>
                <w:rFonts w:ascii="Arial" w:hAnsi="Arial" w:cs="Arial"/>
                <w:sz w:val="20"/>
                <w:szCs w:val="20"/>
              </w:rPr>
              <w:t>ng</w:t>
            </w:r>
          </w:p>
          <w:p w14:paraId="76185559" w14:textId="77777777" w:rsidR="00DE1075" w:rsidRPr="00533F86" w:rsidRDefault="00DE1075" w:rsidP="00DE1075">
            <w:pPr>
              <w:pStyle w:val="Default"/>
              <w:keepNext/>
              <w:widowControl w:val="0"/>
              <w:rPr>
                <w:rFonts w:ascii="Arial" w:hAnsi="Arial" w:cs="Arial"/>
                <w:sz w:val="20"/>
                <w:szCs w:val="20"/>
              </w:rPr>
            </w:pPr>
            <w:r w:rsidRPr="00DE1075">
              <w:rPr>
                <w:rFonts w:ascii="Arial" w:hAnsi="Arial" w:cs="Arial"/>
                <w:sz w:val="20"/>
                <w:szCs w:val="20"/>
              </w:rPr>
              <w:t>(Major Submission)</w:t>
            </w:r>
          </w:p>
        </w:tc>
        <w:tc>
          <w:tcPr>
            <w:tcW w:w="2409" w:type="dxa"/>
            <w:vMerge w:val="restart"/>
          </w:tcPr>
          <w:p w14:paraId="1E8F36CA" w14:textId="3606C3B9" w:rsidR="000950AB" w:rsidRDefault="00306B18" w:rsidP="00B84E0D">
            <w:pPr>
              <w:keepNext/>
              <w:widowControl w:val="0"/>
              <w:rPr>
                <w:rFonts w:ascii="Arial" w:hAnsi="Arial" w:cs="Arial"/>
                <w:color w:val="000000"/>
              </w:rPr>
            </w:pPr>
            <w:r w:rsidRPr="00306B18">
              <w:rPr>
                <w:rFonts w:ascii="Arial" w:hAnsi="Arial" w:cs="Arial"/>
                <w:color w:val="000000"/>
              </w:rPr>
              <w:t>Early breast cancer</w:t>
            </w:r>
          </w:p>
        </w:tc>
        <w:tc>
          <w:tcPr>
            <w:tcW w:w="3261" w:type="dxa"/>
            <w:tcMar>
              <w:top w:w="28" w:type="dxa"/>
              <w:bottom w:w="28" w:type="dxa"/>
            </w:tcMar>
          </w:tcPr>
          <w:p w14:paraId="773595CE" w14:textId="77777777" w:rsidR="000950AB" w:rsidRDefault="00306B18" w:rsidP="00392B80">
            <w:pPr>
              <w:keepNext/>
              <w:widowControl w:val="0"/>
              <w:rPr>
                <w:rFonts w:ascii="Arial" w:hAnsi="Arial" w:cs="Arial"/>
                <w:color w:val="000000"/>
              </w:rPr>
            </w:pPr>
            <w:r w:rsidRPr="00306B18">
              <w:rPr>
                <w:rFonts w:ascii="Arial" w:hAnsi="Arial" w:cs="Arial"/>
                <w:color w:val="000000"/>
              </w:rPr>
              <w:t>To request an Authority Required listing for extended adjuvant treatment of patients with early-stage Human epidermal growth factor receptor-2 positive (HER2+) overexpressed/amplified breast cancer who have received prior adjuvant trastuzumab based therapy.</w:t>
            </w:r>
          </w:p>
        </w:tc>
        <w:tc>
          <w:tcPr>
            <w:tcW w:w="6947" w:type="dxa"/>
          </w:tcPr>
          <w:p w14:paraId="5DC10967" w14:textId="4D1AE110" w:rsidR="00F02B90" w:rsidRPr="003D3AD3" w:rsidRDefault="00736038" w:rsidP="00B84E0D">
            <w:pPr>
              <w:keepNext/>
              <w:widowControl w:val="0"/>
              <w:rPr>
                <w:rFonts w:ascii="Arial" w:hAnsi="Arial" w:cs="Arial"/>
                <w:color w:val="000000"/>
              </w:rPr>
            </w:pPr>
            <w:r w:rsidRPr="00736038">
              <w:rPr>
                <w:rFonts w:ascii="Arial" w:hAnsi="Arial" w:cs="Arial"/>
                <w:color w:val="000000"/>
              </w:rPr>
              <w:t xml:space="preserve">The PBAC did not recommend an Authority Required listing of neratinib for extended adjuvant treatment of patients with early-stage HER2+ overexpressed/amplified breast cancer who have received prior adjuvant trastuzumab based therapy. The PBAC considered that the clinical place for neratinib is unclear given the changing treatment landscape of early stage HER2+ breast cancer, emerging therapies, and the small and uncertain benefit of neratinib balanced against the substantial risk of </w:t>
            </w:r>
            <w:r w:rsidR="00B84E0D">
              <w:rPr>
                <w:rFonts w:ascii="Arial" w:hAnsi="Arial" w:cs="Arial"/>
                <w:color w:val="000000"/>
              </w:rPr>
              <w:t>adverse events</w:t>
            </w:r>
            <w:r w:rsidRPr="00736038">
              <w:rPr>
                <w:rFonts w:ascii="Arial" w:hAnsi="Arial" w:cs="Arial"/>
                <w:color w:val="000000"/>
              </w:rPr>
              <w:t>, in particular severe diarrhoea. The PBAC considered the economic analysis presented to be highly uncertain, and the uptake and financial estimates to be overestimated.</w:t>
            </w:r>
          </w:p>
        </w:tc>
      </w:tr>
      <w:tr w:rsidR="000950AB" w:rsidRPr="00395B97" w14:paraId="3BC138AE" w14:textId="77777777" w:rsidTr="00DA3335">
        <w:trPr>
          <w:trHeight w:val="430"/>
        </w:trPr>
        <w:tc>
          <w:tcPr>
            <w:tcW w:w="2835" w:type="dxa"/>
            <w:vMerge/>
            <w:tcBorders>
              <w:bottom w:val="single" w:sz="4" w:space="0" w:color="auto"/>
            </w:tcBorders>
            <w:tcMar>
              <w:top w:w="28" w:type="dxa"/>
              <w:bottom w:w="28" w:type="dxa"/>
            </w:tcMar>
          </w:tcPr>
          <w:p w14:paraId="013CAB10" w14:textId="77777777" w:rsidR="000950AB" w:rsidRPr="004966A5" w:rsidRDefault="000950AB" w:rsidP="005524B8">
            <w:pPr>
              <w:rPr>
                <w:rFonts w:ascii="Arial" w:hAnsi="Arial" w:cs="Arial"/>
                <w:color w:val="000000"/>
              </w:rPr>
            </w:pPr>
          </w:p>
        </w:tc>
        <w:tc>
          <w:tcPr>
            <w:tcW w:w="2409" w:type="dxa"/>
            <w:vMerge/>
            <w:tcBorders>
              <w:bottom w:val="single" w:sz="4" w:space="0" w:color="auto"/>
            </w:tcBorders>
          </w:tcPr>
          <w:p w14:paraId="0F7B3525" w14:textId="77777777" w:rsidR="000950AB" w:rsidRPr="004966A5" w:rsidRDefault="000950AB" w:rsidP="005524B8">
            <w:pPr>
              <w:rPr>
                <w:rFonts w:ascii="Arial" w:hAnsi="Arial" w:cs="Arial"/>
                <w:color w:val="000000"/>
              </w:rPr>
            </w:pPr>
          </w:p>
        </w:tc>
        <w:tc>
          <w:tcPr>
            <w:tcW w:w="3261" w:type="dxa"/>
            <w:tcBorders>
              <w:bottom w:val="single" w:sz="4" w:space="0" w:color="auto"/>
            </w:tcBorders>
            <w:tcMar>
              <w:top w:w="28" w:type="dxa"/>
              <w:bottom w:w="28" w:type="dxa"/>
            </w:tcMar>
          </w:tcPr>
          <w:p w14:paraId="04B285FE" w14:textId="77777777" w:rsidR="000950AB" w:rsidRPr="00B930DC" w:rsidRDefault="000950AB" w:rsidP="00476F5F">
            <w:pPr>
              <w:keepNext/>
              <w:keepLines/>
              <w:widowControl w:val="0"/>
              <w:rPr>
                <w:rFonts w:ascii="Arial" w:hAnsi="Arial" w:cs="Arial"/>
                <w:color w:val="000000"/>
              </w:rPr>
            </w:pPr>
            <w:r w:rsidRPr="00B930DC">
              <w:rPr>
                <w:rFonts w:ascii="Arial" w:hAnsi="Arial" w:cs="Arial"/>
              </w:rPr>
              <w:t>Sponsor Comment:</w:t>
            </w:r>
          </w:p>
        </w:tc>
        <w:tc>
          <w:tcPr>
            <w:tcW w:w="6947" w:type="dxa"/>
            <w:tcBorders>
              <w:bottom w:val="single" w:sz="4" w:space="0" w:color="auto"/>
            </w:tcBorders>
          </w:tcPr>
          <w:p w14:paraId="4FCB0D12" w14:textId="6EE54DEB" w:rsidR="000950AB" w:rsidRPr="00B930DC" w:rsidRDefault="00A76891" w:rsidP="00476F5F">
            <w:pPr>
              <w:keepNext/>
              <w:keepLines/>
              <w:widowControl w:val="0"/>
              <w:rPr>
                <w:rFonts w:ascii="Arial" w:hAnsi="Arial" w:cs="Arial"/>
                <w:color w:val="000000"/>
              </w:rPr>
            </w:pPr>
            <w:r w:rsidRPr="00A76891">
              <w:rPr>
                <w:rFonts w:ascii="Arial" w:hAnsi="Arial" w:cs="Arial"/>
                <w:color w:val="000000"/>
              </w:rPr>
              <w:t>The sponsor had no comment.</w:t>
            </w:r>
          </w:p>
        </w:tc>
      </w:tr>
      <w:tr w:rsidR="000950AB" w:rsidRPr="00395B97" w14:paraId="3C3120B1" w14:textId="77777777" w:rsidTr="00581C56">
        <w:trPr>
          <w:trHeight w:val="500"/>
        </w:trPr>
        <w:tc>
          <w:tcPr>
            <w:tcW w:w="2835" w:type="dxa"/>
            <w:vMerge w:val="restart"/>
            <w:tcBorders>
              <w:top w:val="single" w:sz="4" w:space="0" w:color="auto"/>
            </w:tcBorders>
            <w:tcMar>
              <w:top w:w="28" w:type="dxa"/>
              <w:bottom w:w="28" w:type="dxa"/>
            </w:tcMar>
          </w:tcPr>
          <w:p w14:paraId="7EA831CA" w14:textId="77777777" w:rsidR="00306B18" w:rsidRPr="00306B18" w:rsidRDefault="00306B18" w:rsidP="00306B18">
            <w:pPr>
              <w:keepNext/>
              <w:widowControl w:val="0"/>
              <w:rPr>
                <w:rFonts w:ascii="Arial" w:hAnsi="Arial" w:cs="Arial"/>
                <w:color w:val="000000"/>
              </w:rPr>
            </w:pPr>
            <w:r w:rsidRPr="00306B18">
              <w:rPr>
                <w:rFonts w:ascii="Arial" w:hAnsi="Arial" w:cs="Arial"/>
                <w:color w:val="000000"/>
              </w:rPr>
              <w:lastRenderedPageBreak/>
              <w:t>PEMBROLIZUMAB</w:t>
            </w:r>
          </w:p>
          <w:p w14:paraId="158B16A2" w14:textId="77777777" w:rsidR="00306B18" w:rsidRPr="00306B18" w:rsidRDefault="00306B18" w:rsidP="00306B18">
            <w:pPr>
              <w:keepNext/>
              <w:widowControl w:val="0"/>
              <w:rPr>
                <w:rFonts w:ascii="Arial" w:hAnsi="Arial" w:cs="Arial"/>
                <w:color w:val="000000"/>
              </w:rPr>
            </w:pPr>
          </w:p>
          <w:p w14:paraId="13F00F42" w14:textId="77777777" w:rsidR="00306B18" w:rsidRPr="00306B18" w:rsidRDefault="00306B18" w:rsidP="00306B18">
            <w:pPr>
              <w:keepNext/>
              <w:widowControl w:val="0"/>
              <w:rPr>
                <w:rFonts w:ascii="Arial" w:hAnsi="Arial" w:cs="Arial"/>
                <w:color w:val="000000"/>
              </w:rPr>
            </w:pPr>
            <w:r w:rsidRPr="00306B18">
              <w:rPr>
                <w:rFonts w:ascii="Arial" w:hAnsi="Arial" w:cs="Arial"/>
                <w:color w:val="000000"/>
              </w:rPr>
              <w:t>Solution concentrate for I.V. infusion 100 mg in 4 mL</w:t>
            </w:r>
          </w:p>
          <w:p w14:paraId="7B86189C" w14:textId="77777777" w:rsidR="00306B18" w:rsidRPr="00306B18" w:rsidRDefault="00306B18" w:rsidP="00306B18">
            <w:pPr>
              <w:keepNext/>
              <w:widowControl w:val="0"/>
              <w:rPr>
                <w:rFonts w:ascii="Arial" w:hAnsi="Arial" w:cs="Arial"/>
                <w:color w:val="000000"/>
              </w:rPr>
            </w:pPr>
          </w:p>
          <w:p w14:paraId="626B1D5E" w14:textId="77777777" w:rsidR="00306B18" w:rsidRPr="00306B18" w:rsidRDefault="00306B18" w:rsidP="00306B18">
            <w:pPr>
              <w:keepNext/>
              <w:widowControl w:val="0"/>
              <w:rPr>
                <w:rFonts w:ascii="Arial" w:hAnsi="Arial" w:cs="Arial"/>
                <w:color w:val="000000"/>
              </w:rPr>
            </w:pPr>
            <w:proofErr w:type="spellStart"/>
            <w:r w:rsidRPr="00306B18">
              <w:rPr>
                <w:rFonts w:ascii="Arial" w:hAnsi="Arial" w:cs="Arial"/>
                <w:color w:val="000000"/>
              </w:rPr>
              <w:t>Keytruda</w:t>
            </w:r>
            <w:proofErr w:type="spellEnd"/>
            <w:r w:rsidRPr="00306B18">
              <w:rPr>
                <w:rFonts w:ascii="Arial" w:hAnsi="Arial" w:cs="Arial"/>
                <w:color w:val="000000"/>
              </w:rPr>
              <w:t>®</w:t>
            </w:r>
          </w:p>
          <w:p w14:paraId="4252935D" w14:textId="77777777" w:rsidR="00306B18" w:rsidRPr="00306B18" w:rsidRDefault="00306B18" w:rsidP="00306B18">
            <w:pPr>
              <w:keepNext/>
              <w:widowControl w:val="0"/>
              <w:rPr>
                <w:rFonts w:ascii="Arial" w:hAnsi="Arial" w:cs="Arial"/>
                <w:color w:val="000000"/>
              </w:rPr>
            </w:pPr>
          </w:p>
          <w:p w14:paraId="74EC260E" w14:textId="77777777" w:rsidR="000950AB" w:rsidRDefault="00306B18" w:rsidP="00306B18">
            <w:pPr>
              <w:keepNext/>
              <w:widowControl w:val="0"/>
              <w:rPr>
                <w:rFonts w:ascii="Arial" w:hAnsi="Arial" w:cs="Arial"/>
                <w:color w:val="000000"/>
              </w:rPr>
            </w:pPr>
            <w:r w:rsidRPr="00306B18">
              <w:rPr>
                <w:rFonts w:ascii="Arial" w:hAnsi="Arial" w:cs="Arial"/>
                <w:color w:val="000000"/>
              </w:rPr>
              <w:t xml:space="preserve">Merck Sharp and </w:t>
            </w:r>
            <w:proofErr w:type="spellStart"/>
            <w:r w:rsidRPr="00306B18">
              <w:rPr>
                <w:rFonts w:ascii="Arial" w:hAnsi="Arial" w:cs="Arial"/>
                <w:color w:val="000000"/>
              </w:rPr>
              <w:t>Dohme</w:t>
            </w:r>
            <w:proofErr w:type="spellEnd"/>
            <w:r w:rsidRPr="00306B18">
              <w:rPr>
                <w:rFonts w:ascii="Arial" w:hAnsi="Arial" w:cs="Arial"/>
                <w:color w:val="000000"/>
              </w:rPr>
              <w:t xml:space="preserve"> (Australia) Pty Ltd</w:t>
            </w:r>
          </w:p>
          <w:p w14:paraId="227CEE09" w14:textId="77777777" w:rsidR="00306B18" w:rsidRDefault="00306B18" w:rsidP="00306B18">
            <w:pPr>
              <w:keepNext/>
              <w:widowControl w:val="0"/>
              <w:rPr>
                <w:rFonts w:ascii="Arial" w:hAnsi="Arial" w:cs="Arial"/>
                <w:color w:val="000000"/>
              </w:rPr>
            </w:pPr>
          </w:p>
          <w:p w14:paraId="2DC487FE" w14:textId="77777777" w:rsidR="00306B18" w:rsidRPr="00306B18" w:rsidRDefault="00306B18" w:rsidP="00306B18">
            <w:pPr>
              <w:keepNext/>
              <w:widowControl w:val="0"/>
              <w:rPr>
                <w:rFonts w:ascii="Arial" w:hAnsi="Arial" w:cs="Arial"/>
                <w:color w:val="000000"/>
              </w:rPr>
            </w:pPr>
            <w:r>
              <w:rPr>
                <w:rFonts w:ascii="Arial" w:hAnsi="Arial" w:cs="Arial"/>
                <w:color w:val="000000"/>
              </w:rPr>
              <w:t>Change to listing</w:t>
            </w:r>
          </w:p>
          <w:p w14:paraId="67A1E201" w14:textId="77777777" w:rsidR="00306B18" w:rsidRDefault="00306B18" w:rsidP="00306B18">
            <w:pPr>
              <w:keepNext/>
              <w:widowControl w:val="0"/>
              <w:rPr>
                <w:rFonts w:ascii="Arial" w:hAnsi="Arial" w:cs="Arial"/>
                <w:color w:val="000000"/>
              </w:rPr>
            </w:pPr>
            <w:r w:rsidRPr="00306B18">
              <w:rPr>
                <w:rFonts w:ascii="Arial" w:hAnsi="Arial" w:cs="Arial"/>
                <w:color w:val="000000"/>
              </w:rPr>
              <w:t>(Major Submission)</w:t>
            </w:r>
          </w:p>
        </w:tc>
        <w:tc>
          <w:tcPr>
            <w:tcW w:w="2409" w:type="dxa"/>
            <w:vMerge w:val="restart"/>
            <w:tcBorders>
              <w:top w:val="single" w:sz="4" w:space="0" w:color="auto"/>
            </w:tcBorders>
          </w:tcPr>
          <w:p w14:paraId="48682C2F" w14:textId="77777777" w:rsidR="000950AB" w:rsidRDefault="00306B18" w:rsidP="00392B80">
            <w:pPr>
              <w:keepNext/>
              <w:widowControl w:val="0"/>
              <w:rPr>
                <w:rFonts w:ascii="Arial" w:hAnsi="Arial" w:cs="Arial"/>
                <w:color w:val="000000"/>
              </w:rPr>
            </w:pPr>
            <w:r w:rsidRPr="00306B18">
              <w:rPr>
                <w:rFonts w:ascii="Arial" w:hAnsi="Arial" w:cs="Arial"/>
                <w:color w:val="000000"/>
              </w:rPr>
              <w:t>Metastatic colorectal carcinoma (CRC)</w:t>
            </w:r>
          </w:p>
        </w:tc>
        <w:tc>
          <w:tcPr>
            <w:tcW w:w="3261" w:type="dxa"/>
            <w:tcBorders>
              <w:top w:val="single" w:sz="4" w:space="0" w:color="auto"/>
            </w:tcBorders>
            <w:tcMar>
              <w:top w:w="28" w:type="dxa"/>
              <w:bottom w:w="28" w:type="dxa"/>
            </w:tcMar>
          </w:tcPr>
          <w:p w14:paraId="5F73EF86" w14:textId="77777777" w:rsidR="000950AB" w:rsidRDefault="00306B18" w:rsidP="00392B80">
            <w:pPr>
              <w:keepNext/>
              <w:widowControl w:val="0"/>
              <w:rPr>
                <w:rFonts w:ascii="Arial" w:hAnsi="Arial" w:cs="Arial"/>
                <w:color w:val="000000"/>
              </w:rPr>
            </w:pPr>
            <w:r w:rsidRPr="00306B18">
              <w:rPr>
                <w:rFonts w:ascii="Arial" w:hAnsi="Arial" w:cs="Arial"/>
                <w:color w:val="000000"/>
              </w:rPr>
              <w:t>To request a Section 100 (Efficient Funding of Chemotherapy) Authority Required (STREAMLINED) listing for the treatment of locally advanced or metastatic CRC in patients with microsatellite instability-high (MSI-H) or mismatch repair deficient (dMMR) tumours, who have progressed following prior treatment.</w:t>
            </w:r>
          </w:p>
        </w:tc>
        <w:tc>
          <w:tcPr>
            <w:tcW w:w="6947" w:type="dxa"/>
            <w:tcBorders>
              <w:top w:val="single" w:sz="4" w:space="0" w:color="auto"/>
            </w:tcBorders>
          </w:tcPr>
          <w:p w14:paraId="7DB8C975" w14:textId="7E33BE70" w:rsidR="00EC0031" w:rsidRDefault="00736038" w:rsidP="00212272">
            <w:pPr>
              <w:keepNext/>
              <w:widowControl w:val="0"/>
              <w:jc w:val="both"/>
              <w:rPr>
                <w:rFonts w:ascii="Arial" w:hAnsi="Arial" w:cs="Arial"/>
                <w:color w:val="000000"/>
              </w:rPr>
            </w:pPr>
            <w:r w:rsidRPr="00736038">
              <w:rPr>
                <w:rFonts w:ascii="Arial" w:hAnsi="Arial" w:cs="Arial"/>
                <w:color w:val="000000"/>
              </w:rPr>
              <w:t>The PBAC decided not to recommend the Section 100 (Efficient Funding of Chemotherapy) listing of pembrolizumab as a second-line treatment option for locally advanced (</w:t>
            </w:r>
            <w:proofErr w:type="spellStart"/>
            <w:r w:rsidRPr="00736038">
              <w:rPr>
                <w:rFonts w:ascii="Arial" w:hAnsi="Arial" w:cs="Arial"/>
                <w:color w:val="000000"/>
              </w:rPr>
              <w:t>unresectable</w:t>
            </w:r>
            <w:proofErr w:type="spellEnd"/>
            <w:r w:rsidRPr="00736038">
              <w:rPr>
                <w:rFonts w:ascii="Arial" w:hAnsi="Arial" w:cs="Arial"/>
                <w:color w:val="000000"/>
              </w:rPr>
              <w:t xml:space="preserve">) or Stage IV (metastatic) colorectal cancer (CRC) with deficient mismatch repair (dMMR). </w:t>
            </w:r>
            <w:r w:rsidR="00074888">
              <w:rPr>
                <w:rFonts w:ascii="Arial" w:hAnsi="Arial" w:cs="Arial"/>
                <w:color w:val="000000"/>
              </w:rPr>
              <w:t>The PBAC noted that the sponsor amended the submission to exclude patients with microsatellite instability-high (MSI-H)</w:t>
            </w:r>
            <w:r w:rsidR="002B7D20">
              <w:rPr>
                <w:rFonts w:ascii="Arial" w:hAnsi="Arial" w:cs="Arial"/>
                <w:color w:val="000000"/>
              </w:rPr>
              <w:t xml:space="preserve"> as MSI-H testing is not available in Australia.</w:t>
            </w:r>
            <w:r w:rsidR="00074888">
              <w:rPr>
                <w:rFonts w:ascii="Arial" w:hAnsi="Arial" w:cs="Arial"/>
                <w:color w:val="000000"/>
              </w:rPr>
              <w:t xml:space="preserve"> </w:t>
            </w:r>
            <w:r w:rsidRPr="00736038">
              <w:rPr>
                <w:rFonts w:ascii="Arial" w:hAnsi="Arial" w:cs="Arial"/>
                <w:color w:val="000000"/>
              </w:rPr>
              <w:t xml:space="preserve">The PBAC considered that the limited evidence provided suggested that the benefit of pembrolizumab was modest in dMMR </w:t>
            </w:r>
            <w:proofErr w:type="spellStart"/>
            <w:r w:rsidRPr="00736038">
              <w:rPr>
                <w:rFonts w:ascii="Arial" w:hAnsi="Arial" w:cs="Arial"/>
                <w:color w:val="000000"/>
              </w:rPr>
              <w:t>mCRC</w:t>
            </w:r>
            <w:proofErr w:type="spellEnd"/>
            <w:r w:rsidRPr="00736038">
              <w:rPr>
                <w:rFonts w:ascii="Arial" w:hAnsi="Arial" w:cs="Arial"/>
                <w:color w:val="000000"/>
              </w:rPr>
              <w:t>. The PBAC considered that insufficient evidence was provided in the submission to evaluate the efficacy and safety of pembrolizumab in the second-line setting. In addition, the PBAC considered that the economic evaluation was unreliable and therefore, the cost-effectiveness estimates were highly uncertain.</w:t>
            </w:r>
          </w:p>
          <w:p w14:paraId="35158F48" w14:textId="77777777" w:rsidR="00736038" w:rsidRDefault="00736038" w:rsidP="00212272">
            <w:pPr>
              <w:keepNext/>
              <w:widowControl w:val="0"/>
              <w:jc w:val="both"/>
              <w:rPr>
                <w:rFonts w:ascii="Arial" w:hAnsi="Arial" w:cs="Arial"/>
                <w:color w:val="000000"/>
              </w:rPr>
            </w:pPr>
          </w:p>
          <w:p w14:paraId="172687B6" w14:textId="7AB96C30" w:rsidR="00F02B90" w:rsidRPr="00CF0553" w:rsidRDefault="00736038" w:rsidP="00212272">
            <w:pPr>
              <w:keepNext/>
              <w:widowControl w:val="0"/>
              <w:jc w:val="both"/>
              <w:rPr>
                <w:rFonts w:ascii="Arial" w:hAnsi="Arial" w:cs="Arial"/>
                <w:color w:val="000000"/>
              </w:rPr>
            </w:pPr>
            <w:r w:rsidRPr="00736038">
              <w:rPr>
                <w:rFonts w:ascii="Arial" w:hAnsi="Arial" w:cs="Arial"/>
                <w:color w:val="000000"/>
              </w:rPr>
              <w:t>The PBAC considered that the nominated place in therapy, as a second-line treatment, was incorrect as the majority of patients in the key study had failed at least two prior lines of treatment. The PBAC considered that it would have been more appropriate to position pembrolizumab as a last-line treatment option. The PBAC therefore also considered that the nominated comparators were incorrect.</w:t>
            </w:r>
          </w:p>
        </w:tc>
      </w:tr>
      <w:tr w:rsidR="000950AB" w:rsidRPr="00395B97" w14:paraId="5B38D7A3" w14:textId="77777777" w:rsidTr="00DA3335">
        <w:trPr>
          <w:trHeight w:val="406"/>
        </w:trPr>
        <w:tc>
          <w:tcPr>
            <w:tcW w:w="2835" w:type="dxa"/>
            <w:vMerge/>
            <w:tcMar>
              <w:top w:w="28" w:type="dxa"/>
              <w:bottom w:w="28" w:type="dxa"/>
            </w:tcMar>
          </w:tcPr>
          <w:p w14:paraId="43BFFC65" w14:textId="77777777" w:rsidR="000950AB" w:rsidRPr="001C1D66" w:rsidRDefault="000950AB" w:rsidP="002A6AB9">
            <w:pPr>
              <w:rPr>
                <w:rFonts w:ascii="Arial" w:hAnsi="Arial" w:cs="Arial"/>
                <w:color w:val="000000"/>
              </w:rPr>
            </w:pPr>
          </w:p>
        </w:tc>
        <w:tc>
          <w:tcPr>
            <w:tcW w:w="2409" w:type="dxa"/>
            <w:vMerge/>
          </w:tcPr>
          <w:p w14:paraId="37427D38" w14:textId="77777777" w:rsidR="000950AB" w:rsidRPr="001C1D66" w:rsidRDefault="000950AB" w:rsidP="002A6AB9">
            <w:pPr>
              <w:rPr>
                <w:rFonts w:ascii="Arial" w:hAnsi="Arial" w:cs="Arial"/>
                <w:color w:val="000000"/>
              </w:rPr>
            </w:pPr>
          </w:p>
        </w:tc>
        <w:tc>
          <w:tcPr>
            <w:tcW w:w="3261" w:type="dxa"/>
            <w:tcMar>
              <w:top w:w="28" w:type="dxa"/>
              <w:bottom w:w="28" w:type="dxa"/>
            </w:tcMar>
          </w:tcPr>
          <w:p w14:paraId="0CCA8E9C" w14:textId="77777777" w:rsidR="000950AB" w:rsidRDefault="000950AB" w:rsidP="00476F5F">
            <w:pPr>
              <w:rPr>
                <w:rFonts w:ascii="Arial" w:hAnsi="Arial" w:cs="Arial"/>
                <w:color w:val="000000"/>
              </w:rPr>
            </w:pPr>
            <w:r w:rsidRPr="00395B97">
              <w:rPr>
                <w:rFonts w:ascii="Arial" w:hAnsi="Arial" w:cs="Arial"/>
                <w:snapToGrid w:val="0"/>
                <w:lang w:eastAsia="en-US"/>
              </w:rPr>
              <w:t>Sponsor Comment:</w:t>
            </w:r>
          </w:p>
        </w:tc>
        <w:tc>
          <w:tcPr>
            <w:tcW w:w="6947" w:type="dxa"/>
          </w:tcPr>
          <w:p w14:paraId="51CDB22A" w14:textId="54712BE5" w:rsidR="000950AB" w:rsidRPr="00E1052A" w:rsidRDefault="004A1253" w:rsidP="00E1052A">
            <w:pPr>
              <w:jc w:val="both"/>
              <w:rPr>
                <w:rFonts w:ascii="Arial" w:hAnsi="Arial" w:cs="Arial"/>
              </w:rPr>
            </w:pPr>
            <w:r w:rsidRPr="004A1253">
              <w:rPr>
                <w:rFonts w:ascii="Arial" w:hAnsi="Arial" w:cs="Arial"/>
              </w:rPr>
              <w:t>MSD is disappointed by this outcome, but is collecting more data through ongoing clinical trials in the dMMR/MSI-H CRC population, and intends to lodge submissions for this cancer subtype in the near future.</w:t>
            </w:r>
          </w:p>
        </w:tc>
      </w:tr>
      <w:tr w:rsidR="000950AB" w:rsidRPr="00395B97" w14:paraId="48B2D717" w14:textId="77777777" w:rsidTr="004E7F95">
        <w:trPr>
          <w:trHeight w:val="1861"/>
        </w:trPr>
        <w:tc>
          <w:tcPr>
            <w:tcW w:w="2835" w:type="dxa"/>
            <w:vMerge w:val="restart"/>
            <w:tcMar>
              <w:top w:w="28" w:type="dxa"/>
              <w:bottom w:w="28" w:type="dxa"/>
            </w:tcMar>
          </w:tcPr>
          <w:p w14:paraId="2EB57503" w14:textId="77777777" w:rsidR="00306B18" w:rsidRPr="00306B18" w:rsidRDefault="00306B18" w:rsidP="00306B18">
            <w:pPr>
              <w:rPr>
                <w:rFonts w:ascii="Arial" w:hAnsi="Arial" w:cs="Arial"/>
                <w:color w:val="000000"/>
              </w:rPr>
            </w:pPr>
            <w:r w:rsidRPr="00306B18">
              <w:rPr>
                <w:rFonts w:ascii="Arial" w:hAnsi="Arial" w:cs="Arial"/>
                <w:color w:val="000000"/>
              </w:rPr>
              <w:t>RIVAROXABAN</w:t>
            </w:r>
          </w:p>
          <w:p w14:paraId="0256C40B" w14:textId="77777777" w:rsidR="00306B18" w:rsidRPr="00306B18" w:rsidRDefault="00306B18" w:rsidP="00306B18">
            <w:pPr>
              <w:rPr>
                <w:rFonts w:ascii="Arial" w:hAnsi="Arial" w:cs="Arial"/>
                <w:color w:val="000000"/>
              </w:rPr>
            </w:pPr>
          </w:p>
          <w:p w14:paraId="55AB8634" w14:textId="77777777" w:rsidR="00306B18" w:rsidRPr="00306B18" w:rsidRDefault="00306B18" w:rsidP="00306B18">
            <w:pPr>
              <w:rPr>
                <w:rFonts w:ascii="Arial" w:hAnsi="Arial" w:cs="Arial"/>
                <w:color w:val="000000"/>
              </w:rPr>
            </w:pPr>
            <w:r w:rsidRPr="00306B18">
              <w:rPr>
                <w:rFonts w:ascii="Arial" w:hAnsi="Arial" w:cs="Arial"/>
                <w:color w:val="000000"/>
              </w:rPr>
              <w:t xml:space="preserve">Tablet 2.5 mg </w:t>
            </w:r>
          </w:p>
          <w:p w14:paraId="3048592D" w14:textId="77777777" w:rsidR="00306B18" w:rsidRPr="00306B18" w:rsidRDefault="00306B18" w:rsidP="00306B18">
            <w:pPr>
              <w:rPr>
                <w:rFonts w:ascii="Arial" w:hAnsi="Arial" w:cs="Arial"/>
                <w:color w:val="000000"/>
              </w:rPr>
            </w:pPr>
          </w:p>
          <w:p w14:paraId="6291ED7C" w14:textId="77777777" w:rsidR="00306B18" w:rsidRPr="00306B18" w:rsidRDefault="00306B18" w:rsidP="00306B18">
            <w:pPr>
              <w:rPr>
                <w:rFonts w:ascii="Arial" w:hAnsi="Arial" w:cs="Arial"/>
                <w:color w:val="000000"/>
              </w:rPr>
            </w:pPr>
            <w:proofErr w:type="spellStart"/>
            <w:r w:rsidRPr="00306B18">
              <w:rPr>
                <w:rFonts w:ascii="Arial" w:hAnsi="Arial" w:cs="Arial"/>
                <w:color w:val="000000"/>
              </w:rPr>
              <w:t>Xarelto</w:t>
            </w:r>
            <w:proofErr w:type="spellEnd"/>
            <w:r w:rsidRPr="00306B18">
              <w:rPr>
                <w:rFonts w:ascii="Arial" w:hAnsi="Arial" w:cs="Arial"/>
                <w:color w:val="000000"/>
              </w:rPr>
              <w:t>®</w:t>
            </w:r>
          </w:p>
          <w:p w14:paraId="13509B98" w14:textId="77777777" w:rsidR="00306B18" w:rsidRPr="00306B18" w:rsidRDefault="00306B18" w:rsidP="00306B18">
            <w:pPr>
              <w:rPr>
                <w:rFonts w:ascii="Arial" w:hAnsi="Arial" w:cs="Arial"/>
                <w:color w:val="000000"/>
              </w:rPr>
            </w:pPr>
          </w:p>
          <w:p w14:paraId="166DDF20" w14:textId="77777777" w:rsidR="007972D6" w:rsidRDefault="00306B18" w:rsidP="00306B18">
            <w:pPr>
              <w:rPr>
                <w:rFonts w:ascii="Arial" w:hAnsi="Arial" w:cs="Arial"/>
                <w:color w:val="000000"/>
              </w:rPr>
            </w:pPr>
            <w:r w:rsidRPr="00306B18">
              <w:rPr>
                <w:rFonts w:ascii="Arial" w:hAnsi="Arial" w:cs="Arial"/>
                <w:color w:val="000000"/>
              </w:rPr>
              <w:t>Bayer Australia Ltd</w:t>
            </w:r>
          </w:p>
          <w:p w14:paraId="10159E5A" w14:textId="77777777" w:rsidR="00306B18" w:rsidRDefault="00306B18" w:rsidP="00306B18">
            <w:pPr>
              <w:rPr>
                <w:rFonts w:ascii="Arial" w:hAnsi="Arial" w:cs="Arial"/>
                <w:color w:val="000000"/>
              </w:rPr>
            </w:pPr>
          </w:p>
          <w:p w14:paraId="2868A05D" w14:textId="77777777" w:rsidR="00306B18" w:rsidRPr="00306B18" w:rsidRDefault="00306B18" w:rsidP="00306B18">
            <w:pPr>
              <w:rPr>
                <w:rFonts w:ascii="Arial" w:hAnsi="Arial" w:cs="Arial"/>
                <w:color w:val="000000"/>
              </w:rPr>
            </w:pPr>
            <w:r>
              <w:rPr>
                <w:rFonts w:ascii="Arial" w:hAnsi="Arial" w:cs="Arial"/>
                <w:color w:val="000000"/>
              </w:rPr>
              <w:t>New listing</w:t>
            </w:r>
          </w:p>
          <w:p w14:paraId="50DCD611" w14:textId="77777777" w:rsidR="00306B18" w:rsidRPr="00225D57" w:rsidRDefault="00306B18" w:rsidP="00306B18">
            <w:pPr>
              <w:rPr>
                <w:rFonts w:ascii="Arial" w:hAnsi="Arial" w:cs="Arial"/>
                <w:color w:val="000000"/>
              </w:rPr>
            </w:pPr>
            <w:r w:rsidRPr="00306B18">
              <w:rPr>
                <w:rFonts w:ascii="Arial" w:hAnsi="Arial" w:cs="Arial"/>
                <w:color w:val="000000"/>
              </w:rPr>
              <w:t>(Major Submission)</w:t>
            </w:r>
          </w:p>
        </w:tc>
        <w:tc>
          <w:tcPr>
            <w:tcW w:w="2409" w:type="dxa"/>
            <w:vMerge w:val="restart"/>
          </w:tcPr>
          <w:p w14:paraId="430D328D" w14:textId="77777777" w:rsidR="000950AB" w:rsidRPr="00225D57" w:rsidRDefault="00306B18" w:rsidP="0069065A">
            <w:pPr>
              <w:rPr>
                <w:rFonts w:ascii="Arial" w:hAnsi="Arial" w:cs="Arial"/>
                <w:color w:val="000000"/>
              </w:rPr>
            </w:pPr>
            <w:r w:rsidRPr="00306B18">
              <w:rPr>
                <w:rFonts w:ascii="Arial" w:hAnsi="Arial" w:cs="Arial"/>
                <w:color w:val="000000"/>
              </w:rPr>
              <w:t>Coronary Artery Disease (CAD) and Peripheral Artery Disease (PAD)</w:t>
            </w:r>
          </w:p>
        </w:tc>
        <w:tc>
          <w:tcPr>
            <w:tcW w:w="3261" w:type="dxa"/>
            <w:tcMar>
              <w:top w:w="28" w:type="dxa"/>
              <w:bottom w:w="28" w:type="dxa"/>
            </w:tcMar>
          </w:tcPr>
          <w:p w14:paraId="6C592609" w14:textId="7067F750" w:rsidR="000950AB" w:rsidRPr="00225D57" w:rsidRDefault="00306B18" w:rsidP="0069065A">
            <w:pPr>
              <w:rPr>
                <w:rFonts w:ascii="Arial" w:hAnsi="Arial" w:cs="Arial"/>
                <w:color w:val="000000"/>
              </w:rPr>
            </w:pPr>
            <w:r w:rsidRPr="00306B18">
              <w:rPr>
                <w:rFonts w:ascii="Arial" w:hAnsi="Arial" w:cs="Arial"/>
                <w:color w:val="000000"/>
              </w:rPr>
              <w:t xml:space="preserve">To request an Authority Required (STREAMLINED) listing </w:t>
            </w:r>
            <w:r w:rsidR="006151EA">
              <w:rPr>
                <w:rFonts w:ascii="Arial" w:hAnsi="Arial" w:cs="Arial"/>
                <w:color w:val="000000"/>
              </w:rPr>
              <w:t xml:space="preserve">in combination with aspirin </w:t>
            </w:r>
            <w:r w:rsidRPr="00306B18">
              <w:rPr>
                <w:rFonts w:ascii="Arial" w:hAnsi="Arial" w:cs="Arial"/>
                <w:color w:val="000000"/>
              </w:rPr>
              <w:t xml:space="preserve">for </w:t>
            </w:r>
            <w:r w:rsidR="006151EA">
              <w:rPr>
                <w:rFonts w:ascii="Arial" w:hAnsi="Arial" w:cs="Arial"/>
                <w:color w:val="000000"/>
              </w:rPr>
              <w:t xml:space="preserve">the </w:t>
            </w:r>
            <w:r w:rsidRPr="00306B18">
              <w:rPr>
                <w:rFonts w:ascii="Arial" w:hAnsi="Arial" w:cs="Arial"/>
                <w:color w:val="000000"/>
              </w:rPr>
              <w:t>treatment of patients at high risk of recurrent cardiovascular events in the stable phase of CAD and/or PAD.</w:t>
            </w:r>
          </w:p>
        </w:tc>
        <w:tc>
          <w:tcPr>
            <w:tcW w:w="6947" w:type="dxa"/>
          </w:tcPr>
          <w:p w14:paraId="331506CE" w14:textId="2BC52249" w:rsidR="00F02B90" w:rsidRPr="004F0BCC" w:rsidRDefault="00736038" w:rsidP="006151EA">
            <w:pPr>
              <w:jc w:val="both"/>
              <w:rPr>
                <w:rFonts w:ascii="Arial" w:hAnsi="Arial" w:cs="Arial"/>
              </w:rPr>
            </w:pPr>
            <w:r w:rsidRPr="00736038">
              <w:rPr>
                <w:rFonts w:ascii="Arial" w:hAnsi="Arial" w:cs="Arial"/>
              </w:rPr>
              <w:t xml:space="preserve">The PBAC did not recommend the listing of </w:t>
            </w:r>
            <w:proofErr w:type="spellStart"/>
            <w:r w:rsidRPr="00736038">
              <w:rPr>
                <w:rFonts w:ascii="Arial" w:hAnsi="Arial" w:cs="Arial"/>
              </w:rPr>
              <w:t>rivaroxaban</w:t>
            </w:r>
            <w:proofErr w:type="spellEnd"/>
            <w:r w:rsidRPr="00736038">
              <w:rPr>
                <w:rFonts w:ascii="Arial" w:hAnsi="Arial" w:cs="Arial"/>
              </w:rPr>
              <w:t xml:space="preserve"> in combination with aspirin for the prevention of recurrent cardiovascular events in patients in the stable phase of CAD or PAD. The PBAC considered that the patient population should be more highly targeted to those patients who are likely to achieve the most favourable risk-benefit profile given the differing levels of absolute incremental benefit between patients groups that needs to be balanced against the high bleeding risk in some patients. The PBAC considered that the incremental cost-effectiveness was uncertain as the economic model submitted did not provide a reliable basis for decision-making.</w:t>
            </w:r>
          </w:p>
        </w:tc>
      </w:tr>
      <w:tr w:rsidR="000950AB" w:rsidRPr="00395B97" w14:paraId="6FE2329F" w14:textId="77777777" w:rsidTr="000950AB">
        <w:trPr>
          <w:trHeight w:val="345"/>
        </w:trPr>
        <w:tc>
          <w:tcPr>
            <w:tcW w:w="2835" w:type="dxa"/>
            <w:vMerge/>
            <w:tcMar>
              <w:top w:w="28" w:type="dxa"/>
              <w:bottom w:w="28" w:type="dxa"/>
            </w:tcMar>
          </w:tcPr>
          <w:p w14:paraId="0FF2676C" w14:textId="77777777" w:rsidR="000950AB" w:rsidRPr="001C1D66" w:rsidRDefault="000950AB" w:rsidP="00FC06CC">
            <w:pPr>
              <w:rPr>
                <w:rFonts w:ascii="Arial" w:hAnsi="Arial" w:cs="Arial"/>
                <w:color w:val="000000"/>
              </w:rPr>
            </w:pPr>
          </w:p>
        </w:tc>
        <w:tc>
          <w:tcPr>
            <w:tcW w:w="2409" w:type="dxa"/>
            <w:vMerge/>
          </w:tcPr>
          <w:p w14:paraId="61765A72" w14:textId="77777777" w:rsidR="000950AB" w:rsidRPr="001C1D66" w:rsidRDefault="000950AB" w:rsidP="002A6AB9">
            <w:pPr>
              <w:rPr>
                <w:rFonts w:ascii="Arial" w:hAnsi="Arial" w:cs="Arial"/>
                <w:color w:val="000000"/>
              </w:rPr>
            </w:pPr>
          </w:p>
        </w:tc>
        <w:tc>
          <w:tcPr>
            <w:tcW w:w="3261" w:type="dxa"/>
            <w:tcMar>
              <w:top w:w="28" w:type="dxa"/>
              <w:bottom w:w="28" w:type="dxa"/>
            </w:tcMar>
          </w:tcPr>
          <w:p w14:paraId="1478BACE" w14:textId="77777777" w:rsidR="000950AB" w:rsidRDefault="000950AB" w:rsidP="00DE38E8">
            <w:pPr>
              <w:rPr>
                <w:rFonts w:ascii="Arial" w:hAnsi="Arial" w:cs="Arial"/>
              </w:rPr>
            </w:pPr>
            <w:r w:rsidRPr="00395B97">
              <w:rPr>
                <w:rFonts w:ascii="Arial" w:hAnsi="Arial" w:cs="Arial"/>
                <w:snapToGrid w:val="0"/>
                <w:lang w:eastAsia="en-US"/>
              </w:rPr>
              <w:t>Sponsor Comment:</w:t>
            </w:r>
          </w:p>
        </w:tc>
        <w:tc>
          <w:tcPr>
            <w:tcW w:w="6947" w:type="dxa"/>
          </w:tcPr>
          <w:p w14:paraId="76A3402F" w14:textId="0E482977" w:rsidR="000950AB" w:rsidRPr="001B1942" w:rsidRDefault="00B72B90" w:rsidP="001B1942">
            <w:pPr>
              <w:rPr>
                <w:rFonts w:ascii="Arial" w:hAnsi="Arial" w:cs="Arial"/>
                <w:iCs/>
              </w:rPr>
            </w:pPr>
            <w:r w:rsidRPr="00B72B90">
              <w:rPr>
                <w:rFonts w:ascii="Arial" w:hAnsi="Arial" w:cs="Arial"/>
                <w:iCs/>
              </w:rPr>
              <w:t xml:space="preserve">Bayer Australia is disappointed with regards to the PBAC decision. However, Bayer Australia hopes to continue to work with the PBAC and the </w:t>
            </w:r>
            <w:r w:rsidRPr="00B72B90">
              <w:rPr>
                <w:rFonts w:ascii="Arial" w:hAnsi="Arial" w:cs="Arial"/>
                <w:iCs/>
              </w:rPr>
              <w:lastRenderedPageBreak/>
              <w:t>Department of Health in pursuing publicly subsidised access for patients suffering from chronic coronary arterial and peripheral arterial disease.</w:t>
            </w:r>
          </w:p>
        </w:tc>
      </w:tr>
      <w:tr w:rsidR="000950AB" w:rsidRPr="00395B97" w14:paraId="191E58D9" w14:textId="77777777" w:rsidTr="00132E35">
        <w:trPr>
          <w:trHeight w:val="3619"/>
        </w:trPr>
        <w:tc>
          <w:tcPr>
            <w:tcW w:w="2835" w:type="dxa"/>
            <w:vMerge w:val="restart"/>
            <w:tcMar>
              <w:top w:w="28" w:type="dxa"/>
              <w:bottom w:w="28" w:type="dxa"/>
            </w:tcMar>
          </w:tcPr>
          <w:p w14:paraId="53BCFF29" w14:textId="77777777" w:rsidR="00306B18" w:rsidRPr="00306B18" w:rsidRDefault="00306B18" w:rsidP="00306B18">
            <w:pPr>
              <w:rPr>
                <w:rFonts w:ascii="Arial" w:hAnsi="Arial" w:cs="Arial"/>
                <w:color w:val="000000"/>
              </w:rPr>
            </w:pPr>
            <w:r w:rsidRPr="00306B18">
              <w:rPr>
                <w:rFonts w:ascii="Arial" w:hAnsi="Arial" w:cs="Arial"/>
                <w:color w:val="000000"/>
              </w:rPr>
              <w:lastRenderedPageBreak/>
              <w:t>TIOTROPIUM</w:t>
            </w:r>
          </w:p>
          <w:p w14:paraId="1495BC69" w14:textId="77777777" w:rsidR="00306B18" w:rsidRPr="00306B18" w:rsidRDefault="00306B18" w:rsidP="00306B18">
            <w:pPr>
              <w:rPr>
                <w:rFonts w:ascii="Arial" w:hAnsi="Arial" w:cs="Arial"/>
                <w:color w:val="000000"/>
              </w:rPr>
            </w:pPr>
          </w:p>
          <w:p w14:paraId="4F69CCEE" w14:textId="77777777" w:rsidR="00306B18" w:rsidRPr="00306B18" w:rsidRDefault="00306B18" w:rsidP="00306B18">
            <w:pPr>
              <w:rPr>
                <w:rFonts w:ascii="Arial" w:hAnsi="Arial" w:cs="Arial"/>
                <w:color w:val="000000"/>
              </w:rPr>
            </w:pPr>
            <w:r w:rsidRPr="00306B18">
              <w:rPr>
                <w:rFonts w:ascii="Arial" w:hAnsi="Arial" w:cs="Arial"/>
                <w:color w:val="000000"/>
              </w:rPr>
              <w:t xml:space="preserve">Capsule containing powder for oral inhalation 18 micrograms (for use in </w:t>
            </w:r>
            <w:proofErr w:type="spellStart"/>
            <w:r w:rsidRPr="00306B18">
              <w:rPr>
                <w:rFonts w:ascii="Arial" w:hAnsi="Arial" w:cs="Arial"/>
                <w:color w:val="000000"/>
              </w:rPr>
              <w:t>HandiHaler</w:t>
            </w:r>
            <w:proofErr w:type="spellEnd"/>
            <w:r w:rsidRPr="00306B18">
              <w:rPr>
                <w:rFonts w:ascii="Arial" w:hAnsi="Arial" w:cs="Arial"/>
                <w:color w:val="000000"/>
              </w:rPr>
              <w:t>)</w:t>
            </w:r>
          </w:p>
          <w:p w14:paraId="28E79690" w14:textId="77777777" w:rsidR="00306B18" w:rsidRPr="00306B18" w:rsidRDefault="00306B18" w:rsidP="00306B18">
            <w:pPr>
              <w:rPr>
                <w:rFonts w:ascii="Arial" w:hAnsi="Arial" w:cs="Arial"/>
                <w:color w:val="000000"/>
              </w:rPr>
            </w:pPr>
          </w:p>
          <w:p w14:paraId="5787CC75" w14:textId="77777777" w:rsidR="00306B18" w:rsidRPr="00306B18" w:rsidRDefault="00306B18" w:rsidP="00306B18">
            <w:pPr>
              <w:rPr>
                <w:rFonts w:ascii="Arial" w:hAnsi="Arial" w:cs="Arial"/>
                <w:color w:val="000000"/>
              </w:rPr>
            </w:pPr>
            <w:r w:rsidRPr="00306B18">
              <w:rPr>
                <w:rFonts w:ascii="Arial" w:hAnsi="Arial" w:cs="Arial"/>
                <w:color w:val="000000"/>
              </w:rPr>
              <w:t>Spiriva®</w:t>
            </w:r>
          </w:p>
          <w:p w14:paraId="0FBB7C8C" w14:textId="77777777" w:rsidR="00306B18" w:rsidRPr="00306B18" w:rsidRDefault="00306B18" w:rsidP="00306B18">
            <w:pPr>
              <w:rPr>
                <w:rFonts w:ascii="Arial" w:hAnsi="Arial" w:cs="Arial"/>
                <w:color w:val="000000"/>
              </w:rPr>
            </w:pPr>
          </w:p>
          <w:p w14:paraId="26A5CABF" w14:textId="77777777" w:rsidR="000950AB" w:rsidRDefault="00306B18" w:rsidP="00306B18">
            <w:pPr>
              <w:rPr>
                <w:rFonts w:ascii="Arial" w:hAnsi="Arial" w:cs="Arial"/>
                <w:color w:val="000000"/>
              </w:rPr>
            </w:pPr>
            <w:proofErr w:type="spellStart"/>
            <w:r w:rsidRPr="00306B18">
              <w:rPr>
                <w:rFonts w:ascii="Arial" w:hAnsi="Arial" w:cs="Arial"/>
                <w:color w:val="000000"/>
              </w:rPr>
              <w:t>Boehringer-Ingelheim</w:t>
            </w:r>
            <w:proofErr w:type="spellEnd"/>
            <w:r w:rsidRPr="00306B18">
              <w:rPr>
                <w:rFonts w:ascii="Arial" w:hAnsi="Arial" w:cs="Arial"/>
                <w:color w:val="000000"/>
              </w:rPr>
              <w:t xml:space="preserve"> Pty Ltd</w:t>
            </w:r>
          </w:p>
          <w:p w14:paraId="415FCA98" w14:textId="77777777" w:rsidR="00306B18" w:rsidRDefault="00306B18" w:rsidP="00306B18">
            <w:pPr>
              <w:rPr>
                <w:rFonts w:ascii="Arial" w:hAnsi="Arial" w:cs="Arial"/>
                <w:color w:val="000000"/>
              </w:rPr>
            </w:pPr>
          </w:p>
          <w:p w14:paraId="12EBEE75" w14:textId="77777777" w:rsidR="00306B18" w:rsidRPr="00306B18" w:rsidRDefault="00306B18" w:rsidP="00306B18">
            <w:pPr>
              <w:rPr>
                <w:rFonts w:ascii="Arial" w:hAnsi="Arial" w:cs="Arial"/>
                <w:color w:val="000000"/>
              </w:rPr>
            </w:pPr>
            <w:r w:rsidRPr="00306B18">
              <w:rPr>
                <w:rFonts w:ascii="Arial" w:hAnsi="Arial" w:cs="Arial"/>
                <w:color w:val="000000"/>
              </w:rPr>
              <w:t>O</w:t>
            </w:r>
            <w:r>
              <w:rPr>
                <w:rFonts w:ascii="Arial" w:hAnsi="Arial" w:cs="Arial"/>
                <w:color w:val="000000"/>
              </w:rPr>
              <w:t>ther business</w:t>
            </w:r>
          </w:p>
          <w:p w14:paraId="0027ABB1" w14:textId="77777777" w:rsidR="00306B18" w:rsidRDefault="00306B18" w:rsidP="00306B18">
            <w:pPr>
              <w:rPr>
                <w:rFonts w:ascii="Arial" w:hAnsi="Arial" w:cs="Arial"/>
                <w:color w:val="000000"/>
              </w:rPr>
            </w:pPr>
            <w:r w:rsidRPr="00306B18">
              <w:rPr>
                <w:rFonts w:ascii="Arial" w:hAnsi="Arial" w:cs="Arial"/>
                <w:color w:val="000000"/>
              </w:rPr>
              <w:t>(Minor Submission)</w:t>
            </w:r>
          </w:p>
        </w:tc>
        <w:tc>
          <w:tcPr>
            <w:tcW w:w="2409" w:type="dxa"/>
            <w:vMerge w:val="restart"/>
          </w:tcPr>
          <w:p w14:paraId="0CF246B9" w14:textId="77777777" w:rsidR="000950AB" w:rsidRPr="00225D57" w:rsidRDefault="00306B18" w:rsidP="00392B80">
            <w:pPr>
              <w:rPr>
                <w:rFonts w:ascii="Arial" w:hAnsi="Arial" w:cs="Arial"/>
                <w:color w:val="000000"/>
              </w:rPr>
            </w:pPr>
            <w:r w:rsidRPr="00306B18">
              <w:rPr>
                <w:rFonts w:ascii="Arial" w:hAnsi="Arial" w:cs="Arial"/>
                <w:color w:val="000000"/>
              </w:rPr>
              <w:t>Chronic obstructive pulmonary disease (COPD)</w:t>
            </w:r>
          </w:p>
        </w:tc>
        <w:tc>
          <w:tcPr>
            <w:tcW w:w="3261" w:type="dxa"/>
            <w:tcMar>
              <w:top w:w="28" w:type="dxa"/>
              <w:bottom w:w="28" w:type="dxa"/>
            </w:tcMar>
          </w:tcPr>
          <w:p w14:paraId="458FDB22" w14:textId="77777777" w:rsidR="000950AB" w:rsidRPr="00306B18" w:rsidRDefault="00306B18" w:rsidP="00306B18">
            <w:pPr>
              <w:tabs>
                <w:tab w:val="left" w:pos="1065"/>
              </w:tabs>
              <w:rPr>
                <w:rFonts w:ascii="Arial" w:hAnsi="Arial" w:cs="Arial"/>
              </w:rPr>
            </w:pPr>
            <w:r w:rsidRPr="00306B18">
              <w:rPr>
                <w:rFonts w:ascii="Arial" w:hAnsi="Arial" w:cs="Arial"/>
              </w:rPr>
              <w:t xml:space="preserve">To request that Spiriva and </w:t>
            </w:r>
            <w:proofErr w:type="spellStart"/>
            <w:r w:rsidRPr="00306B18">
              <w:rPr>
                <w:rFonts w:ascii="Arial" w:hAnsi="Arial" w:cs="Arial"/>
              </w:rPr>
              <w:t>Braltus</w:t>
            </w:r>
            <w:proofErr w:type="spellEnd"/>
            <w:r w:rsidRPr="00306B18">
              <w:rPr>
                <w:rFonts w:ascii="Arial" w:hAnsi="Arial" w:cs="Arial"/>
              </w:rPr>
              <w:t xml:space="preserve"> brands of </w:t>
            </w:r>
            <w:proofErr w:type="spellStart"/>
            <w:r w:rsidRPr="00306B18">
              <w:rPr>
                <w:rFonts w:ascii="Arial" w:hAnsi="Arial" w:cs="Arial"/>
              </w:rPr>
              <w:t>tiotropium</w:t>
            </w:r>
            <w:proofErr w:type="spellEnd"/>
            <w:r w:rsidRPr="00306B18">
              <w:rPr>
                <w:rFonts w:ascii="Arial" w:hAnsi="Arial" w:cs="Arial"/>
              </w:rPr>
              <w:t xml:space="preserve"> not be 'a' flagged.</w:t>
            </w:r>
          </w:p>
        </w:tc>
        <w:tc>
          <w:tcPr>
            <w:tcW w:w="6947" w:type="dxa"/>
          </w:tcPr>
          <w:p w14:paraId="3AD68AD9" w14:textId="77777777" w:rsidR="00736038" w:rsidRPr="00736038" w:rsidRDefault="00736038" w:rsidP="00736038">
            <w:pPr>
              <w:rPr>
                <w:rFonts w:ascii="Arial" w:hAnsi="Arial" w:cs="Arial"/>
                <w:lang w:val="en-GB"/>
              </w:rPr>
            </w:pPr>
            <w:r w:rsidRPr="00736038">
              <w:rPr>
                <w:rFonts w:ascii="Arial" w:hAnsi="Arial" w:cs="Arial"/>
                <w:lang w:val="en-GB"/>
              </w:rPr>
              <w:t xml:space="preserve">Contrary to what was requested in the minor submission, the PBAC advised that the Minister should determine that </w:t>
            </w:r>
            <w:proofErr w:type="spellStart"/>
            <w:r w:rsidRPr="00736038">
              <w:rPr>
                <w:rFonts w:ascii="Arial" w:hAnsi="Arial" w:cs="Arial"/>
                <w:lang w:val="en-GB"/>
              </w:rPr>
              <w:t>tiotropium</w:t>
            </w:r>
            <w:proofErr w:type="spellEnd"/>
            <w:r w:rsidRPr="00736038">
              <w:rPr>
                <w:rFonts w:ascii="Arial" w:hAnsi="Arial" w:cs="Arial"/>
                <w:lang w:val="en-GB"/>
              </w:rPr>
              <w:t xml:space="preserve"> (as bromide) 13 microgram powder for inhalation capsule (</w:t>
            </w:r>
            <w:proofErr w:type="spellStart"/>
            <w:r w:rsidRPr="00736038">
              <w:rPr>
                <w:rFonts w:ascii="Arial" w:hAnsi="Arial" w:cs="Arial"/>
                <w:lang w:val="en-GB"/>
              </w:rPr>
              <w:t>Braltus</w:t>
            </w:r>
            <w:proofErr w:type="spellEnd"/>
            <w:r w:rsidRPr="00736038">
              <w:rPr>
                <w:rFonts w:ascii="Arial" w:hAnsi="Arial" w:cs="Arial"/>
                <w:lang w:val="en-GB"/>
              </w:rPr>
              <w:t xml:space="preserve">®) and </w:t>
            </w:r>
            <w:proofErr w:type="spellStart"/>
            <w:r w:rsidRPr="00736038">
              <w:rPr>
                <w:rFonts w:ascii="Arial" w:hAnsi="Arial" w:cs="Arial"/>
                <w:lang w:val="en-GB"/>
              </w:rPr>
              <w:t>tiotropium</w:t>
            </w:r>
            <w:proofErr w:type="spellEnd"/>
            <w:r w:rsidRPr="00736038">
              <w:rPr>
                <w:rFonts w:ascii="Arial" w:hAnsi="Arial" w:cs="Arial"/>
                <w:lang w:val="en-GB"/>
              </w:rPr>
              <w:t xml:space="preserve"> (as bromide monohydrate) 18 microgram powder for inhalation capsule (Spiriva®) are to be treated as equivalent, and accordingly ‘a’-flagged in the Schedule of Pharmaceutical Benefits. </w:t>
            </w:r>
          </w:p>
          <w:p w14:paraId="539979C7" w14:textId="77777777" w:rsidR="00736038" w:rsidRPr="00736038" w:rsidRDefault="00736038" w:rsidP="00736038">
            <w:pPr>
              <w:rPr>
                <w:rFonts w:ascii="Arial" w:hAnsi="Arial" w:cs="Arial"/>
                <w:lang w:val="en-GB"/>
              </w:rPr>
            </w:pPr>
          </w:p>
          <w:p w14:paraId="41E1A40E" w14:textId="77777777" w:rsidR="00736038" w:rsidRPr="00736038" w:rsidRDefault="00736038" w:rsidP="00736038">
            <w:pPr>
              <w:rPr>
                <w:rFonts w:ascii="Arial" w:hAnsi="Arial" w:cs="Arial"/>
                <w:lang w:val="en-GB"/>
              </w:rPr>
            </w:pPr>
            <w:r w:rsidRPr="00736038">
              <w:rPr>
                <w:rFonts w:ascii="Arial" w:hAnsi="Arial" w:cs="Arial"/>
                <w:lang w:val="en-GB"/>
              </w:rPr>
              <w:t xml:space="preserve">The PBAC noted the two main differences between the </w:t>
            </w:r>
            <w:proofErr w:type="spellStart"/>
            <w:r w:rsidRPr="00736038">
              <w:rPr>
                <w:rFonts w:ascii="Arial" w:hAnsi="Arial" w:cs="Arial"/>
                <w:lang w:val="en-GB"/>
              </w:rPr>
              <w:t>Braltus</w:t>
            </w:r>
            <w:proofErr w:type="spellEnd"/>
            <w:r w:rsidRPr="00736038">
              <w:rPr>
                <w:rFonts w:ascii="Arial" w:hAnsi="Arial" w:cs="Arial"/>
                <w:lang w:val="en-GB"/>
              </w:rPr>
              <w:t xml:space="preserve">® and Spiriva® products: both </w:t>
            </w:r>
            <w:proofErr w:type="spellStart"/>
            <w:r w:rsidRPr="00736038">
              <w:rPr>
                <w:rFonts w:ascii="Arial" w:hAnsi="Arial" w:cs="Arial"/>
                <w:lang w:val="en-GB"/>
              </w:rPr>
              <w:t>Braltus</w:t>
            </w:r>
            <w:proofErr w:type="spellEnd"/>
            <w:r w:rsidRPr="00736038">
              <w:rPr>
                <w:rFonts w:ascii="Arial" w:hAnsi="Arial" w:cs="Arial"/>
                <w:lang w:val="en-GB"/>
              </w:rPr>
              <w:t xml:space="preserve">® and Spiriva® deliver the same dose of active substance to the patient (10 microgram per capsule) but have a different labelled metered dose (13 and 18 microgram per capsule respectively); </w:t>
            </w:r>
            <w:proofErr w:type="spellStart"/>
            <w:r w:rsidRPr="00736038">
              <w:rPr>
                <w:rFonts w:ascii="Arial" w:hAnsi="Arial" w:cs="Arial"/>
                <w:lang w:val="en-GB"/>
              </w:rPr>
              <w:t>Braltus</w:t>
            </w:r>
            <w:proofErr w:type="spellEnd"/>
            <w:r w:rsidRPr="00736038">
              <w:rPr>
                <w:rFonts w:ascii="Arial" w:hAnsi="Arial" w:cs="Arial"/>
                <w:lang w:val="en-GB"/>
              </w:rPr>
              <w:t xml:space="preserve">® is delivered via a </w:t>
            </w:r>
            <w:proofErr w:type="spellStart"/>
            <w:r w:rsidRPr="00736038">
              <w:rPr>
                <w:rFonts w:ascii="Arial" w:hAnsi="Arial" w:cs="Arial"/>
                <w:lang w:val="en-GB"/>
              </w:rPr>
              <w:t>Zonda</w:t>
            </w:r>
            <w:proofErr w:type="spellEnd"/>
            <w:r w:rsidRPr="00736038">
              <w:rPr>
                <w:rFonts w:ascii="Arial" w:hAnsi="Arial" w:cs="Arial"/>
                <w:lang w:val="en-GB"/>
              </w:rPr>
              <w:t xml:space="preserve">® device whereas Spiriva® is delivered via a </w:t>
            </w:r>
            <w:proofErr w:type="spellStart"/>
            <w:r w:rsidRPr="00736038">
              <w:rPr>
                <w:rFonts w:ascii="Arial" w:hAnsi="Arial" w:cs="Arial"/>
                <w:lang w:val="en-GB"/>
              </w:rPr>
              <w:t>HandiHaler</w:t>
            </w:r>
            <w:proofErr w:type="spellEnd"/>
            <w:r w:rsidRPr="00736038">
              <w:rPr>
                <w:rFonts w:ascii="Arial" w:hAnsi="Arial" w:cs="Arial"/>
                <w:lang w:val="en-GB"/>
              </w:rPr>
              <w:t xml:space="preserve"> device®. </w:t>
            </w:r>
          </w:p>
          <w:p w14:paraId="085F81FC" w14:textId="77777777" w:rsidR="00736038" w:rsidRPr="00736038" w:rsidRDefault="00736038" w:rsidP="00736038">
            <w:pPr>
              <w:rPr>
                <w:rFonts w:ascii="Arial" w:hAnsi="Arial" w:cs="Arial"/>
                <w:lang w:val="en-GB"/>
              </w:rPr>
            </w:pPr>
          </w:p>
          <w:p w14:paraId="345A7C47" w14:textId="02882662" w:rsidR="00F02B90" w:rsidRPr="00736038" w:rsidRDefault="00736038" w:rsidP="00736038">
            <w:pPr>
              <w:rPr>
                <w:rFonts w:ascii="Arial" w:hAnsi="Arial" w:cs="Arial"/>
                <w:lang w:val="en-GB"/>
              </w:rPr>
            </w:pPr>
            <w:r w:rsidRPr="00736038">
              <w:rPr>
                <w:rFonts w:ascii="Arial" w:hAnsi="Arial" w:cs="Arial"/>
                <w:lang w:val="en-GB"/>
              </w:rPr>
              <w:t xml:space="preserve">The PBAC noted that the Therapeutic Goods Administration has accepted that bioequivalence has been established between the </w:t>
            </w:r>
            <w:proofErr w:type="spellStart"/>
            <w:r w:rsidRPr="00736038">
              <w:rPr>
                <w:rFonts w:ascii="Arial" w:hAnsi="Arial" w:cs="Arial"/>
                <w:lang w:val="en-GB"/>
              </w:rPr>
              <w:t>Braltus</w:t>
            </w:r>
            <w:proofErr w:type="spellEnd"/>
            <w:r w:rsidRPr="00736038">
              <w:rPr>
                <w:rFonts w:ascii="Arial" w:hAnsi="Arial" w:cs="Arial"/>
                <w:lang w:val="en-GB"/>
              </w:rPr>
              <w:t xml:space="preserve">® and Spiriva® products, and considered that the differences in the labelled metered dose and devices could be managed in the course of the regular patient education and counselling on the use of the devices that is provided to patients by prescribers and pharmacists. </w:t>
            </w:r>
          </w:p>
          <w:p w14:paraId="4D1E292C" w14:textId="77777777" w:rsidR="00EC0031" w:rsidRPr="00134A5B" w:rsidRDefault="00EC0031" w:rsidP="00736038">
            <w:pPr>
              <w:rPr>
                <w:rFonts w:ascii="Arial" w:hAnsi="Arial" w:cs="Arial"/>
                <w:lang w:val="en-GB"/>
              </w:rPr>
            </w:pPr>
          </w:p>
        </w:tc>
      </w:tr>
      <w:tr w:rsidR="000950AB" w:rsidRPr="00395B97" w14:paraId="1F6B38B1" w14:textId="77777777" w:rsidTr="000950AB">
        <w:trPr>
          <w:trHeight w:val="328"/>
        </w:trPr>
        <w:tc>
          <w:tcPr>
            <w:tcW w:w="2835" w:type="dxa"/>
            <w:vMerge/>
            <w:tcMar>
              <w:top w:w="28" w:type="dxa"/>
              <w:bottom w:w="28" w:type="dxa"/>
            </w:tcMar>
          </w:tcPr>
          <w:p w14:paraId="3C434AD5" w14:textId="77777777" w:rsidR="000950AB" w:rsidRPr="001C1D66" w:rsidRDefault="000950AB" w:rsidP="006F6B2C">
            <w:pPr>
              <w:rPr>
                <w:rFonts w:ascii="Arial" w:hAnsi="Arial" w:cs="Arial"/>
                <w:color w:val="000000"/>
              </w:rPr>
            </w:pPr>
          </w:p>
        </w:tc>
        <w:tc>
          <w:tcPr>
            <w:tcW w:w="2409" w:type="dxa"/>
            <w:vMerge/>
          </w:tcPr>
          <w:p w14:paraId="7C9AAA96" w14:textId="77777777" w:rsidR="000950AB" w:rsidRPr="001C1D66" w:rsidRDefault="000950AB" w:rsidP="006F6B2C">
            <w:pPr>
              <w:rPr>
                <w:rFonts w:ascii="Arial" w:hAnsi="Arial" w:cs="Arial"/>
                <w:color w:val="000000"/>
              </w:rPr>
            </w:pPr>
          </w:p>
        </w:tc>
        <w:tc>
          <w:tcPr>
            <w:tcW w:w="3261" w:type="dxa"/>
            <w:tcMar>
              <w:top w:w="28" w:type="dxa"/>
              <w:bottom w:w="28" w:type="dxa"/>
            </w:tcMar>
          </w:tcPr>
          <w:p w14:paraId="548F3B32" w14:textId="77777777" w:rsidR="000950AB" w:rsidRDefault="000950AB" w:rsidP="006F6B2C">
            <w:pPr>
              <w:rPr>
                <w:rFonts w:ascii="Arial" w:hAnsi="Arial" w:cs="Arial"/>
                <w:color w:val="000000"/>
              </w:rPr>
            </w:pPr>
            <w:r w:rsidRPr="00395B97">
              <w:rPr>
                <w:rFonts w:ascii="Arial" w:hAnsi="Arial" w:cs="Arial"/>
                <w:snapToGrid w:val="0"/>
                <w:lang w:eastAsia="en-US"/>
              </w:rPr>
              <w:t>Sponsor Comment:</w:t>
            </w:r>
          </w:p>
        </w:tc>
        <w:tc>
          <w:tcPr>
            <w:tcW w:w="6947" w:type="dxa"/>
          </w:tcPr>
          <w:p w14:paraId="15DECD00" w14:textId="60212F7A" w:rsidR="000950AB" w:rsidRPr="00494DE4" w:rsidRDefault="00A76891" w:rsidP="006F6B2C">
            <w:pPr>
              <w:pStyle w:val="ListParagraph"/>
              <w:ind w:left="0"/>
              <w:jc w:val="both"/>
              <w:rPr>
                <w:rFonts w:ascii="Arial" w:hAnsi="Arial" w:cs="Arial"/>
                <w:iCs/>
                <w:sz w:val="20"/>
                <w:szCs w:val="20"/>
              </w:rPr>
            </w:pPr>
            <w:r w:rsidRPr="00A76891">
              <w:rPr>
                <w:rFonts w:ascii="Arial" w:hAnsi="Arial" w:cs="Arial"/>
                <w:iCs/>
                <w:sz w:val="20"/>
                <w:szCs w:val="20"/>
              </w:rPr>
              <w:t>The sponsor had no comment.</w:t>
            </w:r>
            <w:bookmarkStart w:id="0" w:name="_GoBack"/>
            <w:bookmarkEnd w:id="0"/>
          </w:p>
        </w:tc>
      </w:tr>
    </w:tbl>
    <w:p w14:paraId="6F6AA0E9" w14:textId="77777777" w:rsidR="00836A68" w:rsidRDefault="00836A68" w:rsidP="0031270A">
      <w:pPr>
        <w:tabs>
          <w:tab w:val="left" w:pos="5210"/>
        </w:tabs>
        <w:rPr>
          <w:rFonts w:ascii="Arial" w:hAnsi="Arial" w:cs="Arial"/>
          <w:lang w:val="en-US"/>
        </w:rPr>
      </w:pPr>
    </w:p>
    <w:sectPr w:rsidR="00836A68"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CC4BD" w14:textId="77777777" w:rsidR="00AD0404" w:rsidRDefault="00AD0404">
      <w:r>
        <w:separator/>
      </w:r>
    </w:p>
  </w:endnote>
  <w:endnote w:type="continuationSeparator" w:id="0">
    <w:p w14:paraId="33D63235"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9EEA4"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D4D0AF"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B238" w14:textId="50B2C69A"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A76891">
      <w:rPr>
        <w:rStyle w:val="PageNumber"/>
        <w:rFonts w:ascii="Arial" w:hAnsi="Arial" w:cs="Arial"/>
        <w:noProof/>
      </w:rPr>
      <w:t>5</w:t>
    </w:r>
    <w:r w:rsidRPr="00287C89">
      <w:rPr>
        <w:rStyle w:val="PageNumber"/>
        <w:rFonts w:ascii="Arial" w:hAnsi="Arial" w:cs="Arial"/>
      </w:rPr>
      <w:fldChar w:fldCharType="end"/>
    </w:r>
  </w:p>
  <w:p w14:paraId="22ABF200" w14:textId="77777777" w:rsidR="005E1F3B" w:rsidRDefault="005E1F3B" w:rsidP="00FE2A81">
    <w:pPr>
      <w:pStyle w:val="Footer"/>
      <w:ind w:right="360"/>
    </w:pPr>
  </w:p>
  <w:p w14:paraId="396FB3CE" w14:textId="77777777" w:rsidR="00257615" w:rsidRDefault="00257615"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653B2" w14:textId="77777777" w:rsidR="00AD0404" w:rsidRDefault="00AD0404">
      <w:r>
        <w:separator/>
      </w:r>
    </w:p>
  </w:footnote>
  <w:footnote w:type="continuationSeparator" w:id="0">
    <w:p w14:paraId="126F93E2"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D102D" w14:textId="77777777" w:rsidR="0071356F" w:rsidRDefault="00212272" w:rsidP="0071356F">
    <w:pPr>
      <w:pStyle w:val="Header"/>
      <w:jc w:val="center"/>
      <w:rPr>
        <w:rFonts w:ascii="Arial" w:hAnsi="Arial" w:cs="Arial"/>
        <w:b/>
      </w:rPr>
    </w:pPr>
    <w:r>
      <w:rPr>
        <w:rFonts w:ascii="Arial" w:hAnsi="Arial" w:cs="Arial"/>
        <w:b/>
      </w:rPr>
      <w:t>MARCH 2019</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14:paraId="121266C4" w14:textId="77777777"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0E7A7F97"/>
    <w:multiLevelType w:val="hybridMultilevel"/>
    <w:tmpl w:val="3F96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A52E23"/>
    <w:multiLevelType w:val="hybridMultilevel"/>
    <w:tmpl w:val="0B86935C"/>
    <w:lvl w:ilvl="0" w:tplc="F28C994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5"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29"/>
  </w:num>
  <w:num w:numId="4">
    <w:abstractNumId w:val="23"/>
  </w:num>
  <w:num w:numId="5">
    <w:abstractNumId w:val="13"/>
  </w:num>
  <w:num w:numId="6">
    <w:abstractNumId w:val="8"/>
  </w:num>
  <w:num w:numId="7">
    <w:abstractNumId w:val="3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25"/>
  </w:num>
  <w:num w:numId="12">
    <w:abstractNumId w:val="27"/>
  </w:num>
  <w:num w:numId="13">
    <w:abstractNumId w:val="9"/>
  </w:num>
  <w:num w:numId="14">
    <w:abstractNumId w:val="26"/>
  </w:num>
  <w:num w:numId="15">
    <w:abstractNumId w:val="28"/>
  </w:num>
  <w:num w:numId="16">
    <w:abstractNumId w:val="24"/>
  </w:num>
  <w:num w:numId="17">
    <w:abstractNumId w:val="38"/>
  </w:num>
  <w:num w:numId="18">
    <w:abstractNumId w:val="40"/>
  </w:num>
  <w:num w:numId="19">
    <w:abstractNumId w:val="5"/>
  </w:num>
  <w:num w:numId="20">
    <w:abstractNumId w:val="14"/>
  </w:num>
  <w:num w:numId="21">
    <w:abstractNumId w:val="16"/>
  </w:num>
  <w:num w:numId="22">
    <w:abstractNumId w:val="36"/>
  </w:num>
  <w:num w:numId="23">
    <w:abstractNumId w:val="4"/>
  </w:num>
  <w:num w:numId="24">
    <w:abstractNumId w:val="19"/>
  </w:num>
  <w:num w:numId="25">
    <w:abstractNumId w:val="12"/>
  </w:num>
  <w:num w:numId="26">
    <w:abstractNumId w:val="10"/>
  </w:num>
  <w:num w:numId="27">
    <w:abstractNumId w:val="21"/>
  </w:num>
  <w:num w:numId="28">
    <w:abstractNumId w:val="22"/>
  </w:num>
  <w:num w:numId="29">
    <w:abstractNumId w:val="20"/>
  </w:num>
  <w:num w:numId="30">
    <w:abstractNumId w:val="39"/>
  </w:num>
  <w:num w:numId="31">
    <w:abstractNumId w:val="17"/>
  </w:num>
  <w:num w:numId="32">
    <w:abstractNumId w:val="32"/>
  </w:num>
  <w:num w:numId="33">
    <w:abstractNumId w:val="37"/>
  </w:num>
  <w:num w:numId="34">
    <w:abstractNumId w:val="35"/>
  </w:num>
  <w:num w:numId="35">
    <w:abstractNumId w:val="3"/>
  </w:num>
  <w:num w:numId="36">
    <w:abstractNumId w:val="33"/>
  </w:num>
  <w:num w:numId="37">
    <w:abstractNumId w:val="2"/>
  </w:num>
  <w:num w:numId="38">
    <w:abstractNumId w:val="18"/>
  </w:num>
  <w:num w:numId="39">
    <w:abstractNumId w:val="1"/>
  </w:num>
  <w:num w:numId="40">
    <w:abstractNumId w:val="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0A12"/>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A5F"/>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2803"/>
    <w:rsid w:val="00043C1D"/>
    <w:rsid w:val="00044146"/>
    <w:rsid w:val="00044BB4"/>
    <w:rsid w:val="00046725"/>
    <w:rsid w:val="000468C0"/>
    <w:rsid w:val="00046DA2"/>
    <w:rsid w:val="00050273"/>
    <w:rsid w:val="00050762"/>
    <w:rsid w:val="000507B9"/>
    <w:rsid w:val="00051AF5"/>
    <w:rsid w:val="0005661F"/>
    <w:rsid w:val="00057006"/>
    <w:rsid w:val="000575B4"/>
    <w:rsid w:val="000601EA"/>
    <w:rsid w:val="000603CB"/>
    <w:rsid w:val="0006084C"/>
    <w:rsid w:val="000608FE"/>
    <w:rsid w:val="000615B0"/>
    <w:rsid w:val="00061CBA"/>
    <w:rsid w:val="00061E01"/>
    <w:rsid w:val="0006239E"/>
    <w:rsid w:val="000626A0"/>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4888"/>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380"/>
    <w:rsid w:val="00092523"/>
    <w:rsid w:val="00093960"/>
    <w:rsid w:val="0009470A"/>
    <w:rsid w:val="000950AB"/>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3B2"/>
    <w:rsid w:val="000A7C8A"/>
    <w:rsid w:val="000A7F23"/>
    <w:rsid w:val="000B1170"/>
    <w:rsid w:val="000B1811"/>
    <w:rsid w:val="000B1A6E"/>
    <w:rsid w:val="000B21DD"/>
    <w:rsid w:val="000B2F97"/>
    <w:rsid w:val="000B3043"/>
    <w:rsid w:val="000B34FA"/>
    <w:rsid w:val="000B36FE"/>
    <w:rsid w:val="000B372D"/>
    <w:rsid w:val="000B38D3"/>
    <w:rsid w:val="000B5120"/>
    <w:rsid w:val="000B527F"/>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63"/>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6286"/>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9A0"/>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E35"/>
    <w:rsid w:val="00132FA5"/>
    <w:rsid w:val="001334F9"/>
    <w:rsid w:val="00133B4C"/>
    <w:rsid w:val="00133D7F"/>
    <w:rsid w:val="00134A5B"/>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021"/>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0DE3"/>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1AF7"/>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942"/>
    <w:rsid w:val="001B1C67"/>
    <w:rsid w:val="001B2234"/>
    <w:rsid w:val="001B3984"/>
    <w:rsid w:val="001B3FE9"/>
    <w:rsid w:val="001B46AE"/>
    <w:rsid w:val="001B54F0"/>
    <w:rsid w:val="001B5950"/>
    <w:rsid w:val="001B5EF7"/>
    <w:rsid w:val="001B6AAD"/>
    <w:rsid w:val="001B71B5"/>
    <w:rsid w:val="001B78E2"/>
    <w:rsid w:val="001B7BF2"/>
    <w:rsid w:val="001B7EED"/>
    <w:rsid w:val="001C0289"/>
    <w:rsid w:val="001C181C"/>
    <w:rsid w:val="001C1FF0"/>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401"/>
    <w:rsid w:val="001F0D67"/>
    <w:rsid w:val="001F1A00"/>
    <w:rsid w:val="001F1B8A"/>
    <w:rsid w:val="001F2058"/>
    <w:rsid w:val="001F23BC"/>
    <w:rsid w:val="001F29C8"/>
    <w:rsid w:val="001F2E04"/>
    <w:rsid w:val="001F3474"/>
    <w:rsid w:val="001F391D"/>
    <w:rsid w:val="001F49C4"/>
    <w:rsid w:val="001F5561"/>
    <w:rsid w:val="001F5939"/>
    <w:rsid w:val="001F5B96"/>
    <w:rsid w:val="001F5D85"/>
    <w:rsid w:val="001F67F2"/>
    <w:rsid w:val="001F6895"/>
    <w:rsid w:val="001F6A3C"/>
    <w:rsid w:val="001F6DCB"/>
    <w:rsid w:val="001F7055"/>
    <w:rsid w:val="001F716B"/>
    <w:rsid w:val="001F7B95"/>
    <w:rsid w:val="001F7E44"/>
    <w:rsid w:val="001F7FE1"/>
    <w:rsid w:val="002010D3"/>
    <w:rsid w:val="00201885"/>
    <w:rsid w:val="00202943"/>
    <w:rsid w:val="0020322B"/>
    <w:rsid w:val="002032C8"/>
    <w:rsid w:val="00203A75"/>
    <w:rsid w:val="0020409B"/>
    <w:rsid w:val="00204C8C"/>
    <w:rsid w:val="002060A5"/>
    <w:rsid w:val="002068F5"/>
    <w:rsid w:val="002070E4"/>
    <w:rsid w:val="0020721C"/>
    <w:rsid w:val="002072C3"/>
    <w:rsid w:val="00207813"/>
    <w:rsid w:val="0020790A"/>
    <w:rsid w:val="00207E86"/>
    <w:rsid w:val="00210594"/>
    <w:rsid w:val="00210F65"/>
    <w:rsid w:val="00212272"/>
    <w:rsid w:val="00212939"/>
    <w:rsid w:val="00212B8B"/>
    <w:rsid w:val="0021371C"/>
    <w:rsid w:val="002139E7"/>
    <w:rsid w:val="00213E21"/>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0A7"/>
    <w:rsid w:val="00225CB8"/>
    <w:rsid w:val="00226E88"/>
    <w:rsid w:val="00226F8B"/>
    <w:rsid w:val="0022715D"/>
    <w:rsid w:val="002304EA"/>
    <w:rsid w:val="00230AF7"/>
    <w:rsid w:val="00230B76"/>
    <w:rsid w:val="00231068"/>
    <w:rsid w:val="00231F8F"/>
    <w:rsid w:val="00234FCD"/>
    <w:rsid w:val="00234FD9"/>
    <w:rsid w:val="00236374"/>
    <w:rsid w:val="00237E07"/>
    <w:rsid w:val="00237F8D"/>
    <w:rsid w:val="002400A1"/>
    <w:rsid w:val="00240222"/>
    <w:rsid w:val="00240365"/>
    <w:rsid w:val="0024218B"/>
    <w:rsid w:val="002421C6"/>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411"/>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670"/>
    <w:rsid w:val="002969C0"/>
    <w:rsid w:val="002972D4"/>
    <w:rsid w:val="00297AEF"/>
    <w:rsid w:val="00297F02"/>
    <w:rsid w:val="002A06E1"/>
    <w:rsid w:val="002A1DDC"/>
    <w:rsid w:val="002A21E8"/>
    <w:rsid w:val="002A3220"/>
    <w:rsid w:val="002A3596"/>
    <w:rsid w:val="002A3AA9"/>
    <w:rsid w:val="002A4F44"/>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0A1"/>
    <w:rsid w:val="002B5625"/>
    <w:rsid w:val="002B5F9C"/>
    <w:rsid w:val="002B6147"/>
    <w:rsid w:val="002B7D20"/>
    <w:rsid w:val="002C0170"/>
    <w:rsid w:val="002C0E18"/>
    <w:rsid w:val="002C2427"/>
    <w:rsid w:val="002C2773"/>
    <w:rsid w:val="002C2A4F"/>
    <w:rsid w:val="002C331C"/>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1FA"/>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06B18"/>
    <w:rsid w:val="00307A50"/>
    <w:rsid w:val="00310992"/>
    <w:rsid w:val="00311387"/>
    <w:rsid w:val="00311EEA"/>
    <w:rsid w:val="0031270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000"/>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30E"/>
    <w:rsid w:val="003566E9"/>
    <w:rsid w:val="00357214"/>
    <w:rsid w:val="0035791D"/>
    <w:rsid w:val="00360CBD"/>
    <w:rsid w:val="00361072"/>
    <w:rsid w:val="00362461"/>
    <w:rsid w:val="003628AA"/>
    <w:rsid w:val="00362D37"/>
    <w:rsid w:val="00363DA3"/>
    <w:rsid w:val="003647E2"/>
    <w:rsid w:val="00364D63"/>
    <w:rsid w:val="00365105"/>
    <w:rsid w:val="0036579C"/>
    <w:rsid w:val="003657E7"/>
    <w:rsid w:val="00365E78"/>
    <w:rsid w:val="00366010"/>
    <w:rsid w:val="00366857"/>
    <w:rsid w:val="00370449"/>
    <w:rsid w:val="00370EE0"/>
    <w:rsid w:val="003713B0"/>
    <w:rsid w:val="00371B3D"/>
    <w:rsid w:val="00372F44"/>
    <w:rsid w:val="00374783"/>
    <w:rsid w:val="003750B5"/>
    <w:rsid w:val="00375135"/>
    <w:rsid w:val="00377224"/>
    <w:rsid w:val="003777B8"/>
    <w:rsid w:val="00377BAD"/>
    <w:rsid w:val="00380CB0"/>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B80"/>
    <w:rsid w:val="00393110"/>
    <w:rsid w:val="00393DD4"/>
    <w:rsid w:val="003946AC"/>
    <w:rsid w:val="00395338"/>
    <w:rsid w:val="00395600"/>
    <w:rsid w:val="00395B97"/>
    <w:rsid w:val="00397572"/>
    <w:rsid w:val="003A074E"/>
    <w:rsid w:val="003A1CFF"/>
    <w:rsid w:val="003A2BB7"/>
    <w:rsid w:val="003A2FFE"/>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8EC"/>
    <w:rsid w:val="003B1AF6"/>
    <w:rsid w:val="003B1B75"/>
    <w:rsid w:val="003B2FBC"/>
    <w:rsid w:val="003B32CC"/>
    <w:rsid w:val="003B35CB"/>
    <w:rsid w:val="003B3A80"/>
    <w:rsid w:val="003B4DA2"/>
    <w:rsid w:val="003B4DDF"/>
    <w:rsid w:val="003B545C"/>
    <w:rsid w:val="003B57B7"/>
    <w:rsid w:val="003B5E19"/>
    <w:rsid w:val="003B64D8"/>
    <w:rsid w:val="003B78AC"/>
    <w:rsid w:val="003C08BD"/>
    <w:rsid w:val="003C1A62"/>
    <w:rsid w:val="003C2B1A"/>
    <w:rsid w:val="003C2F43"/>
    <w:rsid w:val="003C32FC"/>
    <w:rsid w:val="003C49A9"/>
    <w:rsid w:val="003C4EBE"/>
    <w:rsid w:val="003C558C"/>
    <w:rsid w:val="003C66C3"/>
    <w:rsid w:val="003C6F87"/>
    <w:rsid w:val="003C75BD"/>
    <w:rsid w:val="003C7E0E"/>
    <w:rsid w:val="003D0802"/>
    <w:rsid w:val="003D098A"/>
    <w:rsid w:val="003D0B7A"/>
    <w:rsid w:val="003D0FBF"/>
    <w:rsid w:val="003D17E4"/>
    <w:rsid w:val="003D1A6C"/>
    <w:rsid w:val="003D1AEC"/>
    <w:rsid w:val="003D23D5"/>
    <w:rsid w:val="003D3AD3"/>
    <w:rsid w:val="003D3CD1"/>
    <w:rsid w:val="003D42EE"/>
    <w:rsid w:val="003D489A"/>
    <w:rsid w:val="003D4EA6"/>
    <w:rsid w:val="003D562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18"/>
    <w:rsid w:val="00403F44"/>
    <w:rsid w:val="0040409C"/>
    <w:rsid w:val="00404A45"/>
    <w:rsid w:val="004058B8"/>
    <w:rsid w:val="00405B3F"/>
    <w:rsid w:val="00406113"/>
    <w:rsid w:val="004063C4"/>
    <w:rsid w:val="004070C7"/>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60"/>
    <w:rsid w:val="00420584"/>
    <w:rsid w:val="00421048"/>
    <w:rsid w:val="00422A93"/>
    <w:rsid w:val="00422BB1"/>
    <w:rsid w:val="00424CD4"/>
    <w:rsid w:val="00424D21"/>
    <w:rsid w:val="00424F3C"/>
    <w:rsid w:val="00425C24"/>
    <w:rsid w:val="004273BF"/>
    <w:rsid w:val="00427E8C"/>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283B"/>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5782"/>
    <w:rsid w:val="00465C1F"/>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6F5F"/>
    <w:rsid w:val="004772FF"/>
    <w:rsid w:val="0048048A"/>
    <w:rsid w:val="00481705"/>
    <w:rsid w:val="00481966"/>
    <w:rsid w:val="00481EF0"/>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1869"/>
    <w:rsid w:val="0049239D"/>
    <w:rsid w:val="004925C9"/>
    <w:rsid w:val="00492E29"/>
    <w:rsid w:val="00493577"/>
    <w:rsid w:val="00494307"/>
    <w:rsid w:val="00494B3B"/>
    <w:rsid w:val="00494DE4"/>
    <w:rsid w:val="00495665"/>
    <w:rsid w:val="004963FE"/>
    <w:rsid w:val="004966A5"/>
    <w:rsid w:val="004A020A"/>
    <w:rsid w:val="004A036F"/>
    <w:rsid w:val="004A04FE"/>
    <w:rsid w:val="004A0859"/>
    <w:rsid w:val="004A0C71"/>
    <w:rsid w:val="004A0CF6"/>
    <w:rsid w:val="004A1253"/>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1D41"/>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56AB"/>
    <w:rsid w:val="004D5A71"/>
    <w:rsid w:val="004D606D"/>
    <w:rsid w:val="004D6B20"/>
    <w:rsid w:val="004D6C2F"/>
    <w:rsid w:val="004D71FE"/>
    <w:rsid w:val="004D72CE"/>
    <w:rsid w:val="004D7A80"/>
    <w:rsid w:val="004D7CA3"/>
    <w:rsid w:val="004E0388"/>
    <w:rsid w:val="004E0894"/>
    <w:rsid w:val="004E135A"/>
    <w:rsid w:val="004E1574"/>
    <w:rsid w:val="004E1C50"/>
    <w:rsid w:val="004E20EE"/>
    <w:rsid w:val="004E251F"/>
    <w:rsid w:val="004E2B23"/>
    <w:rsid w:val="004E3390"/>
    <w:rsid w:val="004E416F"/>
    <w:rsid w:val="004E424D"/>
    <w:rsid w:val="004E5F45"/>
    <w:rsid w:val="004E64DC"/>
    <w:rsid w:val="004E6F86"/>
    <w:rsid w:val="004E706A"/>
    <w:rsid w:val="004E7F95"/>
    <w:rsid w:val="004F0671"/>
    <w:rsid w:val="004F0BCC"/>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07CE9"/>
    <w:rsid w:val="005101E5"/>
    <w:rsid w:val="00511D75"/>
    <w:rsid w:val="00511FF2"/>
    <w:rsid w:val="00512232"/>
    <w:rsid w:val="00513B7E"/>
    <w:rsid w:val="00514597"/>
    <w:rsid w:val="005150AB"/>
    <w:rsid w:val="0051769B"/>
    <w:rsid w:val="0052052F"/>
    <w:rsid w:val="00520571"/>
    <w:rsid w:val="00522C8A"/>
    <w:rsid w:val="005237D0"/>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3F86"/>
    <w:rsid w:val="00534668"/>
    <w:rsid w:val="005346BF"/>
    <w:rsid w:val="0053472D"/>
    <w:rsid w:val="0053482B"/>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66A"/>
    <w:rsid w:val="005468A5"/>
    <w:rsid w:val="00546A1D"/>
    <w:rsid w:val="00546C8E"/>
    <w:rsid w:val="00546CB9"/>
    <w:rsid w:val="00546E83"/>
    <w:rsid w:val="00547725"/>
    <w:rsid w:val="00550292"/>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6BD7"/>
    <w:rsid w:val="00577417"/>
    <w:rsid w:val="005779BD"/>
    <w:rsid w:val="00580009"/>
    <w:rsid w:val="00580850"/>
    <w:rsid w:val="00580912"/>
    <w:rsid w:val="00580D6B"/>
    <w:rsid w:val="00580F14"/>
    <w:rsid w:val="005812AE"/>
    <w:rsid w:val="0058144C"/>
    <w:rsid w:val="0058159E"/>
    <w:rsid w:val="00581C56"/>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76F"/>
    <w:rsid w:val="005969F6"/>
    <w:rsid w:val="00596FEB"/>
    <w:rsid w:val="00597810"/>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051"/>
    <w:rsid w:val="005C1B46"/>
    <w:rsid w:val="005C1F7E"/>
    <w:rsid w:val="005C2057"/>
    <w:rsid w:val="005C20A0"/>
    <w:rsid w:val="005C2EF2"/>
    <w:rsid w:val="005C3AE2"/>
    <w:rsid w:val="005C5258"/>
    <w:rsid w:val="005C57F7"/>
    <w:rsid w:val="005C76FD"/>
    <w:rsid w:val="005C7A6D"/>
    <w:rsid w:val="005C7DC3"/>
    <w:rsid w:val="005D0714"/>
    <w:rsid w:val="005D0DAF"/>
    <w:rsid w:val="005D0DFE"/>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0A09"/>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1EA"/>
    <w:rsid w:val="006153E8"/>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66F3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565F"/>
    <w:rsid w:val="00685955"/>
    <w:rsid w:val="006861C4"/>
    <w:rsid w:val="00686C23"/>
    <w:rsid w:val="00687033"/>
    <w:rsid w:val="00687D28"/>
    <w:rsid w:val="00687EC6"/>
    <w:rsid w:val="00690AC8"/>
    <w:rsid w:val="00690CCF"/>
    <w:rsid w:val="00690E24"/>
    <w:rsid w:val="00690F58"/>
    <w:rsid w:val="00691626"/>
    <w:rsid w:val="006936CD"/>
    <w:rsid w:val="0069391C"/>
    <w:rsid w:val="00693DBE"/>
    <w:rsid w:val="00693EA8"/>
    <w:rsid w:val="0069493D"/>
    <w:rsid w:val="00694C13"/>
    <w:rsid w:val="00694F36"/>
    <w:rsid w:val="00694FF9"/>
    <w:rsid w:val="0069620B"/>
    <w:rsid w:val="0069659F"/>
    <w:rsid w:val="00696801"/>
    <w:rsid w:val="0069758F"/>
    <w:rsid w:val="006978DB"/>
    <w:rsid w:val="00697989"/>
    <w:rsid w:val="006979EF"/>
    <w:rsid w:val="006A049D"/>
    <w:rsid w:val="006A0623"/>
    <w:rsid w:val="006A0BB4"/>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585"/>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AF6"/>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0E2"/>
    <w:rsid w:val="006D71D3"/>
    <w:rsid w:val="006E0EBD"/>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A35"/>
    <w:rsid w:val="006F6B2C"/>
    <w:rsid w:val="006F6D3E"/>
    <w:rsid w:val="006F6DDA"/>
    <w:rsid w:val="006F7041"/>
    <w:rsid w:val="0070068B"/>
    <w:rsid w:val="00700990"/>
    <w:rsid w:val="00700CE0"/>
    <w:rsid w:val="00700CF4"/>
    <w:rsid w:val="007016BE"/>
    <w:rsid w:val="007025A3"/>
    <w:rsid w:val="007030B9"/>
    <w:rsid w:val="00703181"/>
    <w:rsid w:val="007042E7"/>
    <w:rsid w:val="007044EC"/>
    <w:rsid w:val="00704571"/>
    <w:rsid w:val="007048F0"/>
    <w:rsid w:val="00705362"/>
    <w:rsid w:val="00705FF9"/>
    <w:rsid w:val="0070604E"/>
    <w:rsid w:val="0070718C"/>
    <w:rsid w:val="00711526"/>
    <w:rsid w:val="0071165C"/>
    <w:rsid w:val="00711CAD"/>
    <w:rsid w:val="0071201B"/>
    <w:rsid w:val="0071356F"/>
    <w:rsid w:val="007153F0"/>
    <w:rsid w:val="007154CF"/>
    <w:rsid w:val="007159A1"/>
    <w:rsid w:val="007161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38"/>
    <w:rsid w:val="007360A9"/>
    <w:rsid w:val="0073699B"/>
    <w:rsid w:val="0073710F"/>
    <w:rsid w:val="00737362"/>
    <w:rsid w:val="00737753"/>
    <w:rsid w:val="007409AA"/>
    <w:rsid w:val="007411F4"/>
    <w:rsid w:val="007413BF"/>
    <w:rsid w:val="00741968"/>
    <w:rsid w:val="00741BDD"/>
    <w:rsid w:val="007423E9"/>
    <w:rsid w:val="00742EEB"/>
    <w:rsid w:val="00743A58"/>
    <w:rsid w:val="00743D1C"/>
    <w:rsid w:val="00743D29"/>
    <w:rsid w:val="0074406C"/>
    <w:rsid w:val="00744146"/>
    <w:rsid w:val="00744BCC"/>
    <w:rsid w:val="00745153"/>
    <w:rsid w:val="00745844"/>
    <w:rsid w:val="007460ED"/>
    <w:rsid w:val="0074661C"/>
    <w:rsid w:val="00746A2F"/>
    <w:rsid w:val="007472EF"/>
    <w:rsid w:val="00747669"/>
    <w:rsid w:val="0075070E"/>
    <w:rsid w:val="00751097"/>
    <w:rsid w:val="00751E1F"/>
    <w:rsid w:val="00751FF2"/>
    <w:rsid w:val="0075296E"/>
    <w:rsid w:val="00752B4C"/>
    <w:rsid w:val="00752B93"/>
    <w:rsid w:val="00752F33"/>
    <w:rsid w:val="0075319C"/>
    <w:rsid w:val="007531A5"/>
    <w:rsid w:val="007534CC"/>
    <w:rsid w:val="007535E3"/>
    <w:rsid w:val="00753FCB"/>
    <w:rsid w:val="007542B1"/>
    <w:rsid w:val="007550FE"/>
    <w:rsid w:val="00755EE8"/>
    <w:rsid w:val="0075658F"/>
    <w:rsid w:val="00756609"/>
    <w:rsid w:val="007566A7"/>
    <w:rsid w:val="00756E30"/>
    <w:rsid w:val="0075707E"/>
    <w:rsid w:val="00757941"/>
    <w:rsid w:val="007604A8"/>
    <w:rsid w:val="007639A5"/>
    <w:rsid w:val="00763EE9"/>
    <w:rsid w:val="00764375"/>
    <w:rsid w:val="007653BF"/>
    <w:rsid w:val="00765544"/>
    <w:rsid w:val="00765630"/>
    <w:rsid w:val="00765919"/>
    <w:rsid w:val="007661BB"/>
    <w:rsid w:val="0076653E"/>
    <w:rsid w:val="00766647"/>
    <w:rsid w:val="0076786D"/>
    <w:rsid w:val="00770E63"/>
    <w:rsid w:val="00774469"/>
    <w:rsid w:val="00774752"/>
    <w:rsid w:val="00775291"/>
    <w:rsid w:val="0077594E"/>
    <w:rsid w:val="00775FB9"/>
    <w:rsid w:val="00776268"/>
    <w:rsid w:val="00776D5C"/>
    <w:rsid w:val="00777495"/>
    <w:rsid w:val="0078016F"/>
    <w:rsid w:val="007805EC"/>
    <w:rsid w:val="007808A4"/>
    <w:rsid w:val="00780928"/>
    <w:rsid w:val="00780B0E"/>
    <w:rsid w:val="00781689"/>
    <w:rsid w:val="00782394"/>
    <w:rsid w:val="00782848"/>
    <w:rsid w:val="007829B1"/>
    <w:rsid w:val="00783873"/>
    <w:rsid w:val="00784325"/>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D6"/>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B91"/>
    <w:rsid w:val="007B1C29"/>
    <w:rsid w:val="007B1DBC"/>
    <w:rsid w:val="007B211A"/>
    <w:rsid w:val="007B2177"/>
    <w:rsid w:val="007B2FF1"/>
    <w:rsid w:val="007B367E"/>
    <w:rsid w:val="007B56E1"/>
    <w:rsid w:val="007B5909"/>
    <w:rsid w:val="007B7BB1"/>
    <w:rsid w:val="007C0B47"/>
    <w:rsid w:val="007C1229"/>
    <w:rsid w:val="007C17AB"/>
    <w:rsid w:val="007C1DFF"/>
    <w:rsid w:val="007C1E1D"/>
    <w:rsid w:val="007C2145"/>
    <w:rsid w:val="007C2349"/>
    <w:rsid w:val="007C377C"/>
    <w:rsid w:val="007C3815"/>
    <w:rsid w:val="007C3B7F"/>
    <w:rsid w:val="007C488B"/>
    <w:rsid w:val="007C5B20"/>
    <w:rsid w:val="007C65FA"/>
    <w:rsid w:val="007D069C"/>
    <w:rsid w:val="007D1A17"/>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1BF"/>
    <w:rsid w:val="007E495E"/>
    <w:rsid w:val="007E5FF3"/>
    <w:rsid w:val="007E65FE"/>
    <w:rsid w:val="007E6782"/>
    <w:rsid w:val="007E6B64"/>
    <w:rsid w:val="007E6F9A"/>
    <w:rsid w:val="007E71C8"/>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7F7AD7"/>
    <w:rsid w:val="00800125"/>
    <w:rsid w:val="0080026A"/>
    <w:rsid w:val="00800FCD"/>
    <w:rsid w:val="00801057"/>
    <w:rsid w:val="00801387"/>
    <w:rsid w:val="00801BFF"/>
    <w:rsid w:val="0080250E"/>
    <w:rsid w:val="0080281E"/>
    <w:rsid w:val="0080288E"/>
    <w:rsid w:val="00803DDF"/>
    <w:rsid w:val="00804C7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6A68"/>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65018"/>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2EFA"/>
    <w:rsid w:val="008934FE"/>
    <w:rsid w:val="00893B5D"/>
    <w:rsid w:val="00893E2F"/>
    <w:rsid w:val="008944DB"/>
    <w:rsid w:val="0089594E"/>
    <w:rsid w:val="008968C4"/>
    <w:rsid w:val="00896AE2"/>
    <w:rsid w:val="00897463"/>
    <w:rsid w:val="0089753B"/>
    <w:rsid w:val="00897911"/>
    <w:rsid w:val="00897B11"/>
    <w:rsid w:val="008A03BE"/>
    <w:rsid w:val="008A1C8E"/>
    <w:rsid w:val="008A2377"/>
    <w:rsid w:val="008A2ADD"/>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4D67"/>
    <w:rsid w:val="008F5536"/>
    <w:rsid w:val="008F6537"/>
    <w:rsid w:val="00900590"/>
    <w:rsid w:val="00900883"/>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0BBC"/>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99E"/>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8E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1CE"/>
    <w:rsid w:val="009A6258"/>
    <w:rsid w:val="009A644D"/>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1F57"/>
    <w:rsid w:val="009D6353"/>
    <w:rsid w:val="009D6CF0"/>
    <w:rsid w:val="009D6E22"/>
    <w:rsid w:val="009D75A9"/>
    <w:rsid w:val="009E0A40"/>
    <w:rsid w:val="009E153F"/>
    <w:rsid w:val="009E1991"/>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1B3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1D9"/>
    <w:rsid w:val="00A239DB"/>
    <w:rsid w:val="00A24008"/>
    <w:rsid w:val="00A24078"/>
    <w:rsid w:val="00A2475E"/>
    <w:rsid w:val="00A258E0"/>
    <w:rsid w:val="00A25FCF"/>
    <w:rsid w:val="00A269B5"/>
    <w:rsid w:val="00A26A3F"/>
    <w:rsid w:val="00A2726D"/>
    <w:rsid w:val="00A30627"/>
    <w:rsid w:val="00A30B6C"/>
    <w:rsid w:val="00A31337"/>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B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91"/>
    <w:rsid w:val="00A768A2"/>
    <w:rsid w:val="00A76A55"/>
    <w:rsid w:val="00A773B4"/>
    <w:rsid w:val="00A80948"/>
    <w:rsid w:val="00A81811"/>
    <w:rsid w:val="00A8182C"/>
    <w:rsid w:val="00A833A3"/>
    <w:rsid w:val="00A835E5"/>
    <w:rsid w:val="00A83768"/>
    <w:rsid w:val="00A838A2"/>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05"/>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C3C"/>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44B"/>
    <w:rsid w:val="00AC5C0E"/>
    <w:rsid w:val="00AC5FCE"/>
    <w:rsid w:val="00AC615E"/>
    <w:rsid w:val="00AC62B7"/>
    <w:rsid w:val="00AC6BDA"/>
    <w:rsid w:val="00AC6E20"/>
    <w:rsid w:val="00AC7A38"/>
    <w:rsid w:val="00AD0404"/>
    <w:rsid w:val="00AD07F1"/>
    <w:rsid w:val="00AD20E0"/>
    <w:rsid w:val="00AD2BE1"/>
    <w:rsid w:val="00AD3C49"/>
    <w:rsid w:val="00AD3D21"/>
    <w:rsid w:val="00AD65BE"/>
    <w:rsid w:val="00AD68F8"/>
    <w:rsid w:val="00AD692B"/>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43C"/>
    <w:rsid w:val="00AE751E"/>
    <w:rsid w:val="00AF16A0"/>
    <w:rsid w:val="00AF16B9"/>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495"/>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39DD"/>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27FD4"/>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472"/>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3D2"/>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54A"/>
    <w:rsid w:val="00B66802"/>
    <w:rsid w:val="00B67453"/>
    <w:rsid w:val="00B675F7"/>
    <w:rsid w:val="00B67A78"/>
    <w:rsid w:val="00B7086A"/>
    <w:rsid w:val="00B70A5F"/>
    <w:rsid w:val="00B70C27"/>
    <w:rsid w:val="00B70E97"/>
    <w:rsid w:val="00B715DC"/>
    <w:rsid w:val="00B71ACD"/>
    <w:rsid w:val="00B722FE"/>
    <w:rsid w:val="00B729F1"/>
    <w:rsid w:val="00B72B90"/>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E0D"/>
    <w:rsid w:val="00B86B7E"/>
    <w:rsid w:val="00B87DD5"/>
    <w:rsid w:val="00B90F96"/>
    <w:rsid w:val="00B9219F"/>
    <w:rsid w:val="00B926CB"/>
    <w:rsid w:val="00B930DC"/>
    <w:rsid w:val="00B933B2"/>
    <w:rsid w:val="00B936CB"/>
    <w:rsid w:val="00B93CAF"/>
    <w:rsid w:val="00B941B6"/>
    <w:rsid w:val="00B94A06"/>
    <w:rsid w:val="00B952E7"/>
    <w:rsid w:val="00B95B2F"/>
    <w:rsid w:val="00B97356"/>
    <w:rsid w:val="00B97A6D"/>
    <w:rsid w:val="00BA0391"/>
    <w:rsid w:val="00BA060B"/>
    <w:rsid w:val="00BA0DCD"/>
    <w:rsid w:val="00BA11CA"/>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6B4"/>
    <w:rsid w:val="00BF1D23"/>
    <w:rsid w:val="00BF1F82"/>
    <w:rsid w:val="00BF2520"/>
    <w:rsid w:val="00BF3470"/>
    <w:rsid w:val="00BF3B94"/>
    <w:rsid w:val="00BF3FF8"/>
    <w:rsid w:val="00BF4C53"/>
    <w:rsid w:val="00BF54DC"/>
    <w:rsid w:val="00BF5748"/>
    <w:rsid w:val="00BF6270"/>
    <w:rsid w:val="00BF67B7"/>
    <w:rsid w:val="00BF770B"/>
    <w:rsid w:val="00BF7E69"/>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2A"/>
    <w:rsid w:val="00C31F7F"/>
    <w:rsid w:val="00C32186"/>
    <w:rsid w:val="00C335AE"/>
    <w:rsid w:val="00C34E1F"/>
    <w:rsid w:val="00C35C70"/>
    <w:rsid w:val="00C35E26"/>
    <w:rsid w:val="00C3626A"/>
    <w:rsid w:val="00C36684"/>
    <w:rsid w:val="00C36F0A"/>
    <w:rsid w:val="00C36F4F"/>
    <w:rsid w:val="00C372CB"/>
    <w:rsid w:val="00C4067A"/>
    <w:rsid w:val="00C40FA0"/>
    <w:rsid w:val="00C41480"/>
    <w:rsid w:val="00C42F22"/>
    <w:rsid w:val="00C439FF"/>
    <w:rsid w:val="00C44052"/>
    <w:rsid w:val="00C44368"/>
    <w:rsid w:val="00C46111"/>
    <w:rsid w:val="00C46822"/>
    <w:rsid w:val="00C46CE5"/>
    <w:rsid w:val="00C47CFC"/>
    <w:rsid w:val="00C50260"/>
    <w:rsid w:val="00C51395"/>
    <w:rsid w:val="00C51553"/>
    <w:rsid w:val="00C518A5"/>
    <w:rsid w:val="00C51A60"/>
    <w:rsid w:val="00C52334"/>
    <w:rsid w:val="00C526C6"/>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288E"/>
    <w:rsid w:val="00C6395F"/>
    <w:rsid w:val="00C63C3D"/>
    <w:rsid w:val="00C644BF"/>
    <w:rsid w:val="00C65163"/>
    <w:rsid w:val="00C652FB"/>
    <w:rsid w:val="00C65B6B"/>
    <w:rsid w:val="00C66492"/>
    <w:rsid w:val="00C664AB"/>
    <w:rsid w:val="00C66584"/>
    <w:rsid w:val="00C66705"/>
    <w:rsid w:val="00C67754"/>
    <w:rsid w:val="00C70254"/>
    <w:rsid w:val="00C703C0"/>
    <w:rsid w:val="00C703C6"/>
    <w:rsid w:val="00C706D1"/>
    <w:rsid w:val="00C70DA8"/>
    <w:rsid w:val="00C70FAE"/>
    <w:rsid w:val="00C71284"/>
    <w:rsid w:val="00C719C3"/>
    <w:rsid w:val="00C72DD5"/>
    <w:rsid w:val="00C733A6"/>
    <w:rsid w:val="00C737B0"/>
    <w:rsid w:val="00C73D39"/>
    <w:rsid w:val="00C743BB"/>
    <w:rsid w:val="00C7675A"/>
    <w:rsid w:val="00C76E9D"/>
    <w:rsid w:val="00C816DF"/>
    <w:rsid w:val="00C820EE"/>
    <w:rsid w:val="00C82982"/>
    <w:rsid w:val="00C84713"/>
    <w:rsid w:val="00C84758"/>
    <w:rsid w:val="00C853AB"/>
    <w:rsid w:val="00C85F72"/>
    <w:rsid w:val="00C86896"/>
    <w:rsid w:val="00C876E1"/>
    <w:rsid w:val="00C90162"/>
    <w:rsid w:val="00C908A9"/>
    <w:rsid w:val="00C908BE"/>
    <w:rsid w:val="00C91507"/>
    <w:rsid w:val="00C940C2"/>
    <w:rsid w:val="00C952E9"/>
    <w:rsid w:val="00C95AC8"/>
    <w:rsid w:val="00C9760B"/>
    <w:rsid w:val="00C976E0"/>
    <w:rsid w:val="00C9796B"/>
    <w:rsid w:val="00C97C19"/>
    <w:rsid w:val="00CA0174"/>
    <w:rsid w:val="00CA018B"/>
    <w:rsid w:val="00CA0C53"/>
    <w:rsid w:val="00CA1206"/>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0C"/>
    <w:rsid w:val="00CB0A65"/>
    <w:rsid w:val="00CB1177"/>
    <w:rsid w:val="00CB1618"/>
    <w:rsid w:val="00CB1A88"/>
    <w:rsid w:val="00CB2696"/>
    <w:rsid w:val="00CB277F"/>
    <w:rsid w:val="00CB3318"/>
    <w:rsid w:val="00CB3628"/>
    <w:rsid w:val="00CB407C"/>
    <w:rsid w:val="00CB46B4"/>
    <w:rsid w:val="00CB4940"/>
    <w:rsid w:val="00CB5D5B"/>
    <w:rsid w:val="00CB6138"/>
    <w:rsid w:val="00CB6E94"/>
    <w:rsid w:val="00CB7060"/>
    <w:rsid w:val="00CB77F2"/>
    <w:rsid w:val="00CB7DD6"/>
    <w:rsid w:val="00CC01B8"/>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553"/>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1EA0"/>
    <w:rsid w:val="00D02E42"/>
    <w:rsid w:val="00D0354D"/>
    <w:rsid w:val="00D0497C"/>
    <w:rsid w:val="00D04F45"/>
    <w:rsid w:val="00D04FAA"/>
    <w:rsid w:val="00D0548B"/>
    <w:rsid w:val="00D05AEE"/>
    <w:rsid w:val="00D05D6E"/>
    <w:rsid w:val="00D05F55"/>
    <w:rsid w:val="00D0648D"/>
    <w:rsid w:val="00D06EB9"/>
    <w:rsid w:val="00D07903"/>
    <w:rsid w:val="00D103B9"/>
    <w:rsid w:val="00D1153F"/>
    <w:rsid w:val="00D11995"/>
    <w:rsid w:val="00D11CFD"/>
    <w:rsid w:val="00D12432"/>
    <w:rsid w:val="00D13808"/>
    <w:rsid w:val="00D13819"/>
    <w:rsid w:val="00D1414D"/>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5F49"/>
    <w:rsid w:val="00D3647C"/>
    <w:rsid w:val="00D365FA"/>
    <w:rsid w:val="00D37093"/>
    <w:rsid w:val="00D40425"/>
    <w:rsid w:val="00D40BC3"/>
    <w:rsid w:val="00D40D6B"/>
    <w:rsid w:val="00D4129E"/>
    <w:rsid w:val="00D418A3"/>
    <w:rsid w:val="00D41AB6"/>
    <w:rsid w:val="00D41B9F"/>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8BD"/>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6A8"/>
    <w:rsid w:val="00D82A2B"/>
    <w:rsid w:val="00D8301D"/>
    <w:rsid w:val="00D84483"/>
    <w:rsid w:val="00D8473E"/>
    <w:rsid w:val="00D857EF"/>
    <w:rsid w:val="00D86255"/>
    <w:rsid w:val="00D863D1"/>
    <w:rsid w:val="00D872B7"/>
    <w:rsid w:val="00D87DCF"/>
    <w:rsid w:val="00D87F5B"/>
    <w:rsid w:val="00D90125"/>
    <w:rsid w:val="00D9057B"/>
    <w:rsid w:val="00D9070B"/>
    <w:rsid w:val="00D9096B"/>
    <w:rsid w:val="00D90ED1"/>
    <w:rsid w:val="00D91C34"/>
    <w:rsid w:val="00D92262"/>
    <w:rsid w:val="00D925C5"/>
    <w:rsid w:val="00D9279F"/>
    <w:rsid w:val="00D94E4C"/>
    <w:rsid w:val="00D95709"/>
    <w:rsid w:val="00D958D7"/>
    <w:rsid w:val="00D96B2B"/>
    <w:rsid w:val="00D96D46"/>
    <w:rsid w:val="00D97A4E"/>
    <w:rsid w:val="00D97B72"/>
    <w:rsid w:val="00D97CF6"/>
    <w:rsid w:val="00DA0BBE"/>
    <w:rsid w:val="00DA11AE"/>
    <w:rsid w:val="00DA16E5"/>
    <w:rsid w:val="00DA1BE9"/>
    <w:rsid w:val="00DA283D"/>
    <w:rsid w:val="00DA3335"/>
    <w:rsid w:val="00DA3E12"/>
    <w:rsid w:val="00DA4141"/>
    <w:rsid w:val="00DA417B"/>
    <w:rsid w:val="00DA45BD"/>
    <w:rsid w:val="00DA50CC"/>
    <w:rsid w:val="00DA52EB"/>
    <w:rsid w:val="00DA5CD6"/>
    <w:rsid w:val="00DA6868"/>
    <w:rsid w:val="00DA7167"/>
    <w:rsid w:val="00DB0312"/>
    <w:rsid w:val="00DB115A"/>
    <w:rsid w:val="00DB3213"/>
    <w:rsid w:val="00DB387C"/>
    <w:rsid w:val="00DB42F5"/>
    <w:rsid w:val="00DB43F8"/>
    <w:rsid w:val="00DB46DA"/>
    <w:rsid w:val="00DB5A7F"/>
    <w:rsid w:val="00DB5EDB"/>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C733E"/>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075"/>
    <w:rsid w:val="00DE12EF"/>
    <w:rsid w:val="00DE19AA"/>
    <w:rsid w:val="00DE367F"/>
    <w:rsid w:val="00DE38E8"/>
    <w:rsid w:val="00DE3E2A"/>
    <w:rsid w:val="00DE5469"/>
    <w:rsid w:val="00DE54DB"/>
    <w:rsid w:val="00DE5D83"/>
    <w:rsid w:val="00DE724C"/>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052A"/>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E4E"/>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478"/>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0D35"/>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74"/>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4881"/>
    <w:rsid w:val="00EB56C4"/>
    <w:rsid w:val="00EB5955"/>
    <w:rsid w:val="00EB6662"/>
    <w:rsid w:val="00EB6E71"/>
    <w:rsid w:val="00EC003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88B"/>
    <w:rsid w:val="00ED7EA9"/>
    <w:rsid w:val="00EE00E5"/>
    <w:rsid w:val="00EE0B31"/>
    <w:rsid w:val="00EE1E9C"/>
    <w:rsid w:val="00EE200B"/>
    <w:rsid w:val="00EE2083"/>
    <w:rsid w:val="00EE20A8"/>
    <w:rsid w:val="00EE23BC"/>
    <w:rsid w:val="00EE25D9"/>
    <w:rsid w:val="00EE433B"/>
    <w:rsid w:val="00EE46D0"/>
    <w:rsid w:val="00EE476D"/>
    <w:rsid w:val="00EE4985"/>
    <w:rsid w:val="00EE49A6"/>
    <w:rsid w:val="00EE4C73"/>
    <w:rsid w:val="00EE5C23"/>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6000"/>
    <w:rsid w:val="00EF75A6"/>
    <w:rsid w:val="00F0045E"/>
    <w:rsid w:val="00F006D2"/>
    <w:rsid w:val="00F00724"/>
    <w:rsid w:val="00F00774"/>
    <w:rsid w:val="00F0081B"/>
    <w:rsid w:val="00F011B3"/>
    <w:rsid w:val="00F01968"/>
    <w:rsid w:val="00F01F95"/>
    <w:rsid w:val="00F0256E"/>
    <w:rsid w:val="00F02B90"/>
    <w:rsid w:val="00F03681"/>
    <w:rsid w:val="00F03E2F"/>
    <w:rsid w:val="00F04D9B"/>
    <w:rsid w:val="00F0588E"/>
    <w:rsid w:val="00F05AB5"/>
    <w:rsid w:val="00F05BC9"/>
    <w:rsid w:val="00F0608B"/>
    <w:rsid w:val="00F0659C"/>
    <w:rsid w:val="00F06776"/>
    <w:rsid w:val="00F06CDD"/>
    <w:rsid w:val="00F06D5D"/>
    <w:rsid w:val="00F11AA5"/>
    <w:rsid w:val="00F11E55"/>
    <w:rsid w:val="00F128DE"/>
    <w:rsid w:val="00F12DF4"/>
    <w:rsid w:val="00F13400"/>
    <w:rsid w:val="00F13DD1"/>
    <w:rsid w:val="00F13F46"/>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1DB"/>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664"/>
    <w:rsid w:val="00F807A4"/>
    <w:rsid w:val="00F809ED"/>
    <w:rsid w:val="00F80DD8"/>
    <w:rsid w:val="00F81914"/>
    <w:rsid w:val="00F81B7D"/>
    <w:rsid w:val="00F824D5"/>
    <w:rsid w:val="00F82628"/>
    <w:rsid w:val="00F82D8E"/>
    <w:rsid w:val="00F8321D"/>
    <w:rsid w:val="00F83461"/>
    <w:rsid w:val="00F835A8"/>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97C5D"/>
    <w:rsid w:val="00FA068B"/>
    <w:rsid w:val="00FA1B1B"/>
    <w:rsid w:val="00FA2534"/>
    <w:rsid w:val="00FA2BC2"/>
    <w:rsid w:val="00FA37EA"/>
    <w:rsid w:val="00FA381E"/>
    <w:rsid w:val="00FA509D"/>
    <w:rsid w:val="00FA52C8"/>
    <w:rsid w:val="00FA54B2"/>
    <w:rsid w:val="00FA5812"/>
    <w:rsid w:val="00FA59CD"/>
    <w:rsid w:val="00FA7990"/>
    <w:rsid w:val="00FA7A7E"/>
    <w:rsid w:val="00FB078E"/>
    <w:rsid w:val="00FB07FC"/>
    <w:rsid w:val="00FB1180"/>
    <w:rsid w:val="00FB15B5"/>
    <w:rsid w:val="00FB174F"/>
    <w:rsid w:val="00FB1FEB"/>
    <w:rsid w:val="00FB22AB"/>
    <w:rsid w:val="00FB4250"/>
    <w:rsid w:val="00FB5638"/>
    <w:rsid w:val="00FB59AB"/>
    <w:rsid w:val="00FB5A8D"/>
    <w:rsid w:val="00FB6627"/>
    <w:rsid w:val="00FB6721"/>
    <w:rsid w:val="00FB6DB1"/>
    <w:rsid w:val="00FB7318"/>
    <w:rsid w:val="00FB77DE"/>
    <w:rsid w:val="00FC0251"/>
    <w:rsid w:val="00FC06CC"/>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6AF"/>
    <w:rsid w:val="00FF4F22"/>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14:docId w14:val="004A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Footnote,Bullet point,List Paragraph1,List Paragraph11,Recommendation"/>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Footnote Char,Bullet point Char,List Paragraph1 Char,List Paragraph11 Char,Recommendation Char"/>
    <w:link w:val="ListParagraph"/>
    <w:uiPriority w:val="34"/>
    <w:qFormat/>
    <w:rsid w:val="001E35D6"/>
    <w:rPr>
      <w:rFonts w:eastAsia="SimSun"/>
      <w:sz w:val="24"/>
      <w:szCs w:val="24"/>
    </w:rPr>
  </w:style>
  <w:style w:type="character" w:styleId="FollowedHyperlink">
    <w:name w:val="FollowedHyperlink"/>
    <w:basedOn w:val="DefaultParagraphFont"/>
    <w:rsid w:val="00804C7F"/>
    <w:rPr>
      <w:color w:val="800080" w:themeColor="followedHyperlink"/>
      <w:u w:val="single"/>
    </w:rPr>
  </w:style>
  <w:style w:type="paragraph" w:styleId="Revision">
    <w:name w:val="Revision"/>
    <w:hidden/>
    <w:uiPriority w:val="99"/>
    <w:semiHidden/>
    <w:rsid w:val="0075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2212103">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399912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4863493">
      <w:bodyDiv w:val="1"/>
      <w:marLeft w:val="0"/>
      <w:marRight w:val="0"/>
      <w:marTop w:val="0"/>
      <w:marBottom w:val="0"/>
      <w:divBdr>
        <w:top w:val="none" w:sz="0" w:space="0" w:color="auto"/>
        <w:left w:val="none" w:sz="0" w:space="0" w:color="auto"/>
        <w:bottom w:val="none" w:sz="0" w:space="0" w:color="auto"/>
        <w:right w:val="none" w:sz="0" w:space="0" w:color="auto"/>
      </w:divBdr>
    </w:div>
    <w:div w:id="400258040">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7626102">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5034158">
      <w:bodyDiv w:val="1"/>
      <w:marLeft w:val="0"/>
      <w:marRight w:val="0"/>
      <w:marTop w:val="0"/>
      <w:marBottom w:val="0"/>
      <w:divBdr>
        <w:top w:val="none" w:sz="0" w:space="0" w:color="auto"/>
        <w:left w:val="none" w:sz="0" w:space="0" w:color="auto"/>
        <w:bottom w:val="none" w:sz="0" w:space="0" w:color="auto"/>
        <w:right w:val="none" w:sz="0" w:space="0" w:color="auto"/>
      </w:divBdr>
    </w:div>
    <w:div w:id="682047568">
      <w:bodyDiv w:val="1"/>
      <w:marLeft w:val="0"/>
      <w:marRight w:val="0"/>
      <w:marTop w:val="0"/>
      <w:marBottom w:val="0"/>
      <w:divBdr>
        <w:top w:val="none" w:sz="0" w:space="0" w:color="auto"/>
        <w:left w:val="none" w:sz="0" w:space="0" w:color="auto"/>
        <w:bottom w:val="none" w:sz="0" w:space="0" w:color="auto"/>
        <w:right w:val="none" w:sz="0" w:space="0" w:color="auto"/>
      </w:divBdr>
    </w:div>
    <w:div w:id="700277415">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032883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29575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0199483">
      <w:bodyDiv w:val="1"/>
      <w:marLeft w:val="0"/>
      <w:marRight w:val="0"/>
      <w:marTop w:val="0"/>
      <w:marBottom w:val="0"/>
      <w:divBdr>
        <w:top w:val="none" w:sz="0" w:space="0" w:color="auto"/>
        <w:left w:val="none" w:sz="0" w:space="0" w:color="auto"/>
        <w:bottom w:val="none" w:sz="0" w:space="0" w:color="auto"/>
        <w:right w:val="none" w:sz="0" w:space="0" w:color="auto"/>
      </w:divBdr>
      <w:divsChild>
        <w:div w:id="520627852">
          <w:marLeft w:val="446"/>
          <w:marRight w:val="0"/>
          <w:marTop w:val="0"/>
          <w:marBottom w:val="200"/>
          <w:divBdr>
            <w:top w:val="none" w:sz="0" w:space="0" w:color="auto"/>
            <w:left w:val="none" w:sz="0" w:space="0" w:color="auto"/>
            <w:bottom w:val="none" w:sz="0" w:space="0" w:color="auto"/>
            <w:right w:val="none" w:sz="0" w:space="0" w:color="auto"/>
          </w:divBdr>
        </w:div>
      </w:divsChild>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7544033">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3365256">
      <w:bodyDiv w:val="1"/>
      <w:marLeft w:val="0"/>
      <w:marRight w:val="0"/>
      <w:marTop w:val="0"/>
      <w:marBottom w:val="0"/>
      <w:divBdr>
        <w:top w:val="none" w:sz="0" w:space="0" w:color="auto"/>
        <w:left w:val="none" w:sz="0" w:space="0" w:color="auto"/>
        <w:bottom w:val="none" w:sz="0" w:space="0" w:color="auto"/>
        <w:right w:val="none" w:sz="0" w:space="0" w:color="auto"/>
      </w:divBdr>
    </w:div>
    <w:div w:id="1736974419">
      <w:bodyDiv w:val="1"/>
      <w:marLeft w:val="0"/>
      <w:marRight w:val="0"/>
      <w:marTop w:val="0"/>
      <w:marBottom w:val="0"/>
      <w:divBdr>
        <w:top w:val="none" w:sz="0" w:space="0" w:color="auto"/>
        <w:left w:val="none" w:sz="0" w:space="0" w:color="auto"/>
        <w:bottom w:val="none" w:sz="0" w:space="0" w:color="auto"/>
        <w:right w:val="none" w:sz="0" w:space="0" w:color="auto"/>
      </w:divBdr>
    </w:div>
    <w:div w:id="178842988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2886221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2738399">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3450890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33145233">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5AFAC-5B76-4C9D-9B77-4E587A0E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2019-04-17T23:07:00Z</dcterms:created>
  <dcterms:modified xsi:type="dcterms:W3CDTF">2019-04-24T05:51:00Z</dcterms:modified>
</cp:coreProperties>
</file>