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3402"/>
        <w:gridCol w:w="5245"/>
      </w:tblGrid>
      <w:tr w:rsidR="0010394D" w:rsidRPr="00447CFB" w:rsidTr="007E146D">
        <w:trPr>
          <w:tblHeader/>
        </w:trPr>
        <w:tc>
          <w:tcPr>
            <w:tcW w:w="2127" w:type="dxa"/>
          </w:tcPr>
          <w:p w:rsidR="0010394D" w:rsidRPr="00447CFB" w:rsidRDefault="001047FA" w:rsidP="001047FA">
            <w:pPr>
              <w:pStyle w:val="Header"/>
              <w:spacing w:after="240"/>
              <w:contextualSpacing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 w:rsidRPr="00447CFB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DRUG NAME, FORM(S), STRENGTH(S), SPONSOR, TYPE OF SUBMISSION</w:t>
            </w:r>
          </w:p>
        </w:tc>
        <w:tc>
          <w:tcPr>
            <w:tcW w:w="2268" w:type="dxa"/>
          </w:tcPr>
          <w:p w:rsidR="001047FA" w:rsidRPr="00447CFB" w:rsidRDefault="001047FA" w:rsidP="001047FA">
            <w:pPr>
              <w:pStyle w:val="Header"/>
              <w:spacing w:after="240"/>
              <w:contextualSpacing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 w:rsidRPr="00447CFB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TGA INDICATION</w:t>
            </w:r>
          </w:p>
          <w:p w:rsidR="0010394D" w:rsidRPr="00447CFB" w:rsidRDefault="0010394D" w:rsidP="001047FA">
            <w:pPr>
              <w:pStyle w:val="Header"/>
              <w:spacing w:after="240"/>
              <w:contextualSpacing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842" w:type="dxa"/>
          </w:tcPr>
          <w:p w:rsidR="0010394D" w:rsidRPr="00447CFB" w:rsidRDefault="001047FA" w:rsidP="001047FA">
            <w:pPr>
              <w:pStyle w:val="Header"/>
              <w:spacing w:after="240"/>
              <w:contextualSpacing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 w:rsidRPr="00447CFB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CURRENT PBS LISTING</w:t>
            </w:r>
          </w:p>
        </w:tc>
        <w:tc>
          <w:tcPr>
            <w:tcW w:w="3402" w:type="dxa"/>
            <w:shd w:val="clear" w:color="auto" w:fill="auto"/>
          </w:tcPr>
          <w:p w:rsidR="0010394D" w:rsidRPr="00447CFB" w:rsidRDefault="001047FA" w:rsidP="001047FA">
            <w:pPr>
              <w:pStyle w:val="Header"/>
              <w:spacing w:after="240"/>
              <w:contextualSpacing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 w:rsidRPr="00447CFB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LISTING REQUESTED BY SPONSOR / PURPOSE OF SUBMISSION</w:t>
            </w:r>
          </w:p>
        </w:tc>
        <w:tc>
          <w:tcPr>
            <w:tcW w:w="5245" w:type="dxa"/>
          </w:tcPr>
          <w:p w:rsidR="0010394D" w:rsidRPr="00447CFB" w:rsidRDefault="0010394D" w:rsidP="001047FA">
            <w:pPr>
              <w:pStyle w:val="Header"/>
              <w:spacing w:after="240"/>
              <w:contextualSpacing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 w:rsidRPr="00447CFB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 xml:space="preserve">PBAC </w:t>
            </w:r>
            <w:r w:rsidR="001047FA" w:rsidRPr="00447CFB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OUTCOME</w:t>
            </w:r>
          </w:p>
        </w:tc>
      </w:tr>
      <w:tr w:rsidR="00BE7663" w:rsidRPr="00447CFB" w:rsidTr="00855CF7">
        <w:trPr>
          <w:trHeight w:val="1636"/>
        </w:trPr>
        <w:tc>
          <w:tcPr>
            <w:tcW w:w="2127" w:type="dxa"/>
            <w:vMerge w:val="restart"/>
          </w:tcPr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DENOSUMAB</w:t>
            </w: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Injection 120 mg in 1.7 mL</w:t>
            </w: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Xgeva®</w:t>
            </w: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</w:p>
          <w:p w:rsidR="00E01701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 xml:space="preserve">Amgen Australia </w:t>
            </w: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Pty Ltd</w:t>
            </w: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</w:p>
          <w:p w:rsidR="00BE7663" w:rsidRPr="0046724E" w:rsidRDefault="00BE7663" w:rsidP="00BE7663">
            <w:pPr>
              <w:contextualSpacing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Change to listing (Minor submission)</w:t>
            </w:r>
          </w:p>
        </w:tc>
        <w:tc>
          <w:tcPr>
            <w:tcW w:w="2268" w:type="dxa"/>
            <w:vMerge w:val="restart"/>
          </w:tcPr>
          <w:p w:rsidR="00BE7663" w:rsidRPr="0046724E" w:rsidRDefault="00BE7663" w:rsidP="00BE7663">
            <w:pPr>
              <w:keepLines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Prevention of skeletal related events in patients with multiple myeloma and in patients with bone metastases from solid tumours.</w:t>
            </w:r>
          </w:p>
        </w:tc>
        <w:tc>
          <w:tcPr>
            <w:tcW w:w="1842" w:type="dxa"/>
            <w:vMerge w:val="restart"/>
          </w:tcPr>
          <w:p w:rsidR="00BE7663" w:rsidRPr="0046724E" w:rsidRDefault="00BE7663" w:rsidP="00BE7663">
            <w:pPr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DENOSUMAB is currently PBS listed for Giant cell tumour of bone, bone metastases from breast cancer or from castrate resistant prostate cancer, and osteoporosis in patients with a bone mineral density T-score of -2.5 or less.</w:t>
            </w:r>
          </w:p>
        </w:tc>
        <w:tc>
          <w:tcPr>
            <w:tcW w:w="3402" w:type="dxa"/>
          </w:tcPr>
          <w:p w:rsidR="00BE7663" w:rsidRPr="0046724E" w:rsidRDefault="00BE7663" w:rsidP="00BE7663">
            <w:pPr>
              <w:keepLines/>
              <w:rPr>
                <w:rFonts w:ascii="Arial" w:hAnsi="Arial" w:cs="Arial"/>
                <w:sz w:val="20"/>
              </w:rPr>
            </w:pPr>
            <w:r w:rsidRPr="0046724E">
              <w:rPr>
                <w:rFonts w:ascii="Arial" w:hAnsi="Arial" w:cs="Arial"/>
                <w:sz w:val="20"/>
              </w:rPr>
              <w:t>Minor re-submission to request an extension of the current Section 85 Streamlined Authority Required listing for denosumab to include patients with multiple myeloma.</w:t>
            </w:r>
          </w:p>
        </w:tc>
        <w:tc>
          <w:tcPr>
            <w:tcW w:w="5245" w:type="dxa"/>
          </w:tcPr>
          <w:p w:rsidR="00BE7663" w:rsidRPr="00981A70" w:rsidRDefault="00BE7663" w:rsidP="00BE7663">
            <w:pPr>
              <w:rPr>
                <w:rFonts w:ascii="Arial" w:hAnsi="Arial" w:cs="Arial"/>
                <w:bCs/>
                <w:sz w:val="20"/>
              </w:rPr>
            </w:pPr>
            <w:r w:rsidRPr="00981A70">
              <w:rPr>
                <w:rFonts w:ascii="Arial" w:hAnsi="Arial" w:cs="Arial"/>
                <w:bCs/>
                <w:sz w:val="20"/>
              </w:rPr>
              <w:t>The PBAC did not recommend the PBS listing of denosumab for the treatment of multiple myeloma on the basis that the price proposal did not meet the requirements of a cost minimisation analysis.</w:t>
            </w:r>
          </w:p>
          <w:p w:rsidR="00BE7663" w:rsidRPr="0046724E" w:rsidRDefault="00BE7663" w:rsidP="00BE7663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BE7663" w:rsidRPr="00447CFB" w:rsidTr="007E146D">
        <w:trPr>
          <w:trHeight w:val="671"/>
        </w:trPr>
        <w:tc>
          <w:tcPr>
            <w:tcW w:w="2127" w:type="dxa"/>
            <w:vMerge/>
          </w:tcPr>
          <w:p w:rsidR="00BE7663" w:rsidRPr="007E146D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BE7663" w:rsidRPr="007E146D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</w:tcPr>
          <w:p w:rsidR="00BE7663" w:rsidRPr="007E146D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BE7663" w:rsidRPr="007E146D" w:rsidRDefault="00BE7663" w:rsidP="00BE7663">
            <w:pPr>
              <w:pStyle w:val="ListBullet"/>
              <w:rPr>
                <w:snapToGrid/>
                <w:lang w:eastAsia="en-AU"/>
              </w:rPr>
            </w:pPr>
            <w:r w:rsidRPr="0046724E">
              <w:t>Comparator: Zoledronic acid and pamidronate</w:t>
            </w:r>
          </w:p>
        </w:tc>
        <w:tc>
          <w:tcPr>
            <w:tcW w:w="5245" w:type="dxa"/>
          </w:tcPr>
          <w:p w:rsidR="00BE7663" w:rsidRPr="00981A70" w:rsidRDefault="00BE7663" w:rsidP="00BE7663">
            <w:pPr>
              <w:rPr>
                <w:rFonts w:ascii="Arial" w:hAnsi="Arial" w:cs="Arial"/>
                <w:bCs/>
                <w:sz w:val="20"/>
              </w:rPr>
            </w:pPr>
            <w:r w:rsidRPr="00981A70">
              <w:rPr>
                <w:rFonts w:ascii="Arial" w:hAnsi="Arial" w:cs="Arial"/>
                <w:bCs/>
                <w:sz w:val="20"/>
              </w:rPr>
              <w:t xml:space="preserve">The PBAC accepted that zoledronic acid and pamidronate were appropriate comparators. </w:t>
            </w:r>
          </w:p>
          <w:p w:rsidR="00BE7663" w:rsidRPr="007E146D" w:rsidRDefault="00BE7663" w:rsidP="00BE766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663" w:rsidRPr="00447CFB" w:rsidTr="007E146D">
        <w:trPr>
          <w:trHeight w:val="671"/>
        </w:trPr>
        <w:tc>
          <w:tcPr>
            <w:tcW w:w="2127" w:type="dxa"/>
            <w:vMerge/>
          </w:tcPr>
          <w:p w:rsidR="00BE7663" w:rsidRPr="007E146D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BE7663" w:rsidRPr="007E146D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</w:tcPr>
          <w:p w:rsidR="00BE7663" w:rsidRPr="007E146D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BE7663" w:rsidRPr="0046724E" w:rsidRDefault="00BE7663" w:rsidP="00BE7663">
            <w:pPr>
              <w:pStyle w:val="ListBullet"/>
            </w:pPr>
            <w:r w:rsidRPr="0046724E">
              <w:t>Clinical claim: non-inferior comparative effectiveness for skeletal related events and similar safety.</w:t>
            </w:r>
          </w:p>
          <w:p w:rsidR="00BE7663" w:rsidRPr="007E146D" w:rsidRDefault="00BE7663" w:rsidP="00BE7663">
            <w:pPr>
              <w:pStyle w:val="ListBullet"/>
            </w:pPr>
          </w:p>
        </w:tc>
        <w:tc>
          <w:tcPr>
            <w:tcW w:w="5245" w:type="dxa"/>
          </w:tcPr>
          <w:p w:rsidR="00BE7663" w:rsidRPr="00981A70" w:rsidRDefault="00BE7663" w:rsidP="00BE7663">
            <w:pPr>
              <w:rPr>
                <w:rFonts w:ascii="Arial" w:hAnsi="Arial" w:cs="Arial"/>
                <w:bCs/>
                <w:sz w:val="20"/>
              </w:rPr>
            </w:pPr>
            <w:r w:rsidRPr="00981A70">
              <w:rPr>
                <w:rFonts w:ascii="Arial" w:hAnsi="Arial" w:cs="Arial"/>
                <w:bCs/>
                <w:sz w:val="20"/>
              </w:rPr>
              <w:t>The PBAC considered that the claim of non-inferior comparative effectiveness and similar comparative safety to zoledronic acid was reasonably supported by the data.</w:t>
            </w:r>
          </w:p>
          <w:p w:rsidR="00BE7663" w:rsidRPr="007E146D" w:rsidRDefault="00BE7663" w:rsidP="00BE766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663" w:rsidRPr="00447CFB" w:rsidTr="007E146D">
        <w:trPr>
          <w:trHeight w:val="374"/>
        </w:trPr>
        <w:tc>
          <w:tcPr>
            <w:tcW w:w="2127" w:type="dxa"/>
            <w:vMerge/>
          </w:tcPr>
          <w:p w:rsidR="00BE7663" w:rsidRPr="00447CFB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BE7663" w:rsidRPr="00447CFB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</w:tcPr>
          <w:p w:rsidR="00BE7663" w:rsidRPr="00447CFB" w:rsidRDefault="00BE7663" w:rsidP="00BE76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BE7663" w:rsidRPr="0046724E" w:rsidRDefault="00BE7663" w:rsidP="00BE7663">
            <w:pPr>
              <w:pStyle w:val="ListBullet"/>
            </w:pPr>
            <w:r w:rsidRPr="0046724E">
              <w:t>Economic claim: cost-minimisation compared with either zoledronic acid or pamidronate, with cost-offsets for infusion costs.</w:t>
            </w:r>
          </w:p>
          <w:p w:rsidR="00BE7663" w:rsidRPr="00447CFB" w:rsidRDefault="00BE7663" w:rsidP="00BE7663"/>
        </w:tc>
        <w:tc>
          <w:tcPr>
            <w:tcW w:w="5245" w:type="dxa"/>
          </w:tcPr>
          <w:p w:rsidR="00BE7663" w:rsidRDefault="00BE7663" w:rsidP="00BD31C0">
            <w:pPr>
              <w:rPr>
                <w:rFonts w:ascii="Arial" w:hAnsi="Arial" w:cs="Arial"/>
                <w:bCs/>
                <w:sz w:val="20"/>
              </w:rPr>
            </w:pPr>
            <w:r w:rsidRPr="00981A70">
              <w:rPr>
                <w:rFonts w:ascii="Arial" w:hAnsi="Arial" w:cs="Arial"/>
                <w:bCs/>
                <w:sz w:val="20"/>
              </w:rPr>
              <w:t>The PBAC did not accept the approach taken in the cost-minimisation analysis. The PBAC noted the cost offsets associated with IV infusions of the comparators was substantially higher than the scheduled fees, as advised by the Medical Benefits Division.</w:t>
            </w:r>
            <w:r w:rsidR="00EF6BE3">
              <w:t xml:space="preserve"> </w:t>
            </w:r>
            <w:r w:rsidR="00EF6BE3" w:rsidRPr="00EF6BE3">
              <w:rPr>
                <w:rFonts w:ascii="Arial" w:hAnsi="Arial" w:cs="Arial"/>
                <w:bCs/>
                <w:sz w:val="20"/>
              </w:rPr>
              <w:t>The latest Manual of resource items and their associated costs (version 5.0) specifies a preference for using only the relevant Medicare Benefits Schedule (MBS) fee if the medicine or medicinal preparation is administered by infusion.</w:t>
            </w:r>
          </w:p>
          <w:p w:rsidR="00021AAE" w:rsidRPr="00BD31C0" w:rsidRDefault="00021AAE" w:rsidP="00BD31C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A71CF4" w:rsidRPr="00447CFB" w:rsidTr="00BD31C0">
        <w:trPr>
          <w:trHeight w:val="2045"/>
        </w:trPr>
        <w:tc>
          <w:tcPr>
            <w:tcW w:w="2127" w:type="dxa"/>
            <w:vMerge/>
          </w:tcPr>
          <w:p w:rsidR="00A71CF4" w:rsidRPr="00447CFB" w:rsidRDefault="00A71CF4" w:rsidP="00CA0C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A71CF4" w:rsidRPr="00447CFB" w:rsidRDefault="00A71CF4" w:rsidP="00CA0C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</w:tcPr>
          <w:p w:rsidR="00A71CF4" w:rsidRPr="00447CFB" w:rsidRDefault="00A71CF4" w:rsidP="00CA0C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7E146D" w:rsidRDefault="00A71CF4" w:rsidP="005948E2">
            <w:pPr>
              <w:pStyle w:val="ListBullet"/>
            </w:pPr>
            <w:r w:rsidRPr="00447CFB">
              <w:t>Sponsor’s comments:</w:t>
            </w:r>
          </w:p>
          <w:p w:rsidR="007E146D" w:rsidRDefault="007E146D" w:rsidP="005948E2">
            <w:pPr>
              <w:pStyle w:val="ListBullet"/>
            </w:pPr>
          </w:p>
          <w:p w:rsidR="00E01701" w:rsidRPr="00447CFB" w:rsidRDefault="00E01701" w:rsidP="005948E2">
            <w:pPr>
              <w:pStyle w:val="ListBullet"/>
            </w:pPr>
          </w:p>
        </w:tc>
        <w:tc>
          <w:tcPr>
            <w:tcW w:w="5245" w:type="dxa"/>
          </w:tcPr>
          <w:p w:rsidR="00A71CF4" w:rsidRDefault="00021AAE" w:rsidP="00F61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sponsor had no comment.</w:t>
            </w:r>
            <w:bookmarkStart w:id="0" w:name="_GoBack"/>
            <w:bookmarkEnd w:id="0"/>
          </w:p>
        </w:tc>
      </w:tr>
      <w:tr w:rsidR="0013547D" w:rsidRPr="00447CFB" w:rsidTr="000057CB">
        <w:trPr>
          <w:cantSplit/>
          <w:trHeight w:val="435"/>
        </w:trPr>
        <w:tc>
          <w:tcPr>
            <w:tcW w:w="2127" w:type="dxa"/>
            <w:vMerge w:val="restart"/>
          </w:tcPr>
          <w:p w:rsidR="0013547D" w:rsidRDefault="0013547D" w:rsidP="0013547D">
            <w:pPr>
              <w:contextualSpacing/>
              <w:rPr>
                <w:rFonts w:ascii="Arial" w:hAnsi="Arial" w:cs="Arial"/>
                <w:sz w:val="20"/>
              </w:rPr>
            </w:pPr>
            <w:r w:rsidRPr="00BE7663">
              <w:rPr>
                <w:rFonts w:ascii="Arial" w:hAnsi="Arial" w:cs="Arial"/>
                <w:sz w:val="20"/>
              </w:rPr>
              <w:lastRenderedPageBreak/>
              <w:t>REGORAFENIB</w:t>
            </w:r>
          </w:p>
          <w:p w:rsidR="0013547D" w:rsidRDefault="0013547D" w:rsidP="0013547D">
            <w:pPr>
              <w:contextualSpacing/>
              <w:rPr>
                <w:rFonts w:ascii="Arial" w:hAnsi="Arial" w:cs="Arial"/>
                <w:sz w:val="20"/>
              </w:rPr>
            </w:pPr>
          </w:p>
          <w:p w:rsidR="0013547D" w:rsidRDefault="0013547D" w:rsidP="0013547D">
            <w:pPr>
              <w:contextualSpacing/>
              <w:rPr>
                <w:rFonts w:ascii="Arial" w:hAnsi="Arial" w:cs="Arial"/>
                <w:color w:val="000000"/>
                <w:sz w:val="20"/>
              </w:rPr>
            </w:pPr>
            <w:r w:rsidRPr="0013547D">
              <w:rPr>
                <w:rFonts w:ascii="Arial" w:hAnsi="Arial" w:cs="Arial"/>
                <w:color w:val="000000"/>
                <w:sz w:val="20"/>
              </w:rPr>
              <w:t>Tablet 40 mg (as monohydrate)</w:t>
            </w:r>
            <w:r w:rsidRPr="0013547D">
              <w:rPr>
                <w:rFonts w:ascii="Arial" w:hAnsi="Arial" w:cs="Arial"/>
                <w:color w:val="000000"/>
                <w:sz w:val="20"/>
              </w:rPr>
              <w:br/>
            </w:r>
            <w:r w:rsidRPr="0013547D">
              <w:rPr>
                <w:rFonts w:ascii="Arial" w:hAnsi="Arial" w:cs="Arial"/>
                <w:color w:val="000000"/>
                <w:sz w:val="20"/>
              </w:rPr>
              <w:br/>
              <w:t>Stivarga®</w:t>
            </w:r>
            <w:r w:rsidRPr="0013547D">
              <w:rPr>
                <w:rFonts w:ascii="Arial" w:hAnsi="Arial" w:cs="Arial"/>
                <w:color w:val="000000"/>
                <w:sz w:val="20"/>
              </w:rPr>
              <w:br/>
            </w:r>
            <w:r w:rsidRPr="0013547D">
              <w:rPr>
                <w:rFonts w:ascii="Arial" w:hAnsi="Arial" w:cs="Arial"/>
                <w:color w:val="000000"/>
                <w:sz w:val="20"/>
              </w:rPr>
              <w:br/>
              <w:t>Bayer Australia Ltd</w:t>
            </w:r>
          </w:p>
          <w:p w:rsidR="0013547D" w:rsidRDefault="0013547D" w:rsidP="0013547D">
            <w:pPr>
              <w:contextualSpacing/>
              <w:rPr>
                <w:rFonts w:ascii="Arial" w:hAnsi="Arial" w:cs="Arial"/>
                <w:color w:val="000000"/>
                <w:sz w:val="20"/>
              </w:rPr>
            </w:pPr>
          </w:p>
          <w:p w:rsidR="0013547D" w:rsidRPr="0013547D" w:rsidRDefault="0013547D" w:rsidP="0013547D">
            <w:pPr>
              <w:contextualSpacing/>
              <w:rPr>
                <w:rFonts w:ascii="Arial" w:hAnsi="Arial" w:cs="Arial"/>
                <w:sz w:val="20"/>
              </w:rPr>
            </w:pPr>
            <w:r w:rsidRPr="00DF7278">
              <w:rPr>
                <w:rFonts w:ascii="Arial" w:hAnsi="Arial" w:cs="Arial"/>
                <w:sz w:val="20"/>
              </w:rPr>
              <w:t>New listing</w:t>
            </w:r>
          </w:p>
          <w:p w:rsidR="0013547D" w:rsidRPr="0013547D" w:rsidRDefault="0013547D" w:rsidP="0013547D">
            <w:pPr>
              <w:contextualSpacing/>
              <w:rPr>
                <w:rFonts w:ascii="Arial" w:hAnsi="Arial" w:cs="Arial"/>
                <w:sz w:val="20"/>
                <w:highlight w:val="yellow"/>
              </w:rPr>
            </w:pPr>
            <w:r w:rsidRPr="0013547D">
              <w:rPr>
                <w:rFonts w:ascii="Arial" w:hAnsi="Arial" w:cs="Arial"/>
                <w:sz w:val="20"/>
              </w:rPr>
              <w:t>(Major submission)</w:t>
            </w:r>
          </w:p>
        </w:tc>
        <w:tc>
          <w:tcPr>
            <w:tcW w:w="2268" w:type="dxa"/>
            <w:vMerge w:val="restart"/>
          </w:tcPr>
          <w:p w:rsidR="0013547D" w:rsidRPr="00E0328A" w:rsidRDefault="00E0328A" w:rsidP="0013547D">
            <w:pPr>
              <w:rPr>
                <w:rFonts w:ascii="Arial" w:hAnsi="Arial" w:cs="Arial"/>
                <w:sz w:val="20"/>
              </w:rPr>
            </w:pPr>
            <w:r w:rsidRPr="00E0328A">
              <w:rPr>
                <w:rFonts w:ascii="Arial" w:hAnsi="Arial" w:cs="Arial"/>
                <w:sz w:val="20"/>
              </w:rPr>
              <w:t>REGORAFENIB is indicated for the treatment of patients with:</w:t>
            </w:r>
          </w:p>
          <w:p w:rsidR="00E0328A" w:rsidRPr="00E0328A" w:rsidRDefault="00E0328A" w:rsidP="00E0328A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0328A">
              <w:rPr>
                <w:rFonts w:ascii="Arial" w:hAnsi="Arial" w:cs="Arial"/>
                <w:sz w:val="20"/>
                <w:szCs w:val="20"/>
              </w:rPr>
              <w:t>Metastatic colorectal cancer who have been previously treated with fluoropyrimidine-, oxaliplatin- and irinotecan-based chemotherapy, an anti-VEGF therapy, and, if RAS wild type, an anti-EGFR therapy.</w:t>
            </w:r>
          </w:p>
          <w:p w:rsidR="00E0328A" w:rsidRPr="00E0328A" w:rsidRDefault="00E0328A" w:rsidP="00E0328A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0328A">
              <w:rPr>
                <w:rFonts w:ascii="Arial" w:hAnsi="Arial" w:cs="Arial"/>
                <w:sz w:val="20"/>
                <w:szCs w:val="20"/>
              </w:rPr>
              <w:t>Unresectable or metastatic gastrointestinal stromal tumours who progressed on or are intolerant to prior treatment with imatinib and sunitinib.</w:t>
            </w:r>
          </w:p>
          <w:p w:rsidR="00E0328A" w:rsidRPr="00E0328A" w:rsidRDefault="00E0328A" w:rsidP="00E0328A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0328A">
              <w:rPr>
                <w:rFonts w:ascii="Arial" w:hAnsi="Arial" w:cs="Arial"/>
                <w:sz w:val="20"/>
                <w:szCs w:val="20"/>
              </w:rPr>
              <w:t>Hepatocellular carcinoma who have been previously treated with sorafenib.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3547D" w:rsidRPr="00E0328A" w:rsidRDefault="00975931" w:rsidP="0013547D">
            <w:pPr>
              <w:rPr>
                <w:rFonts w:ascii="Arial" w:hAnsi="Arial" w:cs="Arial"/>
                <w:sz w:val="20"/>
              </w:rPr>
            </w:pPr>
            <w:r w:rsidRPr="00E0328A">
              <w:rPr>
                <w:rFonts w:ascii="Arial" w:hAnsi="Arial" w:cs="Arial"/>
                <w:sz w:val="20"/>
              </w:rPr>
              <w:t>REGORAFENIB is not currently PBS listed.</w:t>
            </w:r>
          </w:p>
        </w:tc>
        <w:tc>
          <w:tcPr>
            <w:tcW w:w="3402" w:type="dxa"/>
          </w:tcPr>
          <w:p w:rsidR="0013547D" w:rsidRPr="00E0328A" w:rsidRDefault="0013547D" w:rsidP="0013547D">
            <w:pPr>
              <w:rPr>
                <w:rFonts w:ascii="Arial" w:hAnsi="Arial" w:cs="Arial"/>
                <w:color w:val="000000"/>
                <w:sz w:val="20"/>
              </w:rPr>
            </w:pPr>
            <w:r w:rsidRPr="00E0328A">
              <w:rPr>
                <w:rFonts w:ascii="Arial" w:hAnsi="Arial" w:cs="Arial"/>
                <w:color w:val="000000"/>
                <w:sz w:val="20"/>
              </w:rPr>
              <w:t xml:space="preserve">Resubmission to request an Authority Required (STREAMLINED) listing for the treatment of patients with unresectable </w:t>
            </w:r>
            <w:r w:rsidR="00EF6BE3" w:rsidRPr="00EF6BE3">
              <w:rPr>
                <w:rFonts w:ascii="Arial" w:hAnsi="Arial" w:cs="Arial"/>
                <w:color w:val="000000"/>
                <w:sz w:val="20"/>
              </w:rPr>
              <w:t xml:space="preserve">Hepatocellular carcinoma </w:t>
            </w:r>
            <w:r w:rsidR="00EF6BE3">
              <w:rPr>
                <w:rFonts w:ascii="Arial" w:hAnsi="Arial" w:cs="Arial"/>
                <w:color w:val="000000"/>
                <w:sz w:val="20"/>
              </w:rPr>
              <w:t>(</w:t>
            </w:r>
            <w:r w:rsidRPr="00E0328A">
              <w:rPr>
                <w:rFonts w:ascii="Arial" w:hAnsi="Arial" w:cs="Arial"/>
                <w:color w:val="000000"/>
                <w:sz w:val="20"/>
              </w:rPr>
              <w:t>HCC</w:t>
            </w:r>
            <w:r w:rsidR="00EF6BE3">
              <w:rPr>
                <w:rFonts w:ascii="Arial" w:hAnsi="Arial" w:cs="Arial"/>
                <w:color w:val="000000"/>
                <w:sz w:val="20"/>
              </w:rPr>
              <w:t>)</w:t>
            </w:r>
            <w:r w:rsidRPr="00E0328A">
              <w:rPr>
                <w:rFonts w:ascii="Arial" w:hAnsi="Arial" w:cs="Arial"/>
                <w:color w:val="000000"/>
                <w:sz w:val="20"/>
              </w:rPr>
              <w:t xml:space="preserve"> who have progressed on sorafenib treatment.</w:t>
            </w:r>
          </w:p>
        </w:tc>
        <w:tc>
          <w:tcPr>
            <w:tcW w:w="5245" w:type="dxa"/>
          </w:tcPr>
          <w:p w:rsidR="0013547D" w:rsidRDefault="00DF7278" w:rsidP="0013547D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>The PBAC did not recommend the listing of regorafenib for the treatment of hepatocellular carcinoma for patients who have progressed on first line treatment with a sorafenib on the basis that at the proposed price, the incremental cost-effectiveness ratio for regorafenib was unacceptably high.</w:t>
            </w:r>
          </w:p>
          <w:p w:rsidR="00E01701" w:rsidRPr="00DF7278" w:rsidRDefault="00E01701" w:rsidP="001354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547D" w:rsidRPr="00447CFB" w:rsidTr="007E146D">
        <w:trPr>
          <w:trHeight w:val="433"/>
        </w:trPr>
        <w:tc>
          <w:tcPr>
            <w:tcW w:w="2127" w:type="dxa"/>
            <w:vMerge/>
          </w:tcPr>
          <w:p w:rsidR="0013547D" w:rsidRPr="00447CFB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13547D" w:rsidRPr="00E0328A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3547D" w:rsidRPr="00E0328A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13547D" w:rsidRDefault="0013547D" w:rsidP="0013547D">
            <w:pPr>
              <w:pStyle w:val="ListBullet"/>
              <w:rPr>
                <w:color w:val="000000"/>
              </w:rPr>
            </w:pPr>
            <w:r w:rsidRPr="00E0328A">
              <w:t xml:space="preserve">Comparator: </w:t>
            </w:r>
            <w:r w:rsidR="00DF7278" w:rsidRPr="00E0328A">
              <w:rPr>
                <w:color w:val="000000"/>
              </w:rPr>
              <w:t>Best supportive care</w:t>
            </w:r>
            <w:r w:rsidR="00975931" w:rsidRPr="00E0328A">
              <w:rPr>
                <w:color w:val="000000"/>
              </w:rPr>
              <w:t xml:space="preserve"> (BSC)</w:t>
            </w:r>
            <w:r w:rsidR="00DF7278" w:rsidRPr="00E0328A">
              <w:rPr>
                <w:color w:val="000000"/>
              </w:rPr>
              <w:t>.</w:t>
            </w:r>
          </w:p>
          <w:p w:rsidR="00E01701" w:rsidRPr="00E0328A" w:rsidRDefault="00E01701" w:rsidP="0013547D">
            <w:pPr>
              <w:pStyle w:val="ListBullet"/>
            </w:pPr>
          </w:p>
        </w:tc>
        <w:tc>
          <w:tcPr>
            <w:tcW w:w="5245" w:type="dxa"/>
          </w:tcPr>
          <w:p w:rsidR="00DF7278" w:rsidRPr="00DF7278" w:rsidRDefault="00DF7278" w:rsidP="00DF7278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The PBAC previously accepted that </w:t>
            </w:r>
            <w:r w:rsidR="00975931">
              <w:rPr>
                <w:rFonts w:ascii="Arial" w:hAnsi="Arial" w:cs="Arial"/>
                <w:color w:val="000000"/>
                <w:sz w:val="20"/>
                <w:lang w:eastAsia="en-US"/>
              </w:rPr>
              <w:t>c</w:t>
            </w: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omparator </w:t>
            </w:r>
            <w:r w:rsidR="00975931">
              <w:rPr>
                <w:rFonts w:ascii="Arial" w:hAnsi="Arial" w:cs="Arial"/>
                <w:color w:val="000000"/>
                <w:sz w:val="20"/>
                <w:lang w:eastAsia="en-US"/>
              </w:rPr>
              <w:t>of</w:t>
            </w: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BSC.</w:t>
            </w:r>
          </w:p>
          <w:p w:rsidR="0013547D" w:rsidRPr="00DF7278" w:rsidRDefault="0013547D" w:rsidP="0013547D">
            <w:pPr>
              <w:tabs>
                <w:tab w:val="left" w:pos="1457"/>
              </w:tabs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13547D" w:rsidRPr="00447CFB" w:rsidTr="007E146D">
        <w:trPr>
          <w:trHeight w:val="433"/>
        </w:trPr>
        <w:tc>
          <w:tcPr>
            <w:tcW w:w="2127" w:type="dxa"/>
            <w:vMerge/>
          </w:tcPr>
          <w:p w:rsidR="0013547D" w:rsidRPr="00447CFB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13547D" w:rsidRPr="00E0328A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3547D" w:rsidRPr="00E0328A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13547D" w:rsidRPr="00E0328A" w:rsidRDefault="0013547D" w:rsidP="00975931">
            <w:pPr>
              <w:pStyle w:val="ListBullet"/>
            </w:pPr>
            <w:r w:rsidRPr="00E0328A">
              <w:t xml:space="preserve">Clinical claim: </w:t>
            </w:r>
            <w:r w:rsidR="00DF7278" w:rsidRPr="00E0328A">
              <w:rPr>
                <w:color w:val="000000"/>
              </w:rPr>
              <w:t xml:space="preserve">superior to BSC, providing a statistically significant and clinically significant increase in </w:t>
            </w:r>
            <w:r w:rsidR="00975931" w:rsidRPr="00E0328A">
              <w:rPr>
                <w:color w:val="000000"/>
              </w:rPr>
              <w:t>overall survival</w:t>
            </w:r>
            <w:r w:rsidR="00DF7278" w:rsidRPr="00E0328A">
              <w:rPr>
                <w:color w:val="000000"/>
              </w:rPr>
              <w:t xml:space="preserve"> but a higher incidence of adverse events.</w:t>
            </w:r>
          </w:p>
        </w:tc>
        <w:tc>
          <w:tcPr>
            <w:tcW w:w="5245" w:type="dxa"/>
          </w:tcPr>
          <w:p w:rsidR="00DF7278" w:rsidRPr="00DF7278" w:rsidRDefault="00DF7278" w:rsidP="00DF7278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>The PBAC considered that regorafenib provided a modest survival benefit in some patients, however treatment was also associated with substantial toxicity.</w:t>
            </w:r>
          </w:p>
          <w:p w:rsidR="0013547D" w:rsidRPr="00DF7278" w:rsidRDefault="0013547D" w:rsidP="001354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547D" w:rsidRPr="00447CFB" w:rsidTr="007E146D">
        <w:trPr>
          <w:trHeight w:val="433"/>
        </w:trPr>
        <w:tc>
          <w:tcPr>
            <w:tcW w:w="2127" w:type="dxa"/>
            <w:vMerge/>
          </w:tcPr>
          <w:p w:rsidR="0013547D" w:rsidRPr="00447CFB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13547D" w:rsidRPr="00E0328A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3547D" w:rsidRPr="00E0328A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13547D" w:rsidRPr="00E0328A" w:rsidRDefault="0013547D" w:rsidP="00975931">
            <w:pPr>
              <w:pStyle w:val="ListBullet"/>
            </w:pPr>
            <w:r w:rsidRPr="00E0328A">
              <w:t xml:space="preserve">Economic claim: </w:t>
            </w:r>
            <w:r w:rsidR="00DF7278" w:rsidRPr="00E0328A">
              <w:rPr>
                <w:color w:val="000000"/>
              </w:rPr>
              <w:t xml:space="preserve">cost-effectiveness analysis compared with </w:t>
            </w:r>
            <w:r w:rsidR="00975931" w:rsidRPr="00E0328A">
              <w:rPr>
                <w:color w:val="000000"/>
              </w:rPr>
              <w:t>BSC</w:t>
            </w:r>
            <w:r w:rsidR="00DF7278" w:rsidRPr="00E0328A">
              <w:rPr>
                <w:color w:val="000000"/>
              </w:rPr>
              <w:t>.</w:t>
            </w:r>
          </w:p>
        </w:tc>
        <w:tc>
          <w:tcPr>
            <w:tcW w:w="5245" w:type="dxa"/>
          </w:tcPr>
          <w:p w:rsidR="00DF7278" w:rsidRPr="00DF7278" w:rsidRDefault="00DF7278" w:rsidP="00DF7278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>The PBAC noted that the economic analysis presented in the resubmission addressed the majority of the PBAC’s concerns, with the exception of the point of extrapolation.</w:t>
            </w:r>
          </w:p>
          <w:p w:rsidR="00DF7278" w:rsidRPr="00DF7278" w:rsidRDefault="00DF7278" w:rsidP="00DF7278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13547D" w:rsidRDefault="00DF7278" w:rsidP="00DF7278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F7278">
              <w:rPr>
                <w:rFonts w:ascii="Arial" w:hAnsi="Arial" w:cs="Arial"/>
                <w:color w:val="000000"/>
                <w:sz w:val="20"/>
                <w:lang w:eastAsia="en-US"/>
              </w:rPr>
              <w:t>The PBAC considered that at the proposed price, the incremental cost-effectiveness ratio for regorafenib was unacceptably high.</w:t>
            </w:r>
          </w:p>
          <w:p w:rsidR="00E01701" w:rsidRPr="00DF7278" w:rsidRDefault="00E01701" w:rsidP="00DF7278">
            <w:pPr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13547D" w:rsidRPr="00447CFB" w:rsidTr="00A90705">
        <w:trPr>
          <w:trHeight w:val="2221"/>
        </w:trPr>
        <w:tc>
          <w:tcPr>
            <w:tcW w:w="2127" w:type="dxa"/>
            <w:vMerge/>
          </w:tcPr>
          <w:p w:rsidR="0013547D" w:rsidRPr="00447CFB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:rsidR="0013547D" w:rsidRPr="00447CFB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3547D" w:rsidRPr="00447CFB" w:rsidRDefault="0013547D" w:rsidP="00135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13547D" w:rsidRPr="00DF7278" w:rsidRDefault="0013547D" w:rsidP="0013547D">
            <w:pPr>
              <w:pStyle w:val="ListBullet"/>
            </w:pPr>
            <w:r w:rsidRPr="00DF7278">
              <w:t>Sponsor’s comments:</w:t>
            </w:r>
          </w:p>
        </w:tc>
        <w:tc>
          <w:tcPr>
            <w:tcW w:w="5245" w:type="dxa"/>
          </w:tcPr>
          <w:p w:rsidR="0054618C" w:rsidRDefault="0054618C" w:rsidP="0054618C">
            <w:pPr>
              <w:jc w:val="both"/>
              <w:rPr>
                <w:rFonts w:ascii="Arial" w:hAnsi="Arial" w:cs="Arial"/>
                <w:sz w:val="20"/>
              </w:rPr>
            </w:pPr>
            <w:r w:rsidRPr="0054618C">
              <w:rPr>
                <w:rFonts w:ascii="Arial" w:hAnsi="Arial" w:cs="Arial"/>
                <w:sz w:val="20"/>
              </w:rPr>
              <w:t>Bayer has proposed an ICER within the 45,000-75,000 ICER band, which we consider appropriate for an originally designated orphan population and recognized unmet need.</w:t>
            </w:r>
          </w:p>
          <w:p w:rsidR="0054618C" w:rsidRPr="0054618C" w:rsidRDefault="0054618C" w:rsidP="0054618C">
            <w:pPr>
              <w:jc w:val="both"/>
              <w:rPr>
                <w:rFonts w:ascii="Arial" w:hAnsi="Arial" w:cs="Arial"/>
                <w:sz w:val="20"/>
              </w:rPr>
            </w:pPr>
          </w:p>
          <w:p w:rsidR="0013547D" w:rsidRPr="00DF7278" w:rsidRDefault="0054618C" w:rsidP="0054618C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54618C">
              <w:rPr>
                <w:rFonts w:ascii="Arial" w:hAnsi="Arial" w:cs="Arial"/>
                <w:sz w:val="20"/>
              </w:rPr>
              <w:t>Bayer also maintains its proposed restriction is consistent with the current available evidence and HTA principles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78027D" w:rsidRPr="0010394D" w:rsidRDefault="0078027D" w:rsidP="005948E2">
      <w:pPr>
        <w:pStyle w:val="Title"/>
        <w:jc w:val="left"/>
      </w:pPr>
    </w:p>
    <w:sectPr w:rsidR="0078027D" w:rsidRPr="0010394D" w:rsidSect="00853C13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C9" w:rsidRDefault="003419C9">
      <w:r>
        <w:separator/>
      </w:r>
    </w:p>
  </w:endnote>
  <w:endnote w:type="continuationSeparator" w:id="0">
    <w:p w:rsidR="003419C9" w:rsidRDefault="0034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C6" w:rsidRDefault="000805C6" w:rsidP="000805C6">
    <w:pPr>
      <w:pStyle w:val="Footer"/>
      <w:jc w:val="right"/>
    </w:pPr>
  </w:p>
  <w:p w:rsidR="000805C6" w:rsidRPr="000805C6" w:rsidRDefault="000805C6" w:rsidP="000805C6">
    <w:pPr>
      <w:pStyle w:val="Footer"/>
      <w:jc w:val="right"/>
      <w:rPr>
        <w:rFonts w:ascii="Arial" w:hAnsi="Arial" w:cs="Arial"/>
        <w:sz w:val="22"/>
      </w:rPr>
    </w:pPr>
    <w:r w:rsidRPr="000805C6">
      <w:rPr>
        <w:rFonts w:ascii="Arial" w:hAnsi="Arial" w:cs="Arial"/>
        <w:sz w:val="22"/>
      </w:rPr>
      <w:fldChar w:fldCharType="begin"/>
    </w:r>
    <w:r w:rsidRPr="000805C6">
      <w:rPr>
        <w:rFonts w:ascii="Arial" w:hAnsi="Arial" w:cs="Arial"/>
        <w:sz w:val="22"/>
      </w:rPr>
      <w:instrText xml:space="preserve"> PAGE   \* MERGEFORMAT </w:instrText>
    </w:r>
    <w:r w:rsidRPr="000805C6">
      <w:rPr>
        <w:rFonts w:ascii="Arial" w:hAnsi="Arial" w:cs="Arial"/>
        <w:sz w:val="22"/>
      </w:rPr>
      <w:fldChar w:fldCharType="separate"/>
    </w:r>
    <w:r w:rsidR="0037588D">
      <w:rPr>
        <w:rFonts w:ascii="Arial" w:hAnsi="Arial" w:cs="Arial"/>
        <w:noProof/>
        <w:sz w:val="22"/>
      </w:rPr>
      <w:t>2</w:t>
    </w:r>
    <w:r w:rsidRPr="000805C6">
      <w:rPr>
        <w:rFonts w:ascii="Arial" w:hAnsi="Arial" w:cs="Arial"/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C6" w:rsidRDefault="000805C6">
    <w:pPr>
      <w:pStyle w:val="Footer"/>
      <w:jc w:val="right"/>
    </w:pPr>
  </w:p>
  <w:p w:rsidR="000805C6" w:rsidRPr="000805C6" w:rsidRDefault="000805C6">
    <w:pPr>
      <w:pStyle w:val="Footer"/>
      <w:jc w:val="right"/>
      <w:rPr>
        <w:rFonts w:ascii="Arial" w:hAnsi="Arial" w:cs="Arial"/>
        <w:sz w:val="22"/>
      </w:rPr>
    </w:pPr>
    <w:r w:rsidRPr="000805C6">
      <w:rPr>
        <w:rFonts w:ascii="Arial" w:hAnsi="Arial" w:cs="Arial"/>
        <w:sz w:val="22"/>
      </w:rPr>
      <w:fldChar w:fldCharType="begin"/>
    </w:r>
    <w:r w:rsidRPr="000805C6">
      <w:rPr>
        <w:rFonts w:ascii="Arial" w:hAnsi="Arial" w:cs="Arial"/>
        <w:sz w:val="22"/>
      </w:rPr>
      <w:instrText xml:space="preserve"> PAGE   \* MERGEFORMAT </w:instrText>
    </w:r>
    <w:r w:rsidRPr="000805C6">
      <w:rPr>
        <w:rFonts w:ascii="Arial" w:hAnsi="Arial" w:cs="Arial"/>
        <w:sz w:val="22"/>
      </w:rPr>
      <w:fldChar w:fldCharType="separate"/>
    </w:r>
    <w:r w:rsidR="00853C13">
      <w:rPr>
        <w:rFonts w:ascii="Arial" w:hAnsi="Arial" w:cs="Arial"/>
        <w:noProof/>
        <w:sz w:val="22"/>
      </w:rPr>
      <w:t>1</w:t>
    </w:r>
    <w:r w:rsidRPr="000805C6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C9" w:rsidRDefault="003419C9">
      <w:r>
        <w:separator/>
      </w:r>
    </w:p>
  </w:footnote>
  <w:footnote w:type="continuationSeparator" w:id="0">
    <w:p w:rsidR="003419C9" w:rsidRDefault="0034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C6" w:rsidRDefault="0042091B" w:rsidP="000805C6">
    <w:pPr>
      <w:pStyle w:val="Head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NOVEMBER</w:t>
    </w:r>
    <w:r w:rsidR="000805C6">
      <w:rPr>
        <w:rFonts w:ascii="Arial" w:hAnsi="Arial" w:cs="Arial"/>
        <w:b/>
        <w:sz w:val="20"/>
      </w:rPr>
      <w:t xml:space="preserve"> 201</w:t>
    </w:r>
    <w:r w:rsidR="00011B57">
      <w:rPr>
        <w:rFonts w:ascii="Arial" w:hAnsi="Arial" w:cs="Arial"/>
        <w:b/>
        <w:sz w:val="20"/>
      </w:rPr>
      <w:t xml:space="preserve">8 </w:t>
    </w:r>
    <w:r w:rsidR="000805C6">
      <w:rPr>
        <w:rFonts w:ascii="Arial" w:hAnsi="Arial" w:cs="Arial"/>
        <w:b/>
        <w:sz w:val="20"/>
      </w:rPr>
      <w:t>PBAC OUTCOMES – SUBSEQUENT</w:t>
    </w:r>
    <w:r w:rsidR="000805C6" w:rsidRPr="004C071C">
      <w:rPr>
        <w:rFonts w:ascii="Arial" w:hAnsi="Arial" w:cs="Arial"/>
        <w:b/>
        <w:sz w:val="20"/>
      </w:rPr>
      <w:t xml:space="preserve"> DECISIONS NOT TO RECOMMEND</w:t>
    </w:r>
  </w:p>
  <w:p w:rsidR="000805C6" w:rsidRPr="004C071C" w:rsidRDefault="000805C6" w:rsidP="000805C6">
    <w:pPr>
      <w:pStyle w:val="Header"/>
      <w:jc w:val="center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75" w:rsidRDefault="00100024" w:rsidP="00613975">
    <w:pPr>
      <w:pStyle w:val="Head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NOVEMBER 2017</w:t>
    </w:r>
    <w:r w:rsidR="00A24F2E" w:rsidRPr="00A24F2E">
      <w:rPr>
        <w:rFonts w:ascii="Arial" w:hAnsi="Arial" w:cs="Arial"/>
        <w:b/>
        <w:sz w:val="20"/>
      </w:rPr>
      <w:t xml:space="preserve"> PBAC MEETING </w:t>
    </w:r>
    <w:r w:rsidR="000805C6">
      <w:rPr>
        <w:rFonts w:ascii="Arial" w:hAnsi="Arial" w:cs="Arial"/>
        <w:b/>
        <w:sz w:val="20"/>
      </w:rPr>
      <w:t>PBAC OUTCOMES – SUBSEQUENT</w:t>
    </w:r>
    <w:r w:rsidR="00613975" w:rsidRPr="004C071C">
      <w:rPr>
        <w:rFonts w:ascii="Arial" w:hAnsi="Arial" w:cs="Arial"/>
        <w:b/>
        <w:sz w:val="20"/>
      </w:rPr>
      <w:t xml:space="preserve"> DECISION</w:t>
    </w:r>
    <w:r w:rsidR="00B10521" w:rsidRPr="004C071C">
      <w:rPr>
        <w:rFonts w:ascii="Arial" w:hAnsi="Arial" w:cs="Arial"/>
        <w:b/>
        <w:sz w:val="20"/>
      </w:rPr>
      <w:t>S</w:t>
    </w:r>
    <w:r w:rsidR="00613975" w:rsidRPr="004C071C">
      <w:rPr>
        <w:rFonts w:ascii="Arial" w:hAnsi="Arial" w:cs="Arial"/>
        <w:b/>
        <w:sz w:val="20"/>
      </w:rPr>
      <w:t xml:space="preserve"> NOT TO RECOMMEND</w:t>
    </w:r>
  </w:p>
  <w:p w:rsidR="000805C6" w:rsidRPr="004C071C" w:rsidRDefault="000805C6" w:rsidP="00613975">
    <w:pPr>
      <w:pStyle w:val="Header"/>
      <w:jc w:val="center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420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F48C7"/>
    <w:multiLevelType w:val="multilevel"/>
    <w:tmpl w:val="8E7CCC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A7F97"/>
    <w:multiLevelType w:val="hybridMultilevel"/>
    <w:tmpl w:val="3F96B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2E10"/>
    <w:multiLevelType w:val="hybridMultilevel"/>
    <w:tmpl w:val="A380E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DE7"/>
    <w:multiLevelType w:val="hybridMultilevel"/>
    <w:tmpl w:val="C78E1162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851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1CB1"/>
    <w:multiLevelType w:val="hybridMultilevel"/>
    <w:tmpl w:val="CDC21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B3FC9"/>
    <w:multiLevelType w:val="hybridMultilevel"/>
    <w:tmpl w:val="753CD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E6825"/>
    <w:multiLevelType w:val="multilevel"/>
    <w:tmpl w:val="3AE4C8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E93696D"/>
    <w:multiLevelType w:val="hybridMultilevel"/>
    <w:tmpl w:val="6F4A0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45B9D"/>
    <w:multiLevelType w:val="hybridMultilevel"/>
    <w:tmpl w:val="B6CA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B3949"/>
    <w:multiLevelType w:val="hybridMultilevel"/>
    <w:tmpl w:val="CFBA9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2F5D"/>
    <w:multiLevelType w:val="hybridMultilevel"/>
    <w:tmpl w:val="9048B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73860"/>
    <w:multiLevelType w:val="hybridMultilevel"/>
    <w:tmpl w:val="F12A7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F2B"/>
    <w:multiLevelType w:val="hybridMultilevel"/>
    <w:tmpl w:val="4D122A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D3C83"/>
    <w:multiLevelType w:val="hybridMultilevel"/>
    <w:tmpl w:val="616E5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14F6"/>
    <w:multiLevelType w:val="hybridMultilevel"/>
    <w:tmpl w:val="5E1A69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A41D6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B83544"/>
    <w:multiLevelType w:val="hybridMultilevel"/>
    <w:tmpl w:val="4AA4D96A"/>
    <w:lvl w:ilvl="0" w:tplc="0C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8" w15:restartNumberingAfterBreak="0">
    <w:nsid w:val="784D033C"/>
    <w:multiLevelType w:val="multilevel"/>
    <w:tmpl w:val="F942F08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3A2D42"/>
    <w:multiLevelType w:val="hybridMultilevel"/>
    <w:tmpl w:val="F48A1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94AEE"/>
    <w:multiLevelType w:val="hybridMultilevel"/>
    <w:tmpl w:val="C69AA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3"/>
  </w:num>
  <w:num w:numId="5">
    <w:abstractNumId w:val="4"/>
  </w:num>
  <w:num w:numId="6">
    <w:abstractNumId w:val="18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9"/>
  </w:num>
  <w:num w:numId="13">
    <w:abstractNumId w:val="20"/>
  </w:num>
  <w:num w:numId="14">
    <w:abstractNumId w:val="7"/>
  </w:num>
  <w:num w:numId="15">
    <w:abstractNumId w:val="1"/>
  </w:num>
  <w:num w:numId="16">
    <w:abstractNumId w:val="8"/>
  </w:num>
  <w:num w:numId="17">
    <w:abstractNumId w:val="2"/>
  </w:num>
  <w:num w:numId="18">
    <w:abstractNumId w:val="14"/>
  </w:num>
  <w:num w:numId="19">
    <w:abstractNumId w:val="17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7D"/>
    <w:rsid w:val="0000028A"/>
    <w:rsid w:val="000057CB"/>
    <w:rsid w:val="0001162E"/>
    <w:rsid w:val="00011B57"/>
    <w:rsid w:val="00014389"/>
    <w:rsid w:val="00016ABD"/>
    <w:rsid w:val="00021AAE"/>
    <w:rsid w:val="000239AB"/>
    <w:rsid w:val="00024634"/>
    <w:rsid w:val="00024F1C"/>
    <w:rsid w:val="00030555"/>
    <w:rsid w:val="00031E49"/>
    <w:rsid w:val="00046D30"/>
    <w:rsid w:val="00060BDC"/>
    <w:rsid w:val="00062B17"/>
    <w:rsid w:val="000632B7"/>
    <w:rsid w:val="00063F01"/>
    <w:rsid w:val="000703F3"/>
    <w:rsid w:val="000805C6"/>
    <w:rsid w:val="0009305C"/>
    <w:rsid w:val="00096AEE"/>
    <w:rsid w:val="000B4313"/>
    <w:rsid w:val="000B6738"/>
    <w:rsid w:val="000C4095"/>
    <w:rsid w:val="000D1304"/>
    <w:rsid w:val="000D3717"/>
    <w:rsid w:val="000E406F"/>
    <w:rsid w:val="000E52C4"/>
    <w:rsid w:val="00100024"/>
    <w:rsid w:val="0010394D"/>
    <w:rsid w:val="001047FA"/>
    <w:rsid w:val="00120488"/>
    <w:rsid w:val="001263F7"/>
    <w:rsid w:val="0013547D"/>
    <w:rsid w:val="00144E78"/>
    <w:rsid w:val="00146698"/>
    <w:rsid w:val="00167BBC"/>
    <w:rsid w:val="00170906"/>
    <w:rsid w:val="001810B2"/>
    <w:rsid w:val="001C0908"/>
    <w:rsid w:val="001D38D0"/>
    <w:rsid w:val="001E3A3F"/>
    <w:rsid w:val="001F5344"/>
    <w:rsid w:val="002007BA"/>
    <w:rsid w:val="00204DB4"/>
    <w:rsid w:val="002075FB"/>
    <w:rsid w:val="00220228"/>
    <w:rsid w:val="00220C3F"/>
    <w:rsid w:val="00223C4D"/>
    <w:rsid w:val="00235E77"/>
    <w:rsid w:val="00237031"/>
    <w:rsid w:val="00241E9E"/>
    <w:rsid w:val="002440EA"/>
    <w:rsid w:val="002460D4"/>
    <w:rsid w:val="00255313"/>
    <w:rsid w:val="00255AE8"/>
    <w:rsid w:val="00256ACE"/>
    <w:rsid w:val="00261171"/>
    <w:rsid w:val="002743B5"/>
    <w:rsid w:val="00283041"/>
    <w:rsid w:val="002861D6"/>
    <w:rsid w:val="00287BC5"/>
    <w:rsid w:val="002951DC"/>
    <w:rsid w:val="00297A0B"/>
    <w:rsid w:val="002A1CF2"/>
    <w:rsid w:val="002A3C25"/>
    <w:rsid w:val="002A42C5"/>
    <w:rsid w:val="002A46E6"/>
    <w:rsid w:val="002A5152"/>
    <w:rsid w:val="002A6D25"/>
    <w:rsid w:val="002A7FDE"/>
    <w:rsid w:val="002D5215"/>
    <w:rsid w:val="002D70FB"/>
    <w:rsid w:val="002E5B33"/>
    <w:rsid w:val="002F0F71"/>
    <w:rsid w:val="002F5086"/>
    <w:rsid w:val="002F62A6"/>
    <w:rsid w:val="00302B1F"/>
    <w:rsid w:val="00303527"/>
    <w:rsid w:val="00305656"/>
    <w:rsid w:val="003117DA"/>
    <w:rsid w:val="00312342"/>
    <w:rsid w:val="00312E87"/>
    <w:rsid w:val="00320F76"/>
    <w:rsid w:val="00322CA5"/>
    <w:rsid w:val="00324853"/>
    <w:rsid w:val="003335F7"/>
    <w:rsid w:val="00337EC3"/>
    <w:rsid w:val="003415EF"/>
    <w:rsid w:val="003419C9"/>
    <w:rsid w:val="00344F7D"/>
    <w:rsid w:val="00347546"/>
    <w:rsid w:val="00367CA3"/>
    <w:rsid w:val="0037588D"/>
    <w:rsid w:val="00380699"/>
    <w:rsid w:val="0039594A"/>
    <w:rsid w:val="0039641E"/>
    <w:rsid w:val="003B6CFA"/>
    <w:rsid w:val="003C3492"/>
    <w:rsid w:val="003E2DEC"/>
    <w:rsid w:val="003E3C69"/>
    <w:rsid w:val="003E5ACC"/>
    <w:rsid w:val="003F12A1"/>
    <w:rsid w:val="003F7763"/>
    <w:rsid w:val="00401F5B"/>
    <w:rsid w:val="00403549"/>
    <w:rsid w:val="004045D0"/>
    <w:rsid w:val="004074CD"/>
    <w:rsid w:val="00416C9D"/>
    <w:rsid w:val="0042091B"/>
    <w:rsid w:val="00422B04"/>
    <w:rsid w:val="00434AD2"/>
    <w:rsid w:val="00434AEF"/>
    <w:rsid w:val="0043706A"/>
    <w:rsid w:val="00446F57"/>
    <w:rsid w:val="0044777F"/>
    <w:rsid w:val="00447CFB"/>
    <w:rsid w:val="004568DD"/>
    <w:rsid w:val="00467522"/>
    <w:rsid w:val="00475539"/>
    <w:rsid w:val="00477C5E"/>
    <w:rsid w:val="004869E4"/>
    <w:rsid w:val="004874F1"/>
    <w:rsid w:val="00490C42"/>
    <w:rsid w:val="0049673E"/>
    <w:rsid w:val="004968F4"/>
    <w:rsid w:val="004A4FC2"/>
    <w:rsid w:val="004A7506"/>
    <w:rsid w:val="004A76AD"/>
    <w:rsid w:val="004B42E8"/>
    <w:rsid w:val="004C071C"/>
    <w:rsid w:val="004C0A09"/>
    <w:rsid w:val="004C3700"/>
    <w:rsid w:val="004D08BF"/>
    <w:rsid w:val="004D2DFC"/>
    <w:rsid w:val="004D3707"/>
    <w:rsid w:val="004E4BB3"/>
    <w:rsid w:val="004E58AE"/>
    <w:rsid w:val="004E61E5"/>
    <w:rsid w:val="004E7F92"/>
    <w:rsid w:val="004F22AF"/>
    <w:rsid w:val="004F53A2"/>
    <w:rsid w:val="00503F31"/>
    <w:rsid w:val="005060C3"/>
    <w:rsid w:val="00510EEE"/>
    <w:rsid w:val="005156A1"/>
    <w:rsid w:val="0051671E"/>
    <w:rsid w:val="00523F16"/>
    <w:rsid w:val="00524927"/>
    <w:rsid w:val="00526875"/>
    <w:rsid w:val="00531FFC"/>
    <w:rsid w:val="005334F6"/>
    <w:rsid w:val="00533EC6"/>
    <w:rsid w:val="0054618C"/>
    <w:rsid w:val="00551121"/>
    <w:rsid w:val="00556A91"/>
    <w:rsid w:val="0056006F"/>
    <w:rsid w:val="00565922"/>
    <w:rsid w:val="00566859"/>
    <w:rsid w:val="00575B97"/>
    <w:rsid w:val="00583A1F"/>
    <w:rsid w:val="00591511"/>
    <w:rsid w:val="005948E2"/>
    <w:rsid w:val="005A4700"/>
    <w:rsid w:val="005B07F6"/>
    <w:rsid w:val="005B1359"/>
    <w:rsid w:val="005C51C0"/>
    <w:rsid w:val="005C529C"/>
    <w:rsid w:val="005C583B"/>
    <w:rsid w:val="005C63E0"/>
    <w:rsid w:val="005D0350"/>
    <w:rsid w:val="005D0C2F"/>
    <w:rsid w:val="005E4432"/>
    <w:rsid w:val="005E6A00"/>
    <w:rsid w:val="005E7C18"/>
    <w:rsid w:val="005F5AFB"/>
    <w:rsid w:val="00606B1D"/>
    <w:rsid w:val="00613975"/>
    <w:rsid w:val="0062060A"/>
    <w:rsid w:val="006227C5"/>
    <w:rsid w:val="00636B27"/>
    <w:rsid w:val="0063770E"/>
    <w:rsid w:val="006378CF"/>
    <w:rsid w:val="00655D5C"/>
    <w:rsid w:val="00670168"/>
    <w:rsid w:val="00674FEC"/>
    <w:rsid w:val="00680915"/>
    <w:rsid w:val="00686972"/>
    <w:rsid w:val="00690AA4"/>
    <w:rsid w:val="00695D28"/>
    <w:rsid w:val="006A4BE8"/>
    <w:rsid w:val="006B1423"/>
    <w:rsid w:val="006C15C5"/>
    <w:rsid w:val="006C196C"/>
    <w:rsid w:val="006C1CD8"/>
    <w:rsid w:val="006E0C7B"/>
    <w:rsid w:val="006E4FBA"/>
    <w:rsid w:val="006F3F91"/>
    <w:rsid w:val="006F40D1"/>
    <w:rsid w:val="00704ABF"/>
    <w:rsid w:val="00704E74"/>
    <w:rsid w:val="00720097"/>
    <w:rsid w:val="00735D52"/>
    <w:rsid w:val="00743998"/>
    <w:rsid w:val="00751128"/>
    <w:rsid w:val="0075364D"/>
    <w:rsid w:val="007572F6"/>
    <w:rsid w:val="007605AB"/>
    <w:rsid w:val="0076473F"/>
    <w:rsid w:val="00770B47"/>
    <w:rsid w:val="00777395"/>
    <w:rsid w:val="0078027D"/>
    <w:rsid w:val="00783EF0"/>
    <w:rsid w:val="00784382"/>
    <w:rsid w:val="0079164A"/>
    <w:rsid w:val="007A29FA"/>
    <w:rsid w:val="007A361E"/>
    <w:rsid w:val="007C0EDE"/>
    <w:rsid w:val="007D085A"/>
    <w:rsid w:val="007D44F0"/>
    <w:rsid w:val="007E146D"/>
    <w:rsid w:val="007F4D1F"/>
    <w:rsid w:val="007F78CC"/>
    <w:rsid w:val="007F7F08"/>
    <w:rsid w:val="0080031A"/>
    <w:rsid w:val="0080046E"/>
    <w:rsid w:val="008068F2"/>
    <w:rsid w:val="00815D6B"/>
    <w:rsid w:val="0081702A"/>
    <w:rsid w:val="00821E75"/>
    <w:rsid w:val="00826000"/>
    <w:rsid w:val="00842F8C"/>
    <w:rsid w:val="00850073"/>
    <w:rsid w:val="00853C13"/>
    <w:rsid w:val="00855CF7"/>
    <w:rsid w:val="0086299E"/>
    <w:rsid w:val="0086603E"/>
    <w:rsid w:val="00883077"/>
    <w:rsid w:val="0089118B"/>
    <w:rsid w:val="008965DE"/>
    <w:rsid w:val="008A5929"/>
    <w:rsid w:val="008B0E22"/>
    <w:rsid w:val="008B7160"/>
    <w:rsid w:val="008C185A"/>
    <w:rsid w:val="008C6E23"/>
    <w:rsid w:val="008D0CCA"/>
    <w:rsid w:val="008D676E"/>
    <w:rsid w:val="008D72BA"/>
    <w:rsid w:val="008E0965"/>
    <w:rsid w:val="009014E2"/>
    <w:rsid w:val="009044AF"/>
    <w:rsid w:val="009224BE"/>
    <w:rsid w:val="00924932"/>
    <w:rsid w:val="00926BBF"/>
    <w:rsid w:val="0093171D"/>
    <w:rsid w:val="00934AD5"/>
    <w:rsid w:val="00947987"/>
    <w:rsid w:val="00957F9F"/>
    <w:rsid w:val="00972B1B"/>
    <w:rsid w:val="00975931"/>
    <w:rsid w:val="0098248A"/>
    <w:rsid w:val="009903EF"/>
    <w:rsid w:val="00991AFC"/>
    <w:rsid w:val="009967A2"/>
    <w:rsid w:val="009A6515"/>
    <w:rsid w:val="009B2F04"/>
    <w:rsid w:val="009B6BB1"/>
    <w:rsid w:val="009B6E95"/>
    <w:rsid w:val="009B735A"/>
    <w:rsid w:val="009B7CBE"/>
    <w:rsid w:val="009C73A4"/>
    <w:rsid w:val="009C7FD0"/>
    <w:rsid w:val="009D1D30"/>
    <w:rsid w:val="009E299C"/>
    <w:rsid w:val="009E6539"/>
    <w:rsid w:val="009F0ED6"/>
    <w:rsid w:val="009F42BE"/>
    <w:rsid w:val="009F5E7E"/>
    <w:rsid w:val="00A017D1"/>
    <w:rsid w:val="00A02424"/>
    <w:rsid w:val="00A07C14"/>
    <w:rsid w:val="00A24F2E"/>
    <w:rsid w:val="00A26805"/>
    <w:rsid w:val="00A42D88"/>
    <w:rsid w:val="00A54D11"/>
    <w:rsid w:val="00A55002"/>
    <w:rsid w:val="00A56ED7"/>
    <w:rsid w:val="00A62091"/>
    <w:rsid w:val="00A62A65"/>
    <w:rsid w:val="00A62D7E"/>
    <w:rsid w:val="00A706C5"/>
    <w:rsid w:val="00A71CF4"/>
    <w:rsid w:val="00A74BD3"/>
    <w:rsid w:val="00A90705"/>
    <w:rsid w:val="00A90F44"/>
    <w:rsid w:val="00A913CA"/>
    <w:rsid w:val="00AD3357"/>
    <w:rsid w:val="00AE346B"/>
    <w:rsid w:val="00AE3F52"/>
    <w:rsid w:val="00AF4A3C"/>
    <w:rsid w:val="00B01740"/>
    <w:rsid w:val="00B10521"/>
    <w:rsid w:val="00B216CD"/>
    <w:rsid w:val="00B26FF7"/>
    <w:rsid w:val="00B31015"/>
    <w:rsid w:val="00B312A2"/>
    <w:rsid w:val="00B43E46"/>
    <w:rsid w:val="00B44CA8"/>
    <w:rsid w:val="00B45F4E"/>
    <w:rsid w:val="00B77A97"/>
    <w:rsid w:val="00B80FE3"/>
    <w:rsid w:val="00B93B4A"/>
    <w:rsid w:val="00BA3A69"/>
    <w:rsid w:val="00BC0474"/>
    <w:rsid w:val="00BC1FB7"/>
    <w:rsid w:val="00BC3F63"/>
    <w:rsid w:val="00BC55C3"/>
    <w:rsid w:val="00BD2203"/>
    <w:rsid w:val="00BD31C0"/>
    <w:rsid w:val="00BD6EBF"/>
    <w:rsid w:val="00BE58B8"/>
    <w:rsid w:val="00BE7663"/>
    <w:rsid w:val="00BE7D88"/>
    <w:rsid w:val="00C110F0"/>
    <w:rsid w:val="00C16D96"/>
    <w:rsid w:val="00C2561B"/>
    <w:rsid w:val="00C26A1C"/>
    <w:rsid w:val="00C333D1"/>
    <w:rsid w:val="00C355A7"/>
    <w:rsid w:val="00C4326C"/>
    <w:rsid w:val="00C44740"/>
    <w:rsid w:val="00C44762"/>
    <w:rsid w:val="00C464A5"/>
    <w:rsid w:val="00C822F1"/>
    <w:rsid w:val="00C86595"/>
    <w:rsid w:val="00C9315F"/>
    <w:rsid w:val="00C9450F"/>
    <w:rsid w:val="00C94D2C"/>
    <w:rsid w:val="00CA0C65"/>
    <w:rsid w:val="00CA2B5C"/>
    <w:rsid w:val="00CA7CB3"/>
    <w:rsid w:val="00CB2370"/>
    <w:rsid w:val="00CD3345"/>
    <w:rsid w:val="00CE3D26"/>
    <w:rsid w:val="00CE3E9F"/>
    <w:rsid w:val="00D041FE"/>
    <w:rsid w:val="00D06895"/>
    <w:rsid w:val="00D230A2"/>
    <w:rsid w:val="00D3127D"/>
    <w:rsid w:val="00D40601"/>
    <w:rsid w:val="00D4464D"/>
    <w:rsid w:val="00D4717B"/>
    <w:rsid w:val="00D5330C"/>
    <w:rsid w:val="00D61D0B"/>
    <w:rsid w:val="00D641C2"/>
    <w:rsid w:val="00D65DDC"/>
    <w:rsid w:val="00D70CFE"/>
    <w:rsid w:val="00D85166"/>
    <w:rsid w:val="00D901F8"/>
    <w:rsid w:val="00D905C6"/>
    <w:rsid w:val="00DA337C"/>
    <w:rsid w:val="00DB0BAD"/>
    <w:rsid w:val="00DB3394"/>
    <w:rsid w:val="00DB589E"/>
    <w:rsid w:val="00DB63C7"/>
    <w:rsid w:val="00DD5B1D"/>
    <w:rsid w:val="00DD66E2"/>
    <w:rsid w:val="00DE6421"/>
    <w:rsid w:val="00DE6C5F"/>
    <w:rsid w:val="00DF703C"/>
    <w:rsid w:val="00DF7278"/>
    <w:rsid w:val="00E01701"/>
    <w:rsid w:val="00E0328A"/>
    <w:rsid w:val="00E0664F"/>
    <w:rsid w:val="00E16367"/>
    <w:rsid w:val="00E224FF"/>
    <w:rsid w:val="00E239BA"/>
    <w:rsid w:val="00E331E0"/>
    <w:rsid w:val="00E368A2"/>
    <w:rsid w:val="00E47E9A"/>
    <w:rsid w:val="00E508BC"/>
    <w:rsid w:val="00E57D8D"/>
    <w:rsid w:val="00E60ACD"/>
    <w:rsid w:val="00E62D88"/>
    <w:rsid w:val="00E7686D"/>
    <w:rsid w:val="00E77EAA"/>
    <w:rsid w:val="00E84559"/>
    <w:rsid w:val="00E86609"/>
    <w:rsid w:val="00E96332"/>
    <w:rsid w:val="00EA02A3"/>
    <w:rsid w:val="00EA6994"/>
    <w:rsid w:val="00EB79F5"/>
    <w:rsid w:val="00EC5E1E"/>
    <w:rsid w:val="00ED0EFA"/>
    <w:rsid w:val="00EE1E65"/>
    <w:rsid w:val="00EE5442"/>
    <w:rsid w:val="00EF026E"/>
    <w:rsid w:val="00EF6BE3"/>
    <w:rsid w:val="00F20487"/>
    <w:rsid w:val="00F215D2"/>
    <w:rsid w:val="00F23F38"/>
    <w:rsid w:val="00F25545"/>
    <w:rsid w:val="00F40665"/>
    <w:rsid w:val="00F43732"/>
    <w:rsid w:val="00F474B8"/>
    <w:rsid w:val="00F52E0A"/>
    <w:rsid w:val="00F61C70"/>
    <w:rsid w:val="00F72B54"/>
    <w:rsid w:val="00F75206"/>
    <w:rsid w:val="00F82673"/>
    <w:rsid w:val="00F83FA8"/>
    <w:rsid w:val="00F924D9"/>
    <w:rsid w:val="00FB02AB"/>
    <w:rsid w:val="00FC0CE0"/>
    <w:rsid w:val="00FC4900"/>
    <w:rsid w:val="00FD1332"/>
    <w:rsid w:val="00FD6C20"/>
    <w:rsid w:val="00FD7D78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2BA1C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1"/>
    <w:qFormat/>
    <w:pPr>
      <w:keepNext/>
      <w:outlineLvl w:val="0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link w:val="Heading8Char"/>
    <w:uiPriority w:val="7"/>
    <w:unhideWhenUsed/>
    <w:qFormat/>
    <w:rsid w:val="00C822F1"/>
    <w:pPr>
      <w:keepNext/>
      <w:keepLines/>
      <w:spacing w:before="40"/>
      <w:ind w:left="1440" w:hanging="1440"/>
      <w:outlineLvl w:val="7"/>
    </w:pPr>
    <w:rPr>
      <w:rFonts w:ascii="Calibri Light" w:eastAsia="MS Gothic" w:hAnsi="Calibri Light"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,Header title,he=header,cntr/bl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0805C6"/>
    <w:rPr>
      <w:rFonts w:ascii="Arial" w:hAnsi="Arial" w:cs="Arial"/>
      <w:snapToGrid w:val="0"/>
      <w:sz w:val="20"/>
      <w:lang w:eastAsia="en-US"/>
    </w:rPr>
  </w:style>
  <w:style w:type="paragraph" w:styleId="BodyText">
    <w:name w:val="Body Text"/>
    <w:basedOn w:val="Normal"/>
    <w:rPr>
      <w:rFonts w:ascii="Arial" w:hAnsi="Arial"/>
      <w:sz w:val="20"/>
    </w:rPr>
  </w:style>
  <w:style w:type="paragraph" w:customStyle="1" w:styleId="PBSnormal">
    <w:name w:val="PBS normal"/>
    <w:basedOn w:val="Normal"/>
    <w:rsid w:val="00CE3D26"/>
    <w:pPr>
      <w:autoSpaceDE w:val="0"/>
      <w:autoSpaceDN w:val="0"/>
    </w:pPr>
    <w:rPr>
      <w:rFonts w:ascii="Arial" w:hAnsi="Arial" w:cs="Arial"/>
      <w:sz w:val="22"/>
      <w:szCs w:val="22"/>
      <w:lang w:val="en-US"/>
    </w:rPr>
  </w:style>
  <w:style w:type="paragraph" w:styleId="Title">
    <w:name w:val="Title"/>
    <w:basedOn w:val="Normal"/>
    <w:link w:val="TitleChar"/>
    <w:qFormat/>
    <w:rsid w:val="00204DB4"/>
    <w:pPr>
      <w:jc w:val="center"/>
    </w:pPr>
    <w:rPr>
      <w:rFonts w:ascii="Arial" w:hAnsi="Arial"/>
      <w:b/>
      <w:sz w:val="20"/>
    </w:rPr>
  </w:style>
  <w:style w:type="character" w:customStyle="1" w:styleId="HeaderChar">
    <w:name w:val="Header Char"/>
    <w:aliases w:val="Page Header Char,Header title Char,he=header Char,cntr/bld Char"/>
    <w:link w:val="Header"/>
    <w:rsid w:val="009F0ED6"/>
    <w:rPr>
      <w:sz w:val="24"/>
      <w:lang w:val="en-AU" w:eastAsia="en-AU" w:bidi="ar-SA"/>
    </w:rPr>
  </w:style>
  <w:style w:type="character" w:customStyle="1" w:styleId="FooterChar">
    <w:name w:val="Footer Char"/>
    <w:link w:val="Footer"/>
    <w:uiPriority w:val="99"/>
    <w:rsid w:val="009F0ED6"/>
    <w:rPr>
      <w:sz w:val="24"/>
      <w:lang w:val="en-AU" w:eastAsia="en-AU" w:bidi="ar-SA"/>
    </w:rPr>
  </w:style>
  <w:style w:type="character" w:styleId="Hyperlink">
    <w:name w:val="Hyperlink"/>
    <w:rsid w:val="007A36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2DFC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aliases w:val="BulletPoints,Footnote,Bullet point,List Paragraph1,List Paragraph11,Recommendation"/>
    <w:basedOn w:val="Normal"/>
    <w:link w:val="ListParagraphChar"/>
    <w:uiPriority w:val="34"/>
    <w:qFormat/>
    <w:rsid w:val="001810B2"/>
    <w:pPr>
      <w:ind w:left="720"/>
      <w:contextualSpacing/>
    </w:pPr>
    <w:rPr>
      <w:szCs w:val="24"/>
    </w:rPr>
  </w:style>
  <w:style w:type="character" w:customStyle="1" w:styleId="ListParagraphChar">
    <w:name w:val="List Paragraph Char"/>
    <w:aliases w:val="BulletPoints Char,Footnote Char,Bullet point Char,List Paragraph1 Char,List Paragraph11 Char,Recommendation Char"/>
    <w:link w:val="ListParagraph"/>
    <w:uiPriority w:val="34"/>
    <w:rsid w:val="00EE5442"/>
    <w:rPr>
      <w:sz w:val="24"/>
      <w:szCs w:val="24"/>
    </w:rPr>
  </w:style>
  <w:style w:type="character" w:styleId="PageNumber">
    <w:name w:val="page number"/>
    <w:rsid w:val="00D641C2"/>
  </w:style>
  <w:style w:type="table" w:styleId="TableGrid">
    <w:name w:val="Table Grid"/>
    <w:basedOn w:val="TableNormal"/>
    <w:uiPriority w:val="59"/>
    <w:rsid w:val="006E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3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3998"/>
    <w:rPr>
      <w:rFonts w:ascii="Tahoma" w:hAnsi="Tahoma" w:cs="Tahoma"/>
      <w:sz w:val="16"/>
      <w:szCs w:val="16"/>
    </w:rPr>
  </w:style>
  <w:style w:type="paragraph" w:customStyle="1" w:styleId="Char1CharCharChar">
    <w:name w:val="Char1 Char Char Char"/>
    <w:basedOn w:val="Normal"/>
    <w:rsid w:val="00261171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7"/>
    <w:rsid w:val="00C822F1"/>
    <w:rPr>
      <w:rFonts w:ascii="Calibri Light" w:eastAsia="MS Gothic" w:hAnsi="Calibri Light"/>
      <w:color w:val="272727"/>
      <w:sz w:val="21"/>
      <w:szCs w:val="21"/>
      <w:lang w:eastAsia="en-US"/>
    </w:rPr>
  </w:style>
  <w:style w:type="character" w:styleId="CommentReference">
    <w:name w:val="annotation reference"/>
    <w:basedOn w:val="DefaultParagraphFont"/>
    <w:rsid w:val="006E4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F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4FBA"/>
  </w:style>
  <w:style w:type="paragraph" w:styleId="CommentSubject">
    <w:name w:val="annotation subject"/>
    <w:basedOn w:val="CommentText"/>
    <w:next w:val="CommentText"/>
    <w:link w:val="CommentSubjectChar"/>
    <w:rsid w:val="006E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4FBA"/>
    <w:rPr>
      <w:b/>
      <w:bCs/>
    </w:rPr>
  </w:style>
  <w:style w:type="character" w:customStyle="1" w:styleId="TitleChar">
    <w:name w:val="Title Char"/>
    <w:basedOn w:val="DefaultParagraphFont"/>
    <w:link w:val="Title"/>
    <w:rsid w:val="00CB2370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9830-D449-46BE-AC99-6932969B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2018-12-10T22:44:00Z</dcterms:created>
  <dcterms:modified xsi:type="dcterms:W3CDTF">2018-12-12T02:57:00Z</dcterms:modified>
</cp:coreProperties>
</file>