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2418"/>
        <w:gridCol w:w="3168"/>
        <w:gridCol w:w="6670"/>
      </w:tblGrid>
      <w:tr w:rsidR="00852F53" w:rsidRPr="00971118" w14:paraId="79441CCE" w14:textId="77777777" w:rsidTr="00A964C7">
        <w:trPr>
          <w:cantSplit/>
          <w:tblHeader/>
        </w:trPr>
        <w:tc>
          <w:tcPr>
            <w:tcW w:w="3055" w:type="dxa"/>
            <w:tcBorders>
              <w:bottom w:val="single" w:sz="4" w:space="0" w:color="auto"/>
            </w:tcBorders>
            <w:tcMar>
              <w:top w:w="28" w:type="dxa"/>
              <w:bottom w:w="28" w:type="dxa"/>
            </w:tcMar>
          </w:tcPr>
          <w:p w14:paraId="53B8E2AC" w14:textId="77777777" w:rsidR="00852F53" w:rsidRPr="003D7E12" w:rsidRDefault="00852F53" w:rsidP="00852F53">
            <w:pPr>
              <w:widowControl w:val="0"/>
              <w:jc w:val="center"/>
              <w:rPr>
                <w:rFonts w:ascii="Arial" w:hAnsi="Arial" w:cs="Arial"/>
                <w:b/>
              </w:rPr>
            </w:pPr>
            <w:r w:rsidRPr="003D7E12">
              <w:rPr>
                <w:rFonts w:ascii="Arial" w:hAnsi="Arial" w:cs="Arial"/>
                <w:b/>
              </w:rPr>
              <w:t>SPONSOR, TYPE OF SUBMISSION</w:t>
            </w:r>
          </w:p>
          <w:p w14:paraId="76DCB287" w14:textId="77777777" w:rsidR="00852F53" w:rsidRPr="00225D57" w:rsidRDefault="00852F53" w:rsidP="00852F53">
            <w:pPr>
              <w:rPr>
                <w:rFonts w:ascii="Arial" w:hAnsi="Arial" w:cs="Arial"/>
                <w:color w:val="000000"/>
              </w:rPr>
            </w:pPr>
          </w:p>
        </w:tc>
        <w:tc>
          <w:tcPr>
            <w:tcW w:w="2418" w:type="dxa"/>
            <w:tcBorders>
              <w:bottom w:val="single" w:sz="4" w:space="0" w:color="auto"/>
            </w:tcBorders>
            <w:tcMar>
              <w:top w:w="28" w:type="dxa"/>
              <w:bottom w:w="28" w:type="dxa"/>
            </w:tcMar>
          </w:tcPr>
          <w:p w14:paraId="0BB9E147" w14:textId="77777777" w:rsidR="00852F53" w:rsidRPr="00971118" w:rsidRDefault="00852F53" w:rsidP="00852F53">
            <w:pPr>
              <w:widowControl w:val="0"/>
              <w:jc w:val="center"/>
              <w:rPr>
                <w:rFonts w:ascii="Arial" w:hAnsi="Arial" w:cs="Arial"/>
                <w:b/>
                <w:snapToGrid w:val="0"/>
                <w:lang w:eastAsia="en-US"/>
              </w:rPr>
            </w:pPr>
            <w:r w:rsidRPr="00971118">
              <w:rPr>
                <w:rFonts w:ascii="Arial" w:hAnsi="Arial" w:cs="Arial"/>
                <w:b/>
                <w:snapToGrid w:val="0"/>
                <w:lang w:eastAsia="en-US"/>
              </w:rPr>
              <w:t>DRUG TYPE AND USE</w:t>
            </w:r>
          </w:p>
          <w:p w14:paraId="75041A8F" w14:textId="77777777" w:rsidR="00852F53" w:rsidRPr="00971118" w:rsidRDefault="00852F53" w:rsidP="00852F53">
            <w:pPr>
              <w:widowControl w:val="0"/>
              <w:jc w:val="center"/>
              <w:rPr>
                <w:rFonts w:ascii="Arial" w:hAnsi="Arial" w:cs="Arial"/>
                <w:b/>
                <w:snapToGrid w:val="0"/>
                <w:lang w:eastAsia="en-US"/>
              </w:rPr>
            </w:pPr>
          </w:p>
        </w:tc>
        <w:tc>
          <w:tcPr>
            <w:tcW w:w="3168" w:type="dxa"/>
            <w:tcBorders>
              <w:bottom w:val="single" w:sz="4" w:space="0" w:color="auto"/>
            </w:tcBorders>
            <w:tcMar>
              <w:top w:w="28" w:type="dxa"/>
              <w:bottom w:w="28" w:type="dxa"/>
            </w:tcMar>
          </w:tcPr>
          <w:p w14:paraId="397BE1E0" w14:textId="77777777" w:rsidR="00852F53" w:rsidRPr="00971118" w:rsidRDefault="00852F53" w:rsidP="00852F53">
            <w:pPr>
              <w:widowControl w:val="0"/>
              <w:jc w:val="center"/>
              <w:rPr>
                <w:rFonts w:ascii="Arial" w:hAnsi="Arial" w:cs="Arial"/>
                <w:b/>
                <w:snapToGrid w:val="0"/>
                <w:lang w:eastAsia="en-US"/>
              </w:rPr>
            </w:pPr>
            <w:r w:rsidRPr="00971118">
              <w:rPr>
                <w:rFonts w:ascii="Arial" w:hAnsi="Arial" w:cs="Arial"/>
                <w:b/>
                <w:snapToGrid w:val="0"/>
                <w:lang w:eastAsia="en-US"/>
              </w:rPr>
              <w:t>LISTING REQUESTED BY SPONSOR / PURPOSE OF SUBMISSION</w:t>
            </w:r>
          </w:p>
          <w:p w14:paraId="60952703" w14:textId="77777777" w:rsidR="00852F53" w:rsidRPr="00971118" w:rsidRDefault="00852F53" w:rsidP="00852F53">
            <w:pPr>
              <w:widowControl w:val="0"/>
              <w:jc w:val="center"/>
              <w:rPr>
                <w:rFonts w:ascii="Arial" w:hAnsi="Arial" w:cs="Arial"/>
                <w:b/>
                <w:snapToGrid w:val="0"/>
                <w:lang w:eastAsia="en-US"/>
              </w:rPr>
            </w:pPr>
          </w:p>
        </w:tc>
        <w:tc>
          <w:tcPr>
            <w:tcW w:w="6670" w:type="dxa"/>
            <w:tcBorders>
              <w:bottom w:val="single" w:sz="4" w:space="0" w:color="auto"/>
            </w:tcBorders>
          </w:tcPr>
          <w:p w14:paraId="550699B8" w14:textId="77777777" w:rsidR="00852F53" w:rsidRPr="00971118" w:rsidRDefault="00852F53" w:rsidP="00852F53">
            <w:pPr>
              <w:pStyle w:val="Header"/>
              <w:jc w:val="center"/>
              <w:rPr>
                <w:rFonts w:ascii="Arial" w:hAnsi="Arial" w:cs="Arial"/>
                <w:b/>
                <w:snapToGrid w:val="0"/>
                <w:lang w:eastAsia="en-US"/>
              </w:rPr>
            </w:pPr>
            <w:r w:rsidRPr="00971118">
              <w:rPr>
                <w:rFonts w:ascii="Arial" w:hAnsi="Arial" w:cs="Arial"/>
                <w:b/>
                <w:snapToGrid w:val="0"/>
                <w:lang w:eastAsia="en-US"/>
              </w:rPr>
              <w:t>PBAC OUTCOME</w:t>
            </w:r>
          </w:p>
        </w:tc>
      </w:tr>
      <w:tr w:rsidR="00C82013" w:rsidRPr="00971118" w14:paraId="4718DC12" w14:textId="77777777" w:rsidTr="00A964C7">
        <w:trPr>
          <w:cantSplit/>
          <w:trHeight w:val="1880"/>
        </w:trPr>
        <w:tc>
          <w:tcPr>
            <w:tcW w:w="3055" w:type="dxa"/>
            <w:vMerge w:val="restart"/>
            <w:tcMar>
              <w:top w:w="28" w:type="dxa"/>
              <w:bottom w:w="28" w:type="dxa"/>
            </w:tcMar>
          </w:tcPr>
          <w:p w14:paraId="4511F96E" w14:textId="77777777" w:rsidR="00C82013" w:rsidRDefault="00C82013" w:rsidP="00C82013">
            <w:pPr>
              <w:rPr>
                <w:rFonts w:ascii="Arial" w:hAnsi="Arial" w:cs="Arial"/>
                <w:color w:val="000000"/>
              </w:rPr>
            </w:pPr>
            <w:r w:rsidRPr="00225D57">
              <w:rPr>
                <w:rFonts w:ascii="Arial" w:hAnsi="Arial" w:cs="Arial"/>
                <w:color w:val="000000"/>
              </w:rPr>
              <w:t>BOTULINUM TOXIN TYPE A</w:t>
            </w:r>
            <w:r w:rsidRPr="00225D57">
              <w:rPr>
                <w:rFonts w:ascii="Arial" w:hAnsi="Arial" w:cs="Arial"/>
                <w:color w:val="000000"/>
              </w:rPr>
              <w:br/>
            </w:r>
            <w:r w:rsidRPr="00225D57">
              <w:rPr>
                <w:rFonts w:ascii="Arial" w:hAnsi="Arial" w:cs="Arial"/>
                <w:color w:val="000000"/>
              </w:rPr>
              <w:br/>
              <w:t>Lyophilised powder for injection 100 units</w:t>
            </w:r>
            <w:r w:rsidRPr="00225D57">
              <w:rPr>
                <w:rFonts w:ascii="Arial" w:hAnsi="Arial" w:cs="Arial"/>
                <w:color w:val="000000"/>
              </w:rPr>
              <w:br/>
            </w:r>
            <w:r w:rsidRPr="00225D57">
              <w:rPr>
                <w:rFonts w:ascii="Arial" w:hAnsi="Arial" w:cs="Arial"/>
                <w:color w:val="000000"/>
              </w:rPr>
              <w:br/>
              <w:t>Botox®</w:t>
            </w:r>
            <w:r w:rsidRPr="00225D57">
              <w:rPr>
                <w:rFonts w:ascii="Arial" w:hAnsi="Arial" w:cs="Arial"/>
                <w:color w:val="000000"/>
              </w:rPr>
              <w:br/>
            </w:r>
            <w:r w:rsidRPr="00225D57">
              <w:rPr>
                <w:rFonts w:ascii="Arial" w:hAnsi="Arial" w:cs="Arial"/>
                <w:color w:val="000000"/>
              </w:rPr>
              <w:br/>
              <w:t>Allergan Australia Pty Ltd</w:t>
            </w:r>
          </w:p>
          <w:p w14:paraId="5D9ACEB2" w14:textId="77777777" w:rsidR="00C82013" w:rsidRDefault="00C82013" w:rsidP="00C82013">
            <w:pPr>
              <w:rPr>
                <w:rFonts w:ascii="Arial" w:hAnsi="Arial" w:cs="Arial"/>
                <w:color w:val="000000"/>
              </w:rPr>
            </w:pPr>
          </w:p>
          <w:p w14:paraId="16F8656C" w14:textId="77777777" w:rsidR="00296E1E" w:rsidRDefault="00296E1E" w:rsidP="00C82013">
            <w:pPr>
              <w:rPr>
                <w:rFonts w:ascii="Arial" w:hAnsi="Arial" w:cs="Arial"/>
                <w:color w:val="000000"/>
              </w:rPr>
            </w:pPr>
            <w:r>
              <w:rPr>
                <w:rFonts w:ascii="Arial" w:hAnsi="Arial" w:cs="Arial"/>
                <w:color w:val="000000"/>
              </w:rPr>
              <w:t>Change to listing</w:t>
            </w:r>
          </w:p>
          <w:p w14:paraId="5257A325" w14:textId="77777777" w:rsidR="00C82013" w:rsidRPr="00225D57" w:rsidRDefault="00C82013" w:rsidP="00C82013">
            <w:pPr>
              <w:rPr>
                <w:rFonts w:ascii="Arial" w:hAnsi="Arial" w:cs="Arial"/>
                <w:color w:val="000000"/>
              </w:rPr>
            </w:pPr>
            <w:r>
              <w:rPr>
                <w:rFonts w:ascii="Arial" w:hAnsi="Arial" w:cs="Arial"/>
                <w:color w:val="000000"/>
              </w:rPr>
              <w:t>(Major Submission)</w:t>
            </w:r>
          </w:p>
        </w:tc>
        <w:tc>
          <w:tcPr>
            <w:tcW w:w="2418" w:type="dxa"/>
            <w:vMerge w:val="restart"/>
          </w:tcPr>
          <w:p w14:paraId="071AA427" w14:textId="77777777" w:rsidR="00C82013" w:rsidRPr="00971118" w:rsidRDefault="00C82013" w:rsidP="00C82013">
            <w:pPr>
              <w:rPr>
                <w:rFonts w:ascii="Arial" w:hAnsi="Arial" w:cs="Arial"/>
                <w:color w:val="000000"/>
              </w:rPr>
            </w:pPr>
            <w:r w:rsidRPr="00225D57">
              <w:rPr>
                <w:rFonts w:ascii="Arial" w:hAnsi="Arial" w:cs="Arial"/>
                <w:color w:val="000000"/>
              </w:rPr>
              <w:t>Focal spasticity of the lower limb</w:t>
            </w:r>
          </w:p>
        </w:tc>
        <w:tc>
          <w:tcPr>
            <w:tcW w:w="3168" w:type="dxa"/>
            <w:tcMar>
              <w:top w:w="28" w:type="dxa"/>
              <w:bottom w:w="28" w:type="dxa"/>
            </w:tcMar>
          </w:tcPr>
          <w:p w14:paraId="24181A40" w14:textId="77777777" w:rsidR="00C82013" w:rsidRPr="00225D57" w:rsidRDefault="00C82013" w:rsidP="00C82013">
            <w:pPr>
              <w:rPr>
                <w:rFonts w:ascii="Arial" w:hAnsi="Arial" w:cs="Arial"/>
                <w:color w:val="000000"/>
              </w:rPr>
            </w:pPr>
            <w:r w:rsidRPr="00225D57">
              <w:rPr>
                <w:rFonts w:ascii="Arial" w:hAnsi="Arial" w:cs="Arial"/>
                <w:color w:val="000000"/>
              </w:rPr>
              <w:t>Resubmission to request an extension to the current Section 100 (Botulinum Toxin Program) listing to include the treatment of lower limb focal spasticity in adults following stroke, who meet certain conditions.</w:t>
            </w:r>
          </w:p>
        </w:tc>
        <w:tc>
          <w:tcPr>
            <w:tcW w:w="6670" w:type="dxa"/>
          </w:tcPr>
          <w:p w14:paraId="4D6F6E4C" w14:textId="46E86662" w:rsidR="00352A88" w:rsidRDefault="00DF7637" w:rsidP="00DF7637">
            <w:pPr>
              <w:pStyle w:val="ListParagraph"/>
              <w:ind w:left="45"/>
              <w:jc w:val="both"/>
              <w:rPr>
                <w:rFonts w:ascii="Arial" w:hAnsi="Arial" w:cs="Arial"/>
                <w:sz w:val="20"/>
                <w:szCs w:val="20"/>
              </w:rPr>
            </w:pPr>
            <w:r w:rsidRPr="00DF7637">
              <w:rPr>
                <w:rFonts w:ascii="Arial" w:hAnsi="Arial" w:cs="Arial"/>
                <w:sz w:val="20"/>
                <w:szCs w:val="20"/>
              </w:rPr>
              <w:t>The PBAC deferred making a recommendation on the Section 100 Authority Required listing of botulinum toxin type A (BOTOX®) for the treatment of lower limb focal spasticity following stroke. In deciding to defer, the PBAC noted the clinical need in the proposed population and acknowledged that, for some patients, a clinically meaningful response defined by an improvement in the Modified Ashworth Scale (MAS) of at least one was achieved, and that improvements in MAS were accompanied by other functional improvements.</w:t>
            </w:r>
          </w:p>
          <w:p w14:paraId="5CAC86A8" w14:textId="77777777" w:rsidR="00AE51CE" w:rsidRPr="00AE51CE" w:rsidRDefault="00AE51CE" w:rsidP="00DF7637">
            <w:pPr>
              <w:pStyle w:val="ListParagraph"/>
              <w:ind w:left="45"/>
              <w:jc w:val="both"/>
              <w:rPr>
                <w:rFonts w:ascii="Arial" w:hAnsi="Arial" w:cs="Arial"/>
                <w:sz w:val="16"/>
                <w:szCs w:val="16"/>
              </w:rPr>
            </w:pPr>
          </w:p>
          <w:p w14:paraId="2EA4F4D7" w14:textId="19F1EE64" w:rsidR="00352A88" w:rsidRDefault="00DF7637" w:rsidP="00DF7637">
            <w:pPr>
              <w:pStyle w:val="ListParagraph"/>
              <w:ind w:left="45"/>
              <w:jc w:val="both"/>
              <w:rPr>
                <w:rFonts w:ascii="Arial" w:hAnsi="Arial" w:cs="Arial"/>
                <w:sz w:val="20"/>
                <w:szCs w:val="20"/>
              </w:rPr>
            </w:pPr>
            <w:r w:rsidRPr="00DF7637">
              <w:rPr>
                <w:rFonts w:ascii="Arial" w:hAnsi="Arial" w:cs="Arial"/>
                <w:sz w:val="20"/>
                <w:szCs w:val="20"/>
              </w:rPr>
              <w:t>The PBAC noted that the two key trials, REFLEX and Trial 512, consisted of a single injection during a randomised, double blind phase, followed by up to three injections in an open label phase. The PBAC considered that there was a lack of comparative evidence beyond the first injection. The PBAC also noted the limited data for the treatment of spasticity other than that causing plantar flexion of the ankle or equinovarus foot deformity.</w:t>
            </w:r>
          </w:p>
          <w:p w14:paraId="71533E27" w14:textId="77777777" w:rsidR="00AE51CE" w:rsidRPr="00AE51CE" w:rsidRDefault="00AE51CE" w:rsidP="00DF7637">
            <w:pPr>
              <w:pStyle w:val="ListParagraph"/>
              <w:ind w:left="45"/>
              <w:jc w:val="both"/>
              <w:rPr>
                <w:rFonts w:ascii="Arial" w:hAnsi="Arial" w:cs="Arial"/>
                <w:sz w:val="16"/>
                <w:szCs w:val="16"/>
              </w:rPr>
            </w:pPr>
          </w:p>
          <w:p w14:paraId="1AC7243E" w14:textId="37E09B9F" w:rsidR="00352A88" w:rsidRDefault="00DF7637" w:rsidP="00DF7637">
            <w:pPr>
              <w:pStyle w:val="ListParagraph"/>
              <w:ind w:left="45"/>
              <w:jc w:val="both"/>
              <w:rPr>
                <w:rFonts w:ascii="Arial" w:hAnsi="Arial" w:cs="Arial"/>
                <w:sz w:val="20"/>
                <w:szCs w:val="20"/>
              </w:rPr>
            </w:pPr>
            <w:r w:rsidRPr="00DF7637">
              <w:rPr>
                <w:rFonts w:ascii="Arial" w:hAnsi="Arial" w:cs="Arial"/>
                <w:sz w:val="20"/>
                <w:szCs w:val="20"/>
              </w:rPr>
              <w:t>The PBAC considered that the magnitude of the benefit of BOTOX® was small following the first cycle and, although comparative data were unavailable beyond the first cycle, the PBAC noted that continued responses were observed in those who chose to continue with subsequent treatments. The PBAC considered that BOTOX® was inferior in terms of safety compared to standard of care/placebo.</w:t>
            </w:r>
          </w:p>
          <w:p w14:paraId="3EBEEA3E" w14:textId="77777777" w:rsidR="00AE51CE" w:rsidRPr="00DF7637" w:rsidRDefault="00AE51CE" w:rsidP="00DF7637">
            <w:pPr>
              <w:pStyle w:val="ListParagraph"/>
              <w:ind w:left="45"/>
              <w:jc w:val="both"/>
              <w:rPr>
                <w:rFonts w:ascii="Arial" w:hAnsi="Arial" w:cs="Arial"/>
                <w:sz w:val="20"/>
                <w:szCs w:val="20"/>
              </w:rPr>
            </w:pPr>
          </w:p>
          <w:p w14:paraId="64C60E7A" w14:textId="77777777" w:rsidR="00DF7637" w:rsidRDefault="00DF7637" w:rsidP="00DF7637">
            <w:pPr>
              <w:pStyle w:val="ListParagraph"/>
              <w:ind w:left="45"/>
              <w:jc w:val="both"/>
              <w:rPr>
                <w:rFonts w:ascii="Arial" w:hAnsi="Arial" w:cs="Arial"/>
                <w:sz w:val="20"/>
                <w:szCs w:val="20"/>
              </w:rPr>
            </w:pPr>
            <w:r w:rsidRPr="00DF7637">
              <w:rPr>
                <w:rFonts w:ascii="Arial" w:hAnsi="Arial" w:cs="Arial"/>
                <w:sz w:val="20"/>
                <w:szCs w:val="20"/>
              </w:rPr>
              <w:t>The PBAC noted that the economic model was a cost-utility analysis based on a stepped evaluation of the MAS results from the REFLEX trial. The PBAC considered that the approach was appropriate and that the model time horizon (five years) was consistent with the clinical view. However, the PBAC considered that the incremental cost-effectiveness ratio was high and highly sensitive to the probability of response.</w:t>
            </w:r>
          </w:p>
          <w:p w14:paraId="1D2641C1" w14:textId="77777777" w:rsidR="00352A88" w:rsidRPr="00AE51CE" w:rsidRDefault="00352A88" w:rsidP="00DF7637">
            <w:pPr>
              <w:pStyle w:val="ListParagraph"/>
              <w:ind w:left="45"/>
              <w:jc w:val="both"/>
              <w:rPr>
                <w:rFonts w:ascii="Arial" w:hAnsi="Arial" w:cs="Arial"/>
                <w:sz w:val="16"/>
                <w:szCs w:val="16"/>
              </w:rPr>
            </w:pPr>
          </w:p>
          <w:p w14:paraId="5FB53E03" w14:textId="77777777" w:rsidR="00352A88" w:rsidRPr="004F0173" w:rsidRDefault="00DF7637" w:rsidP="00DF7637">
            <w:pPr>
              <w:pStyle w:val="ListParagraph"/>
              <w:ind w:left="0"/>
              <w:jc w:val="both"/>
              <w:rPr>
                <w:rFonts w:ascii="Arial" w:hAnsi="Arial" w:cs="Arial"/>
                <w:sz w:val="20"/>
                <w:szCs w:val="20"/>
              </w:rPr>
            </w:pPr>
            <w:r w:rsidRPr="00DF7637">
              <w:rPr>
                <w:rFonts w:ascii="Arial" w:hAnsi="Arial" w:cs="Arial"/>
                <w:sz w:val="20"/>
                <w:szCs w:val="20"/>
              </w:rPr>
              <w:t>The PBAC considered that the uncertainty surrounding the magnitude of the treatment effect of BOTOX® was unlikely to be reduced by future high quality data. The PBAC considered that the uncertainty surrounding the incremental benefit of BOTOX® could be mitigated through the requested price or the implementation of an utilisation cap.</w:t>
            </w:r>
          </w:p>
        </w:tc>
      </w:tr>
      <w:tr w:rsidR="00C82013" w:rsidRPr="00971118" w14:paraId="79F414E2" w14:textId="77777777" w:rsidTr="00AE51CE">
        <w:trPr>
          <w:cantSplit/>
          <w:trHeight w:val="642"/>
        </w:trPr>
        <w:tc>
          <w:tcPr>
            <w:tcW w:w="3055" w:type="dxa"/>
            <w:vMerge/>
            <w:tcBorders>
              <w:bottom w:val="single" w:sz="4" w:space="0" w:color="auto"/>
            </w:tcBorders>
            <w:tcMar>
              <w:top w:w="28" w:type="dxa"/>
              <w:bottom w:w="28" w:type="dxa"/>
            </w:tcMar>
          </w:tcPr>
          <w:p w14:paraId="1FBF765B" w14:textId="77777777" w:rsidR="00C82013" w:rsidRPr="00971118" w:rsidRDefault="00C82013" w:rsidP="00C82013">
            <w:pPr>
              <w:widowControl w:val="0"/>
              <w:rPr>
                <w:rFonts w:ascii="Arial" w:hAnsi="Arial" w:cs="Arial"/>
                <w:snapToGrid w:val="0"/>
                <w:lang w:eastAsia="en-US"/>
              </w:rPr>
            </w:pPr>
          </w:p>
        </w:tc>
        <w:tc>
          <w:tcPr>
            <w:tcW w:w="2418" w:type="dxa"/>
            <w:vMerge/>
            <w:tcBorders>
              <w:bottom w:val="single" w:sz="4" w:space="0" w:color="auto"/>
            </w:tcBorders>
          </w:tcPr>
          <w:p w14:paraId="0F2C5668" w14:textId="77777777" w:rsidR="00C82013" w:rsidRPr="00971118" w:rsidRDefault="00C82013" w:rsidP="00C82013">
            <w:pPr>
              <w:widowControl w:val="0"/>
              <w:rPr>
                <w:rFonts w:ascii="Arial" w:hAnsi="Arial" w:cs="Arial"/>
                <w:snapToGrid w:val="0"/>
                <w:lang w:eastAsia="en-US"/>
              </w:rPr>
            </w:pPr>
          </w:p>
        </w:tc>
        <w:tc>
          <w:tcPr>
            <w:tcW w:w="3168" w:type="dxa"/>
            <w:tcBorders>
              <w:bottom w:val="single" w:sz="4" w:space="0" w:color="auto"/>
            </w:tcBorders>
            <w:tcMar>
              <w:top w:w="28" w:type="dxa"/>
              <w:bottom w:w="28" w:type="dxa"/>
            </w:tcMar>
          </w:tcPr>
          <w:p w14:paraId="32FB82FD" w14:textId="77777777" w:rsidR="00C82013" w:rsidRPr="00971118" w:rsidRDefault="00C82013" w:rsidP="00C82013">
            <w:pPr>
              <w:widowControl w:val="0"/>
              <w:rPr>
                <w:rFonts w:ascii="Arial" w:hAnsi="Arial" w:cs="Arial"/>
                <w:snapToGrid w:val="0"/>
                <w:highlight w:val="yellow"/>
                <w:lang w:eastAsia="en-US"/>
              </w:rPr>
            </w:pPr>
            <w:r w:rsidRPr="00971118">
              <w:rPr>
                <w:rFonts w:ascii="Arial" w:hAnsi="Arial" w:cs="Arial"/>
                <w:snapToGrid w:val="0"/>
                <w:lang w:eastAsia="en-US"/>
              </w:rPr>
              <w:t>Sponsor Comment:</w:t>
            </w:r>
          </w:p>
        </w:tc>
        <w:tc>
          <w:tcPr>
            <w:tcW w:w="6670" w:type="dxa"/>
            <w:tcBorders>
              <w:bottom w:val="single" w:sz="4" w:space="0" w:color="auto"/>
            </w:tcBorders>
            <w:shd w:val="clear" w:color="auto" w:fill="auto"/>
          </w:tcPr>
          <w:p w14:paraId="3289558D" w14:textId="3F62C8EF" w:rsidR="00A964C7" w:rsidRDefault="00AE51CE" w:rsidP="00C82013">
            <w:pPr>
              <w:pStyle w:val="ListParagraph"/>
              <w:ind w:left="0"/>
              <w:jc w:val="both"/>
              <w:rPr>
                <w:rFonts w:ascii="Arial" w:hAnsi="Arial" w:cs="Arial"/>
                <w:sz w:val="20"/>
                <w:szCs w:val="20"/>
                <w:highlight w:val="yellow"/>
              </w:rPr>
            </w:pPr>
            <w:r w:rsidRPr="00AE51CE">
              <w:rPr>
                <w:rFonts w:ascii="Arial" w:hAnsi="Arial" w:cs="Arial"/>
                <w:sz w:val="20"/>
                <w:szCs w:val="20"/>
              </w:rPr>
              <w:t>The sponsor had no comment.</w:t>
            </w:r>
          </w:p>
          <w:p w14:paraId="59A3BF70" w14:textId="77777777" w:rsidR="00A964C7" w:rsidRPr="00971118" w:rsidRDefault="00A964C7" w:rsidP="00C82013">
            <w:pPr>
              <w:pStyle w:val="ListParagraph"/>
              <w:ind w:left="0"/>
              <w:jc w:val="both"/>
              <w:rPr>
                <w:rFonts w:ascii="Arial" w:hAnsi="Arial" w:cs="Arial"/>
                <w:sz w:val="20"/>
                <w:szCs w:val="20"/>
                <w:highlight w:val="yellow"/>
              </w:rPr>
            </w:pPr>
          </w:p>
        </w:tc>
      </w:tr>
      <w:tr w:rsidR="00C82013" w:rsidRPr="00971118" w14:paraId="4796CAE8" w14:textId="77777777" w:rsidTr="00A964C7">
        <w:trPr>
          <w:cantSplit/>
          <w:trHeight w:val="2379"/>
        </w:trPr>
        <w:tc>
          <w:tcPr>
            <w:tcW w:w="3055" w:type="dxa"/>
            <w:vMerge w:val="restart"/>
            <w:tcMar>
              <w:top w:w="28" w:type="dxa"/>
              <w:bottom w:w="28" w:type="dxa"/>
            </w:tcMar>
          </w:tcPr>
          <w:p w14:paraId="23D22334" w14:textId="77777777" w:rsidR="00C82013" w:rsidRDefault="00C82013" w:rsidP="00C82013">
            <w:pPr>
              <w:rPr>
                <w:rFonts w:ascii="Arial" w:hAnsi="Arial" w:cs="Arial"/>
                <w:color w:val="000000"/>
              </w:rPr>
            </w:pPr>
            <w:r w:rsidRPr="00225D57">
              <w:rPr>
                <w:rFonts w:ascii="Arial" w:hAnsi="Arial" w:cs="Arial"/>
                <w:color w:val="000000"/>
              </w:rPr>
              <w:lastRenderedPageBreak/>
              <w:t>ETANERCEPT</w:t>
            </w:r>
            <w:r w:rsidRPr="00225D57">
              <w:rPr>
                <w:rFonts w:ascii="Arial" w:hAnsi="Arial" w:cs="Arial"/>
                <w:color w:val="000000"/>
              </w:rPr>
              <w:br/>
            </w:r>
            <w:r w:rsidRPr="00225D57">
              <w:rPr>
                <w:rFonts w:ascii="Arial" w:hAnsi="Arial" w:cs="Arial"/>
                <w:color w:val="000000"/>
              </w:rPr>
              <w:br/>
              <w:t>Injection 50 mg in 1 mL single use auto-injector, 4;</w:t>
            </w:r>
            <w:r w:rsidRPr="00225D57">
              <w:rPr>
                <w:rFonts w:ascii="Arial" w:hAnsi="Arial" w:cs="Arial"/>
                <w:color w:val="000000"/>
              </w:rPr>
              <w:br/>
              <w:t>Injections 50 mg in 1 mL single use pre-filled syringes, 4</w:t>
            </w:r>
            <w:r w:rsidRPr="00225D57">
              <w:rPr>
                <w:rFonts w:ascii="Arial" w:hAnsi="Arial" w:cs="Arial"/>
                <w:color w:val="000000"/>
              </w:rPr>
              <w:br/>
            </w:r>
            <w:r w:rsidRPr="00225D57">
              <w:rPr>
                <w:rFonts w:ascii="Arial" w:hAnsi="Arial" w:cs="Arial"/>
                <w:color w:val="000000"/>
              </w:rPr>
              <w:br/>
              <w:t>Brenzys®</w:t>
            </w:r>
            <w:r w:rsidRPr="00225D57">
              <w:rPr>
                <w:rFonts w:ascii="Arial" w:hAnsi="Arial" w:cs="Arial"/>
                <w:color w:val="000000"/>
              </w:rPr>
              <w:br/>
            </w:r>
            <w:r w:rsidRPr="00225D57">
              <w:rPr>
                <w:rFonts w:ascii="Arial" w:hAnsi="Arial" w:cs="Arial"/>
                <w:color w:val="000000"/>
              </w:rPr>
              <w:br/>
              <w:t>Merck Sharp &amp; Dohme (Australia) Pty Limited</w:t>
            </w:r>
          </w:p>
          <w:p w14:paraId="4F9D5A88" w14:textId="77777777" w:rsidR="00C82013" w:rsidRDefault="00C82013" w:rsidP="00C82013">
            <w:pPr>
              <w:rPr>
                <w:rFonts w:ascii="Arial" w:hAnsi="Arial" w:cs="Arial"/>
                <w:color w:val="000000"/>
              </w:rPr>
            </w:pPr>
          </w:p>
          <w:p w14:paraId="62A6E8AC" w14:textId="77777777" w:rsidR="00296E1E" w:rsidRDefault="00296E1E" w:rsidP="00C82013">
            <w:pPr>
              <w:rPr>
                <w:rFonts w:ascii="Arial" w:hAnsi="Arial" w:cs="Arial"/>
                <w:color w:val="000000"/>
              </w:rPr>
            </w:pPr>
            <w:r>
              <w:rPr>
                <w:rFonts w:ascii="Arial" w:hAnsi="Arial" w:cs="Arial"/>
                <w:color w:val="000000"/>
              </w:rPr>
              <w:t>Change to recommended listing</w:t>
            </w:r>
          </w:p>
          <w:p w14:paraId="38390373" w14:textId="77777777" w:rsidR="00C82013" w:rsidRPr="00225D57" w:rsidRDefault="00C82013" w:rsidP="00C82013">
            <w:pPr>
              <w:rPr>
                <w:rFonts w:ascii="Arial" w:hAnsi="Arial" w:cs="Arial"/>
                <w:color w:val="000000"/>
              </w:rPr>
            </w:pPr>
            <w:r>
              <w:rPr>
                <w:rFonts w:ascii="Arial" w:hAnsi="Arial" w:cs="Arial"/>
                <w:color w:val="000000"/>
              </w:rPr>
              <w:t>(Minor Submission)</w:t>
            </w:r>
          </w:p>
        </w:tc>
        <w:tc>
          <w:tcPr>
            <w:tcW w:w="2418" w:type="dxa"/>
            <w:vMerge w:val="restart"/>
          </w:tcPr>
          <w:p w14:paraId="7E461B01" w14:textId="77777777" w:rsidR="00C82013" w:rsidRPr="00971118" w:rsidRDefault="00C82013" w:rsidP="00C82013">
            <w:pPr>
              <w:rPr>
                <w:rFonts w:ascii="Arial" w:hAnsi="Arial" w:cs="Arial"/>
                <w:color w:val="000000"/>
              </w:rPr>
            </w:pPr>
            <w:r w:rsidRPr="00225D57">
              <w:rPr>
                <w:rFonts w:ascii="Arial" w:hAnsi="Arial" w:cs="Arial"/>
                <w:color w:val="000000"/>
              </w:rPr>
              <w:t>Severe active rheumatoid arthritis</w:t>
            </w:r>
            <w:r w:rsidRPr="00225D57">
              <w:rPr>
                <w:rFonts w:ascii="Arial" w:hAnsi="Arial" w:cs="Arial"/>
                <w:color w:val="000000"/>
              </w:rPr>
              <w:br/>
              <w:t>Ankylosing spondylitis</w:t>
            </w:r>
            <w:r w:rsidRPr="00225D57">
              <w:rPr>
                <w:rFonts w:ascii="Arial" w:hAnsi="Arial" w:cs="Arial"/>
                <w:color w:val="000000"/>
              </w:rPr>
              <w:br/>
              <w:t>Severe psoriatic arthritis</w:t>
            </w:r>
            <w:r w:rsidRPr="00225D57">
              <w:rPr>
                <w:rFonts w:ascii="Arial" w:hAnsi="Arial" w:cs="Arial"/>
                <w:color w:val="000000"/>
              </w:rPr>
              <w:br/>
              <w:t>Severe chronic plaque psoriasis</w:t>
            </w:r>
          </w:p>
        </w:tc>
        <w:tc>
          <w:tcPr>
            <w:tcW w:w="3168" w:type="dxa"/>
            <w:tcMar>
              <w:top w:w="28" w:type="dxa"/>
              <w:bottom w:w="28" w:type="dxa"/>
            </w:tcMar>
          </w:tcPr>
          <w:p w14:paraId="6286F976" w14:textId="77777777" w:rsidR="00C82013" w:rsidRPr="00971118" w:rsidRDefault="00C82013" w:rsidP="00C82013">
            <w:pPr>
              <w:rPr>
                <w:rFonts w:ascii="Arial" w:hAnsi="Arial" w:cs="Arial"/>
                <w:highlight w:val="yellow"/>
              </w:rPr>
            </w:pPr>
            <w:r w:rsidRPr="00225D57">
              <w:rPr>
                <w:rFonts w:ascii="Arial" w:hAnsi="Arial" w:cs="Arial"/>
                <w:color w:val="000000"/>
              </w:rPr>
              <w:t>To request changes to the current Initial 1, Initial 2 and First Continuing restrictions for Brenzys®, including changing the restriction level to allow telephone authority</w:t>
            </w:r>
            <w:r>
              <w:rPr>
                <w:rFonts w:ascii="Arial" w:hAnsi="Arial" w:cs="Arial"/>
                <w:color w:val="000000"/>
              </w:rPr>
              <w:t>.</w:t>
            </w:r>
          </w:p>
        </w:tc>
        <w:tc>
          <w:tcPr>
            <w:tcW w:w="6670" w:type="dxa"/>
          </w:tcPr>
          <w:p w14:paraId="6F1D06B2" w14:textId="77777777" w:rsidR="00352A88" w:rsidRPr="004F0173" w:rsidRDefault="00C82013" w:rsidP="00C82013">
            <w:pPr>
              <w:pStyle w:val="ListParagraph"/>
              <w:ind w:left="0"/>
              <w:jc w:val="both"/>
              <w:rPr>
                <w:rFonts w:ascii="Arial" w:hAnsi="Arial" w:cs="Arial"/>
                <w:sz w:val="20"/>
                <w:szCs w:val="20"/>
              </w:rPr>
            </w:pPr>
            <w:r w:rsidRPr="00852F53">
              <w:rPr>
                <w:rFonts w:ascii="Arial" w:hAnsi="Arial" w:cs="Arial"/>
                <w:sz w:val="20"/>
                <w:szCs w:val="20"/>
              </w:rPr>
              <w:t xml:space="preserve">The PBAC deferred its consideration of the proposed biosimilar uptake drivers </w:t>
            </w:r>
            <w:r w:rsidR="00352A88">
              <w:rPr>
                <w:rFonts w:ascii="Arial" w:hAnsi="Arial" w:cs="Arial"/>
                <w:sz w:val="20"/>
                <w:szCs w:val="20"/>
              </w:rPr>
              <w:t>and requested the Department to</w:t>
            </w:r>
            <w:r w:rsidR="00352A88" w:rsidRPr="00852F53">
              <w:rPr>
                <w:rFonts w:ascii="Arial" w:hAnsi="Arial" w:cs="Arial"/>
                <w:sz w:val="20"/>
                <w:szCs w:val="20"/>
              </w:rPr>
              <w:t xml:space="preserve"> </w:t>
            </w:r>
            <w:r w:rsidRPr="00852F53">
              <w:rPr>
                <w:rFonts w:ascii="Arial" w:hAnsi="Arial" w:cs="Arial"/>
                <w:sz w:val="20"/>
                <w:szCs w:val="20"/>
              </w:rPr>
              <w:t xml:space="preserve">engage in broader biosimilar policy discussions </w:t>
            </w:r>
            <w:r w:rsidR="00352A88" w:rsidRPr="00352A88">
              <w:rPr>
                <w:rFonts w:ascii="Arial" w:hAnsi="Arial" w:cs="Arial"/>
                <w:sz w:val="20"/>
                <w:szCs w:val="20"/>
              </w:rPr>
              <w:t>to determine the feasibility of the request for additional uptake drivers from a policy</w:t>
            </w:r>
            <w:r w:rsidR="004F0173">
              <w:rPr>
                <w:rFonts w:ascii="Arial" w:hAnsi="Arial" w:cs="Arial"/>
                <w:sz w:val="20"/>
                <w:szCs w:val="20"/>
              </w:rPr>
              <w:t xml:space="preserve"> and implementation perspective </w:t>
            </w:r>
            <w:r w:rsidRPr="00852F53">
              <w:rPr>
                <w:rFonts w:ascii="Arial" w:hAnsi="Arial" w:cs="Arial"/>
                <w:sz w:val="20"/>
                <w:szCs w:val="20"/>
              </w:rPr>
              <w:t>regarding these requests.</w:t>
            </w:r>
          </w:p>
        </w:tc>
      </w:tr>
      <w:tr w:rsidR="00C82013" w:rsidRPr="00971118" w14:paraId="764B5BF6" w14:textId="77777777" w:rsidTr="00A964C7">
        <w:trPr>
          <w:cantSplit/>
          <w:trHeight w:val="477"/>
        </w:trPr>
        <w:tc>
          <w:tcPr>
            <w:tcW w:w="3055" w:type="dxa"/>
            <w:vMerge/>
            <w:tcBorders>
              <w:bottom w:val="single" w:sz="4" w:space="0" w:color="auto"/>
            </w:tcBorders>
            <w:tcMar>
              <w:top w:w="28" w:type="dxa"/>
              <w:bottom w:w="28" w:type="dxa"/>
            </w:tcMar>
          </w:tcPr>
          <w:p w14:paraId="7EF30403" w14:textId="77777777" w:rsidR="00C82013" w:rsidRPr="00971118" w:rsidRDefault="00C82013" w:rsidP="00C82013">
            <w:pPr>
              <w:widowControl w:val="0"/>
              <w:rPr>
                <w:rFonts w:ascii="Arial" w:hAnsi="Arial" w:cs="Arial"/>
                <w:snapToGrid w:val="0"/>
                <w:lang w:eastAsia="en-US"/>
              </w:rPr>
            </w:pPr>
          </w:p>
        </w:tc>
        <w:tc>
          <w:tcPr>
            <w:tcW w:w="2418" w:type="dxa"/>
            <w:vMerge/>
            <w:tcBorders>
              <w:bottom w:val="single" w:sz="4" w:space="0" w:color="auto"/>
            </w:tcBorders>
          </w:tcPr>
          <w:p w14:paraId="4BEDF035" w14:textId="77777777" w:rsidR="00C82013" w:rsidRPr="00971118" w:rsidRDefault="00C82013" w:rsidP="00C82013">
            <w:pPr>
              <w:widowControl w:val="0"/>
              <w:rPr>
                <w:rFonts w:ascii="Arial" w:hAnsi="Arial" w:cs="Arial"/>
                <w:snapToGrid w:val="0"/>
                <w:lang w:eastAsia="en-US"/>
              </w:rPr>
            </w:pPr>
          </w:p>
        </w:tc>
        <w:tc>
          <w:tcPr>
            <w:tcW w:w="3168" w:type="dxa"/>
            <w:tcBorders>
              <w:bottom w:val="single" w:sz="4" w:space="0" w:color="auto"/>
            </w:tcBorders>
            <w:tcMar>
              <w:top w:w="28" w:type="dxa"/>
              <w:bottom w:w="28" w:type="dxa"/>
            </w:tcMar>
          </w:tcPr>
          <w:p w14:paraId="02250AAF" w14:textId="77777777" w:rsidR="00C82013" w:rsidRPr="00971118" w:rsidRDefault="00C82013" w:rsidP="00C82013">
            <w:pPr>
              <w:widowControl w:val="0"/>
              <w:rPr>
                <w:rFonts w:ascii="Arial" w:hAnsi="Arial" w:cs="Arial"/>
                <w:snapToGrid w:val="0"/>
                <w:highlight w:val="yellow"/>
                <w:lang w:eastAsia="en-US"/>
              </w:rPr>
            </w:pPr>
            <w:r w:rsidRPr="00971118">
              <w:rPr>
                <w:rFonts w:ascii="Arial" w:hAnsi="Arial" w:cs="Arial"/>
                <w:snapToGrid w:val="0"/>
                <w:lang w:eastAsia="en-US"/>
              </w:rPr>
              <w:t>Sponsor Comment:</w:t>
            </w:r>
          </w:p>
        </w:tc>
        <w:tc>
          <w:tcPr>
            <w:tcW w:w="6670" w:type="dxa"/>
            <w:tcBorders>
              <w:bottom w:val="single" w:sz="4" w:space="0" w:color="auto"/>
            </w:tcBorders>
            <w:shd w:val="clear" w:color="auto" w:fill="auto"/>
          </w:tcPr>
          <w:p w14:paraId="3A5C73FB" w14:textId="42771F7A" w:rsidR="00A964C7" w:rsidRDefault="000404E1" w:rsidP="00C82013">
            <w:pPr>
              <w:pStyle w:val="ListParagraph"/>
              <w:ind w:left="0"/>
              <w:jc w:val="both"/>
              <w:rPr>
                <w:rFonts w:ascii="Arial" w:hAnsi="Arial" w:cs="Arial"/>
                <w:sz w:val="20"/>
                <w:szCs w:val="20"/>
              </w:rPr>
            </w:pPr>
            <w:r w:rsidRPr="000404E1">
              <w:rPr>
                <w:rFonts w:ascii="Arial" w:hAnsi="Arial" w:cs="Arial"/>
                <w:sz w:val="20"/>
                <w:szCs w:val="20"/>
              </w:rPr>
              <w:t>MSD is encouraged by the PBAC’s request for the Department to engage in broader biosimilar policy discussions, and will continue to work with both the Department and the PBAC towards implementation of these uptake drivers.</w:t>
            </w:r>
          </w:p>
          <w:p w14:paraId="07DA2440" w14:textId="77777777" w:rsidR="00A964C7" w:rsidRDefault="00A964C7" w:rsidP="00C82013">
            <w:pPr>
              <w:pStyle w:val="ListParagraph"/>
              <w:ind w:left="0"/>
              <w:jc w:val="both"/>
              <w:rPr>
                <w:rFonts w:ascii="Arial" w:hAnsi="Arial" w:cs="Arial"/>
                <w:sz w:val="20"/>
                <w:szCs w:val="20"/>
              </w:rPr>
            </w:pPr>
          </w:p>
          <w:p w14:paraId="56AD6A57" w14:textId="77777777" w:rsidR="00A964C7" w:rsidRDefault="00A964C7" w:rsidP="00C82013">
            <w:pPr>
              <w:pStyle w:val="ListParagraph"/>
              <w:ind w:left="0"/>
              <w:jc w:val="both"/>
              <w:rPr>
                <w:rFonts w:ascii="Arial" w:hAnsi="Arial" w:cs="Arial"/>
                <w:sz w:val="20"/>
                <w:szCs w:val="20"/>
              </w:rPr>
            </w:pPr>
          </w:p>
          <w:p w14:paraId="55D56332" w14:textId="77777777" w:rsidR="00A964C7" w:rsidRPr="00C1236E" w:rsidRDefault="00A964C7" w:rsidP="00C82013">
            <w:pPr>
              <w:pStyle w:val="ListParagraph"/>
              <w:ind w:left="0"/>
              <w:jc w:val="both"/>
              <w:rPr>
                <w:rFonts w:ascii="Arial" w:hAnsi="Arial" w:cs="Arial"/>
                <w:sz w:val="20"/>
                <w:szCs w:val="20"/>
              </w:rPr>
            </w:pPr>
          </w:p>
        </w:tc>
      </w:tr>
      <w:tr w:rsidR="00513C4D" w:rsidRPr="00971118" w14:paraId="20E060BE" w14:textId="77777777" w:rsidTr="00A964C7">
        <w:trPr>
          <w:cantSplit/>
          <w:trHeight w:val="2484"/>
        </w:trPr>
        <w:tc>
          <w:tcPr>
            <w:tcW w:w="3055" w:type="dxa"/>
            <w:vMerge w:val="restart"/>
            <w:tcBorders>
              <w:top w:val="single" w:sz="4" w:space="0" w:color="auto"/>
            </w:tcBorders>
            <w:tcMar>
              <w:top w:w="28" w:type="dxa"/>
              <w:bottom w:w="28" w:type="dxa"/>
            </w:tcMar>
          </w:tcPr>
          <w:p w14:paraId="4413F4A9" w14:textId="77777777" w:rsidR="00513C4D" w:rsidRDefault="00513C4D" w:rsidP="00513C4D">
            <w:pPr>
              <w:rPr>
                <w:rFonts w:ascii="Arial" w:hAnsi="Arial" w:cs="Arial"/>
                <w:color w:val="000000"/>
              </w:rPr>
            </w:pPr>
            <w:r w:rsidRPr="00225D57">
              <w:rPr>
                <w:rFonts w:ascii="Arial" w:hAnsi="Arial" w:cs="Arial"/>
                <w:color w:val="000000"/>
              </w:rPr>
              <w:lastRenderedPageBreak/>
              <w:t>TOCILIZUMAB</w:t>
            </w:r>
            <w:r w:rsidRPr="00225D57">
              <w:rPr>
                <w:rFonts w:ascii="Arial" w:hAnsi="Arial" w:cs="Arial"/>
                <w:color w:val="000000"/>
              </w:rPr>
              <w:br/>
            </w:r>
            <w:r w:rsidRPr="00225D57">
              <w:rPr>
                <w:rFonts w:ascii="Arial" w:hAnsi="Arial" w:cs="Arial"/>
                <w:color w:val="000000"/>
              </w:rPr>
              <w:br/>
              <w:t>Injection 162 mg in 0.9 mL pre-filled pen</w:t>
            </w:r>
            <w:r w:rsidRPr="00225D57">
              <w:rPr>
                <w:rFonts w:ascii="Arial" w:hAnsi="Arial" w:cs="Arial"/>
                <w:color w:val="000000"/>
              </w:rPr>
              <w:br/>
              <w:t>Injection 162 mg in 0.9 mL pre-filled syringe</w:t>
            </w:r>
            <w:r w:rsidRPr="00225D57">
              <w:rPr>
                <w:rFonts w:ascii="Arial" w:hAnsi="Arial" w:cs="Arial"/>
                <w:color w:val="000000"/>
              </w:rPr>
              <w:br/>
            </w:r>
            <w:r w:rsidRPr="00225D57">
              <w:rPr>
                <w:rFonts w:ascii="Arial" w:hAnsi="Arial" w:cs="Arial"/>
                <w:color w:val="000000"/>
              </w:rPr>
              <w:br/>
              <w:t>Actemra®</w:t>
            </w:r>
            <w:r w:rsidRPr="00225D57">
              <w:rPr>
                <w:rFonts w:ascii="Arial" w:hAnsi="Arial" w:cs="Arial"/>
                <w:color w:val="000000"/>
              </w:rPr>
              <w:br/>
            </w:r>
            <w:r w:rsidRPr="00225D57">
              <w:rPr>
                <w:rFonts w:ascii="Arial" w:hAnsi="Arial" w:cs="Arial"/>
                <w:color w:val="000000"/>
              </w:rPr>
              <w:br/>
              <w:t>Roche Products Pty Ltd</w:t>
            </w:r>
          </w:p>
          <w:p w14:paraId="4C9DE0D1" w14:textId="77777777" w:rsidR="00C431B0" w:rsidRDefault="00C431B0" w:rsidP="00513C4D">
            <w:pPr>
              <w:rPr>
                <w:rFonts w:ascii="Arial" w:hAnsi="Arial" w:cs="Arial"/>
                <w:color w:val="000000"/>
              </w:rPr>
            </w:pPr>
          </w:p>
          <w:p w14:paraId="5FC6A191" w14:textId="77777777" w:rsidR="00513C4D" w:rsidRDefault="00296E1E" w:rsidP="00513C4D">
            <w:pPr>
              <w:rPr>
                <w:rFonts w:ascii="Arial" w:hAnsi="Arial" w:cs="Arial"/>
                <w:color w:val="000000"/>
              </w:rPr>
            </w:pPr>
            <w:r>
              <w:rPr>
                <w:rFonts w:ascii="Arial" w:hAnsi="Arial" w:cs="Arial"/>
                <w:color w:val="000000"/>
              </w:rPr>
              <w:t>Change to listing</w:t>
            </w:r>
          </w:p>
          <w:p w14:paraId="62312A3D" w14:textId="77777777" w:rsidR="00513C4D" w:rsidRPr="00225D57" w:rsidRDefault="00513C4D" w:rsidP="00513C4D">
            <w:pPr>
              <w:rPr>
                <w:rFonts w:ascii="Arial" w:hAnsi="Arial" w:cs="Arial"/>
                <w:color w:val="000000"/>
              </w:rPr>
            </w:pPr>
            <w:r>
              <w:rPr>
                <w:rFonts w:ascii="Arial" w:hAnsi="Arial" w:cs="Arial"/>
                <w:color w:val="000000"/>
              </w:rPr>
              <w:t>(Major Submission)</w:t>
            </w:r>
          </w:p>
        </w:tc>
        <w:tc>
          <w:tcPr>
            <w:tcW w:w="2418" w:type="dxa"/>
            <w:vMerge w:val="restart"/>
            <w:tcBorders>
              <w:top w:val="single" w:sz="4" w:space="0" w:color="auto"/>
            </w:tcBorders>
          </w:tcPr>
          <w:p w14:paraId="132E5BF3" w14:textId="77777777" w:rsidR="00513C4D" w:rsidRPr="00395B97" w:rsidRDefault="00513C4D" w:rsidP="00513C4D">
            <w:pPr>
              <w:keepNext/>
              <w:rPr>
                <w:rFonts w:ascii="Arial" w:hAnsi="Arial" w:cs="Arial"/>
              </w:rPr>
            </w:pPr>
            <w:r w:rsidRPr="00225D57">
              <w:rPr>
                <w:rFonts w:ascii="Arial" w:hAnsi="Arial" w:cs="Arial"/>
                <w:color w:val="000000"/>
              </w:rPr>
              <w:t>Giant Cell Arteritis</w:t>
            </w:r>
          </w:p>
        </w:tc>
        <w:tc>
          <w:tcPr>
            <w:tcW w:w="3168" w:type="dxa"/>
            <w:tcBorders>
              <w:top w:val="single" w:sz="4" w:space="0" w:color="auto"/>
            </w:tcBorders>
            <w:tcMar>
              <w:top w:w="28" w:type="dxa"/>
              <w:bottom w:w="28" w:type="dxa"/>
            </w:tcMar>
          </w:tcPr>
          <w:p w14:paraId="748A416E" w14:textId="77777777" w:rsidR="00513C4D" w:rsidRPr="00971118" w:rsidRDefault="00513C4D" w:rsidP="00513C4D">
            <w:pPr>
              <w:keepNext/>
              <w:rPr>
                <w:rFonts w:ascii="Arial" w:hAnsi="Arial" w:cs="Arial"/>
                <w:highlight w:val="yellow"/>
              </w:rPr>
            </w:pPr>
            <w:r w:rsidRPr="00C431B0">
              <w:rPr>
                <w:rFonts w:ascii="Arial" w:hAnsi="Arial" w:cs="Arial"/>
                <w:color w:val="000000"/>
              </w:rPr>
              <w:t>To request an Authority Required listing for the treatment of giant c</w:t>
            </w:r>
            <w:bookmarkStart w:id="0" w:name="_GoBack"/>
            <w:bookmarkEnd w:id="0"/>
            <w:r w:rsidRPr="00C431B0">
              <w:rPr>
                <w:rFonts w:ascii="Arial" w:hAnsi="Arial" w:cs="Arial"/>
                <w:color w:val="000000"/>
              </w:rPr>
              <w:t>ell arteritis.</w:t>
            </w:r>
          </w:p>
        </w:tc>
        <w:tc>
          <w:tcPr>
            <w:tcW w:w="6670" w:type="dxa"/>
            <w:tcBorders>
              <w:top w:val="single" w:sz="4" w:space="0" w:color="auto"/>
            </w:tcBorders>
          </w:tcPr>
          <w:p w14:paraId="76FD1617" w14:textId="51936BF2" w:rsidR="002C3C66" w:rsidRDefault="00C431B0" w:rsidP="00C431B0">
            <w:pPr>
              <w:jc w:val="both"/>
              <w:rPr>
                <w:rFonts w:ascii="Arial" w:hAnsi="Arial" w:cs="Arial"/>
                <w:color w:val="000000"/>
              </w:rPr>
            </w:pPr>
            <w:r w:rsidRPr="00C431B0">
              <w:rPr>
                <w:rFonts w:ascii="Arial" w:hAnsi="Arial" w:cs="Arial"/>
                <w:color w:val="000000"/>
              </w:rPr>
              <w:t xml:space="preserve">The PBAC deferred making a decision regarding the listing tocilizumab for the treatment of giant cell arteritis (GCA). The PBAC noted that the key trial (the GiACTA trial) found that tocilizumab (weekly or fortnightly) was associated with a statistically significant increase in response rates compared with placebo plus a 52-week prednisone taper, and considered this was an important clinical benefit in this condition. The PBAC considered that tocilizumab treatment for GCA was likely to be cost-effective given: the </w:t>
            </w:r>
            <w:r w:rsidR="00DC517F">
              <w:rPr>
                <w:rFonts w:ascii="Arial" w:hAnsi="Arial" w:cs="Arial"/>
                <w:color w:val="000000"/>
              </w:rPr>
              <w:t>p</w:t>
            </w:r>
            <w:r w:rsidRPr="00C431B0">
              <w:rPr>
                <w:rFonts w:ascii="Arial" w:hAnsi="Arial" w:cs="Arial"/>
                <w:color w:val="000000"/>
              </w:rPr>
              <w:t xml:space="preserve">rice reduction offered in the pre-PBAC response; that a proportion of patients could be treated fortnightly (rather than weekly); and that tocilizumab treatment would be limited to 12 months in line with the trial evidence. </w:t>
            </w:r>
          </w:p>
          <w:p w14:paraId="66455761" w14:textId="77777777" w:rsidR="002C3C66" w:rsidRDefault="002C3C66" w:rsidP="00C431B0">
            <w:pPr>
              <w:jc w:val="both"/>
              <w:rPr>
                <w:rFonts w:ascii="Arial" w:hAnsi="Arial" w:cs="Arial"/>
                <w:color w:val="000000"/>
              </w:rPr>
            </w:pPr>
          </w:p>
          <w:p w14:paraId="0D361B27" w14:textId="77777777" w:rsidR="00C431B0" w:rsidRPr="00C431B0" w:rsidRDefault="00C431B0" w:rsidP="00C431B0">
            <w:pPr>
              <w:jc w:val="both"/>
              <w:rPr>
                <w:rFonts w:ascii="Arial" w:hAnsi="Arial" w:cs="Arial"/>
                <w:color w:val="000000"/>
              </w:rPr>
            </w:pPr>
            <w:r w:rsidRPr="00C431B0">
              <w:rPr>
                <w:rFonts w:ascii="Arial" w:hAnsi="Arial" w:cs="Arial"/>
                <w:color w:val="000000"/>
              </w:rPr>
              <w:t>The PBAC deferred making a decision to seek further information regarding the</w:t>
            </w:r>
            <w:r w:rsidR="002C3C66">
              <w:t xml:space="preserve"> </w:t>
            </w:r>
            <w:r w:rsidR="002C3C66" w:rsidRPr="002C3C66">
              <w:rPr>
                <w:rFonts w:ascii="Arial" w:hAnsi="Arial" w:cs="Arial"/>
                <w:color w:val="000000"/>
              </w:rPr>
              <w:t>imaging and biopsy requirements for diagnosis of GCA</w:t>
            </w:r>
            <w:r w:rsidRPr="00C431B0">
              <w:rPr>
                <w:rFonts w:ascii="Arial" w:hAnsi="Arial" w:cs="Arial"/>
                <w:color w:val="000000"/>
              </w:rPr>
              <w:t xml:space="preserve"> </w:t>
            </w:r>
            <w:r w:rsidR="002C3C66">
              <w:rPr>
                <w:rFonts w:ascii="Arial" w:hAnsi="Arial" w:cs="Arial"/>
                <w:color w:val="000000"/>
              </w:rPr>
              <w:t xml:space="preserve">for the </w:t>
            </w:r>
            <w:r w:rsidRPr="00C431B0">
              <w:rPr>
                <w:rFonts w:ascii="Arial" w:hAnsi="Arial" w:cs="Arial"/>
                <w:color w:val="000000"/>
              </w:rPr>
              <w:t xml:space="preserve">restriction and for the financial caps to be revised to account for fortnightly dosing.  </w:t>
            </w:r>
          </w:p>
          <w:p w14:paraId="6FBC64C2" w14:textId="77777777" w:rsidR="00C431B0" w:rsidRPr="00C431B0" w:rsidRDefault="00C431B0" w:rsidP="00C431B0">
            <w:pPr>
              <w:jc w:val="both"/>
              <w:rPr>
                <w:rFonts w:ascii="Arial" w:hAnsi="Arial" w:cs="Arial"/>
                <w:color w:val="000000"/>
              </w:rPr>
            </w:pPr>
          </w:p>
          <w:p w14:paraId="29724C28" w14:textId="77777777" w:rsidR="002C3C66" w:rsidRPr="008B3063" w:rsidRDefault="00C431B0" w:rsidP="004F0173">
            <w:pPr>
              <w:jc w:val="both"/>
              <w:rPr>
                <w:rFonts w:ascii="Arial" w:hAnsi="Arial" w:cs="Arial"/>
                <w:color w:val="000000"/>
                <w:sz w:val="24"/>
                <w:szCs w:val="24"/>
              </w:rPr>
            </w:pPr>
            <w:r w:rsidRPr="00C431B0">
              <w:rPr>
                <w:rFonts w:ascii="Arial" w:hAnsi="Arial" w:cs="Arial"/>
                <w:color w:val="000000"/>
              </w:rPr>
              <w:t>In deciding to defer, the PBAC considered there was a high unmet clinical need for effective treatments for GCA particularly given the adverse events associated with corticosteroids in this population who are often older patients with comorbidities, and the limited treatment options available.</w:t>
            </w:r>
          </w:p>
        </w:tc>
      </w:tr>
      <w:tr w:rsidR="00513C4D" w:rsidRPr="00971118" w14:paraId="4186FB77" w14:textId="77777777" w:rsidTr="00A964C7">
        <w:trPr>
          <w:cantSplit/>
          <w:trHeight w:val="614"/>
        </w:trPr>
        <w:tc>
          <w:tcPr>
            <w:tcW w:w="3055" w:type="dxa"/>
            <w:vMerge/>
            <w:tcMar>
              <w:top w:w="28" w:type="dxa"/>
              <w:bottom w:w="28" w:type="dxa"/>
            </w:tcMar>
          </w:tcPr>
          <w:p w14:paraId="5AEC1411" w14:textId="77777777" w:rsidR="00513C4D" w:rsidRDefault="00513C4D" w:rsidP="00513C4D">
            <w:pPr>
              <w:autoSpaceDE w:val="0"/>
              <w:autoSpaceDN w:val="0"/>
              <w:adjustRightInd w:val="0"/>
              <w:rPr>
                <w:rFonts w:ascii="Arial+FPEF" w:hAnsi="Arial+FPEF" w:cs="Arial+FPEF"/>
              </w:rPr>
            </w:pPr>
          </w:p>
        </w:tc>
        <w:tc>
          <w:tcPr>
            <w:tcW w:w="2418" w:type="dxa"/>
            <w:vMerge/>
          </w:tcPr>
          <w:p w14:paraId="2DCAAF1D" w14:textId="77777777" w:rsidR="00513C4D" w:rsidRDefault="00513C4D" w:rsidP="00513C4D">
            <w:pPr>
              <w:autoSpaceDE w:val="0"/>
              <w:autoSpaceDN w:val="0"/>
              <w:adjustRightInd w:val="0"/>
              <w:rPr>
                <w:rFonts w:ascii="Arial+FPEF" w:hAnsi="Arial+FPEF" w:cs="Arial+FPEF"/>
              </w:rPr>
            </w:pPr>
          </w:p>
        </w:tc>
        <w:tc>
          <w:tcPr>
            <w:tcW w:w="3168" w:type="dxa"/>
            <w:tcMar>
              <w:top w:w="28" w:type="dxa"/>
              <w:bottom w:w="28" w:type="dxa"/>
            </w:tcMar>
          </w:tcPr>
          <w:p w14:paraId="53ACA454" w14:textId="77777777" w:rsidR="00513C4D" w:rsidRPr="00971118" w:rsidRDefault="00513C4D" w:rsidP="00513C4D">
            <w:pPr>
              <w:pStyle w:val="ListParagraph"/>
              <w:ind w:left="0"/>
              <w:rPr>
                <w:rFonts w:ascii="Arial" w:hAnsi="Arial" w:cs="Arial"/>
              </w:rPr>
            </w:pPr>
            <w:r w:rsidRPr="00395B97">
              <w:rPr>
                <w:rFonts w:ascii="Arial" w:hAnsi="Arial" w:cs="Arial"/>
                <w:snapToGrid w:val="0"/>
                <w:sz w:val="20"/>
                <w:szCs w:val="20"/>
                <w:lang w:eastAsia="en-US"/>
              </w:rPr>
              <w:t>Sponsor Comment:</w:t>
            </w:r>
          </w:p>
        </w:tc>
        <w:tc>
          <w:tcPr>
            <w:tcW w:w="6670" w:type="dxa"/>
            <w:shd w:val="clear" w:color="auto" w:fill="auto"/>
          </w:tcPr>
          <w:p w14:paraId="21291E95" w14:textId="77777777" w:rsidR="00513C4D" w:rsidRPr="00DC517F" w:rsidRDefault="00A77067" w:rsidP="00DC517F">
            <w:pPr>
              <w:jc w:val="both"/>
              <w:rPr>
                <w:rFonts w:ascii="Arial" w:hAnsi="Arial" w:cs="Arial"/>
              </w:rPr>
            </w:pPr>
            <w:r w:rsidRPr="00DC517F">
              <w:rPr>
                <w:rFonts w:ascii="Arial" w:hAnsi="Arial" w:cs="Arial"/>
                <w:iCs/>
              </w:rPr>
              <w:t>Roche is committed to addressing the outstanding matters raised by PBAC to bring tocilizumab to patients with GCA at the earliest opportunity.</w:t>
            </w:r>
          </w:p>
        </w:tc>
      </w:tr>
    </w:tbl>
    <w:p w14:paraId="7269ED0D" w14:textId="77777777" w:rsidR="00C26FE5" w:rsidRPr="00F609BF" w:rsidRDefault="00C26FE5" w:rsidP="0065234B">
      <w:pPr>
        <w:tabs>
          <w:tab w:val="left" w:pos="5210"/>
        </w:tabs>
        <w:rPr>
          <w:rFonts w:ascii="Arial" w:hAnsi="Arial" w:cs="Arial"/>
          <w:lang w:val="en-US"/>
        </w:rPr>
      </w:pPr>
    </w:p>
    <w:sectPr w:rsidR="00C26FE5" w:rsidRPr="00F609BF" w:rsidSect="00281EE0">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051C2" w14:textId="77777777" w:rsidR="00EC7CAC" w:rsidRDefault="00EC7CAC">
      <w:r>
        <w:separator/>
      </w:r>
    </w:p>
  </w:endnote>
  <w:endnote w:type="continuationSeparator" w:id="0">
    <w:p w14:paraId="5C7E3FC0" w14:textId="77777777" w:rsidR="00EC7CAC" w:rsidRDefault="00EC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FPE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67D62" w14:textId="77777777"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34F3CA" w14:textId="77777777" w:rsidR="005E1F3B" w:rsidRDefault="005E1F3B"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6C6A1" w14:textId="2284B0CD"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E14DD9">
      <w:rPr>
        <w:rStyle w:val="PageNumber"/>
        <w:rFonts w:ascii="Arial" w:hAnsi="Arial" w:cs="Arial"/>
        <w:noProof/>
      </w:rPr>
      <w:t>1</w:t>
    </w:r>
    <w:r w:rsidRPr="00287C89">
      <w:rPr>
        <w:rStyle w:val="PageNumber"/>
        <w:rFonts w:ascii="Arial" w:hAnsi="Arial" w:cs="Arial"/>
      </w:rPr>
      <w:fldChar w:fldCharType="end"/>
    </w:r>
  </w:p>
  <w:p w14:paraId="7C1EE374" w14:textId="77777777" w:rsidR="005E1F3B" w:rsidRDefault="005E1F3B"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ED6D4" w14:textId="77777777" w:rsidR="00E14DD9" w:rsidRDefault="00E14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78C65" w14:textId="77777777" w:rsidR="00EC7CAC" w:rsidRDefault="00EC7CAC">
      <w:r>
        <w:separator/>
      </w:r>
    </w:p>
  </w:footnote>
  <w:footnote w:type="continuationSeparator" w:id="0">
    <w:p w14:paraId="2FB7425C" w14:textId="77777777" w:rsidR="00EC7CAC" w:rsidRDefault="00EC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3F548" w14:textId="77777777" w:rsidR="00E14DD9" w:rsidRDefault="00E14D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35266" w14:textId="77777777" w:rsidR="00BB0500" w:rsidRDefault="00390AAC" w:rsidP="00BB0500">
    <w:pPr>
      <w:pStyle w:val="Header"/>
      <w:jc w:val="center"/>
      <w:rPr>
        <w:rFonts w:ascii="Arial" w:hAnsi="Arial" w:cs="Arial"/>
        <w:b/>
      </w:rPr>
    </w:pPr>
    <w:r>
      <w:rPr>
        <w:rFonts w:ascii="Arial" w:hAnsi="Arial" w:cs="Arial"/>
        <w:b/>
      </w:rPr>
      <w:t>NOVEMBER</w:t>
    </w:r>
    <w:r w:rsidR="006653E9">
      <w:rPr>
        <w:rFonts w:ascii="Arial" w:hAnsi="Arial" w:cs="Arial"/>
        <w:b/>
      </w:rPr>
      <w:t xml:space="preserve"> 2018</w:t>
    </w:r>
    <w:r w:rsidR="00F274E4">
      <w:rPr>
        <w:rFonts w:ascii="Arial" w:hAnsi="Arial" w:cs="Arial"/>
        <w:b/>
      </w:rPr>
      <w:t xml:space="preserve"> </w:t>
    </w:r>
    <w:r w:rsidR="00BB0500" w:rsidRPr="00BB0500">
      <w:rPr>
        <w:rFonts w:ascii="Arial" w:hAnsi="Arial" w:cs="Arial"/>
        <w:b/>
      </w:rPr>
      <w:t xml:space="preserve">PBAC OUTCOMES </w:t>
    </w:r>
    <w:r w:rsidR="0057221C">
      <w:rPr>
        <w:rFonts w:ascii="Arial" w:hAnsi="Arial" w:cs="Arial"/>
        <w:b/>
      </w:rPr>
      <w:t>–</w:t>
    </w:r>
    <w:r w:rsidR="00BB0500" w:rsidRPr="00BB0500">
      <w:rPr>
        <w:rFonts w:ascii="Arial" w:hAnsi="Arial" w:cs="Arial"/>
        <w:b/>
      </w:rPr>
      <w:t xml:space="preserve"> DEFERRALS</w:t>
    </w:r>
  </w:p>
  <w:p w14:paraId="493D1E59" w14:textId="77777777" w:rsidR="0057221C" w:rsidRPr="00BB0500" w:rsidRDefault="0057221C" w:rsidP="00BB0500">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D8168" w14:textId="77777777" w:rsidR="00E14DD9" w:rsidRDefault="00E14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AF13F0"/>
    <w:multiLevelType w:val="hybridMultilevel"/>
    <w:tmpl w:val="04EAFF28"/>
    <w:lvl w:ilvl="0" w:tplc="34EA4568">
      <w:start w:val="1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12" w15:restartNumberingAfterBreak="0">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15:restartNumberingAfterBreak="0">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731EC4"/>
    <w:multiLevelType w:val="hybridMultilevel"/>
    <w:tmpl w:val="D898C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4D033C"/>
    <w:multiLevelType w:val="multilevel"/>
    <w:tmpl w:val="ECECA7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6"/>
  </w:num>
  <w:num w:numId="4">
    <w:abstractNumId w:val="10"/>
  </w:num>
  <w:num w:numId="5">
    <w:abstractNumId w:val="6"/>
  </w:num>
  <w:num w:numId="6">
    <w:abstractNumId w:val="2"/>
  </w:num>
  <w:num w:numId="7">
    <w:abstractNumId w:val="1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0"/>
  </w:num>
  <w:num w:numId="11">
    <w:abstractNumId w:val="12"/>
  </w:num>
  <w:num w:numId="12">
    <w:abstractNumId w:val="14"/>
  </w:num>
  <w:num w:numId="13">
    <w:abstractNumId w:val="3"/>
  </w:num>
  <w:num w:numId="14">
    <w:abstractNumId w:val="13"/>
  </w:num>
  <w:num w:numId="15">
    <w:abstractNumId w:val="15"/>
  </w:num>
  <w:num w:numId="16">
    <w:abstractNumId w:val="11"/>
  </w:num>
  <w:num w:numId="17">
    <w:abstractNumId w:val="22"/>
  </w:num>
  <w:num w:numId="18">
    <w:abstractNumId w:val="23"/>
  </w:num>
  <w:num w:numId="19">
    <w:abstractNumId w:val="1"/>
  </w:num>
  <w:num w:numId="20">
    <w:abstractNumId w:val="7"/>
  </w:num>
  <w:num w:numId="21">
    <w:abstractNumId w:val="9"/>
  </w:num>
  <w:num w:numId="22">
    <w:abstractNumId w:val="21"/>
  </w:num>
  <w:num w:numId="23">
    <w:abstractNumId w:val="1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0EC"/>
    <w:rsid w:val="000102AF"/>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F52"/>
    <w:rsid w:val="0004019D"/>
    <w:rsid w:val="000404E1"/>
    <w:rsid w:val="000407AC"/>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2D6F"/>
    <w:rsid w:val="00053B4A"/>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E91"/>
    <w:rsid w:val="00070204"/>
    <w:rsid w:val="00070612"/>
    <w:rsid w:val="000714CE"/>
    <w:rsid w:val="00071D67"/>
    <w:rsid w:val="00072584"/>
    <w:rsid w:val="00072F02"/>
    <w:rsid w:val="00074126"/>
    <w:rsid w:val="0007567B"/>
    <w:rsid w:val="00075B7E"/>
    <w:rsid w:val="00076287"/>
    <w:rsid w:val="00076297"/>
    <w:rsid w:val="00077F45"/>
    <w:rsid w:val="00080510"/>
    <w:rsid w:val="00081153"/>
    <w:rsid w:val="00081DCD"/>
    <w:rsid w:val="00082053"/>
    <w:rsid w:val="00082507"/>
    <w:rsid w:val="000834C8"/>
    <w:rsid w:val="00083565"/>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87AC9"/>
    <w:rsid w:val="00090385"/>
    <w:rsid w:val="00090D21"/>
    <w:rsid w:val="00090F42"/>
    <w:rsid w:val="00091262"/>
    <w:rsid w:val="00092523"/>
    <w:rsid w:val="00093960"/>
    <w:rsid w:val="0009470A"/>
    <w:rsid w:val="0009525B"/>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0F98"/>
    <w:rsid w:val="000C1BA1"/>
    <w:rsid w:val="000C1D4C"/>
    <w:rsid w:val="000C22B0"/>
    <w:rsid w:val="000C2786"/>
    <w:rsid w:val="000C3369"/>
    <w:rsid w:val="000C3CAA"/>
    <w:rsid w:val="000C45E3"/>
    <w:rsid w:val="000C56B4"/>
    <w:rsid w:val="000C586F"/>
    <w:rsid w:val="000C5B48"/>
    <w:rsid w:val="000C661A"/>
    <w:rsid w:val="000C77A9"/>
    <w:rsid w:val="000D0D8B"/>
    <w:rsid w:val="000D14F1"/>
    <w:rsid w:val="000D1893"/>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444A"/>
    <w:rsid w:val="000F5D35"/>
    <w:rsid w:val="000F5DDE"/>
    <w:rsid w:val="001000EA"/>
    <w:rsid w:val="00100B0B"/>
    <w:rsid w:val="001025E7"/>
    <w:rsid w:val="0010275F"/>
    <w:rsid w:val="0010316E"/>
    <w:rsid w:val="001038BB"/>
    <w:rsid w:val="00103F76"/>
    <w:rsid w:val="00105739"/>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12F"/>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17"/>
    <w:rsid w:val="00143E66"/>
    <w:rsid w:val="00144E02"/>
    <w:rsid w:val="00145D66"/>
    <w:rsid w:val="00146F0E"/>
    <w:rsid w:val="0014770F"/>
    <w:rsid w:val="0014776D"/>
    <w:rsid w:val="00147845"/>
    <w:rsid w:val="00147FC1"/>
    <w:rsid w:val="001500C8"/>
    <w:rsid w:val="001502B0"/>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1577"/>
    <w:rsid w:val="001B16C3"/>
    <w:rsid w:val="001B1838"/>
    <w:rsid w:val="001B1C67"/>
    <w:rsid w:val="001B2234"/>
    <w:rsid w:val="001B3984"/>
    <w:rsid w:val="001B3FE9"/>
    <w:rsid w:val="001B46AE"/>
    <w:rsid w:val="001B5107"/>
    <w:rsid w:val="001B54F0"/>
    <w:rsid w:val="001B5950"/>
    <w:rsid w:val="001B6AAD"/>
    <w:rsid w:val="001B71B5"/>
    <w:rsid w:val="001B78E2"/>
    <w:rsid w:val="001B7BF2"/>
    <w:rsid w:val="001B7EED"/>
    <w:rsid w:val="001C0289"/>
    <w:rsid w:val="001C181C"/>
    <w:rsid w:val="001C27AF"/>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7B5"/>
    <w:rsid w:val="001E092F"/>
    <w:rsid w:val="001E0947"/>
    <w:rsid w:val="001E152C"/>
    <w:rsid w:val="001E24EA"/>
    <w:rsid w:val="001E25FF"/>
    <w:rsid w:val="001E35D6"/>
    <w:rsid w:val="001E411C"/>
    <w:rsid w:val="001E4BBC"/>
    <w:rsid w:val="001E5979"/>
    <w:rsid w:val="001E5C38"/>
    <w:rsid w:val="001E70C9"/>
    <w:rsid w:val="001E776D"/>
    <w:rsid w:val="001E77D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46F2"/>
    <w:rsid w:val="002550D8"/>
    <w:rsid w:val="00256078"/>
    <w:rsid w:val="002564FB"/>
    <w:rsid w:val="0026049B"/>
    <w:rsid w:val="00260EFA"/>
    <w:rsid w:val="00261377"/>
    <w:rsid w:val="00261EFF"/>
    <w:rsid w:val="00262160"/>
    <w:rsid w:val="00262814"/>
    <w:rsid w:val="002629E0"/>
    <w:rsid w:val="00262E2E"/>
    <w:rsid w:val="00263457"/>
    <w:rsid w:val="00263EF4"/>
    <w:rsid w:val="00264A64"/>
    <w:rsid w:val="00265FE9"/>
    <w:rsid w:val="0026773E"/>
    <w:rsid w:val="00270D7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1EE0"/>
    <w:rsid w:val="00282CDE"/>
    <w:rsid w:val="00283073"/>
    <w:rsid w:val="0028348A"/>
    <w:rsid w:val="00285478"/>
    <w:rsid w:val="0028663C"/>
    <w:rsid w:val="00287C89"/>
    <w:rsid w:val="002905B5"/>
    <w:rsid w:val="00293203"/>
    <w:rsid w:val="0029329A"/>
    <w:rsid w:val="00293A15"/>
    <w:rsid w:val="00295693"/>
    <w:rsid w:val="002969C0"/>
    <w:rsid w:val="00296E1E"/>
    <w:rsid w:val="002972D4"/>
    <w:rsid w:val="00297AEF"/>
    <w:rsid w:val="00297F02"/>
    <w:rsid w:val="00297F1D"/>
    <w:rsid w:val="002A06E1"/>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502"/>
    <w:rsid w:val="002C397B"/>
    <w:rsid w:val="002C3BA0"/>
    <w:rsid w:val="002C3C66"/>
    <w:rsid w:val="002C436C"/>
    <w:rsid w:val="002C46B4"/>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EA5"/>
    <w:rsid w:val="00301ADB"/>
    <w:rsid w:val="003022B8"/>
    <w:rsid w:val="003023C4"/>
    <w:rsid w:val="003023EB"/>
    <w:rsid w:val="003026B9"/>
    <w:rsid w:val="00302C73"/>
    <w:rsid w:val="003035B2"/>
    <w:rsid w:val="00303733"/>
    <w:rsid w:val="00303A2F"/>
    <w:rsid w:val="00303C94"/>
    <w:rsid w:val="00304BF7"/>
    <w:rsid w:val="00304FE8"/>
    <w:rsid w:val="00305FA4"/>
    <w:rsid w:val="0030662A"/>
    <w:rsid w:val="00306822"/>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1E0A"/>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63D"/>
    <w:rsid w:val="00330AA8"/>
    <w:rsid w:val="00332129"/>
    <w:rsid w:val="0033322F"/>
    <w:rsid w:val="00334912"/>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A88"/>
    <w:rsid w:val="00352CFB"/>
    <w:rsid w:val="00352F20"/>
    <w:rsid w:val="003530B9"/>
    <w:rsid w:val="00353798"/>
    <w:rsid w:val="003541D1"/>
    <w:rsid w:val="003548D7"/>
    <w:rsid w:val="003548F0"/>
    <w:rsid w:val="00354BC0"/>
    <w:rsid w:val="00354D94"/>
    <w:rsid w:val="003550C7"/>
    <w:rsid w:val="003566E9"/>
    <w:rsid w:val="00357214"/>
    <w:rsid w:val="0035791D"/>
    <w:rsid w:val="00360CBD"/>
    <w:rsid w:val="00361072"/>
    <w:rsid w:val="003618B6"/>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5C3"/>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AC"/>
    <w:rsid w:val="00390AFB"/>
    <w:rsid w:val="0039142B"/>
    <w:rsid w:val="00391A35"/>
    <w:rsid w:val="00391E07"/>
    <w:rsid w:val="00393110"/>
    <w:rsid w:val="00393DD4"/>
    <w:rsid w:val="003946AC"/>
    <w:rsid w:val="00395338"/>
    <w:rsid w:val="00395600"/>
    <w:rsid w:val="00397572"/>
    <w:rsid w:val="003A074E"/>
    <w:rsid w:val="003A1CFF"/>
    <w:rsid w:val="003A2BB7"/>
    <w:rsid w:val="003A312D"/>
    <w:rsid w:val="003A360F"/>
    <w:rsid w:val="003A4AB4"/>
    <w:rsid w:val="003A4C61"/>
    <w:rsid w:val="003A546F"/>
    <w:rsid w:val="003A565B"/>
    <w:rsid w:val="003A5C29"/>
    <w:rsid w:val="003A5DEB"/>
    <w:rsid w:val="003A61D4"/>
    <w:rsid w:val="003A6240"/>
    <w:rsid w:val="003A648B"/>
    <w:rsid w:val="003A6A14"/>
    <w:rsid w:val="003A72E4"/>
    <w:rsid w:val="003A7535"/>
    <w:rsid w:val="003A7616"/>
    <w:rsid w:val="003A799B"/>
    <w:rsid w:val="003A7D18"/>
    <w:rsid w:val="003B0055"/>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1C2"/>
    <w:rsid w:val="003D5944"/>
    <w:rsid w:val="003D5D05"/>
    <w:rsid w:val="003D5ECA"/>
    <w:rsid w:val="003D5FB6"/>
    <w:rsid w:val="003D6CBF"/>
    <w:rsid w:val="003D72CC"/>
    <w:rsid w:val="003D7D05"/>
    <w:rsid w:val="003E03C3"/>
    <w:rsid w:val="003E067B"/>
    <w:rsid w:val="003E11A4"/>
    <w:rsid w:val="003E1AD1"/>
    <w:rsid w:val="003E236D"/>
    <w:rsid w:val="003E2744"/>
    <w:rsid w:val="003E2E8C"/>
    <w:rsid w:val="003E3009"/>
    <w:rsid w:val="003E308A"/>
    <w:rsid w:val="003E367A"/>
    <w:rsid w:val="003E37A4"/>
    <w:rsid w:val="003E4136"/>
    <w:rsid w:val="003E4E45"/>
    <w:rsid w:val="003E5096"/>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896"/>
    <w:rsid w:val="00417CB0"/>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1B9"/>
    <w:rsid w:val="00453228"/>
    <w:rsid w:val="00453DB2"/>
    <w:rsid w:val="00453F45"/>
    <w:rsid w:val="00454D4D"/>
    <w:rsid w:val="00454F1D"/>
    <w:rsid w:val="00455817"/>
    <w:rsid w:val="00455AE4"/>
    <w:rsid w:val="00457034"/>
    <w:rsid w:val="00457BAA"/>
    <w:rsid w:val="00460981"/>
    <w:rsid w:val="004609DE"/>
    <w:rsid w:val="00461DC0"/>
    <w:rsid w:val="004628F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2DF8"/>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F9F"/>
    <w:rsid w:val="004C06CE"/>
    <w:rsid w:val="004C099B"/>
    <w:rsid w:val="004C0DB4"/>
    <w:rsid w:val="004C19DA"/>
    <w:rsid w:val="004C2F07"/>
    <w:rsid w:val="004C33E8"/>
    <w:rsid w:val="004C4A96"/>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5F45"/>
    <w:rsid w:val="004E64DC"/>
    <w:rsid w:val="004E6F86"/>
    <w:rsid w:val="004E706A"/>
    <w:rsid w:val="004F0173"/>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F42"/>
    <w:rsid w:val="00505A66"/>
    <w:rsid w:val="00506576"/>
    <w:rsid w:val="00506710"/>
    <w:rsid w:val="0050682B"/>
    <w:rsid w:val="00506E86"/>
    <w:rsid w:val="0050702C"/>
    <w:rsid w:val="0050723E"/>
    <w:rsid w:val="00507403"/>
    <w:rsid w:val="00507430"/>
    <w:rsid w:val="005101E5"/>
    <w:rsid w:val="00511D75"/>
    <w:rsid w:val="00512232"/>
    <w:rsid w:val="00513B7E"/>
    <w:rsid w:val="00513C4D"/>
    <w:rsid w:val="00513DAE"/>
    <w:rsid w:val="00514597"/>
    <w:rsid w:val="005150AB"/>
    <w:rsid w:val="0051769B"/>
    <w:rsid w:val="0052052F"/>
    <w:rsid w:val="00520571"/>
    <w:rsid w:val="00522C8A"/>
    <w:rsid w:val="00523AF8"/>
    <w:rsid w:val="00523F57"/>
    <w:rsid w:val="00523F8F"/>
    <w:rsid w:val="005248F8"/>
    <w:rsid w:val="00524E1E"/>
    <w:rsid w:val="0052565F"/>
    <w:rsid w:val="005261AC"/>
    <w:rsid w:val="00526E9C"/>
    <w:rsid w:val="005278F8"/>
    <w:rsid w:val="005300ED"/>
    <w:rsid w:val="00531706"/>
    <w:rsid w:val="00532121"/>
    <w:rsid w:val="00532429"/>
    <w:rsid w:val="00532850"/>
    <w:rsid w:val="005328A9"/>
    <w:rsid w:val="00532C7A"/>
    <w:rsid w:val="005332FA"/>
    <w:rsid w:val="005335ED"/>
    <w:rsid w:val="005339DB"/>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4DE0"/>
    <w:rsid w:val="00545BEC"/>
    <w:rsid w:val="005468A5"/>
    <w:rsid w:val="00546A1D"/>
    <w:rsid w:val="00546C8E"/>
    <w:rsid w:val="00546CB9"/>
    <w:rsid w:val="00546E83"/>
    <w:rsid w:val="00547725"/>
    <w:rsid w:val="00550292"/>
    <w:rsid w:val="00551309"/>
    <w:rsid w:val="00552426"/>
    <w:rsid w:val="005529F6"/>
    <w:rsid w:val="00552F1A"/>
    <w:rsid w:val="0055363B"/>
    <w:rsid w:val="00553693"/>
    <w:rsid w:val="00553934"/>
    <w:rsid w:val="00553B71"/>
    <w:rsid w:val="00554C4D"/>
    <w:rsid w:val="00556A43"/>
    <w:rsid w:val="0056087F"/>
    <w:rsid w:val="0056121A"/>
    <w:rsid w:val="00562195"/>
    <w:rsid w:val="0056261D"/>
    <w:rsid w:val="00562918"/>
    <w:rsid w:val="00563269"/>
    <w:rsid w:val="00564643"/>
    <w:rsid w:val="00564772"/>
    <w:rsid w:val="00564F32"/>
    <w:rsid w:val="00566518"/>
    <w:rsid w:val="005669DA"/>
    <w:rsid w:val="00567613"/>
    <w:rsid w:val="00571640"/>
    <w:rsid w:val="00571902"/>
    <w:rsid w:val="0057194C"/>
    <w:rsid w:val="005720AF"/>
    <w:rsid w:val="0057221C"/>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30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701"/>
    <w:rsid w:val="005A1897"/>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0AA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424C"/>
    <w:rsid w:val="005F4F1F"/>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7EA"/>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C32"/>
    <w:rsid w:val="006433D0"/>
    <w:rsid w:val="00643467"/>
    <w:rsid w:val="00643A31"/>
    <w:rsid w:val="00643AAE"/>
    <w:rsid w:val="00644A9F"/>
    <w:rsid w:val="00646BA0"/>
    <w:rsid w:val="00646F54"/>
    <w:rsid w:val="0065002D"/>
    <w:rsid w:val="00650254"/>
    <w:rsid w:val="006502BB"/>
    <w:rsid w:val="006515EF"/>
    <w:rsid w:val="00652146"/>
    <w:rsid w:val="0065234B"/>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3E9"/>
    <w:rsid w:val="00665679"/>
    <w:rsid w:val="0066568C"/>
    <w:rsid w:val="0066590A"/>
    <w:rsid w:val="00665DB7"/>
    <w:rsid w:val="00666370"/>
    <w:rsid w:val="0066646F"/>
    <w:rsid w:val="00666775"/>
    <w:rsid w:val="00666A5B"/>
    <w:rsid w:val="00670EFB"/>
    <w:rsid w:val="00671380"/>
    <w:rsid w:val="006713F9"/>
    <w:rsid w:val="00672C5A"/>
    <w:rsid w:val="00672F3E"/>
    <w:rsid w:val="00673BF2"/>
    <w:rsid w:val="00673C58"/>
    <w:rsid w:val="0067494B"/>
    <w:rsid w:val="00674DB0"/>
    <w:rsid w:val="00675296"/>
    <w:rsid w:val="006766B8"/>
    <w:rsid w:val="00677143"/>
    <w:rsid w:val="006807E1"/>
    <w:rsid w:val="00680DE4"/>
    <w:rsid w:val="0068116A"/>
    <w:rsid w:val="006823D9"/>
    <w:rsid w:val="00683291"/>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B23"/>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5C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1D5A"/>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2C37"/>
    <w:rsid w:val="006E3415"/>
    <w:rsid w:val="006E3962"/>
    <w:rsid w:val="006E4059"/>
    <w:rsid w:val="006E464C"/>
    <w:rsid w:val="006E4970"/>
    <w:rsid w:val="006E4A6B"/>
    <w:rsid w:val="006E4CCB"/>
    <w:rsid w:val="006E4CCC"/>
    <w:rsid w:val="006E516B"/>
    <w:rsid w:val="006E64FC"/>
    <w:rsid w:val="006E6536"/>
    <w:rsid w:val="006E78A4"/>
    <w:rsid w:val="006E7A04"/>
    <w:rsid w:val="006F065D"/>
    <w:rsid w:val="006F0C10"/>
    <w:rsid w:val="006F29B4"/>
    <w:rsid w:val="006F6419"/>
    <w:rsid w:val="006F6DDA"/>
    <w:rsid w:val="006F7041"/>
    <w:rsid w:val="0070068B"/>
    <w:rsid w:val="00700990"/>
    <w:rsid w:val="00700CF4"/>
    <w:rsid w:val="007016BE"/>
    <w:rsid w:val="007025A3"/>
    <w:rsid w:val="007030B9"/>
    <w:rsid w:val="00703181"/>
    <w:rsid w:val="007042E7"/>
    <w:rsid w:val="007044EC"/>
    <w:rsid w:val="00704571"/>
    <w:rsid w:val="00704832"/>
    <w:rsid w:val="007048F0"/>
    <w:rsid w:val="00705362"/>
    <w:rsid w:val="0070604E"/>
    <w:rsid w:val="0070718C"/>
    <w:rsid w:val="00711526"/>
    <w:rsid w:val="0071165C"/>
    <w:rsid w:val="00711CAD"/>
    <w:rsid w:val="0071201B"/>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3D4"/>
    <w:rsid w:val="0072366C"/>
    <w:rsid w:val="00724291"/>
    <w:rsid w:val="00724D0C"/>
    <w:rsid w:val="0072590A"/>
    <w:rsid w:val="00725996"/>
    <w:rsid w:val="00726886"/>
    <w:rsid w:val="0072724E"/>
    <w:rsid w:val="00727381"/>
    <w:rsid w:val="00727924"/>
    <w:rsid w:val="00727AA5"/>
    <w:rsid w:val="00730896"/>
    <w:rsid w:val="007314BA"/>
    <w:rsid w:val="00732A2D"/>
    <w:rsid w:val="00732D06"/>
    <w:rsid w:val="00733E70"/>
    <w:rsid w:val="00733FFC"/>
    <w:rsid w:val="0073438B"/>
    <w:rsid w:val="007343F1"/>
    <w:rsid w:val="0073490E"/>
    <w:rsid w:val="0073536C"/>
    <w:rsid w:val="007357B9"/>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51097"/>
    <w:rsid w:val="00751E1F"/>
    <w:rsid w:val="0075296E"/>
    <w:rsid w:val="00752F33"/>
    <w:rsid w:val="0075319C"/>
    <w:rsid w:val="007531A5"/>
    <w:rsid w:val="007535E3"/>
    <w:rsid w:val="00753FCB"/>
    <w:rsid w:val="007542B1"/>
    <w:rsid w:val="007550FE"/>
    <w:rsid w:val="00755EE8"/>
    <w:rsid w:val="00756407"/>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1689"/>
    <w:rsid w:val="00782394"/>
    <w:rsid w:val="00782848"/>
    <w:rsid w:val="007829B1"/>
    <w:rsid w:val="00783873"/>
    <w:rsid w:val="007847D1"/>
    <w:rsid w:val="00784924"/>
    <w:rsid w:val="0078503B"/>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AA9"/>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29B"/>
    <w:rsid w:val="007B2F55"/>
    <w:rsid w:val="007B2FF1"/>
    <w:rsid w:val="007B56E1"/>
    <w:rsid w:val="007B5E15"/>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AE7"/>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329"/>
    <w:rsid w:val="0083473D"/>
    <w:rsid w:val="00834AF4"/>
    <w:rsid w:val="00834BEC"/>
    <w:rsid w:val="00834D47"/>
    <w:rsid w:val="00834DC9"/>
    <w:rsid w:val="00835389"/>
    <w:rsid w:val="00835459"/>
    <w:rsid w:val="008356D1"/>
    <w:rsid w:val="008358DA"/>
    <w:rsid w:val="008373F3"/>
    <w:rsid w:val="00837AC7"/>
    <w:rsid w:val="00840350"/>
    <w:rsid w:val="00840409"/>
    <w:rsid w:val="0084055F"/>
    <w:rsid w:val="0084098C"/>
    <w:rsid w:val="008411FD"/>
    <w:rsid w:val="0084138C"/>
    <w:rsid w:val="008429DB"/>
    <w:rsid w:val="00842BA8"/>
    <w:rsid w:val="0084324E"/>
    <w:rsid w:val="00844516"/>
    <w:rsid w:val="00844B2A"/>
    <w:rsid w:val="00844ED2"/>
    <w:rsid w:val="0084562E"/>
    <w:rsid w:val="0084736D"/>
    <w:rsid w:val="008479BC"/>
    <w:rsid w:val="00847C79"/>
    <w:rsid w:val="00850A19"/>
    <w:rsid w:val="0085106C"/>
    <w:rsid w:val="008514EC"/>
    <w:rsid w:val="00851F31"/>
    <w:rsid w:val="0085233E"/>
    <w:rsid w:val="008524F7"/>
    <w:rsid w:val="00852A9A"/>
    <w:rsid w:val="00852F53"/>
    <w:rsid w:val="008534FA"/>
    <w:rsid w:val="00853616"/>
    <w:rsid w:val="00853704"/>
    <w:rsid w:val="00853C23"/>
    <w:rsid w:val="0085413E"/>
    <w:rsid w:val="00854674"/>
    <w:rsid w:val="00854784"/>
    <w:rsid w:val="00854C8E"/>
    <w:rsid w:val="0085729A"/>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878B7"/>
    <w:rsid w:val="008900AA"/>
    <w:rsid w:val="00890427"/>
    <w:rsid w:val="0089096B"/>
    <w:rsid w:val="008919D4"/>
    <w:rsid w:val="00892157"/>
    <w:rsid w:val="0089225A"/>
    <w:rsid w:val="00892AC0"/>
    <w:rsid w:val="008934FE"/>
    <w:rsid w:val="00893B5D"/>
    <w:rsid w:val="00893E2F"/>
    <w:rsid w:val="008944DB"/>
    <w:rsid w:val="0089594E"/>
    <w:rsid w:val="008962D6"/>
    <w:rsid w:val="008968C4"/>
    <w:rsid w:val="00897463"/>
    <w:rsid w:val="0089753B"/>
    <w:rsid w:val="00897911"/>
    <w:rsid w:val="00897B11"/>
    <w:rsid w:val="008A03BE"/>
    <w:rsid w:val="008A1C8E"/>
    <w:rsid w:val="008A220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3063"/>
    <w:rsid w:val="008B480A"/>
    <w:rsid w:val="008B4F76"/>
    <w:rsid w:val="008B58D9"/>
    <w:rsid w:val="008B64DC"/>
    <w:rsid w:val="008B6AFD"/>
    <w:rsid w:val="008B70D9"/>
    <w:rsid w:val="008C07A9"/>
    <w:rsid w:val="008C0A39"/>
    <w:rsid w:val="008C1814"/>
    <w:rsid w:val="008C2D8D"/>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11C"/>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282"/>
    <w:rsid w:val="00911691"/>
    <w:rsid w:val="009118B0"/>
    <w:rsid w:val="00911E0D"/>
    <w:rsid w:val="00912000"/>
    <w:rsid w:val="009124E6"/>
    <w:rsid w:val="00913944"/>
    <w:rsid w:val="00916440"/>
    <w:rsid w:val="00916748"/>
    <w:rsid w:val="00917332"/>
    <w:rsid w:val="009177FA"/>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43B8"/>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118"/>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6AC"/>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2FB"/>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0758"/>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4D1A"/>
    <w:rsid w:val="009F4DD4"/>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EB6"/>
    <w:rsid w:val="00A20573"/>
    <w:rsid w:val="00A207FA"/>
    <w:rsid w:val="00A20C94"/>
    <w:rsid w:val="00A21C4C"/>
    <w:rsid w:val="00A220B7"/>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3813"/>
    <w:rsid w:val="00A43D47"/>
    <w:rsid w:val="00A440A6"/>
    <w:rsid w:val="00A4618D"/>
    <w:rsid w:val="00A464E1"/>
    <w:rsid w:val="00A46C4E"/>
    <w:rsid w:val="00A46D95"/>
    <w:rsid w:val="00A47081"/>
    <w:rsid w:val="00A47309"/>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5BA0"/>
    <w:rsid w:val="00A768A2"/>
    <w:rsid w:val="00A76A55"/>
    <w:rsid w:val="00A77067"/>
    <w:rsid w:val="00A773B4"/>
    <w:rsid w:val="00A80948"/>
    <w:rsid w:val="00A822AE"/>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4C7"/>
    <w:rsid w:val="00A96FC0"/>
    <w:rsid w:val="00A97BFA"/>
    <w:rsid w:val="00AA007C"/>
    <w:rsid w:val="00AA0B30"/>
    <w:rsid w:val="00AA25C9"/>
    <w:rsid w:val="00AA3726"/>
    <w:rsid w:val="00AA40AA"/>
    <w:rsid w:val="00AA4F09"/>
    <w:rsid w:val="00AA7A72"/>
    <w:rsid w:val="00AA7DCE"/>
    <w:rsid w:val="00AA7F8C"/>
    <w:rsid w:val="00AA7FA5"/>
    <w:rsid w:val="00AB01C9"/>
    <w:rsid w:val="00AB0725"/>
    <w:rsid w:val="00AB0807"/>
    <w:rsid w:val="00AB0FB2"/>
    <w:rsid w:val="00AB10E3"/>
    <w:rsid w:val="00AB18AB"/>
    <w:rsid w:val="00AB1FAD"/>
    <w:rsid w:val="00AB2AF8"/>
    <w:rsid w:val="00AB2AF9"/>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D66"/>
    <w:rsid w:val="00AC5C0E"/>
    <w:rsid w:val="00AC5FCE"/>
    <w:rsid w:val="00AC615E"/>
    <w:rsid w:val="00AC62B7"/>
    <w:rsid w:val="00AC6BDA"/>
    <w:rsid w:val="00AC6E20"/>
    <w:rsid w:val="00AC7A38"/>
    <w:rsid w:val="00AD07F1"/>
    <w:rsid w:val="00AD20E0"/>
    <w:rsid w:val="00AD2BE1"/>
    <w:rsid w:val="00AD3C49"/>
    <w:rsid w:val="00AD3D21"/>
    <w:rsid w:val="00AD68F8"/>
    <w:rsid w:val="00AD692B"/>
    <w:rsid w:val="00AE0B68"/>
    <w:rsid w:val="00AE10CD"/>
    <w:rsid w:val="00AE1499"/>
    <w:rsid w:val="00AE2D0A"/>
    <w:rsid w:val="00AE3725"/>
    <w:rsid w:val="00AE4E58"/>
    <w:rsid w:val="00AE5139"/>
    <w:rsid w:val="00AE51CE"/>
    <w:rsid w:val="00AE54FA"/>
    <w:rsid w:val="00AE5C8B"/>
    <w:rsid w:val="00AE65CA"/>
    <w:rsid w:val="00AE6800"/>
    <w:rsid w:val="00AE6CDA"/>
    <w:rsid w:val="00AE72FC"/>
    <w:rsid w:val="00AE751E"/>
    <w:rsid w:val="00AF16A0"/>
    <w:rsid w:val="00AF239F"/>
    <w:rsid w:val="00AF23AA"/>
    <w:rsid w:val="00AF23C2"/>
    <w:rsid w:val="00AF3040"/>
    <w:rsid w:val="00AF39BC"/>
    <w:rsid w:val="00AF51E5"/>
    <w:rsid w:val="00AF52E7"/>
    <w:rsid w:val="00AF5D55"/>
    <w:rsid w:val="00AF605B"/>
    <w:rsid w:val="00AF741B"/>
    <w:rsid w:val="00AF7453"/>
    <w:rsid w:val="00AF7C3D"/>
    <w:rsid w:val="00AF7E72"/>
    <w:rsid w:val="00B0115C"/>
    <w:rsid w:val="00B02647"/>
    <w:rsid w:val="00B02EA1"/>
    <w:rsid w:val="00B0432F"/>
    <w:rsid w:val="00B043ED"/>
    <w:rsid w:val="00B054FF"/>
    <w:rsid w:val="00B05CB6"/>
    <w:rsid w:val="00B0633F"/>
    <w:rsid w:val="00B070A0"/>
    <w:rsid w:val="00B07CC0"/>
    <w:rsid w:val="00B102F5"/>
    <w:rsid w:val="00B103E9"/>
    <w:rsid w:val="00B11586"/>
    <w:rsid w:val="00B11E6D"/>
    <w:rsid w:val="00B11FA4"/>
    <w:rsid w:val="00B12242"/>
    <w:rsid w:val="00B1390D"/>
    <w:rsid w:val="00B1393B"/>
    <w:rsid w:val="00B140D2"/>
    <w:rsid w:val="00B14CD1"/>
    <w:rsid w:val="00B15491"/>
    <w:rsid w:val="00B1562F"/>
    <w:rsid w:val="00B16D63"/>
    <w:rsid w:val="00B17629"/>
    <w:rsid w:val="00B21D6E"/>
    <w:rsid w:val="00B22B2B"/>
    <w:rsid w:val="00B22C39"/>
    <w:rsid w:val="00B22DE0"/>
    <w:rsid w:val="00B23D2D"/>
    <w:rsid w:val="00B24FEA"/>
    <w:rsid w:val="00B2540B"/>
    <w:rsid w:val="00B25B94"/>
    <w:rsid w:val="00B25FE6"/>
    <w:rsid w:val="00B2603E"/>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19B2"/>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4ACF"/>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500"/>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52B"/>
    <w:rsid w:val="00BE0BDD"/>
    <w:rsid w:val="00BE21E3"/>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11B4"/>
    <w:rsid w:val="00C01510"/>
    <w:rsid w:val="00C01CEB"/>
    <w:rsid w:val="00C01F6E"/>
    <w:rsid w:val="00C03249"/>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36E"/>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4E1F"/>
    <w:rsid w:val="00C35C70"/>
    <w:rsid w:val="00C35E26"/>
    <w:rsid w:val="00C36684"/>
    <w:rsid w:val="00C36F0A"/>
    <w:rsid w:val="00C36F4F"/>
    <w:rsid w:val="00C372CB"/>
    <w:rsid w:val="00C4067A"/>
    <w:rsid w:val="00C41480"/>
    <w:rsid w:val="00C431B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1A8E"/>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20C3"/>
    <w:rsid w:val="00C72DD5"/>
    <w:rsid w:val="00C733A6"/>
    <w:rsid w:val="00C737B0"/>
    <w:rsid w:val="00C73D39"/>
    <w:rsid w:val="00C7675A"/>
    <w:rsid w:val="00C76E9D"/>
    <w:rsid w:val="00C816DF"/>
    <w:rsid w:val="00C82013"/>
    <w:rsid w:val="00C820EE"/>
    <w:rsid w:val="00C84713"/>
    <w:rsid w:val="00C84758"/>
    <w:rsid w:val="00C853AB"/>
    <w:rsid w:val="00C85F72"/>
    <w:rsid w:val="00C86896"/>
    <w:rsid w:val="00C876E1"/>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982"/>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698A"/>
    <w:rsid w:val="00CE793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A53"/>
    <w:rsid w:val="00D11CFD"/>
    <w:rsid w:val="00D12432"/>
    <w:rsid w:val="00D13808"/>
    <w:rsid w:val="00D14509"/>
    <w:rsid w:val="00D146FE"/>
    <w:rsid w:val="00D1581E"/>
    <w:rsid w:val="00D15D19"/>
    <w:rsid w:val="00D15D93"/>
    <w:rsid w:val="00D15DA1"/>
    <w:rsid w:val="00D15EEC"/>
    <w:rsid w:val="00D1635E"/>
    <w:rsid w:val="00D16380"/>
    <w:rsid w:val="00D163FF"/>
    <w:rsid w:val="00D166B5"/>
    <w:rsid w:val="00D16E87"/>
    <w:rsid w:val="00D17335"/>
    <w:rsid w:val="00D2079E"/>
    <w:rsid w:val="00D21356"/>
    <w:rsid w:val="00D216EE"/>
    <w:rsid w:val="00D220B5"/>
    <w:rsid w:val="00D232D8"/>
    <w:rsid w:val="00D233CD"/>
    <w:rsid w:val="00D23AD3"/>
    <w:rsid w:val="00D23FC0"/>
    <w:rsid w:val="00D23FCE"/>
    <w:rsid w:val="00D24364"/>
    <w:rsid w:val="00D2469E"/>
    <w:rsid w:val="00D2649E"/>
    <w:rsid w:val="00D27300"/>
    <w:rsid w:val="00D27875"/>
    <w:rsid w:val="00D27EED"/>
    <w:rsid w:val="00D307FD"/>
    <w:rsid w:val="00D30A3B"/>
    <w:rsid w:val="00D31E2D"/>
    <w:rsid w:val="00D321E8"/>
    <w:rsid w:val="00D328E1"/>
    <w:rsid w:val="00D32E01"/>
    <w:rsid w:val="00D33975"/>
    <w:rsid w:val="00D33A8C"/>
    <w:rsid w:val="00D35597"/>
    <w:rsid w:val="00D35689"/>
    <w:rsid w:val="00D365FA"/>
    <w:rsid w:val="00D37093"/>
    <w:rsid w:val="00D40425"/>
    <w:rsid w:val="00D40BC3"/>
    <w:rsid w:val="00D40D6B"/>
    <w:rsid w:val="00D4129E"/>
    <w:rsid w:val="00D418A3"/>
    <w:rsid w:val="00D41AB6"/>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550"/>
    <w:rsid w:val="00D66648"/>
    <w:rsid w:val="00D66FDA"/>
    <w:rsid w:val="00D67292"/>
    <w:rsid w:val="00D70026"/>
    <w:rsid w:val="00D70C38"/>
    <w:rsid w:val="00D710E5"/>
    <w:rsid w:val="00D71197"/>
    <w:rsid w:val="00D7178C"/>
    <w:rsid w:val="00D72008"/>
    <w:rsid w:val="00D72192"/>
    <w:rsid w:val="00D72CAC"/>
    <w:rsid w:val="00D72D32"/>
    <w:rsid w:val="00D731D1"/>
    <w:rsid w:val="00D73645"/>
    <w:rsid w:val="00D73AC1"/>
    <w:rsid w:val="00D73BD2"/>
    <w:rsid w:val="00D73FC4"/>
    <w:rsid w:val="00D73FE8"/>
    <w:rsid w:val="00D74538"/>
    <w:rsid w:val="00D749CB"/>
    <w:rsid w:val="00D74C9E"/>
    <w:rsid w:val="00D75F19"/>
    <w:rsid w:val="00D762CF"/>
    <w:rsid w:val="00D77AD8"/>
    <w:rsid w:val="00D80973"/>
    <w:rsid w:val="00D80BD8"/>
    <w:rsid w:val="00D82561"/>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07D"/>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3213"/>
    <w:rsid w:val="00DB387C"/>
    <w:rsid w:val="00DB43F8"/>
    <w:rsid w:val="00DB46DA"/>
    <w:rsid w:val="00DB5A7F"/>
    <w:rsid w:val="00DB640B"/>
    <w:rsid w:val="00DB656B"/>
    <w:rsid w:val="00DB6A23"/>
    <w:rsid w:val="00DB75BE"/>
    <w:rsid w:val="00DB7D6B"/>
    <w:rsid w:val="00DC00C2"/>
    <w:rsid w:val="00DC01DD"/>
    <w:rsid w:val="00DC29D6"/>
    <w:rsid w:val="00DC3996"/>
    <w:rsid w:val="00DC430F"/>
    <w:rsid w:val="00DC43B0"/>
    <w:rsid w:val="00DC478C"/>
    <w:rsid w:val="00DC47BF"/>
    <w:rsid w:val="00DC4CEC"/>
    <w:rsid w:val="00DC517F"/>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5DCC"/>
    <w:rsid w:val="00DF649D"/>
    <w:rsid w:val="00DF7637"/>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2618"/>
    <w:rsid w:val="00E129DF"/>
    <w:rsid w:val="00E12B5D"/>
    <w:rsid w:val="00E13435"/>
    <w:rsid w:val="00E13F23"/>
    <w:rsid w:val="00E143D4"/>
    <w:rsid w:val="00E14773"/>
    <w:rsid w:val="00E14DD9"/>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27C86"/>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4C04"/>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53C"/>
    <w:rsid w:val="00E729B9"/>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2FAD"/>
    <w:rsid w:val="00E836AC"/>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A5A"/>
    <w:rsid w:val="00EA2FC0"/>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3785"/>
    <w:rsid w:val="00EC3B2D"/>
    <w:rsid w:val="00EC3E5A"/>
    <w:rsid w:val="00EC458A"/>
    <w:rsid w:val="00EC51A1"/>
    <w:rsid w:val="00EC6178"/>
    <w:rsid w:val="00EC65DD"/>
    <w:rsid w:val="00EC6A56"/>
    <w:rsid w:val="00EC7166"/>
    <w:rsid w:val="00EC7CAC"/>
    <w:rsid w:val="00EC7E78"/>
    <w:rsid w:val="00ED06AD"/>
    <w:rsid w:val="00ED0BED"/>
    <w:rsid w:val="00ED1232"/>
    <w:rsid w:val="00ED1A7F"/>
    <w:rsid w:val="00ED22C5"/>
    <w:rsid w:val="00ED3503"/>
    <w:rsid w:val="00ED4DFC"/>
    <w:rsid w:val="00ED4E42"/>
    <w:rsid w:val="00ED5E20"/>
    <w:rsid w:val="00ED5E54"/>
    <w:rsid w:val="00ED74DB"/>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2A"/>
    <w:rsid w:val="00EE4C73"/>
    <w:rsid w:val="00EE5C23"/>
    <w:rsid w:val="00EE67FE"/>
    <w:rsid w:val="00EE703E"/>
    <w:rsid w:val="00EE76F0"/>
    <w:rsid w:val="00EE7B1C"/>
    <w:rsid w:val="00EF02BD"/>
    <w:rsid w:val="00EF17B9"/>
    <w:rsid w:val="00EF1EB9"/>
    <w:rsid w:val="00EF274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17526"/>
    <w:rsid w:val="00F2210C"/>
    <w:rsid w:val="00F231FB"/>
    <w:rsid w:val="00F243C4"/>
    <w:rsid w:val="00F243FF"/>
    <w:rsid w:val="00F25199"/>
    <w:rsid w:val="00F254D8"/>
    <w:rsid w:val="00F26A46"/>
    <w:rsid w:val="00F26F86"/>
    <w:rsid w:val="00F274E4"/>
    <w:rsid w:val="00F2780A"/>
    <w:rsid w:val="00F314EF"/>
    <w:rsid w:val="00F3167E"/>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52E7"/>
    <w:rsid w:val="00F456B0"/>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C84"/>
    <w:rsid w:val="00F55F0A"/>
    <w:rsid w:val="00F5652C"/>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4AA3"/>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952"/>
    <w:rsid w:val="00F95E64"/>
    <w:rsid w:val="00F960B8"/>
    <w:rsid w:val="00F9649D"/>
    <w:rsid w:val="00F96A46"/>
    <w:rsid w:val="00F96BB8"/>
    <w:rsid w:val="00F96E75"/>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5E6A"/>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38F9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0EC"/>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
    <w:link w:val="ListParagraph"/>
    <w:uiPriority w:val="72"/>
    <w:qFormat/>
    <w:rsid w:val="001E35D6"/>
    <w:rPr>
      <w:rFonts w:eastAsia="SimSun"/>
      <w:sz w:val="24"/>
      <w:szCs w:val="24"/>
    </w:rPr>
  </w:style>
  <w:style w:type="paragraph" w:customStyle="1" w:styleId="Char1">
    <w:name w:val="Char"/>
    <w:basedOn w:val="Normal"/>
    <w:rsid w:val="003A360F"/>
    <w:pPr>
      <w:spacing w:after="160" w:line="240" w:lineRule="exact"/>
    </w:pPr>
    <w:rPr>
      <w:rFonts w:ascii="Verdana" w:eastAsia="MS Mincho" w:hAnsi="Verdana" w:cs="Verdana"/>
      <w:lang w:val="en-US" w:eastAsia="en-US"/>
    </w:rPr>
  </w:style>
  <w:style w:type="paragraph" w:styleId="PlainText">
    <w:name w:val="Plain Text"/>
    <w:basedOn w:val="Normal"/>
    <w:link w:val="PlainTextChar"/>
    <w:uiPriority w:val="99"/>
    <w:unhideWhenUsed/>
    <w:rsid w:val="00297F1D"/>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297F1D"/>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582613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1146260">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1742942">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913879">
      <w:bodyDiv w:val="1"/>
      <w:marLeft w:val="0"/>
      <w:marRight w:val="0"/>
      <w:marTop w:val="0"/>
      <w:marBottom w:val="0"/>
      <w:divBdr>
        <w:top w:val="none" w:sz="0" w:space="0" w:color="auto"/>
        <w:left w:val="none" w:sz="0" w:space="0" w:color="auto"/>
        <w:bottom w:val="none" w:sz="0" w:space="0" w:color="auto"/>
        <w:right w:val="none" w:sz="0" w:space="0" w:color="auto"/>
      </w:divBdr>
    </w:div>
    <w:div w:id="21400400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2447599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51960741">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63365">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6141380">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7994018">
      <w:bodyDiv w:val="1"/>
      <w:marLeft w:val="0"/>
      <w:marRight w:val="0"/>
      <w:marTop w:val="0"/>
      <w:marBottom w:val="0"/>
      <w:divBdr>
        <w:top w:val="none" w:sz="0" w:space="0" w:color="auto"/>
        <w:left w:val="none" w:sz="0" w:space="0" w:color="auto"/>
        <w:bottom w:val="none" w:sz="0" w:space="0" w:color="auto"/>
        <w:right w:val="none" w:sz="0" w:space="0" w:color="auto"/>
      </w:divBdr>
    </w:div>
    <w:div w:id="774641555">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87548562">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1166808">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11237565">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5798087">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88826761">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1860037">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93165439">
      <w:bodyDiv w:val="1"/>
      <w:marLeft w:val="0"/>
      <w:marRight w:val="0"/>
      <w:marTop w:val="0"/>
      <w:marBottom w:val="0"/>
      <w:divBdr>
        <w:top w:val="none" w:sz="0" w:space="0" w:color="auto"/>
        <w:left w:val="none" w:sz="0" w:space="0" w:color="auto"/>
        <w:bottom w:val="none" w:sz="0" w:space="0" w:color="auto"/>
        <w:right w:val="none" w:sz="0" w:space="0" w:color="auto"/>
      </w:divBdr>
    </w:div>
    <w:div w:id="1106577837">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90950631">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6672039">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3698783">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6867764">
      <w:bodyDiv w:val="1"/>
      <w:marLeft w:val="0"/>
      <w:marRight w:val="0"/>
      <w:marTop w:val="0"/>
      <w:marBottom w:val="0"/>
      <w:divBdr>
        <w:top w:val="none" w:sz="0" w:space="0" w:color="auto"/>
        <w:left w:val="none" w:sz="0" w:space="0" w:color="auto"/>
        <w:bottom w:val="none" w:sz="0" w:space="0" w:color="auto"/>
        <w:right w:val="none" w:sz="0" w:space="0" w:color="auto"/>
      </w:divBdr>
    </w:div>
    <w:div w:id="1548712585">
      <w:bodyDiv w:val="1"/>
      <w:marLeft w:val="0"/>
      <w:marRight w:val="0"/>
      <w:marTop w:val="0"/>
      <w:marBottom w:val="0"/>
      <w:divBdr>
        <w:top w:val="none" w:sz="0" w:space="0" w:color="auto"/>
        <w:left w:val="none" w:sz="0" w:space="0" w:color="auto"/>
        <w:bottom w:val="none" w:sz="0" w:space="0" w:color="auto"/>
        <w:right w:val="none" w:sz="0" w:space="0" w:color="auto"/>
      </w:divBdr>
    </w:div>
    <w:div w:id="1580289368">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262239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6212123">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49849003">
      <w:bodyDiv w:val="1"/>
      <w:marLeft w:val="0"/>
      <w:marRight w:val="0"/>
      <w:marTop w:val="0"/>
      <w:marBottom w:val="0"/>
      <w:divBdr>
        <w:top w:val="none" w:sz="0" w:space="0" w:color="auto"/>
        <w:left w:val="none" w:sz="0" w:space="0" w:color="auto"/>
        <w:bottom w:val="none" w:sz="0" w:space="0" w:color="auto"/>
        <w:right w:val="none" w:sz="0" w:space="0" w:color="auto"/>
      </w:divBdr>
    </w:div>
    <w:div w:id="1951038100">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089955201">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119A5-343B-4371-A151-0932FF33D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4616</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2018-12-12T03:17:00Z</dcterms:created>
  <dcterms:modified xsi:type="dcterms:W3CDTF">2018-12-12T03:17:00Z</dcterms:modified>
</cp:coreProperties>
</file>