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AB0EE" w14:textId="77777777" w:rsidR="00D7136A" w:rsidRDefault="00464DA0" w:rsidP="00267A9D">
      <w:pPr>
        <w:contextualSpacing/>
        <w:jc w:val="both"/>
        <w:rPr>
          <w:rFonts w:ascii="Arial" w:hAnsi="Arial" w:cs="Arial"/>
          <w:b/>
          <w:szCs w:val="20"/>
          <w:lang w:val="en-AU" w:eastAsia="en-AU"/>
        </w:rPr>
      </w:pPr>
      <w:r>
        <w:rPr>
          <w:rFonts w:ascii="Arial" w:hAnsi="Arial" w:cs="Arial"/>
          <w:b/>
          <w:sz w:val="28"/>
          <w:lang w:val="en-AU" w:eastAsia="en-AU"/>
        </w:rPr>
        <w:t xml:space="preserve">PBAC CONSIDERATION OF THE </w:t>
      </w:r>
      <w:r w:rsidR="00D7136A">
        <w:rPr>
          <w:rFonts w:ascii="Arial" w:hAnsi="Arial" w:cs="Arial"/>
          <w:b/>
          <w:sz w:val="28"/>
          <w:lang w:val="en-AU" w:eastAsia="en-AU"/>
        </w:rPr>
        <w:t>REPORT</w:t>
      </w:r>
      <w:r w:rsidR="00267A9D">
        <w:rPr>
          <w:rFonts w:ascii="Arial" w:hAnsi="Arial" w:cs="Arial"/>
          <w:b/>
          <w:sz w:val="28"/>
          <w:lang w:val="en-AU" w:eastAsia="en-AU"/>
        </w:rPr>
        <w:t xml:space="preserve"> OF THE DRUG </w:t>
      </w:r>
      <w:r w:rsidR="00D7136A" w:rsidRPr="00B94022">
        <w:rPr>
          <w:rFonts w:ascii="Arial" w:hAnsi="Arial" w:cs="Arial"/>
          <w:b/>
          <w:sz w:val="28"/>
          <w:lang w:val="en-AU" w:eastAsia="en-AU"/>
        </w:rPr>
        <w:t>UTILISATION SUB-COMMITTEE</w:t>
      </w:r>
    </w:p>
    <w:p w14:paraId="7F124E9C" w14:textId="77777777" w:rsidR="00D7136A" w:rsidRPr="00EB6E0E" w:rsidRDefault="00D7136A" w:rsidP="00D7136A">
      <w:pPr>
        <w:jc w:val="both"/>
        <w:rPr>
          <w:rFonts w:ascii="Arial" w:hAnsi="Arial"/>
          <w:b/>
          <w:sz w:val="28"/>
          <w:szCs w:val="20"/>
          <w:lang w:val="en-AU" w:eastAsia="en-AU"/>
        </w:rPr>
      </w:pPr>
    </w:p>
    <w:p w14:paraId="7C5EA0B1" w14:textId="376173E9" w:rsidR="00D7136A" w:rsidRPr="00397836" w:rsidRDefault="00D7136A" w:rsidP="00D7136A">
      <w:pPr>
        <w:contextualSpacing/>
        <w:jc w:val="both"/>
        <w:rPr>
          <w:rFonts w:ascii="Arial" w:hAnsi="Arial" w:cs="Arial"/>
          <w:color w:val="A6A6A6"/>
          <w:sz w:val="22"/>
          <w:lang w:val="en-AU" w:eastAsia="en-AU"/>
        </w:rPr>
      </w:pPr>
      <w:r w:rsidRPr="00A31269">
        <w:rPr>
          <w:rFonts w:ascii="Arial" w:hAnsi="Arial" w:cs="Arial"/>
          <w:sz w:val="22"/>
          <w:lang w:val="en-AU" w:eastAsia="en-AU"/>
        </w:rPr>
        <w:t xml:space="preserve">The PBAC noted utilisation reports with associated stakeholder responses from the </w:t>
      </w:r>
      <w:r w:rsidR="005616CC">
        <w:rPr>
          <w:rFonts w:ascii="Arial" w:hAnsi="Arial" w:cs="Arial"/>
          <w:sz w:val="22"/>
          <w:lang w:val="en-AU" w:eastAsia="en-AU"/>
        </w:rPr>
        <w:t>September</w:t>
      </w:r>
      <w:r w:rsidR="008D020C">
        <w:rPr>
          <w:rFonts w:ascii="Arial" w:hAnsi="Arial" w:cs="Arial"/>
          <w:sz w:val="22"/>
          <w:lang w:val="en-AU" w:eastAsia="en-AU"/>
        </w:rPr>
        <w:t xml:space="preserve"> 2018</w:t>
      </w:r>
      <w:r w:rsidR="00A31269" w:rsidRPr="00A31269">
        <w:rPr>
          <w:rFonts w:ascii="Arial" w:hAnsi="Arial" w:cs="Arial"/>
          <w:sz w:val="22"/>
          <w:lang w:val="en-AU" w:eastAsia="en-AU"/>
        </w:rPr>
        <w:t xml:space="preserve"> Drug Utilisation Sub-Committee (DUSC) </w:t>
      </w:r>
      <w:r w:rsidRPr="00A31269">
        <w:rPr>
          <w:rFonts w:ascii="Arial" w:hAnsi="Arial" w:cs="Arial"/>
          <w:sz w:val="22"/>
          <w:lang w:val="en-AU" w:eastAsia="en-AU"/>
        </w:rPr>
        <w:t>meeting, which were provided in Item</w:t>
      </w:r>
      <w:r w:rsidR="00A31269" w:rsidRPr="00A31269">
        <w:rPr>
          <w:rFonts w:ascii="Arial" w:hAnsi="Arial" w:cs="Arial"/>
          <w:sz w:val="22"/>
          <w:lang w:val="en-AU" w:eastAsia="en-AU"/>
        </w:rPr>
        <w:t>s 10.0</w:t>
      </w:r>
      <w:r w:rsidR="002F7591">
        <w:rPr>
          <w:rFonts w:ascii="Arial" w:hAnsi="Arial" w:cs="Arial"/>
          <w:sz w:val="22"/>
          <w:lang w:val="en-AU" w:eastAsia="en-AU"/>
        </w:rPr>
        <w:t>3</w:t>
      </w:r>
      <w:r w:rsidR="00A31269" w:rsidRPr="00A31269">
        <w:rPr>
          <w:rFonts w:ascii="Arial" w:hAnsi="Arial" w:cs="Arial"/>
          <w:sz w:val="22"/>
          <w:lang w:val="en-AU" w:eastAsia="en-AU"/>
        </w:rPr>
        <w:t xml:space="preserve"> to 10.0</w:t>
      </w:r>
      <w:r w:rsidR="005616CC">
        <w:rPr>
          <w:rFonts w:ascii="Arial" w:hAnsi="Arial" w:cs="Arial"/>
          <w:sz w:val="22"/>
          <w:lang w:val="en-AU" w:eastAsia="en-AU"/>
        </w:rPr>
        <w:t>6</w:t>
      </w:r>
      <w:r w:rsidRPr="00A31269">
        <w:rPr>
          <w:rFonts w:ascii="Arial" w:hAnsi="Arial" w:cs="Arial"/>
          <w:sz w:val="22"/>
          <w:lang w:val="en-AU" w:eastAsia="en-AU"/>
        </w:rPr>
        <w:t xml:space="preserve"> of the PBAC Agenda. </w:t>
      </w:r>
      <w:r w:rsidR="00A31269" w:rsidRPr="00A31269">
        <w:rPr>
          <w:rFonts w:ascii="Arial" w:hAnsi="Arial" w:cs="Arial"/>
          <w:sz w:val="22"/>
          <w:lang w:val="en-AU" w:eastAsia="en-AU"/>
        </w:rPr>
        <w:t xml:space="preserve">DUSC minutes relating to these items were provided to the PBAC. The </w:t>
      </w:r>
      <w:r w:rsidR="005616CC">
        <w:rPr>
          <w:rFonts w:ascii="Arial" w:hAnsi="Arial" w:cs="Arial"/>
          <w:sz w:val="22"/>
          <w:lang w:val="en-AU" w:eastAsia="en-AU"/>
        </w:rPr>
        <w:t>September</w:t>
      </w:r>
      <w:r w:rsidR="008D020C">
        <w:rPr>
          <w:rFonts w:ascii="Arial" w:hAnsi="Arial" w:cs="Arial"/>
          <w:sz w:val="22"/>
          <w:lang w:val="en-AU" w:eastAsia="en-AU"/>
        </w:rPr>
        <w:t xml:space="preserve"> 2018</w:t>
      </w:r>
      <w:r w:rsidR="00A31269" w:rsidRPr="00A31269">
        <w:rPr>
          <w:rFonts w:ascii="Arial" w:hAnsi="Arial" w:cs="Arial"/>
          <w:sz w:val="22"/>
          <w:lang w:val="en-AU" w:eastAsia="en-AU"/>
        </w:rPr>
        <w:t xml:space="preserve"> DUSC outcome statement </w:t>
      </w:r>
      <w:r w:rsidR="00A31269" w:rsidRPr="00A31269">
        <w:rPr>
          <w:rFonts w:ascii="Arial" w:hAnsi="Arial" w:cs="Arial"/>
          <w:snapToGrid w:val="0"/>
          <w:sz w:val="22"/>
          <w:szCs w:val="22"/>
          <w:lang w:val="en-AU"/>
        </w:rPr>
        <w:t xml:space="preserve">is </w:t>
      </w:r>
      <w:hyperlink r:id="rId8" w:history="1">
        <w:r w:rsidR="00A31269" w:rsidRPr="00A31269">
          <w:rPr>
            <w:rFonts w:ascii="Arial" w:hAnsi="Arial" w:cs="Arial"/>
            <w:snapToGrid w:val="0"/>
            <w:color w:val="0000FF" w:themeColor="hyperlink"/>
            <w:sz w:val="22"/>
            <w:szCs w:val="22"/>
            <w:u w:val="single"/>
            <w:lang w:val="en-AU"/>
          </w:rPr>
          <w:t xml:space="preserve">available </w:t>
        </w:r>
        <w:r w:rsidR="00A31269" w:rsidRPr="00A31269">
          <w:rPr>
            <w:rFonts w:ascii="Arial" w:hAnsi="Arial" w:cs="Arial"/>
            <w:snapToGrid w:val="0"/>
            <w:color w:val="0000FF" w:themeColor="hyperlink"/>
            <w:sz w:val="22"/>
            <w:u w:val="single"/>
            <w:lang w:val="en-AU"/>
          </w:rPr>
          <w:t>here</w:t>
        </w:r>
      </w:hyperlink>
      <w:r w:rsidR="00A31269" w:rsidRPr="00EB38E2">
        <w:rPr>
          <w:rFonts w:ascii="Arial" w:hAnsi="Arial" w:cs="Arial"/>
          <w:sz w:val="22"/>
          <w:lang w:val="en-AU" w:eastAsia="en-AU"/>
        </w:rPr>
        <w:t>.</w:t>
      </w:r>
    </w:p>
    <w:p w14:paraId="2BEF9007" w14:textId="25603A75" w:rsidR="005616CC" w:rsidRDefault="005616CC" w:rsidP="00A31269">
      <w:pPr>
        <w:contextualSpacing/>
        <w:jc w:val="both"/>
        <w:rPr>
          <w:rFonts w:ascii="Arial" w:hAnsi="Arial" w:cs="Arial"/>
          <w:b/>
          <w:sz w:val="22"/>
          <w:lang w:val="en-AU" w:eastAsia="en-AU"/>
        </w:rPr>
      </w:pPr>
    </w:p>
    <w:p w14:paraId="38EDF30F" w14:textId="3CD96C5E" w:rsidR="007C758A" w:rsidRDefault="005616CC" w:rsidP="00A31269">
      <w:pPr>
        <w:contextualSpacing/>
        <w:jc w:val="both"/>
        <w:rPr>
          <w:rFonts w:ascii="Arial" w:hAnsi="Arial" w:cs="Arial"/>
          <w:b/>
          <w:sz w:val="22"/>
          <w:lang w:val="en-AU" w:eastAsia="en-AU"/>
        </w:rPr>
      </w:pPr>
      <w:r>
        <w:rPr>
          <w:rFonts w:ascii="Arial" w:hAnsi="Arial" w:cs="Arial"/>
          <w:b/>
          <w:sz w:val="22"/>
          <w:lang w:val="en-AU" w:eastAsia="en-AU"/>
        </w:rPr>
        <w:t>Febuxostat for chronic gout</w:t>
      </w:r>
    </w:p>
    <w:p w14:paraId="1B925BB8" w14:textId="77777777" w:rsidR="00B13AD3" w:rsidRDefault="00B13AD3" w:rsidP="00A31269">
      <w:pPr>
        <w:contextualSpacing/>
        <w:jc w:val="both"/>
        <w:rPr>
          <w:rFonts w:ascii="Arial" w:hAnsi="Arial" w:cs="Arial"/>
          <w:sz w:val="22"/>
          <w:lang w:val="en-AU" w:eastAsia="en-AU"/>
        </w:rPr>
      </w:pPr>
    </w:p>
    <w:p w14:paraId="58D57071" w14:textId="6EFE49E6" w:rsidR="00B1693A" w:rsidRPr="00B1693A" w:rsidRDefault="00B13AD3" w:rsidP="00B1693A">
      <w:pPr>
        <w:contextualSpacing/>
        <w:jc w:val="both"/>
        <w:rPr>
          <w:rFonts w:ascii="Arial" w:hAnsi="Arial" w:cs="Arial"/>
          <w:bCs/>
          <w:sz w:val="22"/>
          <w:lang w:val="en-AU" w:eastAsia="en-AU"/>
        </w:rPr>
      </w:pPr>
      <w:r>
        <w:rPr>
          <w:rFonts w:ascii="Arial" w:hAnsi="Arial" w:cs="Arial"/>
          <w:sz w:val="22"/>
          <w:lang w:val="en-AU" w:eastAsia="en-AU"/>
        </w:rPr>
        <w:t xml:space="preserve">This report </w:t>
      </w:r>
      <w:r w:rsidRPr="00B13AD3">
        <w:rPr>
          <w:rFonts w:ascii="Arial" w:hAnsi="Arial" w:cs="Arial"/>
          <w:sz w:val="22"/>
          <w:lang w:val="en-AU" w:eastAsia="en-AU"/>
        </w:rPr>
        <w:t>consider</w:t>
      </w:r>
      <w:r>
        <w:rPr>
          <w:rFonts w:ascii="Arial" w:hAnsi="Arial" w:cs="Arial"/>
          <w:sz w:val="22"/>
          <w:lang w:val="en-AU" w:eastAsia="en-AU"/>
        </w:rPr>
        <w:t xml:space="preserve">ed the </w:t>
      </w:r>
      <w:r w:rsidR="005616CC">
        <w:rPr>
          <w:rFonts w:ascii="Arial" w:hAnsi="Arial" w:cs="Arial"/>
          <w:sz w:val="22"/>
          <w:lang w:val="en-AU" w:eastAsia="en-AU"/>
        </w:rPr>
        <w:t xml:space="preserve">predicted versus actual </w:t>
      </w:r>
      <w:r>
        <w:rPr>
          <w:rFonts w:ascii="Arial" w:hAnsi="Arial" w:cs="Arial"/>
          <w:sz w:val="22"/>
          <w:lang w:val="en-AU" w:eastAsia="en-AU"/>
        </w:rPr>
        <w:t xml:space="preserve">use of </w:t>
      </w:r>
      <w:r w:rsidR="005616CC">
        <w:rPr>
          <w:rFonts w:ascii="Arial" w:hAnsi="Arial" w:cs="Arial"/>
          <w:sz w:val="22"/>
          <w:lang w:val="en-AU" w:eastAsia="en-AU"/>
        </w:rPr>
        <w:t>febuxostat</w:t>
      </w:r>
      <w:r w:rsidRPr="00B13AD3">
        <w:rPr>
          <w:rFonts w:ascii="Arial" w:hAnsi="Arial" w:cs="Arial"/>
          <w:sz w:val="22"/>
          <w:lang w:val="en-AU" w:eastAsia="en-AU"/>
        </w:rPr>
        <w:t xml:space="preserve"> </w:t>
      </w:r>
      <w:r w:rsidR="005616CC">
        <w:rPr>
          <w:rFonts w:ascii="Arial" w:hAnsi="Arial" w:cs="Arial"/>
          <w:sz w:val="22"/>
          <w:lang w:val="en-AU" w:eastAsia="en-AU"/>
        </w:rPr>
        <w:t>during the</w:t>
      </w:r>
      <w:r w:rsidR="00F66E50">
        <w:rPr>
          <w:rFonts w:ascii="Arial" w:hAnsi="Arial" w:cs="Arial"/>
          <w:sz w:val="22"/>
          <w:lang w:val="en-AU" w:eastAsia="en-AU"/>
        </w:rPr>
        <w:t xml:space="preserve"> first 24 months of listing</w:t>
      </w:r>
      <w:r w:rsidRPr="00B13AD3">
        <w:rPr>
          <w:rFonts w:ascii="Arial" w:hAnsi="Arial" w:cs="Arial"/>
          <w:sz w:val="22"/>
          <w:lang w:val="en-AU" w:eastAsia="en-AU"/>
        </w:rPr>
        <w:t xml:space="preserve"> </w:t>
      </w:r>
      <w:r w:rsidR="00F66E50">
        <w:rPr>
          <w:rFonts w:ascii="Arial" w:hAnsi="Arial" w:cs="Arial"/>
          <w:sz w:val="22"/>
          <w:lang w:val="en-AU" w:eastAsia="en-AU"/>
        </w:rPr>
        <w:t xml:space="preserve">on the Pharmaceutical Benefits Scheme (PBS) </w:t>
      </w:r>
      <w:r w:rsidRPr="00B13AD3">
        <w:rPr>
          <w:rFonts w:ascii="Arial" w:hAnsi="Arial" w:cs="Arial"/>
          <w:sz w:val="22"/>
          <w:lang w:val="en-AU" w:eastAsia="en-AU"/>
        </w:rPr>
        <w:t xml:space="preserve">for the treatment of </w:t>
      </w:r>
      <w:r w:rsidR="005616CC">
        <w:rPr>
          <w:rFonts w:ascii="Arial" w:hAnsi="Arial" w:cs="Arial"/>
          <w:sz w:val="22"/>
          <w:lang w:val="en-AU" w:eastAsia="en-AU"/>
        </w:rPr>
        <w:t>chronic gout</w:t>
      </w:r>
      <w:r w:rsidRPr="00B13AD3">
        <w:rPr>
          <w:rFonts w:ascii="Arial" w:hAnsi="Arial" w:cs="Arial"/>
          <w:sz w:val="22"/>
          <w:lang w:val="en-AU" w:eastAsia="en-AU"/>
        </w:rPr>
        <w:t xml:space="preserve">.  </w:t>
      </w:r>
    </w:p>
    <w:p w14:paraId="0F478DA6" w14:textId="77777777" w:rsidR="00A31269" w:rsidRPr="00A31269" w:rsidRDefault="00A31269" w:rsidP="00A31269">
      <w:pPr>
        <w:contextualSpacing/>
        <w:jc w:val="both"/>
        <w:rPr>
          <w:rFonts w:ascii="Arial" w:hAnsi="Arial" w:cs="Arial"/>
          <w:color w:val="A6A6A6"/>
          <w:sz w:val="22"/>
          <w:lang w:val="en-AU" w:eastAsia="en-AU"/>
        </w:rPr>
      </w:pPr>
    </w:p>
    <w:p w14:paraId="4711D0AD" w14:textId="77777777" w:rsidR="00A31269" w:rsidRPr="003172AB" w:rsidRDefault="00A31269" w:rsidP="00A31269">
      <w:pPr>
        <w:contextualSpacing/>
        <w:rPr>
          <w:rFonts w:ascii="Arial" w:hAnsi="Arial" w:cs="Arial"/>
          <w:i/>
          <w:sz w:val="22"/>
          <w:lang w:val="en-AU" w:eastAsia="en-AU"/>
        </w:rPr>
      </w:pPr>
      <w:r w:rsidRPr="003172AB">
        <w:rPr>
          <w:rFonts w:ascii="Arial" w:hAnsi="Arial" w:cs="Arial"/>
          <w:i/>
          <w:sz w:val="22"/>
          <w:lang w:val="en-AU" w:eastAsia="en-AU"/>
        </w:rPr>
        <w:t>Outcome</w:t>
      </w:r>
    </w:p>
    <w:p w14:paraId="3E64F3C6" w14:textId="3A03728A" w:rsidR="005616CC" w:rsidRDefault="005616CC" w:rsidP="00B95F3B">
      <w:pPr>
        <w:contextualSpacing/>
        <w:jc w:val="both"/>
        <w:rPr>
          <w:rFonts w:ascii="Arial" w:hAnsi="Arial" w:cs="Arial"/>
          <w:sz w:val="22"/>
          <w:lang w:val="en-AU" w:eastAsia="en-AU"/>
        </w:rPr>
      </w:pPr>
    </w:p>
    <w:p w14:paraId="3FF6D8B2" w14:textId="77777777" w:rsidR="005616CC" w:rsidRPr="005426D2" w:rsidRDefault="005616CC" w:rsidP="00E24412">
      <w:pPr>
        <w:pStyle w:val="BalloonText"/>
        <w:spacing w:after="120"/>
        <w:rPr>
          <w:rFonts w:ascii="Arial" w:hAnsi="Arial" w:cs="Arial"/>
          <w:sz w:val="22"/>
          <w:szCs w:val="22"/>
        </w:rPr>
      </w:pPr>
      <w:r w:rsidRPr="005426D2">
        <w:rPr>
          <w:rFonts w:ascii="Arial" w:hAnsi="Arial" w:cs="Arial"/>
          <w:sz w:val="22"/>
          <w:szCs w:val="22"/>
        </w:rPr>
        <w:t xml:space="preserve">The PBAC recalled that when recommending febuxostat in March 2017, an Authority Required listing was considered necessary to target use to patients with a contraindication to, or who were intolerant of treatment with allopurinol. The PBAC noted that it considered a request from the sponsor in July 2017 to change the restriction to Authority Required (STREAMLINED). The PBAC noted its recommendation at that time to revisit the restriction level after the completion of the DUSC review of the utilisation of febuxostat. </w:t>
      </w:r>
    </w:p>
    <w:p w14:paraId="7BE3FEA6" w14:textId="77777777" w:rsidR="005616CC" w:rsidRPr="005426D2" w:rsidRDefault="005616CC" w:rsidP="00E24412">
      <w:pPr>
        <w:pStyle w:val="ListParagraph"/>
        <w:spacing w:before="120" w:after="120"/>
        <w:ind w:left="0" w:firstLine="0"/>
        <w:contextualSpacing w:val="0"/>
        <w:rPr>
          <w:rFonts w:cs="Arial"/>
          <w:szCs w:val="22"/>
        </w:rPr>
      </w:pPr>
      <w:r w:rsidRPr="005426D2">
        <w:rPr>
          <w:rFonts w:cs="Arial"/>
          <w:szCs w:val="22"/>
        </w:rPr>
        <w:t>The PBAC noted that fewer patients had utilised febuxostat than predicted. The PBAC further noted that patients were getting less prescriptions dispensed than expected. The PBAC considered that the lower than anticipated use of febuxostat was likely related to concerns about its cardiovascular safety.</w:t>
      </w:r>
    </w:p>
    <w:p w14:paraId="683F6C50" w14:textId="284BF17E" w:rsidR="00F66E50" w:rsidRDefault="0040140B" w:rsidP="00F66E50">
      <w:pPr>
        <w:pStyle w:val="ListParagraph"/>
        <w:spacing w:before="120"/>
        <w:ind w:left="0" w:firstLine="0"/>
        <w:contextualSpacing w:val="0"/>
        <w:rPr>
          <w:rFonts w:cs="Arial"/>
          <w:szCs w:val="22"/>
        </w:rPr>
      </w:pPr>
      <w:r w:rsidRPr="005426D2">
        <w:rPr>
          <w:rFonts w:cs="Arial"/>
          <w:szCs w:val="22"/>
        </w:rPr>
        <w:t>The PBAC considered that the use of febuxostat was within expectations</w:t>
      </w:r>
      <w:r>
        <w:rPr>
          <w:rFonts w:cs="Arial"/>
          <w:szCs w:val="22"/>
        </w:rPr>
        <w:t xml:space="preserve">. </w:t>
      </w:r>
      <w:r w:rsidR="005616CC" w:rsidRPr="005426D2">
        <w:rPr>
          <w:rFonts w:cs="Arial"/>
          <w:szCs w:val="22"/>
        </w:rPr>
        <w:t xml:space="preserve">The PBAC recommended that the restriction for febuxostat be changed to Authority Required (STREAMLINED). </w:t>
      </w:r>
    </w:p>
    <w:p w14:paraId="047C33C9" w14:textId="77777777" w:rsidR="00F66E50" w:rsidRDefault="00F66E50" w:rsidP="00F66E50">
      <w:pPr>
        <w:pStyle w:val="ListParagraph"/>
        <w:spacing w:before="120"/>
        <w:ind w:left="0" w:firstLine="0"/>
        <w:contextualSpacing w:val="0"/>
        <w:rPr>
          <w:rFonts w:cs="Arial"/>
          <w:szCs w:val="22"/>
        </w:rPr>
      </w:pPr>
    </w:p>
    <w:p w14:paraId="4801479E" w14:textId="35B27F99" w:rsidR="00E24412" w:rsidRPr="00E24412" w:rsidRDefault="00E24412" w:rsidP="00F66E50">
      <w:pPr>
        <w:pStyle w:val="ListParagraph"/>
        <w:ind w:left="0" w:firstLine="0"/>
        <w:contextualSpacing w:val="0"/>
        <w:rPr>
          <w:rFonts w:cs="Arial"/>
          <w:b/>
          <w:szCs w:val="22"/>
        </w:rPr>
      </w:pPr>
      <w:r>
        <w:rPr>
          <w:rFonts w:cs="Arial"/>
          <w:b/>
          <w:szCs w:val="22"/>
        </w:rPr>
        <w:t>Medicines to treat</w:t>
      </w:r>
      <w:r w:rsidRPr="00E24412">
        <w:rPr>
          <w:rFonts w:cs="Arial"/>
          <w:b/>
          <w:szCs w:val="22"/>
        </w:rPr>
        <w:t xml:space="preserve"> chronic hepatitis C</w:t>
      </w:r>
    </w:p>
    <w:p w14:paraId="68A40FC0" w14:textId="73990CF5" w:rsidR="00E24412" w:rsidRDefault="00E24412" w:rsidP="00E24412">
      <w:pPr>
        <w:pStyle w:val="ListParagraph"/>
        <w:spacing w:before="120" w:after="120"/>
        <w:ind w:left="0" w:firstLine="0"/>
        <w:contextualSpacing w:val="0"/>
        <w:rPr>
          <w:rFonts w:cs="Arial"/>
          <w:szCs w:val="22"/>
        </w:rPr>
      </w:pPr>
      <w:r>
        <w:rPr>
          <w:rFonts w:cs="Arial"/>
          <w:szCs w:val="22"/>
        </w:rPr>
        <w:t xml:space="preserve">This report considered the </w:t>
      </w:r>
      <w:r w:rsidRPr="008F7A4B">
        <w:rPr>
          <w:rFonts w:cs="Arial"/>
          <w:szCs w:val="22"/>
        </w:rPr>
        <w:t xml:space="preserve">use of new generation direct acting antiviral (DAA) medicines listed on the PBS for the treatment of </w:t>
      </w:r>
      <w:r w:rsidRPr="008F7A4B">
        <w:rPr>
          <w:rFonts w:cs="Arial"/>
          <w:color w:val="000000"/>
          <w:szCs w:val="22"/>
        </w:rPr>
        <w:t>chronic hepatitis C</w:t>
      </w:r>
      <w:r w:rsidRPr="008F7A4B">
        <w:rPr>
          <w:rFonts w:cs="Arial"/>
          <w:szCs w:val="22"/>
        </w:rPr>
        <w:t>.</w:t>
      </w:r>
    </w:p>
    <w:p w14:paraId="519300D9" w14:textId="77777777" w:rsidR="006D36DC" w:rsidRDefault="006D36DC" w:rsidP="006D36DC">
      <w:pPr>
        <w:pStyle w:val="ListParagraph"/>
        <w:ind w:left="0" w:firstLine="0"/>
        <w:contextualSpacing w:val="0"/>
        <w:rPr>
          <w:rFonts w:cs="Arial"/>
          <w:szCs w:val="22"/>
        </w:rPr>
      </w:pPr>
    </w:p>
    <w:p w14:paraId="4242FFA3" w14:textId="4850BCE1" w:rsidR="00E24412" w:rsidRDefault="00E24412" w:rsidP="006D36DC">
      <w:pPr>
        <w:rPr>
          <w:rFonts w:ascii="Arial" w:hAnsi="Arial" w:cs="Arial"/>
          <w:i/>
          <w:sz w:val="22"/>
          <w:lang w:val="en-AU" w:eastAsia="en-AU"/>
        </w:rPr>
      </w:pPr>
      <w:r w:rsidRPr="003172AB">
        <w:rPr>
          <w:rFonts w:ascii="Arial" w:hAnsi="Arial" w:cs="Arial"/>
          <w:i/>
          <w:sz w:val="22"/>
          <w:lang w:val="en-AU" w:eastAsia="en-AU"/>
        </w:rPr>
        <w:t>Outcome</w:t>
      </w:r>
    </w:p>
    <w:p w14:paraId="5C6ADEED" w14:textId="77777777" w:rsidR="00E24412" w:rsidRPr="003172AB" w:rsidRDefault="00E24412" w:rsidP="006D36DC">
      <w:pPr>
        <w:rPr>
          <w:rFonts w:ascii="Arial" w:hAnsi="Arial" w:cs="Arial"/>
          <w:i/>
          <w:sz w:val="22"/>
          <w:lang w:val="en-AU" w:eastAsia="en-AU"/>
        </w:rPr>
      </w:pPr>
    </w:p>
    <w:p w14:paraId="329008E0" w14:textId="44A8C1A5" w:rsidR="00E24412" w:rsidRDefault="00E24412" w:rsidP="00E24412">
      <w:pPr>
        <w:contextualSpacing/>
        <w:rPr>
          <w:rFonts w:ascii="Arial" w:hAnsi="Arial" w:cs="Arial"/>
          <w:sz w:val="22"/>
          <w:szCs w:val="22"/>
          <w:lang w:val="en-AU" w:eastAsia="en-AU"/>
        </w:rPr>
      </w:pPr>
      <w:r w:rsidRPr="00E24412">
        <w:rPr>
          <w:rFonts w:ascii="Arial" w:hAnsi="Arial" w:cs="Arial"/>
          <w:sz w:val="22"/>
          <w:szCs w:val="22"/>
          <w:lang w:val="en-AU" w:eastAsia="en-AU"/>
        </w:rPr>
        <w:t xml:space="preserve">The PBAC noted </w:t>
      </w:r>
      <w:r>
        <w:rPr>
          <w:rFonts w:ascii="Arial" w:hAnsi="Arial" w:cs="Arial"/>
          <w:sz w:val="22"/>
          <w:szCs w:val="22"/>
          <w:lang w:val="en-AU" w:eastAsia="en-AU"/>
        </w:rPr>
        <w:t xml:space="preserve">that </w:t>
      </w:r>
      <w:r w:rsidRPr="00E24412">
        <w:rPr>
          <w:rFonts w:ascii="Arial" w:hAnsi="Arial" w:cs="Arial"/>
          <w:sz w:val="22"/>
          <w:szCs w:val="22"/>
          <w:lang w:val="en-AU" w:eastAsia="en-AU"/>
        </w:rPr>
        <w:t xml:space="preserve">the utilisation of the new generation DAA medicines had stabilised after a large initial uptake when the medicines </w:t>
      </w:r>
      <w:r>
        <w:rPr>
          <w:rFonts w:ascii="Arial" w:hAnsi="Arial" w:cs="Arial"/>
          <w:sz w:val="22"/>
          <w:szCs w:val="22"/>
          <w:lang w:val="en-AU" w:eastAsia="en-AU"/>
        </w:rPr>
        <w:t>were first listed in March</w:t>
      </w:r>
      <w:r w:rsidR="008A4B6F">
        <w:rPr>
          <w:rFonts w:ascii="Arial" w:hAnsi="Arial" w:cs="Arial"/>
          <w:sz w:val="22"/>
          <w:szCs w:val="22"/>
          <w:lang w:val="en-AU" w:eastAsia="en-AU"/>
        </w:rPr>
        <w:t> </w:t>
      </w:r>
      <w:r>
        <w:rPr>
          <w:rFonts w:ascii="Arial" w:hAnsi="Arial" w:cs="Arial"/>
          <w:sz w:val="22"/>
          <w:szCs w:val="22"/>
          <w:lang w:val="en-AU" w:eastAsia="en-AU"/>
        </w:rPr>
        <w:t xml:space="preserve">2016. </w:t>
      </w:r>
    </w:p>
    <w:p w14:paraId="153327C7" w14:textId="227CB10B" w:rsidR="00E24412" w:rsidRDefault="00E24412" w:rsidP="00E24412">
      <w:pPr>
        <w:contextualSpacing/>
        <w:rPr>
          <w:rFonts w:ascii="Arial" w:hAnsi="Arial" w:cs="Arial"/>
          <w:sz w:val="22"/>
          <w:szCs w:val="22"/>
          <w:lang w:val="en-AU" w:eastAsia="en-AU"/>
        </w:rPr>
      </w:pPr>
    </w:p>
    <w:p w14:paraId="5C7F5CEE" w14:textId="22969D95" w:rsidR="00E24412" w:rsidRDefault="00E24412" w:rsidP="00E24412">
      <w:pPr>
        <w:contextualSpacing/>
        <w:rPr>
          <w:rFonts w:ascii="Arial" w:hAnsi="Arial" w:cs="Arial"/>
          <w:sz w:val="22"/>
          <w:szCs w:val="22"/>
          <w:lang w:val="en-AU" w:eastAsia="en-AU"/>
        </w:rPr>
      </w:pPr>
      <w:r>
        <w:rPr>
          <w:rFonts w:ascii="Arial" w:hAnsi="Arial" w:cs="Arial"/>
          <w:sz w:val="22"/>
          <w:szCs w:val="22"/>
          <w:lang w:val="en-AU" w:eastAsia="en-AU"/>
        </w:rPr>
        <w:t xml:space="preserve">The PBAC noted that </w:t>
      </w:r>
      <w:r w:rsidRPr="00E24412">
        <w:rPr>
          <w:rFonts w:ascii="Arial" w:hAnsi="Arial" w:cs="Arial"/>
          <w:sz w:val="22"/>
          <w:szCs w:val="22"/>
          <w:lang w:val="en-AU" w:eastAsia="en-AU"/>
        </w:rPr>
        <w:t>the majority of patients were dispe</w:t>
      </w:r>
      <w:r>
        <w:rPr>
          <w:rFonts w:ascii="Arial" w:hAnsi="Arial" w:cs="Arial"/>
          <w:sz w:val="22"/>
          <w:szCs w:val="22"/>
          <w:lang w:val="en-AU" w:eastAsia="en-AU"/>
        </w:rPr>
        <w:t xml:space="preserve">nsed a full course of treatment and that the </w:t>
      </w:r>
      <w:r w:rsidRPr="00E24412">
        <w:rPr>
          <w:rFonts w:ascii="Arial" w:hAnsi="Arial" w:cs="Arial"/>
          <w:sz w:val="22"/>
          <w:szCs w:val="22"/>
          <w:lang w:val="en-AU" w:eastAsia="en-AU"/>
        </w:rPr>
        <w:t>utilisation had shifted towards the predominant use</w:t>
      </w:r>
      <w:r>
        <w:rPr>
          <w:rFonts w:ascii="Arial" w:hAnsi="Arial" w:cs="Arial"/>
          <w:sz w:val="22"/>
          <w:szCs w:val="22"/>
          <w:lang w:val="en-AU" w:eastAsia="en-AU"/>
        </w:rPr>
        <w:t xml:space="preserve"> of pan</w:t>
      </w:r>
      <w:r w:rsidR="008A4B6F">
        <w:rPr>
          <w:rFonts w:ascii="Arial" w:hAnsi="Arial" w:cs="Arial"/>
          <w:sz w:val="22"/>
          <w:szCs w:val="22"/>
          <w:lang w:val="en-AU" w:eastAsia="en-AU"/>
        </w:rPr>
        <w:noBreakHyphen/>
      </w:r>
      <w:r>
        <w:rPr>
          <w:rFonts w:ascii="Arial" w:hAnsi="Arial" w:cs="Arial"/>
          <w:sz w:val="22"/>
          <w:szCs w:val="22"/>
          <w:lang w:val="en-AU" w:eastAsia="en-AU"/>
        </w:rPr>
        <w:t>genotypic drug regimens.</w:t>
      </w:r>
    </w:p>
    <w:p w14:paraId="0C05EA72" w14:textId="77777777" w:rsidR="00E24412" w:rsidRPr="00E24412" w:rsidRDefault="00E24412" w:rsidP="00E24412">
      <w:pPr>
        <w:contextualSpacing/>
        <w:rPr>
          <w:rFonts w:ascii="Arial" w:hAnsi="Arial" w:cs="Arial"/>
          <w:sz w:val="22"/>
          <w:szCs w:val="22"/>
          <w:lang w:val="en-AU" w:eastAsia="en-AU"/>
        </w:rPr>
      </w:pPr>
    </w:p>
    <w:p w14:paraId="53A1C260" w14:textId="3C542518" w:rsidR="00E24412" w:rsidRDefault="00E24412" w:rsidP="00F66E50">
      <w:pPr>
        <w:contextualSpacing/>
        <w:rPr>
          <w:rFonts w:ascii="Arial" w:hAnsi="Arial" w:cs="Arial"/>
          <w:sz w:val="22"/>
          <w:szCs w:val="22"/>
          <w:lang w:val="en-AU" w:eastAsia="en-AU"/>
        </w:rPr>
      </w:pPr>
      <w:r>
        <w:rPr>
          <w:rFonts w:ascii="Arial" w:hAnsi="Arial" w:cs="Arial"/>
          <w:sz w:val="22"/>
          <w:szCs w:val="22"/>
          <w:lang w:val="en-AU" w:eastAsia="en-AU"/>
        </w:rPr>
        <w:t xml:space="preserve">The PBAC noted that </w:t>
      </w:r>
      <w:r w:rsidRPr="00E24412">
        <w:rPr>
          <w:rFonts w:ascii="Arial" w:hAnsi="Arial" w:cs="Arial"/>
          <w:sz w:val="22"/>
          <w:szCs w:val="22"/>
          <w:lang w:val="en-AU" w:eastAsia="en-AU"/>
        </w:rPr>
        <w:t>over time there had been a greater extent of prescribing by general practitioners compared to specialist prescribers.</w:t>
      </w:r>
    </w:p>
    <w:p w14:paraId="031FE68F" w14:textId="77777777" w:rsidR="00F66E50" w:rsidRPr="00F66E50" w:rsidRDefault="00F66E50" w:rsidP="00F66E50">
      <w:pPr>
        <w:contextualSpacing/>
        <w:rPr>
          <w:rFonts w:ascii="Arial" w:hAnsi="Arial" w:cs="Arial"/>
          <w:sz w:val="22"/>
          <w:szCs w:val="22"/>
          <w:lang w:val="en-AU" w:eastAsia="en-AU"/>
        </w:rPr>
      </w:pPr>
    </w:p>
    <w:p w14:paraId="36E79146" w14:textId="01A97FDD" w:rsidR="00A47E2F" w:rsidRDefault="00A47E2F" w:rsidP="00F66E50">
      <w:pPr>
        <w:pStyle w:val="ListParagraph"/>
        <w:ind w:left="0" w:firstLine="0"/>
        <w:rPr>
          <w:rFonts w:cs="Arial"/>
          <w:b/>
          <w:szCs w:val="22"/>
        </w:rPr>
      </w:pPr>
      <w:r>
        <w:rPr>
          <w:rFonts w:cs="Arial"/>
          <w:b/>
          <w:szCs w:val="22"/>
        </w:rPr>
        <w:t>Bevacizumab for ovarian cancer</w:t>
      </w:r>
    </w:p>
    <w:p w14:paraId="5E9AE493" w14:textId="77777777" w:rsidR="00F66E50" w:rsidRDefault="00F66E50" w:rsidP="00F66E50">
      <w:pPr>
        <w:pStyle w:val="ListParagraph"/>
        <w:ind w:left="0" w:firstLine="0"/>
        <w:rPr>
          <w:rFonts w:cs="Arial"/>
          <w:b/>
          <w:szCs w:val="22"/>
        </w:rPr>
      </w:pPr>
    </w:p>
    <w:p w14:paraId="5EE8BD5F" w14:textId="006D1DD8" w:rsidR="00A47E2F" w:rsidRDefault="00A47E2F" w:rsidP="00F66E50">
      <w:pPr>
        <w:pStyle w:val="ListParagraph"/>
        <w:ind w:left="0" w:firstLine="0"/>
      </w:pPr>
      <w:r>
        <w:rPr>
          <w:rFonts w:cs="Arial"/>
          <w:szCs w:val="22"/>
        </w:rPr>
        <w:t xml:space="preserve">This report considered the </w:t>
      </w:r>
      <w:r w:rsidRPr="008F7A4B">
        <w:rPr>
          <w:rFonts w:cs="Arial"/>
          <w:szCs w:val="22"/>
        </w:rPr>
        <w:t xml:space="preserve">use of </w:t>
      </w:r>
      <w:r w:rsidRPr="00DA5DF8">
        <w:t xml:space="preserve">bevacizumab </w:t>
      </w:r>
      <w:r w:rsidRPr="009D10BB">
        <w:t xml:space="preserve">for </w:t>
      </w:r>
      <w:r>
        <w:t xml:space="preserve">the treatment of </w:t>
      </w:r>
      <w:r w:rsidRPr="009D10BB">
        <w:t>Stage IIIB, IIIC or IV epithelial ovarian, fallopian tube, or primary peritoneal cancer</w:t>
      </w:r>
      <w:r>
        <w:t>.</w:t>
      </w:r>
    </w:p>
    <w:p w14:paraId="751E9D44" w14:textId="77777777" w:rsidR="00A47E2F" w:rsidRDefault="00A47E2F" w:rsidP="00F66E50">
      <w:pPr>
        <w:pStyle w:val="ListParagraph"/>
        <w:ind w:left="0" w:firstLine="0"/>
      </w:pPr>
    </w:p>
    <w:p w14:paraId="48B78BEC" w14:textId="77777777" w:rsidR="00A47E2F" w:rsidRDefault="00A47E2F" w:rsidP="00F66E50">
      <w:pPr>
        <w:contextualSpacing/>
        <w:rPr>
          <w:rFonts w:ascii="Arial" w:hAnsi="Arial" w:cs="Arial"/>
          <w:i/>
          <w:sz w:val="22"/>
          <w:lang w:val="en-AU" w:eastAsia="en-AU"/>
        </w:rPr>
      </w:pPr>
      <w:r w:rsidRPr="003172AB">
        <w:rPr>
          <w:rFonts w:ascii="Arial" w:hAnsi="Arial" w:cs="Arial"/>
          <w:i/>
          <w:sz w:val="22"/>
          <w:lang w:val="en-AU" w:eastAsia="en-AU"/>
        </w:rPr>
        <w:t>Outcome</w:t>
      </w:r>
    </w:p>
    <w:p w14:paraId="447FABC9" w14:textId="77777777" w:rsidR="00A47E2F" w:rsidRPr="003172AB" w:rsidRDefault="00A47E2F" w:rsidP="00F66E50">
      <w:pPr>
        <w:contextualSpacing/>
        <w:rPr>
          <w:rFonts w:ascii="Arial" w:hAnsi="Arial" w:cs="Arial"/>
          <w:i/>
          <w:sz w:val="22"/>
          <w:lang w:val="en-AU" w:eastAsia="en-AU"/>
        </w:rPr>
      </w:pPr>
    </w:p>
    <w:p w14:paraId="3C521A8F" w14:textId="465799B0" w:rsidR="00A47E2F" w:rsidRDefault="00A47E2F" w:rsidP="00F66E50">
      <w:pPr>
        <w:contextualSpacing/>
        <w:rPr>
          <w:rFonts w:ascii="Arial" w:hAnsi="Arial"/>
          <w:sz w:val="22"/>
          <w:lang w:val="en-AU" w:eastAsia="en-AU"/>
        </w:rPr>
      </w:pPr>
      <w:r w:rsidRPr="00A47E2F">
        <w:rPr>
          <w:rFonts w:ascii="Arial" w:hAnsi="Arial"/>
          <w:sz w:val="22"/>
          <w:lang w:val="en-AU" w:eastAsia="en-AU"/>
        </w:rPr>
        <w:t>The PBAC noted that the number o</w:t>
      </w:r>
      <w:r>
        <w:rPr>
          <w:rFonts w:ascii="Arial" w:hAnsi="Arial"/>
          <w:sz w:val="22"/>
          <w:lang w:val="en-AU" w:eastAsia="en-AU"/>
        </w:rPr>
        <w:t xml:space="preserve">f initiating patients was consistent with the number predicted. The PBAC considered this indicated that </w:t>
      </w:r>
      <w:r w:rsidRPr="00A47E2F">
        <w:rPr>
          <w:rFonts w:ascii="Arial" w:hAnsi="Arial"/>
          <w:sz w:val="22"/>
          <w:lang w:val="en-AU" w:eastAsia="en-AU"/>
        </w:rPr>
        <w:t xml:space="preserve">most eligible patients have been able to access bevacizumab. </w:t>
      </w:r>
    </w:p>
    <w:p w14:paraId="29AFCD21" w14:textId="77777777" w:rsidR="00F66E50" w:rsidRDefault="00F66E50" w:rsidP="00F66E50">
      <w:pPr>
        <w:contextualSpacing/>
        <w:rPr>
          <w:rFonts w:ascii="Arial" w:hAnsi="Arial"/>
          <w:sz w:val="22"/>
          <w:lang w:val="en-AU" w:eastAsia="en-AU"/>
        </w:rPr>
      </w:pPr>
    </w:p>
    <w:p w14:paraId="0B926DFB" w14:textId="4167239B" w:rsidR="00A47E2F" w:rsidRDefault="00A47E2F" w:rsidP="00F66E50">
      <w:pPr>
        <w:contextualSpacing/>
        <w:rPr>
          <w:rFonts w:ascii="Arial" w:hAnsi="Arial"/>
          <w:sz w:val="22"/>
          <w:lang w:val="en-AU" w:eastAsia="en-AU"/>
        </w:rPr>
      </w:pPr>
      <w:r w:rsidRPr="00A47E2F">
        <w:rPr>
          <w:rFonts w:ascii="Arial" w:hAnsi="Arial"/>
          <w:sz w:val="22"/>
          <w:lang w:val="en-AU" w:eastAsia="en-AU"/>
        </w:rPr>
        <w:t>The PBAC noted that the number of prescriptions dispensed had been less than predicted. The PBAC noted that only a low proportion (10%) of patients had reached the lifetime limit of 18 cycles of treatment, and that as an Authority Required (STREAMLINED) listing, the lifetime limit relies on prescribers complying with the restriction.   </w:t>
      </w:r>
    </w:p>
    <w:p w14:paraId="2CCDC65B" w14:textId="27FF3356" w:rsidR="00FD3A6D" w:rsidRDefault="00FD3A6D" w:rsidP="00F66E50">
      <w:pPr>
        <w:contextualSpacing/>
        <w:rPr>
          <w:rFonts w:ascii="Arial" w:hAnsi="Arial"/>
          <w:sz w:val="22"/>
          <w:lang w:val="en-AU" w:eastAsia="en-AU"/>
        </w:rPr>
      </w:pPr>
    </w:p>
    <w:p w14:paraId="04613FF7" w14:textId="2C974209" w:rsidR="00FD3A6D" w:rsidRDefault="00FD3A6D" w:rsidP="00F66E50">
      <w:pPr>
        <w:contextualSpacing/>
        <w:rPr>
          <w:rFonts w:ascii="Arial" w:hAnsi="Arial"/>
          <w:sz w:val="22"/>
          <w:lang w:val="en-AU" w:eastAsia="en-AU"/>
        </w:rPr>
      </w:pPr>
      <w:r w:rsidRPr="008A4B6F">
        <w:rPr>
          <w:rFonts w:ascii="Arial" w:hAnsi="Arial"/>
          <w:sz w:val="22"/>
          <w:lang w:val="en-AU" w:eastAsia="en-AU"/>
        </w:rPr>
        <w:t>The PBAC was concerned that around 14% of patients were identified as male. The PBAC considered that this may indicate use for non-subsidised indications or potential miscoding when the medicine was dispensed</w:t>
      </w:r>
      <w:r w:rsidR="008A4B6F">
        <w:rPr>
          <w:rFonts w:ascii="Arial" w:hAnsi="Arial"/>
          <w:sz w:val="22"/>
          <w:lang w:val="en-AU" w:eastAsia="en-AU"/>
        </w:rPr>
        <w:t>,</w:t>
      </w:r>
      <w:r w:rsidRPr="008A4B6F">
        <w:rPr>
          <w:rFonts w:ascii="Arial" w:hAnsi="Arial"/>
          <w:sz w:val="22"/>
          <w:lang w:val="en-AU" w:eastAsia="en-AU"/>
        </w:rPr>
        <w:t xml:space="preserve"> and requested </w:t>
      </w:r>
      <w:r w:rsidR="00E11B1E" w:rsidRPr="008A4B6F">
        <w:rPr>
          <w:rFonts w:ascii="Arial" w:hAnsi="Arial"/>
          <w:sz w:val="22"/>
          <w:lang w:val="en-AU" w:eastAsia="en-AU"/>
        </w:rPr>
        <w:t>the Department look in</w:t>
      </w:r>
      <w:r w:rsidR="00FA4D8A" w:rsidRPr="008A4B6F">
        <w:rPr>
          <w:rFonts w:ascii="Arial" w:hAnsi="Arial"/>
          <w:sz w:val="22"/>
          <w:lang w:val="en-AU" w:eastAsia="en-AU"/>
        </w:rPr>
        <w:t xml:space="preserve"> </w:t>
      </w:r>
      <w:r w:rsidR="00E11B1E" w:rsidRPr="008A4B6F">
        <w:rPr>
          <w:rFonts w:ascii="Arial" w:hAnsi="Arial"/>
          <w:sz w:val="22"/>
          <w:lang w:val="en-AU" w:eastAsia="en-AU"/>
        </w:rPr>
        <w:t>to these matters</w:t>
      </w:r>
      <w:r w:rsidRPr="008A4B6F">
        <w:rPr>
          <w:rFonts w:ascii="Arial" w:hAnsi="Arial"/>
          <w:sz w:val="22"/>
          <w:lang w:val="en-AU" w:eastAsia="en-AU"/>
        </w:rPr>
        <w:t>.</w:t>
      </w:r>
    </w:p>
    <w:p w14:paraId="25164D5A" w14:textId="77777777" w:rsidR="00F66E50" w:rsidRDefault="00F66E50" w:rsidP="00F66E50">
      <w:pPr>
        <w:contextualSpacing/>
        <w:rPr>
          <w:rFonts w:ascii="Arial" w:hAnsi="Arial"/>
          <w:sz w:val="22"/>
          <w:lang w:val="en-AU" w:eastAsia="en-AU"/>
        </w:rPr>
      </w:pPr>
    </w:p>
    <w:p w14:paraId="2BA111E6" w14:textId="69801230" w:rsidR="00A47E2F" w:rsidRPr="00793AF0" w:rsidRDefault="00793AF0" w:rsidP="00F66E50">
      <w:pPr>
        <w:contextualSpacing/>
        <w:rPr>
          <w:rFonts w:ascii="Arial" w:hAnsi="Arial" w:cs="Arial"/>
          <w:b/>
          <w:sz w:val="22"/>
          <w:szCs w:val="22"/>
          <w:lang w:val="en-AU" w:eastAsia="en-AU"/>
        </w:rPr>
      </w:pPr>
      <w:r w:rsidRPr="00793AF0">
        <w:rPr>
          <w:rFonts w:ascii="Arial" w:hAnsi="Arial" w:cs="Arial"/>
          <w:b/>
          <w:sz w:val="22"/>
          <w:szCs w:val="22"/>
          <w:lang w:val="en-AU" w:eastAsia="en-AU"/>
        </w:rPr>
        <w:t>Ruxolitinib for myelofibrosis</w:t>
      </w:r>
    </w:p>
    <w:p w14:paraId="36593BB3" w14:textId="1D128493" w:rsidR="00A47E2F" w:rsidRDefault="00A47E2F" w:rsidP="00F66E50">
      <w:pPr>
        <w:pStyle w:val="ListParagraph"/>
        <w:ind w:left="0" w:firstLine="0"/>
        <w:rPr>
          <w:rFonts w:cs="Arial"/>
          <w:szCs w:val="22"/>
        </w:rPr>
      </w:pPr>
    </w:p>
    <w:p w14:paraId="633220B8" w14:textId="277DA6E9" w:rsidR="00793AF0" w:rsidRDefault="00793AF0" w:rsidP="00F66E50">
      <w:pPr>
        <w:pStyle w:val="ListParagraph"/>
        <w:ind w:left="0" w:firstLine="0"/>
      </w:pPr>
      <w:r>
        <w:rPr>
          <w:rFonts w:cs="Arial"/>
          <w:szCs w:val="22"/>
        </w:rPr>
        <w:t xml:space="preserve">This report considered the </w:t>
      </w:r>
      <w:r w:rsidRPr="006D02AA">
        <w:t xml:space="preserve">predicted and actual utilisation of ruxolitinib </w:t>
      </w:r>
      <w:r>
        <w:rPr>
          <w:rFonts w:cs="Arial"/>
        </w:rPr>
        <w:t>during the first 24 months of PBS listing</w:t>
      </w:r>
      <w:r>
        <w:t xml:space="preserve"> for the treatment of myelofibrosis.</w:t>
      </w:r>
    </w:p>
    <w:p w14:paraId="1A79067F" w14:textId="2731B89A" w:rsidR="00793AF0" w:rsidRDefault="00793AF0" w:rsidP="00F66E50">
      <w:pPr>
        <w:pStyle w:val="ListParagraph"/>
        <w:ind w:left="0" w:firstLine="0"/>
      </w:pPr>
    </w:p>
    <w:p w14:paraId="6DC907D7" w14:textId="77777777" w:rsidR="00793AF0" w:rsidRDefault="00793AF0" w:rsidP="00F66E50">
      <w:pPr>
        <w:contextualSpacing/>
        <w:rPr>
          <w:rFonts w:ascii="Arial" w:hAnsi="Arial" w:cs="Arial"/>
          <w:i/>
          <w:sz w:val="22"/>
          <w:lang w:val="en-AU" w:eastAsia="en-AU"/>
        </w:rPr>
      </w:pPr>
      <w:r w:rsidRPr="003172AB">
        <w:rPr>
          <w:rFonts w:ascii="Arial" w:hAnsi="Arial" w:cs="Arial"/>
          <w:i/>
          <w:sz w:val="22"/>
          <w:lang w:val="en-AU" w:eastAsia="en-AU"/>
        </w:rPr>
        <w:t>Outcome</w:t>
      </w:r>
    </w:p>
    <w:p w14:paraId="543EA243" w14:textId="77777777" w:rsidR="00793AF0" w:rsidRPr="003172AB" w:rsidRDefault="00793AF0" w:rsidP="00F66E50">
      <w:pPr>
        <w:contextualSpacing/>
        <w:rPr>
          <w:rFonts w:ascii="Arial" w:hAnsi="Arial" w:cs="Arial"/>
          <w:i/>
          <w:sz w:val="22"/>
          <w:lang w:val="en-AU" w:eastAsia="en-AU"/>
        </w:rPr>
      </w:pPr>
    </w:p>
    <w:p w14:paraId="3656EBA7" w14:textId="14928198" w:rsidR="00793AF0" w:rsidRDefault="00793AF0" w:rsidP="00F66E50">
      <w:pPr>
        <w:pStyle w:val="ListParagraph"/>
        <w:ind w:left="0" w:firstLine="0"/>
        <w:rPr>
          <w:rFonts w:cs="Arial"/>
          <w:szCs w:val="22"/>
        </w:rPr>
      </w:pPr>
      <w:r w:rsidRPr="00793AF0">
        <w:rPr>
          <w:rFonts w:cs="Arial"/>
          <w:szCs w:val="22"/>
        </w:rPr>
        <w:t xml:space="preserve">The PBAC </w:t>
      </w:r>
      <w:r>
        <w:rPr>
          <w:rFonts w:cs="Arial"/>
          <w:szCs w:val="22"/>
        </w:rPr>
        <w:t xml:space="preserve">noted </w:t>
      </w:r>
      <w:r w:rsidRPr="00793AF0">
        <w:rPr>
          <w:rFonts w:cs="Arial"/>
          <w:szCs w:val="22"/>
        </w:rPr>
        <w:t xml:space="preserve">that the overall number of prescriptions dispensed was less than expected despite a greater number of patients treated than predicted. The PBAC considered that this finding may indicate that there may be lower adherence to ruxolitinib in practice. </w:t>
      </w:r>
    </w:p>
    <w:p w14:paraId="53827331" w14:textId="77777777" w:rsidR="00F66E50" w:rsidRPr="00793AF0" w:rsidRDefault="00F66E50" w:rsidP="00F66E50">
      <w:pPr>
        <w:pStyle w:val="ListParagraph"/>
        <w:ind w:left="0" w:firstLine="0"/>
      </w:pPr>
    </w:p>
    <w:p w14:paraId="3F9B2894" w14:textId="33C98A37" w:rsidR="00793AF0" w:rsidRDefault="00793AF0" w:rsidP="00F66E50">
      <w:pPr>
        <w:contextualSpacing/>
        <w:rPr>
          <w:rFonts w:ascii="Arial" w:hAnsi="Arial" w:cs="Arial"/>
          <w:sz w:val="22"/>
          <w:szCs w:val="22"/>
          <w:lang w:val="en-AU" w:eastAsia="en-AU"/>
        </w:rPr>
      </w:pPr>
      <w:r w:rsidRPr="00793AF0">
        <w:rPr>
          <w:rFonts w:ascii="Arial" w:hAnsi="Arial" w:cs="Arial"/>
          <w:sz w:val="22"/>
          <w:szCs w:val="22"/>
          <w:lang w:val="en-AU" w:eastAsia="en-AU"/>
        </w:rPr>
        <w:t xml:space="preserve">The PBAC noted that the average dose of ruxolitinib dispensed through the PBS was similar to that observed in clinical trials. </w:t>
      </w:r>
    </w:p>
    <w:p w14:paraId="55C83DB7" w14:textId="77777777" w:rsidR="00ED0E5B" w:rsidRPr="00793AF0" w:rsidRDefault="00ED0E5B" w:rsidP="00F66E50">
      <w:pPr>
        <w:contextualSpacing/>
        <w:rPr>
          <w:rFonts w:ascii="Arial" w:hAnsi="Arial" w:cs="Arial"/>
          <w:sz w:val="22"/>
          <w:szCs w:val="22"/>
          <w:lang w:val="en-AU" w:eastAsia="en-AU"/>
        </w:rPr>
      </w:pPr>
    </w:p>
    <w:p w14:paraId="59A7E6F9" w14:textId="0A1B1570" w:rsidR="002F7591" w:rsidRPr="006D36DC" w:rsidRDefault="00C636C2" w:rsidP="00F66E50">
      <w:pPr>
        <w:contextualSpacing/>
        <w:rPr>
          <w:rFonts w:ascii="Arial" w:hAnsi="Arial" w:cs="Arial"/>
          <w:sz w:val="22"/>
          <w:szCs w:val="22"/>
          <w:lang w:val="en-AU" w:eastAsia="en-AU"/>
        </w:rPr>
      </w:pPr>
      <w:r>
        <w:rPr>
          <w:rFonts w:ascii="Arial" w:hAnsi="Arial" w:cs="Arial"/>
          <w:sz w:val="22"/>
          <w:szCs w:val="22"/>
          <w:lang w:val="en-AU" w:eastAsia="en-AU"/>
        </w:rPr>
        <w:t>The PBAC noted that the data were</w:t>
      </w:r>
      <w:r w:rsidRPr="00C636C2">
        <w:rPr>
          <w:rFonts w:ascii="Arial" w:hAnsi="Arial" w:cs="Arial"/>
          <w:sz w:val="22"/>
          <w:szCs w:val="22"/>
          <w:lang w:val="en-AU" w:eastAsia="en-AU"/>
        </w:rPr>
        <w:t xml:space="preserve"> too immature to analyse the time on therapy with </w:t>
      </w:r>
      <w:proofErr w:type="spellStart"/>
      <w:r w:rsidRPr="00C636C2">
        <w:rPr>
          <w:rFonts w:ascii="Arial" w:hAnsi="Arial"/>
          <w:sz w:val="22"/>
          <w:lang w:val="en-AU" w:eastAsia="en-AU"/>
        </w:rPr>
        <w:t>ruxolitinib</w:t>
      </w:r>
      <w:proofErr w:type="spellEnd"/>
      <w:r w:rsidR="00793AF0" w:rsidRPr="00C636C2">
        <w:rPr>
          <w:rFonts w:ascii="Arial" w:hAnsi="Arial"/>
          <w:sz w:val="22"/>
          <w:lang w:val="en-AU" w:eastAsia="en-AU"/>
        </w:rPr>
        <w:t>.</w:t>
      </w:r>
      <w:bookmarkStart w:id="0" w:name="_GoBack"/>
      <w:bookmarkEnd w:id="0"/>
    </w:p>
    <w:sectPr w:rsidR="002F7591" w:rsidRPr="006D36DC" w:rsidSect="007A2421">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0FFAC" w14:textId="77777777" w:rsidR="00397836" w:rsidRDefault="00397836">
      <w:r>
        <w:separator/>
      </w:r>
    </w:p>
  </w:endnote>
  <w:endnote w:type="continuationSeparator" w:id="0">
    <w:p w14:paraId="1EBA2AEF" w14:textId="77777777" w:rsidR="00397836" w:rsidRDefault="00397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0B4B5" w14:textId="77777777" w:rsidR="00BD4745" w:rsidRDefault="00BD4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7F5BA" w14:textId="77777777" w:rsidR="004630FE" w:rsidRPr="004630FE" w:rsidRDefault="004630FE">
    <w:pPr>
      <w:pStyle w:val="Footer"/>
      <w:jc w:val="center"/>
      <w:rPr>
        <w:rFonts w:ascii="Arial" w:hAnsi="Arial" w:cs="Arial"/>
        <w:sz w:val="22"/>
      </w:rPr>
    </w:pPr>
  </w:p>
  <w:p w14:paraId="2DAABEFB" w14:textId="2E830FD7" w:rsidR="004630FE" w:rsidRPr="004630FE" w:rsidRDefault="004630FE">
    <w:pPr>
      <w:pStyle w:val="Footer"/>
      <w:jc w:val="center"/>
      <w:rPr>
        <w:rFonts w:ascii="Arial" w:hAnsi="Arial" w:cs="Arial"/>
        <w:sz w:val="22"/>
      </w:rPr>
    </w:pPr>
    <w:r w:rsidRPr="004630FE">
      <w:rPr>
        <w:rFonts w:ascii="Arial" w:hAnsi="Arial" w:cs="Arial"/>
        <w:sz w:val="22"/>
      </w:rPr>
      <w:fldChar w:fldCharType="begin"/>
    </w:r>
    <w:r w:rsidRPr="004630FE">
      <w:rPr>
        <w:rFonts w:ascii="Arial" w:hAnsi="Arial" w:cs="Arial"/>
        <w:sz w:val="22"/>
      </w:rPr>
      <w:instrText xml:space="preserve"> PAGE   \* MERGEFORMAT </w:instrText>
    </w:r>
    <w:r w:rsidRPr="004630FE">
      <w:rPr>
        <w:rFonts w:ascii="Arial" w:hAnsi="Arial" w:cs="Arial"/>
        <w:sz w:val="22"/>
      </w:rPr>
      <w:fldChar w:fldCharType="separate"/>
    </w:r>
    <w:r w:rsidR="00C636C2">
      <w:rPr>
        <w:rFonts w:ascii="Arial" w:hAnsi="Arial" w:cs="Arial"/>
        <w:noProof/>
        <w:sz w:val="22"/>
      </w:rPr>
      <w:t>1</w:t>
    </w:r>
    <w:r w:rsidRPr="004630FE">
      <w:rPr>
        <w:rFonts w:ascii="Arial" w:hAnsi="Arial" w:cs="Arial"/>
        <w:noProof/>
        <w:sz w:val="22"/>
      </w:rPr>
      <w:fldChar w:fldCharType="end"/>
    </w:r>
  </w:p>
  <w:p w14:paraId="0A6D77EE" w14:textId="77777777" w:rsidR="004630FE" w:rsidRDefault="004630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8221C" w14:textId="77777777" w:rsidR="00BD4745" w:rsidRDefault="00BD4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E734C" w14:textId="77777777" w:rsidR="00397836" w:rsidRDefault="00397836">
      <w:r>
        <w:separator/>
      </w:r>
    </w:p>
  </w:footnote>
  <w:footnote w:type="continuationSeparator" w:id="0">
    <w:p w14:paraId="13C39C5A" w14:textId="77777777" w:rsidR="00397836" w:rsidRDefault="00397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2A37C" w14:textId="77777777" w:rsidR="00BD4745" w:rsidRDefault="00BD47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587D6" w14:textId="11F5A6CC" w:rsidR="004630FE" w:rsidRPr="00520B6E" w:rsidRDefault="005616CC" w:rsidP="004630FE">
    <w:pPr>
      <w:tabs>
        <w:tab w:val="center" w:pos="4153"/>
        <w:tab w:val="right" w:pos="8306"/>
      </w:tabs>
      <w:jc w:val="center"/>
      <w:rPr>
        <w:rFonts w:ascii="Arial" w:hAnsi="Arial" w:cs="Arial"/>
        <w:b/>
        <w:sz w:val="20"/>
      </w:rPr>
    </w:pPr>
    <w:r>
      <w:rPr>
        <w:rFonts w:ascii="Arial" w:hAnsi="Arial" w:cs="Arial"/>
        <w:b/>
        <w:sz w:val="20"/>
      </w:rPr>
      <w:t>NOVEMBER</w:t>
    </w:r>
    <w:r w:rsidR="002F7591">
      <w:rPr>
        <w:rFonts w:ascii="Arial" w:hAnsi="Arial" w:cs="Arial"/>
        <w:b/>
        <w:sz w:val="20"/>
      </w:rPr>
      <w:t xml:space="preserve"> </w:t>
    </w:r>
    <w:r w:rsidR="008D020C">
      <w:rPr>
        <w:rFonts w:ascii="Arial" w:hAnsi="Arial" w:cs="Arial"/>
        <w:b/>
        <w:sz w:val="20"/>
      </w:rPr>
      <w:t>2018</w:t>
    </w:r>
    <w:r w:rsidR="00341E66" w:rsidRPr="00341E66">
      <w:rPr>
        <w:rFonts w:ascii="Arial" w:hAnsi="Arial" w:cs="Arial"/>
        <w:b/>
        <w:sz w:val="20"/>
      </w:rPr>
      <w:t xml:space="preserve"> </w:t>
    </w:r>
    <w:r w:rsidR="004630FE" w:rsidRPr="00520B6E">
      <w:rPr>
        <w:rFonts w:ascii="Arial" w:hAnsi="Arial" w:cs="Arial"/>
        <w:b/>
        <w:sz w:val="20"/>
      </w:rPr>
      <w:t>PBAC M</w:t>
    </w:r>
    <w:r w:rsidR="004630FE">
      <w:rPr>
        <w:rFonts w:ascii="Arial" w:hAnsi="Arial" w:cs="Arial"/>
        <w:b/>
        <w:sz w:val="20"/>
      </w:rPr>
      <w:t>EETING – CONSIDERATION OF THE</w:t>
    </w:r>
    <w:r w:rsidR="004630FE" w:rsidRPr="00520B6E">
      <w:rPr>
        <w:rFonts w:ascii="Arial" w:hAnsi="Arial" w:cs="Arial"/>
        <w:b/>
        <w:sz w:val="20"/>
      </w:rPr>
      <w:t xml:space="preserve"> </w:t>
    </w:r>
    <w:r w:rsidR="004630FE">
      <w:rPr>
        <w:rFonts w:ascii="Arial" w:hAnsi="Arial" w:cs="Arial"/>
        <w:b/>
        <w:sz w:val="20"/>
      </w:rPr>
      <w:t>REPORT OF THE DRUG UTILISATION SUB</w:t>
    </w:r>
    <w:r w:rsidR="004630FE">
      <w:rPr>
        <w:rFonts w:ascii="Arial" w:hAnsi="Arial" w:cs="Arial"/>
        <w:b/>
        <w:sz w:val="20"/>
      </w:rPr>
      <w:noBreakHyphen/>
      <w:t>COMMITTEE</w:t>
    </w:r>
  </w:p>
  <w:p w14:paraId="6758E2CC" w14:textId="77777777" w:rsidR="004630FE" w:rsidRDefault="004630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9FC28" w14:textId="77777777" w:rsidR="00BD4745" w:rsidRDefault="00BD47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031B9"/>
    <w:multiLevelType w:val="multilevel"/>
    <w:tmpl w:val="6A0E1B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8DD109F"/>
    <w:multiLevelType w:val="multilevel"/>
    <w:tmpl w:val="95D6B714"/>
    <w:lvl w:ilvl="0">
      <w:start w:val="3"/>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5F050041"/>
    <w:multiLevelType w:val="multilevel"/>
    <w:tmpl w:val="5CB87B68"/>
    <w:lvl w:ilvl="0">
      <w:start w:val="1"/>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60FC76BD"/>
    <w:multiLevelType w:val="hybridMultilevel"/>
    <w:tmpl w:val="F474C00E"/>
    <w:lvl w:ilvl="0" w:tplc="BF768F3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BD522C5"/>
    <w:multiLevelType w:val="multilevel"/>
    <w:tmpl w:val="4E1A9C78"/>
    <w:lvl w:ilvl="0">
      <w:start w:val="1"/>
      <w:numFmt w:val="decimal"/>
      <w:lvlText w:val="%1"/>
      <w:lvlJc w:val="left"/>
      <w:pPr>
        <w:ind w:left="1440" w:hanging="720"/>
      </w:pPr>
      <w:rPr>
        <w:rFonts w:hint="default"/>
      </w:rPr>
    </w:lvl>
    <w:lvl w:ilvl="1">
      <w:start w:val="1"/>
      <w:numFmt w:val="bullet"/>
      <w:lvlText w:val=""/>
      <w:lvlJc w:val="left"/>
      <w:pPr>
        <w:ind w:left="1440" w:hanging="720"/>
      </w:pPr>
      <w:rPr>
        <w:rFonts w:ascii="Symbol" w:hAnsi="Symbol" w:hint="default"/>
        <w:i w:val="0"/>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7F874411"/>
    <w:multiLevelType w:val="multilevel"/>
    <w:tmpl w:val="29F890DE"/>
    <w:lvl w:ilvl="0">
      <w:start w:val="1"/>
      <w:numFmt w:val="bullet"/>
      <w:lvlText w:val=""/>
      <w:lvlJc w:val="left"/>
      <w:pPr>
        <w:ind w:left="720" w:hanging="720"/>
      </w:pPr>
      <w:rPr>
        <w:rFonts w:ascii="Symbol" w:hAnsi="Symbol" w:hint="default"/>
      </w:rPr>
    </w:lvl>
    <w:lvl w:ilvl="1">
      <w:start w:val="1"/>
      <w:numFmt w:val="decimal"/>
      <w:isLg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36A"/>
    <w:rsid w:val="00034F16"/>
    <w:rsid w:val="0006056A"/>
    <w:rsid w:val="00060A45"/>
    <w:rsid w:val="00095F78"/>
    <w:rsid w:val="000A2CDC"/>
    <w:rsid w:val="000B2DD0"/>
    <w:rsid w:val="001416A4"/>
    <w:rsid w:val="00156D69"/>
    <w:rsid w:val="00176F11"/>
    <w:rsid w:val="001D0B69"/>
    <w:rsid w:val="001D45AF"/>
    <w:rsid w:val="001F0355"/>
    <w:rsid w:val="00251848"/>
    <w:rsid w:val="00265781"/>
    <w:rsid w:val="00267A9D"/>
    <w:rsid w:val="0028590B"/>
    <w:rsid w:val="002D4006"/>
    <w:rsid w:val="002F7591"/>
    <w:rsid w:val="002F775E"/>
    <w:rsid w:val="003172AB"/>
    <w:rsid w:val="00341E66"/>
    <w:rsid w:val="00385940"/>
    <w:rsid w:val="00397836"/>
    <w:rsid w:val="003B79EE"/>
    <w:rsid w:val="003C2B83"/>
    <w:rsid w:val="0040140B"/>
    <w:rsid w:val="004630FE"/>
    <w:rsid w:val="00464DA0"/>
    <w:rsid w:val="004A1627"/>
    <w:rsid w:val="004D4DEE"/>
    <w:rsid w:val="004E76AE"/>
    <w:rsid w:val="005166A6"/>
    <w:rsid w:val="00553E58"/>
    <w:rsid w:val="005616CC"/>
    <w:rsid w:val="005642B3"/>
    <w:rsid w:val="00565336"/>
    <w:rsid w:val="00575B2C"/>
    <w:rsid w:val="005C202C"/>
    <w:rsid w:val="005F2273"/>
    <w:rsid w:val="006102C6"/>
    <w:rsid w:val="00641F0C"/>
    <w:rsid w:val="00652D57"/>
    <w:rsid w:val="00666863"/>
    <w:rsid w:val="00677683"/>
    <w:rsid w:val="006847AC"/>
    <w:rsid w:val="006A2EB2"/>
    <w:rsid w:val="006D36DC"/>
    <w:rsid w:val="006D593A"/>
    <w:rsid w:val="006E57A3"/>
    <w:rsid w:val="0070348A"/>
    <w:rsid w:val="007178BA"/>
    <w:rsid w:val="00793AF0"/>
    <w:rsid w:val="007A2421"/>
    <w:rsid w:val="007C758A"/>
    <w:rsid w:val="007F4E20"/>
    <w:rsid w:val="00801B19"/>
    <w:rsid w:val="00816A6C"/>
    <w:rsid w:val="008545D1"/>
    <w:rsid w:val="008842CE"/>
    <w:rsid w:val="00890D53"/>
    <w:rsid w:val="008A4311"/>
    <w:rsid w:val="008A4B6F"/>
    <w:rsid w:val="008D020C"/>
    <w:rsid w:val="00922E47"/>
    <w:rsid w:val="00925E21"/>
    <w:rsid w:val="00933952"/>
    <w:rsid w:val="009E7E00"/>
    <w:rsid w:val="00A0539F"/>
    <w:rsid w:val="00A31269"/>
    <w:rsid w:val="00A32269"/>
    <w:rsid w:val="00A47E2F"/>
    <w:rsid w:val="00A70179"/>
    <w:rsid w:val="00A74CCD"/>
    <w:rsid w:val="00A9331B"/>
    <w:rsid w:val="00AC0FFB"/>
    <w:rsid w:val="00AD37E5"/>
    <w:rsid w:val="00AF2F79"/>
    <w:rsid w:val="00AF3B3E"/>
    <w:rsid w:val="00B13AD3"/>
    <w:rsid w:val="00B1693A"/>
    <w:rsid w:val="00B445D9"/>
    <w:rsid w:val="00B532C3"/>
    <w:rsid w:val="00B94AFC"/>
    <w:rsid w:val="00B95F3B"/>
    <w:rsid w:val="00BA0860"/>
    <w:rsid w:val="00BC3BE5"/>
    <w:rsid w:val="00BD4745"/>
    <w:rsid w:val="00BE4405"/>
    <w:rsid w:val="00C22340"/>
    <w:rsid w:val="00C22AB9"/>
    <w:rsid w:val="00C636C2"/>
    <w:rsid w:val="00CB56CD"/>
    <w:rsid w:val="00CD04DF"/>
    <w:rsid w:val="00CD2ADF"/>
    <w:rsid w:val="00D47451"/>
    <w:rsid w:val="00D7136A"/>
    <w:rsid w:val="00DA2A81"/>
    <w:rsid w:val="00DC7A41"/>
    <w:rsid w:val="00E11B1E"/>
    <w:rsid w:val="00E16015"/>
    <w:rsid w:val="00E24412"/>
    <w:rsid w:val="00E25A33"/>
    <w:rsid w:val="00E37984"/>
    <w:rsid w:val="00E65BFD"/>
    <w:rsid w:val="00EA43F8"/>
    <w:rsid w:val="00EB38E2"/>
    <w:rsid w:val="00ED0E5B"/>
    <w:rsid w:val="00EE68E4"/>
    <w:rsid w:val="00F514E4"/>
    <w:rsid w:val="00F628C7"/>
    <w:rsid w:val="00F66E50"/>
    <w:rsid w:val="00F87883"/>
    <w:rsid w:val="00FA4D8A"/>
    <w:rsid w:val="00FB5E27"/>
    <w:rsid w:val="00FD3A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220B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36A"/>
    <w:rPr>
      <w:rFonts w:eastAsia="Times New Roman"/>
      <w:sz w:val="24"/>
      <w:szCs w:val="24"/>
      <w:lang w:val="en-US" w:eastAsia="en-US"/>
    </w:rPr>
  </w:style>
  <w:style w:type="paragraph" w:styleId="Heading2">
    <w:name w:val="heading 2"/>
    <w:basedOn w:val="Normal"/>
    <w:next w:val="Normal"/>
    <w:link w:val="Heading2Char"/>
    <w:uiPriority w:val="9"/>
    <w:semiHidden/>
    <w:unhideWhenUsed/>
    <w:qFormat/>
    <w:rsid w:val="00D7136A"/>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136A"/>
    <w:pPr>
      <w:tabs>
        <w:tab w:val="center" w:pos="4513"/>
        <w:tab w:val="right" w:pos="9026"/>
      </w:tabs>
    </w:pPr>
  </w:style>
  <w:style w:type="character" w:customStyle="1" w:styleId="HeaderChar">
    <w:name w:val="Header Char"/>
    <w:link w:val="Header"/>
    <w:rsid w:val="00D7136A"/>
    <w:rPr>
      <w:rFonts w:eastAsia="Times New Roman" w:cs="Times New Roman"/>
      <w:szCs w:val="24"/>
      <w:lang w:val="en-US"/>
    </w:rPr>
  </w:style>
  <w:style w:type="paragraph" w:customStyle="1" w:styleId="DepartmentalHeading2">
    <w:name w:val="Departmental Heading 2"/>
    <w:basedOn w:val="Heading2"/>
    <w:rsid w:val="00D7136A"/>
    <w:pPr>
      <w:keepLines w:val="0"/>
      <w:spacing w:before="240" w:after="60"/>
    </w:pPr>
    <w:rPr>
      <w:rFonts w:ascii="Arial" w:hAnsi="Arial"/>
      <w:bCs w:val="0"/>
      <w:color w:val="auto"/>
      <w:sz w:val="24"/>
      <w:szCs w:val="20"/>
      <w:lang w:val="en-AU" w:eastAsia="en-AU"/>
    </w:rPr>
  </w:style>
  <w:style w:type="character" w:styleId="Hyperlink">
    <w:name w:val="Hyperlink"/>
    <w:rsid w:val="00D7136A"/>
    <w:rPr>
      <w:color w:val="0000FF"/>
      <w:u w:val="single"/>
    </w:rPr>
  </w:style>
  <w:style w:type="character" w:styleId="CommentReference">
    <w:name w:val="annotation reference"/>
    <w:rsid w:val="00D7136A"/>
    <w:rPr>
      <w:sz w:val="16"/>
      <w:szCs w:val="16"/>
    </w:rPr>
  </w:style>
  <w:style w:type="paragraph" w:styleId="CommentText">
    <w:name w:val="annotation text"/>
    <w:basedOn w:val="Normal"/>
    <w:link w:val="CommentTextChar"/>
    <w:rsid w:val="00D7136A"/>
    <w:rPr>
      <w:sz w:val="20"/>
      <w:szCs w:val="20"/>
    </w:rPr>
  </w:style>
  <w:style w:type="character" w:customStyle="1" w:styleId="CommentTextChar">
    <w:name w:val="Comment Text Char"/>
    <w:link w:val="CommentText"/>
    <w:rsid w:val="00D7136A"/>
    <w:rPr>
      <w:rFonts w:eastAsia="Times New Roman" w:cs="Times New Roman"/>
      <w:sz w:val="20"/>
      <w:szCs w:val="20"/>
      <w:lang w:val="en-US"/>
    </w:rPr>
  </w:style>
  <w:style w:type="character" w:customStyle="1" w:styleId="Heading2Char">
    <w:name w:val="Heading 2 Char"/>
    <w:link w:val="Heading2"/>
    <w:uiPriority w:val="9"/>
    <w:semiHidden/>
    <w:rsid w:val="00D7136A"/>
    <w:rPr>
      <w:rFonts w:ascii="Cambria" w:eastAsia="Times New Roman" w:hAnsi="Cambria" w:cs="Times New Roman"/>
      <w:b/>
      <w:bCs/>
      <w:color w:val="4F81BD"/>
      <w:sz w:val="26"/>
      <w:szCs w:val="26"/>
      <w:lang w:val="en-US"/>
    </w:rPr>
  </w:style>
  <w:style w:type="paragraph" w:styleId="BalloonText">
    <w:name w:val="Balloon Text"/>
    <w:basedOn w:val="Normal"/>
    <w:link w:val="BalloonTextChar"/>
    <w:semiHidden/>
    <w:unhideWhenUsed/>
    <w:rsid w:val="00D7136A"/>
    <w:rPr>
      <w:rFonts w:ascii="Tahoma" w:hAnsi="Tahoma" w:cs="Tahoma"/>
      <w:sz w:val="16"/>
      <w:szCs w:val="16"/>
    </w:rPr>
  </w:style>
  <w:style w:type="character" w:customStyle="1" w:styleId="BalloonTextChar">
    <w:name w:val="Balloon Text Char"/>
    <w:link w:val="BalloonText"/>
    <w:semiHidden/>
    <w:rsid w:val="00D7136A"/>
    <w:rPr>
      <w:rFonts w:ascii="Tahoma" w:eastAsia="Times New Roman" w:hAnsi="Tahoma" w:cs="Tahoma"/>
      <w:sz w:val="16"/>
      <w:szCs w:val="16"/>
      <w:lang w:val="en-US"/>
    </w:rPr>
  </w:style>
  <w:style w:type="paragraph" w:styleId="Footer">
    <w:name w:val="footer"/>
    <w:basedOn w:val="Normal"/>
    <w:link w:val="FooterChar"/>
    <w:uiPriority w:val="99"/>
    <w:unhideWhenUsed/>
    <w:rsid w:val="004630FE"/>
    <w:pPr>
      <w:tabs>
        <w:tab w:val="center" w:pos="4513"/>
        <w:tab w:val="right" w:pos="9026"/>
      </w:tabs>
    </w:pPr>
  </w:style>
  <w:style w:type="character" w:customStyle="1" w:styleId="FooterChar">
    <w:name w:val="Footer Char"/>
    <w:link w:val="Footer"/>
    <w:uiPriority w:val="99"/>
    <w:rsid w:val="004630FE"/>
    <w:rPr>
      <w:rFonts w:eastAsia="Times New Roman" w:cs="Times New Roman"/>
      <w:szCs w:val="24"/>
      <w:lang w:val="en-US"/>
    </w:rPr>
  </w:style>
  <w:style w:type="paragraph" w:styleId="ListParagraph">
    <w:name w:val="List Paragraph"/>
    <w:basedOn w:val="Normal"/>
    <w:link w:val="ListParagraphChar"/>
    <w:uiPriority w:val="34"/>
    <w:qFormat/>
    <w:rsid w:val="00A31269"/>
    <w:pPr>
      <w:ind w:left="720" w:hanging="720"/>
      <w:contextualSpacing/>
    </w:pPr>
    <w:rPr>
      <w:rFonts w:ascii="Arial" w:hAnsi="Arial"/>
      <w:sz w:val="22"/>
      <w:lang w:val="en-AU" w:eastAsia="en-AU"/>
    </w:rPr>
  </w:style>
  <w:style w:type="paragraph" w:styleId="CommentSubject">
    <w:name w:val="annotation subject"/>
    <w:basedOn w:val="CommentText"/>
    <w:next w:val="CommentText"/>
    <w:link w:val="CommentSubjectChar"/>
    <w:uiPriority w:val="99"/>
    <w:semiHidden/>
    <w:unhideWhenUsed/>
    <w:rsid w:val="003172AB"/>
    <w:rPr>
      <w:b/>
      <w:bCs/>
    </w:rPr>
  </w:style>
  <w:style w:type="character" w:customStyle="1" w:styleId="CommentSubjectChar">
    <w:name w:val="Comment Subject Char"/>
    <w:basedOn w:val="CommentTextChar"/>
    <w:link w:val="CommentSubject"/>
    <w:uiPriority w:val="99"/>
    <w:semiHidden/>
    <w:rsid w:val="003172AB"/>
    <w:rPr>
      <w:rFonts w:eastAsia="Times New Roman" w:cs="Times New Roman"/>
      <w:b/>
      <w:bCs/>
      <w:sz w:val="20"/>
      <w:szCs w:val="20"/>
      <w:lang w:val="en-US" w:eastAsia="en-US"/>
    </w:rPr>
  </w:style>
  <w:style w:type="character" w:customStyle="1" w:styleId="ListParagraphChar">
    <w:name w:val="List Paragraph Char"/>
    <w:link w:val="ListParagraph"/>
    <w:uiPriority w:val="34"/>
    <w:locked/>
    <w:rsid w:val="00A70179"/>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gov.au/info/industry/listing/elements/dusc-meetings/do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C061A-966A-42CF-A5EA-363578504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2018-12-10T22:52:00Z</dcterms:created>
  <dcterms:modified xsi:type="dcterms:W3CDTF">2018-12-13T06:33:00Z</dcterms:modified>
</cp:coreProperties>
</file>