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260"/>
        <w:gridCol w:w="8222"/>
      </w:tblGrid>
      <w:tr w:rsidR="005C2EE4" w:rsidRPr="003E19A4" w14:paraId="4B493A53" w14:textId="77777777" w:rsidTr="005C2EE4">
        <w:trPr>
          <w:tblHeader/>
        </w:trPr>
        <w:tc>
          <w:tcPr>
            <w:tcW w:w="2977" w:type="dxa"/>
            <w:tcMar>
              <w:top w:w="28" w:type="dxa"/>
              <w:bottom w:w="28" w:type="dxa"/>
            </w:tcMar>
          </w:tcPr>
          <w:p w14:paraId="0C2A8973" w14:textId="77777777" w:rsidR="005C2EE4" w:rsidRPr="003E19A4" w:rsidRDefault="005C2EE4" w:rsidP="005C2EE4">
            <w:pPr>
              <w:widowControl w:val="0"/>
              <w:jc w:val="center"/>
              <w:rPr>
                <w:rFonts w:ascii="Arial" w:hAnsi="Arial" w:cs="Arial"/>
                <w:b/>
                <w:snapToGrid w:val="0"/>
                <w:lang w:eastAsia="en-US"/>
              </w:rPr>
            </w:pPr>
            <w:r w:rsidRPr="003E19A4">
              <w:rPr>
                <w:rFonts w:ascii="Arial" w:hAnsi="Arial" w:cs="Arial"/>
                <w:b/>
                <w:snapToGrid w:val="0"/>
                <w:lang w:eastAsia="en-US"/>
              </w:rPr>
              <w:t>DRUG TYPE AND USE</w:t>
            </w:r>
          </w:p>
          <w:p w14:paraId="56E7C09D" w14:textId="77777777" w:rsidR="005C2EE4" w:rsidRPr="003E19A4" w:rsidRDefault="005C2EE4" w:rsidP="005C2EE4">
            <w:pPr>
              <w:widowControl w:val="0"/>
              <w:jc w:val="center"/>
              <w:rPr>
                <w:rFonts w:ascii="Arial" w:hAnsi="Arial" w:cs="Arial"/>
                <w:b/>
              </w:rPr>
            </w:pPr>
          </w:p>
        </w:tc>
        <w:tc>
          <w:tcPr>
            <w:tcW w:w="3260" w:type="dxa"/>
            <w:tcMar>
              <w:top w:w="28" w:type="dxa"/>
              <w:bottom w:w="28" w:type="dxa"/>
            </w:tcMar>
          </w:tcPr>
          <w:p w14:paraId="13D53DF3" w14:textId="77777777" w:rsidR="005C2EE4" w:rsidRPr="003E19A4" w:rsidRDefault="005C2EE4" w:rsidP="005C2EE4">
            <w:pPr>
              <w:widowControl w:val="0"/>
              <w:jc w:val="center"/>
              <w:rPr>
                <w:rFonts w:ascii="Arial" w:hAnsi="Arial" w:cs="Arial"/>
                <w:b/>
                <w:snapToGrid w:val="0"/>
                <w:lang w:eastAsia="en-US"/>
              </w:rPr>
            </w:pPr>
            <w:r w:rsidRPr="003E19A4">
              <w:rPr>
                <w:rFonts w:ascii="Arial" w:hAnsi="Arial" w:cs="Arial"/>
                <w:b/>
                <w:snapToGrid w:val="0"/>
                <w:lang w:eastAsia="en-US"/>
              </w:rPr>
              <w:t>PURPOSE</w:t>
            </w:r>
          </w:p>
        </w:tc>
        <w:tc>
          <w:tcPr>
            <w:tcW w:w="8222" w:type="dxa"/>
            <w:tcMar>
              <w:top w:w="28" w:type="dxa"/>
              <w:bottom w:w="28" w:type="dxa"/>
            </w:tcMar>
          </w:tcPr>
          <w:p w14:paraId="76B650DE" w14:textId="77777777" w:rsidR="005C2EE4" w:rsidRPr="003E19A4" w:rsidRDefault="005C2EE4" w:rsidP="008870CB">
            <w:pPr>
              <w:widowControl w:val="0"/>
              <w:jc w:val="center"/>
              <w:rPr>
                <w:rFonts w:ascii="Arial" w:hAnsi="Arial" w:cs="Arial"/>
                <w:b/>
                <w:snapToGrid w:val="0"/>
                <w:lang w:eastAsia="en-US"/>
              </w:rPr>
            </w:pPr>
            <w:r w:rsidRPr="003E19A4">
              <w:rPr>
                <w:rFonts w:ascii="Arial" w:hAnsi="Arial" w:cs="Arial"/>
                <w:b/>
                <w:snapToGrid w:val="0"/>
                <w:lang w:eastAsia="en-US"/>
              </w:rPr>
              <w:t>PBAC OUTCOME</w:t>
            </w:r>
          </w:p>
        </w:tc>
      </w:tr>
      <w:tr w:rsidR="005C2EE4" w:rsidRPr="00AA5277" w14:paraId="52641CEE" w14:textId="77777777" w:rsidTr="005C2EE4">
        <w:tblPrEx>
          <w:tblLook w:val="04A0" w:firstRow="1" w:lastRow="0" w:firstColumn="1" w:lastColumn="0" w:noHBand="0" w:noVBand="1"/>
        </w:tblPrEx>
        <w:tc>
          <w:tcPr>
            <w:tcW w:w="2977" w:type="dxa"/>
            <w:shd w:val="clear" w:color="auto" w:fill="auto"/>
          </w:tcPr>
          <w:p w14:paraId="534F6EB9" w14:textId="77777777" w:rsidR="00482EC2" w:rsidRPr="009E19A2" w:rsidRDefault="005C2EE4" w:rsidP="009E19A2">
            <w:pPr>
              <w:pStyle w:val="Char2CharCharCharZchnZchnCharCharCharCharCharCharCharCharCharCharCharCharCharCharCharCharCharCharCharCharCharCharCharChar1CharCharCharCharCharCharCharCharCharCharCharChar1Char"/>
              <w:spacing w:after="0" w:line="240" w:lineRule="auto"/>
              <w:rPr>
                <w:rFonts w:asciiTheme="minorHAnsi" w:eastAsia="Times New Roman" w:hAnsiTheme="minorHAnsi" w:cs="Arial"/>
                <w:snapToGrid w:val="0"/>
                <w:sz w:val="24"/>
                <w:szCs w:val="24"/>
                <w:lang w:val="en-AU"/>
              </w:rPr>
            </w:pPr>
            <w:r w:rsidRPr="009E19A2">
              <w:rPr>
                <w:rFonts w:asciiTheme="minorHAnsi" w:eastAsia="Times New Roman" w:hAnsiTheme="minorHAnsi" w:cs="Arial"/>
                <w:snapToGrid w:val="0"/>
                <w:sz w:val="24"/>
                <w:szCs w:val="24"/>
                <w:lang w:val="en-AU"/>
              </w:rPr>
              <w:t>Pharmaceutical Benefits Scheme</w:t>
            </w:r>
            <w:r w:rsidR="00482EC2" w:rsidRPr="009E19A2">
              <w:rPr>
                <w:rFonts w:asciiTheme="minorHAnsi" w:eastAsia="Times New Roman" w:hAnsiTheme="minorHAnsi" w:cs="Arial"/>
                <w:snapToGrid w:val="0"/>
                <w:sz w:val="24"/>
                <w:szCs w:val="24"/>
                <w:lang w:val="en-AU"/>
              </w:rPr>
              <w:t xml:space="preserve"> (PBS)</w:t>
            </w:r>
            <w:r w:rsidRPr="009E19A2">
              <w:rPr>
                <w:rFonts w:asciiTheme="minorHAnsi" w:eastAsia="Times New Roman" w:hAnsiTheme="minorHAnsi" w:cs="Arial"/>
                <w:snapToGrid w:val="0"/>
                <w:sz w:val="24"/>
                <w:szCs w:val="24"/>
                <w:lang w:val="en-AU"/>
              </w:rPr>
              <w:t xml:space="preserve"> medicines used to treat chronic stable conditions</w:t>
            </w:r>
            <w:r w:rsidR="00482EC2" w:rsidRPr="009E19A2">
              <w:rPr>
                <w:rFonts w:asciiTheme="minorHAnsi" w:eastAsia="Times New Roman" w:hAnsiTheme="minorHAnsi" w:cs="Arial"/>
                <w:snapToGrid w:val="0"/>
                <w:sz w:val="24"/>
                <w:szCs w:val="24"/>
                <w:lang w:val="en-AU"/>
              </w:rPr>
              <w:t>.</w:t>
            </w:r>
          </w:p>
          <w:p w14:paraId="2957909E" w14:textId="77777777" w:rsidR="005C2EE4" w:rsidRPr="009E19A2" w:rsidRDefault="00482EC2" w:rsidP="009E19A2">
            <w:pPr>
              <w:pStyle w:val="Char2CharCharCharZchnZchnCharCharCharCharCharCharCharCharCharCharCharCharCharCharCharCharCharCharCharCharCharCharCharChar1CharCharCharCharCharCharCharCharCharCharCharChar1Char"/>
              <w:spacing w:after="0" w:line="240" w:lineRule="auto"/>
              <w:rPr>
                <w:rFonts w:asciiTheme="minorHAnsi" w:eastAsia="Times New Roman" w:hAnsiTheme="minorHAnsi" w:cs="Arial"/>
                <w:snapToGrid w:val="0"/>
                <w:sz w:val="24"/>
                <w:szCs w:val="24"/>
                <w:lang w:val="en-AU"/>
              </w:rPr>
            </w:pPr>
            <w:r w:rsidRPr="009E19A2">
              <w:rPr>
                <w:rFonts w:asciiTheme="minorHAnsi" w:eastAsia="Times New Roman" w:hAnsiTheme="minorHAnsi" w:cs="Arial"/>
                <w:snapToGrid w:val="0"/>
                <w:sz w:val="24"/>
                <w:szCs w:val="24"/>
                <w:lang w:val="en-AU"/>
              </w:rPr>
              <w:t>These are listed by World Health Organisation Anatomical Therapeutic Classification (ATC) Index, referred to as “</w:t>
            </w:r>
            <w:r w:rsidR="00E24B24" w:rsidRPr="009E19A2">
              <w:rPr>
                <w:rFonts w:asciiTheme="minorHAnsi" w:eastAsia="Times New Roman" w:hAnsiTheme="minorHAnsi" w:cs="Arial"/>
                <w:snapToGrid w:val="0"/>
                <w:sz w:val="24"/>
                <w:szCs w:val="24"/>
                <w:lang w:val="en-AU"/>
              </w:rPr>
              <w:t>Body Systems</w:t>
            </w:r>
            <w:r w:rsidRPr="009E19A2">
              <w:rPr>
                <w:rFonts w:asciiTheme="minorHAnsi" w:eastAsia="Times New Roman" w:hAnsiTheme="minorHAnsi" w:cs="Arial"/>
                <w:snapToGrid w:val="0"/>
                <w:sz w:val="24"/>
                <w:szCs w:val="24"/>
                <w:lang w:val="en-AU"/>
              </w:rPr>
              <w:t>”, on the PBS.</w:t>
            </w:r>
          </w:p>
          <w:p w14:paraId="1F53B5F9" w14:textId="77777777" w:rsidR="00E83BA0" w:rsidRPr="009E19A2" w:rsidRDefault="00E83BA0" w:rsidP="00AA5277">
            <w:pPr>
              <w:pStyle w:val="ListParagraph"/>
              <w:numPr>
                <w:ilvl w:val="0"/>
                <w:numId w:val="2"/>
              </w:numPr>
              <w:spacing w:after="120"/>
              <w:ind w:left="210" w:hanging="284"/>
              <w:rPr>
                <w:rFonts w:asciiTheme="minorHAnsi" w:hAnsiTheme="minorHAnsi" w:cs="Arial"/>
              </w:rPr>
            </w:pPr>
            <w:r w:rsidRPr="009E19A2">
              <w:rPr>
                <w:rFonts w:asciiTheme="minorHAnsi" w:hAnsiTheme="minorHAnsi" w:cs="Arial"/>
              </w:rPr>
              <w:t>Alimentary (ATC-A): inflammatory bowel disease, laxatives, digestive enzymes</w:t>
            </w:r>
          </w:p>
          <w:p w14:paraId="6978CA40" w14:textId="77777777" w:rsidR="004452C8" w:rsidRPr="009E19A2" w:rsidRDefault="004452C8" w:rsidP="00AA5277">
            <w:pPr>
              <w:pStyle w:val="ListParagraph"/>
              <w:spacing w:after="150" w:line="300" w:lineRule="atLeast"/>
              <w:ind w:left="284"/>
              <w:rPr>
                <w:rFonts w:asciiTheme="minorHAnsi" w:hAnsiTheme="minorHAnsi" w:cs="Arial"/>
              </w:rPr>
            </w:pPr>
          </w:p>
          <w:p w14:paraId="59F3ED50" w14:textId="77777777" w:rsidR="00E83BA0" w:rsidRPr="009E19A2" w:rsidRDefault="00E83BA0" w:rsidP="00AA5277">
            <w:pPr>
              <w:pStyle w:val="ListParagraph"/>
              <w:numPr>
                <w:ilvl w:val="0"/>
                <w:numId w:val="2"/>
              </w:numPr>
              <w:spacing w:after="120"/>
              <w:ind w:left="283" w:hanging="357"/>
              <w:rPr>
                <w:rFonts w:asciiTheme="minorHAnsi" w:hAnsiTheme="minorHAnsi" w:cs="Arial"/>
              </w:rPr>
            </w:pPr>
            <w:r w:rsidRPr="009E19A2">
              <w:rPr>
                <w:rFonts w:asciiTheme="minorHAnsi" w:hAnsiTheme="minorHAnsi" w:cs="Arial"/>
              </w:rPr>
              <w:t xml:space="preserve">Antineoplastic and immunomodulatory (ATC-L) – </w:t>
            </w:r>
            <w:proofErr w:type="spellStart"/>
            <w:r w:rsidRPr="009E19A2">
              <w:rPr>
                <w:rFonts w:asciiTheme="minorHAnsi" w:hAnsiTheme="minorHAnsi" w:cs="Arial"/>
              </w:rPr>
              <w:t>immunosuppressants</w:t>
            </w:r>
            <w:proofErr w:type="spellEnd"/>
            <w:r w:rsidRPr="009E19A2">
              <w:rPr>
                <w:rFonts w:asciiTheme="minorHAnsi" w:hAnsiTheme="minorHAnsi" w:cs="Arial"/>
              </w:rPr>
              <w:t>, breast cancer</w:t>
            </w:r>
          </w:p>
          <w:p w14:paraId="7DE3FDC3" w14:textId="77777777" w:rsidR="00807AB0" w:rsidRPr="009E19A2" w:rsidRDefault="00807AB0" w:rsidP="00AA5277">
            <w:pPr>
              <w:pStyle w:val="ListParagraph"/>
              <w:ind w:left="284"/>
              <w:rPr>
                <w:rFonts w:asciiTheme="minorHAnsi" w:hAnsiTheme="minorHAnsi" w:cs="Arial"/>
              </w:rPr>
            </w:pPr>
          </w:p>
          <w:p w14:paraId="2E8B0AAA" w14:textId="77777777" w:rsidR="00E83BA0" w:rsidRPr="009E19A2" w:rsidRDefault="00E83BA0" w:rsidP="00AA5277">
            <w:pPr>
              <w:pStyle w:val="ListParagraph"/>
              <w:numPr>
                <w:ilvl w:val="0"/>
                <w:numId w:val="2"/>
              </w:numPr>
              <w:spacing w:after="120"/>
              <w:ind w:left="283" w:hanging="357"/>
              <w:rPr>
                <w:rFonts w:asciiTheme="minorHAnsi" w:hAnsiTheme="minorHAnsi" w:cs="Arial"/>
              </w:rPr>
            </w:pPr>
            <w:r w:rsidRPr="009E19A2">
              <w:rPr>
                <w:rFonts w:asciiTheme="minorHAnsi" w:hAnsiTheme="minorHAnsi" w:cs="Arial"/>
              </w:rPr>
              <w:t>Blood (ATC-B): platelet inhibitors</w:t>
            </w:r>
          </w:p>
          <w:p w14:paraId="2724FA18" w14:textId="77777777" w:rsidR="00E83BA0" w:rsidRPr="009E19A2" w:rsidRDefault="00E83BA0" w:rsidP="00AA5277">
            <w:pPr>
              <w:pStyle w:val="Char2CharCharCharZchnZchnCharCharCharCharCharCharCharCharCharCharCharCharCharCharCharCharCharCharCharCharCharCharCharChar1CharCharCharCharCharCharCharCharCharCharCharChar1Char"/>
              <w:numPr>
                <w:ilvl w:val="0"/>
                <w:numId w:val="2"/>
              </w:numPr>
              <w:spacing w:after="120" w:line="240" w:lineRule="auto"/>
              <w:ind w:left="283" w:hanging="357"/>
              <w:rPr>
                <w:rFonts w:asciiTheme="minorHAnsi" w:hAnsiTheme="minorHAnsi" w:cs="Arial"/>
                <w:sz w:val="24"/>
                <w:szCs w:val="24"/>
              </w:rPr>
            </w:pPr>
            <w:r w:rsidRPr="009E19A2">
              <w:rPr>
                <w:rFonts w:asciiTheme="minorHAnsi" w:hAnsiTheme="minorHAnsi" w:cs="Arial"/>
                <w:sz w:val="24"/>
                <w:szCs w:val="24"/>
              </w:rPr>
              <w:t>Cardiovascular (ATC-C1-C10, high cholesterol, hypertension, angina, heart failure</w:t>
            </w:r>
          </w:p>
          <w:p w14:paraId="509B387E" w14:textId="77777777" w:rsidR="00E83BA0" w:rsidRPr="009E19A2" w:rsidRDefault="00E83BA0" w:rsidP="00AA5277">
            <w:pPr>
              <w:pStyle w:val="Char2CharCharCharZchnZchnCharCharCharCharCharCharCharCharCharCharCharCharCharCharCharCharCharCharCharCharCharCharCharChar1CharCharCharCharCharCharCharCharCharCharCharChar1Char"/>
              <w:numPr>
                <w:ilvl w:val="0"/>
                <w:numId w:val="2"/>
              </w:numPr>
              <w:spacing w:after="120" w:line="240" w:lineRule="auto"/>
              <w:ind w:left="283" w:hanging="357"/>
              <w:rPr>
                <w:rFonts w:asciiTheme="minorHAnsi" w:hAnsiTheme="minorHAnsi" w:cs="Arial"/>
                <w:sz w:val="24"/>
                <w:szCs w:val="24"/>
              </w:rPr>
            </w:pPr>
            <w:r w:rsidRPr="009E19A2">
              <w:rPr>
                <w:rFonts w:asciiTheme="minorHAnsi" w:hAnsiTheme="minorHAnsi" w:cs="Arial"/>
                <w:sz w:val="24"/>
                <w:szCs w:val="24"/>
              </w:rPr>
              <w:t>Dermatological (ATC-D)- coal tar</w:t>
            </w:r>
          </w:p>
          <w:p w14:paraId="6DD32871" w14:textId="77777777" w:rsidR="00E83BA0" w:rsidRPr="009E19A2" w:rsidRDefault="00E83BA0" w:rsidP="00AA5277">
            <w:pPr>
              <w:pStyle w:val="Char2CharCharCharZchnZchnCharCharCharCharCharCharCharCharCharCharCharCharCharCharCharCharCharCharCharCharCharCharCharChar1CharCharCharCharCharCharCharCharCharCharCharChar1Char"/>
              <w:numPr>
                <w:ilvl w:val="0"/>
                <w:numId w:val="2"/>
              </w:numPr>
              <w:spacing w:after="120" w:line="240" w:lineRule="auto"/>
              <w:ind w:left="283" w:hanging="357"/>
              <w:rPr>
                <w:rFonts w:asciiTheme="minorHAnsi" w:hAnsiTheme="minorHAnsi" w:cs="Arial"/>
                <w:sz w:val="24"/>
                <w:szCs w:val="24"/>
              </w:rPr>
            </w:pPr>
            <w:r w:rsidRPr="009E19A2">
              <w:rPr>
                <w:rFonts w:asciiTheme="minorHAnsi" w:hAnsiTheme="minorHAnsi" w:cs="Arial"/>
                <w:sz w:val="24"/>
                <w:szCs w:val="24"/>
              </w:rPr>
              <w:lastRenderedPageBreak/>
              <w:t>Genitourinary (ATC-G): hormone replacement therapy, urinary incontinence</w:t>
            </w:r>
          </w:p>
          <w:p w14:paraId="58C35BC1" w14:textId="77777777" w:rsidR="00E83BA0" w:rsidRPr="009E19A2" w:rsidRDefault="00E83BA0" w:rsidP="00AA5277">
            <w:pPr>
              <w:pStyle w:val="Char2CharCharCharZchnZchnCharCharCharCharCharCharCharCharCharCharCharCharCharCharCharCharCharCharCharCharCharCharCharChar1CharCharCharCharCharCharCharCharCharCharCharChar1Char"/>
              <w:numPr>
                <w:ilvl w:val="0"/>
                <w:numId w:val="2"/>
              </w:numPr>
              <w:spacing w:after="120" w:line="240" w:lineRule="auto"/>
              <w:ind w:left="283" w:hanging="357"/>
              <w:rPr>
                <w:rFonts w:asciiTheme="minorHAnsi" w:hAnsiTheme="minorHAnsi" w:cs="Arial"/>
                <w:sz w:val="24"/>
                <w:szCs w:val="24"/>
              </w:rPr>
            </w:pPr>
            <w:r w:rsidRPr="009E19A2">
              <w:rPr>
                <w:rFonts w:asciiTheme="minorHAnsi" w:hAnsiTheme="minorHAnsi" w:cs="Arial"/>
                <w:sz w:val="24"/>
                <w:szCs w:val="24"/>
              </w:rPr>
              <w:t>Musculoskeletal (ATC-M): gout, osteoporosis</w:t>
            </w:r>
          </w:p>
          <w:p w14:paraId="59A3D9BF" w14:textId="77777777" w:rsidR="00E83BA0" w:rsidRPr="009E19A2" w:rsidRDefault="00E83BA0" w:rsidP="00AA5277">
            <w:pPr>
              <w:pStyle w:val="Char2CharCharCharZchnZchnCharCharCharCharCharCharCharCharCharCharCharCharCharCharCharCharCharCharCharCharCharCharCharChar1CharCharCharCharCharCharCharCharCharCharCharChar1Char"/>
              <w:numPr>
                <w:ilvl w:val="0"/>
                <w:numId w:val="2"/>
              </w:numPr>
              <w:spacing w:after="120" w:line="240" w:lineRule="auto"/>
              <w:ind w:left="283" w:hanging="357"/>
              <w:rPr>
                <w:rFonts w:asciiTheme="minorHAnsi" w:hAnsiTheme="minorHAnsi" w:cs="Arial"/>
                <w:sz w:val="24"/>
                <w:szCs w:val="24"/>
              </w:rPr>
            </w:pPr>
            <w:r w:rsidRPr="009E19A2">
              <w:rPr>
                <w:rFonts w:asciiTheme="minorHAnsi" w:hAnsiTheme="minorHAnsi" w:cs="Arial"/>
                <w:sz w:val="24"/>
                <w:szCs w:val="24"/>
              </w:rPr>
              <w:t>Nervous (ATC-N)– migraine prevention</w:t>
            </w:r>
          </w:p>
          <w:p w14:paraId="7DE55E08" w14:textId="77777777" w:rsidR="00E83BA0" w:rsidRPr="009E19A2" w:rsidRDefault="00E83BA0" w:rsidP="00AA5277">
            <w:pPr>
              <w:pStyle w:val="Char2CharCharCharZchnZchnCharCharCharCharCharCharCharCharCharCharCharCharCharCharCharCharCharCharCharCharCharCharCharChar1CharCharCharCharCharCharCharCharCharCharCharChar1Char"/>
              <w:numPr>
                <w:ilvl w:val="0"/>
                <w:numId w:val="2"/>
              </w:numPr>
              <w:spacing w:after="120" w:line="240" w:lineRule="auto"/>
              <w:ind w:left="283" w:hanging="357"/>
              <w:rPr>
                <w:rFonts w:asciiTheme="minorHAnsi" w:hAnsiTheme="minorHAnsi" w:cs="Arial"/>
                <w:sz w:val="24"/>
                <w:szCs w:val="24"/>
              </w:rPr>
            </w:pPr>
            <w:r w:rsidRPr="009E19A2">
              <w:rPr>
                <w:rFonts w:asciiTheme="minorHAnsi" w:hAnsiTheme="minorHAnsi" w:cs="Arial"/>
                <w:sz w:val="24"/>
                <w:szCs w:val="24"/>
              </w:rPr>
              <w:t>Respiratory (ATC-R) – chronic obstructive pulmonary disease</w:t>
            </w:r>
          </w:p>
          <w:p w14:paraId="63555D74" w14:textId="77777777" w:rsidR="00E83BA0" w:rsidRPr="009E19A2" w:rsidRDefault="00E83BA0" w:rsidP="00AA5277">
            <w:pPr>
              <w:pStyle w:val="Char2CharCharCharZchnZchnCharCharCharCharCharCharCharCharCharCharCharCharCharCharCharCharCharCharCharCharCharCharCharChar1CharCharCharCharCharCharCharCharCharCharCharChar1Char"/>
              <w:numPr>
                <w:ilvl w:val="0"/>
                <w:numId w:val="2"/>
              </w:numPr>
              <w:spacing w:after="120"/>
              <w:ind w:left="283" w:hanging="357"/>
              <w:rPr>
                <w:rFonts w:asciiTheme="minorHAnsi" w:hAnsiTheme="minorHAnsi" w:cs="Arial"/>
                <w:sz w:val="24"/>
                <w:szCs w:val="24"/>
              </w:rPr>
            </w:pPr>
            <w:r w:rsidRPr="009E19A2">
              <w:rPr>
                <w:rFonts w:asciiTheme="minorHAnsi" w:hAnsiTheme="minorHAnsi" w:cs="Arial"/>
                <w:sz w:val="24"/>
                <w:szCs w:val="24"/>
              </w:rPr>
              <w:t>Sensory (ATC-S): glaucoma, dry eyes</w:t>
            </w:r>
          </w:p>
          <w:p w14:paraId="5CEF116B" w14:textId="77777777" w:rsidR="00E83BA0" w:rsidRPr="009E19A2" w:rsidRDefault="00E83BA0" w:rsidP="00AA5277">
            <w:pPr>
              <w:pStyle w:val="Char2CharCharCharZchnZchnCharCharCharCharCharCharCharCharCharCharCharCharCharCharCharCharCharCharCharCharCharCharCharChar1CharCharCharCharCharCharCharCharCharCharCharChar1Char"/>
              <w:numPr>
                <w:ilvl w:val="0"/>
                <w:numId w:val="2"/>
              </w:numPr>
              <w:spacing w:after="120" w:line="240" w:lineRule="auto"/>
              <w:ind w:left="283" w:hanging="357"/>
              <w:rPr>
                <w:rFonts w:asciiTheme="minorHAnsi" w:hAnsiTheme="minorHAnsi" w:cs="Arial"/>
                <w:sz w:val="24"/>
                <w:szCs w:val="24"/>
              </w:rPr>
            </w:pPr>
            <w:r w:rsidRPr="009E19A2">
              <w:rPr>
                <w:rFonts w:asciiTheme="minorHAnsi" w:hAnsiTheme="minorHAnsi" w:cs="Arial"/>
                <w:sz w:val="24"/>
                <w:szCs w:val="24"/>
              </w:rPr>
              <w:t xml:space="preserve">Various (ATC-V) – hypercalcemia, </w:t>
            </w:r>
            <w:proofErr w:type="spellStart"/>
            <w:r w:rsidRPr="009E19A2">
              <w:rPr>
                <w:rFonts w:asciiTheme="minorHAnsi" w:hAnsiTheme="minorHAnsi" w:cs="Arial"/>
                <w:sz w:val="24"/>
                <w:szCs w:val="24"/>
              </w:rPr>
              <w:t>hyperkalaemia</w:t>
            </w:r>
            <w:proofErr w:type="spellEnd"/>
            <w:r w:rsidRPr="009E19A2">
              <w:rPr>
                <w:rFonts w:asciiTheme="minorHAnsi" w:hAnsiTheme="minorHAnsi" w:cs="Arial"/>
                <w:sz w:val="24"/>
                <w:szCs w:val="24"/>
              </w:rPr>
              <w:t>, hyperphosphatemia</w:t>
            </w:r>
          </w:p>
          <w:p w14:paraId="5A7C0D63" w14:textId="77777777" w:rsidR="00E83BA0" w:rsidRPr="009E19A2" w:rsidRDefault="00E83BA0" w:rsidP="00E83BA0">
            <w:pPr>
              <w:pStyle w:val="Char2CharCharCharZchnZchnCharCharCharCharCharCharCharCharCharCharCharCharCharCharCharCharCharCharCharCharCharCharCharChar1CharCharCharCharCharCharCharCharCharCharCharChar1Char"/>
              <w:rPr>
                <w:rFonts w:asciiTheme="minorHAnsi" w:hAnsiTheme="minorHAnsi" w:cs="Arial"/>
                <w:sz w:val="24"/>
                <w:szCs w:val="24"/>
              </w:rPr>
            </w:pPr>
          </w:p>
        </w:tc>
        <w:tc>
          <w:tcPr>
            <w:tcW w:w="3260" w:type="dxa"/>
            <w:shd w:val="clear" w:color="auto" w:fill="auto"/>
          </w:tcPr>
          <w:p w14:paraId="641A6ECC" w14:textId="606E59FF" w:rsidR="005C2EE4" w:rsidRPr="009E19A2" w:rsidRDefault="00A2752C" w:rsidP="00A2752C">
            <w:pPr>
              <w:widowControl w:val="0"/>
              <w:contextualSpacing/>
              <w:jc w:val="both"/>
              <w:rPr>
                <w:rFonts w:asciiTheme="minorHAnsi" w:hAnsiTheme="minorHAnsi" w:cs="Arial"/>
                <w:color w:val="000000"/>
                <w:sz w:val="24"/>
                <w:szCs w:val="24"/>
              </w:rPr>
            </w:pPr>
            <w:r w:rsidRPr="009E19A2">
              <w:rPr>
                <w:rFonts w:asciiTheme="minorHAnsi" w:hAnsiTheme="minorHAnsi" w:cs="Arial"/>
                <w:snapToGrid w:val="0"/>
                <w:sz w:val="24"/>
                <w:szCs w:val="24"/>
                <w:lang w:eastAsia="en-US"/>
              </w:rPr>
              <w:lastRenderedPageBreak/>
              <w:t xml:space="preserve">The </w:t>
            </w:r>
            <w:r w:rsidR="00F84FEE" w:rsidRPr="009E19A2">
              <w:rPr>
                <w:rFonts w:asciiTheme="minorHAnsi" w:hAnsiTheme="minorHAnsi" w:cs="Arial"/>
                <w:snapToGrid w:val="0"/>
                <w:sz w:val="24"/>
                <w:szCs w:val="24"/>
                <w:lang w:eastAsia="en-US"/>
              </w:rPr>
              <w:t>Delegate</w:t>
            </w:r>
            <w:r w:rsidR="00811377" w:rsidRPr="009E19A2">
              <w:rPr>
                <w:rFonts w:asciiTheme="minorHAnsi" w:hAnsiTheme="minorHAnsi" w:cs="Arial"/>
                <w:snapToGrid w:val="0"/>
                <w:sz w:val="24"/>
                <w:szCs w:val="24"/>
                <w:lang w:eastAsia="en-US"/>
              </w:rPr>
              <w:t xml:space="preserve"> </w:t>
            </w:r>
            <w:r w:rsidRPr="009E19A2">
              <w:rPr>
                <w:rFonts w:asciiTheme="minorHAnsi" w:hAnsiTheme="minorHAnsi" w:cs="Arial"/>
                <w:snapToGrid w:val="0"/>
                <w:sz w:val="24"/>
                <w:szCs w:val="24"/>
                <w:lang w:eastAsia="en-US"/>
              </w:rPr>
              <w:t>requested the Pharmaceutical Benefits Advisory Committee provide advice on the following</w:t>
            </w:r>
            <w:r w:rsidR="005C2EE4" w:rsidRPr="009E19A2">
              <w:rPr>
                <w:rFonts w:asciiTheme="minorHAnsi" w:hAnsiTheme="minorHAnsi" w:cs="Arial"/>
                <w:color w:val="000000"/>
                <w:sz w:val="24"/>
                <w:szCs w:val="24"/>
              </w:rPr>
              <w:t xml:space="preserve"> matter(s) under section 101(3) of </w:t>
            </w:r>
            <w:r w:rsidR="005C2EE4" w:rsidRPr="009E19A2">
              <w:rPr>
                <w:rFonts w:asciiTheme="minorHAnsi" w:hAnsiTheme="minorHAnsi" w:cs="Arial"/>
                <w:i/>
                <w:iCs/>
                <w:color w:val="000000"/>
                <w:sz w:val="24"/>
                <w:szCs w:val="24"/>
              </w:rPr>
              <w:t xml:space="preserve">the National Health Act, 1953 </w:t>
            </w:r>
            <w:r w:rsidR="005C2EE4" w:rsidRPr="009E19A2">
              <w:rPr>
                <w:rFonts w:asciiTheme="minorHAnsi" w:hAnsiTheme="minorHAnsi" w:cs="Arial"/>
                <w:color w:val="000000"/>
                <w:sz w:val="24"/>
                <w:szCs w:val="24"/>
              </w:rPr>
              <w:t>(the Act):</w:t>
            </w:r>
          </w:p>
          <w:p w14:paraId="65196E29" w14:textId="77777777" w:rsidR="005C2EE4" w:rsidRPr="009E19A2" w:rsidRDefault="005C2EE4" w:rsidP="008D1EB5">
            <w:pPr>
              <w:autoSpaceDE w:val="0"/>
              <w:autoSpaceDN w:val="0"/>
              <w:adjustRightInd w:val="0"/>
              <w:rPr>
                <w:rFonts w:asciiTheme="minorHAnsi" w:hAnsiTheme="minorHAnsi" w:cs="Arial"/>
                <w:color w:val="000000"/>
                <w:sz w:val="24"/>
                <w:szCs w:val="24"/>
              </w:rPr>
            </w:pPr>
          </w:p>
          <w:p w14:paraId="1BA403DF" w14:textId="77777777" w:rsidR="00A2752C" w:rsidRPr="009E19A2" w:rsidRDefault="00A2752C" w:rsidP="00A2752C">
            <w:pPr>
              <w:widowControl w:val="0"/>
              <w:contextualSpacing/>
              <w:jc w:val="both"/>
              <w:rPr>
                <w:rFonts w:asciiTheme="minorHAnsi" w:hAnsiTheme="minorHAnsi" w:cs="Arial"/>
                <w:snapToGrid w:val="0"/>
                <w:sz w:val="24"/>
                <w:szCs w:val="24"/>
                <w:lang w:eastAsia="en-US"/>
              </w:rPr>
            </w:pPr>
            <w:r w:rsidRPr="009E19A2">
              <w:rPr>
                <w:rFonts w:asciiTheme="minorHAnsi" w:hAnsiTheme="minorHAnsi" w:cs="Arial"/>
                <w:snapToGrid w:val="0"/>
                <w:sz w:val="24"/>
                <w:szCs w:val="24"/>
                <w:lang w:eastAsia="en-US"/>
              </w:rPr>
              <w:t xml:space="preserve">The clinical safety and suitability of each medicine (listed in Appendix A) for </w:t>
            </w:r>
            <w:r w:rsidR="00C47E5F" w:rsidRPr="009E19A2">
              <w:rPr>
                <w:rFonts w:asciiTheme="minorHAnsi" w:hAnsiTheme="minorHAnsi" w:cs="Arial"/>
                <w:snapToGrid w:val="0"/>
                <w:sz w:val="24"/>
                <w:szCs w:val="24"/>
                <w:lang w:eastAsia="en-US"/>
              </w:rPr>
              <w:t xml:space="preserve">PBS </w:t>
            </w:r>
            <w:r w:rsidR="00032948" w:rsidRPr="009E19A2">
              <w:rPr>
                <w:rFonts w:asciiTheme="minorHAnsi" w:hAnsiTheme="minorHAnsi" w:cs="Arial"/>
                <w:snapToGrid w:val="0"/>
                <w:sz w:val="24"/>
                <w:szCs w:val="24"/>
                <w:lang w:eastAsia="en-US"/>
              </w:rPr>
              <w:t>listing</w:t>
            </w:r>
            <w:r w:rsidR="00C47E5F" w:rsidRPr="009E19A2">
              <w:rPr>
                <w:rFonts w:asciiTheme="minorHAnsi" w:hAnsiTheme="minorHAnsi" w:cs="Arial"/>
                <w:snapToGrid w:val="0"/>
                <w:sz w:val="24"/>
                <w:szCs w:val="24"/>
                <w:lang w:eastAsia="en-US"/>
              </w:rPr>
              <w:t xml:space="preserve"> under the </w:t>
            </w:r>
            <w:r w:rsidRPr="009E19A2">
              <w:rPr>
                <w:rFonts w:asciiTheme="minorHAnsi" w:hAnsiTheme="minorHAnsi" w:cs="Arial"/>
                <w:snapToGrid w:val="0"/>
                <w:sz w:val="24"/>
                <w:szCs w:val="24"/>
                <w:lang w:eastAsia="en-US"/>
              </w:rPr>
              <w:t>following</w:t>
            </w:r>
            <w:r w:rsidR="00032948" w:rsidRPr="009E19A2">
              <w:rPr>
                <w:rFonts w:asciiTheme="minorHAnsi" w:hAnsiTheme="minorHAnsi" w:cs="Arial"/>
                <w:snapToGrid w:val="0"/>
                <w:sz w:val="24"/>
                <w:szCs w:val="24"/>
                <w:lang w:eastAsia="en-US"/>
              </w:rPr>
              <w:t xml:space="preserve"> circumstances</w:t>
            </w:r>
            <w:r w:rsidRPr="009E19A2">
              <w:rPr>
                <w:rFonts w:asciiTheme="minorHAnsi" w:hAnsiTheme="minorHAnsi" w:cs="Arial"/>
                <w:snapToGrid w:val="0"/>
                <w:sz w:val="24"/>
                <w:szCs w:val="24"/>
                <w:lang w:eastAsia="en-US"/>
              </w:rPr>
              <w:t xml:space="preserve">: </w:t>
            </w:r>
          </w:p>
          <w:p w14:paraId="7E3547D7" w14:textId="77777777" w:rsidR="00A2752C" w:rsidRPr="009E19A2" w:rsidRDefault="00A2752C" w:rsidP="00A2752C">
            <w:pPr>
              <w:widowControl w:val="0"/>
              <w:ind w:left="720"/>
              <w:contextualSpacing/>
              <w:jc w:val="both"/>
              <w:rPr>
                <w:rFonts w:asciiTheme="minorHAnsi" w:hAnsiTheme="minorHAnsi" w:cs="Arial"/>
                <w:snapToGrid w:val="0"/>
                <w:sz w:val="24"/>
                <w:szCs w:val="24"/>
                <w:lang w:eastAsia="en-US"/>
              </w:rPr>
            </w:pPr>
          </w:p>
          <w:p w14:paraId="5D120E65" w14:textId="77777777" w:rsidR="00A2752C" w:rsidRPr="009E19A2" w:rsidRDefault="00A2752C" w:rsidP="00A2752C">
            <w:pPr>
              <w:widowControl w:val="0"/>
              <w:numPr>
                <w:ilvl w:val="0"/>
                <w:numId w:val="3"/>
              </w:numPr>
              <w:ind w:left="360"/>
              <w:contextualSpacing/>
              <w:jc w:val="both"/>
              <w:rPr>
                <w:rFonts w:asciiTheme="minorHAnsi" w:hAnsiTheme="minorHAnsi" w:cs="Arial"/>
                <w:snapToGrid w:val="0"/>
                <w:sz w:val="24"/>
                <w:szCs w:val="24"/>
                <w:lang w:eastAsia="en-US"/>
              </w:rPr>
            </w:pPr>
            <w:r w:rsidRPr="009E19A2">
              <w:rPr>
                <w:rFonts w:asciiTheme="minorHAnsi" w:hAnsiTheme="minorHAnsi" w:cs="Arial"/>
                <w:snapToGrid w:val="0"/>
                <w:sz w:val="24"/>
                <w:szCs w:val="24"/>
                <w:lang w:eastAsia="en-US"/>
              </w:rPr>
              <w:t>Increase the number of prescription repeats on selected Pharmaceutical Benefits Scheme (PBS) it</w:t>
            </w:r>
            <w:r w:rsidR="00C159D8" w:rsidRPr="009E19A2">
              <w:rPr>
                <w:rFonts w:asciiTheme="minorHAnsi" w:hAnsiTheme="minorHAnsi" w:cs="Arial"/>
                <w:snapToGrid w:val="0"/>
                <w:sz w:val="24"/>
                <w:szCs w:val="24"/>
                <w:lang w:eastAsia="en-US"/>
              </w:rPr>
              <w:t xml:space="preserve">ems to allow up to 12 </w:t>
            </w:r>
            <w:r w:rsidR="00032948" w:rsidRPr="009E19A2">
              <w:rPr>
                <w:rFonts w:asciiTheme="minorHAnsi" w:hAnsiTheme="minorHAnsi" w:cs="Arial"/>
                <w:snapToGrid w:val="0"/>
                <w:sz w:val="24"/>
                <w:szCs w:val="24"/>
                <w:lang w:eastAsia="en-US"/>
              </w:rPr>
              <w:t>months’</w:t>
            </w:r>
            <w:r w:rsidR="00C159D8" w:rsidRPr="009E19A2">
              <w:rPr>
                <w:rFonts w:asciiTheme="minorHAnsi" w:hAnsiTheme="minorHAnsi" w:cs="Arial"/>
                <w:snapToGrid w:val="0"/>
                <w:sz w:val="24"/>
                <w:szCs w:val="24"/>
                <w:lang w:eastAsia="en-US"/>
              </w:rPr>
              <w:t xml:space="preserve"> supply</w:t>
            </w:r>
            <w:r w:rsidR="00C47E5F" w:rsidRPr="009E19A2">
              <w:rPr>
                <w:rFonts w:asciiTheme="minorHAnsi" w:hAnsiTheme="minorHAnsi" w:cs="Arial"/>
                <w:snapToGrid w:val="0"/>
                <w:sz w:val="24"/>
                <w:szCs w:val="24"/>
                <w:lang w:eastAsia="en-US"/>
              </w:rPr>
              <w:t xml:space="preserve"> in total </w:t>
            </w:r>
            <w:r w:rsidRPr="009E19A2">
              <w:rPr>
                <w:rFonts w:asciiTheme="minorHAnsi" w:hAnsiTheme="minorHAnsi" w:cs="Arial"/>
                <w:snapToGrid w:val="0"/>
                <w:sz w:val="24"/>
                <w:szCs w:val="24"/>
                <w:lang w:eastAsia="en-US"/>
              </w:rPr>
              <w:t>(Proposal 1); and</w:t>
            </w:r>
          </w:p>
          <w:p w14:paraId="18BF2C4F" w14:textId="77777777" w:rsidR="00A2752C" w:rsidRPr="009E19A2" w:rsidRDefault="00A2752C" w:rsidP="00A2752C">
            <w:pPr>
              <w:widowControl w:val="0"/>
              <w:ind w:left="360"/>
              <w:contextualSpacing/>
              <w:jc w:val="both"/>
              <w:rPr>
                <w:rFonts w:asciiTheme="minorHAnsi" w:hAnsiTheme="minorHAnsi" w:cs="Arial"/>
                <w:snapToGrid w:val="0"/>
                <w:sz w:val="24"/>
                <w:szCs w:val="24"/>
                <w:lang w:eastAsia="en-US"/>
              </w:rPr>
            </w:pPr>
          </w:p>
          <w:p w14:paraId="79139096" w14:textId="77777777" w:rsidR="00A2752C" w:rsidRPr="009E19A2" w:rsidRDefault="00A2752C" w:rsidP="00A2752C">
            <w:pPr>
              <w:widowControl w:val="0"/>
              <w:numPr>
                <w:ilvl w:val="0"/>
                <w:numId w:val="3"/>
              </w:numPr>
              <w:spacing w:after="200" w:line="276" w:lineRule="auto"/>
              <w:ind w:left="360"/>
              <w:contextualSpacing/>
              <w:jc w:val="both"/>
              <w:rPr>
                <w:rFonts w:asciiTheme="minorHAnsi" w:hAnsiTheme="minorHAnsi" w:cs="Arial"/>
                <w:snapToGrid w:val="0"/>
                <w:color w:val="000000" w:themeColor="text1"/>
                <w:sz w:val="24"/>
                <w:szCs w:val="24"/>
                <w:lang w:eastAsia="en-US"/>
              </w:rPr>
            </w:pPr>
            <w:r w:rsidRPr="009E19A2">
              <w:rPr>
                <w:rFonts w:asciiTheme="minorHAnsi" w:hAnsiTheme="minorHAnsi" w:cs="Arial"/>
                <w:snapToGrid w:val="0"/>
                <w:color w:val="000000" w:themeColor="text1"/>
                <w:sz w:val="24"/>
                <w:szCs w:val="24"/>
                <w:lang w:eastAsia="en-US"/>
              </w:rPr>
              <w:t xml:space="preserve">Increase the maximum dispensed quantities </w:t>
            </w:r>
            <w:r w:rsidR="00C159D8" w:rsidRPr="009E19A2">
              <w:rPr>
                <w:rFonts w:asciiTheme="minorHAnsi" w:hAnsiTheme="minorHAnsi" w:cs="Arial"/>
                <w:snapToGrid w:val="0"/>
                <w:color w:val="000000" w:themeColor="text1"/>
                <w:sz w:val="24"/>
                <w:szCs w:val="24"/>
                <w:lang w:eastAsia="en-US"/>
              </w:rPr>
              <w:t>on</w:t>
            </w:r>
            <w:r w:rsidRPr="009E19A2">
              <w:rPr>
                <w:rFonts w:asciiTheme="minorHAnsi" w:hAnsiTheme="minorHAnsi" w:cs="Arial"/>
                <w:snapToGrid w:val="0"/>
                <w:color w:val="000000" w:themeColor="text1"/>
                <w:sz w:val="24"/>
                <w:szCs w:val="24"/>
                <w:lang w:eastAsia="en-US"/>
              </w:rPr>
              <w:t xml:space="preserve"> selected PBS items from one month’s supply to two months’ supply</w:t>
            </w:r>
            <w:r w:rsidR="00C159D8" w:rsidRPr="009E19A2">
              <w:rPr>
                <w:rFonts w:asciiTheme="minorHAnsi" w:hAnsiTheme="minorHAnsi" w:cs="Arial"/>
                <w:snapToGrid w:val="0"/>
                <w:color w:val="000000" w:themeColor="text1"/>
                <w:sz w:val="24"/>
                <w:szCs w:val="24"/>
                <w:lang w:eastAsia="en-US"/>
              </w:rPr>
              <w:t xml:space="preserve"> per dispensing, also allowing up to 12 months’ supply in </w:t>
            </w:r>
            <w:r w:rsidR="00C159D8" w:rsidRPr="009E19A2">
              <w:rPr>
                <w:rFonts w:asciiTheme="minorHAnsi" w:hAnsiTheme="minorHAnsi" w:cs="Arial"/>
                <w:snapToGrid w:val="0"/>
                <w:color w:val="000000" w:themeColor="text1"/>
                <w:sz w:val="24"/>
                <w:szCs w:val="24"/>
                <w:lang w:eastAsia="en-US"/>
              </w:rPr>
              <w:lastRenderedPageBreak/>
              <w:t>total</w:t>
            </w:r>
            <w:r w:rsidRPr="009E19A2">
              <w:rPr>
                <w:rFonts w:asciiTheme="minorHAnsi" w:hAnsiTheme="minorHAnsi" w:cs="Arial"/>
                <w:snapToGrid w:val="0"/>
                <w:color w:val="000000" w:themeColor="text1"/>
                <w:sz w:val="24"/>
                <w:szCs w:val="24"/>
                <w:lang w:eastAsia="en-US"/>
              </w:rPr>
              <w:t xml:space="preserve"> (Proposal 2).</w:t>
            </w:r>
          </w:p>
          <w:p w14:paraId="7E9ECC0A" w14:textId="77777777" w:rsidR="005C2EE4" w:rsidRPr="009E19A2" w:rsidRDefault="004D3258" w:rsidP="00A2752C">
            <w:pPr>
              <w:autoSpaceDE w:val="0"/>
              <w:autoSpaceDN w:val="0"/>
              <w:adjustRightInd w:val="0"/>
              <w:rPr>
                <w:rFonts w:asciiTheme="minorHAnsi" w:hAnsiTheme="minorHAnsi" w:cs="Arial"/>
                <w:sz w:val="24"/>
                <w:szCs w:val="24"/>
              </w:rPr>
            </w:pPr>
            <w:r w:rsidRPr="009E19A2">
              <w:rPr>
                <w:rFonts w:asciiTheme="minorHAnsi" w:hAnsiTheme="minorHAnsi" w:cs="Arial"/>
                <w:sz w:val="24"/>
                <w:szCs w:val="24"/>
              </w:rPr>
              <w:br/>
            </w:r>
          </w:p>
        </w:tc>
        <w:tc>
          <w:tcPr>
            <w:tcW w:w="8222" w:type="dxa"/>
            <w:shd w:val="clear" w:color="auto" w:fill="auto"/>
          </w:tcPr>
          <w:p w14:paraId="2B0F2C1F" w14:textId="3C8FDBD5" w:rsidR="00000BDE" w:rsidRPr="009E19A2" w:rsidRDefault="00B20213" w:rsidP="00AA1D7C">
            <w:pPr>
              <w:widowControl w:val="0"/>
              <w:rPr>
                <w:rFonts w:asciiTheme="minorHAnsi" w:hAnsiTheme="minorHAnsi" w:cs="Arial"/>
                <w:sz w:val="24"/>
                <w:szCs w:val="24"/>
              </w:rPr>
            </w:pPr>
            <w:r>
              <w:rPr>
                <w:rFonts w:asciiTheme="minorHAnsi" w:hAnsiTheme="minorHAnsi" w:cs="Arial"/>
                <w:sz w:val="24"/>
                <w:szCs w:val="24"/>
              </w:rPr>
              <w:lastRenderedPageBreak/>
              <w:t>The PBAC considered a</w:t>
            </w:r>
            <w:r w:rsidR="00944DDE" w:rsidRPr="009E19A2">
              <w:rPr>
                <w:rFonts w:asciiTheme="minorHAnsi" w:hAnsiTheme="minorHAnsi" w:cs="Arial"/>
                <w:sz w:val="24"/>
                <w:szCs w:val="24"/>
              </w:rPr>
              <w:t xml:space="preserve"> list of PBS medicines </w:t>
            </w:r>
            <w:r w:rsidR="00AA1D7C" w:rsidRPr="009E19A2">
              <w:rPr>
                <w:rFonts w:asciiTheme="minorHAnsi" w:hAnsiTheme="minorHAnsi" w:cs="Arial"/>
                <w:sz w:val="24"/>
                <w:szCs w:val="24"/>
              </w:rPr>
              <w:t xml:space="preserve">taken </w:t>
            </w:r>
            <w:r w:rsidR="00944DDE" w:rsidRPr="009E19A2">
              <w:rPr>
                <w:rFonts w:asciiTheme="minorHAnsi" w:hAnsiTheme="minorHAnsi" w:cs="Arial"/>
                <w:sz w:val="24"/>
                <w:szCs w:val="24"/>
              </w:rPr>
              <w:t xml:space="preserve">from the Pharmaceutical Benefits Schedule that </w:t>
            </w:r>
            <w:r w:rsidR="00AA1D7C" w:rsidRPr="009E19A2">
              <w:rPr>
                <w:rFonts w:asciiTheme="minorHAnsi" w:hAnsiTheme="minorHAnsi" w:cs="Arial"/>
                <w:sz w:val="24"/>
                <w:szCs w:val="24"/>
              </w:rPr>
              <w:t>are</w:t>
            </w:r>
            <w:r w:rsidR="00944DDE" w:rsidRPr="009E19A2">
              <w:rPr>
                <w:rFonts w:asciiTheme="minorHAnsi" w:hAnsiTheme="minorHAnsi" w:cs="Arial"/>
                <w:sz w:val="24"/>
                <w:szCs w:val="24"/>
              </w:rPr>
              <w:t xml:space="preserve"> indicated for </w:t>
            </w:r>
            <w:r w:rsidR="00C65A3E" w:rsidRPr="009E19A2">
              <w:rPr>
                <w:rFonts w:asciiTheme="minorHAnsi" w:hAnsiTheme="minorHAnsi" w:cs="Arial"/>
                <w:sz w:val="24"/>
                <w:szCs w:val="24"/>
              </w:rPr>
              <w:t xml:space="preserve">the treatment of </w:t>
            </w:r>
            <w:r w:rsidR="00944DDE" w:rsidRPr="009E19A2">
              <w:rPr>
                <w:rFonts w:asciiTheme="minorHAnsi" w:hAnsiTheme="minorHAnsi" w:cs="Arial"/>
                <w:sz w:val="24"/>
                <w:szCs w:val="24"/>
              </w:rPr>
              <w:t>chronic conditions</w:t>
            </w:r>
            <w:r w:rsidR="00AA1D7C" w:rsidRPr="009E19A2">
              <w:rPr>
                <w:rFonts w:asciiTheme="minorHAnsi" w:hAnsiTheme="minorHAnsi" w:cs="Arial"/>
                <w:sz w:val="24"/>
                <w:szCs w:val="24"/>
              </w:rPr>
              <w:t>.</w:t>
            </w:r>
            <w:r w:rsidR="00944DDE" w:rsidRPr="009E19A2">
              <w:rPr>
                <w:rFonts w:asciiTheme="minorHAnsi" w:hAnsiTheme="minorHAnsi" w:cs="Arial"/>
                <w:sz w:val="24"/>
                <w:szCs w:val="24"/>
              </w:rPr>
              <w:t xml:space="preserve"> </w:t>
            </w:r>
            <w:r w:rsidR="00000BDE" w:rsidRPr="009E19A2">
              <w:rPr>
                <w:rStyle w:val="s6"/>
                <w:rFonts w:asciiTheme="minorHAnsi" w:hAnsiTheme="minorHAnsi" w:cs="Arial"/>
                <w:sz w:val="24"/>
                <w:szCs w:val="24"/>
              </w:rPr>
              <w:t>Based on an assessment of clinical safety and ongoing cost-effectiveness, the PBAC recommended </w:t>
            </w:r>
            <w:r w:rsidR="00AA1D7C" w:rsidRPr="009E19A2">
              <w:rPr>
                <w:rStyle w:val="s6"/>
                <w:rFonts w:asciiTheme="minorHAnsi" w:hAnsiTheme="minorHAnsi" w:cs="Arial"/>
                <w:sz w:val="24"/>
                <w:szCs w:val="24"/>
              </w:rPr>
              <w:t xml:space="preserve">that </w:t>
            </w:r>
            <w:r w:rsidR="00000BDE" w:rsidRPr="009E19A2">
              <w:rPr>
                <w:rStyle w:val="s6"/>
                <w:rFonts w:asciiTheme="minorHAnsi" w:hAnsiTheme="minorHAnsi" w:cs="Arial"/>
                <w:sz w:val="24"/>
                <w:szCs w:val="24"/>
              </w:rPr>
              <w:t>143 medicines</w:t>
            </w:r>
            <w:r w:rsidR="00AA1D7C" w:rsidRPr="009E19A2">
              <w:rPr>
                <w:rStyle w:val="s6"/>
                <w:rFonts w:asciiTheme="minorHAnsi" w:hAnsiTheme="minorHAnsi" w:cs="Arial"/>
                <w:sz w:val="24"/>
                <w:szCs w:val="24"/>
              </w:rPr>
              <w:t xml:space="preserve"> (348 PBS items) </w:t>
            </w:r>
            <w:r w:rsidR="00000BDE" w:rsidRPr="009E19A2">
              <w:rPr>
                <w:rStyle w:val="s6"/>
                <w:rFonts w:asciiTheme="minorHAnsi" w:hAnsiTheme="minorHAnsi" w:cs="Arial"/>
                <w:sz w:val="24"/>
                <w:szCs w:val="24"/>
              </w:rPr>
              <w:t>were acceptable for listing with increased</w:t>
            </w:r>
            <w:r w:rsidR="00000BDE" w:rsidRPr="009E19A2">
              <w:rPr>
                <w:rStyle w:val="s15"/>
                <w:rFonts w:asciiTheme="minorHAnsi" w:hAnsiTheme="minorHAnsi" w:cs="Arial"/>
                <w:sz w:val="24"/>
                <w:szCs w:val="24"/>
              </w:rPr>
              <w:t xml:space="preserve"> maximum dispensed quantities (approximately 60 days or two months’ supply per dispensing). The </w:t>
            </w:r>
            <w:hyperlink r:id="rId9" w:history="1">
              <w:r w:rsidR="00000BDE" w:rsidRPr="00DA11E1">
                <w:rPr>
                  <w:rStyle w:val="Hyperlink"/>
                  <w:rFonts w:asciiTheme="minorHAnsi" w:hAnsiTheme="minorHAnsi" w:cs="Arial"/>
                  <w:sz w:val="24"/>
                  <w:szCs w:val="24"/>
                </w:rPr>
                <w:t>l</w:t>
              </w:r>
              <w:r w:rsidR="00536FBF" w:rsidRPr="00DA11E1">
                <w:rPr>
                  <w:rStyle w:val="Hyperlink"/>
                  <w:rFonts w:asciiTheme="minorHAnsi" w:hAnsiTheme="minorHAnsi" w:cs="Arial"/>
                  <w:sz w:val="24"/>
                  <w:szCs w:val="24"/>
                </w:rPr>
                <w:t xml:space="preserve">ist of </w:t>
              </w:r>
              <w:r w:rsidR="00000BDE" w:rsidRPr="00DA11E1">
                <w:rPr>
                  <w:rStyle w:val="Hyperlink"/>
                  <w:rFonts w:asciiTheme="minorHAnsi" w:hAnsiTheme="minorHAnsi" w:cs="Arial"/>
                  <w:sz w:val="24"/>
                  <w:szCs w:val="24"/>
                </w:rPr>
                <w:t>medicines</w:t>
              </w:r>
            </w:hyperlink>
            <w:bookmarkStart w:id="0" w:name="_GoBack"/>
            <w:bookmarkEnd w:id="0"/>
            <w:r w:rsidR="00000BDE" w:rsidRPr="009E19A2">
              <w:rPr>
                <w:rStyle w:val="s6"/>
                <w:rFonts w:asciiTheme="minorHAnsi" w:hAnsiTheme="minorHAnsi" w:cs="Arial"/>
                <w:sz w:val="24"/>
                <w:szCs w:val="24"/>
              </w:rPr>
              <w:t xml:space="preserve"> accepted by the PBAC as suitable for additional PBS items with increased dispen</w:t>
            </w:r>
            <w:r w:rsidR="00536FBF" w:rsidRPr="009E19A2">
              <w:rPr>
                <w:rStyle w:val="s6"/>
                <w:rFonts w:asciiTheme="minorHAnsi" w:hAnsiTheme="minorHAnsi" w:cs="Arial"/>
                <w:sz w:val="24"/>
                <w:szCs w:val="24"/>
              </w:rPr>
              <w:t>sing quantities</w:t>
            </w:r>
            <w:r w:rsidR="00AA1D7C" w:rsidRPr="009E19A2">
              <w:rPr>
                <w:rStyle w:val="s6"/>
                <w:rFonts w:asciiTheme="minorHAnsi" w:hAnsiTheme="minorHAnsi" w:cs="Arial"/>
                <w:sz w:val="24"/>
                <w:szCs w:val="24"/>
              </w:rPr>
              <w:t xml:space="preserve"> (Proposal 2)</w:t>
            </w:r>
            <w:r w:rsidR="00536FBF" w:rsidRPr="009E19A2">
              <w:rPr>
                <w:rStyle w:val="s6"/>
                <w:rFonts w:asciiTheme="minorHAnsi" w:hAnsiTheme="minorHAnsi" w:cs="Arial"/>
                <w:sz w:val="24"/>
                <w:szCs w:val="24"/>
              </w:rPr>
              <w:t xml:space="preserve"> is available on the PBS website.</w:t>
            </w:r>
          </w:p>
          <w:p w14:paraId="001C5C16" w14:textId="77777777" w:rsidR="00000BDE" w:rsidRPr="009E19A2" w:rsidRDefault="00000BDE" w:rsidP="00000BDE">
            <w:pPr>
              <w:pStyle w:val="NormalWeb"/>
              <w:spacing w:before="0" w:beforeAutospacing="0" w:after="0" w:afterAutospacing="0" w:line="216" w:lineRule="atLeast"/>
              <w:rPr>
                <w:rFonts w:asciiTheme="minorHAnsi" w:hAnsiTheme="minorHAnsi" w:cs="Arial"/>
              </w:rPr>
            </w:pPr>
            <w:r w:rsidRPr="009E19A2">
              <w:rPr>
                <w:rFonts w:asciiTheme="minorHAnsi" w:hAnsiTheme="minorHAnsi" w:cs="Arial"/>
              </w:rPr>
              <w:t> </w:t>
            </w:r>
          </w:p>
          <w:p w14:paraId="5B055BA8" w14:textId="61BAEAEE" w:rsidR="00000BDE" w:rsidRPr="009E19A2" w:rsidRDefault="00000BDE" w:rsidP="0091372C">
            <w:pPr>
              <w:pStyle w:val="NormalWeb"/>
              <w:spacing w:before="0" w:beforeAutospacing="0" w:after="240" w:afterAutospacing="0" w:line="216" w:lineRule="atLeast"/>
              <w:rPr>
                <w:rFonts w:asciiTheme="minorHAnsi" w:hAnsiTheme="minorHAnsi" w:cs="Arial"/>
              </w:rPr>
            </w:pPr>
            <w:r w:rsidRPr="009E19A2">
              <w:rPr>
                <w:rStyle w:val="s15"/>
                <w:rFonts w:asciiTheme="minorHAnsi" w:hAnsiTheme="minorHAnsi" w:cs="Arial"/>
              </w:rPr>
              <w:t xml:space="preserve">The PBAC considered that the availability of PBS medicines </w:t>
            </w:r>
            <w:r w:rsidR="00536FBF" w:rsidRPr="009E19A2">
              <w:rPr>
                <w:rStyle w:val="s15"/>
                <w:rFonts w:asciiTheme="minorHAnsi" w:hAnsiTheme="minorHAnsi" w:cs="Arial"/>
              </w:rPr>
              <w:t>under Proposal 2 would allow c</w:t>
            </w:r>
            <w:r w:rsidRPr="009E19A2">
              <w:rPr>
                <w:rStyle w:val="s15"/>
                <w:rFonts w:asciiTheme="minorHAnsi" w:hAnsiTheme="minorHAnsi" w:cs="Arial"/>
              </w:rPr>
              <w:t xml:space="preserve">linicians </w:t>
            </w:r>
            <w:r w:rsidR="00536FBF" w:rsidRPr="009E19A2">
              <w:rPr>
                <w:rStyle w:val="s15"/>
                <w:rFonts w:asciiTheme="minorHAnsi" w:hAnsiTheme="minorHAnsi" w:cs="Arial"/>
              </w:rPr>
              <w:t>to</w:t>
            </w:r>
            <w:r w:rsidRPr="009E19A2">
              <w:rPr>
                <w:rStyle w:val="s15"/>
                <w:rFonts w:asciiTheme="minorHAnsi" w:hAnsiTheme="minorHAnsi" w:cs="Arial"/>
              </w:rPr>
              <w:t xml:space="preserve"> exercise greater choice</w:t>
            </w:r>
            <w:r w:rsidR="00536FBF" w:rsidRPr="009E19A2">
              <w:rPr>
                <w:rStyle w:val="s15"/>
                <w:rFonts w:asciiTheme="minorHAnsi" w:hAnsiTheme="minorHAnsi" w:cs="Arial"/>
              </w:rPr>
              <w:t xml:space="preserve"> and provide</w:t>
            </w:r>
            <w:r w:rsidRPr="009E19A2">
              <w:rPr>
                <w:rStyle w:val="s15"/>
                <w:rFonts w:asciiTheme="minorHAnsi" w:hAnsiTheme="minorHAnsi" w:cs="Arial"/>
              </w:rPr>
              <w:t> patients </w:t>
            </w:r>
            <w:r w:rsidRPr="009E19A2">
              <w:rPr>
                <w:rStyle w:val="s6"/>
                <w:rFonts w:asciiTheme="minorHAnsi" w:hAnsiTheme="minorHAnsi" w:cs="Arial"/>
              </w:rPr>
              <w:t>both financial and convenience benefits. The PBAC confirmed that recommendations for PBS items with the increased dispensed quantities would be in addition to the current PBS items with one months’ supply and five repeats for the corresponding medicine. This would ensure prescriber choice, such that smaller quantities could still be prescribed for patients as clinically appropriate. Thereby avoiding medicine wastage and supporting closer clinical monitoring of patients where required. </w:t>
            </w:r>
          </w:p>
          <w:p w14:paraId="6FEC4D8C" w14:textId="2F71D0ED" w:rsidR="00000BDE" w:rsidRPr="009E19A2" w:rsidRDefault="00000BDE" w:rsidP="0091372C">
            <w:pPr>
              <w:pStyle w:val="NormalWeb"/>
              <w:spacing w:before="0" w:beforeAutospacing="0" w:after="240" w:afterAutospacing="0" w:line="216" w:lineRule="atLeast"/>
              <w:rPr>
                <w:rFonts w:asciiTheme="minorHAnsi" w:hAnsiTheme="minorHAnsi" w:cs="Arial"/>
              </w:rPr>
            </w:pPr>
            <w:r w:rsidRPr="009E19A2">
              <w:rPr>
                <w:rFonts w:asciiTheme="minorHAnsi" w:hAnsiTheme="minorHAnsi" w:cs="Arial"/>
              </w:rPr>
              <w:t> </w:t>
            </w:r>
            <w:r w:rsidRPr="009E19A2">
              <w:rPr>
                <w:rStyle w:val="s6"/>
                <w:rFonts w:asciiTheme="minorHAnsi" w:hAnsiTheme="minorHAnsi" w:cs="Arial"/>
              </w:rPr>
              <w:t>In light of benefits to consumers, the PBAC also recommended that the new listings with increased dispensed quantities should replace the implemented 12 month repeat li</w:t>
            </w:r>
            <w:r w:rsidR="00AA1D7C" w:rsidRPr="009E19A2">
              <w:rPr>
                <w:rStyle w:val="s6"/>
                <w:rFonts w:asciiTheme="minorHAnsi" w:hAnsiTheme="minorHAnsi" w:cs="Arial"/>
              </w:rPr>
              <w:t>stings (equivalent to Proposal 1</w:t>
            </w:r>
            <w:r w:rsidRPr="009E19A2">
              <w:rPr>
                <w:rStyle w:val="s6"/>
                <w:rFonts w:asciiTheme="minorHAnsi" w:hAnsiTheme="minorHAnsi" w:cs="Arial"/>
              </w:rPr>
              <w:t>) for digestive enzymes, lipid lowering medicines, ulcerative colitis and ocular lubricants. These 12 month repeat PBS items that currently allow a dispensed quantity of approximately one month’s supply and 11 repeats are to be amended to allow double the quantity per dispensing (two months’ supply) but with only</w:t>
            </w:r>
            <w:r w:rsidR="00AA5277" w:rsidRPr="009E19A2">
              <w:rPr>
                <w:rStyle w:val="s6"/>
                <w:rFonts w:asciiTheme="minorHAnsi" w:hAnsiTheme="minorHAnsi" w:cs="Arial"/>
              </w:rPr>
              <w:t xml:space="preserve"> </w:t>
            </w:r>
            <w:r w:rsidRPr="009E19A2">
              <w:rPr>
                <w:rStyle w:val="s6"/>
                <w:rFonts w:asciiTheme="minorHAnsi" w:hAnsiTheme="minorHAnsi" w:cs="Arial"/>
              </w:rPr>
              <w:t>five repeats (ten repeats for digestive enzymes).</w:t>
            </w:r>
          </w:p>
          <w:p w14:paraId="4741FBA2" w14:textId="6E2A3B8E" w:rsidR="00000BDE" w:rsidRPr="009E19A2" w:rsidRDefault="00000BDE" w:rsidP="0091372C">
            <w:pPr>
              <w:pStyle w:val="NormalWeb"/>
              <w:spacing w:before="0" w:beforeAutospacing="0" w:after="240" w:afterAutospacing="0" w:line="216" w:lineRule="atLeast"/>
              <w:rPr>
                <w:rFonts w:asciiTheme="minorHAnsi" w:hAnsiTheme="minorHAnsi" w:cs="Arial"/>
              </w:rPr>
            </w:pPr>
            <w:r w:rsidRPr="009E19A2">
              <w:rPr>
                <w:rFonts w:asciiTheme="minorHAnsi" w:hAnsiTheme="minorHAnsi" w:cs="Arial"/>
              </w:rPr>
              <w:t> </w:t>
            </w:r>
            <w:r w:rsidRPr="009E19A2">
              <w:rPr>
                <w:rStyle w:val="s6"/>
                <w:rFonts w:asciiTheme="minorHAnsi" w:hAnsiTheme="minorHAnsi" w:cs="Arial"/>
              </w:rPr>
              <w:t xml:space="preserve">The PBAC recommended that the following standard criteria be included in the PBS restrictions for PBS medicines with increased dispensed quantities </w:t>
            </w:r>
            <w:r w:rsidRPr="009E19A2">
              <w:rPr>
                <w:rStyle w:val="s6"/>
                <w:rFonts w:asciiTheme="minorHAnsi" w:hAnsiTheme="minorHAnsi" w:cs="Arial"/>
              </w:rPr>
              <w:lastRenderedPageBreak/>
              <w:t>(Proposal 2):  </w:t>
            </w:r>
          </w:p>
          <w:p w14:paraId="676A3784" w14:textId="3CFB4BD4" w:rsidR="00000BDE" w:rsidRPr="009E19A2" w:rsidRDefault="00000BDE" w:rsidP="0091372C">
            <w:pPr>
              <w:pStyle w:val="s12"/>
              <w:spacing w:before="0" w:beforeAutospacing="0" w:after="0" w:afterAutospacing="0" w:line="216" w:lineRule="atLeast"/>
              <w:ind w:left="540"/>
              <w:rPr>
                <w:rStyle w:val="s9"/>
                <w:rFonts w:asciiTheme="minorHAnsi" w:hAnsiTheme="minorHAnsi" w:cs="Arial"/>
                <w:i/>
                <w:sz w:val="24"/>
                <w:szCs w:val="24"/>
              </w:rPr>
            </w:pPr>
            <w:r w:rsidRPr="009E19A2">
              <w:rPr>
                <w:rStyle w:val="s8"/>
                <w:rFonts w:asciiTheme="minorHAnsi" w:hAnsiTheme="minorHAnsi" w:cs="Arial"/>
                <w:sz w:val="24"/>
                <w:szCs w:val="24"/>
              </w:rPr>
              <w:t>• </w:t>
            </w:r>
            <w:r w:rsidRPr="009E19A2">
              <w:rPr>
                <w:rStyle w:val="s9"/>
                <w:rFonts w:asciiTheme="minorHAnsi" w:hAnsiTheme="minorHAnsi" w:cs="Arial"/>
                <w:sz w:val="24"/>
                <w:szCs w:val="24"/>
              </w:rPr>
              <w:t>Clinical criteria: </w:t>
            </w:r>
            <w:r w:rsidRPr="009E19A2">
              <w:rPr>
                <w:rStyle w:val="s9"/>
                <w:rFonts w:asciiTheme="minorHAnsi" w:hAnsiTheme="minorHAnsi" w:cs="Arial"/>
                <w:i/>
                <w:sz w:val="24"/>
                <w:szCs w:val="24"/>
              </w:rPr>
              <w:t>Patient must be stable and suitable for the increased Maximum Dispensed Quantity measure</w:t>
            </w:r>
          </w:p>
          <w:p w14:paraId="79FB8DCB" w14:textId="77777777" w:rsidR="00AA5277" w:rsidRPr="009E19A2" w:rsidRDefault="00AA5277" w:rsidP="00AA5277">
            <w:pPr>
              <w:ind w:left="680" w:hanging="113"/>
              <w:rPr>
                <w:rFonts w:asciiTheme="minorHAnsi" w:hAnsiTheme="minorHAnsi" w:cs="Arial"/>
                <w:sz w:val="24"/>
                <w:szCs w:val="24"/>
              </w:rPr>
            </w:pPr>
          </w:p>
          <w:p w14:paraId="70E0AC73" w14:textId="77777777" w:rsidR="00000BDE" w:rsidRPr="009E19A2" w:rsidRDefault="00000BDE" w:rsidP="00AA5277">
            <w:pPr>
              <w:ind w:left="680" w:hanging="113"/>
              <w:rPr>
                <w:rFonts w:asciiTheme="minorHAnsi" w:hAnsiTheme="minorHAnsi" w:cs="Arial"/>
                <w:i/>
                <w:sz w:val="24"/>
                <w:szCs w:val="24"/>
              </w:rPr>
            </w:pPr>
            <w:r w:rsidRPr="009E19A2">
              <w:rPr>
                <w:rStyle w:val="s8"/>
                <w:rFonts w:asciiTheme="minorHAnsi" w:hAnsiTheme="minorHAnsi" w:cs="Arial"/>
                <w:sz w:val="24"/>
                <w:szCs w:val="24"/>
              </w:rPr>
              <w:t>• </w:t>
            </w:r>
            <w:r w:rsidRPr="009E19A2">
              <w:rPr>
                <w:rStyle w:val="s9"/>
                <w:rFonts w:asciiTheme="minorHAnsi" w:hAnsiTheme="minorHAnsi" w:cs="Arial"/>
                <w:sz w:val="24"/>
                <w:szCs w:val="24"/>
              </w:rPr>
              <w:t>Administrative Advice: </w:t>
            </w:r>
            <w:r w:rsidRPr="009E19A2">
              <w:rPr>
                <w:rStyle w:val="s9"/>
                <w:rFonts w:asciiTheme="minorHAnsi" w:hAnsiTheme="minorHAnsi" w:cs="Arial"/>
                <w:i/>
                <w:sz w:val="24"/>
                <w:szCs w:val="24"/>
              </w:rPr>
              <w:t>No increase in the maximum quantity or number of units may be authorised.  No increase in the maximum number of repeats may be authorised.</w:t>
            </w:r>
          </w:p>
          <w:p w14:paraId="7644AE63" w14:textId="77777777" w:rsidR="00000BDE" w:rsidRPr="009E19A2" w:rsidRDefault="00000BDE" w:rsidP="00000BDE">
            <w:pPr>
              <w:pStyle w:val="s23"/>
              <w:spacing w:before="0" w:beforeAutospacing="0" w:after="0" w:afterAutospacing="0"/>
              <w:ind w:left="540"/>
              <w:rPr>
                <w:rFonts w:asciiTheme="minorHAnsi" w:hAnsiTheme="minorHAnsi" w:cs="Arial"/>
                <w:sz w:val="24"/>
                <w:szCs w:val="24"/>
              </w:rPr>
            </w:pPr>
            <w:r w:rsidRPr="009E19A2">
              <w:rPr>
                <w:rFonts w:asciiTheme="minorHAnsi" w:hAnsiTheme="minorHAnsi" w:cs="Arial"/>
                <w:sz w:val="24"/>
                <w:szCs w:val="24"/>
              </w:rPr>
              <w:t> </w:t>
            </w:r>
          </w:p>
          <w:p w14:paraId="43E2FA7C" w14:textId="51D23CB1" w:rsidR="00000BDE" w:rsidRPr="009E19A2" w:rsidRDefault="00000BDE" w:rsidP="00000BDE">
            <w:pPr>
              <w:pStyle w:val="NormalWeb"/>
              <w:spacing w:before="0" w:beforeAutospacing="0" w:after="0" w:afterAutospacing="0" w:line="216" w:lineRule="atLeast"/>
              <w:rPr>
                <w:rFonts w:asciiTheme="minorHAnsi" w:hAnsiTheme="minorHAnsi" w:cs="Arial"/>
              </w:rPr>
            </w:pPr>
            <w:r w:rsidRPr="009E19A2">
              <w:rPr>
                <w:rStyle w:val="s6"/>
                <w:rFonts w:asciiTheme="minorHAnsi" w:hAnsiTheme="minorHAnsi" w:cs="Arial"/>
              </w:rPr>
              <w:t>The PBAC recommended no changes to currently approved Prescribers that would be able to prescribe the increased dispensed quantities.</w:t>
            </w:r>
          </w:p>
          <w:p w14:paraId="75B03DE3" w14:textId="77777777" w:rsidR="00000BDE" w:rsidRPr="009E19A2" w:rsidRDefault="00000BDE" w:rsidP="00000BDE">
            <w:pPr>
              <w:pStyle w:val="NormalWeb"/>
              <w:spacing w:before="0" w:beforeAutospacing="0" w:after="0" w:afterAutospacing="0" w:line="216" w:lineRule="atLeast"/>
              <w:rPr>
                <w:rFonts w:asciiTheme="minorHAnsi" w:hAnsiTheme="minorHAnsi" w:cs="Arial"/>
              </w:rPr>
            </w:pPr>
            <w:r w:rsidRPr="009E19A2">
              <w:rPr>
                <w:rFonts w:asciiTheme="minorHAnsi" w:hAnsiTheme="minorHAnsi" w:cs="Arial"/>
              </w:rPr>
              <w:t> </w:t>
            </w:r>
          </w:p>
          <w:p w14:paraId="05431B50" w14:textId="2FE69FB3" w:rsidR="00000BDE" w:rsidRPr="009E19A2" w:rsidRDefault="00000BDE" w:rsidP="00000BDE">
            <w:pPr>
              <w:pStyle w:val="NormalWeb"/>
              <w:spacing w:before="0" w:beforeAutospacing="0" w:after="0" w:afterAutospacing="0" w:line="216" w:lineRule="atLeast"/>
              <w:rPr>
                <w:rFonts w:asciiTheme="minorHAnsi" w:hAnsiTheme="minorHAnsi" w:cs="Arial"/>
              </w:rPr>
            </w:pPr>
            <w:r w:rsidRPr="009E19A2">
              <w:rPr>
                <w:rStyle w:val="s6"/>
                <w:rFonts w:asciiTheme="minorHAnsi" w:hAnsiTheme="minorHAnsi" w:cs="Arial"/>
              </w:rPr>
              <w:t>The PBAC confirmed that the criteria developed to exclude medicines/medicine groups from the ‘12 month repeat prescription measure’</w:t>
            </w:r>
            <w:r w:rsidR="00AA5277" w:rsidRPr="009E19A2">
              <w:rPr>
                <w:rStyle w:val="s6"/>
                <w:rFonts w:asciiTheme="minorHAnsi" w:hAnsiTheme="minorHAnsi" w:cs="Arial"/>
              </w:rPr>
              <w:t xml:space="preserve"> </w:t>
            </w:r>
            <w:r w:rsidRPr="009E19A2">
              <w:rPr>
                <w:rStyle w:val="s6"/>
                <w:rFonts w:asciiTheme="minorHAnsi" w:hAnsiTheme="minorHAnsi" w:cs="Arial"/>
              </w:rPr>
              <w:t>for patients with chronic stable conditions (implemented in 2009) were also suitable to assess PBS medicines for exclusion from PBS listings with increased dispensed quantities.</w:t>
            </w:r>
          </w:p>
          <w:p w14:paraId="7A7B8AA0" w14:textId="77777777" w:rsidR="00000BDE" w:rsidRPr="009E19A2" w:rsidRDefault="00000BDE" w:rsidP="00000BDE">
            <w:pPr>
              <w:pStyle w:val="NormalWeb"/>
              <w:spacing w:before="0" w:beforeAutospacing="0" w:after="0" w:afterAutospacing="0" w:line="216" w:lineRule="atLeast"/>
              <w:rPr>
                <w:rFonts w:asciiTheme="minorHAnsi" w:hAnsiTheme="minorHAnsi" w:cs="Arial"/>
              </w:rPr>
            </w:pPr>
            <w:r w:rsidRPr="009E19A2">
              <w:rPr>
                <w:rFonts w:asciiTheme="minorHAnsi" w:hAnsiTheme="minorHAnsi" w:cs="Arial"/>
              </w:rPr>
              <w:t> </w:t>
            </w:r>
          </w:p>
          <w:p w14:paraId="70820FA9" w14:textId="77777777" w:rsidR="00000BDE" w:rsidRPr="009E19A2" w:rsidRDefault="00000BDE" w:rsidP="00000BDE">
            <w:pPr>
              <w:pStyle w:val="NormalWeb"/>
              <w:spacing w:before="0" w:beforeAutospacing="0" w:after="0" w:afterAutospacing="0" w:line="216" w:lineRule="atLeast"/>
              <w:rPr>
                <w:rFonts w:asciiTheme="minorHAnsi" w:hAnsiTheme="minorHAnsi" w:cs="Arial"/>
              </w:rPr>
            </w:pPr>
            <w:r w:rsidRPr="009E19A2">
              <w:rPr>
                <w:rStyle w:val="s6"/>
                <w:rFonts w:asciiTheme="minorHAnsi" w:hAnsiTheme="minorHAnsi" w:cs="Arial"/>
              </w:rPr>
              <w:t>The PBAC requested that the Department seek further advice from clinical expert groups on the suitability of some medicines for listing with increased dispensed quantities. The PBAC should have an opportunity to reconsider these medicines along with the clinical advice.</w:t>
            </w:r>
          </w:p>
          <w:p w14:paraId="6023A454" w14:textId="0CDB6E7C" w:rsidR="004452C8" w:rsidRPr="009E19A2" w:rsidRDefault="00000BDE" w:rsidP="00AA1D7C">
            <w:pPr>
              <w:pStyle w:val="NormalWeb"/>
              <w:spacing w:before="0" w:beforeAutospacing="0" w:after="0" w:afterAutospacing="0" w:line="216" w:lineRule="atLeast"/>
              <w:rPr>
                <w:rFonts w:asciiTheme="minorHAnsi" w:hAnsiTheme="minorHAnsi" w:cs="Arial"/>
              </w:rPr>
            </w:pPr>
            <w:r w:rsidRPr="009E19A2">
              <w:rPr>
                <w:rFonts w:asciiTheme="minorHAnsi" w:hAnsiTheme="minorHAnsi" w:cs="Arial"/>
              </w:rPr>
              <w:t> </w:t>
            </w:r>
          </w:p>
        </w:tc>
      </w:tr>
    </w:tbl>
    <w:p w14:paraId="65B6BE4F" w14:textId="77777777" w:rsidR="00660CAF" w:rsidRPr="00AA5277" w:rsidRDefault="00660CAF" w:rsidP="00E83BA0">
      <w:pPr>
        <w:pStyle w:val="Default"/>
        <w:rPr>
          <w:rFonts w:ascii="Arial" w:hAnsi="Arial" w:cs="Arial"/>
          <w:sz w:val="20"/>
          <w:szCs w:val="20"/>
          <w:lang w:val="en-US"/>
        </w:rPr>
      </w:pPr>
    </w:p>
    <w:sectPr w:rsidR="00660CAF" w:rsidRPr="00AA5277" w:rsidSect="00257615">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720" w:right="720" w:bottom="720" w:left="720" w:header="720" w:footer="720"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0B60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05B94" w14:textId="77777777" w:rsidR="00533936" w:rsidRDefault="00533936">
      <w:r>
        <w:separator/>
      </w:r>
    </w:p>
  </w:endnote>
  <w:endnote w:type="continuationSeparator" w:id="0">
    <w:p w14:paraId="777B7F4D" w14:textId="77777777" w:rsidR="00533936" w:rsidRDefault="0053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altName w:val="Arial"/>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B2374" w14:textId="77777777" w:rsidR="00CB41EA" w:rsidRDefault="00CB4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091E0" w14:textId="77777777" w:rsidR="00CB41EA" w:rsidRDefault="00CB41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85854" w14:textId="77777777" w:rsidR="00CB41EA" w:rsidRDefault="00CB4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71990" w14:textId="77777777" w:rsidR="00533936" w:rsidRDefault="00533936">
      <w:r>
        <w:separator/>
      </w:r>
    </w:p>
  </w:footnote>
  <w:footnote w:type="continuationSeparator" w:id="0">
    <w:p w14:paraId="0D36AEA0" w14:textId="77777777" w:rsidR="00533936" w:rsidRDefault="00533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C197B" w14:textId="77777777" w:rsidR="00CB41EA" w:rsidRDefault="00CB4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04F30" w14:textId="70B8F27D" w:rsidR="00291B47" w:rsidRDefault="00291B47" w:rsidP="00291B47">
    <w:pPr>
      <w:pStyle w:val="Header"/>
      <w:jc w:val="center"/>
      <w:rPr>
        <w:rFonts w:ascii="Arial" w:hAnsi="Arial" w:cs="Arial"/>
        <w:b/>
      </w:rPr>
    </w:pPr>
    <w:r>
      <w:rPr>
        <w:rFonts w:ascii="Arial" w:hAnsi="Arial" w:cs="Arial"/>
        <w:b/>
      </w:rPr>
      <w:t xml:space="preserve">AUGUST 2018 </w:t>
    </w:r>
    <w:r w:rsidRPr="0071356F">
      <w:rPr>
        <w:rFonts w:ascii="Arial" w:hAnsi="Arial" w:cs="Arial"/>
        <w:b/>
      </w:rPr>
      <w:t>PBAC OUTCOMES –</w:t>
    </w:r>
    <w:r>
      <w:rPr>
        <w:rFonts w:ascii="Arial" w:hAnsi="Arial" w:cs="Arial"/>
        <w:b/>
      </w:rPr>
      <w:t xml:space="preserve"> OTHER MATTERS</w:t>
    </w:r>
  </w:p>
  <w:p w14:paraId="5839CB43" w14:textId="0062FE0D" w:rsidR="00291B47" w:rsidRDefault="00291B47">
    <w:pPr>
      <w:pStyle w:val="Header"/>
    </w:pPr>
  </w:p>
  <w:p w14:paraId="1D7B5169" w14:textId="77777777" w:rsidR="005C2EE4" w:rsidRPr="00A86729" w:rsidRDefault="005C2EE4" w:rsidP="00A867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6FD74" w14:textId="77777777" w:rsidR="00CB41EA" w:rsidRDefault="00CB41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15302"/>
    <w:multiLevelType w:val="hybridMultilevel"/>
    <w:tmpl w:val="4E6867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3DE65788"/>
    <w:multiLevelType w:val="hybridMultilevel"/>
    <w:tmpl w:val="D5141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9DA1ECD"/>
    <w:multiLevelType w:val="hybridMultilevel"/>
    <w:tmpl w:val="80CA4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84D033C"/>
    <w:multiLevelType w:val="multilevel"/>
    <w:tmpl w:val="08E6B30C"/>
    <w:lvl w:ilvl="0">
      <w:start w:val="1"/>
      <w:numFmt w:val="decimal"/>
      <w:lvlText w:val="%1"/>
      <w:lvlJc w:val="left"/>
      <w:pPr>
        <w:ind w:left="720" w:hanging="720"/>
      </w:pPr>
      <w:rPr>
        <w:rFonts w:hint="default"/>
        <w:b/>
      </w:rPr>
    </w:lvl>
    <w:lvl w:ilvl="1">
      <w:start w:val="13"/>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BDE"/>
    <w:rsid w:val="00000C2B"/>
    <w:rsid w:val="0000162D"/>
    <w:rsid w:val="00001A07"/>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5A"/>
    <w:rsid w:val="00010886"/>
    <w:rsid w:val="00010920"/>
    <w:rsid w:val="0001152D"/>
    <w:rsid w:val="00011849"/>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17DE3"/>
    <w:rsid w:val="00020745"/>
    <w:rsid w:val="00021827"/>
    <w:rsid w:val="00022361"/>
    <w:rsid w:val="000223D3"/>
    <w:rsid w:val="00022435"/>
    <w:rsid w:val="00022686"/>
    <w:rsid w:val="000228B1"/>
    <w:rsid w:val="00022BF5"/>
    <w:rsid w:val="0002300F"/>
    <w:rsid w:val="0002305C"/>
    <w:rsid w:val="00023228"/>
    <w:rsid w:val="00023817"/>
    <w:rsid w:val="0002401C"/>
    <w:rsid w:val="00024248"/>
    <w:rsid w:val="00024311"/>
    <w:rsid w:val="000245BC"/>
    <w:rsid w:val="0002470A"/>
    <w:rsid w:val="0002564D"/>
    <w:rsid w:val="00025967"/>
    <w:rsid w:val="00025F56"/>
    <w:rsid w:val="0002716D"/>
    <w:rsid w:val="00027346"/>
    <w:rsid w:val="00030320"/>
    <w:rsid w:val="00031946"/>
    <w:rsid w:val="000322EC"/>
    <w:rsid w:val="00032948"/>
    <w:rsid w:val="00032AB9"/>
    <w:rsid w:val="00033D0B"/>
    <w:rsid w:val="00034086"/>
    <w:rsid w:val="00034121"/>
    <w:rsid w:val="000350A9"/>
    <w:rsid w:val="00035472"/>
    <w:rsid w:val="00035FE8"/>
    <w:rsid w:val="000365B0"/>
    <w:rsid w:val="00036CF7"/>
    <w:rsid w:val="00036FA6"/>
    <w:rsid w:val="00037F52"/>
    <w:rsid w:val="0004019D"/>
    <w:rsid w:val="000407E0"/>
    <w:rsid w:val="00041467"/>
    <w:rsid w:val="0004160D"/>
    <w:rsid w:val="00041F3D"/>
    <w:rsid w:val="00042593"/>
    <w:rsid w:val="00042EC6"/>
    <w:rsid w:val="00043035"/>
    <w:rsid w:val="00043C1D"/>
    <w:rsid w:val="00044146"/>
    <w:rsid w:val="00044BB4"/>
    <w:rsid w:val="00046725"/>
    <w:rsid w:val="000468C0"/>
    <w:rsid w:val="00046DA2"/>
    <w:rsid w:val="00050762"/>
    <w:rsid w:val="000507B9"/>
    <w:rsid w:val="00051AF5"/>
    <w:rsid w:val="00053DE7"/>
    <w:rsid w:val="000560E2"/>
    <w:rsid w:val="0005661F"/>
    <w:rsid w:val="00057006"/>
    <w:rsid w:val="000575B4"/>
    <w:rsid w:val="000601EA"/>
    <w:rsid w:val="000603CB"/>
    <w:rsid w:val="0006084C"/>
    <w:rsid w:val="000608FE"/>
    <w:rsid w:val="000615B0"/>
    <w:rsid w:val="00061E01"/>
    <w:rsid w:val="0006239E"/>
    <w:rsid w:val="0006295A"/>
    <w:rsid w:val="000643D0"/>
    <w:rsid w:val="00065195"/>
    <w:rsid w:val="00065E6F"/>
    <w:rsid w:val="000672D3"/>
    <w:rsid w:val="0006744F"/>
    <w:rsid w:val="00067A06"/>
    <w:rsid w:val="00067E91"/>
    <w:rsid w:val="00070204"/>
    <w:rsid w:val="00070612"/>
    <w:rsid w:val="000714CE"/>
    <w:rsid w:val="00071ABC"/>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30"/>
    <w:rsid w:val="00090385"/>
    <w:rsid w:val="00090D21"/>
    <w:rsid w:val="00090F42"/>
    <w:rsid w:val="00091262"/>
    <w:rsid w:val="00092276"/>
    <w:rsid w:val="00092523"/>
    <w:rsid w:val="00093960"/>
    <w:rsid w:val="0009470A"/>
    <w:rsid w:val="00095C30"/>
    <w:rsid w:val="00096161"/>
    <w:rsid w:val="00096B9F"/>
    <w:rsid w:val="00096E39"/>
    <w:rsid w:val="000972AC"/>
    <w:rsid w:val="00097C0E"/>
    <w:rsid w:val="00097ED4"/>
    <w:rsid w:val="00097FBD"/>
    <w:rsid w:val="000A0AE1"/>
    <w:rsid w:val="000A0FD7"/>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3E3"/>
    <w:rsid w:val="000C1BA1"/>
    <w:rsid w:val="000C219D"/>
    <w:rsid w:val="000C22B0"/>
    <w:rsid w:val="000C2786"/>
    <w:rsid w:val="000C3369"/>
    <w:rsid w:val="000C3CAA"/>
    <w:rsid w:val="000C45E3"/>
    <w:rsid w:val="000C4C04"/>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76D"/>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0F7649"/>
    <w:rsid w:val="001000EA"/>
    <w:rsid w:val="00100294"/>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21F"/>
    <w:rsid w:val="00115629"/>
    <w:rsid w:val="001158B6"/>
    <w:rsid w:val="00115B67"/>
    <w:rsid w:val="001171CB"/>
    <w:rsid w:val="00117210"/>
    <w:rsid w:val="0011744C"/>
    <w:rsid w:val="00117FBB"/>
    <w:rsid w:val="00120FAC"/>
    <w:rsid w:val="00121311"/>
    <w:rsid w:val="00121A8E"/>
    <w:rsid w:val="00121BF6"/>
    <w:rsid w:val="0012325F"/>
    <w:rsid w:val="00124D80"/>
    <w:rsid w:val="00126104"/>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31E"/>
    <w:rsid w:val="00136B3F"/>
    <w:rsid w:val="00136DF8"/>
    <w:rsid w:val="0013745F"/>
    <w:rsid w:val="00137894"/>
    <w:rsid w:val="00137CB8"/>
    <w:rsid w:val="00140035"/>
    <w:rsid w:val="00140465"/>
    <w:rsid w:val="00140E09"/>
    <w:rsid w:val="0014101A"/>
    <w:rsid w:val="0014142D"/>
    <w:rsid w:val="0014148A"/>
    <w:rsid w:val="00141FEB"/>
    <w:rsid w:val="0014274E"/>
    <w:rsid w:val="00142EED"/>
    <w:rsid w:val="00143743"/>
    <w:rsid w:val="001437D5"/>
    <w:rsid w:val="00143E66"/>
    <w:rsid w:val="001440CC"/>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2E5A"/>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1B0"/>
    <w:rsid w:val="0017449B"/>
    <w:rsid w:val="00174944"/>
    <w:rsid w:val="00175139"/>
    <w:rsid w:val="00175BA1"/>
    <w:rsid w:val="00175D26"/>
    <w:rsid w:val="00176067"/>
    <w:rsid w:val="00176645"/>
    <w:rsid w:val="001766A8"/>
    <w:rsid w:val="0017687A"/>
    <w:rsid w:val="001772D4"/>
    <w:rsid w:val="0017743E"/>
    <w:rsid w:val="00177845"/>
    <w:rsid w:val="001806A2"/>
    <w:rsid w:val="001810C8"/>
    <w:rsid w:val="001812AE"/>
    <w:rsid w:val="00182666"/>
    <w:rsid w:val="00182E45"/>
    <w:rsid w:val="00183DEE"/>
    <w:rsid w:val="00184E8A"/>
    <w:rsid w:val="0018519A"/>
    <w:rsid w:val="00190B9C"/>
    <w:rsid w:val="00190D52"/>
    <w:rsid w:val="00191157"/>
    <w:rsid w:val="0019138B"/>
    <w:rsid w:val="001919D3"/>
    <w:rsid w:val="001925E9"/>
    <w:rsid w:val="00192900"/>
    <w:rsid w:val="00193C35"/>
    <w:rsid w:val="0019441C"/>
    <w:rsid w:val="001950D9"/>
    <w:rsid w:val="00195379"/>
    <w:rsid w:val="00196144"/>
    <w:rsid w:val="001971B1"/>
    <w:rsid w:val="001971EA"/>
    <w:rsid w:val="00197975"/>
    <w:rsid w:val="001A08BC"/>
    <w:rsid w:val="001A0DC8"/>
    <w:rsid w:val="001A14F5"/>
    <w:rsid w:val="001A1777"/>
    <w:rsid w:val="001A1A8A"/>
    <w:rsid w:val="001A2649"/>
    <w:rsid w:val="001A307D"/>
    <w:rsid w:val="001A3986"/>
    <w:rsid w:val="001A3E19"/>
    <w:rsid w:val="001A4242"/>
    <w:rsid w:val="001A48FD"/>
    <w:rsid w:val="001A51F4"/>
    <w:rsid w:val="001A579F"/>
    <w:rsid w:val="001A6DEF"/>
    <w:rsid w:val="001A7A6A"/>
    <w:rsid w:val="001B049D"/>
    <w:rsid w:val="001B04E4"/>
    <w:rsid w:val="001B0553"/>
    <w:rsid w:val="001B0636"/>
    <w:rsid w:val="001B1577"/>
    <w:rsid w:val="001B16C3"/>
    <w:rsid w:val="001B1838"/>
    <w:rsid w:val="001B1A01"/>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C7569"/>
    <w:rsid w:val="001D0229"/>
    <w:rsid w:val="001D028A"/>
    <w:rsid w:val="001D0868"/>
    <w:rsid w:val="001D1636"/>
    <w:rsid w:val="001D181F"/>
    <w:rsid w:val="001D2755"/>
    <w:rsid w:val="001D2F4D"/>
    <w:rsid w:val="001D39E8"/>
    <w:rsid w:val="001D4075"/>
    <w:rsid w:val="001D5794"/>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B5E"/>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B6C"/>
    <w:rsid w:val="002060A5"/>
    <w:rsid w:val="00206459"/>
    <w:rsid w:val="002068F5"/>
    <w:rsid w:val="002070E4"/>
    <w:rsid w:val="0020721C"/>
    <w:rsid w:val="002072C3"/>
    <w:rsid w:val="00207813"/>
    <w:rsid w:val="0020790A"/>
    <w:rsid w:val="00207A2B"/>
    <w:rsid w:val="00207E86"/>
    <w:rsid w:val="00210594"/>
    <w:rsid w:val="00210F65"/>
    <w:rsid w:val="00212939"/>
    <w:rsid w:val="00212B8B"/>
    <w:rsid w:val="00212F67"/>
    <w:rsid w:val="0021371C"/>
    <w:rsid w:val="002139E7"/>
    <w:rsid w:val="002144A1"/>
    <w:rsid w:val="002147A6"/>
    <w:rsid w:val="00214D4B"/>
    <w:rsid w:val="00215739"/>
    <w:rsid w:val="002157B5"/>
    <w:rsid w:val="00215E5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2DA4"/>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0B3"/>
    <w:rsid w:val="00246A8F"/>
    <w:rsid w:val="0024727D"/>
    <w:rsid w:val="00250912"/>
    <w:rsid w:val="00250DBA"/>
    <w:rsid w:val="00251087"/>
    <w:rsid w:val="00251294"/>
    <w:rsid w:val="00251AD5"/>
    <w:rsid w:val="002523E5"/>
    <w:rsid w:val="00252C2E"/>
    <w:rsid w:val="00253058"/>
    <w:rsid w:val="00253764"/>
    <w:rsid w:val="002550D8"/>
    <w:rsid w:val="00256078"/>
    <w:rsid w:val="002564FB"/>
    <w:rsid w:val="002567D8"/>
    <w:rsid w:val="00257615"/>
    <w:rsid w:val="0026049B"/>
    <w:rsid w:val="00260EFA"/>
    <w:rsid w:val="00261377"/>
    <w:rsid w:val="00261EFF"/>
    <w:rsid w:val="00262160"/>
    <w:rsid w:val="00262814"/>
    <w:rsid w:val="002629E0"/>
    <w:rsid w:val="00262E2E"/>
    <w:rsid w:val="00263457"/>
    <w:rsid w:val="00263EF4"/>
    <w:rsid w:val="00264A64"/>
    <w:rsid w:val="00264B9F"/>
    <w:rsid w:val="00265FE9"/>
    <w:rsid w:val="0026773E"/>
    <w:rsid w:val="00270013"/>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6D6"/>
    <w:rsid w:val="00282CDE"/>
    <w:rsid w:val="00283073"/>
    <w:rsid w:val="0028348A"/>
    <w:rsid w:val="00285478"/>
    <w:rsid w:val="0028663C"/>
    <w:rsid w:val="00287C89"/>
    <w:rsid w:val="002905B5"/>
    <w:rsid w:val="002911D8"/>
    <w:rsid w:val="00291B47"/>
    <w:rsid w:val="002931F6"/>
    <w:rsid w:val="00293203"/>
    <w:rsid w:val="0029329A"/>
    <w:rsid w:val="00293685"/>
    <w:rsid w:val="00293A15"/>
    <w:rsid w:val="00293D54"/>
    <w:rsid w:val="00295693"/>
    <w:rsid w:val="002960C3"/>
    <w:rsid w:val="002969C0"/>
    <w:rsid w:val="002972D4"/>
    <w:rsid w:val="00297AEF"/>
    <w:rsid w:val="00297F02"/>
    <w:rsid w:val="002A06E1"/>
    <w:rsid w:val="002A0B4A"/>
    <w:rsid w:val="002A21E8"/>
    <w:rsid w:val="002A3220"/>
    <w:rsid w:val="002A3596"/>
    <w:rsid w:val="002A3AA9"/>
    <w:rsid w:val="002A3BB3"/>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5D1"/>
    <w:rsid w:val="002B5625"/>
    <w:rsid w:val="002B5F9C"/>
    <w:rsid w:val="002B6147"/>
    <w:rsid w:val="002B7497"/>
    <w:rsid w:val="002C0170"/>
    <w:rsid w:val="002C0E18"/>
    <w:rsid w:val="002C2427"/>
    <w:rsid w:val="002C269E"/>
    <w:rsid w:val="002C2773"/>
    <w:rsid w:val="002C2A4F"/>
    <w:rsid w:val="002C3502"/>
    <w:rsid w:val="002C397B"/>
    <w:rsid w:val="002C3BA0"/>
    <w:rsid w:val="002C436C"/>
    <w:rsid w:val="002C47C4"/>
    <w:rsid w:val="002C52A2"/>
    <w:rsid w:val="002C6E41"/>
    <w:rsid w:val="002C748E"/>
    <w:rsid w:val="002C7D3C"/>
    <w:rsid w:val="002D0DDF"/>
    <w:rsid w:val="002D17A5"/>
    <w:rsid w:val="002D1AC7"/>
    <w:rsid w:val="002D347E"/>
    <w:rsid w:val="002D3547"/>
    <w:rsid w:val="002D3D17"/>
    <w:rsid w:val="002D42A0"/>
    <w:rsid w:val="002D440D"/>
    <w:rsid w:val="002D44F4"/>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0F2"/>
    <w:rsid w:val="002F0461"/>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2F7679"/>
    <w:rsid w:val="00300450"/>
    <w:rsid w:val="003005AA"/>
    <w:rsid w:val="00300EA5"/>
    <w:rsid w:val="00301D68"/>
    <w:rsid w:val="003022B8"/>
    <w:rsid w:val="003023C4"/>
    <w:rsid w:val="003023EB"/>
    <w:rsid w:val="003026B9"/>
    <w:rsid w:val="00302C73"/>
    <w:rsid w:val="003035B2"/>
    <w:rsid w:val="00303733"/>
    <w:rsid w:val="00303A2F"/>
    <w:rsid w:val="00303BEB"/>
    <w:rsid w:val="00303C94"/>
    <w:rsid w:val="00304BF7"/>
    <w:rsid w:val="00304FE8"/>
    <w:rsid w:val="0030527B"/>
    <w:rsid w:val="00305FA4"/>
    <w:rsid w:val="00310992"/>
    <w:rsid w:val="00311387"/>
    <w:rsid w:val="0031153B"/>
    <w:rsid w:val="00311EEA"/>
    <w:rsid w:val="0031351E"/>
    <w:rsid w:val="00313537"/>
    <w:rsid w:val="003135CD"/>
    <w:rsid w:val="0031372F"/>
    <w:rsid w:val="00313C59"/>
    <w:rsid w:val="00314373"/>
    <w:rsid w:val="00314425"/>
    <w:rsid w:val="003146EE"/>
    <w:rsid w:val="003153EA"/>
    <w:rsid w:val="00316745"/>
    <w:rsid w:val="00317E97"/>
    <w:rsid w:val="00320015"/>
    <w:rsid w:val="00320263"/>
    <w:rsid w:val="003209C7"/>
    <w:rsid w:val="00320AB2"/>
    <w:rsid w:val="003225D5"/>
    <w:rsid w:val="0032271E"/>
    <w:rsid w:val="003229A0"/>
    <w:rsid w:val="003232F1"/>
    <w:rsid w:val="0032378E"/>
    <w:rsid w:val="00323C12"/>
    <w:rsid w:val="00323D04"/>
    <w:rsid w:val="003243CB"/>
    <w:rsid w:val="003245FB"/>
    <w:rsid w:val="00324614"/>
    <w:rsid w:val="003250E2"/>
    <w:rsid w:val="0032569E"/>
    <w:rsid w:val="00326522"/>
    <w:rsid w:val="00326E9B"/>
    <w:rsid w:val="003270BF"/>
    <w:rsid w:val="00327A0C"/>
    <w:rsid w:val="003301A3"/>
    <w:rsid w:val="00330353"/>
    <w:rsid w:val="0033063D"/>
    <w:rsid w:val="00331DCA"/>
    <w:rsid w:val="00332129"/>
    <w:rsid w:val="0033322F"/>
    <w:rsid w:val="00334912"/>
    <w:rsid w:val="00334C52"/>
    <w:rsid w:val="00335779"/>
    <w:rsid w:val="00336FF2"/>
    <w:rsid w:val="003376B5"/>
    <w:rsid w:val="003376DF"/>
    <w:rsid w:val="003402DF"/>
    <w:rsid w:val="00340D16"/>
    <w:rsid w:val="00340EB5"/>
    <w:rsid w:val="00340F03"/>
    <w:rsid w:val="00341361"/>
    <w:rsid w:val="00343D26"/>
    <w:rsid w:val="00343D77"/>
    <w:rsid w:val="003444EC"/>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5A3"/>
    <w:rsid w:val="003548D7"/>
    <w:rsid w:val="003548F0"/>
    <w:rsid w:val="00354D94"/>
    <w:rsid w:val="003550C7"/>
    <w:rsid w:val="00355713"/>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023C"/>
    <w:rsid w:val="00380FA2"/>
    <w:rsid w:val="0038152C"/>
    <w:rsid w:val="00381DCB"/>
    <w:rsid w:val="00381F87"/>
    <w:rsid w:val="00383FF3"/>
    <w:rsid w:val="00384485"/>
    <w:rsid w:val="00384833"/>
    <w:rsid w:val="00384B1C"/>
    <w:rsid w:val="00384EA5"/>
    <w:rsid w:val="0038505C"/>
    <w:rsid w:val="00385BBE"/>
    <w:rsid w:val="00385D5C"/>
    <w:rsid w:val="00386843"/>
    <w:rsid w:val="00386C0B"/>
    <w:rsid w:val="00386C4E"/>
    <w:rsid w:val="00386E5D"/>
    <w:rsid w:val="00387E97"/>
    <w:rsid w:val="003902C1"/>
    <w:rsid w:val="00390919"/>
    <w:rsid w:val="00390A7C"/>
    <w:rsid w:val="00390A91"/>
    <w:rsid w:val="00390AFB"/>
    <w:rsid w:val="0039142B"/>
    <w:rsid w:val="00391A35"/>
    <w:rsid w:val="00391E07"/>
    <w:rsid w:val="00392333"/>
    <w:rsid w:val="00393110"/>
    <w:rsid w:val="00393B9A"/>
    <w:rsid w:val="00393DD4"/>
    <w:rsid w:val="003946AC"/>
    <w:rsid w:val="0039494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6C16"/>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5777"/>
    <w:rsid w:val="003C66C3"/>
    <w:rsid w:val="003C6BDE"/>
    <w:rsid w:val="003C6F87"/>
    <w:rsid w:val="003C75BD"/>
    <w:rsid w:val="003C7E0E"/>
    <w:rsid w:val="003D0802"/>
    <w:rsid w:val="003D098A"/>
    <w:rsid w:val="003D0B7A"/>
    <w:rsid w:val="003D17E4"/>
    <w:rsid w:val="003D1A6C"/>
    <w:rsid w:val="003D1AEC"/>
    <w:rsid w:val="003D23D5"/>
    <w:rsid w:val="003D3CD1"/>
    <w:rsid w:val="003D489A"/>
    <w:rsid w:val="003D4EA6"/>
    <w:rsid w:val="003D56EB"/>
    <w:rsid w:val="003D5944"/>
    <w:rsid w:val="003D5D05"/>
    <w:rsid w:val="003D5E2E"/>
    <w:rsid w:val="003D5ECA"/>
    <w:rsid w:val="003D5FB6"/>
    <w:rsid w:val="003D6CBF"/>
    <w:rsid w:val="003D72CC"/>
    <w:rsid w:val="003D7D05"/>
    <w:rsid w:val="003E03C3"/>
    <w:rsid w:val="003E067B"/>
    <w:rsid w:val="003E08D8"/>
    <w:rsid w:val="003E11A4"/>
    <w:rsid w:val="003E19A4"/>
    <w:rsid w:val="003E1AD1"/>
    <w:rsid w:val="003E236D"/>
    <w:rsid w:val="003E2E8C"/>
    <w:rsid w:val="003E3009"/>
    <w:rsid w:val="003E308A"/>
    <w:rsid w:val="003E3094"/>
    <w:rsid w:val="003E367A"/>
    <w:rsid w:val="003E37A4"/>
    <w:rsid w:val="003E4136"/>
    <w:rsid w:val="003E4E45"/>
    <w:rsid w:val="003E5418"/>
    <w:rsid w:val="003E61CB"/>
    <w:rsid w:val="003E63FE"/>
    <w:rsid w:val="003E7AFC"/>
    <w:rsid w:val="003E7C04"/>
    <w:rsid w:val="003E7FDA"/>
    <w:rsid w:val="003F01F7"/>
    <w:rsid w:val="003F0570"/>
    <w:rsid w:val="003F0D15"/>
    <w:rsid w:val="003F1283"/>
    <w:rsid w:val="003F13F6"/>
    <w:rsid w:val="003F174E"/>
    <w:rsid w:val="003F1BB0"/>
    <w:rsid w:val="003F1F13"/>
    <w:rsid w:val="003F2DAF"/>
    <w:rsid w:val="003F2ED2"/>
    <w:rsid w:val="003F3772"/>
    <w:rsid w:val="003F3ED2"/>
    <w:rsid w:val="003F4627"/>
    <w:rsid w:val="003F4ABA"/>
    <w:rsid w:val="003F53B6"/>
    <w:rsid w:val="003F54CA"/>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760"/>
    <w:rsid w:val="00413BE9"/>
    <w:rsid w:val="00413E03"/>
    <w:rsid w:val="00414E73"/>
    <w:rsid w:val="00415367"/>
    <w:rsid w:val="004161C2"/>
    <w:rsid w:val="00416613"/>
    <w:rsid w:val="004170A6"/>
    <w:rsid w:val="004176BC"/>
    <w:rsid w:val="004177A1"/>
    <w:rsid w:val="00417CB0"/>
    <w:rsid w:val="00417FB8"/>
    <w:rsid w:val="00420584"/>
    <w:rsid w:val="00421048"/>
    <w:rsid w:val="00422A93"/>
    <w:rsid w:val="00422BB1"/>
    <w:rsid w:val="00424210"/>
    <w:rsid w:val="00424D21"/>
    <w:rsid w:val="00424F3C"/>
    <w:rsid w:val="00425C24"/>
    <w:rsid w:val="004273BF"/>
    <w:rsid w:val="004311FF"/>
    <w:rsid w:val="004314B6"/>
    <w:rsid w:val="0043191D"/>
    <w:rsid w:val="00432447"/>
    <w:rsid w:val="00432D97"/>
    <w:rsid w:val="00432F21"/>
    <w:rsid w:val="004349D9"/>
    <w:rsid w:val="0043544F"/>
    <w:rsid w:val="004362C0"/>
    <w:rsid w:val="00436425"/>
    <w:rsid w:val="004364E6"/>
    <w:rsid w:val="0043678B"/>
    <w:rsid w:val="00436B27"/>
    <w:rsid w:val="0043712E"/>
    <w:rsid w:val="004400BC"/>
    <w:rsid w:val="004412E8"/>
    <w:rsid w:val="00441947"/>
    <w:rsid w:val="00443331"/>
    <w:rsid w:val="004433E7"/>
    <w:rsid w:val="00443561"/>
    <w:rsid w:val="00443591"/>
    <w:rsid w:val="0044501E"/>
    <w:rsid w:val="004452C8"/>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612"/>
    <w:rsid w:val="00453DB2"/>
    <w:rsid w:val="00453F45"/>
    <w:rsid w:val="00454D4D"/>
    <w:rsid w:val="00454F1D"/>
    <w:rsid w:val="00455817"/>
    <w:rsid w:val="00455982"/>
    <w:rsid w:val="00455AE4"/>
    <w:rsid w:val="00457034"/>
    <w:rsid w:val="00457BAA"/>
    <w:rsid w:val="0046003D"/>
    <w:rsid w:val="00460981"/>
    <w:rsid w:val="004609DE"/>
    <w:rsid w:val="00461DC0"/>
    <w:rsid w:val="004628F0"/>
    <w:rsid w:val="00462D54"/>
    <w:rsid w:val="00462D63"/>
    <w:rsid w:val="00462ED7"/>
    <w:rsid w:val="00463886"/>
    <w:rsid w:val="00463E8A"/>
    <w:rsid w:val="00464947"/>
    <w:rsid w:val="00464F36"/>
    <w:rsid w:val="0046568B"/>
    <w:rsid w:val="00466121"/>
    <w:rsid w:val="00466912"/>
    <w:rsid w:val="00467686"/>
    <w:rsid w:val="00467792"/>
    <w:rsid w:val="004679AB"/>
    <w:rsid w:val="00467F80"/>
    <w:rsid w:val="00471665"/>
    <w:rsid w:val="0047195F"/>
    <w:rsid w:val="00471A9E"/>
    <w:rsid w:val="00471B86"/>
    <w:rsid w:val="00472227"/>
    <w:rsid w:val="00472E9C"/>
    <w:rsid w:val="004732E6"/>
    <w:rsid w:val="00474927"/>
    <w:rsid w:val="00474FBE"/>
    <w:rsid w:val="0047540F"/>
    <w:rsid w:val="004772FF"/>
    <w:rsid w:val="00477F1F"/>
    <w:rsid w:val="0048048A"/>
    <w:rsid w:val="00481705"/>
    <w:rsid w:val="00481966"/>
    <w:rsid w:val="00482254"/>
    <w:rsid w:val="00482313"/>
    <w:rsid w:val="004823C6"/>
    <w:rsid w:val="00482938"/>
    <w:rsid w:val="00482EC2"/>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236"/>
    <w:rsid w:val="004A3391"/>
    <w:rsid w:val="004A3C39"/>
    <w:rsid w:val="004A3FAE"/>
    <w:rsid w:val="004A4291"/>
    <w:rsid w:val="004A4D02"/>
    <w:rsid w:val="004A4F2D"/>
    <w:rsid w:val="004A5AFA"/>
    <w:rsid w:val="004B17CE"/>
    <w:rsid w:val="004B187A"/>
    <w:rsid w:val="004B1903"/>
    <w:rsid w:val="004B1A9C"/>
    <w:rsid w:val="004B1B15"/>
    <w:rsid w:val="004B1CB3"/>
    <w:rsid w:val="004B2241"/>
    <w:rsid w:val="004B25D3"/>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78E"/>
    <w:rsid w:val="004C4A96"/>
    <w:rsid w:val="004C4E5F"/>
    <w:rsid w:val="004C5875"/>
    <w:rsid w:val="004C5F28"/>
    <w:rsid w:val="004C6997"/>
    <w:rsid w:val="004C6CDB"/>
    <w:rsid w:val="004C723F"/>
    <w:rsid w:val="004C7C36"/>
    <w:rsid w:val="004C7D16"/>
    <w:rsid w:val="004D0132"/>
    <w:rsid w:val="004D080F"/>
    <w:rsid w:val="004D10C5"/>
    <w:rsid w:val="004D1133"/>
    <w:rsid w:val="004D185E"/>
    <w:rsid w:val="004D29F9"/>
    <w:rsid w:val="004D3258"/>
    <w:rsid w:val="004D4B61"/>
    <w:rsid w:val="004D606D"/>
    <w:rsid w:val="004D6B20"/>
    <w:rsid w:val="004D6C2F"/>
    <w:rsid w:val="004D71FE"/>
    <w:rsid w:val="004D72CE"/>
    <w:rsid w:val="004D74B2"/>
    <w:rsid w:val="004D7A80"/>
    <w:rsid w:val="004D7CA3"/>
    <w:rsid w:val="004E0388"/>
    <w:rsid w:val="004E0894"/>
    <w:rsid w:val="004E135A"/>
    <w:rsid w:val="004E1C50"/>
    <w:rsid w:val="004E20EE"/>
    <w:rsid w:val="004E251F"/>
    <w:rsid w:val="004E2B23"/>
    <w:rsid w:val="004E3390"/>
    <w:rsid w:val="004E416F"/>
    <w:rsid w:val="004E424D"/>
    <w:rsid w:val="004E5F45"/>
    <w:rsid w:val="004E5F96"/>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07A"/>
    <w:rsid w:val="00501659"/>
    <w:rsid w:val="00501733"/>
    <w:rsid w:val="00501B75"/>
    <w:rsid w:val="00501C39"/>
    <w:rsid w:val="00502203"/>
    <w:rsid w:val="005027B8"/>
    <w:rsid w:val="00503286"/>
    <w:rsid w:val="00503F42"/>
    <w:rsid w:val="00505378"/>
    <w:rsid w:val="00505A66"/>
    <w:rsid w:val="00506576"/>
    <w:rsid w:val="00506710"/>
    <w:rsid w:val="005069E6"/>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A63"/>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3936"/>
    <w:rsid w:val="00534668"/>
    <w:rsid w:val="005346BF"/>
    <w:rsid w:val="0053472D"/>
    <w:rsid w:val="00535189"/>
    <w:rsid w:val="005356B6"/>
    <w:rsid w:val="00535D75"/>
    <w:rsid w:val="00535FF9"/>
    <w:rsid w:val="0053609B"/>
    <w:rsid w:val="0053655A"/>
    <w:rsid w:val="00536ECF"/>
    <w:rsid w:val="00536FBF"/>
    <w:rsid w:val="0053740F"/>
    <w:rsid w:val="005403B0"/>
    <w:rsid w:val="00540D9E"/>
    <w:rsid w:val="0054171A"/>
    <w:rsid w:val="005420CF"/>
    <w:rsid w:val="00542C2A"/>
    <w:rsid w:val="0054337D"/>
    <w:rsid w:val="005438E3"/>
    <w:rsid w:val="00543CAC"/>
    <w:rsid w:val="00543DAB"/>
    <w:rsid w:val="005440E4"/>
    <w:rsid w:val="00545BEC"/>
    <w:rsid w:val="005468A5"/>
    <w:rsid w:val="00546A1D"/>
    <w:rsid w:val="00546C8E"/>
    <w:rsid w:val="00546CB9"/>
    <w:rsid w:val="00546E83"/>
    <w:rsid w:val="005471B2"/>
    <w:rsid w:val="00547725"/>
    <w:rsid w:val="00550292"/>
    <w:rsid w:val="005512BB"/>
    <w:rsid w:val="00551309"/>
    <w:rsid w:val="00552426"/>
    <w:rsid w:val="00552F1A"/>
    <w:rsid w:val="00553371"/>
    <w:rsid w:val="0055363B"/>
    <w:rsid w:val="00553693"/>
    <w:rsid w:val="00553934"/>
    <w:rsid w:val="00553B71"/>
    <w:rsid w:val="00554C4D"/>
    <w:rsid w:val="00556A43"/>
    <w:rsid w:val="005571C1"/>
    <w:rsid w:val="00557CB3"/>
    <w:rsid w:val="0056087F"/>
    <w:rsid w:val="00560B84"/>
    <w:rsid w:val="0056121A"/>
    <w:rsid w:val="00562195"/>
    <w:rsid w:val="0056261D"/>
    <w:rsid w:val="00562918"/>
    <w:rsid w:val="00563269"/>
    <w:rsid w:val="00564643"/>
    <w:rsid w:val="00564772"/>
    <w:rsid w:val="00565698"/>
    <w:rsid w:val="0056601A"/>
    <w:rsid w:val="00566518"/>
    <w:rsid w:val="005669DA"/>
    <w:rsid w:val="00566F11"/>
    <w:rsid w:val="0056713E"/>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4D60"/>
    <w:rsid w:val="005950B2"/>
    <w:rsid w:val="00595154"/>
    <w:rsid w:val="00595296"/>
    <w:rsid w:val="00595603"/>
    <w:rsid w:val="00595917"/>
    <w:rsid w:val="00595BE6"/>
    <w:rsid w:val="005969F6"/>
    <w:rsid w:val="00596FEB"/>
    <w:rsid w:val="005979BE"/>
    <w:rsid w:val="00597A00"/>
    <w:rsid w:val="00597AB3"/>
    <w:rsid w:val="00597DBB"/>
    <w:rsid w:val="005A118A"/>
    <w:rsid w:val="005A1897"/>
    <w:rsid w:val="005A3B97"/>
    <w:rsid w:val="005A45EC"/>
    <w:rsid w:val="005A4A89"/>
    <w:rsid w:val="005A55F6"/>
    <w:rsid w:val="005A57D4"/>
    <w:rsid w:val="005A59B1"/>
    <w:rsid w:val="005A5C31"/>
    <w:rsid w:val="005A5DB4"/>
    <w:rsid w:val="005A600A"/>
    <w:rsid w:val="005A74D9"/>
    <w:rsid w:val="005A7B45"/>
    <w:rsid w:val="005A7E88"/>
    <w:rsid w:val="005B01F4"/>
    <w:rsid w:val="005B05BE"/>
    <w:rsid w:val="005B0692"/>
    <w:rsid w:val="005B07C7"/>
    <w:rsid w:val="005B1B4F"/>
    <w:rsid w:val="005B1D29"/>
    <w:rsid w:val="005B2564"/>
    <w:rsid w:val="005B2898"/>
    <w:rsid w:val="005B2E53"/>
    <w:rsid w:val="005B2F26"/>
    <w:rsid w:val="005B389B"/>
    <w:rsid w:val="005B4B88"/>
    <w:rsid w:val="005B4C25"/>
    <w:rsid w:val="005B52D8"/>
    <w:rsid w:val="005B57E9"/>
    <w:rsid w:val="005B5DAD"/>
    <w:rsid w:val="005B659A"/>
    <w:rsid w:val="005B65CA"/>
    <w:rsid w:val="005B6EB7"/>
    <w:rsid w:val="005B79C6"/>
    <w:rsid w:val="005C04C0"/>
    <w:rsid w:val="005C0912"/>
    <w:rsid w:val="005C1B46"/>
    <w:rsid w:val="005C1F7E"/>
    <w:rsid w:val="005C2057"/>
    <w:rsid w:val="005C20A0"/>
    <w:rsid w:val="005C2EE4"/>
    <w:rsid w:val="005C2EF2"/>
    <w:rsid w:val="005C3AE2"/>
    <w:rsid w:val="005C5258"/>
    <w:rsid w:val="005C57F7"/>
    <w:rsid w:val="005C75E2"/>
    <w:rsid w:val="005C76FD"/>
    <w:rsid w:val="005C7A6D"/>
    <w:rsid w:val="005C7DC3"/>
    <w:rsid w:val="005D0DAF"/>
    <w:rsid w:val="005D0E2B"/>
    <w:rsid w:val="005D14A4"/>
    <w:rsid w:val="005D1D83"/>
    <w:rsid w:val="005D2E2B"/>
    <w:rsid w:val="005D3D10"/>
    <w:rsid w:val="005D4078"/>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270"/>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264"/>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65DB"/>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2B59"/>
    <w:rsid w:val="00623190"/>
    <w:rsid w:val="00623312"/>
    <w:rsid w:val="0062351E"/>
    <w:rsid w:val="00623E92"/>
    <w:rsid w:val="00623E93"/>
    <w:rsid w:val="00624322"/>
    <w:rsid w:val="00624406"/>
    <w:rsid w:val="006248E3"/>
    <w:rsid w:val="00625D3D"/>
    <w:rsid w:val="00625DB6"/>
    <w:rsid w:val="00626CAC"/>
    <w:rsid w:val="00627AD4"/>
    <w:rsid w:val="00627FE7"/>
    <w:rsid w:val="00630F33"/>
    <w:rsid w:val="006312A4"/>
    <w:rsid w:val="006312F8"/>
    <w:rsid w:val="006313C9"/>
    <w:rsid w:val="006317D2"/>
    <w:rsid w:val="00631C0F"/>
    <w:rsid w:val="006329A9"/>
    <w:rsid w:val="006337EA"/>
    <w:rsid w:val="006348ED"/>
    <w:rsid w:val="00636A18"/>
    <w:rsid w:val="00636C52"/>
    <w:rsid w:val="00637063"/>
    <w:rsid w:val="0063771E"/>
    <w:rsid w:val="006406A6"/>
    <w:rsid w:val="00640707"/>
    <w:rsid w:val="00640A5A"/>
    <w:rsid w:val="00640C80"/>
    <w:rsid w:val="00640E6C"/>
    <w:rsid w:val="00642334"/>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1CA1"/>
    <w:rsid w:val="0065234B"/>
    <w:rsid w:val="006530E2"/>
    <w:rsid w:val="006535DE"/>
    <w:rsid w:val="0065453F"/>
    <w:rsid w:val="00654758"/>
    <w:rsid w:val="006563FC"/>
    <w:rsid w:val="00656EAE"/>
    <w:rsid w:val="00657344"/>
    <w:rsid w:val="006602CF"/>
    <w:rsid w:val="00660CA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A3C"/>
    <w:rsid w:val="00674DB0"/>
    <w:rsid w:val="00675296"/>
    <w:rsid w:val="006766B8"/>
    <w:rsid w:val="00677143"/>
    <w:rsid w:val="006807E1"/>
    <w:rsid w:val="00680DE4"/>
    <w:rsid w:val="0068116A"/>
    <w:rsid w:val="006823D9"/>
    <w:rsid w:val="0068241F"/>
    <w:rsid w:val="00683367"/>
    <w:rsid w:val="00683790"/>
    <w:rsid w:val="00683B8F"/>
    <w:rsid w:val="006841B1"/>
    <w:rsid w:val="0068436A"/>
    <w:rsid w:val="0068523F"/>
    <w:rsid w:val="006855A0"/>
    <w:rsid w:val="006861C4"/>
    <w:rsid w:val="00686C23"/>
    <w:rsid w:val="00687033"/>
    <w:rsid w:val="00687D28"/>
    <w:rsid w:val="00687EC6"/>
    <w:rsid w:val="00690AC8"/>
    <w:rsid w:val="00690CCF"/>
    <w:rsid w:val="00690E24"/>
    <w:rsid w:val="00690FAA"/>
    <w:rsid w:val="00691626"/>
    <w:rsid w:val="006936CD"/>
    <w:rsid w:val="0069391C"/>
    <w:rsid w:val="00693EA8"/>
    <w:rsid w:val="0069493D"/>
    <w:rsid w:val="00694C13"/>
    <w:rsid w:val="00694FF9"/>
    <w:rsid w:val="0069550C"/>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756"/>
    <w:rsid w:val="006A58A2"/>
    <w:rsid w:val="006A5A39"/>
    <w:rsid w:val="006A5C7F"/>
    <w:rsid w:val="006A6263"/>
    <w:rsid w:val="006A6484"/>
    <w:rsid w:val="006A652E"/>
    <w:rsid w:val="006A6D21"/>
    <w:rsid w:val="006A7E12"/>
    <w:rsid w:val="006A7E21"/>
    <w:rsid w:val="006A7EA3"/>
    <w:rsid w:val="006B022C"/>
    <w:rsid w:val="006B07D8"/>
    <w:rsid w:val="006B0CEB"/>
    <w:rsid w:val="006B13C1"/>
    <w:rsid w:val="006B1707"/>
    <w:rsid w:val="006B1AD5"/>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119"/>
    <w:rsid w:val="006C75FA"/>
    <w:rsid w:val="006C7FAC"/>
    <w:rsid w:val="006D002D"/>
    <w:rsid w:val="006D0421"/>
    <w:rsid w:val="006D047B"/>
    <w:rsid w:val="006D089E"/>
    <w:rsid w:val="006D1D18"/>
    <w:rsid w:val="006D2594"/>
    <w:rsid w:val="006D2BD4"/>
    <w:rsid w:val="006D3530"/>
    <w:rsid w:val="006D407D"/>
    <w:rsid w:val="006D477F"/>
    <w:rsid w:val="006D47BC"/>
    <w:rsid w:val="006D4ACA"/>
    <w:rsid w:val="006D54E6"/>
    <w:rsid w:val="006D5843"/>
    <w:rsid w:val="006D5F3E"/>
    <w:rsid w:val="006D6871"/>
    <w:rsid w:val="006D6CA2"/>
    <w:rsid w:val="006D71D3"/>
    <w:rsid w:val="006E1FB4"/>
    <w:rsid w:val="006E22C0"/>
    <w:rsid w:val="006E24D7"/>
    <w:rsid w:val="006E3415"/>
    <w:rsid w:val="006E3962"/>
    <w:rsid w:val="006E464C"/>
    <w:rsid w:val="006E4970"/>
    <w:rsid w:val="006E4A6B"/>
    <w:rsid w:val="006E4CCB"/>
    <w:rsid w:val="006E4CCC"/>
    <w:rsid w:val="006E516B"/>
    <w:rsid w:val="006E64FC"/>
    <w:rsid w:val="006E6536"/>
    <w:rsid w:val="006E78A4"/>
    <w:rsid w:val="006E7A04"/>
    <w:rsid w:val="006F02A6"/>
    <w:rsid w:val="006F0599"/>
    <w:rsid w:val="006F065D"/>
    <w:rsid w:val="006F0C10"/>
    <w:rsid w:val="006F29B4"/>
    <w:rsid w:val="006F2CDD"/>
    <w:rsid w:val="006F6248"/>
    <w:rsid w:val="006F6D3E"/>
    <w:rsid w:val="006F6DDA"/>
    <w:rsid w:val="006F7041"/>
    <w:rsid w:val="006F7B92"/>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0B56"/>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A96"/>
    <w:rsid w:val="00722FD8"/>
    <w:rsid w:val="0072366C"/>
    <w:rsid w:val="00724291"/>
    <w:rsid w:val="00724D0C"/>
    <w:rsid w:val="0072590A"/>
    <w:rsid w:val="00725996"/>
    <w:rsid w:val="00726886"/>
    <w:rsid w:val="00726A5E"/>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870"/>
    <w:rsid w:val="007469B7"/>
    <w:rsid w:val="00746A2F"/>
    <w:rsid w:val="007472EF"/>
    <w:rsid w:val="00747669"/>
    <w:rsid w:val="00751097"/>
    <w:rsid w:val="00751E1F"/>
    <w:rsid w:val="0075296E"/>
    <w:rsid w:val="00752F33"/>
    <w:rsid w:val="0075319C"/>
    <w:rsid w:val="007531A5"/>
    <w:rsid w:val="007535E3"/>
    <w:rsid w:val="0075377E"/>
    <w:rsid w:val="00753FCB"/>
    <w:rsid w:val="007542B1"/>
    <w:rsid w:val="007550FE"/>
    <w:rsid w:val="00755EE8"/>
    <w:rsid w:val="00756609"/>
    <w:rsid w:val="007566A7"/>
    <w:rsid w:val="00756AEF"/>
    <w:rsid w:val="00756E30"/>
    <w:rsid w:val="0075707E"/>
    <w:rsid w:val="00757941"/>
    <w:rsid w:val="007636C1"/>
    <w:rsid w:val="007639A5"/>
    <w:rsid w:val="00763EE9"/>
    <w:rsid w:val="00764375"/>
    <w:rsid w:val="007653BF"/>
    <w:rsid w:val="00765630"/>
    <w:rsid w:val="00765919"/>
    <w:rsid w:val="007661BB"/>
    <w:rsid w:val="0076653E"/>
    <w:rsid w:val="00766647"/>
    <w:rsid w:val="0076786D"/>
    <w:rsid w:val="00770E63"/>
    <w:rsid w:val="00773D6E"/>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1B6F"/>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A68F8"/>
    <w:rsid w:val="007B01E7"/>
    <w:rsid w:val="007B0810"/>
    <w:rsid w:val="007B104F"/>
    <w:rsid w:val="007B13D2"/>
    <w:rsid w:val="007B1418"/>
    <w:rsid w:val="007B1C29"/>
    <w:rsid w:val="007B2177"/>
    <w:rsid w:val="007B2FF1"/>
    <w:rsid w:val="007B3B84"/>
    <w:rsid w:val="007B56E1"/>
    <w:rsid w:val="007B7BB1"/>
    <w:rsid w:val="007C0B47"/>
    <w:rsid w:val="007C1223"/>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8C4"/>
    <w:rsid w:val="007E491C"/>
    <w:rsid w:val="007E495E"/>
    <w:rsid w:val="007E5FF3"/>
    <w:rsid w:val="007E65FE"/>
    <w:rsid w:val="007E6782"/>
    <w:rsid w:val="007E6B64"/>
    <w:rsid w:val="007E6F9A"/>
    <w:rsid w:val="007E7679"/>
    <w:rsid w:val="007E79F5"/>
    <w:rsid w:val="007E7AF0"/>
    <w:rsid w:val="007F02BF"/>
    <w:rsid w:val="007F0B70"/>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49A"/>
    <w:rsid w:val="00801BFF"/>
    <w:rsid w:val="0080250E"/>
    <w:rsid w:val="0080281E"/>
    <w:rsid w:val="0080288E"/>
    <w:rsid w:val="00803DDF"/>
    <w:rsid w:val="00805261"/>
    <w:rsid w:val="0080563D"/>
    <w:rsid w:val="00805F75"/>
    <w:rsid w:val="00806071"/>
    <w:rsid w:val="00807AB0"/>
    <w:rsid w:val="00807C1B"/>
    <w:rsid w:val="00810489"/>
    <w:rsid w:val="00810B18"/>
    <w:rsid w:val="00811026"/>
    <w:rsid w:val="00811377"/>
    <w:rsid w:val="00811B7A"/>
    <w:rsid w:val="00811E77"/>
    <w:rsid w:val="00812638"/>
    <w:rsid w:val="00812720"/>
    <w:rsid w:val="00812AE2"/>
    <w:rsid w:val="00812CD4"/>
    <w:rsid w:val="00813337"/>
    <w:rsid w:val="00814892"/>
    <w:rsid w:val="00814D78"/>
    <w:rsid w:val="00815167"/>
    <w:rsid w:val="008151B0"/>
    <w:rsid w:val="008157BF"/>
    <w:rsid w:val="008161EB"/>
    <w:rsid w:val="008164EE"/>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B1C"/>
    <w:rsid w:val="00854C8E"/>
    <w:rsid w:val="0085579E"/>
    <w:rsid w:val="0085729A"/>
    <w:rsid w:val="008575ED"/>
    <w:rsid w:val="00857F3D"/>
    <w:rsid w:val="00860F08"/>
    <w:rsid w:val="008612F5"/>
    <w:rsid w:val="00861F9D"/>
    <w:rsid w:val="0086218E"/>
    <w:rsid w:val="0086307F"/>
    <w:rsid w:val="008639AD"/>
    <w:rsid w:val="00863C1F"/>
    <w:rsid w:val="00870856"/>
    <w:rsid w:val="0087157B"/>
    <w:rsid w:val="00873845"/>
    <w:rsid w:val="00876522"/>
    <w:rsid w:val="00876AE3"/>
    <w:rsid w:val="008775DB"/>
    <w:rsid w:val="00877B07"/>
    <w:rsid w:val="00877B7A"/>
    <w:rsid w:val="008804D3"/>
    <w:rsid w:val="00880AE5"/>
    <w:rsid w:val="00880EFA"/>
    <w:rsid w:val="00881EBC"/>
    <w:rsid w:val="008828DF"/>
    <w:rsid w:val="00882E91"/>
    <w:rsid w:val="00882EA8"/>
    <w:rsid w:val="00883EE1"/>
    <w:rsid w:val="0088421A"/>
    <w:rsid w:val="00884A9E"/>
    <w:rsid w:val="00884ED2"/>
    <w:rsid w:val="00885317"/>
    <w:rsid w:val="008855FF"/>
    <w:rsid w:val="0088567D"/>
    <w:rsid w:val="00885D0E"/>
    <w:rsid w:val="008863EC"/>
    <w:rsid w:val="00886E91"/>
    <w:rsid w:val="008870CB"/>
    <w:rsid w:val="00887227"/>
    <w:rsid w:val="008900AA"/>
    <w:rsid w:val="00890427"/>
    <w:rsid w:val="0089096B"/>
    <w:rsid w:val="008918D1"/>
    <w:rsid w:val="008919D4"/>
    <w:rsid w:val="00892157"/>
    <w:rsid w:val="0089225A"/>
    <w:rsid w:val="00892AC0"/>
    <w:rsid w:val="008934FE"/>
    <w:rsid w:val="00893B5D"/>
    <w:rsid w:val="00893E2F"/>
    <w:rsid w:val="008944DB"/>
    <w:rsid w:val="0089594E"/>
    <w:rsid w:val="00896790"/>
    <w:rsid w:val="008968C4"/>
    <w:rsid w:val="00897463"/>
    <w:rsid w:val="0089753B"/>
    <w:rsid w:val="00897911"/>
    <w:rsid w:val="00897B11"/>
    <w:rsid w:val="008A03BE"/>
    <w:rsid w:val="008A1C8E"/>
    <w:rsid w:val="008A231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B76D6"/>
    <w:rsid w:val="008B7A48"/>
    <w:rsid w:val="008C07A9"/>
    <w:rsid w:val="008C0A39"/>
    <w:rsid w:val="008C1814"/>
    <w:rsid w:val="008C3523"/>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EB5"/>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4946"/>
    <w:rsid w:val="008E49AF"/>
    <w:rsid w:val="008E50BD"/>
    <w:rsid w:val="008E5755"/>
    <w:rsid w:val="008E6356"/>
    <w:rsid w:val="008E6529"/>
    <w:rsid w:val="008E6C51"/>
    <w:rsid w:val="008E6F7A"/>
    <w:rsid w:val="008E7734"/>
    <w:rsid w:val="008F07ED"/>
    <w:rsid w:val="008F142D"/>
    <w:rsid w:val="008F1674"/>
    <w:rsid w:val="008F192D"/>
    <w:rsid w:val="008F208C"/>
    <w:rsid w:val="008F2699"/>
    <w:rsid w:val="008F3E39"/>
    <w:rsid w:val="008F3FE5"/>
    <w:rsid w:val="008F42D7"/>
    <w:rsid w:val="008F4382"/>
    <w:rsid w:val="008F4CE7"/>
    <w:rsid w:val="008F5536"/>
    <w:rsid w:val="008F614D"/>
    <w:rsid w:val="008F6537"/>
    <w:rsid w:val="00900590"/>
    <w:rsid w:val="00901459"/>
    <w:rsid w:val="00901C47"/>
    <w:rsid w:val="0090328B"/>
    <w:rsid w:val="009032E9"/>
    <w:rsid w:val="00903461"/>
    <w:rsid w:val="00903EFE"/>
    <w:rsid w:val="009040EB"/>
    <w:rsid w:val="0090437C"/>
    <w:rsid w:val="009044A6"/>
    <w:rsid w:val="0090472D"/>
    <w:rsid w:val="0090518E"/>
    <w:rsid w:val="0090563D"/>
    <w:rsid w:val="009068CA"/>
    <w:rsid w:val="00906AF0"/>
    <w:rsid w:val="00906EF4"/>
    <w:rsid w:val="00910287"/>
    <w:rsid w:val="00910AAA"/>
    <w:rsid w:val="00910D9D"/>
    <w:rsid w:val="00910F33"/>
    <w:rsid w:val="00911691"/>
    <w:rsid w:val="009118B0"/>
    <w:rsid w:val="00912000"/>
    <w:rsid w:val="009124E6"/>
    <w:rsid w:val="0091372C"/>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C45"/>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4DDE"/>
    <w:rsid w:val="00945766"/>
    <w:rsid w:val="009457AC"/>
    <w:rsid w:val="00945B1E"/>
    <w:rsid w:val="0094609D"/>
    <w:rsid w:val="00946484"/>
    <w:rsid w:val="00946970"/>
    <w:rsid w:val="00946B28"/>
    <w:rsid w:val="00947447"/>
    <w:rsid w:val="009510F9"/>
    <w:rsid w:val="009516DD"/>
    <w:rsid w:val="00951B94"/>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7CE"/>
    <w:rsid w:val="00964ACE"/>
    <w:rsid w:val="009659F8"/>
    <w:rsid w:val="009664CB"/>
    <w:rsid w:val="00966CC0"/>
    <w:rsid w:val="009671A1"/>
    <w:rsid w:val="0097179C"/>
    <w:rsid w:val="0097191C"/>
    <w:rsid w:val="0097198A"/>
    <w:rsid w:val="009734BF"/>
    <w:rsid w:val="009737F3"/>
    <w:rsid w:val="00973868"/>
    <w:rsid w:val="00973C3E"/>
    <w:rsid w:val="00974ACC"/>
    <w:rsid w:val="00974C49"/>
    <w:rsid w:val="00974EE4"/>
    <w:rsid w:val="009754CE"/>
    <w:rsid w:val="009756B6"/>
    <w:rsid w:val="00975EF7"/>
    <w:rsid w:val="009774BE"/>
    <w:rsid w:val="00977A70"/>
    <w:rsid w:val="00977DD3"/>
    <w:rsid w:val="00980140"/>
    <w:rsid w:val="009801D6"/>
    <w:rsid w:val="009802D1"/>
    <w:rsid w:val="0098050A"/>
    <w:rsid w:val="00980592"/>
    <w:rsid w:val="009806B0"/>
    <w:rsid w:val="009807B8"/>
    <w:rsid w:val="00981E56"/>
    <w:rsid w:val="00982142"/>
    <w:rsid w:val="00982639"/>
    <w:rsid w:val="00982EEA"/>
    <w:rsid w:val="00982F82"/>
    <w:rsid w:val="00983040"/>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5C2A"/>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4D7"/>
    <w:rsid w:val="009C76A3"/>
    <w:rsid w:val="009C79E5"/>
    <w:rsid w:val="009C7A07"/>
    <w:rsid w:val="009C7ACB"/>
    <w:rsid w:val="009C7C85"/>
    <w:rsid w:val="009D03F6"/>
    <w:rsid w:val="009D140B"/>
    <w:rsid w:val="009D6353"/>
    <w:rsid w:val="009D6CF0"/>
    <w:rsid w:val="009D6E22"/>
    <w:rsid w:val="009D7050"/>
    <w:rsid w:val="009D7327"/>
    <w:rsid w:val="009D75A9"/>
    <w:rsid w:val="009D798C"/>
    <w:rsid w:val="009E0A40"/>
    <w:rsid w:val="009E153F"/>
    <w:rsid w:val="009E19A2"/>
    <w:rsid w:val="009E19AE"/>
    <w:rsid w:val="009E1E3F"/>
    <w:rsid w:val="009E1E60"/>
    <w:rsid w:val="009E1F86"/>
    <w:rsid w:val="009E216D"/>
    <w:rsid w:val="009E2D7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4B5"/>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E6"/>
    <w:rsid w:val="00A20573"/>
    <w:rsid w:val="00A207FA"/>
    <w:rsid w:val="00A20C94"/>
    <w:rsid w:val="00A21C4C"/>
    <w:rsid w:val="00A220B7"/>
    <w:rsid w:val="00A22649"/>
    <w:rsid w:val="00A227D6"/>
    <w:rsid w:val="00A227E7"/>
    <w:rsid w:val="00A22D55"/>
    <w:rsid w:val="00A22F6E"/>
    <w:rsid w:val="00A239DB"/>
    <w:rsid w:val="00A24008"/>
    <w:rsid w:val="00A24078"/>
    <w:rsid w:val="00A2475E"/>
    <w:rsid w:val="00A258E0"/>
    <w:rsid w:val="00A25FCF"/>
    <w:rsid w:val="00A269B5"/>
    <w:rsid w:val="00A26A3F"/>
    <w:rsid w:val="00A2726D"/>
    <w:rsid w:val="00A2752C"/>
    <w:rsid w:val="00A30627"/>
    <w:rsid w:val="00A30B6C"/>
    <w:rsid w:val="00A31D99"/>
    <w:rsid w:val="00A3244C"/>
    <w:rsid w:val="00A32E59"/>
    <w:rsid w:val="00A33017"/>
    <w:rsid w:val="00A333C1"/>
    <w:rsid w:val="00A33DF3"/>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433E"/>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6FFC"/>
    <w:rsid w:val="00A67886"/>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562E"/>
    <w:rsid w:val="00A86729"/>
    <w:rsid w:val="00A867C8"/>
    <w:rsid w:val="00A86F87"/>
    <w:rsid w:val="00A87161"/>
    <w:rsid w:val="00A874D6"/>
    <w:rsid w:val="00A87C01"/>
    <w:rsid w:val="00A902A7"/>
    <w:rsid w:val="00A90327"/>
    <w:rsid w:val="00A904AB"/>
    <w:rsid w:val="00A90DEF"/>
    <w:rsid w:val="00A91358"/>
    <w:rsid w:val="00A91FE5"/>
    <w:rsid w:val="00A93154"/>
    <w:rsid w:val="00A93214"/>
    <w:rsid w:val="00A93C27"/>
    <w:rsid w:val="00A93C2B"/>
    <w:rsid w:val="00A94D8C"/>
    <w:rsid w:val="00A95CF3"/>
    <w:rsid w:val="00A96FC0"/>
    <w:rsid w:val="00A970AF"/>
    <w:rsid w:val="00A9734D"/>
    <w:rsid w:val="00A97BFA"/>
    <w:rsid w:val="00AA007C"/>
    <w:rsid w:val="00AA0B30"/>
    <w:rsid w:val="00AA1D7C"/>
    <w:rsid w:val="00AA25C9"/>
    <w:rsid w:val="00AA2673"/>
    <w:rsid w:val="00AA3726"/>
    <w:rsid w:val="00AA40AA"/>
    <w:rsid w:val="00AA4F09"/>
    <w:rsid w:val="00AA5277"/>
    <w:rsid w:val="00AA53BB"/>
    <w:rsid w:val="00AA7A72"/>
    <w:rsid w:val="00AA7DCE"/>
    <w:rsid w:val="00AA7F3F"/>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926"/>
    <w:rsid w:val="00AC6BDA"/>
    <w:rsid w:val="00AC6D06"/>
    <w:rsid w:val="00AC6E20"/>
    <w:rsid w:val="00AC7A38"/>
    <w:rsid w:val="00AC7FF7"/>
    <w:rsid w:val="00AD0404"/>
    <w:rsid w:val="00AD0797"/>
    <w:rsid w:val="00AD07F1"/>
    <w:rsid w:val="00AD20D2"/>
    <w:rsid w:val="00AD20E0"/>
    <w:rsid w:val="00AD2BE1"/>
    <w:rsid w:val="00AD2CE5"/>
    <w:rsid w:val="00AD3C49"/>
    <w:rsid w:val="00AD3D21"/>
    <w:rsid w:val="00AD68F8"/>
    <w:rsid w:val="00AD692B"/>
    <w:rsid w:val="00AD6AA3"/>
    <w:rsid w:val="00AE0B68"/>
    <w:rsid w:val="00AE0CA2"/>
    <w:rsid w:val="00AE10CD"/>
    <w:rsid w:val="00AE11B5"/>
    <w:rsid w:val="00AE1499"/>
    <w:rsid w:val="00AE2D0A"/>
    <w:rsid w:val="00AE3725"/>
    <w:rsid w:val="00AE448F"/>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963"/>
    <w:rsid w:val="00AF7C3D"/>
    <w:rsid w:val="00AF7E72"/>
    <w:rsid w:val="00B0115C"/>
    <w:rsid w:val="00B019CB"/>
    <w:rsid w:val="00B01F83"/>
    <w:rsid w:val="00B0432F"/>
    <w:rsid w:val="00B043ED"/>
    <w:rsid w:val="00B054FF"/>
    <w:rsid w:val="00B05CB6"/>
    <w:rsid w:val="00B0633F"/>
    <w:rsid w:val="00B070A0"/>
    <w:rsid w:val="00B07CC0"/>
    <w:rsid w:val="00B07E41"/>
    <w:rsid w:val="00B102F5"/>
    <w:rsid w:val="00B103E9"/>
    <w:rsid w:val="00B11586"/>
    <w:rsid w:val="00B11E6D"/>
    <w:rsid w:val="00B11FA4"/>
    <w:rsid w:val="00B12242"/>
    <w:rsid w:val="00B1393B"/>
    <w:rsid w:val="00B140D2"/>
    <w:rsid w:val="00B1462C"/>
    <w:rsid w:val="00B14CD1"/>
    <w:rsid w:val="00B15491"/>
    <w:rsid w:val="00B1562F"/>
    <w:rsid w:val="00B15F8B"/>
    <w:rsid w:val="00B16D63"/>
    <w:rsid w:val="00B17629"/>
    <w:rsid w:val="00B20213"/>
    <w:rsid w:val="00B20333"/>
    <w:rsid w:val="00B21D6E"/>
    <w:rsid w:val="00B22C39"/>
    <w:rsid w:val="00B22DE0"/>
    <w:rsid w:val="00B23D2D"/>
    <w:rsid w:val="00B24FEA"/>
    <w:rsid w:val="00B25242"/>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101"/>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74B"/>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3C4"/>
    <w:rsid w:val="00B64519"/>
    <w:rsid w:val="00B64541"/>
    <w:rsid w:val="00B6456D"/>
    <w:rsid w:val="00B64BD0"/>
    <w:rsid w:val="00B64FCD"/>
    <w:rsid w:val="00B65CBD"/>
    <w:rsid w:val="00B66802"/>
    <w:rsid w:val="00B67453"/>
    <w:rsid w:val="00B675F7"/>
    <w:rsid w:val="00B67A78"/>
    <w:rsid w:val="00B7086A"/>
    <w:rsid w:val="00B70A5F"/>
    <w:rsid w:val="00B70BC6"/>
    <w:rsid w:val="00B70C27"/>
    <w:rsid w:val="00B70E97"/>
    <w:rsid w:val="00B715DC"/>
    <w:rsid w:val="00B71ACD"/>
    <w:rsid w:val="00B722FE"/>
    <w:rsid w:val="00B7263F"/>
    <w:rsid w:val="00B729F1"/>
    <w:rsid w:val="00B7300C"/>
    <w:rsid w:val="00B73222"/>
    <w:rsid w:val="00B74D56"/>
    <w:rsid w:val="00B75CCA"/>
    <w:rsid w:val="00B768A7"/>
    <w:rsid w:val="00B76970"/>
    <w:rsid w:val="00B76F65"/>
    <w:rsid w:val="00B7738B"/>
    <w:rsid w:val="00B77809"/>
    <w:rsid w:val="00B77E9E"/>
    <w:rsid w:val="00B80406"/>
    <w:rsid w:val="00B804D5"/>
    <w:rsid w:val="00B8062C"/>
    <w:rsid w:val="00B80A5E"/>
    <w:rsid w:val="00B80F1F"/>
    <w:rsid w:val="00B813C8"/>
    <w:rsid w:val="00B8146F"/>
    <w:rsid w:val="00B8167D"/>
    <w:rsid w:val="00B82C49"/>
    <w:rsid w:val="00B82D90"/>
    <w:rsid w:val="00B82FB4"/>
    <w:rsid w:val="00B83B69"/>
    <w:rsid w:val="00B83DFC"/>
    <w:rsid w:val="00B86B7E"/>
    <w:rsid w:val="00B87DD5"/>
    <w:rsid w:val="00B90027"/>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1352"/>
    <w:rsid w:val="00BA2423"/>
    <w:rsid w:val="00BA34B1"/>
    <w:rsid w:val="00BA382E"/>
    <w:rsid w:val="00BA3830"/>
    <w:rsid w:val="00BA41E7"/>
    <w:rsid w:val="00BA42E0"/>
    <w:rsid w:val="00BA5792"/>
    <w:rsid w:val="00BA71FA"/>
    <w:rsid w:val="00BA7701"/>
    <w:rsid w:val="00BA7BAB"/>
    <w:rsid w:val="00BA7C02"/>
    <w:rsid w:val="00BA7C73"/>
    <w:rsid w:val="00BB00C3"/>
    <w:rsid w:val="00BB01F3"/>
    <w:rsid w:val="00BB0741"/>
    <w:rsid w:val="00BB0C45"/>
    <w:rsid w:val="00BB17AD"/>
    <w:rsid w:val="00BB292D"/>
    <w:rsid w:val="00BB300F"/>
    <w:rsid w:val="00BB369B"/>
    <w:rsid w:val="00BB3919"/>
    <w:rsid w:val="00BB3A56"/>
    <w:rsid w:val="00BB3E2E"/>
    <w:rsid w:val="00BB436A"/>
    <w:rsid w:val="00BB49CB"/>
    <w:rsid w:val="00BB4CAE"/>
    <w:rsid w:val="00BB67F1"/>
    <w:rsid w:val="00BB79C2"/>
    <w:rsid w:val="00BB7F0F"/>
    <w:rsid w:val="00BC0EC7"/>
    <w:rsid w:val="00BC1722"/>
    <w:rsid w:val="00BC194A"/>
    <w:rsid w:val="00BC2214"/>
    <w:rsid w:val="00BC2791"/>
    <w:rsid w:val="00BC2825"/>
    <w:rsid w:val="00BC2E96"/>
    <w:rsid w:val="00BC365F"/>
    <w:rsid w:val="00BC3D9C"/>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5F59"/>
    <w:rsid w:val="00BD7902"/>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3D"/>
    <w:rsid w:val="00BF3FF8"/>
    <w:rsid w:val="00BF4C53"/>
    <w:rsid w:val="00BF54DC"/>
    <w:rsid w:val="00BF5748"/>
    <w:rsid w:val="00BF5E67"/>
    <w:rsid w:val="00BF6270"/>
    <w:rsid w:val="00BF67B7"/>
    <w:rsid w:val="00BF770B"/>
    <w:rsid w:val="00C00312"/>
    <w:rsid w:val="00C00B69"/>
    <w:rsid w:val="00C01510"/>
    <w:rsid w:val="00C01CEB"/>
    <w:rsid w:val="00C01F6E"/>
    <w:rsid w:val="00C03249"/>
    <w:rsid w:val="00C04BAE"/>
    <w:rsid w:val="00C05896"/>
    <w:rsid w:val="00C0599A"/>
    <w:rsid w:val="00C06748"/>
    <w:rsid w:val="00C073DA"/>
    <w:rsid w:val="00C07C15"/>
    <w:rsid w:val="00C10B9B"/>
    <w:rsid w:val="00C10C30"/>
    <w:rsid w:val="00C1104C"/>
    <w:rsid w:val="00C11577"/>
    <w:rsid w:val="00C1166B"/>
    <w:rsid w:val="00C11DC5"/>
    <w:rsid w:val="00C11F13"/>
    <w:rsid w:val="00C11F39"/>
    <w:rsid w:val="00C11F55"/>
    <w:rsid w:val="00C12249"/>
    <w:rsid w:val="00C1250E"/>
    <w:rsid w:val="00C138E7"/>
    <w:rsid w:val="00C139A1"/>
    <w:rsid w:val="00C1448C"/>
    <w:rsid w:val="00C14D7A"/>
    <w:rsid w:val="00C159D8"/>
    <w:rsid w:val="00C17059"/>
    <w:rsid w:val="00C17123"/>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A70"/>
    <w:rsid w:val="00C31F7F"/>
    <w:rsid w:val="00C32186"/>
    <w:rsid w:val="00C335AE"/>
    <w:rsid w:val="00C33E83"/>
    <w:rsid w:val="00C34DDC"/>
    <w:rsid w:val="00C34E1F"/>
    <w:rsid w:val="00C35C70"/>
    <w:rsid w:val="00C35E26"/>
    <w:rsid w:val="00C3626A"/>
    <w:rsid w:val="00C36684"/>
    <w:rsid w:val="00C36F0A"/>
    <w:rsid w:val="00C36F4F"/>
    <w:rsid w:val="00C372CB"/>
    <w:rsid w:val="00C3798E"/>
    <w:rsid w:val="00C4067A"/>
    <w:rsid w:val="00C41480"/>
    <w:rsid w:val="00C41516"/>
    <w:rsid w:val="00C44052"/>
    <w:rsid w:val="00C44368"/>
    <w:rsid w:val="00C44EC5"/>
    <w:rsid w:val="00C46111"/>
    <w:rsid w:val="00C46822"/>
    <w:rsid w:val="00C46CE5"/>
    <w:rsid w:val="00C47CFC"/>
    <w:rsid w:val="00C47E5F"/>
    <w:rsid w:val="00C50260"/>
    <w:rsid w:val="00C51395"/>
    <w:rsid w:val="00C51553"/>
    <w:rsid w:val="00C518A5"/>
    <w:rsid w:val="00C51A60"/>
    <w:rsid w:val="00C52334"/>
    <w:rsid w:val="00C52C65"/>
    <w:rsid w:val="00C53110"/>
    <w:rsid w:val="00C53B12"/>
    <w:rsid w:val="00C53ED6"/>
    <w:rsid w:val="00C541B2"/>
    <w:rsid w:val="00C54928"/>
    <w:rsid w:val="00C54A44"/>
    <w:rsid w:val="00C54E2A"/>
    <w:rsid w:val="00C5661F"/>
    <w:rsid w:val="00C57085"/>
    <w:rsid w:val="00C575AF"/>
    <w:rsid w:val="00C576FC"/>
    <w:rsid w:val="00C60361"/>
    <w:rsid w:val="00C60738"/>
    <w:rsid w:val="00C608D7"/>
    <w:rsid w:val="00C60D9F"/>
    <w:rsid w:val="00C61D76"/>
    <w:rsid w:val="00C620BA"/>
    <w:rsid w:val="00C627C5"/>
    <w:rsid w:val="00C6395F"/>
    <w:rsid w:val="00C63C3D"/>
    <w:rsid w:val="00C644BF"/>
    <w:rsid w:val="00C64CC7"/>
    <w:rsid w:val="00C65163"/>
    <w:rsid w:val="00C65A3E"/>
    <w:rsid w:val="00C65B6B"/>
    <w:rsid w:val="00C66492"/>
    <w:rsid w:val="00C664AB"/>
    <w:rsid w:val="00C66584"/>
    <w:rsid w:val="00C66705"/>
    <w:rsid w:val="00C67754"/>
    <w:rsid w:val="00C70254"/>
    <w:rsid w:val="00C703C0"/>
    <w:rsid w:val="00C706D1"/>
    <w:rsid w:val="00C70FAE"/>
    <w:rsid w:val="00C71284"/>
    <w:rsid w:val="00C71320"/>
    <w:rsid w:val="00C719C3"/>
    <w:rsid w:val="00C72DD5"/>
    <w:rsid w:val="00C733A6"/>
    <w:rsid w:val="00C7359E"/>
    <w:rsid w:val="00C737B0"/>
    <w:rsid w:val="00C73D39"/>
    <w:rsid w:val="00C7675A"/>
    <w:rsid w:val="00C76E9D"/>
    <w:rsid w:val="00C816DF"/>
    <w:rsid w:val="00C81EE9"/>
    <w:rsid w:val="00C820EE"/>
    <w:rsid w:val="00C84713"/>
    <w:rsid w:val="00C84758"/>
    <w:rsid w:val="00C853AB"/>
    <w:rsid w:val="00C85F72"/>
    <w:rsid w:val="00C86896"/>
    <w:rsid w:val="00C876E1"/>
    <w:rsid w:val="00C90162"/>
    <w:rsid w:val="00C908A9"/>
    <w:rsid w:val="00C908BE"/>
    <w:rsid w:val="00C91507"/>
    <w:rsid w:val="00C93DBE"/>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3071"/>
    <w:rsid w:val="00CA423D"/>
    <w:rsid w:val="00CA4607"/>
    <w:rsid w:val="00CA5AF9"/>
    <w:rsid w:val="00CA5D0C"/>
    <w:rsid w:val="00CA5E13"/>
    <w:rsid w:val="00CA625D"/>
    <w:rsid w:val="00CA69FF"/>
    <w:rsid w:val="00CA6F73"/>
    <w:rsid w:val="00CA7A1F"/>
    <w:rsid w:val="00CA7DAF"/>
    <w:rsid w:val="00CB017E"/>
    <w:rsid w:val="00CB0226"/>
    <w:rsid w:val="00CB0717"/>
    <w:rsid w:val="00CB0A65"/>
    <w:rsid w:val="00CB1177"/>
    <w:rsid w:val="00CB143F"/>
    <w:rsid w:val="00CB1618"/>
    <w:rsid w:val="00CB1A88"/>
    <w:rsid w:val="00CB277F"/>
    <w:rsid w:val="00CB3318"/>
    <w:rsid w:val="00CB3628"/>
    <w:rsid w:val="00CB407C"/>
    <w:rsid w:val="00CB41EA"/>
    <w:rsid w:val="00CB46B4"/>
    <w:rsid w:val="00CB4940"/>
    <w:rsid w:val="00CB55F7"/>
    <w:rsid w:val="00CB5D5B"/>
    <w:rsid w:val="00CB6E94"/>
    <w:rsid w:val="00CB7060"/>
    <w:rsid w:val="00CB77F2"/>
    <w:rsid w:val="00CB7DD6"/>
    <w:rsid w:val="00CC0438"/>
    <w:rsid w:val="00CC0563"/>
    <w:rsid w:val="00CC140D"/>
    <w:rsid w:val="00CC1E56"/>
    <w:rsid w:val="00CC201A"/>
    <w:rsid w:val="00CC2270"/>
    <w:rsid w:val="00CC3277"/>
    <w:rsid w:val="00CC385B"/>
    <w:rsid w:val="00CC4207"/>
    <w:rsid w:val="00CC4998"/>
    <w:rsid w:val="00CC5222"/>
    <w:rsid w:val="00CC5775"/>
    <w:rsid w:val="00CC5819"/>
    <w:rsid w:val="00CC62C6"/>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724"/>
    <w:rsid w:val="00CF15DD"/>
    <w:rsid w:val="00CF223D"/>
    <w:rsid w:val="00CF2824"/>
    <w:rsid w:val="00CF2873"/>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475"/>
    <w:rsid w:val="00D0497C"/>
    <w:rsid w:val="00D04EF3"/>
    <w:rsid w:val="00D04F45"/>
    <w:rsid w:val="00D04FAA"/>
    <w:rsid w:val="00D0548B"/>
    <w:rsid w:val="00D05AEE"/>
    <w:rsid w:val="00D05D6E"/>
    <w:rsid w:val="00D0648D"/>
    <w:rsid w:val="00D06D2C"/>
    <w:rsid w:val="00D06EB9"/>
    <w:rsid w:val="00D0753E"/>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0E5"/>
    <w:rsid w:val="00D35597"/>
    <w:rsid w:val="00D35689"/>
    <w:rsid w:val="00D365FA"/>
    <w:rsid w:val="00D37093"/>
    <w:rsid w:val="00D37286"/>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1CC5"/>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37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7B8"/>
    <w:rsid w:val="00D96B2B"/>
    <w:rsid w:val="00D96D46"/>
    <w:rsid w:val="00D97B72"/>
    <w:rsid w:val="00D97CF6"/>
    <w:rsid w:val="00DA007E"/>
    <w:rsid w:val="00DA0BBE"/>
    <w:rsid w:val="00DA11AE"/>
    <w:rsid w:val="00DA11E1"/>
    <w:rsid w:val="00DA16E5"/>
    <w:rsid w:val="00DA1BE9"/>
    <w:rsid w:val="00DA1E6C"/>
    <w:rsid w:val="00DA283D"/>
    <w:rsid w:val="00DA3E12"/>
    <w:rsid w:val="00DA4141"/>
    <w:rsid w:val="00DA417B"/>
    <w:rsid w:val="00DA45BD"/>
    <w:rsid w:val="00DA52EB"/>
    <w:rsid w:val="00DA5CD6"/>
    <w:rsid w:val="00DA683F"/>
    <w:rsid w:val="00DA6868"/>
    <w:rsid w:val="00DB0312"/>
    <w:rsid w:val="00DB115A"/>
    <w:rsid w:val="00DB3213"/>
    <w:rsid w:val="00DB387C"/>
    <w:rsid w:val="00DB42F5"/>
    <w:rsid w:val="00DB43F8"/>
    <w:rsid w:val="00DB46DA"/>
    <w:rsid w:val="00DB5A7F"/>
    <w:rsid w:val="00DB60FD"/>
    <w:rsid w:val="00DB640B"/>
    <w:rsid w:val="00DB656B"/>
    <w:rsid w:val="00DB6A23"/>
    <w:rsid w:val="00DB75BE"/>
    <w:rsid w:val="00DB7D6B"/>
    <w:rsid w:val="00DB7F19"/>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2C10"/>
    <w:rsid w:val="00DD3946"/>
    <w:rsid w:val="00DD3A79"/>
    <w:rsid w:val="00DD4174"/>
    <w:rsid w:val="00DD418A"/>
    <w:rsid w:val="00DD452E"/>
    <w:rsid w:val="00DD4929"/>
    <w:rsid w:val="00DD60FC"/>
    <w:rsid w:val="00DD6998"/>
    <w:rsid w:val="00DD7C32"/>
    <w:rsid w:val="00DE00A7"/>
    <w:rsid w:val="00DE0A7D"/>
    <w:rsid w:val="00DE0B84"/>
    <w:rsid w:val="00DE0DC9"/>
    <w:rsid w:val="00DE12EF"/>
    <w:rsid w:val="00DE19AA"/>
    <w:rsid w:val="00DE367F"/>
    <w:rsid w:val="00DE3E2A"/>
    <w:rsid w:val="00DE5469"/>
    <w:rsid w:val="00DE5D28"/>
    <w:rsid w:val="00DE5D83"/>
    <w:rsid w:val="00DE7DBA"/>
    <w:rsid w:val="00DE7FB5"/>
    <w:rsid w:val="00DF0953"/>
    <w:rsid w:val="00DF1B20"/>
    <w:rsid w:val="00DF28B5"/>
    <w:rsid w:val="00DF354D"/>
    <w:rsid w:val="00DF3B05"/>
    <w:rsid w:val="00DF44BC"/>
    <w:rsid w:val="00DF46D2"/>
    <w:rsid w:val="00DF5209"/>
    <w:rsid w:val="00DF5300"/>
    <w:rsid w:val="00DF649D"/>
    <w:rsid w:val="00DF6701"/>
    <w:rsid w:val="00E00733"/>
    <w:rsid w:val="00E00948"/>
    <w:rsid w:val="00E00C13"/>
    <w:rsid w:val="00E00C41"/>
    <w:rsid w:val="00E00D38"/>
    <w:rsid w:val="00E01D40"/>
    <w:rsid w:val="00E024F6"/>
    <w:rsid w:val="00E0287E"/>
    <w:rsid w:val="00E02D84"/>
    <w:rsid w:val="00E037FD"/>
    <w:rsid w:val="00E04271"/>
    <w:rsid w:val="00E04D1B"/>
    <w:rsid w:val="00E053BA"/>
    <w:rsid w:val="00E0562D"/>
    <w:rsid w:val="00E05C05"/>
    <w:rsid w:val="00E06510"/>
    <w:rsid w:val="00E072B0"/>
    <w:rsid w:val="00E07C90"/>
    <w:rsid w:val="00E111E7"/>
    <w:rsid w:val="00E111F8"/>
    <w:rsid w:val="00E1153D"/>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F98"/>
    <w:rsid w:val="00E20164"/>
    <w:rsid w:val="00E20519"/>
    <w:rsid w:val="00E21AA6"/>
    <w:rsid w:val="00E223DC"/>
    <w:rsid w:val="00E2304B"/>
    <w:rsid w:val="00E2320D"/>
    <w:rsid w:val="00E23447"/>
    <w:rsid w:val="00E23F6C"/>
    <w:rsid w:val="00E23FBF"/>
    <w:rsid w:val="00E24A35"/>
    <w:rsid w:val="00E24B24"/>
    <w:rsid w:val="00E24B61"/>
    <w:rsid w:val="00E24E2E"/>
    <w:rsid w:val="00E25093"/>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6"/>
    <w:rsid w:val="00E3511E"/>
    <w:rsid w:val="00E36CFD"/>
    <w:rsid w:val="00E36F8A"/>
    <w:rsid w:val="00E37A6A"/>
    <w:rsid w:val="00E37CC3"/>
    <w:rsid w:val="00E40479"/>
    <w:rsid w:val="00E40FB5"/>
    <w:rsid w:val="00E41884"/>
    <w:rsid w:val="00E4192C"/>
    <w:rsid w:val="00E41DF6"/>
    <w:rsid w:val="00E420CB"/>
    <w:rsid w:val="00E42C15"/>
    <w:rsid w:val="00E42FB9"/>
    <w:rsid w:val="00E451B6"/>
    <w:rsid w:val="00E454AD"/>
    <w:rsid w:val="00E4671A"/>
    <w:rsid w:val="00E474DE"/>
    <w:rsid w:val="00E47920"/>
    <w:rsid w:val="00E4794A"/>
    <w:rsid w:val="00E5019C"/>
    <w:rsid w:val="00E51311"/>
    <w:rsid w:val="00E51D11"/>
    <w:rsid w:val="00E52056"/>
    <w:rsid w:val="00E522E3"/>
    <w:rsid w:val="00E52841"/>
    <w:rsid w:val="00E52878"/>
    <w:rsid w:val="00E52FF6"/>
    <w:rsid w:val="00E530E1"/>
    <w:rsid w:val="00E532BD"/>
    <w:rsid w:val="00E53AA2"/>
    <w:rsid w:val="00E53D9D"/>
    <w:rsid w:val="00E54446"/>
    <w:rsid w:val="00E54704"/>
    <w:rsid w:val="00E55DC8"/>
    <w:rsid w:val="00E567C7"/>
    <w:rsid w:val="00E56821"/>
    <w:rsid w:val="00E569DE"/>
    <w:rsid w:val="00E56F73"/>
    <w:rsid w:val="00E603AF"/>
    <w:rsid w:val="00E604FA"/>
    <w:rsid w:val="00E60FAB"/>
    <w:rsid w:val="00E61402"/>
    <w:rsid w:val="00E615BD"/>
    <w:rsid w:val="00E61F48"/>
    <w:rsid w:val="00E62A1B"/>
    <w:rsid w:val="00E62B98"/>
    <w:rsid w:val="00E62F16"/>
    <w:rsid w:val="00E631E5"/>
    <w:rsid w:val="00E6329E"/>
    <w:rsid w:val="00E6390E"/>
    <w:rsid w:val="00E65018"/>
    <w:rsid w:val="00E652FF"/>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654"/>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BA0"/>
    <w:rsid w:val="00E83C04"/>
    <w:rsid w:val="00E83F2F"/>
    <w:rsid w:val="00E83FF4"/>
    <w:rsid w:val="00E84272"/>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2CE"/>
    <w:rsid w:val="00EA1903"/>
    <w:rsid w:val="00EA19A5"/>
    <w:rsid w:val="00EA1A5A"/>
    <w:rsid w:val="00EA1CAD"/>
    <w:rsid w:val="00EA2FC0"/>
    <w:rsid w:val="00EA3F5C"/>
    <w:rsid w:val="00EA4397"/>
    <w:rsid w:val="00EA499D"/>
    <w:rsid w:val="00EA4FFF"/>
    <w:rsid w:val="00EA51F6"/>
    <w:rsid w:val="00EA54AD"/>
    <w:rsid w:val="00EA58A0"/>
    <w:rsid w:val="00EA5AE3"/>
    <w:rsid w:val="00EA5C8C"/>
    <w:rsid w:val="00EA5ECB"/>
    <w:rsid w:val="00EA622F"/>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14AF"/>
    <w:rsid w:val="00EC23D8"/>
    <w:rsid w:val="00EC25BB"/>
    <w:rsid w:val="00EC3785"/>
    <w:rsid w:val="00EC3B2D"/>
    <w:rsid w:val="00EC3E5A"/>
    <w:rsid w:val="00EC458A"/>
    <w:rsid w:val="00EC4BBA"/>
    <w:rsid w:val="00EC51A1"/>
    <w:rsid w:val="00EC6178"/>
    <w:rsid w:val="00EC65DD"/>
    <w:rsid w:val="00EC6A56"/>
    <w:rsid w:val="00EC7166"/>
    <w:rsid w:val="00EC75D3"/>
    <w:rsid w:val="00EC7A66"/>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29CE"/>
    <w:rsid w:val="00EE2D89"/>
    <w:rsid w:val="00EE395B"/>
    <w:rsid w:val="00EE433B"/>
    <w:rsid w:val="00EE46D0"/>
    <w:rsid w:val="00EE476D"/>
    <w:rsid w:val="00EE49A6"/>
    <w:rsid w:val="00EE4C73"/>
    <w:rsid w:val="00EE5C23"/>
    <w:rsid w:val="00EE67FE"/>
    <w:rsid w:val="00EE703E"/>
    <w:rsid w:val="00EE707E"/>
    <w:rsid w:val="00EE749C"/>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591A"/>
    <w:rsid w:val="00EF75A6"/>
    <w:rsid w:val="00F0045E"/>
    <w:rsid w:val="00F006D2"/>
    <w:rsid w:val="00F00724"/>
    <w:rsid w:val="00F00774"/>
    <w:rsid w:val="00F0081B"/>
    <w:rsid w:val="00F01968"/>
    <w:rsid w:val="00F01F95"/>
    <w:rsid w:val="00F0256E"/>
    <w:rsid w:val="00F03681"/>
    <w:rsid w:val="00F03E2F"/>
    <w:rsid w:val="00F04D9B"/>
    <w:rsid w:val="00F04FE9"/>
    <w:rsid w:val="00F0588E"/>
    <w:rsid w:val="00F05AB5"/>
    <w:rsid w:val="00F05BC9"/>
    <w:rsid w:val="00F0608B"/>
    <w:rsid w:val="00F063BA"/>
    <w:rsid w:val="00F0659C"/>
    <w:rsid w:val="00F06776"/>
    <w:rsid w:val="00F06CDD"/>
    <w:rsid w:val="00F06D5D"/>
    <w:rsid w:val="00F11AA5"/>
    <w:rsid w:val="00F11E55"/>
    <w:rsid w:val="00F128DE"/>
    <w:rsid w:val="00F12DF4"/>
    <w:rsid w:val="00F13400"/>
    <w:rsid w:val="00F13C00"/>
    <w:rsid w:val="00F1411B"/>
    <w:rsid w:val="00F149A9"/>
    <w:rsid w:val="00F14C07"/>
    <w:rsid w:val="00F14C0C"/>
    <w:rsid w:val="00F14CD6"/>
    <w:rsid w:val="00F154D7"/>
    <w:rsid w:val="00F1585C"/>
    <w:rsid w:val="00F15FFE"/>
    <w:rsid w:val="00F16901"/>
    <w:rsid w:val="00F17267"/>
    <w:rsid w:val="00F2210C"/>
    <w:rsid w:val="00F22A30"/>
    <w:rsid w:val="00F231FB"/>
    <w:rsid w:val="00F243C4"/>
    <w:rsid w:val="00F243FF"/>
    <w:rsid w:val="00F25199"/>
    <w:rsid w:val="00F254D8"/>
    <w:rsid w:val="00F26A46"/>
    <w:rsid w:val="00F26CDC"/>
    <w:rsid w:val="00F26F86"/>
    <w:rsid w:val="00F2780A"/>
    <w:rsid w:val="00F314EF"/>
    <w:rsid w:val="00F3167E"/>
    <w:rsid w:val="00F332B2"/>
    <w:rsid w:val="00F3341F"/>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1E3"/>
    <w:rsid w:val="00F43206"/>
    <w:rsid w:val="00F435B6"/>
    <w:rsid w:val="00F43849"/>
    <w:rsid w:val="00F4392C"/>
    <w:rsid w:val="00F442F6"/>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287D"/>
    <w:rsid w:val="00F52EB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CBF"/>
    <w:rsid w:val="00F65D31"/>
    <w:rsid w:val="00F666A7"/>
    <w:rsid w:val="00F66A2E"/>
    <w:rsid w:val="00F67F09"/>
    <w:rsid w:val="00F706A0"/>
    <w:rsid w:val="00F709F5"/>
    <w:rsid w:val="00F717CC"/>
    <w:rsid w:val="00F72F11"/>
    <w:rsid w:val="00F72F51"/>
    <w:rsid w:val="00F73999"/>
    <w:rsid w:val="00F73AB3"/>
    <w:rsid w:val="00F73AB7"/>
    <w:rsid w:val="00F75051"/>
    <w:rsid w:val="00F7566A"/>
    <w:rsid w:val="00F76268"/>
    <w:rsid w:val="00F76CF3"/>
    <w:rsid w:val="00F76DA3"/>
    <w:rsid w:val="00F77BEE"/>
    <w:rsid w:val="00F805CA"/>
    <w:rsid w:val="00F807A4"/>
    <w:rsid w:val="00F809ED"/>
    <w:rsid w:val="00F80DD8"/>
    <w:rsid w:val="00F81914"/>
    <w:rsid w:val="00F81B7D"/>
    <w:rsid w:val="00F824D5"/>
    <w:rsid w:val="00F82628"/>
    <w:rsid w:val="00F82D8E"/>
    <w:rsid w:val="00F8321D"/>
    <w:rsid w:val="00F83461"/>
    <w:rsid w:val="00F83883"/>
    <w:rsid w:val="00F84FEE"/>
    <w:rsid w:val="00F8517B"/>
    <w:rsid w:val="00F853BE"/>
    <w:rsid w:val="00F87016"/>
    <w:rsid w:val="00F87B71"/>
    <w:rsid w:val="00F87EB0"/>
    <w:rsid w:val="00F9052C"/>
    <w:rsid w:val="00F9135D"/>
    <w:rsid w:val="00F91B71"/>
    <w:rsid w:val="00F91BA8"/>
    <w:rsid w:val="00F9260F"/>
    <w:rsid w:val="00F9308E"/>
    <w:rsid w:val="00F93541"/>
    <w:rsid w:val="00F95BD6"/>
    <w:rsid w:val="00F95E64"/>
    <w:rsid w:val="00F960B8"/>
    <w:rsid w:val="00F9649D"/>
    <w:rsid w:val="00F96A46"/>
    <w:rsid w:val="00F96BB8"/>
    <w:rsid w:val="00F97647"/>
    <w:rsid w:val="00F97A19"/>
    <w:rsid w:val="00FA068B"/>
    <w:rsid w:val="00FA1926"/>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95D"/>
    <w:rsid w:val="00FB4250"/>
    <w:rsid w:val="00FB5638"/>
    <w:rsid w:val="00FB59AB"/>
    <w:rsid w:val="00FB5A8D"/>
    <w:rsid w:val="00FB6627"/>
    <w:rsid w:val="00FB6721"/>
    <w:rsid w:val="00FB7318"/>
    <w:rsid w:val="00FB77DE"/>
    <w:rsid w:val="00FC0251"/>
    <w:rsid w:val="00FC1102"/>
    <w:rsid w:val="00FC16AD"/>
    <w:rsid w:val="00FC1F94"/>
    <w:rsid w:val="00FC2E23"/>
    <w:rsid w:val="00FC3136"/>
    <w:rsid w:val="00FC3241"/>
    <w:rsid w:val="00FC34E7"/>
    <w:rsid w:val="00FC3BB3"/>
    <w:rsid w:val="00FC3ED9"/>
    <w:rsid w:val="00FC54D5"/>
    <w:rsid w:val="00FC563B"/>
    <w:rsid w:val="00FC664D"/>
    <w:rsid w:val="00FC737A"/>
    <w:rsid w:val="00FC7844"/>
    <w:rsid w:val="00FD03EA"/>
    <w:rsid w:val="00FD0A8B"/>
    <w:rsid w:val="00FD1512"/>
    <w:rsid w:val="00FD1AB4"/>
    <w:rsid w:val="00FD1DDF"/>
    <w:rsid w:val="00FD1ED9"/>
    <w:rsid w:val="00FD2550"/>
    <w:rsid w:val="00FD28E8"/>
    <w:rsid w:val="00FD2994"/>
    <w:rsid w:val="00FD3355"/>
    <w:rsid w:val="00FD3CF7"/>
    <w:rsid w:val="00FD4DD3"/>
    <w:rsid w:val="00FD4FCC"/>
    <w:rsid w:val="00FD522F"/>
    <w:rsid w:val="00FD5A00"/>
    <w:rsid w:val="00FD5A9C"/>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9CF"/>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5F84"/>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5F1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126104"/>
  </w:style>
  <w:style w:type="paragraph" w:customStyle="1" w:styleId="PBACheading10">
    <w:name w:val="PBAC heading 1"/>
    <w:qFormat/>
    <w:rsid w:val="008E4946"/>
    <w:pPr>
      <w:ind w:left="720" w:hanging="720"/>
      <w:outlineLvl w:val="0"/>
    </w:pPr>
    <w:rPr>
      <w:rFonts w:ascii="Arial" w:hAnsi="Arial" w:cs="Arial"/>
      <w:b/>
      <w:snapToGrid w:val="0"/>
      <w:sz w:val="22"/>
      <w:szCs w:val="22"/>
      <w:lang w:eastAsia="en-US"/>
    </w:rPr>
  </w:style>
  <w:style w:type="paragraph" w:styleId="Title">
    <w:name w:val="Title"/>
    <w:basedOn w:val="Normal"/>
    <w:next w:val="Normal"/>
    <w:link w:val="TitleChar"/>
    <w:qFormat/>
    <w:rsid w:val="0038152C"/>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38152C"/>
    <w:rPr>
      <w:rFonts w:ascii="Arial Bold" w:eastAsiaTheme="majorEastAsia" w:hAnsi="Arial Bold" w:cstheme="majorBidi"/>
      <w:b/>
      <w:spacing w:val="5"/>
      <w:kern w:val="28"/>
      <w:sz w:val="28"/>
      <w:szCs w:val="52"/>
    </w:rPr>
  </w:style>
  <w:style w:type="character" w:styleId="SubtleReference">
    <w:name w:val="Subtle Reference"/>
    <w:uiPriority w:val="31"/>
    <w:qFormat/>
    <w:rsid w:val="00FC3136"/>
    <w:rPr>
      <w:smallCaps/>
      <w:color w:val="C0504D"/>
      <w:u w:val="single"/>
    </w:rPr>
  </w:style>
  <w:style w:type="paragraph" w:customStyle="1" w:styleId="s12">
    <w:name w:val="s12"/>
    <w:basedOn w:val="Normal"/>
    <w:uiPriority w:val="99"/>
    <w:semiHidden/>
    <w:rsid w:val="00000BDE"/>
    <w:pPr>
      <w:spacing w:before="100" w:beforeAutospacing="1" w:after="100" w:afterAutospacing="1"/>
    </w:pPr>
    <w:rPr>
      <w:rFonts w:ascii="Calibri" w:eastAsiaTheme="minorHAnsi" w:hAnsi="Calibri" w:cs="Calibri"/>
      <w:sz w:val="22"/>
      <w:szCs w:val="22"/>
      <w:lang w:eastAsia="en-US"/>
    </w:rPr>
  </w:style>
  <w:style w:type="paragraph" w:customStyle="1" w:styleId="s23">
    <w:name w:val="s23"/>
    <w:basedOn w:val="Normal"/>
    <w:uiPriority w:val="99"/>
    <w:semiHidden/>
    <w:rsid w:val="00000BDE"/>
    <w:pPr>
      <w:spacing w:before="100" w:beforeAutospacing="1" w:after="100" w:afterAutospacing="1"/>
    </w:pPr>
    <w:rPr>
      <w:rFonts w:ascii="Calibri" w:eastAsiaTheme="minorHAnsi" w:hAnsi="Calibri" w:cs="Calibri"/>
      <w:sz w:val="22"/>
      <w:szCs w:val="22"/>
      <w:lang w:eastAsia="en-US"/>
    </w:rPr>
  </w:style>
  <w:style w:type="character" w:customStyle="1" w:styleId="s6">
    <w:name w:val="s6"/>
    <w:basedOn w:val="DefaultParagraphFont"/>
    <w:rsid w:val="00000BDE"/>
  </w:style>
  <w:style w:type="character" w:customStyle="1" w:styleId="s15">
    <w:name w:val="s15"/>
    <w:basedOn w:val="DefaultParagraphFont"/>
    <w:rsid w:val="00000BDE"/>
  </w:style>
  <w:style w:type="character" w:customStyle="1" w:styleId="s8">
    <w:name w:val="s8"/>
    <w:basedOn w:val="DefaultParagraphFont"/>
    <w:rsid w:val="00000BDE"/>
  </w:style>
  <w:style w:type="character" w:customStyle="1" w:styleId="s9">
    <w:name w:val="s9"/>
    <w:basedOn w:val="DefaultParagraphFont"/>
    <w:rsid w:val="00000B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126104"/>
  </w:style>
  <w:style w:type="paragraph" w:customStyle="1" w:styleId="PBACheading10">
    <w:name w:val="PBAC heading 1"/>
    <w:qFormat/>
    <w:rsid w:val="008E4946"/>
    <w:pPr>
      <w:ind w:left="720" w:hanging="720"/>
      <w:outlineLvl w:val="0"/>
    </w:pPr>
    <w:rPr>
      <w:rFonts w:ascii="Arial" w:hAnsi="Arial" w:cs="Arial"/>
      <w:b/>
      <w:snapToGrid w:val="0"/>
      <w:sz w:val="22"/>
      <w:szCs w:val="22"/>
      <w:lang w:eastAsia="en-US"/>
    </w:rPr>
  </w:style>
  <w:style w:type="paragraph" w:styleId="Title">
    <w:name w:val="Title"/>
    <w:basedOn w:val="Normal"/>
    <w:next w:val="Normal"/>
    <w:link w:val="TitleChar"/>
    <w:qFormat/>
    <w:rsid w:val="0038152C"/>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38152C"/>
    <w:rPr>
      <w:rFonts w:ascii="Arial Bold" w:eastAsiaTheme="majorEastAsia" w:hAnsi="Arial Bold" w:cstheme="majorBidi"/>
      <w:b/>
      <w:spacing w:val="5"/>
      <w:kern w:val="28"/>
      <w:sz w:val="28"/>
      <w:szCs w:val="52"/>
    </w:rPr>
  </w:style>
  <w:style w:type="character" w:styleId="SubtleReference">
    <w:name w:val="Subtle Reference"/>
    <w:uiPriority w:val="31"/>
    <w:qFormat/>
    <w:rsid w:val="00FC3136"/>
    <w:rPr>
      <w:smallCaps/>
      <w:color w:val="C0504D"/>
      <w:u w:val="single"/>
    </w:rPr>
  </w:style>
  <w:style w:type="paragraph" w:customStyle="1" w:styleId="s12">
    <w:name w:val="s12"/>
    <w:basedOn w:val="Normal"/>
    <w:uiPriority w:val="99"/>
    <w:semiHidden/>
    <w:rsid w:val="00000BDE"/>
    <w:pPr>
      <w:spacing w:before="100" w:beforeAutospacing="1" w:after="100" w:afterAutospacing="1"/>
    </w:pPr>
    <w:rPr>
      <w:rFonts w:ascii="Calibri" w:eastAsiaTheme="minorHAnsi" w:hAnsi="Calibri" w:cs="Calibri"/>
      <w:sz w:val="22"/>
      <w:szCs w:val="22"/>
      <w:lang w:eastAsia="en-US"/>
    </w:rPr>
  </w:style>
  <w:style w:type="paragraph" w:customStyle="1" w:styleId="s23">
    <w:name w:val="s23"/>
    <w:basedOn w:val="Normal"/>
    <w:uiPriority w:val="99"/>
    <w:semiHidden/>
    <w:rsid w:val="00000BDE"/>
    <w:pPr>
      <w:spacing w:before="100" w:beforeAutospacing="1" w:after="100" w:afterAutospacing="1"/>
    </w:pPr>
    <w:rPr>
      <w:rFonts w:ascii="Calibri" w:eastAsiaTheme="minorHAnsi" w:hAnsi="Calibri" w:cs="Calibri"/>
      <w:sz w:val="22"/>
      <w:szCs w:val="22"/>
      <w:lang w:eastAsia="en-US"/>
    </w:rPr>
  </w:style>
  <w:style w:type="character" w:customStyle="1" w:styleId="s6">
    <w:name w:val="s6"/>
    <w:basedOn w:val="DefaultParagraphFont"/>
    <w:rsid w:val="00000BDE"/>
  </w:style>
  <w:style w:type="character" w:customStyle="1" w:styleId="s15">
    <w:name w:val="s15"/>
    <w:basedOn w:val="DefaultParagraphFont"/>
    <w:rsid w:val="00000BDE"/>
  </w:style>
  <w:style w:type="character" w:customStyle="1" w:styleId="s8">
    <w:name w:val="s8"/>
    <w:basedOn w:val="DefaultParagraphFont"/>
    <w:rsid w:val="00000BDE"/>
  </w:style>
  <w:style w:type="character" w:customStyle="1" w:styleId="s9">
    <w:name w:val="s9"/>
    <w:basedOn w:val="DefaultParagraphFont"/>
    <w:rsid w:val="00000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43409271">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5004496">
      <w:bodyDiv w:val="1"/>
      <w:marLeft w:val="0"/>
      <w:marRight w:val="0"/>
      <w:marTop w:val="0"/>
      <w:marBottom w:val="0"/>
      <w:divBdr>
        <w:top w:val="none" w:sz="0" w:space="0" w:color="auto"/>
        <w:left w:val="none" w:sz="0" w:space="0" w:color="auto"/>
        <w:bottom w:val="none" w:sz="0" w:space="0" w:color="auto"/>
        <w:right w:val="none" w:sz="0" w:space="0" w:color="auto"/>
      </w:divBdr>
    </w:div>
    <w:div w:id="93208933">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5859644">
      <w:bodyDiv w:val="1"/>
      <w:marLeft w:val="0"/>
      <w:marRight w:val="0"/>
      <w:marTop w:val="0"/>
      <w:marBottom w:val="0"/>
      <w:divBdr>
        <w:top w:val="none" w:sz="0" w:space="0" w:color="auto"/>
        <w:left w:val="none" w:sz="0" w:space="0" w:color="auto"/>
        <w:bottom w:val="none" w:sz="0" w:space="0" w:color="auto"/>
        <w:right w:val="none" w:sz="0" w:space="0" w:color="auto"/>
      </w:divBdr>
    </w:div>
    <w:div w:id="13260595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814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004595">
      <w:bodyDiv w:val="1"/>
      <w:marLeft w:val="0"/>
      <w:marRight w:val="0"/>
      <w:marTop w:val="0"/>
      <w:marBottom w:val="0"/>
      <w:divBdr>
        <w:top w:val="none" w:sz="0" w:space="0" w:color="auto"/>
        <w:left w:val="none" w:sz="0" w:space="0" w:color="auto"/>
        <w:bottom w:val="none" w:sz="0" w:space="0" w:color="auto"/>
        <w:right w:val="none" w:sz="0" w:space="0" w:color="auto"/>
      </w:divBdr>
    </w:div>
    <w:div w:id="162361240">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7956642">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6229665">
      <w:bodyDiv w:val="1"/>
      <w:marLeft w:val="0"/>
      <w:marRight w:val="0"/>
      <w:marTop w:val="0"/>
      <w:marBottom w:val="0"/>
      <w:divBdr>
        <w:top w:val="none" w:sz="0" w:space="0" w:color="auto"/>
        <w:left w:val="none" w:sz="0" w:space="0" w:color="auto"/>
        <w:bottom w:val="none" w:sz="0" w:space="0" w:color="auto"/>
        <w:right w:val="none" w:sz="0" w:space="0" w:color="auto"/>
      </w:divBdr>
    </w:div>
    <w:div w:id="247620026">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7295666">
      <w:bodyDiv w:val="1"/>
      <w:marLeft w:val="0"/>
      <w:marRight w:val="0"/>
      <w:marTop w:val="0"/>
      <w:marBottom w:val="0"/>
      <w:divBdr>
        <w:top w:val="none" w:sz="0" w:space="0" w:color="auto"/>
        <w:left w:val="none" w:sz="0" w:space="0" w:color="auto"/>
        <w:bottom w:val="none" w:sz="0" w:space="0" w:color="auto"/>
        <w:right w:val="none" w:sz="0" w:space="0" w:color="auto"/>
      </w:divBdr>
    </w:div>
    <w:div w:id="25902513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9181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25279471">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43476729">
      <w:bodyDiv w:val="1"/>
      <w:marLeft w:val="0"/>
      <w:marRight w:val="0"/>
      <w:marTop w:val="0"/>
      <w:marBottom w:val="0"/>
      <w:divBdr>
        <w:top w:val="none" w:sz="0" w:space="0" w:color="auto"/>
        <w:left w:val="none" w:sz="0" w:space="0" w:color="auto"/>
        <w:bottom w:val="none" w:sz="0" w:space="0" w:color="auto"/>
        <w:right w:val="none" w:sz="0" w:space="0" w:color="auto"/>
      </w:divBdr>
    </w:div>
    <w:div w:id="357242632">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85970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3257375">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6790295">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8831698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34262760">
      <w:bodyDiv w:val="1"/>
      <w:marLeft w:val="0"/>
      <w:marRight w:val="0"/>
      <w:marTop w:val="0"/>
      <w:marBottom w:val="0"/>
      <w:divBdr>
        <w:top w:val="none" w:sz="0" w:space="0" w:color="auto"/>
        <w:left w:val="none" w:sz="0" w:space="0" w:color="auto"/>
        <w:bottom w:val="none" w:sz="0" w:space="0" w:color="auto"/>
        <w:right w:val="none" w:sz="0" w:space="0" w:color="auto"/>
      </w:divBdr>
    </w:div>
    <w:div w:id="643698054">
      <w:bodyDiv w:val="1"/>
      <w:marLeft w:val="0"/>
      <w:marRight w:val="0"/>
      <w:marTop w:val="0"/>
      <w:marBottom w:val="0"/>
      <w:divBdr>
        <w:top w:val="none" w:sz="0" w:space="0" w:color="auto"/>
        <w:left w:val="none" w:sz="0" w:space="0" w:color="auto"/>
        <w:bottom w:val="none" w:sz="0" w:space="0" w:color="auto"/>
        <w:right w:val="none" w:sz="0" w:space="0" w:color="auto"/>
      </w:divBdr>
    </w:div>
    <w:div w:id="666595533">
      <w:bodyDiv w:val="1"/>
      <w:marLeft w:val="0"/>
      <w:marRight w:val="0"/>
      <w:marTop w:val="0"/>
      <w:marBottom w:val="0"/>
      <w:divBdr>
        <w:top w:val="none" w:sz="0" w:space="0" w:color="auto"/>
        <w:left w:val="none" w:sz="0" w:space="0" w:color="auto"/>
        <w:bottom w:val="none" w:sz="0" w:space="0" w:color="auto"/>
        <w:right w:val="none" w:sz="0" w:space="0" w:color="auto"/>
      </w:divBdr>
    </w:div>
    <w:div w:id="667833522">
      <w:bodyDiv w:val="1"/>
      <w:marLeft w:val="0"/>
      <w:marRight w:val="0"/>
      <w:marTop w:val="0"/>
      <w:marBottom w:val="0"/>
      <w:divBdr>
        <w:top w:val="none" w:sz="0" w:space="0" w:color="auto"/>
        <w:left w:val="none" w:sz="0" w:space="0" w:color="auto"/>
        <w:bottom w:val="none" w:sz="0" w:space="0" w:color="auto"/>
        <w:right w:val="none" w:sz="0" w:space="0" w:color="auto"/>
      </w:divBdr>
    </w:div>
    <w:div w:id="697971189">
      <w:bodyDiv w:val="1"/>
      <w:marLeft w:val="0"/>
      <w:marRight w:val="0"/>
      <w:marTop w:val="0"/>
      <w:marBottom w:val="0"/>
      <w:divBdr>
        <w:top w:val="none" w:sz="0" w:space="0" w:color="auto"/>
        <w:left w:val="none" w:sz="0" w:space="0" w:color="auto"/>
        <w:bottom w:val="none" w:sz="0" w:space="0" w:color="auto"/>
        <w:right w:val="none" w:sz="0" w:space="0" w:color="auto"/>
      </w:divBdr>
    </w:div>
    <w:div w:id="710349672">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2889891">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5123431">
      <w:bodyDiv w:val="1"/>
      <w:marLeft w:val="0"/>
      <w:marRight w:val="0"/>
      <w:marTop w:val="0"/>
      <w:marBottom w:val="0"/>
      <w:divBdr>
        <w:top w:val="none" w:sz="0" w:space="0" w:color="auto"/>
        <w:left w:val="none" w:sz="0" w:space="0" w:color="auto"/>
        <w:bottom w:val="none" w:sz="0" w:space="0" w:color="auto"/>
        <w:right w:val="none" w:sz="0" w:space="0" w:color="auto"/>
      </w:divBdr>
    </w:div>
    <w:div w:id="8217712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80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4996191">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538">
      <w:bodyDiv w:val="1"/>
      <w:marLeft w:val="0"/>
      <w:marRight w:val="0"/>
      <w:marTop w:val="0"/>
      <w:marBottom w:val="0"/>
      <w:divBdr>
        <w:top w:val="none" w:sz="0" w:space="0" w:color="auto"/>
        <w:left w:val="none" w:sz="0" w:space="0" w:color="auto"/>
        <w:bottom w:val="none" w:sz="0" w:space="0" w:color="auto"/>
        <w:right w:val="none" w:sz="0" w:space="0" w:color="auto"/>
      </w:divBdr>
    </w:div>
    <w:div w:id="923730877">
      <w:bodyDiv w:val="1"/>
      <w:marLeft w:val="0"/>
      <w:marRight w:val="0"/>
      <w:marTop w:val="0"/>
      <w:marBottom w:val="0"/>
      <w:divBdr>
        <w:top w:val="none" w:sz="0" w:space="0" w:color="auto"/>
        <w:left w:val="none" w:sz="0" w:space="0" w:color="auto"/>
        <w:bottom w:val="none" w:sz="0" w:space="0" w:color="auto"/>
        <w:right w:val="none" w:sz="0" w:space="0" w:color="auto"/>
      </w:divBdr>
    </w:div>
    <w:div w:id="934703663">
      <w:bodyDiv w:val="1"/>
      <w:marLeft w:val="0"/>
      <w:marRight w:val="0"/>
      <w:marTop w:val="0"/>
      <w:marBottom w:val="0"/>
      <w:divBdr>
        <w:top w:val="none" w:sz="0" w:space="0" w:color="auto"/>
        <w:left w:val="none" w:sz="0" w:space="0" w:color="auto"/>
        <w:bottom w:val="none" w:sz="0" w:space="0" w:color="auto"/>
        <w:right w:val="none" w:sz="0" w:space="0" w:color="auto"/>
      </w:divBdr>
    </w:div>
    <w:div w:id="942305817">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8413866">
      <w:bodyDiv w:val="1"/>
      <w:marLeft w:val="0"/>
      <w:marRight w:val="0"/>
      <w:marTop w:val="0"/>
      <w:marBottom w:val="0"/>
      <w:divBdr>
        <w:top w:val="none" w:sz="0" w:space="0" w:color="auto"/>
        <w:left w:val="none" w:sz="0" w:space="0" w:color="auto"/>
        <w:bottom w:val="none" w:sz="0" w:space="0" w:color="auto"/>
        <w:right w:val="none" w:sz="0" w:space="0" w:color="auto"/>
      </w:divBdr>
    </w:div>
    <w:div w:id="97113270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4701626">
      <w:bodyDiv w:val="1"/>
      <w:marLeft w:val="0"/>
      <w:marRight w:val="0"/>
      <w:marTop w:val="0"/>
      <w:marBottom w:val="0"/>
      <w:divBdr>
        <w:top w:val="none" w:sz="0" w:space="0" w:color="auto"/>
        <w:left w:val="none" w:sz="0" w:space="0" w:color="auto"/>
        <w:bottom w:val="none" w:sz="0" w:space="0" w:color="auto"/>
        <w:right w:val="none" w:sz="0" w:space="0" w:color="auto"/>
      </w:divBdr>
    </w:div>
    <w:div w:id="986057905">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10569335">
      <w:bodyDiv w:val="1"/>
      <w:marLeft w:val="0"/>
      <w:marRight w:val="0"/>
      <w:marTop w:val="0"/>
      <w:marBottom w:val="0"/>
      <w:divBdr>
        <w:top w:val="none" w:sz="0" w:space="0" w:color="auto"/>
        <w:left w:val="none" w:sz="0" w:space="0" w:color="auto"/>
        <w:bottom w:val="none" w:sz="0" w:space="0" w:color="auto"/>
        <w:right w:val="none" w:sz="0" w:space="0" w:color="auto"/>
      </w:divBdr>
    </w:div>
    <w:div w:id="101673028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1617425">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643308">
      <w:bodyDiv w:val="1"/>
      <w:marLeft w:val="0"/>
      <w:marRight w:val="0"/>
      <w:marTop w:val="0"/>
      <w:marBottom w:val="0"/>
      <w:divBdr>
        <w:top w:val="none" w:sz="0" w:space="0" w:color="auto"/>
        <w:left w:val="none" w:sz="0" w:space="0" w:color="auto"/>
        <w:bottom w:val="none" w:sz="0" w:space="0" w:color="auto"/>
        <w:right w:val="none" w:sz="0" w:space="0" w:color="auto"/>
      </w:divBdr>
    </w:div>
    <w:div w:id="1070689160">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5926963">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8156967">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8954947">
      <w:bodyDiv w:val="1"/>
      <w:marLeft w:val="0"/>
      <w:marRight w:val="0"/>
      <w:marTop w:val="0"/>
      <w:marBottom w:val="0"/>
      <w:divBdr>
        <w:top w:val="none" w:sz="0" w:space="0" w:color="auto"/>
        <w:left w:val="none" w:sz="0" w:space="0" w:color="auto"/>
        <w:bottom w:val="none" w:sz="0" w:space="0" w:color="auto"/>
        <w:right w:val="none" w:sz="0" w:space="0" w:color="auto"/>
      </w:divBdr>
    </w:div>
    <w:div w:id="1211915939">
      <w:bodyDiv w:val="1"/>
      <w:marLeft w:val="0"/>
      <w:marRight w:val="0"/>
      <w:marTop w:val="0"/>
      <w:marBottom w:val="0"/>
      <w:divBdr>
        <w:top w:val="none" w:sz="0" w:space="0" w:color="auto"/>
        <w:left w:val="none" w:sz="0" w:space="0" w:color="auto"/>
        <w:bottom w:val="none" w:sz="0" w:space="0" w:color="auto"/>
        <w:right w:val="none" w:sz="0" w:space="0" w:color="auto"/>
      </w:divBdr>
    </w:div>
    <w:div w:id="121654649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483749">
      <w:bodyDiv w:val="1"/>
      <w:marLeft w:val="0"/>
      <w:marRight w:val="0"/>
      <w:marTop w:val="0"/>
      <w:marBottom w:val="0"/>
      <w:divBdr>
        <w:top w:val="none" w:sz="0" w:space="0" w:color="auto"/>
        <w:left w:val="none" w:sz="0" w:space="0" w:color="auto"/>
        <w:bottom w:val="none" w:sz="0" w:space="0" w:color="auto"/>
        <w:right w:val="none" w:sz="0" w:space="0" w:color="auto"/>
      </w:divBdr>
    </w:div>
    <w:div w:id="1225873820">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5110703">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1286143">
      <w:bodyDiv w:val="1"/>
      <w:marLeft w:val="0"/>
      <w:marRight w:val="0"/>
      <w:marTop w:val="0"/>
      <w:marBottom w:val="0"/>
      <w:divBdr>
        <w:top w:val="none" w:sz="0" w:space="0" w:color="auto"/>
        <w:left w:val="none" w:sz="0" w:space="0" w:color="auto"/>
        <w:bottom w:val="none" w:sz="0" w:space="0" w:color="auto"/>
        <w:right w:val="none" w:sz="0" w:space="0" w:color="auto"/>
      </w:divBdr>
    </w:div>
    <w:div w:id="1325471325">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29559502">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172608">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8476182">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565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097094">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6630646">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5684408">
      <w:bodyDiv w:val="1"/>
      <w:marLeft w:val="0"/>
      <w:marRight w:val="0"/>
      <w:marTop w:val="0"/>
      <w:marBottom w:val="0"/>
      <w:divBdr>
        <w:top w:val="none" w:sz="0" w:space="0" w:color="auto"/>
        <w:left w:val="none" w:sz="0" w:space="0" w:color="auto"/>
        <w:bottom w:val="none" w:sz="0" w:space="0" w:color="auto"/>
        <w:right w:val="none" w:sz="0" w:space="0" w:color="auto"/>
      </w:divBdr>
    </w:div>
    <w:div w:id="1496411187">
      <w:bodyDiv w:val="1"/>
      <w:marLeft w:val="0"/>
      <w:marRight w:val="0"/>
      <w:marTop w:val="0"/>
      <w:marBottom w:val="0"/>
      <w:divBdr>
        <w:top w:val="none" w:sz="0" w:space="0" w:color="auto"/>
        <w:left w:val="none" w:sz="0" w:space="0" w:color="auto"/>
        <w:bottom w:val="none" w:sz="0" w:space="0" w:color="auto"/>
        <w:right w:val="none" w:sz="0" w:space="0" w:color="auto"/>
      </w:divBdr>
    </w:div>
    <w:div w:id="1506478884">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4725411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216769">
      <w:bodyDiv w:val="1"/>
      <w:marLeft w:val="0"/>
      <w:marRight w:val="0"/>
      <w:marTop w:val="0"/>
      <w:marBottom w:val="0"/>
      <w:divBdr>
        <w:top w:val="none" w:sz="0" w:space="0" w:color="auto"/>
        <w:left w:val="none" w:sz="0" w:space="0" w:color="auto"/>
        <w:bottom w:val="none" w:sz="0" w:space="0" w:color="auto"/>
        <w:right w:val="none" w:sz="0" w:space="0" w:color="auto"/>
      </w:divBdr>
    </w:div>
    <w:div w:id="158611496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2256345">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4484488">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3265219">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6563735">
      <w:bodyDiv w:val="1"/>
      <w:marLeft w:val="0"/>
      <w:marRight w:val="0"/>
      <w:marTop w:val="0"/>
      <w:marBottom w:val="0"/>
      <w:divBdr>
        <w:top w:val="none" w:sz="0" w:space="0" w:color="auto"/>
        <w:left w:val="none" w:sz="0" w:space="0" w:color="auto"/>
        <w:bottom w:val="none" w:sz="0" w:space="0" w:color="auto"/>
        <w:right w:val="none" w:sz="0" w:space="0" w:color="auto"/>
      </w:divBdr>
    </w:div>
    <w:div w:id="1724602571">
      <w:bodyDiv w:val="1"/>
      <w:marLeft w:val="0"/>
      <w:marRight w:val="0"/>
      <w:marTop w:val="0"/>
      <w:marBottom w:val="0"/>
      <w:divBdr>
        <w:top w:val="none" w:sz="0" w:space="0" w:color="auto"/>
        <w:left w:val="none" w:sz="0" w:space="0" w:color="auto"/>
        <w:bottom w:val="none" w:sz="0" w:space="0" w:color="auto"/>
        <w:right w:val="none" w:sz="0" w:space="0" w:color="auto"/>
      </w:divBdr>
    </w:div>
    <w:div w:id="1730614725">
      <w:bodyDiv w:val="1"/>
      <w:marLeft w:val="0"/>
      <w:marRight w:val="0"/>
      <w:marTop w:val="0"/>
      <w:marBottom w:val="0"/>
      <w:divBdr>
        <w:top w:val="none" w:sz="0" w:space="0" w:color="auto"/>
        <w:left w:val="none" w:sz="0" w:space="0" w:color="auto"/>
        <w:bottom w:val="none" w:sz="0" w:space="0" w:color="auto"/>
        <w:right w:val="none" w:sz="0" w:space="0" w:color="auto"/>
      </w:divBdr>
    </w:div>
    <w:div w:id="1769544211">
      <w:bodyDiv w:val="1"/>
      <w:marLeft w:val="0"/>
      <w:marRight w:val="0"/>
      <w:marTop w:val="0"/>
      <w:marBottom w:val="0"/>
      <w:divBdr>
        <w:top w:val="none" w:sz="0" w:space="0" w:color="auto"/>
        <w:left w:val="none" w:sz="0" w:space="0" w:color="auto"/>
        <w:bottom w:val="none" w:sz="0" w:space="0" w:color="auto"/>
        <w:right w:val="none" w:sz="0" w:space="0" w:color="auto"/>
      </w:divBdr>
    </w:div>
    <w:div w:id="1776049131">
      <w:bodyDiv w:val="1"/>
      <w:marLeft w:val="0"/>
      <w:marRight w:val="0"/>
      <w:marTop w:val="0"/>
      <w:marBottom w:val="0"/>
      <w:divBdr>
        <w:top w:val="none" w:sz="0" w:space="0" w:color="auto"/>
        <w:left w:val="none" w:sz="0" w:space="0" w:color="auto"/>
        <w:bottom w:val="none" w:sz="0" w:space="0" w:color="auto"/>
        <w:right w:val="none" w:sz="0" w:space="0" w:color="auto"/>
      </w:divBdr>
    </w:div>
    <w:div w:id="1784374171">
      <w:bodyDiv w:val="1"/>
      <w:marLeft w:val="0"/>
      <w:marRight w:val="0"/>
      <w:marTop w:val="0"/>
      <w:marBottom w:val="0"/>
      <w:divBdr>
        <w:top w:val="none" w:sz="0" w:space="0" w:color="auto"/>
        <w:left w:val="none" w:sz="0" w:space="0" w:color="auto"/>
        <w:bottom w:val="none" w:sz="0" w:space="0" w:color="auto"/>
        <w:right w:val="none" w:sz="0" w:space="0" w:color="auto"/>
      </w:divBdr>
    </w:div>
    <w:div w:id="1787769551">
      <w:bodyDiv w:val="1"/>
      <w:marLeft w:val="0"/>
      <w:marRight w:val="0"/>
      <w:marTop w:val="0"/>
      <w:marBottom w:val="0"/>
      <w:divBdr>
        <w:top w:val="none" w:sz="0" w:space="0" w:color="auto"/>
        <w:left w:val="none" w:sz="0" w:space="0" w:color="auto"/>
        <w:bottom w:val="none" w:sz="0" w:space="0" w:color="auto"/>
        <w:right w:val="none" w:sz="0" w:space="0" w:color="auto"/>
      </w:divBdr>
    </w:div>
    <w:div w:id="178901082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549307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5246">
      <w:bodyDiv w:val="1"/>
      <w:marLeft w:val="0"/>
      <w:marRight w:val="0"/>
      <w:marTop w:val="0"/>
      <w:marBottom w:val="0"/>
      <w:divBdr>
        <w:top w:val="none" w:sz="0" w:space="0" w:color="auto"/>
        <w:left w:val="none" w:sz="0" w:space="0" w:color="auto"/>
        <w:bottom w:val="none" w:sz="0" w:space="0" w:color="auto"/>
        <w:right w:val="none" w:sz="0" w:space="0" w:color="auto"/>
      </w:divBdr>
    </w:div>
    <w:div w:id="1893348804">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429478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63491086">
      <w:bodyDiv w:val="1"/>
      <w:marLeft w:val="0"/>
      <w:marRight w:val="0"/>
      <w:marTop w:val="0"/>
      <w:marBottom w:val="0"/>
      <w:divBdr>
        <w:top w:val="none" w:sz="0" w:space="0" w:color="auto"/>
        <w:left w:val="none" w:sz="0" w:space="0" w:color="auto"/>
        <w:bottom w:val="none" w:sz="0" w:space="0" w:color="auto"/>
        <w:right w:val="none" w:sz="0" w:space="0" w:color="auto"/>
      </w:divBdr>
    </w:div>
    <w:div w:id="1985968612">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060832">
      <w:bodyDiv w:val="1"/>
      <w:marLeft w:val="0"/>
      <w:marRight w:val="0"/>
      <w:marTop w:val="0"/>
      <w:marBottom w:val="0"/>
      <w:divBdr>
        <w:top w:val="none" w:sz="0" w:space="0" w:color="auto"/>
        <w:left w:val="none" w:sz="0" w:space="0" w:color="auto"/>
        <w:bottom w:val="none" w:sz="0" w:space="0" w:color="auto"/>
        <w:right w:val="none" w:sz="0" w:space="0" w:color="auto"/>
      </w:divBdr>
    </w:div>
    <w:div w:id="206852655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249436">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29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bs.gov.au/info/industry/listing/elements/pbac-meetings/pbac-outcomes/recommendations-made-pbac-august-201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3A8E6-5771-43AE-8D5B-DD33369F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2019-03-27T22:59:00Z</dcterms:created>
  <dcterms:modified xsi:type="dcterms:W3CDTF">2019-03-27T23:37:00Z</dcterms:modified>
</cp:coreProperties>
</file>