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8"/>
        <w:gridCol w:w="1984"/>
        <w:gridCol w:w="3260"/>
        <w:gridCol w:w="5245"/>
      </w:tblGrid>
      <w:tr w:rsidR="00251B34" w:rsidRPr="00447CFB" w:rsidTr="00766D90">
        <w:trPr>
          <w:tblHeader/>
        </w:trPr>
        <w:tc>
          <w:tcPr>
            <w:tcW w:w="2127" w:type="dxa"/>
            <w:vAlign w:val="center"/>
          </w:tcPr>
          <w:p w:rsidR="00251B34" w:rsidRPr="00447CFB" w:rsidRDefault="00251B34" w:rsidP="00766D90">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DRUG NAME, FORM(S), STRENGTH(S), SPONSOR, TYPE OF SUBMISSION</w:t>
            </w:r>
          </w:p>
        </w:tc>
        <w:tc>
          <w:tcPr>
            <w:tcW w:w="2268" w:type="dxa"/>
            <w:vAlign w:val="center"/>
          </w:tcPr>
          <w:p w:rsidR="00251B34" w:rsidRPr="00447CFB" w:rsidRDefault="00251B34" w:rsidP="00766D90">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TGA INDICATION</w:t>
            </w:r>
          </w:p>
          <w:p w:rsidR="00251B34" w:rsidRPr="00447CFB" w:rsidRDefault="00251B34" w:rsidP="00766D90">
            <w:pPr>
              <w:pStyle w:val="Header"/>
              <w:spacing w:after="240"/>
              <w:contextualSpacing/>
              <w:jc w:val="center"/>
              <w:rPr>
                <w:rFonts w:ascii="Arial" w:hAnsi="Arial" w:cs="Arial"/>
                <w:b/>
                <w:snapToGrid w:val="0"/>
                <w:sz w:val="20"/>
                <w:lang w:eastAsia="en-US"/>
              </w:rPr>
            </w:pPr>
          </w:p>
        </w:tc>
        <w:tc>
          <w:tcPr>
            <w:tcW w:w="1984" w:type="dxa"/>
            <w:vAlign w:val="center"/>
          </w:tcPr>
          <w:p w:rsidR="00251B34" w:rsidRPr="00447CFB" w:rsidRDefault="00251B34" w:rsidP="00766D90">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CURRENT PBS LISTING</w:t>
            </w:r>
          </w:p>
        </w:tc>
        <w:tc>
          <w:tcPr>
            <w:tcW w:w="3260" w:type="dxa"/>
            <w:shd w:val="clear" w:color="auto" w:fill="auto"/>
            <w:vAlign w:val="center"/>
          </w:tcPr>
          <w:p w:rsidR="00251B34" w:rsidRPr="00447CFB" w:rsidRDefault="00251B34" w:rsidP="00766D90">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LISTING REQUESTED BY SPONSOR / PURPOSE OF SUBMISSION</w:t>
            </w:r>
          </w:p>
        </w:tc>
        <w:tc>
          <w:tcPr>
            <w:tcW w:w="5245" w:type="dxa"/>
            <w:vAlign w:val="center"/>
          </w:tcPr>
          <w:p w:rsidR="00251B34" w:rsidRPr="00447CFB" w:rsidRDefault="00251B34" w:rsidP="00766D90">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PBAC OUTCOME</w:t>
            </w:r>
          </w:p>
        </w:tc>
      </w:tr>
      <w:tr w:rsidR="00C335B6" w:rsidRPr="00447CFB" w:rsidTr="00861DA9">
        <w:trPr>
          <w:trHeight w:val="1210"/>
        </w:trPr>
        <w:tc>
          <w:tcPr>
            <w:tcW w:w="2127" w:type="dxa"/>
            <w:vMerge w:val="restart"/>
            <w:shd w:val="clear" w:color="auto" w:fill="auto"/>
          </w:tcPr>
          <w:p w:rsidR="00C335B6" w:rsidRDefault="00C335B6" w:rsidP="000F0739">
            <w:pPr>
              <w:rPr>
                <w:rFonts w:ascii="Arial" w:hAnsi="Arial" w:cs="Arial"/>
                <w:color w:val="000000"/>
                <w:sz w:val="20"/>
              </w:rPr>
            </w:pPr>
            <w:r>
              <w:rPr>
                <w:rFonts w:ascii="Arial" w:hAnsi="Arial" w:cs="Arial"/>
                <w:color w:val="000000"/>
                <w:sz w:val="20"/>
              </w:rPr>
              <w:t>BEZLOTOXUMAB</w:t>
            </w:r>
            <w:r>
              <w:rPr>
                <w:rFonts w:ascii="Arial" w:hAnsi="Arial" w:cs="Arial"/>
                <w:color w:val="000000"/>
                <w:sz w:val="20"/>
              </w:rPr>
              <w:br/>
            </w:r>
            <w:r>
              <w:rPr>
                <w:rFonts w:ascii="Arial" w:hAnsi="Arial" w:cs="Arial"/>
                <w:color w:val="000000"/>
                <w:sz w:val="20"/>
              </w:rPr>
              <w:br/>
              <w:t>Solution concentrate for I.V. infusion 1000 mg in 40 mL</w:t>
            </w:r>
            <w:r>
              <w:rPr>
                <w:rFonts w:ascii="Arial" w:hAnsi="Arial" w:cs="Arial"/>
                <w:color w:val="000000"/>
                <w:sz w:val="20"/>
              </w:rPr>
              <w:br/>
            </w:r>
            <w:r>
              <w:rPr>
                <w:rFonts w:ascii="Arial" w:hAnsi="Arial" w:cs="Arial"/>
                <w:color w:val="000000"/>
                <w:sz w:val="20"/>
              </w:rPr>
              <w:br/>
              <w:t>Zinplava®</w:t>
            </w:r>
            <w:r>
              <w:rPr>
                <w:rFonts w:ascii="Arial" w:hAnsi="Arial" w:cs="Arial"/>
                <w:color w:val="000000"/>
                <w:sz w:val="20"/>
              </w:rPr>
              <w:br/>
            </w:r>
            <w:r>
              <w:rPr>
                <w:rFonts w:ascii="Arial" w:hAnsi="Arial" w:cs="Arial"/>
                <w:color w:val="000000"/>
                <w:sz w:val="20"/>
              </w:rPr>
              <w:br/>
              <w:t>Merck Sharp &amp; Dohme (Australia) Pty Ltd</w:t>
            </w:r>
          </w:p>
          <w:p w:rsidR="00C335B6" w:rsidRPr="000F0739" w:rsidRDefault="00C335B6" w:rsidP="00DE7C72">
            <w:pPr>
              <w:rPr>
                <w:rFonts w:ascii="Arial" w:hAnsi="Arial" w:cs="Arial"/>
                <w:sz w:val="20"/>
              </w:rPr>
            </w:pPr>
          </w:p>
          <w:p w:rsidR="00C335B6" w:rsidRPr="000F0739" w:rsidRDefault="00C335B6" w:rsidP="00DE7C72">
            <w:pPr>
              <w:rPr>
                <w:rFonts w:ascii="Arial" w:hAnsi="Arial" w:cs="Arial"/>
                <w:sz w:val="20"/>
              </w:rPr>
            </w:pPr>
            <w:r w:rsidRPr="000F0739">
              <w:rPr>
                <w:rFonts w:ascii="Arial" w:hAnsi="Arial" w:cs="Arial"/>
                <w:sz w:val="20"/>
              </w:rPr>
              <w:t>New listing</w:t>
            </w:r>
          </w:p>
          <w:p w:rsidR="00C335B6" w:rsidRPr="007E146D" w:rsidRDefault="00C335B6" w:rsidP="00DE7C72">
            <w:pPr>
              <w:rPr>
                <w:rFonts w:ascii="Arial" w:hAnsi="Arial" w:cs="Arial"/>
                <w:sz w:val="20"/>
                <w:highlight w:val="yellow"/>
              </w:rPr>
            </w:pPr>
            <w:r w:rsidRPr="000F0739">
              <w:rPr>
                <w:rFonts w:ascii="Arial" w:hAnsi="Arial" w:cs="Arial"/>
                <w:sz w:val="20"/>
              </w:rPr>
              <w:t>(Major Submission)</w:t>
            </w:r>
          </w:p>
        </w:tc>
        <w:tc>
          <w:tcPr>
            <w:tcW w:w="2268" w:type="dxa"/>
            <w:vMerge w:val="restart"/>
            <w:shd w:val="clear" w:color="auto" w:fill="auto"/>
          </w:tcPr>
          <w:p w:rsidR="00C335B6" w:rsidRPr="00CA0C65" w:rsidRDefault="00C335B6" w:rsidP="0092695A">
            <w:pPr>
              <w:rPr>
                <w:rFonts w:ascii="Arial" w:hAnsi="Arial"/>
                <w:sz w:val="20"/>
                <w:highlight w:val="yellow"/>
              </w:rPr>
            </w:pPr>
            <w:r>
              <w:rPr>
                <w:rFonts w:ascii="Arial" w:hAnsi="Arial"/>
                <w:sz w:val="20"/>
              </w:rPr>
              <w:t xml:space="preserve">Indicated for </w:t>
            </w:r>
            <w:r w:rsidRPr="009A2F64">
              <w:rPr>
                <w:rFonts w:ascii="Arial" w:hAnsi="Arial"/>
                <w:sz w:val="20"/>
              </w:rPr>
              <w:t>the prevention of recurrence of Clostridium difficile infection (CDI) in adult patients 18 years or older at high risk of recurrence of CDI who are receiving antibiotic therapy for CDI. ZINPLAVA is not indicated for the treatment of CDI. ZINPLAVA is not an antibacterial drug. ZINPLAVA should only be used in conjunction with antibacterial drug treatment of CDI.</w:t>
            </w:r>
          </w:p>
        </w:tc>
        <w:tc>
          <w:tcPr>
            <w:tcW w:w="1984" w:type="dxa"/>
            <w:vMerge w:val="restart"/>
            <w:shd w:val="clear" w:color="auto" w:fill="auto"/>
          </w:tcPr>
          <w:p w:rsidR="00C335B6" w:rsidRPr="007E146D" w:rsidRDefault="00C335B6" w:rsidP="00C335B6">
            <w:pPr>
              <w:rPr>
                <w:rFonts w:ascii="Arial" w:hAnsi="Arial" w:cs="Arial"/>
                <w:sz w:val="20"/>
                <w:highlight w:val="yellow"/>
              </w:rPr>
            </w:pPr>
            <w:r>
              <w:rPr>
                <w:rFonts w:ascii="Arial" w:hAnsi="Arial"/>
                <w:sz w:val="20"/>
              </w:rPr>
              <w:t>BEZLOTOXUMA</w:t>
            </w:r>
            <w:r w:rsidRPr="009A2F64">
              <w:rPr>
                <w:rFonts w:ascii="Arial" w:hAnsi="Arial"/>
                <w:sz w:val="20"/>
              </w:rPr>
              <w:t>B is not currently PBS listed</w:t>
            </w:r>
            <w:r>
              <w:rPr>
                <w:rFonts w:ascii="Arial" w:hAnsi="Arial"/>
                <w:sz w:val="20"/>
              </w:rPr>
              <w:t>.</w:t>
            </w:r>
          </w:p>
        </w:tc>
        <w:tc>
          <w:tcPr>
            <w:tcW w:w="3260" w:type="dxa"/>
            <w:shd w:val="clear" w:color="auto" w:fill="auto"/>
          </w:tcPr>
          <w:p w:rsidR="00C335B6" w:rsidRPr="009A2F64" w:rsidRDefault="00C335B6" w:rsidP="0092695A">
            <w:pPr>
              <w:keepLines/>
              <w:rPr>
                <w:rFonts w:ascii="Arial" w:hAnsi="Arial"/>
                <w:sz w:val="20"/>
              </w:rPr>
            </w:pPr>
            <w:r>
              <w:rPr>
                <w:rFonts w:ascii="Arial" w:hAnsi="Arial"/>
                <w:sz w:val="20"/>
              </w:rPr>
              <w:t xml:space="preserve">Resubmission to request a Section 100 Authority required listing for the treatment of patients at high risk of </w:t>
            </w:r>
            <w:r w:rsidR="00AE1E93">
              <w:rPr>
                <w:rFonts w:ascii="Arial" w:hAnsi="Arial"/>
                <w:i/>
                <w:sz w:val="20"/>
              </w:rPr>
              <w:t>Clostridium</w:t>
            </w:r>
            <w:r>
              <w:rPr>
                <w:rFonts w:ascii="Arial" w:hAnsi="Arial"/>
                <w:i/>
                <w:sz w:val="20"/>
              </w:rPr>
              <w:t xml:space="preserve"> difficile</w:t>
            </w:r>
            <w:r>
              <w:rPr>
                <w:rFonts w:ascii="Arial" w:hAnsi="Arial"/>
                <w:sz w:val="20"/>
              </w:rPr>
              <w:t xml:space="preserve"> infection</w:t>
            </w:r>
          </w:p>
        </w:tc>
        <w:tc>
          <w:tcPr>
            <w:tcW w:w="5245" w:type="dxa"/>
            <w:shd w:val="clear" w:color="auto" w:fill="auto"/>
          </w:tcPr>
          <w:p w:rsidR="00C335B6" w:rsidRPr="00CA0C65" w:rsidRDefault="00C335B6" w:rsidP="0092695A">
            <w:pPr>
              <w:rPr>
                <w:rFonts w:ascii="Arial" w:hAnsi="Arial"/>
                <w:sz w:val="20"/>
                <w:highlight w:val="yellow"/>
              </w:rPr>
            </w:pPr>
            <w:r w:rsidRPr="009A2F64">
              <w:rPr>
                <w:rFonts w:ascii="Arial" w:hAnsi="Arial"/>
                <w:sz w:val="20"/>
              </w:rPr>
              <w:t xml:space="preserve">The PBAC did not recommend the listing of bezlotoxumab on the PBS for the prevention of </w:t>
            </w:r>
            <w:r w:rsidRPr="004D4F31">
              <w:rPr>
                <w:rFonts w:ascii="Arial" w:hAnsi="Arial"/>
                <w:i/>
                <w:sz w:val="20"/>
              </w:rPr>
              <w:t>Clostridium difficile</w:t>
            </w:r>
            <w:r w:rsidRPr="009A2F64">
              <w:rPr>
                <w:rFonts w:ascii="Arial" w:hAnsi="Arial"/>
                <w:sz w:val="20"/>
              </w:rPr>
              <w:t xml:space="preserve"> infection (CDI) on the basis of modest clinical benefit, </w:t>
            </w:r>
            <w:r>
              <w:rPr>
                <w:rFonts w:ascii="Arial" w:hAnsi="Arial"/>
                <w:sz w:val="20"/>
              </w:rPr>
              <w:t>uncertain and unfavourable cost</w:t>
            </w:r>
            <w:r>
              <w:rPr>
                <w:rFonts w:ascii="Arial" w:hAnsi="Arial"/>
                <w:sz w:val="20"/>
              </w:rPr>
              <w:noBreakHyphen/>
            </w:r>
            <w:r w:rsidRPr="009A2F64">
              <w:rPr>
                <w:rFonts w:ascii="Arial" w:hAnsi="Arial"/>
                <w:sz w:val="20"/>
              </w:rPr>
              <w:t>effectiveness, and considerable opportunity cost.</w:t>
            </w:r>
          </w:p>
        </w:tc>
      </w:tr>
      <w:tr w:rsidR="00C335B6" w:rsidRPr="00447CFB" w:rsidTr="00861DA9">
        <w:trPr>
          <w:trHeight w:val="406"/>
        </w:trPr>
        <w:tc>
          <w:tcPr>
            <w:tcW w:w="2127" w:type="dxa"/>
            <w:vMerge/>
            <w:shd w:val="clear" w:color="auto" w:fill="auto"/>
          </w:tcPr>
          <w:p w:rsidR="00C335B6" w:rsidRPr="007E146D" w:rsidRDefault="00C335B6" w:rsidP="00DE7C72">
            <w:pPr>
              <w:rPr>
                <w:rFonts w:ascii="Arial" w:hAnsi="Arial" w:cs="Arial"/>
                <w:sz w:val="20"/>
              </w:rPr>
            </w:pPr>
          </w:p>
        </w:tc>
        <w:tc>
          <w:tcPr>
            <w:tcW w:w="2268" w:type="dxa"/>
            <w:vMerge/>
            <w:shd w:val="clear" w:color="auto" w:fill="auto"/>
          </w:tcPr>
          <w:p w:rsidR="00C335B6" w:rsidRPr="007E146D" w:rsidRDefault="00C335B6" w:rsidP="00DE7C72">
            <w:pPr>
              <w:rPr>
                <w:rFonts w:ascii="Arial" w:hAnsi="Arial" w:cs="Arial"/>
                <w:sz w:val="20"/>
              </w:rPr>
            </w:pPr>
          </w:p>
        </w:tc>
        <w:tc>
          <w:tcPr>
            <w:tcW w:w="1984" w:type="dxa"/>
            <w:vMerge/>
            <w:shd w:val="clear" w:color="auto" w:fill="auto"/>
          </w:tcPr>
          <w:p w:rsidR="00C335B6" w:rsidRPr="007E146D" w:rsidRDefault="00C335B6" w:rsidP="00DE7C72">
            <w:pPr>
              <w:rPr>
                <w:rFonts w:ascii="Arial" w:hAnsi="Arial" w:cs="Arial"/>
                <w:sz w:val="20"/>
              </w:rPr>
            </w:pPr>
          </w:p>
        </w:tc>
        <w:tc>
          <w:tcPr>
            <w:tcW w:w="3260" w:type="dxa"/>
            <w:shd w:val="clear" w:color="auto" w:fill="auto"/>
          </w:tcPr>
          <w:p w:rsidR="00C335B6" w:rsidRPr="00CA0C65" w:rsidRDefault="00766D90" w:rsidP="00861DA9">
            <w:pPr>
              <w:pStyle w:val="ListBullet"/>
            </w:pPr>
            <w:r>
              <w:t xml:space="preserve">Comparator: </w:t>
            </w:r>
            <w:r w:rsidR="00C335B6">
              <w:t>Placebo</w:t>
            </w:r>
          </w:p>
        </w:tc>
        <w:tc>
          <w:tcPr>
            <w:tcW w:w="5245" w:type="dxa"/>
            <w:shd w:val="clear" w:color="auto" w:fill="auto"/>
          </w:tcPr>
          <w:p w:rsidR="00C335B6" w:rsidRPr="00CA0C65" w:rsidRDefault="00C335B6" w:rsidP="00861DA9">
            <w:pPr>
              <w:rPr>
                <w:rFonts w:ascii="Arial" w:hAnsi="Arial"/>
                <w:sz w:val="20"/>
                <w:highlight w:val="yellow"/>
              </w:rPr>
            </w:pPr>
            <w:r>
              <w:rPr>
                <w:rFonts w:ascii="Arial" w:hAnsi="Arial"/>
                <w:sz w:val="20"/>
              </w:rPr>
              <w:t>The PBAC previously accepted that the comparator was placebo.</w:t>
            </w:r>
          </w:p>
        </w:tc>
      </w:tr>
      <w:tr w:rsidR="00C335B6" w:rsidRPr="00447CFB" w:rsidTr="00C335B6">
        <w:trPr>
          <w:trHeight w:val="671"/>
        </w:trPr>
        <w:tc>
          <w:tcPr>
            <w:tcW w:w="2127" w:type="dxa"/>
            <w:vMerge/>
            <w:shd w:val="clear" w:color="auto" w:fill="auto"/>
          </w:tcPr>
          <w:p w:rsidR="00C335B6" w:rsidRPr="007E146D" w:rsidRDefault="00C335B6" w:rsidP="00DE7C72">
            <w:pPr>
              <w:rPr>
                <w:rFonts w:ascii="Arial" w:hAnsi="Arial" w:cs="Arial"/>
                <w:sz w:val="20"/>
              </w:rPr>
            </w:pPr>
          </w:p>
        </w:tc>
        <w:tc>
          <w:tcPr>
            <w:tcW w:w="2268" w:type="dxa"/>
            <w:vMerge/>
            <w:shd w:val="clear" w:color="auto" w:fill="auto"/>
          </w:tcPr>
          <w:p w:rsidR="00C335B6" w:rsidRPr="007E146D" w:rsidRDefault="00C335B6" w:rsidP="00DE7C72">
            <w:pPr>
              <w:rPr>
                <w:rFonts w:ascii="Arial" w:hAnsi="Arial" w:cs="Arial"/>
                <w:sz w:val="20"/>
              </w:rPr>
            </w:pPr>
          </w:p>
        </w:tc>
        <w:tc>
          <w:tcPr>
            <w:tcW w:w="1984" w:type="dxa"/>
            <w:vMerge/>
            <w:shd w:val="clear" w:color="auto" w:fill="auto"/>
          </w:tcPr>
          <w:p w:rsidR="00C335B6" w:rsidRPr="007E146D" w:rsidRDefault="00C335B6" w:rsidP="00DE7C72">
            <w:pPr>
              <w:rPr>
                <w:rFonts w:ascii="Arial" w:hAnsi="Arial" w:cs="Arial"/>
                <w:sz w:val="20"/>
              </w:rPr>
            </w:pPr>
          </w:p>
        </w:tc>
        <w:tc>
          <w:tcPr>
            <w:tcW w:w="3260" w:type="dxa"/>
            <w:shd w:val="clear" w:color="auto" w:fill="auto"/>
          </w:tcPr>
          <w:p w:rsidR="00C335B6" w:rsidRPr="00CA0C65" w:rsidRDefault="00766D90" w:rsidP="00861DA9">
            <w:pPr>
              <w:pStyle w:val="ListBullet"/>
            </w:pPr>
            <w:r>
              <w:t xml:space="preserve">Clinical claim: </w:t>
            </w:r>
            <w:r w:rsidR="00C335B6">
              <w:t>Superior comparative effectiveness and non-inferior comparative safety compared to placebo.</w:t>
            </w:r>
          </w:p>
        </w:tc>
        <w:tc>
          <w:tcPr>
            <w:tcW w:w="5245" w:type="dxa"/>
            <w:shd w:val="clear" w:color="auto" w:fill="auto"/>
          </w:tcPr>
          <w:p w:rsidR="00C335B6" w:rsidRDefault="00C335B6" w:rsidP="0092695A">
            <w:pPr>
              <w:rPr>
                <w:rFonts w:ascii="Arial" w:hAnsi="Arial"/>
                <w:sz w:val="20"/>
              </w:rPr>
            </w:pPr>
            <w:r>
              <w:rPr>
                <w:rFonts w:ascii="Arial" w:hAnsi="Arial"/>
                <w:sz w:val="20"/>
              </w:rPr>
              <w:t>The PBAC accepted the claim of superior comparative efficacy of bezlotoxumab compared</w:t>
            </w:r>
            <w:bookmarkStart w:id="0" w:name="_GoBack"/>
            <w:bookmarkEnd w:id="0"/>
            <w:r>
              <w:rPr>
                <w:rFonts w:ascii="Arial" w:hAnsi="Arial"/>
                <w:sz w:val="20"/>
              </w:rPr>
              <w:t xml:space="preserve"> to placebo, although the PBAC considered that the magnitude of benefit was modest.</w:t>
            </w:r>
          </w:p>
          <w:p w:rsidR="00C335B6" w:rsidRPr="00CA0C65" w:rsidRDefault="00C335B6" w:rsidP="00861DA9">
            <w:pPr>
              <w:rPr>
                <w:rFonts w:ascii="Arial" w:hAnsi="Arial"/>
                <w:sz w:val="20"/>
                <w:highlight w:val="yellow"/>
              </w:rPr>
            </w:pPr>
            <w:r>
              <w:rPr>
                <w:rFonts w:ascii="Arial" w:hAnsi="Arial"/>
                <w:sz w:val="20"/>
              </w:rPr>
              <w:t>The PBAC did not accept the claim of non-inferior comparative safety. The PBAC considered that a claim of inferior comparative safety would be more reasonable.</w:t>
            </w:r>
          </w:p>
        </w:tc>
      </w:tr>
      <w:tr w:rsidR="00C335B6" w:rsidRPr="00447CFB" w:rsidTr="00C335B6">
        <w:trPr>
          <w:trHeight w:val="374"/>
        </w:trPr>
        <w:tc>
          <w:tcPr>
            <w:tcW w:w="2127" w:type="dxa"/>
            <w:vMerge/>
            <w:shd w:val="clear" w:color="auto" w:fill="auto"/>
          </w:tcPr>
          <w:p w:rsidR="00C335B6" w:rsidRPr="00447CFB" w:rsidRDefault="00C335B6" w:rsidP="00DE7C72">
            <w:pPr>
              <w:rPr>
                <w:rFonts w:ascii="Arial" w:hAnsi="Arial" w:cs="Arial"/>
                <w:sz w:val="20"/>
              </w:rPr>
            </w:pPr>
          </w:p>
        </w:tc>
        <w:tc>
          <w:tcPr>
            <w:tcW w:w="2268" w:type="dxa"/>
            <w:vMerge/>
            <w:shd w:val="clear" w:color="auto" w:fill="auto"/>
          </w:tcPr>
          <w:p w:rsidR="00C335B6" w:rsidRPr="00447CFB" w:rsidRDefault="00C335B6" w:rsidP="00DE7C72">
            <w:pPr>
              <w:rPr>
                <w:rFonts w:ascii="Arial" w:hAnsi="Arial" w:cs="Arial"/>
                <w:sz w:val="20"/>
              </w:rPr>
            </w:pPr>
          </w:p>
        </w:tc>
        <w:tc>
          <w:tcPr>
            <w:tcW w:w="1984" w:type="dxa"/>
            <w:vMerge/>
            <w:shd w:val="clear" w:color="auto" w:fill="auto"/>
          </w:tcPr>
          <w:p w:rsidR="00C335B6" w:rsidRPr="00447CFB" w:rsidRDefault="00C335B6" w:rsidP="00DE7C72">
            <w:pPr>
              <w:rPr>
                <w:rFonts w:ascii="Arial" w:hAnsi="Arial" w:cs="Arial"/>
                <w:sz w:val="20"/>
              </w:rPr>
            </w:pPr>
          </w:p>
        </w:tc>
        <w:tc>
          <w:tcPr>
            <w:tcW w:w="3260" w:type="dxa"/>
            <w:shd w:val="clear" w:color="auto" w:fill="auto"/>
          </w:tcPr>
          <w:p w:rsidR="00C335B6" w:rsidRPr="00CA0C65" w:rsidRDefault="00C335B6" w:rsidP="00861DA9">
            <w:pPr>
              <w:pStyle w:val="ListBullet"/>
            </w:pPr>
            <w:r w:rsidRPr="00CA0C65">
              <w:t>Economic claim:</w:t>
            </w:r>
            <w:r>
              <w:t xml:space="preserve"> Cost-effectiveness basis compared to standard of care (oral antibiotics)</w:t>
            </w:r>
          </w:p>
        </w:tc>
        <w:tc>
          <w:tcPr>
            <w:tcW w:w="5245" w:type="dxa"/>
            <w:shd w:val="clear" w:color="auto" w:fill="auto"/>
          </w:tcPr>
          <w:p w:rsidR="00C25E3D" w:rsidRPr="006D351A" w:rsidRDefault="00C335B6" w:rsidP="006E4928">
            <w:pPr>
              <w:rPr>
                <w:rFonts w:ascii="Arial" w:hAnsi="Arial"/>
                <w:sz w:val="20"/>
              </w:rPr>
            </w:pPr>
            <w:r>
              <w:rPr>
                <w:rFonts w:ascii="Arial" w:hAnsi="Arial"/>
                <w:sz w:val="20"/>
              </w:rPr>
              <w:t xml:space="preserve">The PBAC considered that the incremental cost effectiveness ratio (ICER) per quality adjusted life-year (QALY) presented in the submission was uncertain and likely an underestimate. The PBAC noted that the economic model was highly sensitive to the mortality and CDI recurrence rates, for which the available data was uncertain and variable. The PBAC also noted that the clinical trial data presented in the </w:t>
            </w:r>
            <w:r w:rsidR="00E46E8F">
              <w:rPr>
                <w:rFonts w:ascii="Arial" w:hAnsi="Arial"/>
                <w:sz w:val="20"/>
              </w:rPr>
              <w:t>re</w:t>
            </w:r>
            <w:r>
              <w:rPr>
                <w:rFonts w:ascii="Arial" w:hAnsi="Arial"/>
                <w:sz w:val="20"/>
              </w:rPr>
              <w:t>submission did not demonstrate a difference in mortality rates. The PBAC therefore considered that it would be appropriate to take a more conservative approach to the estimates of both baseline CDI recurrence and mortality, and the difference between placebo and bezlotoxumab with regard to these parameters. The PBAC defined a multivariate analysis that it considered to be more informative, and noted that the resulting ICER per QALY was &gt;$200,000.</w:t>
            </w:r>
          </w:p>
        </w:tc>
      </w:tr>
      <w:tr w:rsidR="00C335B6" w:rsidRPr="00447CFB" w:rsidTr="00361AA8">
        <w:trPr>
          <w:trHeight w:val="308"/>
        </w:trPr>
        <w:tc>
          <w:tcPr>
            <w:tcW w:w="2127" w:type="dxa"/>
            <w:vMerge/>
            <w:shd w:val="clear" w:color="auto" w:fill="auto"/>
          </w:tcPr>
          <w:p w:rsidR="00C335B6" w:rsidRPr="00447CFB" w:rsidRDefault="00C335B6" w:rsidP="00DE7C72">
            <w:pPr>
              <w:rPr>
                <w:rFonts w:ascii="Arial" w:hAnsi="Arial" w:cs="Arial"/>
                <w:sz w:val="20"/>
              </w:rPr>
            </w:pPr>
          </w:p>
        </w:tc>
        <w:tc>
          <w:tcPr>
            <w:tcW w:w="2268" w:type="dxa"/>
            <w:vMerge/>
            <w:shd w:val="clear" w:color="auto" w:fill="auto"/>
          </w:tcPr>
          <w:p w:rsidR="00C335B6" w:rsidRPr="00447CFB" w:rsidRDefault="00C335B6" w:rsidP="00DE7C72">
            <w:pPr>
              <w:rPr>
                <w:rFonts w:ascii="Arial" w:hAnsi="Arial" w:cs="Arial"/>
                <w:sz w:val="20"/>
              </w:rPr>
            </w:pPr>
          </w:p>
        </w:tc>
        <w:tc>
          <w:tcPr>
            <w:tcW w:w="1984" w:type="dxa"/>
            <w:vMerge/>
            <w:shd w:val="clear" w:color="auto" w:fill="auto"/>
          </w:tcPr>
          <w:p w:rsidR="00C335B6" w:rsidRPr="00447CFB" w:rsidRDefault="00C335B6" w:rsidP="00DE7C72">
            <w:pPr>
              <w:rPr>
                <w:rFonts w:ascii="Arial" w:hAnsi="Arial" w:cs="Arial"/>
                <w:sz w:val="20"/>
              </w:rPr>
            </w:pPr>
          </w:p>
        </w:tc>
        <w:tc>
          <w:tcPr>
            <w:tcW w:w="3260" w:type="dxa"/>
            <w:shd w:val="clear" w:color="auto" w:fill="auto"/>
          </w:tcPr>
          <w:p w:rsidR="00C335B6" w:rsidRPr="00447CFB" w:rsidRDefault="00C335B6" w:rsidP="00766D90">
            <w:pPr>
              <w:pStyle w:val="ListBullet"/>
            </w:pPr>
            <w:r w:rsidRPr="00447CFB">
              <w:t>Sponsor’s comments:</w:t>
            </w:r>
          </w:p>
        </w:tc>
        <w:tc>
          <w:tcPr>
            <w:tcW w:w="5245" w:type="dxa"/>
            <w:shd w:val="clear" w:color="auto" w:fill="auto"/>
          </w:tcPr>
          <w:p w:rsidR="00C335B6" w:rsidRDefault="00361AA8" w:rsidP="00DE7C72">
            <w:pPr>
              <w:jc w:val="both"/>
              <w:rPr>
                <w:rFonts w:ascii="Arial" w:hAnsi="Arial" w:cs="Arial"/>
                <w:sz w:val="20"/>
              </w:rPr>
            </w:pPr>
            <w:r w:rsidRPr="00361AA8">
              <w:rPr>
                <w:rFonts w:ascii="Arial" w:hAnsi="Arial" w:cs="Arial"/>
                <w:sz w:val="20"/>
              </w:rPr>
              <w:t xml:space="preserve">The sponsor is disappointed in the PBAC outcomes for bezlotoxumab and is working with government towards making this treatment option available for patients with </w:t>
            </w:r>
            <w:r w:rsidRPr="00361AA8">
              <w:rPr>
                <w:rFonts w:ascii="Arial" w:hAnsi="Arial" w:cs="Arial"/>
                <w:i/>
                <w:sz w:val="20"/>
              </w:rPr>
              <w:t>Clostridium difficile</w:t>
            </w:r>
            <w:r w:rsidRPr="00361AA8">
              <w:rPr>
                <w:rFonts w:ascii="Arial" w:hAnsi="Arial" w:cs="Arial"/>
                <w:sz w:val="20"/>
              </w:rPr>
              <w:t xml:space="preserve"> infection in Australia.</w:t>
            </w:r>
          </w:p>
        </w:tc>
      </w:tr>
      <w:tr w:rsidR="00D47A86" w:rsidRPr="00447CFB" w:rsidTr="00D47A86">
        <w:trPr>
          <w:cantSplit/>
          <w:trHeight w:val="435"/>
        </w:trPr>
        <w:tc>
          <w:tcPr>
            <w:tcW w:w="2127" w:type="dxa"/>
            <w:vMerge w:val="restart"/>
          </w:tcPr>
          <w:p w:rsidR="00D47A86" w:rsidRDefault="00D47A86" w:rsidP="000F0739">
            <w:pPr>
              <w:rPr>
                <w:rFonts w:ascii="Arial" w:hAnsi="Arial" w:cs="Arial"/>
                <w:color w:val="000000"/>
                <w:sz w:val="20"/>
              </w:rPr>
            </w:pPr>
            <w:r>
              <w:rPr>
                <w:rFonts w:ascii="Arial" w:hAnsi="Arial" w:cs="Arial"/>
                <w:color w:val="000000"/>
                <w:sz w:val="20"/>
              </w:rPr>
              <w:lastRenderedPageBreak/>
              <w:t>EVOLOCUMAB</w:t>
            </w:r>
            <w:r>
              <w:rPr>
                <w:rFonts w:ascii="Arial" w:hAnsi="Arial" w:cs="Arial"/>
                <w:color w:val="000000"/>
                <w:sz w:val="20"/>
              </w:rPr>
              <w:br/>
            </w:r>
            <w:r>
              <w:rPr>
                <w:rFonts w:ascii="Arial" w:hAnsi="Arial" w:cs="Arial"/>
                <w:color w:val="000000"/>
                <w:sz w:val="20"/>
              </w:rPr>
              <w:br/>
              <w:t>Injection 140 mg in 1 mL single use pre-filled pen</w:t>
            </w:r>
            <w:r>
              <w:rPr>
                <w:rFonts w:ascii="Arial" w:hAnsi="Arial" w:cs="Arial"/>
                <w:color w:val="000000"/>
                <w:sz w:val="20"/>
              </w:rPr>
              <w:br/>
              <w:t>Injection 420 mg in 3.5 mL single use pre-filled cartridge</w:t>
            </w:r>
            <w:r>
              <w:rPr>
                <w:rFonts w:ascii="Arial" w:hAnsi="Arial" w:cs="Arial"/>
                <w:color w:val="000000"/>
                <w:sz w:val="20"/>
              </w:rPr>
              <w:br/>
            </w:r>
            <w:r>
              <w:rPr>
                <w:rFonts w:ascii="Arial" w:hAnsi="Arial" w:cs="Arial"/>
                <w:color w:val="000000"/>
                <w:sz w:val="20"/>
              </w:rPr>
              <w:br/>
              <w:t>Repatha®</w:t>
            </w:r>
            <w:r>
              <w:rPr>
                <w:rFonts w:ascii="Arial" w:hAnsi="Arial" w:cs="Arial"/>
                <w:color w:val="000000"/>
                <w:sz w:val="20"/>
              </w:rPr>
              <w:br/>
            </w:r>
            <w:r>
              <w:rPr>
                <w:rFonts w:ascii="Arial" w:hAnsi="Arial" w:cs="Arial"/>
                <w:color w:val="000000"/>
                <w:sz w:val="20"/>
              </w:rPr>
              <w:br/>
              <w:t>Amgen Australia Pty Ltd</w:t>
            </w:r>
          </w:p>
          <w:p w:rsidR="00D47A86" w:rsidRDefault="00D47A86" w:rsidP="00DE7C72">
            <w:pPr>
              <w:rPr>
                <w:rFonts w:ascii="Arial" w:hAnsi="Arial" w:cs="Arial"/>
                <w:color w:val="000000"/>
                <w:sz w:val="20"/>
              </w:rPr>
            </w:pPr>
          </w:p>
          <w:p w:rsidR="00D47A86" w:rsidRDefault="00D47A86" w:rsidP="00DE7C72">
            <w:pPr>
              <w:rPr>
                <w:rFonts w:ascii="Arial" w:hAnsi="Arial" w:cs="Arial"/>
                <w:color w:val="000000"/>
                <w:sz w:val="20"/>
              </w:rPr>
            </w:pPr>
            <w:r>
              <w:rPr>
                <w:rFonts w:ascii="Arial" w:hAnsi="Arial" w:cs="Arial"/>
                <w:color w:val="000000"/>
                <w:sz w:val="20"/>
              </w:rPr>
              <w:t>Change to listing</w:t>
            </w:r>
          </w:p>
          <w:p w:rsidR="00D47A86" w:rsidRPr="00447CFB" w:rsidRDefault="00D47A86" w:rsidP="00DE7C72">
            <w:pPr>
              <w:rPr>
                <w:rFonts w:ascii="Arial" w:hAnsi="Arial" w:cs="Arial"/>
                <w:color w:val="000000"/>
                <w:sz w:val="20"/>
              </w:rPr>
            </w:pPr>
            <w:r>
              <w:rPr>
                <w:rFonts w:ascii="Arial" w:hAnsi="Arial" w:cs="Arial"/>
                <w:color w:val="000000"/>
                <w:sz w:val="20"/>
              </w:rPr>
              <w:t>(Major Submission)</w:t>
            </w:r>
          </w:p>
        </w:tc>
        <w:tc>
          <w:tcPr>
            <w:tcW w:w="2268" w:type="dxa"/>
            <w:vMerge w:val="restart"/>
          </w:tcPr>
          <w:p w:rsidR="00D47A86" w:rsidRDefault="00D47A86" w:rsidP="00D47A86">
            <w:pPr>
              <w:rPr>
                <w:rFonts w:ascii="Arial" w:hAnsi="Arial" w:cs="Arial"/>
                <w:color w:val="000000"/>
                <w:sz w:val="20"/>
              </w:rPr>
            </w:pPr>
            <w:r w:rsidRPr="00A37AC7">
              <w:rPr>
                <w:rFonts w:ascii="Arial" w:hAnsi="Arial" w:cs="Arial"/>
                <w:color w:val="000000"/>
                <w:sz w:val="20"/>
              </w:rPr>
              <w:t>Adults with heterozygous familial hypercholesterolaemia</w:t>
            </w:r>
            <w:r>
              <w:rPr>
                <w:rFonts w:ascii="Arial" w:hAnsi="Arial" w:cs="Arial"/>
                <w:color w:val="000000"/>
                <w:sz w:val="20"/>
              </w:rPr>
              <w:t xml:space="preserve"> or clinical atherosclerotic cardiovascular disease (ASCVD) </w:t>
            </w:r>
            <w:r w:rsidRPr="00A37AC7">
              <w:rPr>
                <w:rFonts w:ascii="Arial" w:hAnsi="Arial" w:cs="Arial"/>
                <w:color w:val="000000"/>
                <w:sz w:val="20"/>
              </w:rPr>
              <w:t>in combination with a statin or statin with other lipid lowering therapies,</w:t>
            </w:r>
            <w:r>
              <w:rPr>
                <w:rFonts w:ascii="Arial" w:hAnsi="Arial" w:cs="Arial"/>
                <w:color w:val="000000"/>
                <w:sz w:val="20"/>
              </w:rPr>
              <w:t xml:space="preserve"> or </w:t>
            </w:r>
          </w:p>
          <w:p w:rsidR="00D47A86" w:rsidRDefault="00D47A86" w:rsidP="00D47A86">
            <w:pPr>
              <w:rPr>
                <w:rFonts w:ascii="Arial" w:hAnsi="Arial" w:cs="Arial"/>
                <w:color w:val="000000"/>
                <w:sz w:val="20"/>
              </w:rPr>
            </w:pPr>
            <w:r w:rsidRPr="00A37AC7">
              <w:rPr>
                <w:rFonts w:ascii="Arial" w:hAnsi="Arial" w:cs="Arial"/>
                <w:color w:val="000000"/>
                <w:sz w:val="20"/>
              </w:rPr>
              <w:t>in combination with other lipid-lowering therapies in patients who are statin-intolerant.</w:t>
            </w:r>
          </w:p>
          <w:p w:rsidR="00D47A86" w:rsidRDefault="00D47A86" w:rsidP="00D47A86">
            <w:pPr>
              <w:rPr>
                <w:rFonts w:ascii="Arial" w:hAnsi="Arial" w:cs="Arial"/>
                <w:sz w:val="20"/>
              </w:rPr>
            </w:pPr>
          </w:p>
          <w:p w:rsidR="00D47A86" w:rsidRPr="00A37AC7" w:rsidRDefault="00D47A86" w:rsidP="00D47A86">
            <w:pPr>
              <w:rPr>
                <w:rFonts w:ascii="Arial" w:hAnsi="Arial" w:cs="Arial"/>
                <w:sz w:val="20"/>
              </w:rPr>
            </w:pPr>
            <w:r>
              <w:rPr>
                <w:rFonts w:ascii="Arial" w:hAnsi="Arial" w:cs="Arial"/>
                <w:sz w:val="20"/>
              </w:rPr>
              <w:t>A</w:t>
            </w:r>
            <w:r w:rsidRPr="00A37AC7">
              <w:rPr>
                <w:rFonts w:ascii="Arial" w:hAnsi="Arial" w:cs="Arial"/>
                <w:sz w:val="20"/>
              </w:rPr>
              <w:t>dults and adolescents aged 12 years and over with</w:t>
            </w:r>
          </w:p>
          <w:p w:rsidR="00D47A86" w:rsidRPr="00A37AC7" w:rsidRDefault="00D47A86" w:rsidP="00D47A86">
            <w:pPr>
              <w:rPr>
                <w:rFonts w:ascii="Arial" w:hAnsi="Arial" w:cs="Arial"/>
                <w:sz w:val="20"/>
              </w:rPr>
            </w:pPr>
            <w:r w:rsidRPr="00A37AC7">
              <w:rPr>
                <w:rFonts w:ascii="Arial" w:hAnsi="Arial" w:cs="Arial"/>
                <w:sz w:val="20"/>
              </w:rPr>
              <w:t>homozygous familial hypercholesterolaemia in combination with other lipid lowering</w:t>
            </w:r>
          </w:p>
          <w:p w:rsidR="00D47A86" w:rsidRPr="007E146D" w:rsidRDefault="00D47A86" w:rsidP="00D47A86">
            <w:pPr>
              <w:keepNext/>
              <w:rPr>
                <w:rFonts w:ascii="Arial" w:hAnsi="Arial" w:cs="Arial"/>
                <w:sz w:val="20"/>
              </w:rPr>
            </w:pPr>
            <w:r w:rsidRPr="00A37AC7">
              <w:rPr>
                <w:rFonts w:ascii="Arial" w:hAnsi="Arial" w:cs="Arial"/>
                <w:sz w:val="20"/>
              </w:rPr>
              <w:t>therapies.</w:t>
            </w:r>
          </w:p>
        </w:tc>
        <w:tc>
          <w:tcPr>
            <w:tcW w:w="1984" w:type="dxa"/>
            <w:vMerge w:val="restart"/>
            <w:shd w:val="clear" w:color="auto" w:fill="auto"/>
          </w:tcPr>
          <w:p w:rsidR="00D47A86" w:rsidRPr="009E7A12" w:rsidRDefault="00D47A86" w:rsidP="00DE7C72">
            <w:pPr>
              <w:rPr>
                <w:rFonts w:ascii="Arial" w:hAnsi="Arial" w:cs="Arial"/>
                <w:sz w:val="20"/>
              </w:rPr>
            </w:pPr>
            <w:r w:rsidRPr="002E4BD9">
              <w:rPr>
                <w:rFonts w:ascii="Arial" w:hAnsi="Arial" w:cs="Arial"/>
                <w:sz w:val="20"/>
              </w:rPr>
              <w:t>Familial homozygous hypercholesterolaemia</w:t>
            </w:r>
          </w:p>
        </w:tc>
        <w:tc>
          <w:tcPr>
            <w:tcW w:w="3260" w:type="dxa"/>
            <w:shd w:val="clear" w:color="auto" w:fill="auto"/>
          </w:tcPr>
          <w:p w:rsidR="00D47A86" w:rsidRPr="000F0739" w:rsidRDefault="00D47A86" w:rsidP="00E46E8F">
            <w:pPr>
              <w:rPr>
                <w:rFonts w:ascii="Arial" w:hAnsi="Arial" w:cs="Arial"/>
                <w:color w:val="000000"/>
                <w:sz w:val="20"/>
              </w:rPr>
            </w:pPr>
            <w:r w:rsidRPr="002E4BD9">
              <w:rPr>
                <w:rFonts w:ascii="Arial" w:hAnsi="Arial" w:cs="Arial"/>
                <w:color w:val="000000"/>
                <w:sz w:val="20"/>
              </w:rPr>
              <w:t xml:space="preserve">Resubmission to request </w:t>
            </w:r>
            <w:r w:rsidR="00AE1E93" w:rsidRPr="002E4BD9">
              <w:rPr>
                <w:rFonts w:ascii="Arial" w:hAnsi="Arial" w:cs="Arial"/>
                <w:color w:val="000000"/>
                <w:sz w:val="20"/>
              </w:rPr>
              <w:t>an</w:t>
            </w:r>
            <w:r w:rsidRPr="002E4BD9">
              <w:rPr>
                <w:rFonts w:ascii="Arial" w:hAnsi="Arial" w:cs="Arial"/>
                <w:color w:val="000000"/>
                <w:sz w:val="20"/>
              </w:rPr>
              <w:t xml:space="preserve"> </w:t>
            </w:r>
            <w:r w:rsidR="00E46E8F">
              <w:rPr>
                <w:rFonts w:ascii="Arial" w:hAnsi="Arial" w:cs="Arial"/>
                <w:color w:val="000000"/>
                <w:sz w:val="20"/>
              </w:rPr>
              <w:t>Authority Required</w:t>
            </w:r>
            <w:r w:rsidRPr="002E4BD9">
              <w:rPr>
                <w:rFonts w:ascii="Arial" w:hAnsi="Arial" w:cs="Arial"/>
                <w:color w:val="000000"/>
                <w:sz w:val="20"/>
              </w:rPr>
              <w:t xml:space="preserve"> listing to include the treatment of non-familial hypercholesterolaemia with atherosclerotic disease.</w:t>
            </w:r>
          </w:p>
        </w:tc>
        <w:tc>
          <w:tcPr>
            <w:tcW w:w="5245" w:type="dxa"/>
            <w:shd w:val="clear" w:color="auto" w:fill="auto"/>
          </w:tcPr>
          <w:p w:rsidR="00D47A86" w:rsidRPr="002E4BD9" w:rsidRDefault="00D47A86" w:rsidP="0092695A">
            <w:pPr>
              <w:jc w:val="both"/>
              <w:rPr>
                <w:rFonts w:ascii="Arial" w:hAnsi="Arial" w:cs="Arial"/>
                <w:color w:val="000000"/>
                <w:sz w:val="20"/>
              </w:rPr>
            </w:pPr>
            <w:r w:rsidRPr="002E4BD9">
              <w:rPr>
                <w:rFonts w:ascii="Arial" w:hAnsi="Arial" w:cs="Arial"/>
                <w:color w:val="000000"/>
                <w:sz w:val="20"/>
              </w:rPr>
              <w:t xml:space="preserve">The PBAC did not recommend the listing of evolocumab for patients with non-familial hypercholesterolaemia with atherosclerotic disease on the basis of an inadequately defined patient population, an uncertain incremental cost-effectiveness ratio (ICER) and high and uncertain patient population numbers. The PBAC considered that this population required more refined eligibility criteria in the proposed PBS listing given the very high financial estimates. </w:t>
            </w:r>
          </w:p>
          <w:p w:rsidR="00D47A86" w:rsidRPr="002E4BD9" w:rsidRDefault="00D47A86" w:rsidP="0092695A">
            <w:pPr>
              <w:jc w:val="both"/>
              <w:rPr>
                <w:rFonts w:ascii="Arial" w:hAnsi="Arial" w:cs="Arial"/>
                <w:color w:val="000000"/>
                <w:sz w:val="20"/>
              </w:rPr>
            </w:pPr>
          </w:p>
          <w:p w:rsidR="00D47A86" w:rsidRPr="002E4BD9" w:rsidRDefault="00D47A86" w:rsidP="0092695A">
            <w:pPr>
              <w:jc w:val="both"/>
              <w:rPr>
                <w:rFonts w:ascii="Arial" w:hAnsi="Arial" w:cs="Arial"/>
                <w:color w:val="000000"/>
                <w:sz w:val="20"/>
              </w:rPr>
            </w:pPr>
            <w:r w:rsidRPr="002E4BD9">
              <w:rPr>
                <w:rFonts w:ascii="Arial" w:hAnsi="Arial" w:cs="Arial"/>
                <w:color w:val="000000"/>
                <w:sz w:val="20"/>
              </w:rPr>
              <w:t xml:space="preserve">Following the publication of preliminary alirocumab data (from the ODYSSEY OUTCOMES trial) and the failure of the sponsor of evolocumab to provide an adequately defined population, the PBAC considered that a stakeholder meeting was required to establish a way forward for cost-effective use of </w:t>
            </w:r>
            <w:r w:rsidR="00C25E3D">
              <w:rPr>
                <w:rFonts w:ascii="Arial" w:hAnsi="Arial" w:cs="Arial"/>
                <w:color w:val="000000"/>
                <w:sz w:val="20"/>
              </w:rPr>
              <w:t>drugs such as evolocumab (</w:t>
            </w:r>
            <w:r w:rsidRPr="002E4BD9">
              <w:rPr>
                <w:rFonts w:ascii="Arial" w:hAnsi="Arial" w:cs="Arial"/>
                <w:color w:val="000000"/>
                <w:sz w:val="20"/>
              </w:rPr>
              <w:t>PCSK9 inhibitors</w:t>
            </w:r>
            <w:r w:rsidR="00C25E3D">
              <w:rPr>
                <w:rFonts w:ascii="Arial" w:hAnsi="Arial" w:cs="Arial"/>
                <w:color w:val="000000"/>
                <w:sz w:val="20"/>
              </w:rPr>
              <w:t>)</w:t>
            </w:r>
            <w:r w:rsidRPr="002E4BD9">
              <w:rPr>
                <w:rFonts w:ascii="Arial" w:hAnsi="Arial" w:cs="Arial"/>
                <w:color w:val="000000"/>
                <w:sz w:val="20"/>
              </w:rPr>
              <w:t xml:space="preserve"> in the non-familial hyp</w:t>
            </w:r>
            <w:r w:rsidR="00766D90">
              <w:rPr>
                <w:rFonts w:ascii="Arial" w:hAnsi="Arial" w:cs="Arial"/>
                <w:color w:val="000000"/>
                <w:sz w:val="20"/>
              </w:rPr>
              <w:t>ercholesterolaemia population.</w:t>
            </w:r>
          </w:p>
        </w:tc>
      </w:tr>
      <w:tr w:rsidR="00D47A86" w:rsidRPr="00447CFB" w:rsidTr="00D47A86">
        <w:trPr>
          <w:trHeight w:val="433"/>
        </w:trPr>
        <w:tc>
          <w:tcPr>
            <w:tcW w:w="2127" w:type="dxa"/>
            <w:vMerge/>
          </w:tcPr>
          <w:p w:rsidR="00D47A86" w:rsidRPr="00447CFB" w:rsidRDefault="00D47A86" w:rsidP="00DE7C72">
            <w:pPr>
              <w:rPr>
                <w:rFonts w:ascii="Arial" w:hAnsi="Arial" w:cs="Arial"/>
                <w:sz w:val="20"/>
              </w:rPr>
            </w:pPr>
          </w:p>
        </w:tc>
        <w:tc>
          <w:tcPr>
            <w:tcW w:w="2268" w:type="dxa"/>
            <w:vMerge/>
          </w:tcPr>
          <w:p w:rsidR="00D47A86" w:rsidRPr="00447CFB" w:rsidRDefault="00D47A86" w:rsidP="00DE7C72">
            <w:pPr>
              <w:rPr>
                <w:rFonts w:ascii="Arial" w:hAnsi="Arial" w:cs="Arial"/>
                <w:sz w:val="20"/>
              </w:rPr>
            </w:pPr>
          </w:p>
        </w:tc>
        <w:tc>
          <w:tcPr>
            <w:tcW w:w="1984" w:type="dxa"/>
            <w:vMerge/>
            <w:shd w:val="clear" w:color="auto" w:fill="auto"/>
          </w:tcPr>
          <w:p w:rsidR="00D47A86" w:rsidRPr="00447CFB" w:rsidRDefault="00D47A86" w:rsidP="00DE7C72">
            <w:pPr>
              <w:rPr>
                <w:rFonts w:ascii="Arial" w:hAnsi="Arial" w:cs="Arial"/>
                <w:sz w:val="20"/>
              </w:rPr>
            </w:pPr>
          </w:p>
        </w:tc>
        <w:tc>
          <w:tcPr>
            <w:tcW w:w="3260" w:type="dxa"/>
            <w:shd w:val="clear" w:color="auto" w:fill="auto"/>
          </w:tcPr>
          <w:p w:rsidR="00D47A86" w:rsidRPr="002E4BD9" w:rsidRDefault="00D47A86" w:rsidP="00861DA9">
            <w:pPr>
              <w:pStyle w:val="ListBullet"/>
              <w:rPr>
                <w:snapToGrid/>
                <w:lang w:eastAsia="en-AU"/>
              </w:rPr>
            </w:pPr>
            <w:r w:rsidRPr="002E4BD9">
              <w:t xml:space="preserve">Comparator: Placebo and ezetimibe </w:t>
            </w:r>
          </w:p>
        </w:tc>
        <w:tc>
          <w:tcPr>
            <w:tcW w:w="5245" w:type="dxa"/>
            <w:shd w:val="clear" w:color="auto" w:fill="auto"/>
          </w:tcPr>
          <w:p w:rsidR="00D47A86" w:rsidRPr="002E4BD9" w:rsidRDefault="003A04F8" w:rsidP="003A04F8">
            <w:pPr>
              <w:jc w:val="both"/>
              <w:rPr>
                <w:rFonts w:ascii="Arial" w:hAnsi="Arial" w:cs="Arial"/>
                <w:sz w:val="20"/>
              </w:rPr>
            </w:pPr>
            <w:r w:rsidRPr="003A04F8">
              <w:rPr>
                <w:rFonts w:ascii="Arial" w:hAnsi="Arial" w:cs="Arial"/>
                <w:sz w:val="20"/>
              </w:rPr>
              <w:t>The resubmission nominated both ezetimibe and placebo as the main comparators. The PBAC considered that these comparators were appropriate for the combined familial and non-familial hypercholesterolaemia submission in November 2017. However, for non- familial hypercholesterolaemia alone the PBAC were concerned that by nominating ezetimibe as a comparator, it would be replaced in the treatment algorithm by evolocumab.</w:t>
            </w:r>
          </w:p>
        </w:tc>
      </w:tr>
      <w:tr w:rsidR="00D47A86" w:rsidRPr="00447CFB" w:rsidTr="00D47A86">
        <w:trPr>
          <w:trHeight w:val="433"/>
        </w:trPr>
        <w:tc>
          <w:tcPr>
            <w:tcW w:w="2127" w:type="dxa"/>
            <w:vMerge/>
          </w:tcPr>
          <w:p w:rsidR="00D47A86" w:rsidRPr="00447CFB" w:rsidRDefault="00D47A86" w:rsidP="00DE7C72">
            <w:pPr>
              <w:rPr>
                <w:rFonts w:ascii="Arial" w:hAnsi="Arial" w:cs="Arial"/>
                <w:sz w:val="20"/>
              </w:rPr>
            </w:pPr>
          </w:p>
        </w:tc>
        <w:tc>
          <w:tcPr>
            <w:tcW w:w="2268" w:type="dxa"/>
            <w:vMerge/>
          </w:tcPr>
          <w:p w:rsidR="00D47A86" w:rsidRPr="00447CFB" w:rsidRDefault="00D47A86" w:rsidP="00DE7C72">
            <w:pPr>
              <w:rPr>
                <w:rFonts w:ascii="Arial" w:hAnsi="Arial" w:cs="Arial"/>
                <w:sz w:val="20"/>
              </w:rPr>
            </w:pPr>
          </w:p>
        </w:tc>
        <w:tc>
          <w:tcPr>
            <w:tcW w:w="1984" w:type="dxa"/>
            <w:vMerge/>
            <w:shd w:val="clear" w:color="auto" w:fill="auto"/>
          </w:tcPr>
          <w:p w:rsidR="00D47A86" w:rsidRPr="00447CFB" w:rsidRDefault="00D47A86" w:rsidP="00DE7C72">
            <w:pPr>
              <w:rPr>
                <w:rFonts w:ascii="Arial" w:hAnsi="Arial" w:cs="Arial"/>
                <w:sz w:val="20"/>
              </w:rPr>
            </w:pPr>
          </w:p>
        </w:tc>
        <w:tc>
          <w:tcPr>
            <w:tcW w:w="3260" w:type="dxa"/>
            <w:shd w:val="clear" w:color="auto" w:fill="auto"/>
          </w:tcPr>
          <w:p w:rsidR="00D47A86" w:rsidRPr="002E4BD9" w:rsidRDefault="00D47A86" w:rsidP="00766D90">
            <w:pPr>
              <w:pStyle w:val="ListBullet"/>
            </w:pPr>
            <w:r w:rsidRPr="002E4BD9">
              <w:t>Clinical claim: Evolocumab was superior in terms of efficacy and similar in terms of safety compared to placebo and ezetimibe.</w:t>
            </w:r>
          </w:p>
        </w:tc>
        <w:tc>
          <w:tcPr>
            <w:tcW w:w="5245" w:type="dxa"/>
            <w:shd w:val="clear" w:color="auto" w:fill="auto"/>
          </w:tcPr>
          <w:p w:rsidR="00D47A86" w:rsidRPr="002E4BD9" w:rsidRDefault="00D47A86" w:rsidP="0092695A">
            <w:pPr>
              <w:jc w:val="both"/>
              <w:rPr>
                <w:rFonts w:ascii="Arial" w:hAnsi="Arial" w:cs="Arial"/>
                <w:sz w:val="20"/>
              </w:rPr>
            </w:pPr>
            <w:r w:rsidRPr="002E4BD9">
              <w:rPr>
                <w:rFonts w:ascii="Arial" w:hAnsi="Arial" w:cs="Arial"/>
                <w:sz w:val="20"/>
              </w:rPr>
              <w:t>The PBAC reiterated that whilst the clinical claims were reasonable for</w:t>
            </w:r>
            <w:r w:rsidR="00E46E8F">
              <w:rPr>
                <w:rFonts w:ascii="Arial" w:hAnsi="Arial" w:cs="Arial"/>
                <w:sz w:val="20"/>
              </w:rPr>
              <w:t xml:space="preserve"> l</w:t>
            </w:r>
            <w:r w:rsidR="00E46E8F" w:rsidRPr="00E46E8F">
              <w:rPr>
                <w:rFonts w:ascii="Arial" w:hAnsi="Arial" w:cs="Arial"/>
                <w:sz w:val="20"/>
              </w:rPr>
              <w:t xml:space="preserve">ow-density lipoprotein </w:t>
            </w:r>
            <w:r w:rsidR="00E46E8F">
              <w:rPr>
                <w:rFonts w:ascii="Arial" w:hAnsi="Arial" w:cs="Arial"/>
                <w:sz w:val="20"/>
              </w:rPr>
              <w:t>(</w:t>
            </w:r>
            <w:r w:rsidRPr="002E4BD9">
              <w:rPr>
                <w:rFonts w:ascii="Arial" w:hAnsi="Arial" w:cs="Arial"/>
                <w:sz w:val="20"/>
              </w:rPr>
              <w:t>LDL</w:t>
            </w:r>
            <w:r w:rsidR="00E46E8F">
              <w:rPr>
                <w:rFonts w:ascii="Arial" w:hAnsi="Arial" w:cs="Arial"/>
                <w:sz w:val="20"/>
              </w:rPr>
              <w:t>)</w:t>
            </w:r>
            <w:r w:rsidRPr="002E4BD9">
              <w:rPr>
                <w:rFonts w:ascii="Arial" w:hAnsi="Arial" w:cs="Arial"/>
                <w:sz w:val="20"/>
              </w:rPr>
              <w:t xml:space="preserve"> reduction and time to first myocardial infarction, ischemic stroke or cardiac revascularisation based on the FOURIER trial, the patient populations that could benefit most from treatment were not </w:t>
            </w:r>
            <w:r>
              <w:rPr>
                <w:rFonts w:ascii="Arial" w:hAnsi="Arial" w:cs="Arial"/>
                <w:sz w:val="20"/>
              </w:rPr>
              <w:t xml:space="preserve">identified </w:t>
            </w:r>
            <w:r w:rsidRPr="002E4BD9">
              <w:rPr>
                <w:rFonts w:ascii="Arial" w:hAnsi="Arial" w:cs="Arial"/>
                <w:sz w:val="20"/>
              </w:rPr>
              <w:t>by the sponsor.</w:t>
            </w:r>
          </w:p>
        </w:tc>
      </w:tr>
      <w:tr w:rsidR="00D47A86" w:rsidRPr="00447CFB" w:rsidTr="00766D90">
        <w:trPr>
          <w:cantSplit/>
          <w:trHeight w:val="433"/>
        </w:trPr>
        <w:tc>
          <w:tcPr>
            <w:tcW w:w="2127" w:type="dxa"/>
            <w:vMerge w:val="restart"/>
            <w:tcBorders>
              <w:top w:val="nil"/>
            </w:tcBorders>
          </w:tcPr>
          <w:p w:rsidR="00D47A86" w:rsidRPr="00447CFB" w:rsidRDefault="00D47A86" w:rsidP="00DE7C72">
            <w:pPr>
              <w:rPr>
                <w:rFonts w:ascii="Arial" w:hAnsi="Arial" w:cs="Arial"/>
                <w:sz w:val="20"/>
              </w:rPr>
            </w:pPr>
          </w:p>
        </w:tc>
        <w:tc>
          <w:tcPr>
            <w:tcW w:w="2268" w:type="dxa"/>
            <w:vMerge w:val="restart"/>
            <w:tcBorders>
              <w:top w:val="nil"/>
            </w:tcBorders>
          </w:tcPr>
          <w:p w:rsidR="00D47A86" w:rsidRPr="00447CFB" w:rsidRDefault="00D47A86" w:rsidP="00DE7C72">
            <w:pPr>
              <w:rPr>
                <w:rFonts w:ascii="Arial" w:hAnsi="Arial" w:cs="Arial"/>
                <w:sz w:val="20"/>
              </w:rPr>
            </w:pPr>
          </w:p>
        </w:tc>
        <w:tc>
          <w:tcPr>
            <w:tcW w:w="1984" w:type="dxa"/>
            <w:vMerge w:val="restart"/>
            <w:tcBorders>
              <w:top w:val="nil"/>
            </w:tcBorders>
            <w:shd w:val="clear" w:color="auto" w:fill="auto"/>
          </w:tcPr>
          <w:p w:rsidR="00D47A86" w:rsidRPr="00447CFB" w:rsidRDefault="00D47A86" w:rsidP="00DE7C72">
            <w:pPr>
              <w:rPr>
                <w:rFonts w:ascii="Arial" w:hAnsi="Arial" w:cs="Arial"/>
                <w:sz w:val="20"/>
              </w:rPr>
            </w:pPr>
          </w:p>
        </w:tc>
        <w:tc>
          <w:tcPr>
            <w:tcW w:w="3260" w:type="dxa"/>
            <w:shd w:val="clear" w:color="auto" w:fill="auto"/>
          </w:tcPr>
          <w:p w:rsidR="00D47A86" w:rsidRPr="002E4BD9" w:rsidRDefault="00D47A86" w:rsidP="00766D90">
            <w:r w:rsidRPr="002E4BD9">
              <w:rPr>
                <w:rFonts w:ascii="Arial" w:hAnsi="Arial" w:cs="Arial"/>
                <w:color w:val="000000"/>
                <w:sz w:val="20"/>
              </w:rPr>
              <w:t>Economic claim:</w:t>
            </w:r>
            <w:r w:rsidRPr="002E4BD9">
              <w:t xml:space="preserve"> </w:t>
            </w:r>
            <w:r w:rsidRPr="002E4BD9">
              <w:rPr>
                <w:rFonts w:ascii="Arial" w:hAnsi="Arial" w:cs="Arial"/>
                <w:snapToGrid w:val="0"/>
                <w:color w:val="000000"/>
                <w:sz w:val="20"/>
                <w:lang w:eastAsia="en-US"/>
              </w:rPr>
              <w:t>Cost-utility analyses compared to ezetimibe and placebo.</w:t>
            </w:r>
          </w:p>
        </w:tc>
        <w:tc>
          <w:tcPr>
            <w:tcW w:w="5245" w:type="dxa"/>
            <w:shd w:val="clear" w:color="auto" w:fill="auto"/>
          </w:tcPr>
          <w:p w:rsidR="00D47A86" w:rsidRPr="002E4BD9" w:rsidRDefault="00D47A86" w:rsidP="00D47A86">
            <w:pPr>
              <w:jc w:val="both"/>
              <w:rPr>
                <w:rFonts w:ascii="Arial" w:hAnsi="Arial" w:cs="Arial"/>
                <w:sz w:val="20"/>
              </w:rPr>
            </w:pPr>
            <w:r w:rsidRPr="002E4BD9">
              <w:rPr>
                <w:rFonts w:ascii="Arial" w:hAnsi="Arial" w:cs="Arial"/>
                <w:sz w:val="20"/>
              </w:rPr>
              <w:t xml:space="preserve">The PBAC considered that the ICERs per quality adjusted life-year (QALY) presented in the submission for the comparisons with ezetimibe and placebo were uncertain. </w:t>
            </w:r>
          </w:p>
          <w:p w:rsidR="00D47A86" w:rsidRPr="002E4BD9" w:rsidRDefault="00D47A86" w:rsidP="00D47A86">
            <w:pPr>
              <w:jc w:val="both"/>
              <w:rPr>
                <w:rFonts w:ascii="Arial" w:hAnsi="Arial" w:cs="Arial"/>
                <w:sz w:val="20"/>
              </w:rPr>
            </w:pPr>
          </w:p>
          <w:p w:rsidR="00C25E3D" w:rsidRPr="00F90E55" w:rsidRDefault="00D47A86" w:rsidP="009325B3">
            <w:pPr>
              <w:jc w:val="both"/>
              <w:rPr>
                <w:rFonts w:ascii="Arial" w:hAnsi="Arial" w:cs="Arial"/>
                <w:color w:val="000000"/>
                <w:sz w:val="20"/>
              </w:rPr>
            </w:pPr>
            <w:r w:rsidRPr="002E4BD9">
              <w:rPr>
                <w:rFonts w:ascii="Arial" w:hAnsi="Arial" w:cs="Arial"/>
                <w:color w:val="000000"/>
                <w:sz w:val="20"/>
              </w:rPr>
              <w:t>The PBAC noted the inclusion of a time lag between LDL reduction and impact on cardiovascular death, but were concerned about the magnitude of the reduction in cardiovascular mortality as this was a key driver of the economic model. The PBAC also reiterated that use of the cardiovascular outcomes data from the FOURIER trial would better inform the economic model.</w:t>
            </w:r>
          </w:p>
        </w:tc>
      </w:tr>
      <w:tr w:rsidR="00D47A86" w:rsidRPr="00447CFB" w:rsidTr="00766D90">
        <w:trPr>
          <w:trHeight w:val="390"/>
        </w:trPr>
        <w:tc>
          <w:tcPr>
            <w:tcW w:w="2127" w:type="dxa"/>
            <w:vMerge/>
            <w:tcBorders>
              <w:top w:val="nil"/>
            </w:tcBorders>
          </w:tcPr>
          <w:p w:rsidR="00D47A86" w:rsidRPr="00447CFB" w:rsidRDefault="00D47A86" w:rsidP="00DE7C72">
            <w:pPr>
              <w:rPr>
                <w:rFonts w:ascii="Arial" w:hAnsi="Arial" w:cs="Arial"/>
                <w:sz w:val="20"/>
              </w:rPr>
            </w:pPr>
          </w:p>
        </w:tc>
        <w:tc>
          <w:tcPr>
            <w:tcW w:w="2268" w:type="dxa"/>
            <w:vMerge/>
            <w:tcBorders>
              <w:top w:val="nil"/>
            </w:tcBorders>
          </w:tcPr>
          <w:p w:rsidR="00D47A86" w:rsidRPr="00447CFB" w:rsidRDefault="00D47A86" w:rsidP="00DE7C72">
            <w:pPr>
              <w:rPr>
                <w:rFonts w:ascii="Arial" w:hAnsi="Arial" w:cs="Arial"/>
                <w:sz w:val="20"/>
              </w:rPr>
            </w:pPr>
          </w:p>
        </w:tc>
        <w:tc>
          <w:tcPr>
            <w:tcW w:w="1984" w:type="dxa"/>
            <w:vMerge/>
            <w:tcBorders>
              <w:top w:val="nil"/>
            </w:tcBorders>
            <w:shd w:val="clear" w:color="auto" w:fill="auto"/>
          </w:tcPr>
          <w:p w:rsidR="00D47A86" w:rsidRPr="00447CFB" w:rsidRDefault="00D47A86" w:rsidP="00DE7C72">
            <w:pPr>
              <w:rPr>
                <w:rFonts w:ascii="Arial" w:hAnsi="Arial" w:cs="Arial"/>
                <w:sz w:val="20"/>
              </w:rPr>
            </w:pPr>
          </w:p>
        </w:tc>
        <w:tc>
          <w:tcPr>
            <w:tcW w:w="3260" w:type="dxa"/>
            <w:shd w:val="clear" w:color="auto" w:fill="auto"/>
          </w:tcPr>
          <w:p w:rsidR="00D47A86" w:rsidRPr="004D3707" w:rsidRDefault="00D47A86" w:rsidP="00861DA9">
            <w:pPr>
              <w:pStyle w:val="ListBullet"/>
            </w:pPr>
            <w:r w:rsidRPr="004D3707">
              <w:t>Sponsor’s comments:</w:t>
            </w:r>
          </w:p>
        </w:tc>
        <w:tc>
          <w:tcPr>
            <w:tcW w:w="5245" w:type="dxa"/>
            <w:shd w:val="clear" w:color="auto" w:fill="auto"/>
          </w:tcPr>
          <w:p w:rsidR="00D47A86" w:rsidRPr="004D3707" w:rsidRDefault="009325B3" w:rsidP="00DE7C72">
            <w:pPr>
              <w:jc w:val="both"/>
              <w:rPr>
                <w:rFonts w:ascii="Arial" w:hAnsi="Arial" w:cs="Arial"/>
                <w:sz w:val="20"/>
                <w:highlight w:val="yellow"/>
              </w:rPr>
            </w:pPr>
            <w:r w:rsidRPr="009325B3">
              <w:rPr>
                <w:rFonts w:ascii="Arial" w:hAnsi="Arial" w:cs="Arial"/>
                <w:sz w:val="20"/>
              </w:rPr>
              <w:t>The sponsor has no comment</w:t>
            </w:r>
          </w:p>
        </w:tc>
      </w:tr>
      <w:tr w:rsidR="00005667" w:rsidRPr="00447CFB" w:rsidTr="00005667">
        <w:trPr>
          <w:cantSplit/>
          <w:trHeight w:val="435"/>
        </w:trPr>
        <w:tc>
          <w:tcPr>
            <w:tcW w:w="2127" w:type="dxa"/>
            <w:vMerge w:val="restart"/>
          </w:tcPr>
          <w:p w:rsidR="00005667" w:rsidRPr="00ED4F43" w:rsidRDefault="00005667" w:rsidP="00ED4F43">
            <w:pPr>
              <w:rPr>
                <w:rFonts w:ascii="Arial" w:hAnsi="Arial" w:cs="Arial"/>
                <w:color w:val="000000"/>
                <w:sz w:val="20"/>
              </w:rPr>
            </w:pPr>
            <w:r>
              <w:rPr>
                <w:rFonts w:ascii="Arial" w:hAnsi="Arial" w:cs="Arial"/>
                <w:color w:val="000000"/>
                <w:sz w:val="20"/>
              </w:rPr>
              <w:t>TEDUGLUTIDE</w:t>
            </w:r>
            <w:r>
              <w:rPr>
                <w:rFonts w:ascii="Arial" w:hAnsi="Arial" w:cs="Arial"/>
                <w:color w:val="000000"/>
                <w:sz w:val="20"/>
              </w:rPr>
              <w:br/>
            </w:r>
            <w:r>
              <w:rPr>
                <w:rFonts w:ascii="Arial" w:hAnsi="Arial" w:cs="Arial"/>
                <w:color w:val="000000"/>
                <w:sz w:val="20"/>
              </w:rPr>
              <w:br/>
              <w:t>Powder for injection 5 mg with diluent</w:t>
            </w:r>
            <w:r>
              <w:rPr>
                <w:rFonts w:ascii="Arial" w:hAnsi="Arial" w:cs="Arial"/>
                <w:color w:val="000000"/>
                <w:sz w:val="20"/>
              </w:rPr>
              <w:br/>
            </w:r>
            <w:r>
              <w:rPr>
                <w:rFonts w:ascii="Arial" w:hAnsi="Arial" w:cs="Arial"/>
                <w:color w:val="000000"/>
                <w:sz w:val="20"/>
              </w:rPr>
              <w:br/>
              <w:t>Revestive®</w:t>
            </w:r>
            <w:r>
              <w:rPr>
                <w:rFonts w:ascii="Arial" w:hAnsi="Arial" w:cs="Arial"/>
                <w:color w:val="000000"/>
                <w:sz w:val="20"/>
              </w:rPr>
              <w:br/>
            </w:r>
            <w:r>
              <w:rPr>
                <w:rFonts w:ascii="Arial" w:hAnsi="Arial" w:cs="Arial"/>
                <w:color w:val="000000"/>
                <w:sz w:val="20"/>
              </w:rPr>
              <w:br/>
              <w:t xml:space="preserve">Shire Australia Pty </w:t>
            </w:r>
            <w:r w:rsidRPr="00ED4F43">
              <w:rPr>
                <w:rFonts w:ascii="Arial" w:hAnsi="Arial" w:cs="Arial"/>
                <w:color w:val="000000"/>
                <w:sz w:val="20"/>
              </w:rPr>
              <w:t>Limited</w:t>
            </w:r>
          </w:p>
          <w:p w:rsidR="00005667" w:rsidRPr="00ED4F43" w:rsidRDefault="00005667" w:rsidP="00DE7C72">
            <w:pPr>
              <w:contextualSpacing/>
              <w:rPr>
                <w:rFonts w:ascii="Arial" w:hAnsi="Arial" w:cs="Arial"/>
                <w:sz w:val="20"/>
              </w:rPr>
            </w:pPr>
          </w:p>
          <w:p w:rsidR="00005667" w:rsidRPr="00ED4F43" w:rsidRDefault="00005667" w:rsidP="00DE7C72">
            <w:pPr>
              <w:contextualSpacing/>
              <w:rPr>
                <w:rFonts w:ascii="Arial" w:hAnsi="Arial" w:cs="Arial"/>
                <w:sz w:val="20"/>
              </w:rPr>
            </w:pPr>
            <w:r w:rsidRPr="00ED4F43">
              <w:rPr>
                <w:rFonts w:ascii="Arial" w:hAnsi="Arial" w:cs="Arial"/>
                <w:sz w:val="20"/>
              </w:rPr>
              <w:t>New listing</w:t>
            </w:r>
          </w:p>
          <w:p w:rsidR="00005667" w:rsidRPr="00447CFB" w:rsidRDefault="00005667" w:rsidP="00DE7C72">
            <w:pPr>
              <w:contextualSpacing/>
              <w:rPr>
                <w:rFonts w:ascii="Arial" w:hAnsi="Arial" w:cs="Arial"/>
                <w:sz w:val="20"/>
                <w:highlight w:val="yellow"/>
              </w:rPr>
            </w:pPr>
            <w:r w:rsidRPr="00ED4F43">
              <w:rPr>
                <w:rFonts w:ascii="Arial" w:hAnsi="Arial" w:cs="Arial"/>
                <w:sz w:val="20"/>
              </w:rPr>
              <w:t>(Major Submission)</w:t>
            </w:r>
          </w:p>
        </w:tc>
        <w:tc>
          <w:tcPr>
            <w:tcW w:w="2268" w:type="dxa"/>
            <w:vMerge w:val="restart"/>
          </w:tcPr>
          <w:p w:rsidR="00005667" w:rsidRPr="000A0C06" w:rsidRDefault="00005667" w:rsidP="0092695A">
            <w:pPr>
              <w:spacing w:after="120"/>
              <w:rPr>
                <w:rFonts w:ascii="Arial" w:hAnsi="Arial"/>
                <w:sz w:val="20"/>
              </w:rPr>
            </w:pPr>
            <w:r>
              <w:rPr>
                <w:rFonts w:ascii="Arial" w:hAnsi="Arial"/>
                <w:sz w:val="20"/>
              </w:rPr>
              <w:t>T</w:t>
            </w:r>
            <w:r w:rsidRPr="00051CE7">
              <w:rPr>
                <w:rFonts w:ascii="Arial" w:hAnsi="Arial"/>
                <w:sz w:val="20"/>
              </w:rPr>
              <w:t>he treatment of adult patients with short bowel syndrome who are dependent on parenteral support. Patients should be stable on their parenteral support regimen for at least 4 weeks prior to initiating teduglutide.</w:t>
            </w:r>
          </w:p>
        </w:tc>
        <w:tc>
          <w:tcPr>
            <w:tcW w:w="1984" w:type="dxa"/>
            <w:vMerge w:val="restart"/>
            <w:shd w:val="clear" w:color="auto" w:fill="auto"/>
          </w:tcPr>
          <w:p w:rsidR="00005667" w:rsidRPr="00447CFB" w:rsidRDefault="00005667" w:rsidP="00DE7C72">
            <w:pPr>
              <w:rPr>
                <w:rFonts w:ascii="Arial" w:hAnsi="Arial" w:cs="Arial"/>
                <w:sz w:val="20"/>
                <w:highlight w:val="yellow"/>
              </w:rPr>
            </w:pPr>
            <w:r>
              <w:rPr>
                <w:rFonts w:ascii="Arial" w:hAnsi="Arial"/>
                <w:sz w:val="20"/>
              </w:rPr>
              <w:t>Tedugl</w:t>
            </w:r>
            <w:r w:rsidR="00563377">
              <w:rPr>
                <w:rFonts w:ascii="Arial" w:hAnsi="Arial"/>
                <w:sz w:val="20"/>
              </w:rPr>
              <w:t>u</w:t>
            </w:r>
            <w:r>
              <w:rPr>
                <w:rFonts w:ascii="Arial" w:hAnsi="Arial"/>
                <w:sz w:val="20"/>
              </w:rPr>
              <w:t xml:space="preserve">tide </w:t>
            </w:r>
            <w:r w:rsidRPr="00051CE7">
              <w:rPr>
                <w:rFonts w:ascii="Arial" w:hAnsi="Arial"/>
                <w:sz w:val="20"/>
              </w:rPr>
              <w:t>is not</w:t>
            </w:r>
            <w:r>
              <w:rPr>
                <w:rFonts w:ascii="Arial" w:hAnsi="Arial"/>
                <w:sz w:val="20"/>
              </w:rPr>
              <w:t xml:space="preserve"> </w:t>
            </w:r>
            <w:r w:rsidRPr="00051CE7">
              <w:rPr>
                <w:rFonts w:ascii="Arial" w:hAnsi="Arial"/>
                <w:sz w:val="20"/>
              </w:rPr>
              <w:t>currently PBS</w:t>
            </w:r>
            <w:r>
              <w:rPr>
                <w:rFonts w:ascii="Arial" w:hAnsi="Arial"/>
                <w:sz w:val="20"/>
              </w:rPr>
              <w:t xml:space="preserve"> </w:t>
            </w:r>
            <w:r w:rsidRPr="00051CE7">
              <w:rPr>
                <w:rFonts w:ascii="Arial" w:hAnsi="Arial"/>
                <w:sz w:val="20"/>
              </w:rPr>
              <w:t>listed.</w:t>
            </w:r>
          </w:p>
        </w:tc>
        <w:tc>
          <w:tcPr>
            <w:tcW w:w="3260" w:type="dxa"/>
            <w:shd w:val="clear" w:color="auto" w:fill="auto"/>
          </w:tcPr>
          <w:p w:rsidR="00005667" w:rsidRPr="00447CFB" w:rsidRDefault="00005667" w:rsidP="00C25E3D">
            <w:pPr>
              <w:rPr>
                <w:rFonts w:ascii="Arial" w:hAnsi="Arial" w:cs="Arial"/>
                <w:color w:val="000000"/>
                <w:sz w:val="20"/>
              </w:rPr>
            </w:pPr>
            <w:r>
              <w:rPr>
                <w:rFonts w:ascii="Arial" w:hAnsi="Arial" w:cs="Arial"/>
                <w:color w:val="000000"/>
                <w:sz w:val="20"/>
              </w:rPr>
              <w:t xml:space="preserve">Resubmission to request a Section 100 (Highly Specialised Drugs Program) Authority Required listing for the treatment of short bowel </w:t>
            </w:r>
            <w:r w:rsidR="00C25E3D">
              <w:rPr>
                <w:rFonts w:ascii="Arial" w:hAnsi="Arial" w:cs="Arial"/>
                <w:color w:val="000000"/>
                <w:sz w:val="20"/>
              </w:rPr>
              <w:t xml:space="preserve">syndrome </w:t>
            </w:r>
            <w:r>
              <w:rPr>
                <w:rFonts w:ascii="Arial" w:hAnsi="Arial" w:cs="Arial"/>
                <w:color w:val="000000"/>
                <w:sz w:val="20"/>
              </w:rPr>
              <w:t>(SBS) in patients who are dependent on parenteral nutrition for survival.</w:t>
            </w:r>
          </w:p>
        </w:tc>
        <w:tc>
          <w:tcPr>
            <w:tcW w:w="5245" w:type="dxa"/>
            <w:shd w:val="clear" w:color="auto" w:fill="auto"/>
          </w:tcPr>
          <w:p w:rsidR="00005667" w:rsidRDefault="00005667" w:rsidP="0092695A">
            <w:pPr>
              <w:rPr>
                <w:rFonts w:ascii="Arial" w:hAnsi="Arial"/>
                <w:sz w:val="20"/>
              </w:rPr>
            </w:pPr>
            <w:r w:rsidRPr="00B42A4E">
              <w:rPr>
                <w:rFonts w:ascii="Arial" w:hAnsi="Arial"/>
                <w:sz w:val="20"/>
              </w:rPr>
              <w:t xml:space="preserve">The PBAC did not recommend the listing of teduglutide for the treatment of patients with Type III (chronic) intestinal failure associated with short bowel syndrome on the basis that the patient group most likely to achieve a clinically meaningful benefit was unclear, </w:t>
            </w:r>
            <w:r w:rsidRPr="00FC520B">
              <w:rPr>
                <w:rFonts w:ascii="Arial" w:hAnsi="Arial"/>
                <w:sz w:val="20"/>
              </w:rPr>
              <w:t>the treatment duration required to achieve these benefits was unclear</w:t>
            </w:r>
            <w:r>
              <w:rPr>
                <w:rFonts w:ascii="Arial" w:hAnsi="Arial"/>
                <w:sz w:val="20"/>
              </w:rPr>
              <w:t>,</w:t>
            </w:r>
            <w:r w:rsidRPr="00FC520B">
              <w:rPr>
                <w:rFonts w:ascii="Arial" w:hAnsi="Arial"/>
                <w:sz w:val="20"/>
              </w:rPr>
              <w:t xml:space="preserve"> </w:t>
            </w:r>
            <w:r w:rsidRPr="00B42A4E">
              <w:rPr>
                <w:rFonts w:ascii="Arial" w:hAnsi="Arial"/>
                <w:sz w:val="20"/>
              </w:rPr>
              <w:t>and the</w:t>
            </w:r>
            <w:r w:rsidR="00E46E8F">
              <w:rPr>
                <w:rFonts w:ascii="Arial" w:hAnsi="Arial"/>
                <w:sz w:val="20"/>
              </w:rPr>
              <w:t xml:space="preserve"> </w:t>
            </w:r>
            <w:r w:rsidR="00E46E8F" w:rsidRPr="00B42A4E">
              <w:rPr>
                <w:rFonts w:ascii="Arial" w:hAnsi="Arial"/>
                <w:sz w:val="20"/>
              </w:rPr>
              <w:t>incremental cost-effectiveness ratio</w:t>
            </w:r>
            <w:r w:rsidR="00E46E8F">
              <w:rPr>
                <w:rFonts w:ascii="Arial" w:hAnsi="Arial"/>
                <w:sz w:val="20"/>
              </w:rPr>
              <w:t xml:space="preserve"> (</w:t>
            </w:r>
            <w:r w:rsidRPr="00B42A4E">
              <w:rPr>
                <w:rFonts w:ascii="Arial" w:hAnsi="Arial"/>
                <w:sz w:val="20"/>
              </w:rPr>
              <w:t>ICER</w:t>
            </w:r>
            <w:r w:rsidR="00E46E8F">
              <w:rPr>
                <w:rFonts w:ascii="Arial" w:hAnsi="Arial"/>
                <w:sz w:val="20"/>
              </w:rPr>
              <w:t>)</w:t>
            </w:r>
            <w:r w:rsidRPr="00B42A4E">
              <w:rPr>
                <w:rFonts w:ascii="Arial" w:hAnsi="Arial"/>
                <w:sz w:val="20"/>
              </w:rPr>
              <w:t xml:space="preserve"> was uncertain and unacceptably high</w:t>
            </w:r>
            <w:r>
              <w:rPr>
                <w:rFonts w:ascii="Arial" w:hAnsi="Arial"/>
                <w:sz w:val="20"/>
              </w:rPr>
              <w:t xml:space="preserve">. </w:t>
            </w:r>
            <w:r w:rsidRPr="00B42A4E">
              <w:rPr>
                <w:rFonts w:ascii="Arial" w:hAnsi="Arial"/>
                <w:sz w:val="20"/>
              </w:rPr>
              <w:t xml:space="preserve">The PBAC recommended stakeholder consultation regarding the patient group most likely to benefit, criteria for stopping and continuing teduglutide and clarification of economic model parameters. </w:t>
            </w:r>
          </w:p>
          <w:p w:rsidR="00005667" w:rsidRDefault="00005667" w:rsidP="0092695A">
            <w:pPr>
              <w:rPr>
                <w:rFonts w:ascii="Arial" w:hAnsi="Arial"/>
                <w:sz w:val="20"/>
              </w:rPr>
            </w:pPr>
          </w:p>
          <w:p w:rsidR="00005667" w:rsidRPr="000A0C06" w:rsidRDefault="00005667" w:rsidP="0092695A">
            <w:pPr>
              <w:rPr>
                <w:rFonts w:ascii="Arial" w:hAnsi="Arial"/>
                <w:sz w:val="20"/>
              </w:rPr>
            </w:pPr>
            <w:r w:rsidRPr="00B42A4E">
              <w:rPr>
                <w:rFonts w:ascii="Arial" w:hAnsi="Arial"/>
                <w:sz w:val="20"/>
              </w:rPr>
              <w:t>The PBAC accepted the high clinical need and limited treatment options available for people with this condition.</w:t>
            </w:r>
          </w:p>
        </w:tc>
      </w:tr>
      <w:tr w:rsidR="00005667" w:rsidRPr="00447CFB" w:rsidTr="00005667">
        <w:trPr>
          <w:trHeight w:val="433"/>
        </w:trPr>
        <w:tc>
          <w:tcPr>
            <w:tcW w:w="2127" w:type="dxa"/>
            <w:vMerge/>
          </w:tcPr>
          <w:p w:rsidR="00005667" w:rsidRPr="00447CFB" w:rsidRDefault="00005667" w:rsidP="00DE7C72">
            <w:pPr>
              <w:rPr>
                <w:rFonts w:ascii="Arial" w:hAnsi="Arial" w:cs="Arial"/>
                <w:sz w:val="20"/>
              </w:rPr>
            </w:pPr>
          </w:p>
        </w:tc>
        <w:tc>
          <w:tcPr>
            <w:tcW w:w="2268" w:type="dxa"/>
            <w:vMerge/>
          </w:tcPr>
          <w:p w:rsidR="00005667" w:rsidRPr="00447CFB" w:rsidRDefault="00005667" w:rsidP="00DE7C72">
            <w:pPr>
              <w:rPr>
                <w:rFonts w:ascii="Arial" w:hAnsi="Arial" w:cs="Arial"/>
                <w:sz w:val="20"/>
              </w:rPr>
            </w:pPr>
          </w:p>
        </w:tc>
        <w:tc>
          <w:tcPr>
            <w:tcW w:w="1984" w:type="dxa"/>
            <w:vMerge/>
            <w:shd w:val="clear" w:color="auto" w:fill="auto"/>
          </w:tcPr>
          <w:p w:rsidR="00005667" w:rsidRPr="00447CFB" w:rsidRDefault="00005667" w:rsidP="00DE7C72">
            <w:pPr>
              <w:rPr>
                <w:rFonts w:ascii="Arial" w:hAnsi="Arial" w:cs="Arial"/>
                <w:sz w:val="20"/>
              </w:rPr>
            </w:pPr>
          </w:p>
        </w:tc>
        <w:tc>
          <w:tcPr>
            <w:tcW w:w="3260" w:type="dxa"/>
            <w:shd w:val="clear" w:color="auto" w:fill="auto"/>
          </w:tcPr>
          <w:p w:rsidR="00005667" w:rsidRPr="000A0C06" w:rsidRDefault="00005667" w:rsidP="00861DA9">
            <w:pPr>
              <w:rPr>
                <w:rFonts w:ascii="Arial" w:hAnsi="Arial"/>
                <w:sz w:val="20"/>
              </w:rPr>
            </w:pPr>
            <w:r w:rsidRPr="000A0C06">
              <w:rPr>
                <w:rFonts w:ascii="Arial" w:hAnsi="Arial"/>
                <w:sz w:val="20"/>
              </w:rPr>
              <w:t xml:space="preserve">Comparator:  </w:t>
            </w:r>
            <w:r>
              <w:rPr>
                <w:rFonts w:ascii="Arial" w:hAnsi="Arial"/>
                <w:sz w:val="20"/>
              </w:rPr>
              <w:t>St</w:t>
            </w:r>
            <w:r w:rsidRPr="00051CE7">
              <w:rPr>
                <w:rFonts w:ascii="Arial" w:hAnsi="Arial"/>
                <w:sz w:val="20"/>
              </w:rPr>
              <w:t>andard care</w:t>
            </w:r>
          </w:p>
        </w:tc>
        <w:tc>
          <w:tcPr>
            <w:tcW w:w="5245" w:type="dxa"/>
            <w:shd w:val="clear" w:color="auto" w:fill="auto"/>
          </w:tcPr>
          <w:p w:rsidR="00005667" w:rsidRPr="000A0C06" w:rsidRDefault="00005667" w:rsidP="00861DA9">
            <w:pPr>
              <w:rPr>
                <w:rFonts w:ascii="Arial" w:hAnsi="Arial"/>
                <w:sz w:val="20"/>
              </w:rPr>
            </w:pPr>
            <w:r>
              <w:rPr>
                <w:rFonts w:ascii="Arial" w:hAnsi="Arial"/>
                <w:sz w:val="20"/>
              </w:rPr>
              <w:t>Accepted</w:t>
            </w:r>
          </w:p>
        </w:tc>
      </w:tr>
      <w:tr w:rsidR="00005667" w:rsidRPr="00447CFB" w:rsidTr="00766D90">
        <w:trPr>
          <w:cantSplit/>
          <w:trHeight w:val="433"/>
        </w:trPr>
        <w:tc>
          <w:tcPr>
            <w:tcW w:w="2127" w:type="dxa"/>
            <w:vMerge w:val="restart"/>
          </w:tcPr>
          <w:p w:rsidR="00005667" w:rsidRPr="00447CFB" w:rsidRDefault="00005667" w:rsidP="00DE7C72">
            <w:pPr>
              <w:rPr>
                <w:rFonts w:ascii="Arial" w:hAnsi="Arial" w:cs="Arial"/>
                <w:sz w:val="20"/>
              </w:rPr>
            </w:pPr>
          </w:p>
        </w:tc>
        <w:tc>
          <w:tcPr>
            <w:tcW w:w="2268" w:type="dxa"/>
            <w:vMerge w:val="restart"/>
          </w:tcPr>
          <w:p w:rsidR="00005667" w:rsidRPr="00447CFB" w:rsidRDefault="00005667" w:rsidP="00DE7C72">
            <w:pPr>
              <w:rPr>
                <w:rFonts w:ascii="Arial" w:hAnsi="Arial" w:cs="Arial"/>
                <w:sz w:val="20"/>
              </w:rPr>
            </w:pPr>
          </w:p>
        </w:tc>
        <w:tc>
          <w:tcPr>
            <w:tcW w:w="1984" w:type="dxa"/>
            <w:vMerge w:val="restart"/>
            <w:shd w:val="clear" w:color="auto" w:fill="auto"/>
          </w:tcPr>
          <w:p w:rsidR="00005667" w:rsidRPr="00447CFB" w:rsidRDefault="00005667" w:rsidP="00DE7C72">
            <w:pPr>
              <w:rPr>
                <w:rFonts w:ascii="Arial" w:hAnsi="Arial" w:cs="Arial"/>
                <w:sz w:val="20"/>
              </w:rPr>
            </w:pPr>
          </w:p>
        </w:tc>
        <w:tc>
          <w:tcPr>
            <w:tcW w:w="3260" w:type="dxa"/>
            <w:shd w:val="clear" w:color="auto" w:fill="auto"/>
          </w:tcPr>
          <w:p w:rsidR="00005667" w:rsidRPr="000A0C06" w:rsidRDefault="00005667" w:rsidP="0092695A">
            <w:pPr>
              <w:rPr>
                <w:rFonts w:ascii="Arial" w:hAnsi="Arial"/>
                <w:sz w:val="20"/>
              </w:rPr>
            </w:pPr>
            <w:r w:rsidRPr="000A0C06">
              <w:rPr>
                <w:rFonts w:ascii="Arial" w:hAnsi="Arial"/>
                <w:sz w:val="20"/>
              </w:rPr>
              <w:t xml:space="preserve">Clinical claim:  </w:t>
            </w:r>
            <w:r w:rsidRPr="00051CE7">
              <w:rPr>
                <w:rFonts w:ascii="Arial" w:hAnsi="Arial"/>
                <w:sz w:val="20"/>
              </w:rPr>
              <w:t>teduglutide plus standard care as superior in terms of effectiveness, and at least non-inferior in terms of safety compared to standard of care alone.</w:t>
            </w:r>
          </w:p>
          <w:p w:rsidR="00005667" w:rsidRPr="000A0C06" w:rsidRDefault="00005667" w:rsidP="0092695A">
            <w:pPr>
              <w:rPr>
                <w:rFonts w:ascii="Arial" w:hAnsi="Arial"/>
                <w:sz w:val="20"/>
              </w:rPr>
            </w:pPr>
          </w:p>
        </w:tc>
        <w:tc>
          <w:tcPr>
            <w:tcW w:w="5245" w:type="dxa"/>
            <w:shd w:val="clear" w:color="auto" w:fill="auto"/>
          </w:tcPr>
          <w:p w:rsidR="00005667" w:rsidRPr="00051CE7" w:rsidRDefault="00005667" w:rsidP="00005667">
            <w:pPr>
              <w:spacing w:after="120"/>
              <w:rPr>
                <w:rFonts w:ascii="Arial" w:hAnsi="Arial"/>
                <w:sz w:val="20"/>
              </w:rPr>
            </w:pPr>
            <w:r w:rsidRPr="00051CE7">
              <w:rPr>
                <w:rFonts w:ascii="Arial" w:hAnsi="Arial"/>
                <w:sz w:val="20"/>
              </w:rPr>
              <w:t>The PBAC re-iterated its previous advice that the claim of superior comparative effectiveness of teduglutide over standard care was reasonable, but considered there was a lack of long-term comparative clinical evidence to define the magnitude of the treatment effect associated with teduglutide.</w:t>
            </w:r>
          </w:p>
          <w:p w:rsidR="00005667" w:rsidRPr="000A0C06" w:rsidRDefault="00005667" w:rsidP="0092695A">
            <w:pPr>
              <w:spacing w:before="120"/>
              <w:rPr>
                <w:rFonts w:ascii="Arial" w:hAnsi="Arial"/>
                <w:sz w:val="20"/>
              </w:rPr>
            </w:pPr>
            <w:r w:rsidRPr="00051CE7">
              <w:rPr>
                <w:rFonts w:ascii="Arial" w:hAnsi="Arial"/>
                <w:sz w:val="20"/>
              </w:rPr>
              <w:t xml:space="preserve">The PBAC re-iterated its previous advice that the claim of non-inferior safety of teduglutide over standard care was not adequately justified, particularly given the lack of comparative clinical data to support the claim of reduced parenteral support complications. </w:t>
            </w:r>
          </w:p>
        </w:tc>
      </w:tr>
      <w:tr w:rsidR="00005667" w:rsidRPr="00447CFB" w:rsidTr="00005667">
        <w:trPr>
          <w:trHeight w:val="433"/>
        </w:trPr>
        <w:tc>
          <w:tcPr>
            <w:tcW w:w="2127" w:type="dxa"/>
            <w:vMerge/>
          </w:tcPr>
          <w:p w:rsidR="00005667" w:rsidRPr="00447CFB" w:rsidRDefault="00005667" w:rsidP="00DE7C72">
            <w:pPr>
              <w:rPr>
                <w:rFonts w:ascii="Arial" w:hAnsi="Arial" w:cs="Arial"/>
                <w:sz w:val="20"/>
              </w:rPr>
            </w:pPr>
          </w:p>
        </w:tc>
        <w:tc>
          <w:tcPr>
            <w:tcW w:w="2268" w:type="dxa"/>
            <w:vMerge/>
          </w:tcPr>
          <w:p w:rsidR="00005667" w:rsidRPr="00447CFB" w:rsidRDefault="00005667" w:rsidP="00DE7C72">
            <w:pPr>
              <w:rPr>
                <w:rFonts w:ascii="Arial" w:hAnsi="Arial" w:cs="Arial"/>
                <w:sz w:val="20"/>
              </w:rPr>
            </w:pPr>
          </w:p>
        </w:tc>
        <w:tc>
          <w:tcPr>
            <w:tcW w:w="1984" w:type="dxa"/>
            <w:vMerge/>
            <w:shd w:val="clear" w:color="auto" w:fill="auto"/>
          </w:tcPr>
          <w:p w:rsidR="00005667" w:rsidRPr="00447CFB" w:rsidRDefault="00005667" w:rsidP="00DE7C72">
            <w:pPr>
              <w:rPr>
                <w:rFonts w:ascii="Arial" w:hAnsi="Arial" w:cs="Arial"/>
                <w:sz w:val="20"/>
              </w:rPr>
            </w:pPr>
          </w:p>
        </w:tc>
        <w:tc>
          <w:tcPr>
            <w:tcW w:w="3260" w:type="dxa"/>
            <w:shd w:val="clear" w:color="auto" w:fill="auto"/>
          </w:tcPr>
          <w:p w:rsidR="00005667" w:rsidRPr="00B42A4E" w:rsidRDefault="00005667" w:rsidP="0092695A">
            <w:pPr>
              <w:rPr>
                <w:rFonts w:ascii="Arial" w:hAnsi="Arial"/>
                <w:sz w:val="20"/>
              </w:rPr>
            </w:pPr>
            <w:r w:rsidRPr="00B42A4E">
              <w:rPr>
                <w:rFonts w:ascii="Arial" w:hAnsi="Arial"/>
                <w:sz w:val="20"/>
              </w:rPr>
              <w:t>Economic claim: cost utility analysis of teduglutide plus standard care compared to standard care alone</w:t>
            </w:r>
          </w:p>
          <w:p w:rsidR="00005667" w:rsidRPr="000A0C06" w:rsidRDefault="00005667" w:rsidP="0092695A">
            <w:pPr>
              <w:rPr>
                <w:rFonts w:ascii="Arial" w:hAnsi="Arial"/>
                <w:sz w:val="20"/>
              </w:rPr>
            </w:pPr>
          </w:p>
        </w:tc>
        <w:tc>
          <w:tcPr>
            <w:tcW w:w="5245" w:type="dxa"/>
            <w:shd w:val="clear" w:color="auto" w:fill="auto"/>
          </w:tcPr>
          <w:p w:rsidR="00005667" w:rsidRDefault="00005667" w:rsidP="0092695A">
            <w:pPr>
              <w:rPr>
                <w:rFonts w:ascii="Arial" w:hAnsi="Arial"/>
                <w:sz w:val="20"/>
              </w:rPr>
            </w:pPr>
            <w:r w:rsidRPr="00B42A4E">
              <w:rPr>
                <w:rFonts w:ascii="Arial" w:hAnsi="Arial"/>
                <w:sz w:val="20"/>
              </w:rPr>
              <w:t>The PBAC considered that the incremental cost-effectiveness ratio</w:t>
            </w:r>
            <w:r>
              <w:rPr>
                <w:rFonts w:ascii="Arial" w:hAnsi="Arial"/>
                <w:sz w:val="20"/>
              </w:rPr>
              <w:t xml:space="preserve"> (ICER)</w:t>
            </w:r>
            <w:r w:rsidRPr="00B42A4E">
              <w:rPr>
                <w:rFonts w:ascii="Arial" w:hAnsi="Arial"/>
                <w:sz w:val="20"/>
              </w:rPr>
              <w:t xml:space="preserve"> presented in the resubmission was uncertain because the economic model: did not allow </w:t>
            </w:r>
            <w:r>
              <w:rPr>
                <w:rFonts w:ascii="Arial" w:hAnsi="Arial"/>
                <w:sz w:val="20"/>
              </w:rPr>
              <w:t xml:space="preserve">a </w:t>
            </w:r>
            <w:r w:rsidRPr="00B42A4E">
              <w:rPr>
                <w:rFonts w:ascii="Arial" w:hAnsi="Arial"/>
                <w:sz w:val="20"/>
              </w:rPr>
              <w:t>placebo response; included distant and uncertain price reductions in the base case; and included carer disutilities in the base case rather than a supplementary analysis.</w:t>
            </w:r>
            <w:r>
              <w:rPr>
                <w:rFonts w:ascii="Arial" w:hAnsi="Arial"/>
                <w:sz w:val="20"/>
              </w:rPr>
              <w:t xml:space="preserve"> </w:t>
            </w:r>
            <w:r w:rsidRPr="00B42A4E">
              <w:rPr>
                <w:rFonts w:ascii="Arial" w:hAnsi="Arial"/>
                <w:sz w:val="20"/>
              </w:rPr>
              <w:t>The PBAC considered that the economic model should also be updated to incorporate the impact of the stopping rule and continuation criteria (when finalised).</w:t>
            </w:r>
          </w:p>
          <w:p w:rsidR="00005667" w:rsidRPr="00B42A4E" w:rsidRDefault="00005667" w:rsidP="0092695A">
            <w:pPr>
              <w:rPr>
                <w:rFonts w:ascii="Arial" w:hAnsi="Arial"/>
                <w:sz w:val="20"/>
              </w:rPr>
            </w:pPr>
          </w:p>
          <w:p w:rsidR="00FE7429" w:rsidRPr="000A0C06" w:rsidRDefault="00005667" w:rsidP="0092695A">
            <w:pPr>
              <w:spacing w:after="120"/>
              <w:rPr>
                <w:rFonts w:ascii="Arial" w:hAnsi="Arial"/>
                <w:sz w:val="20"/>
                <w:highlight w:val="yellow"/>
              </w:rPr>
            </w:pPr>
            <w:r w:rsidRPr="00B42A4E">
              <w:rPr>
                <w:rFonts w:ascii="Arial" w:hAnsi="Arial"/>
                <w:sz w:val="20"/>
              </w:rPr>
              <w:t>The PBAC also considered that the ICER was unacceptably high (&gt;$200,000/QALY in the resubmission base case).</w:t>
            </w:r>
          </w:p>
        </w:tc>
      </w:tr>
      <w:tr w:rsidR="00005667" w:rsidRPr="00447CFB" w:rsidTr="00FB3D3A">
        <w:trPr>
          <w:trHeight w:val="433"/>
        </w:trPr>
        <w:tc>
          <w:tcPr>
            <w:tcW w:w="2127" w:type="dxa"/>
            <w:vMerge/>
          </w:tcPr>
          <w:p w:rsidR="00005667" w:rsidRPr="00447CFB" w:rsidRDefault="00005667" w:rsidP="00DE7C72">
            <w:pPr>
              <w:rPr>
                <w:rFonts w:ascii="Arial" w:hAnsi="Arial" w:cs="Arial"/>
                <w:sz w:val="20"/>
              </w:rPr>
            </w:pPr>
          </w:p>
        </w:tc>
        <w:tc>
          <w:tcPr>
            <w:tcW w:w="2268" w:type="dxa"/>
            <w:vMerge/>
          </w:tcPr>
          <w:p w:rsidR="00005667" w:rsidRPr="00447CFB" w:rsidRDefault="00005667" w:rsidP="00DE7C72">
            <w:pPr>
              <w:rPr>
                <w:rFonts w:ascii="Arial" w:hAnsi="Arial" w:cs="Arial"/>
                <w:sz w:val="20"/>
              </w:rPr>
            </w:pPr>
          </w:p>
        </w:tc>
        <w:tc>
          <w:tcPr>
            <w:tcW w:w="1984" w:type="dxa"/>
            <w:vMerge/>
            <w:shd w:val="clear" w:color="auto" w:fill="auto"/>
          </w:tcPr>
          <w:p w:rsidR="00005667" w:rsidRPr="00447CFB" w:rsidRDefault="00005667" w:rsidP="00DE7C72">
            <w:pPr>
              <w:rPr>
                <w:rFonts w:ascii="Arial" w:hAnsi="Arial" w:cs="Arial"/>
                <w:sz w:val="20"/>
              </w:rPr>
            </w:pPr>
          </w:p>
        </w:tc>
        <w:tc>
          <w:tcPr>
            <w:tcW w:w="3260" w:type="dxa"/>
            <w:shd w:val="clear" w:color="auto" w:fill="auto"/>
          </w:tcPr>
          <w:p w:rsidR="00005667" w:rsidRPr="00FB3D3A" w:rsidRDefault="00005667" w:rsidP="00DE7C72">
            <w:pPr>
              <w:pStyle w:val="ListBullet"/>
              <w:rPr>
                <w:snapToGrid/>
                <w:color w:val="000000"/>
                <w:lang w:eastAsia="en-AU"/>
              </w:rPr>
            </w:pPr>
            <w:r w:rsidRPr="00FB3D3A">
              <w:rPr>
                <w:snapToGrid/>
                <w:color w:val="000000"/>
                <w:lang w:eastAsia="en-AU"/>
              </w:rPr>
              <w:t>Sponsor’s comments:</w:t>
            </w:r>
          </w:p>
        </w:tc>
        <w:tc>
          <w:tcPr>
            <w:tcW w:w="5245" w:type="dxa"/>
            <w:shd w:val="clear" w:color="auto" w:fill="auto"/>
          </w:tcPr>
          <w:p w:rsidR="00005667" w:rsidRPr="00FB3D3A" w:rsidRDefault="00FB3D3A" w:rsidP="00DE7C72">
            <w:pPr>
              <w:jc w:val="both"/>
              <w:rPr>
                <w:rFonts w:ascii="Arial" w:hAnsi="Arial" w:cs="Arial"/>
                <w:color w:val="000000"/>
                <w:sz w:val="20"/>
              </w:rPr>
            </w:pPr>
            <w:r w:rsidRPr="00FB3D3A">
              <w:rPr>
                <w:rFonts w:ascii="Arial" w:hAnsi="Arial" w:cs="Arial"/>
                <w:color w:val="000000"/>
                <w:sz w:val="20"/>
              </w:rPr>
              <w:t>Shire will work with the Department of Health and the PBAC so that patients with this rare disease are able to access teduglutide treatment in Australia.</w:t>
            </w:r>
          </w:p>
        </w:tc>
      </w:tr>
    </w:tbl>
    <w:p w:rsidR="00E421D6" w:rsidRDefault="00E421D6"/>
    <w:sectPr w:rsidR="00E421D6" w:rsidSect="00766D90">
      <w:headerReference w:type="default" r:id="rId9"/>
      <w:footerReference w:type="default" r:id="rId10"/>
      <w:headerReference w:type="first" r:id="rId11"/>
      <w:footerReference w:type="first" r:id="rId12"/>
      <w:pgSz w:w="16840" w:h="11907" w:orient="landscape" w:code="9"/>
      <w:pgMar w:top="720" w:right="720" w:bottom="709" w:left="720"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B34" w:rsidRDefault="00251B34" w:rsidP="00251B34">
      <w:r>
        <w:separator/>
      </w:r>
    </w:p>
  </w:endnote>
  <w:endnote w:type="continuationSeparator" w:id="0">
    <w:p w:rsidR="00251B34" w:rsidRDefault="00251B34" w:rsidP="0025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Pr="00766D90" w:rsidRDefault="00653A0F" w:rsidP="000805C6">
    <w:pPr>
      <w:pStyle w:val="Footer"/>
      <w:jc w:val="right"/>
      <w:rPr>
        <w:sz w:val="20"/>
      </w:rPr>
    </w:pPr>
  </w:p>
  <w:p w:rsidR="000805C6" w:rsidRPr="00766D90" w:rsidRDefault="00251B34" w:rsidP="000805C6">
    <w:pPr>
      <w:pStyle w:val="Footer"/>
      <w:jc w:val="right"/>
      <w:rPr>
        <w:rFonts w:ascii="Arial" w:hAnsi="Arial" w:cs="Arial"/>
        <w:sz w:val="20"/>
      </w:rPr>
    </w:pPr>
    <w:r w:rsidRPr="00766D90">
      <w:rPr>
        <w:rFonts w:ascii="Arial" w:hAnsi="Arial" w:cs="Arial"/>
        <w:sz w:val="20"/>
      </w:rPr>
      <w:fldChar w:fldCharType="begin"/>
    </w:r>
    <w:r w:rsidRPr="00766D90">
      <w:rPr>
        <w:rFonts w:ascii="Arial" w:hAnsi="Arial" w:cs="Arial"/>
        <w:sz w:val="20"/>
      </w:rPr>
      <w:instrText xml:space="preserve"> PAGE   \* MERGEFORMAT </w:instrText>
    </w:r>
    <w:r w:rsidRPr="00766D90">
      <w:rPr>
        <w:rFonts w:ascii="Arial" w:hAnsi="Arial" w:cs="Arial"/>
        <w:sz w:val="20"/>
      </w:rPr>
      <w:fldChar w:fldCharType="separate"/>
    </w:r>
    <w:r w:rsidR="00653A0F">
      <w:rPr>
        <w:rFonts w:ascii="Arial" w:hAnsi="Arial" w:cs="Arial"/>
        <w:noProof/>
        <w:sz w:val="20"/>
      </w:rPr>
      <w:t>1</w:t>
    </w:r>
    <w:r w:rsidRPr="00766D90">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653A0F">
    <w:pPr>
      <w:pStyle w:val="Footer"/>
      <w:jc w:val="right"/>
    </w:pPr>
  </w:p>
  <w:p w:rsidR="000805C6" w:rsidRPr="000805C6" w:rsidRDefault="00251B34">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B34" w:rsidRDefault="00251B34" w:rsidP="00251B34">
      <w:r>
        <w:separator/>
      </w:r>
    </w:p>
  </w:footnote>
  <w:footnote w:type="continuationSeparator" w:id="0">
    <w:p w:rsidR="00251B34" w:rsidRDefault="00251B34" w:rsidP="00251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251B34" w:rsidP="000805C6">
    <w:pPr>
      <w:pStyle w:val="Header"/>
      <w:jc w:val="center"/>
      <w:rPr>
        <w:rFonts w:ascii="Arial" w:hAnsi="Arial" w:cs="Arial"/>
        <w:b/>
        <w:sz w:val="20"/>
      </w:rPr>
    </w:pPr>
    <w:r>
      <w:rPr>
        <w:rFonts w:ascii="Arial" w:hAnsi="Arial" w:cs="Arial"/>
        <w:b/>
        <w:sz w:val="20"/>
      </w:rPr>
      <w:t>JULY 2018 PBAC OUTCOMES – SUBSEQUENT</w:t>
    </w:r>
    <w:r w:rsidRPr="004C071C">
      <w:rPr>
        <w:rFonts w:ascii="Arial" w:hAnsi="Arial" w:cs="Arial"/>
        <w:b/>
        <w:sz w:val="20"/>
      </w:rPr>
      <w:t xml:space="preserve"> DECISIONS NOT TO RECOMMEND</w:t>
    </w:r>
  </w:p>
  <w:p w:rsidR="000805C6" w:rsidRPr="004C071C" w:rsidRDefault="00653A0F" w:rsidP="000805C6">
    <w:pPr>
      <w:pStyle w:val="Header"/>
      <w:jc w:val="center"/>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251B34" w:rsidP="00613975">
    <w:pPr>
      <w:pStyle w:val="Header"/>
      <w:jc w:val="center"/>
      <w:rPr>
        <w:rFonts w:ascii="Arial" w:hAnsi="Arial" w:cs="Arial"/>
        <w:b/>
        <w:sz w:val="20"/>
      </w:rPr>
    </w:pPr>
    <w:r>
      <w:rPr>
        <w:rFonts w:ascii="Arial" w:hAnsi="Arial" w:cs="Arial"/>
        <w:b/>
        <w:sz w:val="20"/>
      </w:rPr>
      <w:t>NOVEMBER 2017</w:t>
    </w:r>
    <w:r w:rsidRPr="00A24F2E">
      <w:rPr>
        <w:rFonts w:ascii="Arial" w:hAnsi="Arial" w:cs="Arial"/>
        <w:b/>
        <w:sz w:val="20"/>
      </w:rPr>
      <w:t xml:space="preserve"> PBAC MEETING </w:t>
    </w:r>
    <w:r>
      <w:rPr>
        <w:rFonts w:ascii="Arial" w:hAnsi="Arial" w:cs="Arial"/>
        <w:b/>
        <w:sz w:val="20"/>
      </w:rPr>
      <w:t>PBAC OUTCOMES – SUBSEQUENT</w:t>
    </w:r>
    <w:r w:rsidRPr="004C071C">
      <w:rPr>
        <w:rFonts w:ascii="Arial" w:hAnsi="Arial" w:cs="Arial"/>
        <w:b/>
        <w:sz w:val="20"/>
      </w:rPr>
      <w:t xml:space="preserve"> DECISIONS NOT TO RECOMMEND</w:t>
    </w:r>
  </w:p>
  <w:p w:rsidR="000805C6" w:rsidRPr="004C071C" w:rsidRDefault="00653A0F"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97"/>
    <w:multiLevelType w:val="hybridMultilevel"/>
    <w:tmpl w:val="3F96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BA73860"/>
    <w:multiLevelType w:val="hybridMultilevel"/>
    <w:tmpl w:val="F12A7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34"/>
    <w:rsid w:val="00005667"/>
    <w:rsid w:val="000F0739"/>
    <w:rsid w:val="00251B34"/>
    <w:rsid w:val="00361AA8"/>
    <w:rsid w:val="003A04F8"/>
    <w:rsid w:val="00563377"/>
    <w:rsid w:val="005E6A94"/>
    <w:rsid w:val="00653A0F"/>
    <w:rsid w:val="006E4928"/>
    <w:rsid w:val="00766D90"/>
    <w:rsid w:val="007F6075"/>
    <w:rsid w:val="00847238"/>
    <w:rsid w:val="00861DA9"/>
    <w:rsid w:val="008A049C"/>
    <w:rsid w:val="009325B3"/>
    <w:rsid w:val="009E7A12"/>
    <w:rsid w:val="00A44FCB"/>
    <w:rsid w:val="00A474E2"/>
    <w:rsid w:val="00AE1E93"/>
    <w:rsid w:val="00B85CBF"/>
    <w:rsid w:val="00C25E3D"/>
    <w:rsid w:val="00C335B6"/>
    <w:rsid w:val="00D47A86"/>
    <w:rsid w:val="00E26536"/>
    <w:rsid w:val="00E421D6"/>
    <w:rsid w:val="00E46E8F"/>
    <w:rsid w:val="00EB33F5"/>
    <w:rsid w:val="00ED4F43"/>
    <w:rsid w:val="00EF77D1"/>
    <w:rsid w:val="00FB3D3A"/>
    <w:rsid w:val="00FE7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34"/>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rsid w:val="00251B34"/>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251B34"/>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251B34"/>
    <w:pPr>
      <w:tabs>
        <w:tab w:val="center" w:pos="4153"/>
        <w:tab w:val="right" w:pos="8306"/>
      </w:tabs>
    </w:pPr>
  </w:style>
  <w:style w:type="character" w:customStyle="1" w:styleId="FooterChar">
    <w:name w:val="Footer Char"/>
    <w:basedOn w:val="DefaultParagraphFont"/>
    <w:link w:val="Footer"/>
    <w:uiPriority w:val="99"/>
    <w:rsid w:val="00251B34"/>
    <w:rPr>
      <w:rFonts w:ascii="Times New Roman" w:eastAsia="Times New Roman" w:hAnsi="Times New Roman" w:cs="Times New Roman"/>
      <w:sz w:val="24"/>
      <w:szCs w:val="20"/>
      <w:lang w:eastAsia="en-AU"/>
    </w:rPr>
  </w:style>
  <w:style w:type="paragraph" w:styleId="ListBullet">
    <w:name w:val="List Bullet"/>
    <w:basedOn w:val="Normal"/>
    <w:autoRedefine/>
    <w:rsid w:val="00251B34"/>
    <w:rPr>
      <w:rFonts w:ascii="Arial" w:hAnsi="Arial" w:cs="Arial"/>
      <w:snapToGrid w:val="0"/>
      <w:sz w:val="20"/>
      <w:lang w:eastAsia="en-US"/>
    </w:rPr>
  </w:style>
  <w:style w:type="paragraph" w:styleId="Title">
    <w:name w:val="Title"/>
    <w:basedOn w:val="Normal"/>
    <w:link w:val="TitleChar"/>
    <w:qFormat/>
    <w:rsid w:val="00251B34"/>
    <w:pPr>
      <w:jc w:val="center"/>
    </w:pPr>
    <w:rPr>
      <w:rFonts w:ascii="Arial" w:hAnsi="Arial"/>
      <w:b/>
      <w:sz w:val="20"/>
    </w:rPr>
  </w:style>
  <w:style w:type="character" w:customStyle="1" w:styleId="TitleChar">
    <w:name w:val="Title Char"/>
    <w:basedOn w:val="DefaultParagraphFont"/>
    <w:link w:val="Title"/>
    <w:rsid w:val="00251B34"/>
    <w:rPr>
      <w:rFonts w:ascii="Arial" w:eastAsia="Times New Roman" w:hAnsi="Arial" w:cs="Times New Roman"/>
      <w:b/>
      <w:sz w:val="20"/>
      <w:szCs w:val="20"/>
      <w:lang w:eastAsia="en-AU"/>
    </w:rPr>
  </w:style>
  <w:style w:type="paragraph" w:styleId="ListParagraph">
    <w:name w:val="List Paragraph"/>
    <w:aliases w:val="BulletPoints,Footnote,Bullet point,List Paragraph1,List Paragraph11,Recommendation"/>
    <w:basedOn w:val="Normal"/>
    <w:link w:val="ListParagraphChar"/>
    <w:uiPriority w:val="34"/>
    <w:qFormat/>
    <w:rsid w:val="00251B34"/>
    <w:pPr>
      <w:ind w:left="720"/>
      <w:contextualSpacing/>
    </w:pPr>
    <w:rPr>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251B34"/>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25E3D"/>
    <w:rPr>
      <w:rFonts w:ascii="Tahoma" w:hAnsi="Tahoma" w:cs="Tahoma"/>
      <w:sz w:val="16"/>
      <w:szCs w:val="16"/>
    </w:rPr>
  </w:style>
  <w:style w:type="character" w:customStyle="1" w:styleId="BalloonTextChar">
    <w:name w:val="Balloon Text Char"/>
    <w:basedOn w:val="DefaultParagraphFont"/>
    <w:link w:val="BalloonText"/>
    <w:uiPriority w:val="99"/>
    <w:semiHidden/>
    <w:rsid w:val="00C25E3D"/>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25E3D"/>
    <w:rPr>
      <w:sz w:val="16"/>
      <w:szCs w:val="16"/>
    </w:rPr>
  </w:style>
  <w:style w:type="paragraph" w:styleId="CommentText">
    <w:name w:val="annotation text"/>
    <w:basedOn w:val="Normal"/>
    <w:link w:val="CommentTextChar"/>
    <w:uiPriority w:val="99"/>
    <w:semiHidden/>
    <w:unhideWhenUsed/>
    <w:rsid w:val="00C25E3D"/>
    <w:rPr>
      <w:sz w:val="20"/>
    </w:rPr>
  </w:style>
  <w:style w:type="character" w:customStyle="1" w:styleId="CommentTextChar">
    <w:name w:val="Comment Text Char"/>
    <w:basedOn w:val="DefaultParagraphFont"/>
    <w:link w:val="CommentText"/>
    <w:uiPriority w:val="99"/>
    <w:semiHidden/>
    <w:rsid w:val="00C25E3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25E3D"/>
    <w:rPr>
      <w:b/>
      <w:bCs/>
    </w:rPr>
  </w:style>
  <w:style w:type="character" w:customStyle="1" w:styleId="CommentSubjectChar">
    <w:name w:val="Comment Subject Char"/>
    <w:basedOn w:val="CommentTextChar"/>
    <w:link w:val="CommentSubject"/>
    <w:uiPriority w:val="99"/>
    <w:semiHidden/>
    <w:rsid w:val="00C25E3D"/>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34"/>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rsid w:val="00251B34"/>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251B34"/>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251B34"/>
    <w:pPr>
      <w:tabs>
        <w:tab w:val="center" w:pos="4153"/>
        <w:tab w:val="right" w:pos="8306"/>
      </w:tabs>
    </w:pPr>
  </w:style>
  <w:style w:type="character" w:customStyle="1" w:styleId="FooterChar">
    <w:name w:val="Footer Char"/>
    <w:basedOn w:val="DefaultParagraphFont"/>
    <w:link w:val="Footer"/>
    <w:uiPriority w:val="99"/>
    <w:rsid w:val="00251B34"/>
    <w:rPr>
      <w:rFonts w:ascii="Times New Roman" w:eastAsia="Times New Roman" w:hAnsi="Times New Roman" w:cs="Times New Roman"/>
      <w:sz w:val="24"/>
      <w:szCs w:val="20"/>
      <w:lang w:eastAsia="en-AU"/>
    </w:rPr>
  </w:style>
  <w:style w:type="paragraph" w:styleId="ListBullet">
    <w:name w:val="List Bullet"/>
    <w:basedOn w:val="Normal"/>
    <w:autoRedefine/>
    <w:rsid w:val="00251B34"/>
    <w:rPr>
      <w:rFonts w:ascii="Arial" w:hAnsi="Arial" w:cs="Arial"/>
      <w:snapToGrid w:val="0"/>
      <w:sz w:val="20"/>
      <w:lang w:eastAsia="en-US"/>
    </w:rPr>
  </w:style>
  <w:style w:type="paragraph" w:styleId="Title">
    <w:name w:val="Title"/>
    <w:basedOn w:val="Normal"/>
    <w:link w:val="TitleChar"/>
    <w:qFormat/>
    <w:rsid w:val="00251B34"/>
    <w:pPr>
      <w:jc w:val="center"/>
    </w:pPr>
    <w:rPr>
      <w:rFonts w:ascii="Arial" w:hAnsi="Arial"/>
      <w:b/>
      <w:sz w:val="20"/>
    </w:rPr>
  </w:style>
  <w:style w:type="character" w:customStyle="1" w:styleId="TitleChar">
    <w:name w:val="Title Char"/>
    <w:basedOn w:val="DefaultParagraphFont"/>
    <w:link w:val="Title"/>
    <w:rsid w:val="00251B34"/>
    <w:rPr>
      <w:rFonts w:ascii="Arial" w:eastAsia="Times New Roman" w:hAnsi="Arial" w:cs="Times New Roman"/>
      <w:b/>
      <w:sz w:val="20"/>
      <w:szCs w:val="20"/>
      <w:lang w:eastAsia="en-AU"/>
    </w:rPr>
  </w:style>
  <w:style w:type="paragraph" w:styleId="ListParagraph">
    <w:name w:val="List Paragraph"/>
    <w:aliases w:val="BulletPoints,Footnote,Bullet point,List Paragraph1,List Paragraph11,Recommendation"/>
    <w:basedOn w:val="Normal"/>
    <w:link w:val="ListParagraphChar"/>
    <w:uiPriority w:val="34"/>
    <w:qFormat/>
    <w:rsid w:val="00251B34"/>
    <w:pPr>
      <w:ind w:left="720"/>
      <w:contextualSpacing/>
    </w:pPr>
    <w:rPr>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251B34"/>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25E3D"/>
    <w:rPr>
      <w:rFonts w:ascii="Tahoma" w:hAnsi="Tahoma" w:cs="Tahoma"/>
      <w:sz w:val="16"/>
      <w:szCs w:val="16"/>
    </w:rPr>
  </w:style>
  <w:style w:type="character" w:customStyle="1" w:styleId="BalloonTextChar">
    <w:name w:val="Balloon Text Char"/>
    <w:basedOn w:val="DefaultParagraphFont"/>
    <w:link w:val="BalloonText"/>
    <w:uiPriority w:val="99"/>
    <w:semiHidden/>
    <w:rsid w:val="00C25E3D"/>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25E3D"/>
    <w:rPr>
      <w:sz w:val="16"/>
      <w:szCs w:val="16"/>
    </w:rPr>
  </w:style>
  <w:style w:type="paragraph" w:styleId="CommentText">
    <w:name w:val="annotation text"/>
    <w:basedOn w:val="Normal"/>
    <w:link w:val="CommentTextChar"/>
    <w:uiPriority w:val="99"/>
    <w:semiHidden/>
    <w:unhideWhenUsed/>
    <w:rsid w:val="00C25E3D"/>
    <w:rPr>
      <w:sz w:val="20"/>
    </w:rPr>
  </w:style>
  <w:style w:type="character" w:customStyle="1" w:styleId="CommentTextChar">
    <w:name w:val="Comment Text Char"/>
    <w:basedOn w:val="DefaultParagraphFont"/>
    <w:link w:val="CommentText"/>
    <w:uiPriority w:val="99"/>
    <w:semiHidden/>
    <w:rsid w:val="00C25E3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25E3D"/>
    <w:rPr>
      <w:b/>
      <w:bCs/>
    </w:rPr>
  </w:style>
  <w:style w:type="character" w:customStyle="1" w:styleId="CommentSubjectChar">
    <w:name w:val="Comment Subject Char"/>
    <w:basedOn w:val="CommentTextChar"/>
    <w:link w:val="CommentSubject"/>
    <w:uiPriority w:val="99"/>
    <w:semiHidden/>
    <w:rsid w:val="00C25E3D"/>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7294">
      <w:bodyDiv w:val="1"/>
      <w:marLeft w:val="0"/>
      <w:marRight w:val="0"/>
      <w:marTop w:val="0"/>
      <w:marBottom w:val="0"/>
      <w:divBdr>
        <w:top w:val="none" w:sz="0" w:space="0" w:color="auto"/>
        <w:left w:val="none" w:sz="0" w:space="0" w:color="auto"/>
        <w:bottom w:val="none" w:sz="0" w:space="0" w:color="auto"/>
        <w:right w:val="none" w:sz="0" w:space="0" w:color="auto"/>
      </w:divBdr>
    </w:div>
    <w:div w:id="126550581">
      <w:bodyDiv w:val="1"/>
      <w:marLeft w:val="0"/>
      <w:marRight w:val="0"/>
      <w:marTop w:val="0"/>
      <w:marBottom w:val="0"/>
      <w:divBdr>
        <w:top w:val="none" w:sz="0" w:space="0" w:color="auto"/>
        <w:left w:val="none" w:sz="0" w:space="0" w:color="auto"/>
        <w:bottom w:val="none" w:sz="0" w:space="0" w:color="auto"/>
        <w:right w:val="none" w:sz="0" w:space="0" w:color="auto"/>
      </w:divBdr>
    </w:div>
    <w:div w:id="260256928">
      <w:bodyDiv w:val="1"/>
      <w:marLeft w:val="0"/>
      <w:marRight w:val="0"/>
      <w:marTop w:val="0"/>
      <w:marBottom w:val="0"/>
      <w:divBdr>
        <w:top w:val="none" w:sz="0" w:space="0" w:color="auto"/>
        <w:left w:val="none" w:sz="0" w:space="0" w:color="auto"/>
        <w:bottom w:val="none" w:sz="0" w:space="0" w:color="auto"/>
        <w:right w:val="none" w:sz="0" w:space="0" w:color="auto"/>
      </w:divBdr>
    </w:div>
    <w:div w:id="264920521">
      <w:bodyDiv w:val="1"/>
      <w:marLeft w:val="0"/>
      <w:marRight w:val="0"/>
      <w:marTop w:val="0"/>
      <w:marBottom w:val="0"/>
      <w:divBdr>
        <w:top w:val="none" w:sz="0" w:space="0" w:color="auto"/>
        <w:left w:val="none" w:sz="0" w:space="0" w:color="auto"/>
        <w:bottom w:val="none" w:sz="0" w:space="0" w:color="auto"/>
        <w:right w:val="none" w:sz="0" w:space="0" w:color="auto"/>
      </w:divBdr>
    </w:div>
    <w:div w:id="425198323">
      <w:bodyDiv w:val="1"/>
      <w:marLeft w:val="0"/>
      <w:marRight w:val="0"/>
      <w:marTop w:val="0"/>
      <w:marBottom w:val="0"/>
      <w:divBdr>
        <w:top w:val="none" w:sz="0" w:space="0" w:color="auto"/>
        <w:left w:val="none" w:sz="0" w:space="0" w:color="auto"/>
        <w:bottom w:val="none" w:sz="0" w:space="0" w:color="auto"/>
        <w:right w:val="none" w:sz="0" w:space="0" w:color="auto"/>
      </w:divBdr>
    </w:div>
    <w:div w:id="750155862">
      <w:bodyDiv w:val="1"/>
      <w:marLeft w:val="0"/>
      <w:marRight w:val="0"/>
      <w:marTop w:val="0"/>
      <w:marBottom w:val="0"/>
      <w:divBdr>
        <w:top w:val="none" w:sz="0" w:space="0" w:color="auto"/>
        <w:left w:val="none" w:sz="0" w:space="0" w:color="auto"/>
        <w:bottom w:val="none" w:sz="0" w:space="0" w:color="auto"/>
        <w:right w:val="none" w:sz="0" w:space="0" w:color="auto"/>
      </w:divBdr>
    </w:div>
    <w:div w:id="770318177">
      <w:bodyDiv w:val="1"/>
      <w:marLeft w:val="0"/>
      <w:marRight w:val="0"/>
      <w:marTop w:val="0"/>
      <w:marBottom w:val="0"/>
      <w:divBdr>
        <w:top w:val="none" w:sz="0" w:space="0" w:color="auto"/>
        <w:left w:val="none" w:sz="0" w:space="0" w:color="auto"/>
        <w:bottom w:val="none" w:sz="0" w:space="0" w:color="auto"/>
        <w:right w:val="none" w:sz="0" w:space="0" w:color="auto"/>
      </w:divBdr>
    </w:div>
    <w:div w:id="1035039076">
      <w:bodyDiv w:val="1"/>
      <w:marLeft w:val="0"/>
      <w:marRight w:val="0"/>
      <w:marTop w:val="0"/>
      <w:marBottom w:val="0"/>
      <w:divBdr>
        <w:top w:val="none" w:sz="0" w:space="0" w:color="auto"/>
        <w:left w:val="none" w:sz="0" w:space="0" w:color="auto"/>
        <w:bottom w:val="none" w:sz="0" w:space="0" w:color="auto"/>
        <w:right w:val="none" w:sz="0" w:space="0" w:color="auto"/>
      </w:divBdr>
    </w:div>
    <w:div w:id="1124352950">
      <w:bodyDiv w:val="1"/>
      <w:marLeft w:val="0"/>
      <w:marRight w:val="0"/>
      <w:marTop w:val="0"/>
      <w:marBottom w:val="0"/>
      <w:divBdr>
        <w:top w:val="none" w:sz="0" w:space="0" w:color="auto"/>
        <w:left w:val="none" w:sz="0" w:space="0" w:color="auto"/>
        <w:bottom w:val="none" w:sz="0" w:space="0" w:color="auto"/>
        <w:right w:val="none" w:sz="0" w:space="0" w:color="auto"/>
      </w:divBdr>
    </w:div>
    <w:div w:id="1312370863">
      <w:bodyDiv w:val="1"/>
      <w:marLeft w:val="0"/>
      <w:marRight w:val="0"/>
      <w:marTop w:val="0"/>
      <w:marBottom w:val="0"/>
      <w:divBdr>
        <w:top w:val="none" w:sz="0" w:space="0" w:color="auto"/>
        <w:left w:val="none" w:sz="0" w:space="0" w:color="auto"/>
        <w:bottom w:val="none" w:sz="0" w:space="0" w:color="auto"/>
        <w:right w:val="none" w:sz="0" w:space="0" w:color="auto"/>
      </w:divBdr>
    </w:div>
    <w:div w:id="1313288838">
      <w:bodyDiv w:val="1"/>
      <w:marLeft w:val="0"/>
      <w:marRight w:val="0"/>
      <w:marTop w:val="0"/>
      <w:marBottom w:val="0"/>
      <w:divBdr>
        <w:top w:val="none" w:sz="0" w:space="0" w:color="auto"/>
        <w:left w:val="none" w:sz="0" w:space="0" w:color="auto"/>
        <w:bottom w:val="none" w:sz="0" w:space="0" w:color="auto"/>
        <w:right w:val="none" w:sz="0" w:space="0" w:color="auto"/>
      </w:divBdr>
    </w:div>
    <w:div w:id="1392147395">
      <w:bodyDiv w:val="1"/>
      <w:marLeft w:val="0"/>
      <w:marRight w:val="0"/>
      <w:marTop w:val="0"/>
      <w:marBottom w:val="0"/>
      <w:divBdr>
        <w:top w:val="none" w:sz="0" w:space="0" w:color="auto"/>
        <w:left w:val="none" w:sz="0" w:space="0" w:color="auto"/>
        <w:bottom w:val="none" w:sz="0" w:space="0" w:color="auto"/>
        <w:right w:val="none" w:sz="0" w:space="0" w:color="auto"/>
      </w:divBdr>
    </w:div>
    <w:div w:id="1451588057">
      <w:bodyDiv w:val="1"/>
      <w:marLeft w:val="0"/>
      <w:marRight w:val="0"/>
      <w:marTop w:val="0"/>
      <w:marBottom w:val="0"/>
      <w:divBdr>
        <w:top w:val="none" w:sz="0" w:space="0" w:color="auto"/>
        <w:left w:val="none" w:sz="0" w:space="0" w:color="auto"/>
        <w:bottom w:val="none" w:sz="0" w:space="0" w:color="auto"/>
        <w:right w:val="none" w:sz="0" w:space="0" w:color="auto"/>
      </w:divBdr>
    </w:div>
    <w:div w:id="2013871821">
      <w:bodyDiv w:val="1"/>
      <w:marLeft w:val="0"/>
      <w:marRight w:val="0"/>
      <w:marTop w:val="0"/>
      <w:marBottom w:val="0"/>
      <w:divBdr>
        <w:top w:val="none" w:sz="0" w:space="0" w:color="auto"/>
        <w:left w:val="none" w:sz="0" w:space="0" w:color="auto"/>
        <w:bottom w:val="none" w:sz="0" w:space="0" w:color="auto"/>
        <w:right w:val="none" w:sz="0" w:space="0" w:color="auto"/>
      </w:divBdr>
    </w:div>
    <w:div w:id="2021736954">
      <w:bodyDiv w:val="1"/>
      <w:marLeft w:val="0"/>
      <w:marRight w:val="0"/>
      <w:marTop w:val="0"/>
      <w:marBottom w:val="0"/>
      <w:divBdr>
        <w:top w:val="none" w:sz="0" w:space="0" w:color="auto"/>
        <w:left w:val="none" w:sz="0" w:space="0" w:color="auto"/>
        <w:bottom w:val="none" w:sz="0" w:space="0" w:color="auto"/>
        <w:right w:val="none" w:sz="0" w:space="0" w:color="auto"/>
      </w:divBdr>
    </w:div>
    <w:div w:id="20761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76127-B55D-4E42-AF55-6555BA12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E9C209BA.dotm</Template>
  <TotalTime>0</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2018-08-14T02:43:00Z</dcterms:created>
  <dcterms:modified xsi:type="dcterms:W3CDTF">2018-08-15T04:51:00Z</dcterms:modified>
</cp:coreProperties>
</file>