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2418"/>
        <w:gridCol w:w="3168"/>
        <w:gridCol w:w="6670"/>
      </w:tblGrid>
      <w:tr w:rsidR="00394821" w:rsidRPr="00971118" w:rsidTr="00D4534F">
        <w:trPr>
          <w:cantSplit/>
          <w:tblHeader/>
        </w:trPr>
        <w:tc>
          <w:tcPr>
            <w:tcW w:w="3055" w:type="dxa"/>
            <w:tcBorders>
              <w:bottom w:val="single" w:sz="4" w:space="0" w:color="auto"/>
            </w:tcBorders>
            <w:tcMar>
              <w:top w:w="28" w:type="dxa"/>
              <w:bottom w:w="28" w:type="dxa"/>
            </w:tcMar>
          </w:tcPr>
          <w:p w:rsidR="00394821" w:rsidRPr="00971118" w:rsidRDefault="00394821" w:rsidP="00392583">
            <w:pPr>
              <w:widowControl w:val="0"/>
              <w:jc w:val="center"/>
              <w:rPr>
                <w:rFonts w:ascii="Arial" w:hAnsi="Arial" w:cs="Arial"/>
                <w:b/>
              </w:rPr>
            </w:pPr>
            <w:r w:rsidRPr="00971118">
              <w:rPr>
                <w:rFonts w:ascii="Arial" w:hAnsi="Arial" w:cs="Arial"/>
                <w:b/>
              </w:rPr>
              <w:t>DRUG NAME, FORM(S), STRENGTH(S), SPONSOR, TYPE OF SUBMISSION</w:t>
            </w:r>
          </w:p>
          <w:p w:rsidR="00394821" w:rsidRPr="00971118" w:rsidRDefault="00394821" w:rsidP="00392583">
            <w:pPr>
              <w:widowControl w:val="0"/>
              <w:jc w:val="center"/>
              <w:rPr>
                <w:rFonts w:ascii="Arial" w:hAnsi="Arial" w:cs="Arial"/>
                <w:b/>
              </w:rPr>
            </w:pPr>
          </w:p>
        </w:tc>
        <w:tc>
          <w:tcPr>
            <w:tcW w:w="2418" w:type="dxa"/>
            <w:tcBorders>
              <w:bottom w:val="single" w:sz="4" w:space="0" w:color="auto"/>
            </w:tcBorders>
            <w:tcMar>
              <w:top w:w="28" w:type="dxa"/>
              <w:bottom w:w="28" w:type="dxa"/>
            </w:tcMar>
          </w:tcPr>
          <w:p w:rsidR="00394821" w:rsidRPr="00971118" w:rsidRDefault="00394821" w:rsidP="00392583">
            <w:pPr>
              <w:widowControl w:val="0"/>
              <w:jc w:val="center"/>
              <w:rPr>
                <w:rFonts w:ascii="Arial" w:hAnsi="Arial" w:cs="Arial"/>
                <w:b/>
                <w:snapToGrid w:val="0"/>
                <w:lang w:eastAsia="en-US"/>
              </w:rPr>
            </w:pPr>
            <w:r w:rsidRPr="00971118">
              <w:rPr>
                <w:rFonts w:ascii="Arial" w:hAnsi="Arial" w:cs="Arial"/>
                <w:b/>
                <w:snapToGrid w:val="0"/>
                <w:lang w:eastAsia="en-US"/>
              </w:rPr>
              <w:t>DRUG TYPE AND USE</w:t>
            </w:r>
          </w:p>
          <w:p w:rsidR="00394821" w:rsidRPr="00971118" w:rsidRDefault="00394821" w:rsidP="00392583">
            <w:pPr>
              <w:widowControl w:val="0"/>
              <w:jc w:val="center"/>
              <w:rPr>
                <w:rFonts w:ascii="Arial" w:hAnsi="Arial" w:cs="Arial"/>
                <w:b/>
                <w:snapToGrid w:val="0"/>
                <w:lang w:eastAsia="en-US"/>
              </w:rPr>
            </w:pPr>
          </w:p>
        </w:tc>
        <w:tc>
          <w:tcPr>
            <w:tcW w:w="3168" w:type="dxa"/>
            <w:tcBorders>
              <w:bottom w:val="single" w:sz="4" w:space="0" w:color="auto"/>
            </w:tcBorders>
            <w:tcMar>
              <w:top w:w="28" w:type="dxa"/>
              <w:bottom w:w="28" w:type="dxa"/>
            </w:tcMar>
          </w:tcPr>
          <w:p w:rsidR="00394821" w:rsidRPr="00971118" w:rsidRDefault="00394821" w:rsidP="00392583">
            <w:pPr>
              <w:widowControl w:val="0"/>
              <w:jc w:val="center"/>
              <w:rPr>
                <w:rFonts w:ascii="Arial" w:hAnsi="Arial" w:cs="Arial"/>
                <w:b/>
                <w:snapToGrid w:val="0"/>
                <w:lang w:eastAsia="en-US"/>
              </w:rPr>
            </w:pPr>
            <w:r w:rsidRPr="00971118">
              <w:rPr>
                <w:rFonts w:ascii="Arial" w:hAnsi="Arial" w:cs="Arial"/>
                <w:b/>
                <w:snapToGrid w:val="0"/>
                <w:lang w:eastAsia="en-US"/>
              </w:rPr>
              <w:t>LISTING REQUESTED BY SPONSOR / PURPOSE OF SUBMISSION</w:t>
            </w:r>
          </w:p>
          <w:p w:rsidR="00394821" w:rsidRPr="00971118" w:rsidRDefault="00394821" w:rsidP="00392583">
            <w:pPr>
              <w:widowControl w:val="0"/>
              <w:jc w:val="center"/>
              <w:rPr>
                <w:rFonts w:ascii="Arial" w:hAnsi="Arial" w:cs="Arial"/>
                <w:b/>
                <w:snapToGrid w:val="0"/>
                <w:lang w:eastAsia="en-US"/>
              </w:rPr>
            </w:pPr>
          </w:p>
        </w:tc>
        <w:tc>
          <w:tcPr>
            <w:tcW w:w="6670" w:type="dxa"/>
            <w:tcBorders>
              <w:bottom w:val="single" w:sz="4" w:space="0" w:color="auto"/>
            </w:tcBorders>
          </w:tcPr>
          <w:p w:rsidR="00394821" w:rsidRPr="00971118" w:rsidRDefault="00394821" w:rsidP="00392583">
            <w:pPr>
              <w:pStyle w:val="Header"/>
              <w:jc w:val="center"/>
              <w:rPr>
                <w:rFonts w:ascii="Arial" w:hAnsi="Arial" w:cs="Arial"/>
                <w:b/>
                <w:snapToGrid w:val="0"/>
                <w:lang w:eastAsia="en-US"/>
              </w:rPr>
            </w:pPr>
            <w:r w:rsidRPr="00971118">
              <w:rPr>
                <w:rFonts w:ascii="Arial" w:hAnsi="Arial" w:cs="Arial"/>
                <w:b/>
                <w:snapToGrid w:val="0"/>
                <w:lang w:eastAsia="en-US"/>
              </w:rPr>
              <w:t>PBAC OUTCOME</w:t>
            </w:r>
          </w:p>
        </w:tc>
      </w:tr>
      <w:tr w:rsidR="004D3404" w:rsidRPr="00165308" w:rsidTr="0022021E">
        <w:trPr>
          <w:cantSplit/>
          <w:trHeight w:val="2484"/>
        </w:trPr>
        <w:tc>
          <w:tcPr>
            <w:tcW w:w="3055" w:type="dxa"/>
            <w:vMerge w:val="restart"/>
            <w:tcBorders>
              <w:top w:val="single" w:sz="4" w:space="0" w:color="auto"/>
            </w:tcBorders>
            <w:tcMar>
              <w:top w:w="28" w:type="dxa"/>
              <w:bottom w:w="28" w:type="dxa"/>
            </w:tcMar>
          </w:tcPr>
          <w:p w:rsidR="004D3404" w:rsidRDefault="004D3404" w:rsidP="0022021E">
            <w:pPr>
              <w:rPr>
                <w:rFonts w:ascii="Arial" w:hAnsi="Arial" w:cs="Arial"/>
                <w:color w:val="000000"/>
              </w:rPr>
            </w:pPr>
            <w:r>
              <w:rPr>
                <w:rFonts w:ascii="Arial" w:hAnsi="Arial" w:cs="Arial"/>
                <w:color w:val="000000"/>
              </w:rPr>
              <w:t>LENVATINIB</w:t>
            </w:r>
            <w:r>
              <w:rPr>
                <w:rFonts w:ascii="Arial" w:hAnsi="Arial" w:cs="Arial"/>
                <w:color w:val="000000"/>
              </w:rPr>
              <w:br/>
            </w:r>
            <w:r>
              <w:rPr>
                <w:rFonts w:ascii="Arial" w:hAnsi="Arial" w:cs="Arial"/>
                <w:color w:val="000000"/>
              </w:rPr>
              <w:br/>
              <w:t>Capsule 4 mg (as mesilate)</w:t>
            </w:r>
            <w:r>
              <w:rPr>
                <w:rFonts w:ascii="Arial" w:hAnsi="Arial" w:cs="Arial"/>
                <w:color w:val="000000"/>
              </w:rPr>
              <w:br/>
            </w:r>
            <w:r>
              <w:rPr>
                <w:rFonts w:ascii="Arial" w:hAnsi="Arial" w:cs="Arial"/>
                <w:color w:val="000000"/>
              </w:rPr>
              <w:br/>
              <w:t>Lenvima®</w:t>
            </w:r>
            <w:r>
              <w:rPr>
                <w:rFonts w:ascii="Arial" w:hAnsi="Arial" w:cs="Arial"/>
                <w:color w:val="000000"/>
              </w:rPr>
              <w:br/>
            </w:r>
            <w:r>
              <w:rPr>
                <w:rFonts w:ascii="Arial" w:hAnsi="Arial" w:cs="Arial"/>
                <w:color w:val="000000"/>
              </w:rPr>
              <w:br/>
              <w:t>Eisai Australia Pty Ltd</w:t>
            </w:r>
          </w:p>
          <w:p w:rsidR="004D3404" w:rsidRDefault="004D3404" w:rsidP="0022021E">
            <w:pPr>
              <w:keepNext/>
              <w:rPr>
                <w:rFonts w:ascii="Arial" w:hAnsi="Arial" w:cs="Arial"/>
                <w:color w:val="000000"/>
              </w:rPr>
            </w:pPr>
          </w:p>
          <w:p w:rsidR="004D3404" w:rsidRDefault="004D3404" w:rsidP="0022021E">
            <w:pPr>
              <w:keepNext/>
              <w:rPr>
                <w:rFonts w:ascii="Arial" w:hAnsi="Arial" w:cs="Arial"/>
                <w:color w:val="000000"/>
              </w:rPr>
            </w:pPr>
            <w:r>
              <w:rPr>
                <w:rFonts w:ascii="Arial" w:hAnsi="Arial" w:cs="Arial"/>
                <w:color w:val="000000"/>
              </w:rPr>
              <w:t>Change to listing</w:t>
            </w:r>
          </w:p>
          <w:p w:rsidR="004D3404" w:rsidRPr="001C1D66" w:rsidRDefault="004D3404" w:rsidP="0022021E">
            <w:pPr>
              <w:keepNext/>
              <w:rPr>
                <w:rFonts w:ascii="Arial" w:hAnsi="Arial" w:cs="Arial"/>
                <w:color w:val="000000"/>
              </w:rPr>
            </w:pPr>
            <w:r>
              <w:rPr>
                <w:rFonts w:ascii="Arial" w:hAnsi="Arial" w:cs="Arial"/>
                <w:color w:val="000000"/>
              </w:rPr>
              <w:t>(Major Submission)</w:t>
            </w:r>
          </w:p>
        </w:tc>
        <w:tc>
          <w:tcPr>
            <w:tcW w:w="2418" w:type="dxa"/>
            <w:vMerge w:val="restart"/>
            <w:tcBorders>
              <w:top w:val="single" w:sz="4" w:space="0" w:color="auto"/>
            </w:tcBorders>
          </w:tcPr>
          <w:p w:rsidR="004D3404" w:rsidRDefault="004D3404" w:rsidP="0022021E">
            <w:pPr>
              <w:rPr>
                <w:rFonts w:ascii="Arial" w:hAnsi="Arial" w:cs="Arial"/>
                <w:color w:val="000000"/>
              </w:rPr>
            </w:pPr>
            <w:r>
              <w:rPr>
                <w:rFonts w:ascii="Arial" w:hAnsi="Arial" w:cs="Arial"/>
                <w:color w:val="000000"/>
              </w:rPr>
              <w:t>Hepatocellular carcinoma</w:t>
            </w:r>
          </w:p>
          <w:p w:rsidR="004D3404" w:rsidRPr="001C1D66" w:rsidRDefault="004D3404" w:rsidP="0022021E">
            <w:pPr>
              <w:keepNext/>
              <w:rPr>
                <w:rFonts w:ascii="Arial" w:hAnsi="Arial" w:cs="Arial"/>
                <w:color w:val="000000"/>
              </w:rPr>
            </w:pPr>
          </w:p>
        </w:tc>
        <w:tc>
          <w:tcPr>
            <w:tcW w:w="3168" w:type="dxa"/>
            <w:tcBorders>
              <w:top w:val="single" w:sz="4" w:space="0" w:color="auto"/>
            </w:tcBorders>
            <w:tcMar>
              <w:top w:w="28" w:type="dxa"/>
              <w:bottom w:w="28" w:type="dxa"/>
            </w:tcMar>
          </w:tcPr>
          <w:p w:rsidR="004D3404" w:rsidRPr="00165308" w:rsidRDefault="004D3404" w:rsidP="0022021E">
            <w:pPr>
              <w:rPr>
                <w:rFonts w:ascii="Arial" w:hAnsi="Arial" w:cs="Arial"/>
              </w:rPr>
            </w:pPr>
            <w:r w:rsidRPr="00165308">
              <w:rPr>
                <w:rFonts w:ascii="Arial" w:hAnsi="Arial" w:cs="Arial"/>
              </w:rPr>
              <w:t>To request an Authority Required (STREAMLINED) listing for the treatment of advanced unresectable hepatocellular carcinoma.</w:t>
            </w:r>
          </w:p>
          <w:p w:rsidR="004D3404" w:rsidRPr="00165308" w:rsidRDefault="004D3404" w:rsidP="0022021E">
            <w:pPr>
              <w:keepNext/>
              <w:rPr>
                <w:rFonts w:ascii="Arial" w:hAnsi="Arial" w:cs="Arial"/>
              </w:rPr>
            </w:pPr>
          </w:p>
        </w:tc>
        <w:tc>
          <w:tcPr>
            <w:tcW w:w="6670" w:type="dxa"/>
            <w:tcBorders>
              <w:top w:val="single" w:sz="4" w:space="0" w:color="auto"/>
            </w:tcBorders>
          </w:tcPr>
          <w:p w:rsidR="004D3404" w:rsidRPr="00165308" w:rsidRDefault="004D3404" w:rsidP="00745E19">
            <w:pPr>
              <w:rPr>
                <w:rFonts w:ascii="Arial" w:hAnsi="Arial" w:cs="Arial"/>
                <w:sz w:val="22"/>
                <w:szCs w:val="22"/>
              </w:rPr>
            </w:pPr>
            <w:r w:rsidRPr="00745E19">
              <w:rPr>
                <w:rFonts w:ascii="Arial" w:hAnsi="Arial" w:cs="Arial"/>
                <w:color w:val="000000"/>
              </w:rPr>
              <w:t>The PBAC deferred making a recommendation to list lenvatinib for the treatment of unresectable hepatocellular carcinoma (HCC). However, the PBAC was of a mind to recommend lenvatinib pending the provision of the relevant TGA delegate’s overview. The PBAC noted that lenvatinib would provide patients with HCC an alternative to sorafenib as a first line therapy. The PBAC considered that lenvatinib was non-inferior in terms of effectiveness and safety compared with sorafenib, noting that there were differences between the safety profiles of the two drugs. The PBAC considered that the cost-minimisation analysis was reasonable when the mean treatment durations and mean doses of lenvatinib and sorafenib were used so that the treatment cost per patient was the same for both treatments.</w:t>
            </w:r>
          </w:p>
        </w:tc>
      </w:tr>
      <w:tr w:rsidR="004D3404" w:rsidRPr="00971118" w:rsidTr="0022021E">
        <w:trPr>
          <w:cantSplit/>
          <w:trHeight w:val="466"/>
        </w:trPr>
        <w:tc>
          <w:tcPr>
            <w:tcW w:w="3055" w:type="dxa"/>
            <w:vMerge/>
            <w:tcMar>
              <w:top w:w="28" w:type="dxa"/>
              <w:bottom w:w="28" w:type="dxa"/>
            </w:tcMar>
          </w:tcPr>
          <w:p w:rsidR="004D3404" w:rsidRPr="00971118" w:rsidRDefault="004D3404" w:rsidP="0022021E">
            <w:pPr>
              <w:widowControl w:val="0"/>
              <w:rPr>
                <w:rFonts w:ascii="Arial" w:hAnsi="Arial" w:cs="Arial"/>
                <w:snapToGrid w:val="0"/>
                <w:lang w:eastAsia="en-US"/>
              </w:rPr>
            </w:pPr>
          </w:p>
        </w:tc>
        <w:tc>
          <w:tcPr>
            <w:tcW w:w="2418" w:type="dxa"/>
            <w:vMerge/>
          </w:tcPr>
          <w:p w:rsidR="004D3404" w:rsidRPr="00971118" w:rsidRDefault="004D3404" w:rsidP="0022021E">
            <w:pPr>
              <w:widowControl w:val="0"/>
              <w:rPr>
                <w:rFonts w:ascii="Arial" w:hAnsi="Arial" w:cs="Arial"/>
                <w:snapToGrid w:val="0"/>
                <w:lang w:eastAsia="en-US"/>
              </w:rPr>
            </w:pPr>
          </w:p>
        </w:tc>
        <w:tc>
          <w:tcPr>
            <w:tcW w:w="3168" w:type="dxa"/>
            <w:tcBorders>
              <w:top w:val="single" w:sz="4" w:space="0" w:color="auto"/>
            </w:tcBorders>
            <w:shd w:val="clear" w:color="auto" w:fill="auto"/>
            <w:tcMar>
              <w:top w:w="28" w:type="dxa"/>
              <w:bottom w:w="28" w:type="dxa"/>
            </w:tcMar>
          </w:tcPr>
          <w:p w:rsidR="004D3404" w:rsidRPr="00971118" w:rsidRDefault="004D3404" w:rsidP="0022021E">
            <w:pPr>
              <w:widowControl w:val="0"/>
              <w:rPr>
                <w:rFonts w:ascii="Arial" w:hAnsi="Arial" w:cs="Arial"/>
                <w:snapToGrid w:val="0"/>
                <w:highlight w:val="yellow"/>
                <w:lang w:eastAsia="en-US"/>
              </w:rPr>
            </w:pPr>
            <w:r w:rsidRPr="00971118">
              <w:rPr>
                <w:rFonts w:ascii="Arial" w:hAnsi="Arial" w:cs="Arial"/>
                <w:snapToGrid w:val="0"/>
                <w:lang w:eastAsia="en-US"/>
              </w:rPr>
              <w:t>Sponsor Comment:</w:t>
            </w:r>
          </w:p>
        </w:tc>
        <w:tc>
          <w:tcPr>
            <w:tcW w:w="6670" w:type="dxa"/>
            <w:tcBorders>
              <w:top w:val="single" w:sz="4" w:space="0" w:color="auto"/>
            </w:tcBorders>
            <w:shd w:val="clear" w:color="auto" w:fill="auto"/>
          </w:tcPr>
          <w:p w:rsidR="004D3404" w:rsidRPr="00971118" w:rsidRDefault="004D3404" w:rsidP="00745E19">
            <w:pPr>
              <w:rPr>
                <w:rFonts w:ascii="Arial" w:hAnsi="Arial" w:cs="Arial"/>
                <w:highlight w:val="yellow"/>
              </w:rPr>
            </w:pPr>
            <w:r w:rsidRPr="00165308">
              <w:rPr>
                <w:rFonts w:ascii="Arial" w:hAnsi="Arial" w:cs="Arial"/>
              </w:rPr>
              <w:t>Eisai Australia Pty Ltd is pleased that the PBAC was of a mind to recommend lenvatinib as a treatment for HCC and will work with the Department to progress PBS listing as soon as possible following TGA registration.</w:t>
            </w:r>
          </w:p>
        </w:tc>
      </w:tr>
      <w:tr w:rsidR="00746B12" w:rsidRPr="00971118" w:rsidTr="00475343">
        <w:trPr>
          <w:trHeight w:val="500"/>
        </w:trPr>
        <w:tc>
          <w:tcPr>
            <w:tcW w:w="3055" w:type="dxa"/>
            <w:vMerge w:val="restart"/>
            <w:tcMar>
              <w:top w:w="28" w:type="dxa"/>
              <w:bottom w:w="28" w:type="dxa"/>
            </w:tcMar>
          </w:tcPr>
          <w:p w:rsidR="00746B12" w:rsidRDefault="00746B12" w:rsidP="00392583">
            <w:pPr>
              <w:rPr>
                <w:rFonts w:ascii="Arial" w:hAnsi="Arial" w:cs="Arial"/>
                <w:color w:val="000000"/>
              </w:rPr>
            </w:pPr>
            <w:r>
              <w:rPr>
                <w:rFonts w:ascii="Arial" w:hAnsi="Arial" w:cs="Arial"/>
                <w:color w:val="000000"/>
              </w:rPr>
              <w:t>OSIME</w:t>
            </w:r>
            <w:bookmarkStart w:id="0" w:name="_GoBack"/>
            <w:bookmarkEnd w:id="0"/>
            <w:r>
              <w:rPr>
                <w:rFonts w:ascii="Arial" w:hAnsi="Arial" w:cs="Arial"/>
                <w:color w:val="000000"/>
              </w:rPr>
              <w:t>RTINIB</w:t>
            </w:r>
            <w:r>
              <w:rPr>
                <w:rFonts w:ascii="Arial" w:hAnsi="Arial" w:cs="Arial"/>
                <w:color w:val="000000"/>
              </w:rPr>
              <w:br/>
            </w:r>
            <w:r>
              <w:rPr>
                <w:rFonts w:ascii="Arial" w:hAnsi="Arial" w:cs="Arial"/>
                <w:color w:val="000000"/>
              </w:rPr>
              <w:br/>
              <w:t xml:space="preserve">Tablet 40 mg </w:t>
            </w:r>
            <w:r>
              <w:rPr>
                <w:rFonts w:ascii="Arial" w:hAnsi="Arial" w:cs="Arial"/>
                <w:color w:val="000000"/>
              </w:rPr>
              <w:br/>
              <w:t>Tablet 80 mg</w:t>
            </w:r>
            <w:r>
              <w:rPr>
                <w:rFonts w:ascii="Arial" w:hAnsi="Arial" w:cs="Arial"/>
                <w:color w:val="000000"/>
              </w:rPr>
              <w:br/>
            </w:r>
            <w:r>
              <w:rPr>
                <w:rFonts w:ascii="Arial" w:hAnsi="Arial" w:cs="Arial"/>
                <w:color w:val="000000"/>
              </w:rPr>
              <w:br/>
              <w:t>Tagrisso®</w:t>
            </w:r>
            <w:r>
              <w:rPr>
                <w:rFonts w:ascii="Arial" w:hAnsi="Arial" w:cs="Arial"/>
                <w:color w:val="000000"/>
              </w:rPr>
              <w:br/>
            </w:r>
            <w:r>
              <w:rPr>
                <w:rFonts w:ascii="Arial" w:hAnsi="Arial" w:cs="Arial"/>
                <w:color w:val="000000"/>
              </w:rPr>
              <w:br/>
              <w:t>Astra Zeneca Pty Ltd</w:t>
            </w:r>
          </w:p>
          <w:p w:rsidR="00746B12" w:rsidRDefault="00746B12" w:rsidP="00392583">
            <w:pPr>
              <w:rPr>
                <w:rFonts w:ascii="Arial" w:hAnsi="Arial" w:cs="Arial"/>
                <w:color w:val="000000"/>
              </w:rPr>
            </w:pPr>
          </w:p>
          <w:p w:rsidR="00746B12" w:rsidRDefault="00746B12" w:rsidP="00392583">
            <w:pPr>
              <w:rPr>
                <w:rFonts w:ascii="Arial" w:hAnsi="Arial" w:cs="Arial"/>
                <w:color w:val="000000"/>
              </w:rPr>
            </w:pPr>
            <w:r>
              <w:rPr>
                <w:rFonts w:ascii="Arial" w:hAnsi="Arial" w:cs="Arial"/>
                <w:color w:val="000000"/>
              </w:rPr>
              <w:t>New listing</w:t>
            </w:r>
          </w:p>
          <w:p w:rsidR="00746B12" w:rsidRDefault="00746B12" w:rsidP="00392583">
            <w:pPr>
              <w:rPr>
                <w:rFonts w:ascii="Arial" w:hAnsi="Arial" w:cs="Arial"/>
                <w:color w:val="000000"/>
              </w:rPr>
            </w:pPr>
            <w:r>
              <w:rPr>
                <w:rFonts w:ascii="Arial" w:hAnsi="Arial" w:cs="Arial"/>
                <w:color w:val="000000"/>
              </w:rPr>
              <w:t>(Major Submission)</w:t>
            </w:r>
          </w:p>
        </w:tc>
        <w:tc>
          <w:tcPr>
            <w:tcW w:w="2418" w:type="dxa"/>
            <w:vMerge w:val="restart"/>
          </w:tcPr>
          <w:p w:rsidR="00746B12" w:rsidRDefault="00746B12" w:rsidP="00392583">
            <w:pPr>
              <w:rPr>
                <w:rFonts w:ascii="Arial" w:hAnsi="Arial" w:cs="Arial"/>
                <w:color w:val="000000"/>
              </w:rPr>
            </w:pPr>
            <w:r>
              <w:rPr>
                <w:rFonts w:ascii="Arial" w:hAnsi="Arial" w:cs="Arial"/>
                <w:color w:val="000000"/>
              </w:rPr>
              <w:t>Locally advanced (Stage IIIB) or metastatic (Stage IV) epidermal growth factor receptor (EGFR) T790M mutation positive non-small cell lung cancer (NSCLC)</w:t>
            </w:r>
          </w:p>
          <w:p w:rsidR="00746B12" w:rsidRDefault="00746B12" w:rsidP="00392583">
            <w:pPr>
              <w:rPr>
                <w:rFonts w:ascii="Arial" w:hAnsi="Arial" w:cs="Arial"/>
                <w:color w:val="000000"/>
              </w:rPr>
            </w:pPr>
          </w:p>
        </w:tc>
        <w:tc>
          <w:tcPr>
            <w:tcW w:w="3168" w:type="dxa"/>
            <w:shd w:val="clear" w:color="auto" w:fill="auto"/>
            <w:tcMar>
              <w:top w:w="28" w:type="dxa"/>
              <w:bottom w:w="28" w:type="dxa"/>
            </w:tcMar>
          </w:tcPr>
          <w:p w:rsidR="00746B12" w:rsidRDefault="00746B12" w:rsidP="00392583">
            <w:pPr>
              <w:rPr>
                <w:rFonts w:ascii="Arial" w:hAnsi="Arial" w:cs="Arial"/>
                <w:color w:val="000000"/>
              </w:rPr>
            </w:pPr>
            <w:r>
              <w:rPr>
                <w:rFonts w:ascii="Arial" w:hAnsi="Arial" w:cs="Arial"/>
                <w:color w:val="000000"/>
              </w:rPr>
              <w:t>Resubmission to request an Authority Required listing for the treatment of patients with locally advanced or metastatic epidermal growth factor (EGFR) T790M mutation positive non-small cell lung cancer (NSCLC) who have progressed on or after prior treatment with an EGFR tyrosine kinase inhibitor (TKI).</w:t>
            </w:r>
          </w:p>
          <w:p w:rsidR="00746B12" w:rsidRDefault="00746B12" w:rsidP="00392583">
            <w:pPr>
              <w:rPr>
                <w:rFonts w:ascii="Arial" w:hAnsi="Arial" w:cs="Arial"/>
                <w:color w:val="000000"/>
              </w:rPr>
            </w:pPr>
          </w:p>
        </w:tc>
        <w:tc>
          <w:tcPr>
            <w:tcW w:w="6670" w:type="dxa"/>
            <w:shd w:val="clear" w:color="auto" w:fill="auto"/>
          </w:tcPr>
          <w:p w:rsidR="000F6477" w:rsidRPr="002B0AB5" w:rsidRDefault="00746B12" w:rsidP="00F8312B">
            <w:pPr>
              <w:rPr>
                <w:rFonts w:ascii="Arial" w:hAnsi="Arial" w:cs="Arial"/>
                <w:color w:val="000000"/>
              </w:rPr>
            </w:pPr>
            <w:r w:rsidRPr="000E3094">
              <w:rPr>
                <w:rFonts w:ascii="Arial" w:hAnsi="Arial" w:cs="Arial"/>
                <w:color w:val="000000"/>
              </w:rPr>
              <w:t>The PBAC deferred making a recommendation to list osimertinib for the treatment of EGFR T790M mutation positive non-small cell lung cancer</w:t>
            </w:r>
            <w:r w:rsidR="00EB4D1F">
              <w:rPr>
                <w:rFonts w:ascii="Arial" w:hAnsi="Arial" w:cs="Arial"/>
                <w:color w:val="000000"/>
              </w:rPr>
              <w:t>. The Committee</w:t>
            </w:r>
            <w:r w:rsidRPr="000E3094">
              <w:rPr>
                <w:rFonts w:ascii="Arial" w:hAnsi="Arial" w:cs="Arial"/>
                <w:color w:val="000000"/>
              </w:rPr>
              <w:t xml:space="preserve"> </w:t>
            </w:r>
            <w:r w:rsidR="00EB4D1F" w:rsidRPr="000E3094">
              <w:rPr>
                <w:rFonts w:ascii="Arial" w:hAnsi="Arial" w:cs="Arial"/>
                <w:color w:val="000000"/>
              </w:rPr>
              <w:t>request</w:t>
            </w:r>
            <w:r w:rsidR="00EB4D1F">
              <w:rPr>
                <w:rFonts w:ascii="Arial" w:hAnsi="Arial" w:cs="Arial"/>
                <w:color w:val="000000"/>
              </w:rPr>
              <w:t>ed</w:t>
            </w:r>
            <w:r w:rsidR="00EB4D1F" w:rsidRPr="000E3094">
              <w:rPr>
                <w:rFonts w:ascii="Arial" w:hAnsi="Arial" w:cs="Arial"/>
                <w:color w:val="000000"/>
              </w:rPr>
              <w:t xml:space="preserve"> </w:t>
            </w:r>
            <w:r w:rsidRPr="000E3094">
              <w:rPr>
                <w:rFonts w:ascii="Arial" w:hAnsi="Arial" w:cs="Arial"/>
                <w:color w:val="000000"/>
              </w:rPr>
              <w:t>further clarification from the sponsor regarding the proposed risk sharing arrangement and utilisation estimates. In defer</w:t>
            </w:r>
            <w:r w:rsidR="00F8312B">
              <w:rPr>
                <w:rFonts w:ascii="Arial" w:hAnsi="Arial" w:cs="Arial"/>
                <w:color w:val="000000"/>
              </w:rPr>
              <w:t>ring its decision</w:t>
            </w:r>
            <w:r w:rsidRPr="000E3094">
              <w:rPr>
                <w:rFonts w:ascii="Arial" w:hAnsi="Arial" w:cs="Arial"/>
                <w:color w:val="000000"/>
              </w:rPr>
              <w:t xml:space="preserve">, the PBAC acknowledged that osimertinib treatment provided a clinical benefit to some patients, but considered that the magnitude of incremental overall survival benefit was difficult to determine from the evidence presented in the submission. </w:t>
            </w:r>
            <w:r w:rsidRPr="000E3094">
              <w:rPr>
                <w:rFonts w:ascii="Arial" w:hAnsi="Arial" w:cs="Arial"/>
                <w:color w:val="000000"/>
              </w:rPr>
              <w:br/>
            </w:r>
            <w:r w:rsidRPr="000E3094">
              <w:rPr>
                <w:rFonts w:ascii="Arial" w:hAnsi="Arial" w:cs="Arial"/>
                <w:color w:val="000000"/>
              </w:rPr>
              <w:br/>
              <w:t xml:space="preserve">The PBAC advised that although osimertinib treatment was effective compared with platinum chemotherapy in relation to progression free survival (PFS), the magnitude of the overall survival (OS) benefit of osimertinib treatment compared with </w:t>
            </w:r>
            <w:r w:rsidR="00EB4D1F" w:rsidRPr="000E3094">
              <w:rPr>
                <w:rFonts w:ascii="Arial" w:hAnsi="Arial" w:cs="Arial"/>
                <w:color w:val="000000"/>
              </w:rPr>
              <w:t xml:space="preserve">platinum </w:t>
            </w:r>
            <w:r w:rsidRPr="000E3094">
              <w:rPr>
                <w:rFonts w:ascii="Arial" w:hAnsi="Arial" w:cs="Arial"/>
                <w:color w:val="000000"/>
              </w:rPr>
              <w:t xml:space="preserve">chemotherapy remained uncertain. The PBAC noted that the comparative harms of osimertinib treatment were unchanged from the previous submission, and advised that it was superior in safety compared with platinum chemotherapy. </w:t>
            </w:r>
            <w:r w:rsidRPr="000E3094">
              <w:rPr>
                <w:rFonts w:ascii="Arial" w:hAnsi="Arial" w:cs="Arial"/>
                <w:color w:val="000000"/>
              </w:rPr>
              <w:br/>
            </w:r>
            <w:r w:rsidRPr="000E3094">
              <w:rPr>
                <w:rFonts w:ascii="Arial" w:hAnsi="Arial" w:cs="Arial"/>
                <w:color w:val="000000"/>
              </w:rPr>
              <w:br/>
              <w:t xml:space="preserve">The PBAC </w:t>
            </w:r>
            <w:r w:rsidR="00F8312B">
              <w:rPr>
                <w:rFonts w:ascii="Arial" w:hAnsi="Arial" w:cs="Arial"/>
                <w:color w:val="000000"/>
              </w:rPr>
              <w:t>considered</w:t>
            </w:r>
            <w:r w:rsidR="00F8312B" w:rsidRPr="000E3094">
              <w:rPr>
                <w:rFonts w:ascii="Arial" w:hAnsi="Arial" w:cs="Arial"/>
                <w:color w:val="000000"/>
              </w:rPr>
              <w:t xml:space="preserve"> </w:t>
            </w:r>
            <w:r w:rsidRPr="000E3094">
              <w:rPr>
                <w:rFonts w:ascii="Arial" w:hAnsi="Arial" w:cs="Arial"/>
                <w:color w:val="000000"/>
              </w:rPr>
              <w:t>that the</w:t>
            </w:r>
            <w:r w:rsidR="003D4BC0">
              <w:rPr>
                <w:rFonts w:ascii="Arial" w:hAnsi="Arial" w:cs="Arial"/>
                <w:color w:val="000000"/>
              </w:rPr>
              <w:t>re was</w:t>
            </w:r>
            <w:r w:rsidRPr="000E3094">
              <w:rPr>
                <w:rFonts w:ascii="Arial" w:hAnsi="Arial" w:cs="Arial"/>
                <w:color w:val="000000"/>
              </w:rPr>
              <w:t xml:space="preserve"> uncertainty in the OS data and statistical </w:t>
            </w:r>
            <w:r w:rsidR="00EB4D1F">
              <w:rPr>
                <w:rFonts w:ascii="Arial" w:hAnsi="Arial" w:cs="Arial"/>
                <w:color w:val="000000"/>
              </w:rPr>
              <w:t>metho</w:t>
            </w:r>
            <w:r w:rsidR="00A2009E">
              <w:rPr>
                <w:rFonts w:ascii="Arial" w:hAnsi="Arial" w:cs="Arial"/>
                <w:color w:val="000000"/>
              </w:rPr>
              <w:t>do</w:t>
            </w:r>
            <w:r w:rsidR="00EB4D1F">
              <w:rPr>
                <w:rFonts w:ascii="Arial" w:hAnsi="Arial" w:cs="Arial"/>
                <w:color w:val="000000"/>
              </w:rPr>
              <w:t>logy</w:t>
            </w:r>
            <w:r w:rsidR="00EB4D1F" w:rsidRPr="000E3094">
              <w:rPr>
                <w:rFonts w:ascii="Arial" w:hAnsi="Arial" w:cs="Arial"/>
                <w:color w:val="000000"/>
              </w:rPr>
              <w:t xml:space="preserve"> </w:t>
            </w:r>
            <w:r w:rsidRPr="000E3094">
              <w:rPr>
                <w:rFonts w:ascii="Arial" w:hAnsi="Arial" w:cs="Arial"/>
                <w:color w:val="000000"/>
              </w:rPr>
              <w:t xml:space="preserve">to adjust for </w:t>
            </w:r>
            <w:r w:rsidR="00F8312B">
              <w:rPr>
                <w:rFonts w:ascii="Arial" w:hAnsi="Arial" w:cs="Arial"/>
                <w:color w:val="000000"/>
              </w:rPr>
              <w:t xml:space="preserve">treatment </w:t>
            </w:r>
            <w:r w:rsidRPr="000E3094">
              <w:rPr>
                <w:rFonts w:ascii="Arial" w:hAnsi="Arial" w:cs="Arial"/>
                <w:color w:val="000000"/>
              </w:rPr>
              <w:t>crossover</w:t>
            </w:r>
            <w:r w:rsidR="00A2009E">
              <w:rPr>
                <w:rFonts w:ascii="Arial" w:hAnsi="Arial" w:cs="Arial"/>
                <w:color w:val="000000"/>
              </w:rPr>
              <w:t xml:space="preserve"> </w:t>
            </w:r>
            <w:r w:rsidR="00F8312B">
              <w:rPr>
                <w:rFonts w:ascii="Arial" w:hAnsi="Arial" w:cs="Arial"/>
                <w:color w:val="000000"/>
              </w:rPr>
              <w:t xml:space="preserve">(where participants originally treated with </w:t>
            </w:r>
            <w:r w:rsidR="00F8312B" w:rsidRPr="000E3094">
              <w:rPr>
                <w:rFonts w:ascii="Arial" w:hAnsi="Arial" w:cs="Arial"/>
                <w:color w:val="000000"/>
              </w:rPr>
              <w:t>platinum chemotherapy</w:t>
            </w:r>
            <w:r w:rsidR="00F8312B">
              <w:rPr>
                <w:rFonts w:ascii="Arial" w:hAnsi="Arial" w:cs="Arial"/>
                <w:color w:val="000000"/>
              </w:rPr>
              <w:t xml:space="preserve"> started taking </w:t>
            </w:r>
            <w:r w:rsidR="00F8312B" w:rsidRPr="000E3094">
              <w:rPr>
                <w:rFonts w:ascii="Arial" w:hAnsi="Arial" w:cs="Arial"/>
                <w:color w:val="000000"/>
              </w:rPr>
              <w:t>osimertinib</w:t>
            </w:r>
            <w:r w:rsidR="00F8312B">
              <w:rPr>
                <w:rFonts w:ascii="Arial" w:hAnsi="Arial" w:cs="Arial"/>
                <w:color w:val="000000"/>
              </w:rPr>
              <w:t xml:space="preserve">) </w:t>
            </w:r>
            <w:r w:rsidR="00A2009E">
              <w:rPr>
                <w:rFonts w:ascii="Arial" w:hAnsi="Arial" w:cs="Arial"/>
                <w:color w:val="000000"/>
              </w:rPr>
              <w:t>in the trial</w:t>
            </w:r>
            <w:r w:rsidR="003D4BC0">
              <w:rPr>
                <w:rFonts w:ascii="Arial" w:hAnsi="Arial" w:cs="Arial"/>
                <w:color w:val="000000"/>
              </w:rPr>
              <w:t>. These concerns</w:t>
            </w:r>
            <w:r w:rsidR="00A2009E">
              <w:rPr>
                <w:rFonts w:ascii="Arial" w:hAnsi="Arial" w:cs="Arial"/>
                <w:color w:val="000000"/>
              </w:rPr>
              <w:t xml:space="preserve"> </w:t>
            </w:r>
            <w:r w:rsidRPr="000E3094">
              <w:rPr>
                <w:rFonts w:ascii="Arial" w:hAnsi="Arial" w:cs="Arial"/>
                <w:color w:val="000000"/>
              </w:rPr>
              <w:t xml:space="preserve">consequently introduced </w:t>
            </w:r>
            <w:r w:rsidRPr="000E3094">
              <w:rPr>
                <w:rFonts w:ascii="Arial" w:hAnsi="Arial" w:cs="Arial"/>
                <w:color w:val="000000"/>
              </w:rPr>
              <w:lastRenderedPageBreak/>
              <w:t>substantial uncertainty into the resubmission’s economic model. The PBAC</w:t>
            </w:r>
            <w:r w:rsidR="00A2009E">
              <w:rPr>
                <w:rFonts w:ascii="Arial" w:hAnsi="Arial" w:cs="Arial"/>
                <w:color w:val="000000"/>
              </w:rPr>
              <w:t>,</w:t>
            </w:r>
            <w:r w:rsidRPr="000E3094">
              <w:rPr>
                <w:rFonts w:ascii="Arial" w:hAnsi="Arial" w:cs="Arial"/>
                <w:color w:val="000000"/>
              </w:rPr>
              <w:t xml:space="preserve"> </w:t>
            </w:r>
            <w:r w:rsidR="00A2009E" w:rsidRPr="000E3094">
              <w:rPr>
                <w:rFonts w:ascii="Arial" w:hAnsi="Arial" w:cs="Arial"/>
                <w:color w:val="000000"/>
              </w:rPr>
              <w:t>not</w:t>
            </w:r>
            <w:r w:rsidR="00A2009E">
              <w:rPr>
                <w:rFonts w:ascii="Arial" w:hAnsi="Arial" w:cs="Arial"/>
                <w:color w:val="000000"/>
              </w:rPr>
              <w:t>ing</w:t>
            </w:r>
            <w:r w:rsidR="00A2009E" w:rsidRPr="000E3094">
              <w:rPr>
                <w:rFonts w:ascii="Arial" w:hAnsi="Arial" w:cs="Arial"/>
                <w:color w:val="000000"/>
              </w:rPr>
              <w:t xml:space="preserve"> </w:t>
            </w:r>
            <w:r w:rsidRPr="000E3094">
              <w:rPr>
                <w:rFonts w:ascii="Arial" w:hAnsi="Arial" w:cs="Arial"/>
                <w:color w:val="000000"/>
              </w:rPr>
              <w:t xml:space="preserve">the sponsor’s </w:t>
            </w:r>
            <w:r w:rsidR="00A2009E" w:rsidRPr="000E3094">
              <w:rPr>
                <w:rFonts w:ascii="Arial" w:hAnsi="Arial" w:cs="Arial"/>
                <w:color w:val="000000"/>
              </w:rPr>
              <w:t xml:space="preserve">risk sharing agreement </w:t>
            </w:r>
            <w:r w:rsidRPr="000E3094">
              <w:rPr>
                <w:rFonts w:ascii="Arial" w:hAnsi="Arial" w:cs="Arial"/>
                <w:color w:val="000000"/>
              </w:rPr>
              <w:t xml:space="preserve">proposal </w:t>
            </w:r>
            <w:r w:rsidR="00A2009E">
              <w:rPr>
                <w:rFonts w:ascii="Arial" w:hAnsi="Arial" w:cs="Arial"/>
                <w:color w:val="000000"/>
              </w:rPr>
              <w:t>to mitigate</w:t>
            </w:r>
            <w:r w:rsidR="00A2009E" w:rsidRPr="000E3094">
              <w:rPr>
                <w:rFonts w:ascii="Arial" w:hAnsi="Arial" w:cs="Arial"/>
                <w:color w:val="000000"/>
              </w:rPr>
              <w:t xml:space="preserve"> </w:t>
            </w:r>
            <w:r w:rsidRPr="000E3094">
              <w:rPr>
                <w:rFonts w:ascii="Arial" w:hAnsi="Arial" w:cs="Arial"/>
                <w:color w:val="000000"/>
              </w:rPr>
              <w:t>this and other concerns about the cost-effectiveness of osimertinib</w:t>
            </w:r>
            <w:r w:rsidR="000F6477">
              <w:rPr>
                <w:rFonts w:ascii="Arial" w:hAnsi="Arial" w:cs="Arial"/>
                <w:color w:val="000000"/>
              </w:rPr>
              <w:t xml:space="preserve">. The </w:t>
            </w:r>
            <w:r w:rsidR="009E677B">
              <w:rPr>
                <w:rFonts w:ascii="Arial" w:hAnsi="Arial" w:cs="Arial"/>
                <w:color w:val="000000"/>
              </w:rPr>
              <w:t>PBAC</w:t>
            </w:r>
            <w:r w:rsidRPr="000E3094">
              <w:rPr>
                <w:rFonts w:ascii="Arial" w:hAnsi="Arial" w:cs="Arial"/>
                <w:color w:val="000000"/>
              </w:rPr>
              <w:t xml:space="preserve"> advised that further information would be required regarding the patient numbers, estimated expenditure, financial caps and impact on the cost-effectiveness.</w:t>
            </w:r>
          </w:p>
        </w:tc>
      </w:tr>
      <w:tr w:rsidR="00746B12" w:rsidRPr="00971118" w:rsidTr="00475343">
        <w:trPr>
          <w:trHeight w:val="30"/>
        </w:trPr>
        <w:tc>
          <w:tcPr>
            <w:tcW w:w="3055" w:type="dxa"/>
            <w:vMerge/>
            <w:tcMar>
              <w:top w:w="28" w:type="dxa"/>
              <w:bottom w:w="28" w:type="dxa"/>
            </w:tcMar>
          </w:tcPr>
          <w:p w:rsidR="00746B12" w:rsidRPr="00971118" w:rsidRDefault="00746B12" w:rsidP="00392583">
            <w:pPr>
              <w:widowControl w:val="0"/>
              <w:rPr>
                <w:rFonts w:ascii="Arial" w:hAnsi="Arial" w:cs="Arial"/>
                <w:snapToGrid w:val="0"/>
                <w:lang w:eastAsia="en-US"/>
              </w:rPr>
            </w:pPr>
          </w:p>
        </w:tc>
        <w:tc>
          <w:tcPr>
            <w:tcW w:w="2418" w:type="dxa"/>
            <w:vMerge/>
          </w:tcPr>
          <w:p w:rsidR="00746B12" w:rsidRPr="00971118" w:rsidRDefault="00746B12" w:rsidP="00392583">
            <w:pPr>
              <w:widowControl w:val="0"/>
              <w:rPr>
                <w:rFonts w:ascii="Arial" w:hAnsi="Arial" w:cs="Arial"/>
                <w:snapToGrid w:val="0"/>
                <w:lang w:eastAsia="en-US"/>
              </w:rPr>
            </w:pPr>
          </w:p>
        </w:tc>
        <w:tc>
          <w:tcPr>
            <w:tcW w:w="3168" w:type="dxa"/>
            <w:shd w:val="clear" w:color="auto" w:fill="auto"/>
            <w:tcMar>
              <w:top w:w="28" w:type="dxa"/>
              <w:bottom w:w="28" w:type="dxa"/>
            </w:tcMar>
          </w:tcPr>
          <w:p w:rsidR="00746B12" w:rsidRPr="00475343" w:rsidRDefault="00746B12" w:rsidP="00392583">
            <w:pPr>
              <w:widowControl w:val="0"/>
              <w:rPr>
                <w:rFonts w:ascii="Arial" w:hAnsi="Arial" w:cs="Arial"/>
                <w:snapToGrid w:val="0"/>
                <w:lang w:eastAsia="en-US"/>
              </w:rPr>
            </w:pPr>
            <w:r w:rsidRPr="00475343">
              <w:rPr>
                <w:rFonts w:ascii="Arial" w:hAnsi="Arial" w:cs="Arial"/>
                <w:snapToGrid w:val="0"/>
                <w:lang w:eastAsia="en-US"/>
              </w:rPr>
              <w:t>Sponsor Comment:</w:t>
            </w:r>
          </w:p>
        </w:tc>
        <w:tc>
          <w:tcPr>
            <w:tcW w:w="6670" w:type="dxa"/>
            <w:shd w:val="clear" w:color="auto" w:fill="auto"/>
          </w:tcPr>
          <w:p w:rsidR="00746B12" w:rsidRPr="00475343" w:rsidRDefault="00475343" w:rsidP="00392583">
            <w:pPr>
              <w:jc w:val="both"/>
              <w:rPr>
                <w:rFonts w:ascii="Arial" w:hAnsi="Arial" w:cs="Arial"/>
              </w:rPr>
            </w:pPr>
            <w:r w:rsidRPr="00475343">
              <w:rPr>
                <w:rFonts w:ascii="Arial" w:hAnsi="Arial" w:cs="Arial"/>
              </w:rPr>
              <w:t xml:space="preserve">The sponsor had no comment. </w:t>
            </w:r>
          </w:p>
        </w:tc>
      </w:tr>
      <w:tr w:rsidR="008226FA" w:rsidRPr="00971118" w:rsidTr="008226FA">
        <w:trPr>
          <w:trHeight w:val="2205"/>
        </w:trPr>
        <w:tc>
          <w:tcPr>
            <w:tcW w:w="3055" w:type="dxa"/>
            <w:vMerge w:val="restart"/>
            <w:tcMar>
              <w:top w:w="28" w:type="dxa"/>
              <w:bottom w:w="28" w:type="dxa"/>
            </w:tcMar>
          </w:tcPr>
          <w:p w:rsidR="008226FA" w:rsidRDefault="008226FA" w:rsidP="00392583">
            <w:pPr>
              <w:rPr>
                <w:rFonts w:ascii="Arial" w:hAnsi="Arial" w:cs="Arial"/>
                <w:color w:val="000000"/>
              </w:rPr>
            </w:pPr>
            <w:r>
              <w:rPr>
                <w:rFonts w:ascii="Arial" w:hAnsi="Arial" w:cs="Arial"/>
                <w:color w:val="000000"/>
              </w:rPr>
              <w:t>PEGFILGRASTIM</w:t>
            </w:r>
            <w:r>
              <w:rPr>
                <w:rFonts w:ascii="Arial" w:hAnsi="Arial" w:cs="Arial"/>
                <w:color w:val="000000"/>
              </w:rPr>
              <w:br/>
            </w:r>
            <w:r>
              <w:rPr>
                <w:rFonts w:ascii="Arial" w:hAnsi="Arial" w:cs="Arial"/>
                <w:color w:val="000000"/>
              </w:rPr>
              <w:br/>
              <w:t>Injection 6 mg in 0.6 mL single use pre-filled syringe</w:t>
            </w:r>
            <w:r>
              <w:rPr>
                <w:rFonts w:ascii="Arial" w:hAnsi="Arial" w:cs="Arial"/>
                <w:color w:val="000000"/>
              </w:rPr>
              <w:br/>
            </w:r>
            <w:r>
              <w:rPr>
                <w:rFonts w:ascii="Arial" w:hAnsi="Arial" w:cs="Arial"/>
                <w:color w:val="000000"/>
              </w:rPr>
              <w:br/>
              <w:t>Fulphila®</w:t>
            </w:r>
            <w:r>
              <w:rPr>
                <w:rFonts w:ascii="Arial" w:hAnsi="Arial" w:cs="Arial"/>
                <w:color w:val="000000"/>
              </w:rPr>
              <w:br/>
            </w:r>
            <w:r>
              <w:rPr>
                <w:rFonts w:ascii="Arial" w:hAnsi="Arial" w:cs="Arial"/>
                <w:color w:val="000000"/>
              </w:rPr>
              <w:br/>
              <w:t xml:space="preserve">Alphapharm Pty Ltd </w:t>
            </w:r>
          </w:p>
          <w:p w:rsidR="008226FA" w:rsidRDefault="008226FA" w:rsidP="00392583">
            <w:pPr>
              <w:rPr>
                <w:rFonts w:ascii="Arial" w:hAnsi="Arial" w:cs="Arial"/>
                <w:color w:val="000000"/>
              </w:rPr>
            </w:pPr>
          </w:p>
          <w:p w:rsidR="008226FA" w:rsidRDefault="008226FA" w:rsidP="00392583">
            <w:pPr>
              <w:rPr>
                <w:rFonts w:ascii="Arial" w:hAnsi="Arial" w:cs="Arial"/>
                <w:color w:val="000000"/>
              </w:rPr>
            </w:pPr>
            <w:r>
              <w:rPr>
                <w:rFonts w:ascii="Arial" w:hAnsi="Arial" w:cs="Arial"/>
                <w:color w:val="000000"/>
              </w:rPr>
              <w:t>New listing</w:t>
            </w:r>
          </w:p>
          <w:p w:rsidR="008226FA" w:rsidRPr="001C1D66" w:rsidRDefault="008226FA" w:rsidP="00392583">
            <w:pPr>
              <w:rPr>
                <w:rFonts w:ascii="Arial" w:hAnsi="Arial" w:cs="Arial"/>
                <w:color w:val="000000"/>
              </w:rPr>
            </w:pPr>
            <w:r>
              <w:rPr>
                <w:rFonts w:ascii="Arial" w:hAnsi="Arial" w:cs="Arial"/>
                <w:color w:val="000000"/>
              </w:rPr>
              <w:t>(Minor Submission)</w:t>
            </w:r>
          </w:p>
        </w:tc>
        <w:tc>
          <w:tcPr>
            <w:tcW w:w="2418" w:type="dxa"/>
            <w:vMerge w:val="restart"/>
          </w:tcPr>
          <w:p w:rsidR="008226FA" w:rsidRDefault="008226FA" w:rsidP="00392583">
            <w:pPr>
              <w:rPr>
                <w:rFonts w:ascii="Arial" w:hAnsi="Arial" w:cs="Arial"/>
                <w:color w:val="000000"/>
              </w:rPr>
            </w:pPr>
            <w:r>
              <w:rPr>
                <w:rFonts w:ascii="Arial" w:hAnsi="Arial" w:cs="Arial"/>
                <w:color w:val="000000"/>
              </w:rPr>
              <w:t>Chemotherapy-induced neutropenia</w:t>
            </w:r>
          </w:p>
          <w:p w:rsidR="008226FA" w:rsidRPr="001C1D66" w:rsidRDefault="008226FA" w:rsidP="00392583">
            <w:pPr>
              <w:rPr>
                <w:rFonts w:ascii="Arial" w:hAnsi="Arial" w:cs="Arial"/>
                <w:color w:val="000000"/>
              </w:rPr>
            </w:pPr>
          </w:p>
        </w:tc>
        <w:tc>
          <w:tcPr>
            <w:tcW w:w="3168" w:type="dxa"/>
            <w:tcMar>
              <w:top w:w="28" w:type="dxa"/>
              <w:bottom w:w="28" w:type="dxa"/>
            </w:tcMar>
          </w:tcPr>
          <w:p w:rsidR="008226FA" w:rsidRPr="001C1D66" w:rsidRDefault="008226FA" w:rsidP="008226FA">
            <w:pPr>
              <w:rPr>
                <w:rFonts w:ascii="Arial" w:hAnsi="Arial" w:cs="Arial"/>
                <w:color w:val="000000"/>
              </w:rPr>
            </w:pPr>
            <w:r>
              <w:rPr>
                <w:rFonts w:ascii="Arial" w:hAnsi="Arial" w:cs="Arial"/>
                <w:color w:val="000000"/>
              </w:rPr>
              <w:t>To request a Section 100 (Highly Specialised Drug) Authority Required (STREAMLINED) listing of this biosimilar brand for all indications for which the reference biologic is currently PBS listed.</w:t>
            </w:r>
          </w:p>
        </w:tc>
        <w:tc>
          <w:tcPr>
            <w:tcW w:w="6670" w:type="dxa"/>
            <w:shd w:val="clear" w:color="auto" w:fill="auto"/>
          </w:tcPr>
          <w:p w:rsidR="008226FA" w:rsidRPr="00484112" w:rsidRDefault="008226FA" w:rsidP="008226FA">
            <w:pPr>
              <w:rPr>
                <w:rFonts w:ascii="Arial" w:hAnsi="Arial" w:cs="Arial"/>
                <w:color w:val="000000"/>
              </w:rPr>
            </w:pPr>
            <w:r w:rsidRPr="00484112">
              <w:rPr>
                <w:rFonts w:ascii="Arial" w:hAnsi="Arial" w:cs="Arial"/>
                <w:color w:val="000000"/>
              </w:rPr>
              <w:t>The PBAC deferred making a recommendation regarding the listing of biosimilar pegfilgrastim (Fulphila</w:t>
            </w:r>
            <w:r>
              <w:t xml:space="preserve"> </w:t>
            </w:r>
            <w:r w:rsidRPr="00A63FF2">
              <w:rPr>
                <w:rFonts w:ascii="Arial" w:hAnsi="Arial" w:cs="Arial"/>
                <w:color w:val="000000"/>
              </w:rPr>
              <w:t>®</w:t>
            </w:r>
            <w:r w:rsidRPr="00484112">
              <w:rPr>
                <w:rFonts w:ascii="Arial" w:hAnsi="Arial" w:cs="Arial"/>
                <w:color w:val="000000"/>
              </w:rPr>
              <w:t xml:space="preserve">) pending its TGA approval. The PBAC </w:t>
            </w:r>
            <w:r>
              <w:rPr>
                <w:rFonts w:ascii="Arial" w:hAnsi="Arial" w:cs="Arial"/>
                <w:color w:val="000000"/>
              </w:rPr>
              <w:t>advised</w:t>
            </w:r>
            <w:r w:rsidRPr="00484112">
              <w:rPr>
                <w:rFonts w:ascii="Arial" w:hAnsi="Arial" w:cs="Arial"/>
                <w:color w:val="000000"/>
              </w:rPr>
              <w:t xml:space="preserve"> it </w:t>
            </w:r>
            <w:r>
              <w:rPr>
                <w:rFonts w:ascii="Arial" w:hAnsi="Arial" w:cs="Arial"/>
                <w:color w:val="000000"/>
              </w:rPr>
              <w:t xml:space="preserve">was </w:t>
            </w:r>
            <w:r w:rsidRPr="00484112">
              <w:rPr>
                <w:rFonts w:ascii="Arial" w:hAnsi="Arial" w:cs="Arial"/>
                <w:color w:val="000000"/>
              </w:rPr>
              <w:t>appropriate to consider</w:t>
            </w:r>
            <w:r>
              <w:rPr>
                <w:rFonts w:ascii="Arial" w:hAnsi="Arial" w:cs="Arial"/>
                <w:color w:val="000000"/>
              </w:rPr>
              <w:t xml:space="preserve"> the </w:t>
            </w:r>
            <w:r w:rsidRPr="00484112">
              <w:rPr>
                <w:rFonts w:ascii="Arial" w:hAnsi="Arial" w:cs="Arial"/>
                <w:color w:val="000000"/>
              </w:rPr>
              <w:t xml:space="preserve">comparative efficacy </w:t>
            </w:r>
            <w:r>
              <w:rPr>
                <w:rFonts w:ascii="Arial" w:hAnsi="Arial" w:cs="Arial"/>
                <w:color w:val="000000"/>
              </w:rPr>
              <w:t xml:space="preserve">and safety to </w:t>
            </w:r>
            <w:r w:rsidRPr="00484112">
              <w:rPr>
                <w:rFonts w:ascii="Arial" w:hAnsi="Arial" w:cs="Arial"/>
                <w:color w:val="000000"/>
              </w:rPr>
              <w:t>the reference brand, Neulasta®</w:t>
            </w:r>
            <w:r>
              <w:rPr>
                <w:rFonts w:ascii="Arial" w:hAnsi="Arial" w:cs="Arial"/>
                <w:color w:val="000000"/>
              </w:rPr>
              <w:t>,</w:t>
            </w:r>
            <w:r w:rsidRPr="00484112">
              <w:rPr>
                <w:rFonts w:ascii="Arial" w:hAnsi="Arial" w:cs="Arial"/>
                <w:color w:val="000000"/>
              </w:rPr>
              <w:t xml:space="preserve"> once the final conditions of TGA registration were known.</w:t>
            </w:r>
          </w:p>
        </w:tc>
      </w:tr>
      <w:tr w:rsidR="008226FA" w:rsidRPr="00971118" w:rsidTr="00F20C9C">
        <w:trPr>
          <w:trHeight w:val="360"/>
        </w:trPr>
        <w:tc>
          <w:tcPr>
            <w:tcW w:w="3055" w:type="dxa"/>
            <w:vMerge/>
            <w:tcMar>
              <w:top w:w="28" w:type="dxa"/>
              <w:bottom w:w="28" w:type="dxa"/>
            </w:tcMar>
          </w:tcPr>
          <w:p w:rsidR="008226FA" w:rsidRDefault="008226FA" w:rsidP="00392583">
            <w:pPr>
              <w:rPr>
                <w:rFonts w:ascii="Arial" w:hAnsi="Arial" w:cs="Arial"/>
                <w:color w:val="000000"/>
              </w:rPr>
            </w:pPr>
          </w:p>
        </w:tc>
        <w:tc>
          <w:tcPr>
            <w:tcW w:w="2418" w:type="dxa"/>
            <w:vMerge/>
          </w:tcPr>
          <w:p w:rsidR="008226FA" w:rsidRDefault="008226FA" w:rsidP="00392583">
            <w:pPr>
              <w:rPr>
                <w:rFonts w:ascii="Arial" w:hAnsi="Arial" w:cs="Arial"/>
                <w:color w:val="000000"/>
              </w:rPr>
            </w:pPr>
          </w:p>
        </w:tc>
        <w:tc>
          <w:tcPr>
            <w:tcW w:w="3168" w:type="dxa"/>
            <w:tcMar>
              <w:top w:w="28" w:type="dxa"/>
              <w:bottom w:w="28" w:type="dxa"/>
            </w:tcMar>
          </w:tcPr>
          <w:p w:rsidR="008226FA" w:rsidRDefault="008226FA" w:rsidP="00392583">
            <w:pPr>
              <w:widowControl w:val="0"/>
              <w:rPr>
                <w:rFonts w:ascii="Arial" w:hAnsi="Arial" w:cs="Arial"/>
                <w:color w:val="000000"/>
              </w:rPr>
            </w:pPr>
            <w:r w:rsidRPr="00971118">
              <w:rPr>
                <w:rFonts w:ascii="Arial" w:hAnsi="Arial" w:cs="Arial"/>
                <w:snapToGrid w:val="0"/>
                <w:lang w:eastAsia="en-US"/>
              </w:rPr>
              <w:t>Sponsor Comment:</w:t>
            </w:r>
          </w:p>
        </w:tc>
        <w:tc>
          <w:tcPr>
            <w:tcW w:w="6670" w:type="dxa"/>
            <w:shd w:val="clear" w:color="auto" w:fill="auto"/>
          </w:tcPr>
          <w:p w:rsidR="008226FA" w:rsidRPr="00484112" w:rsidRDefault="008226FA" w:rsidP="00392583">
            <w:pPr>
              <w:jc w:val="both"/>
              <w:rPr>
                <w:rFonts w:ascii="Arial" w:hAnsi="Arial" w:cs="Arial"/>
                <w:color w:val="000000"/>
              </w:rPr>
            </w:pPr>
            <w:r w:rsidRPr="00475343">
              <w:rPr>
                <w:rFonts w:ascii="Arial" w:hAnsi="Arial" w:cs="Arial"/>
              </w:rPr>
              <w:t>The sponsor had no comment.</w:t>
            </w:r>
          </w:p>
        </w:tc>
      </w:tr>
    </w:tbl>
    <w:p w:rsidR="00E421D6" w:rsidRDefault="00E421D6"/>
    <w:sectPr w:rsidR="00E421D6" w:rsidSect="00281EE0">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0F5" w:rsidRDefault="004760F5" w:rsidP="004760F5">
      <w:r>
        <w:separator/>
      </w:r>
    </w:p>
  </w:endnote>
  <w:endnote w:type="continuationSeparator" w:id="0">
    <w:p w:rsidR="004760F5" w:rsidRDefault="004760F5" w:rsidP="0047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746B12"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BA27EC"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746B12"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BA27EC">
      <w:rPr>
        <w:rStyle w:val="PageNumber"/>
        <w:rFonts w:ascii="Arial" w:hAnsi="Arial" w:cs="Arial"/>
        <w:noProof/>
      </w:rPr>
      <w:t>1</w:t>
    </w:r>
    <w:r w:rsidRPr="00287C89">
      <w:rPr>
        <w:rStyle w:val="PageNumber"/>
        <w:rFonts w:ascii="Arial" w:hAnsi="Arial" w:cs="Arial"/>
      </w:rPr>
      <w:fldChar w:fldCharType="end"/>
    </w:r>
  </w:p>
  <w:p w:rsidR="005E1F3B" w:rsidRDefault="00BA27EC"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EB" w:rsidRDefault="00734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0F5" w:rsidRDefault="004760F5" w:rsidP="004760F5">
      <w:r>
        <w:separator/>
      </w:r>
    </w:p>
  </w:footnote>
  <w:footnote w:type="continuationSeparator" w:id="0">
    <w:p w:rsidR="004760F5" w:rsidRDefault="004760F5" w:rsidP="00476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EB" w:rsidRDefault="00734E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00" w:rsidRDefault="004760F5" w:rsidP="00BB0500">
    <w:pPr>
      <w:pStyle w:val="Header"/>
      <w:jc w:val="center"/>
      <w:rPr>
        <w:rFonts w:ascii="Arial" w:hAnsi="Arial" w:cs="Arial"/>
        <w:b/>
      </w:rPr>
    </w:pPr>
    <w:r>
      <w:rPr>
        <w:rFonts w:ascii="Arial" w:hAnsi="Arial" w:cs="Arial"/>
        <w:b/>
      </w:rPr>
      <w:t xml:space="preserve">JULY </w:t>
    </w:r>
    <w:r w:rsidR="00746B12">
      <w:rPr>
        <w:rFonts w:ascii="Arial" w:hAnsi="Arial" w:cs="Arial"/>
        <w:b/>
      </w:rPr>
      <w:t xml:space="preserve">2018 </w:t>
    </w:r>
    <w:r w:rsidR="00746B12" w:rsidRPr="00BB0500">
      <w:rPr>
        <w:rFonts w:ascii="Arial" w:hAnsi="Arial" w:cs="Arial"/>
        <w:b/>
      </w:rPr>
      <w:t xml:space="preserve">PBAC OUTCOMES </w:t>
    </w:r>
    <w:r w:rsidR="00746B12">
      <w:rPr>
        <w:rFonts w:ascii="Arial" w:hAnsi="Arial" w:cs="Arial"/>
        <w:b/>
      </w:rPr>
      <w:t>–</w:t>
    </w:r>
    <w:r w:rsidR="00746B12" w:rsidRPr="00BB0500">
      <w:rPr>
        <w:rFonts w:ascii="Arial" w:hAnsi="Arial" w:cs="Arial"/>
        <w:b/>
      </w:rPr>
      <w:t xml:space="preserve"> DEFERRALS</w:t>
    </w:r>
  </w:p>
  <w:p w:rsidR="0057221C" w:rsidRPr="00BB0500" w:rsidRDefault="00BA27EC" w:rsidP="00BB0500">
    <w:pPr>
      <w:pStyle w:val="Header"/>
      <w:jc w:val="center"/>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EB" w:rsidRDefault="00734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21"/>
    <w:rsid w:val="000D3386"/>
    <w:rsid w:val="000E3094"/>
    <w:rsid w:val="000F6477"/>
    <w:rsid w:val="00133D15"/>
    <w:rsid w:val="00192F3F"/>
    <w:rsid w:val="00247DFA"/>
    <w:rsid w:val="002B0AB5"/>
    <w:rsid w:val="003547C3"/>
    <w:rsid w:val="003864B5"/>
    <w:rsid w:val="00394821"/>
    <w:rsid w:val="003D4BC0"/>
    <w:rsid w:val="0046312C"/>
    <w:rsid w:val="00475343"/>
    <w:rsid w:val="004760F5"/>
    <w:rsid w:val="00484112"/>
    <w:rsid w:val="004D3404"/>
    <w:rsid w:val="004D3837"/>
    <w:rsid w:val="005D4D81"/>
    <w:rsid w:val="00734EEB"/>
    <w:rsid w:val="00745E19"/>
    <w:rsid w:val="00746B12"/>
    <w:rsid w:val="007B0F6D"/>
    <w:rsid w:val="007B642D"/>
    <w:rsid w:val="007C0165"/>
    <w:rsid w:val="007F784D"/>
    <w:rsid w:val="008226FA"/>
    <w:rsid w:val="008F6EAC"/>
    <w:rsid w:val="00924109"/>
    <w:rsid w:val="009E677B"/>
    <w:rsid w:val="00A2009E"/>
    <w:rsid w:val="00A63FF2"/>
    <w:rsid w:val="00B73E55"/>
    <w:rsid w:val="00BA27EC"/>
    <w:rsid w:val="00C13015"/>
    <w:rsid w:val="00C2102B"/>
    <w:rsid w:val="00C56272"/>
    <w:rsid w:val="00D4534F"/>
    <w:rsid w:val="00DC7E82"/>
    <w:rsid w:val="00E204B1"/>
    <w:rsid w:val="00E41CD3"/>
    <w:rsid w:val="00E421D6"/>
    <w:rsid w:val="00E53A27"/>
    <w:rsid w:val="00EB4D1F"/>
    <w:rsid w:val="00F36D0B"/>
    <w:rsid w:val="00F47132"/>
    <w:rsid w:val="00F8312B"/>
    <w:rsid w:val="00FF1D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821"/>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rsid w:val="00394821"/>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rsid w:val="00394821"/>
    <w:rPr>
      <w:rFonts w:ascii="Times New Roman" w:eastAsia="Times New Roman" w:hAnsi="Times New Roman" w:cs="Times New Roman"/>
      <w:sz w:val="20"/>
      <w:szCs w:val="20"/>
      <w:lang w:eastAsia="en-AU"/>
    </w:rPr>
  </w:style>
  <w:style w:type="paragraph" w:styleId="Footer">
    <w:name w:val="footer"/>
    <w:basedOn w:val="Normal"/>
    <w:link w:val="FooterChar"/>
    <w:rsid w:val="00394821"/>
    <w:pPr>
      <w:tabs>
        <w:tab w:val="center" w:pos="4153"/>
        <w:tab w:val="right" w:pos="8306"/>
      </w:tabs>
    </w:pPr>
  </w:style>
  <w:style w:type="character" w:customStyle="1" w:styleId="FooterChar">
    <w:name w:val="Footer Char"/>
    <w:basedOn w:val="DefaultParagraphFont"/>
    <w:link w:val="Footer"/>
    <w:rsid w:val="00394821"/>
    <w:rPr>
      <w:rFonts w:ascii="Times New Roman" w:eastAsia="Times New Roman" w:hAnsi="Times New Roman" w:cs="Times New Roman"/>
      <w:sz w:val="20"/>
      <w:szCs w:val="20"/>
      <w:lang w:eastAsia="en-AU"/>
    </w:rPr>
  </w:style>
  <w:style w:type="character" w:styleId="PageNumber">
    <w:name w:val="page number"/>
    <w:basedOn w:val="DefaultParagraphFont"/>
    <w:rsid w:val="00394821"/>
  </w:style>
  <w:style w:type="character" w:customStyle="1" w:styleId="st">
    <w:name w:val="st"/>
    <w:rsid w:val="00394821"/>
  </w:style>
  <w:style w:type="paragraph" w:styleId="ListParagraph">
    <w:name w:val="List Paragraph"/>
    <w:aliases w:val="BulletPoints"/>
    <w:basedOn w:val="Normal"/>
    <w:link w:val="ListParagraphChar"/>
    <w:uiPriority w:val="72"/>
    <w:qFormat/>
    <w:rsid w:val="00394821"/>
    <w:pPr>
      <w:ind w:left="720"/>
      <w:contextualSpacing/>
    </w:pPr>
    <w:rPr>
      <w:rFonts w:eastAsia="SimSun"/>
      <w:sz w:val="24"/>
      <w:szCs w:val="24"/>
    </w:rPr>
  </w:style>
  <w:style w:type="character" w:customStyle="1" w:styleId="ListParagraphChar">
    <w:name w:val="List Paragraph Char"/>
    <w:aliases w:val="BulletPoints Char"/>
    <w:link w:val="ListParagraph"/>
    <w:uiPriority w:val="72"/>
    <w:qFormat/>
    <w:rsid w:val="00394821"/>
    <w:rPr>
      <w:rFonts w:ascii="Times New Roman" w:eastAsia="SimSun" w:hAnsi="Times New Roman" w:cs="Times New Roman"/>
      <w:sz w:val="24"/>
      <w:szCs w:val="24"/>
      <w:lang w:eastAsia="en-AU"/>
    </w:rPr>
  </w:style>
  <w:style w:type="paragraph" w:styleId="PlainText">
    <w:name w:val="Plain Text"/>
    <w:basedOn w:val="Normal"/>
    <w:link w:val="PlainTextChar"/>
    <w:uiPriority w:val="99"/>
    <w:unhideWhenUsed/>
    <w:rsid w:val="00394821"/>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394821"/>
    <w:rPr>
      <w:rFonts w:ascii="Calibri" w:hAnsi="Calibri" w:cs="Consolas"/>
      <w:szCs w:val="21"/>
    </w:rPr>
  </w:style>
  <w:style w:type="character" w:styleId="CommentReference">
    <w:name w:val="annotation reference"/>
    <w:basedOn w:val="DefaultParagraphFont"/>
    <w:uiPriority w:val="99"/>
    <w:semiHidden/>
    <w:unhideWhenUsed/>
    <w:rsid w:val="007B0F6D"/>
    <w:rPr>
      <w:sz w:val="16"/>
      <w:szCs w:val="16"/>
    </w:rPr>
  </w:style>
  <w:style w:type="paragraph" w:styleId="CommentText">
    <w:name w:val="annotation text"/>
    <w:basedOn w:val="Normal"/>
    <w:link w:val="CommentTextChar"/>
    <w:uiPriority w:val="99"/>
    <w:unhideWhenUsed/>
    <w:rsid w:val="007B0F6D"/>
  </w:style>
  <w:style w:type="character" w:customStyle="1" w:styleId="CommentTextChar">
    <w:name w:val="Comment Text Char"/>
    <w:basedOn w:val="DefaultParagraphFont"/>
    <w:link w:val="CommentText"/>
    <w:uiPriority w:val="99"/>
    <w:rsid w:val="007B0F6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B0F6D"/>
    <w:rPr>
      <w:b/>
      <w:bCs/>
    </w:rPr>
  </w:style>
  <w:style w:type="character" w:customStyle="1" w:styleId="CommentSubjectChar">
    <w:name w:val="Comment Subject Char"/>
    <w:basedOn w:val="CommentTextChar"/>
    <w:link w:val="CommentSubject"/>
    <w:uiPriority w:val="99"/>
    <w:semiHidden/>
    <w:rsid w:val="007B0F6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7B0F6D"/>
    <w:rPr>
      <w:rFonts w:ascii="Tahoma" w:hAnsi="Tahoma" w:cs="Tahoma"/>
      <w:sz w:val="16"/>
      <w:szCs w:val="16"/>
    </w:rPr>
  </w:style>
  <w:style w:type="character" w:customStyle="1" w:styleId="BalloonTextChar">
    <w:name w:val="Balloon Text Char"/>
    <w:basedOn w:val="DefaultParagraphFont"/>
    <w:link w:val="BalloonText"/>
    <w:uiPriority w:val="99"/>
    <w:semiHidden/>
    <w:rsid w:val="007B0F6D"/>
    <w:rPr>
      <w:rFonts w:ascii="Tahoma" w:eastAsia="Times New Roman" w:hAnsi="Tahoma" w:cs="Tahoma"/>
      <w:sz w:val="16"/>
      <w:szCs w:val="16"/>
      <w:lang w:eastAsia="en-AU"/>
    </w:rPr>
  </w:style>
  <w:style w:type="character" w:styleId="Hyperlink">
    <w:name w:val="Hyperlink"/>
    <w:basedOn w:val="DefaultParagraphFont"/>
    <w:uiPriority w:val="99"/>
    <w:unhideWhenUsed/>
    <w:rsid w:val="007B0F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821"/>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rsid w:val="00394821"/>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rsid w:val="00394821"/>
    <w:rPr>
      <w:rFonts w:ascii="Times New Roman" w:eastAsia="Times New Roman" w:hAnsi="Times New Roman" w:cs="Times New Roman"/>
      <w:sz w:val="20"/>
      <w:szCs w:val="20"/>
      <w:lang w:eastAsia="en-AU"/>
    </w:rPr>
  </w:style>
  <w:style w:type="paragraph" w:styleId="Footer">
    <w:name w:val="footer"/>
    <w:basedOn w:val="Normal"/>
    <w:link w:val="FooterChar"/>
    <w:rsid w:val="00394821"/>
    <w:pPr>
      <w:tabs>
        <w:tab w:val="center" w:pos="4153"/>
        <w:tab w:val="right" w:pos="8306"/>
      </w:tabs>
    </w:pPr>
  </w:style>
  <w:style w:type="character" w:customStyle="1" w:styleId="FooterChar">
    <w:name w:val="Footer Char"/>
    <w:basedOn w:val="DefaultParagraphFont"/>
    <w:link w:val="Footer"/>
    <w:rsid w:val="00394821"/>
    <w:rPr>
      <w:rFonts w:ascii="Times New Roman" w:eastAsia="Times New Roman" w:hAnsi="Times New Roman" w:cs="Times New Roman"/>
      <w:sz w:val="20"/>
      <w:szCs w:val="20"/>
      <w:lang w:eastAsia="en-AU"/>
    </w:rPr>
  </w:style>
  <w:style w:type="character" w:styleId="PageNumber">
    <w:name w:val="page number"/>
    <w:basedOn w:val="DefaultParagraphFont"/>
    <w:rsid w:val="00394821"/>
  </w:style>
  <w:style w:type="character" w:customStyle="1" w:styleId="st">
    <w:name w:val="st"/>
    <w:rsid w:val="00394821"/>
  </w:style>
  <w:style w:type="paragraph" w:styleId="ListParagraph">
    <w:name w:val="List Paragraph"/>
    <w:aliases w:val="BulletPoints"/>
    <w:basedOn w:val="Normal"/>
    <w:link w:val="ListParagraphChar"/>
    <w:uiPriority w:val="72"/>
    <w:qFormat/>
    <w:rsid w:val="00394821"/>
    <w:pPr>
      <w:ind w:left="720"/>
      <w:contextualSpacing/>
    </w:pPr>
    <w:rPr>
      <w:rFonts w:eastAsia="SimSun"/>
      <w:sz w:val="24"/>
      <w:szCs w:val="24"/>
    </w:rPr>
  </w:style>
  <w:style w:type="character" w:customStyle="1" w:styleId="ListParagraphChar">
    <w:name w:val="List Paragraph Char"/>
    <w:aliases w:val="BulletPoints Char"/>
    <w:link w:val="ListParagraph"/>
    <w:uiPriority w:val="72"/>
    <w:qFormat/>
    <w:rsid w:val="00394821"/>
    <w:rPr>
      <w:rFonts w:ascii="Times New Roman" w:eastAsia="SimSun" w:hAnsi="Times New Roman" w:cs="Times New Roman"/>
      <w:sz w:val="24"/>
      <w:szCs w:val="24"/>
      <w:lang w:eastAsia="en-AU"/>
    </w:rPr>
  </w:style>
  <w:style w:type="paragraph" w:styleId="PlainText">
    <w:name w:val="Plain Text"/>
    <w:basedOn w:val="Normal"/>
    <w:link w:val="PlainTextChar"/>
    <w:uiPriority w:val="99"/>
    <w:unhideWhenUsed/>
    <w:rsid w:val="00394821"/>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394821"/>
    <w:rPr>
      <w:rFonts w:ascii="Calibri" w:hAnsi="Calibri" w:cs="Consolas"/>
      <w:szCs w:val="21"/>
    </w:rPr>
  </w:style>
  <w:style w:type="character" w:styleId="CommentReference">
    <w:name w:val="annotation reference"/>
    <w:basedOn w:val="DefaultParagraphFont"/>
    <w:uiPriority w:val="99"/>
    <w:semiHidden/>
    <w:unhideWhenUsed/>
    <w:rsid w:val="007B0F6D"/>
    <w:rPr>
      <w:sz w:val="16"/>
      <w:szCs w:val="16"/>
    </w:rPr>
  </w:style>
  <w:style w:type="paragraph" w:styleId="CommentText">
    <w:name w:val="annotation text"/>
    <w:basedOn w:val="Normal"/>
    <w:link w:val="CommentTextChar"/>
    <w:uiPriority w:val="99"/>
    <w:unhideWhenUsed/>
    <w:rsid w:val="007B0F6D"/>
  </w:style>
  <w:style w:type="character" w:customStyle="1" w:styleId="CommentTextChar">
    <w:name w:val="Comment Text Char"/>
    <w:basedOn w:val="DefaultParagraphFont"/>
    <w:link w:val="CommentText"/>
    <w:uiPriority w:val="99"/>
    <w:rsid w:val="007B0F6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B0F6D"/>
    <w:rPr>
      <w:b/>
      <w:bCs/>
    </w:rPr>
  </w:style>
  <w:style w:type="character" w:customStyle="1" w:styleId="CommentSubjectChar">
    <w:name w:val="Comment Subject Char"/>
    <w:basedOn w:val="CommentTextChar"/>
    <w:link w:val="CommentSubject"/>
    <w:uiPriority w:val="99"/>
    <w:semiHidden/>
    <w:rsid w:val="007B0F6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7B0F6D"/>
    <w:rPr>
      <w:rFonts w:ascii="Tahoma" w:hAnsi="Tahoma" w:cs="Tahoma"/>
      <w:sz w:val="16"/>
      <w:szCs w:val="16"/>
    </w:rPr>
  </w:style>
  <w:style w:type="character" w:customStyle="1" w:styleId="BalloonTextChar">
    <w:name w:val="Balloon Text Char"/>
    <w:basedOn w:val="DefaultParagraphFont"/>
    <w:link w:val="BalloonText"/>
    <w:uiPriority w:val="99"/>
    <w:semiHidden/>
    <w:rsid w:val="007B0F6D"/>
    <w:rPr>
      <w:rFonts w:ascii="Tahoma" w:eastAsia="Times New Roman" w:hAnsi="Tahoma" w:cs="Tahoma"/>
      <w:sz w:val="16"/>
      <w:szCs w:val="16"/>
      <w:lang w:eastAsia="en-AU"/>
    </w:rPr>
  </w:style>
  <w:style w:type="character" w:styleId="Hyperlink">
    <w:name w:val="Hyperlink"/>
    <w:basedOn w:val="DefaultParagraphFont"/>
    <w:uiPriority w:val="99"/>
    <w:unhideWhenUsed/>
    <w:rsid w:val="007B0F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361">
      <w:bodyDiv w:val="1"/>
      <w:marLeft w:val="0"/>
      <w:marRight w:val="0"/>
      <w:marTop w:val="0"/>
      <w:marBottom w:val="0"/>
      <w:divBdr>
        <w:top w:val="none" w:sz="0" w:space="0" w:color="auto"/>
        <w:left w:val="none" w:sz="0" w:space="0" w:color="auto"/>
        <w:bottom w:val="none" w:sz="0" w:space="0" w:color="auto"/>
        <w:right w:val="none" w:sz="0" w:space="0" w:color="auto"/>
      </w:divBdr>
    </w:div>
    <w:div w:id="99615260">
      <w:bodyDiv w:val="1"/>
      <w:marLeft w:val="0"/>
      <w:marRight w:val="0"/>
      <w:marTop w:val="0"/>
      <w:marBottom w:val="0"/>
      <w:divBdr>
        <w:top w:val="none" w:sz="0" w:space="0" w:color="auto"/>
        <w:left w:val="none" w:sz="0" w:space="0" w:color="auto"/>
        <w:bottom w:val="none" w:sz="0" w:space="0" w:color="auto"/>
        <w:right w:val="none" w:sz="0" w:space="0" w:color="auto"/>
      </w:divBdr>
    </w:div>
    <w:div w:id="252249980">
      <w:bodyDiv w:val="1"/>
      <w:marLeft w:val="0"/>
      <w:marRight w:val="0"/>
      <w:marTop w:val="0"/>
      <w:marBottom w:val="0"/>
      <w:divBdr>
        <w:top w:val="none" w:sz="0" w:space="0" w:color="auto"/>
        <w:left w:val="none" w:sz="0" w:space="0" w:color="auto"/>
        <w:bottom w:val="none" w:sz="0" w:space="0" w:color="auto"/>
        <w:right w:val="none" w:sz="0" w:space="0" w:color="auto"/>
      </w:divBdr>
    </w:div>
    <w:div w:id="275060379">
      <w:bodyDiv w:val="1"/>
      <w:marLeft w:val="0"/>
      <w:marRight w:val="0"/>
      <w:marTop w:val="0"/>
      <w:marBottom w:val="0"/>
      <w:divBdr>
        <w:top w:val="none" w:sz="0" w:space="0" w:color="auto"/>
        <w:left w:val="none" w:sz="0" w:space="0" w:color="auto"/>
        <w:bottom w:val="none" w:sz="0" w:space="0" w:color="auto"/>
        <w:right w:val="none" w:sz="0" w:space="0" w:color="auto"/>
      </w:divBdr>
    </w:div>
    <w:div w:id="370303294">
      <w:bodyDiv w:val="1"/>
      <w:marLeft w:val="0"/>
      <w:marRight w:val="0"/>
      <w:marTop w:val="0"/>
      <w:marBottom w:val="0"/>
      <w:divBdr>
        <w:top w:val="none" w:sz="0" w:space="0" w:color="auto"/>
        <w:left w:val="none" w:sz="0" w:space="0" w:color="auto"/>
        <w:bottom w:val="none" w:sz="0" w:space="0" w:color="auto"/>
        <w:right w:val="none" w:sz="0" w:space="0" w:color="auto"/>
      </w:divBdr>
    </w:div>
    <w:div w:id="726995100">
      <w:bodyDiv w:val="1"/>
      <w:marLeft w:val="0"/>
      <w:marRight w:val="0"/>
      <w:marTop w:val="0"/>
      <w:marBottom w:val="0"/>
      <w:divBdr>
        <w:top w:val="none" w:sz="0" w:space="0" w:color="auto"/>
        <w:left w:val="none" w:sz="0" w:space="0" w:color="auto"/>
        <w:bottom w:val="none" w:sz="0" w:space="0" w:color="auto"/>
        <w:right w:val="none" w:sz="0" w:space="0" w:color="auto"/>
      </w:divBdr>
    </w:div>
    <w:div w:id="941912751">
      <w:bodyDiv w:val="1"/>
      <w:marLeft w:val="0"/>
      <w:marRight w:val="0"/>
      <w:marTop w:val="0"/>
      <w:marBottom w:val="0"/>
      <w:divBdr>
        <w:top w:val="none" w:sz="0" w:space="0" w:color="auto"/>
        <w:left w:val="none" w:sz="0" w:space="0" w:color="auto"/>
        <w:bottom w:val="none" w:sz="0" w:space="0" w:color="auto"/>
        <w:right w:val="none" w:sz="0" w:space="0" w:color="auto"/>
      </w:divBdr>
    </w:div>
    <w:div w:id="1076630997">
      <w:bodyDiv w:val="1"/>
      <w:marLeft w:val="0"/>
      <w:marRight w:val="0"/>
      <w:marTop w:val="0"/>
      <w:marBottom w:val="0"/>
      <w:divBdr>
        <w:top w:val="none" w:sz="0" w:space="0" w:color="auto"/>
        <w:left w:val="none" w:sz="0" w:space="0" w:color="auto"/>
        <w:bottom w:val="none" w:sz="0" w:space="0" w:color="auto"/>
        <w:right w:val="none" w:sz="0" w:space="0" w:color="auto"/>
      </w:divBdr>
    </w:div>
    <w:div w:id="1089082944">
      <w:bodyDiv w:val="1"/>
      <w:marLeft w:val="0"/>
      <w:marRight w:val="0"/>
      <w:marTop w:val="0"/>
      <w:marBottom w:val="0"/>
      <w:divBdr>
        <w:top w:val="none" w:sz="0" w:space="0" w:color="auto"/>
        <w:left w:val="none" w:sz="0" w:space="0" w:color="auto"/>
        <w:bottom w:val="none" w:sz="0" w:space="0" w:color="auto"/>
        <w:right w:val="none" w:sz="0" w:space="0" w:color="auto"/>
      </w:divBdr>
    </w:div>
    <w:div w:id="1146236678">
      <w:bodyDiv w:val="1"/>
      <w:marLeft w:val="0"/>
      <w:marRight w:val="0"/>
      <w:marTop w:val="0"/>
      <w:marBottom w:val="0"/>
      <w:divBdr>
        <w:top w:val="none" w:sz="0" w:space="0" w:color="auto"/>
        <w:left w:val="none" w:sz="0" w:space="0" w:color="auto"/>
        <w:bottom w:val="none" w:sz="0" w:space="0" w:color="auto"/>
        <w:right w:val="none" w:sz="0" w:space="0" w:color="auto"/>
      </w:divBdr>
    </w:div>
    <w:div w:id="1312905911">
      <w:bodyDiv w:val="1"/>
      <w:marLeft w:val="0"/>
      <w:marRight w:val="0"/>
      <w:marTop w:val="0"/>
      <w:marBottom w:val="0"/>
      <w:divBdr>
        <w:top w:val="none" w:sz="0" w:space="0" w:color="auto"/>
        <w:left w:val="none" w:sz="0" w:space="0" w:color="auto"/>
        <w:bottom w:val="none" w:sz="0" w:space="0" w:color="auto"/>
        <w:right w:val="none" w:sz="0" w:space="0" w:color="auto"/>
      </w:divBdr>
    </w:div>
    <w:div w:id="1392460349">
      <w:bodyDiv w:val="1"/>
      <w:marLeft w:val="0"/>
      <w:marRight w:val="0"/>
      <w:marTop w:val="0"/>
      <w:marBottom w:val="0"/>
      <w:divBdr>
        <w:top w:val="none" w:sz="0" w:space="0" w:color="auto"/>
        <w:left w:val="none" w:sz="0" w:space="0" w:color="auto"/>
        <w:bottom w:val="none" w:sz="0" w:space="0" w:color="auto"/>
        <w:right w:val="none" w:sz="0" w:space="0" w:color="auto"/>
      </w:divBdr>
    </w:div>
    <w:div w:id="1452943331">
      <w:bodyDiv w:val="1"/>
      <w:marLeft w:val="0"/>
      <w:marRight w:val="0"/>
      <w:marTop w:val="0"/>
      <w:marBottom w:val="0"/>
      <w:divBdr>
        <w:top w:val="none" w:sz="0" w:space="0" w:color="auto"/>
        <w:left w:val="none" w:sz="0" w:space="0" w:color="auto"/>
        <w:bottom w:val="none" w:sz="0" w:space="0" w:color="auto"/>
        <w:right w:val="none" w:sz="0" w:space="0" w:color="auto"/>
      </w:divBdr>
    </w:div>
    <w:div w:id="1528372756">
      <w:bodyDiv w:val="1"/>
      <w:marLeft w:val="0"/>
      <w:marRight w:val="0"/>
      <w:marTop w:val="0"/>
      <w:marBottom w:val="0"/>
      <w:divBdr>
        <w:top w:val="none" w:sz="0" w:space="0" w:color="auto"/>
        <w:left w:val="none" w:sz="0" w:space="0" w:color="auto"/>
        <w:bottom w:val="none" w:sz="0" w:space="0" w:color="auto"/>
        <w:right w:val="none" w:sz="0" w:space="0" w:color="auto"/>
      </w:divBdr>
    </w:div>
    <w:div w:id="1561791676">
      <w:bodyDiv w:val="1"/>
      <w:marLeft w:val="0"/>
      <w:marRight w:val="0"/>
      <w:marTop w:val="0"/>
      <w:marBottom w:val="0"/>
      <w:divBdr>
        <w:top w:val="none" w:sz="0" w:space="0" w:color="auto"/>
        <w:left w:val="none" w:sz="0" w:space="0" w:color="auto"/>
        <w:bottom w:val="none" w:sz="0" w:space="0" w:color="auto"/>
        <w:right w:val="none" w:sz="0" w:space="0" w:color="auto"/>
      </w:divBdr>
    </w:div>
    <w:div w:id="1597247155">
      <w:bodyDiv w:val="1"/>
      <w:marLeft w:val="0"/>
      <w:marRight w:val="0"/>
      <w:marTop w:val="0"/>
      <w:marBottom w:val="0"/>
      <w:divBdr>
        <w:top w:val="none" w:sz="0" w:space="0" w:color="auto"/>
        <w:left w:val="none" w:sz="0" w:space="0" w:color="auto"/>
        <w:bottom w:val="none" w:sz="0" w:space="0" w:color="auto"/>
        <w:right w:val="none" w:sz="0" w:space="0" w:color="auto"/>
      </w:divBdr>
    </w:div>
    <w:div w:id="1635983163">
      <w:bodyDiv w:val="1"/>
      <w:marLeft w:val="0"/>
      <w:marRight w:val="0"/>
      <w:marTop w:val="0"/>
      <w:marBottom w:val="0"/>
      <w:divBdr>
        <w:top w:val="none" w:sz="0" w:space="0" w:color="auto"/>
        <w:left w:val="none" w:sz="0" w:space="0" w:color="auto"/>
        <w:bottom w:val="none" w:sz="0" w:space="0" w:color="auto"/>
        <w:right w:val="none" w:sz="0" w:space="0" w:color="auto"/>
      </w:divBdr>
    </w:div>
    <w:div w:id="1680352390">
      <w:bodyDiv w:val="1"/>
      <w:marLeft w:val="0"/>
      <w:marRight w:val="0"/>
      <w:marTop w:val="0"/>
      <w:marBottom w:val="0"/>
      <w:divBdr>
        <w:top w:val="none" w:sz="0" w:space="0" w:color="auto"/>
        <w:left w:val="none" w:sz="0" w:space="0" w:color="auto"/>
        <w:bottom w:val="none" w:sz="0" w:space="0" w:color="auto"/>
        <w:right w:val="none" w:sz="0" w:space="0" w:color="auto"/>
      </w:divBdr>
    </w:div>
    <w:div w:id="1799181116">
      <w:bodyDiv w:val="1"/>
      <w:marLeft w:val="0"/>
      <w:marRight w:val="0"/>
      <w:marTop w:val="0"/>
      <w:marBottom w:val="0"/>
      <w:divBdr>
        <w:top w:val="none" w:sz="0" w:space="0" w:color="auto"/>
        <w:left w:val="none" w:sz="0" w:space="0" w:color="auto"/>
        <w:bottom w:val="none" w:sz="0" w:space="0" w:color="auto"/>
        <w:right w:val="none" w:sz="0" w:space="0" w:color="auto"/>
      </w:divBdr>
    </w:div>
    <w:div w:id="1856530143">
      <w:bodyDiv w:val="1"/>
      <w:marLeft w:val="0"/>
      <w:marRight w:val="0"/>
      <w:marTop w:val="0"/>
      <w:marBottom w:val="0"/>
      <w:divBdr>
        <w:top w:val="none" w:sz="0" w:space="0" w:color="auto"/>
        <w:left w:val="none" w:sz="0" w:space="0" w:color="auto"/>
        <w:bottom w:val="none" w:sz="0" w:space="0" w:color="auto"/>
        <w:right w:val="none" w:sz="0" w:space="0" w:color="auto"/>
      </w:divBdr>
    </w:div>
    <w:div w:id="204855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0FFC7-66CF-45F0-A653-83819D807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2018-08-15T04:50:00Z</dcterms:created>
  <dcterms:modified xsi:type="dcterms:W3CDTF">2018-08-28T23:20:00Z</dcterms:modified>
</cp:coreProperties>
</file>