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Web outcomes for positive recommendations PBAC April 2018 meeting"/>
        <w:tblDescription w:val="Table containing the positive recommendation web outcomes from the April 2018 PBAC meeting"/>
      </w:tblPr>
      <w:tblGrid>
        <w:gridCol w:w="3118"/>
        <w:gridCol w:w="2262"/>
        <w:gridCol w:w="2987"/>
        <w:gridCol w:w="7192"/>
      </w:tblGrid>
      <w:tr w:rsidR="003D7E12" w:rsidRPr="003D7E12" w:rsidTr="000F72EA">
        <w:trPr>
          <w:tblHeader/>
        </w:trPr>
        <w:tc>
          <w:tcPr>
            <w:tcW w:w="3118" w:type="dxa"/>
            <w:tcMar>
              <w:top w:w="28" w:type="dxa"/>
              <w:bottom w:w="28" w:type="dxa"/>
            </w:tcMar>
          </w:tcPr>
          <w:p w:rsidR="0098008E" w:rsidRPr="003D7E12" w:rsidRDefault="003D7E12" w:rsidP="0098008E">
            <w:pPr>
              <w:widowControl w:val="0"/>
              <w:jc w:val="center"/>
              <w:rPr>
                <w:rFonts w:ascii="Arial" w:hAnsi="Arial" w:cs="Arial"/>
                <w:b/>
              </w:rPr>
            </w:pPr>
            <w:r w:rsidRPr="003D7E12">
              <w:rPr>
                <w:rFonts w:ascii="Arial" w:hAnsi="Arial" w:cs="Arial"/>
                <w:b/>
              </w:rPr>
              <w:t>DRUG, SPONSOR, TYPE OF SUBMISSION</w:t>
            </w:r>
          </w:p>
        </w:tc>
        <w:tc>
          <w:tcPr>
            <w:tcW w:w="2262" w:type="dxa"/>
            <w:tcMar>
              <w:top w:w="28" w:type="dxa"/>
              <w:bottom w:w="28" w:type="dxa"/>
            </w:tcMar>
          </w:tcPr>
          <w:p w:rsidR="003D7E12" w:rsidRPr="003D7E12" w:rsidRDefault="003D7E12">
            <w:pPr>
              <w:widowControl w:val="0"/>
              <w:jc w:val="center"/>
              <w:rPr>
                <w:rFonts w:ascii="Arial" w:hAnsi="Arial" w:cs="Arial"/>
                <w:b/>
                <w:snapToGrid w:val="0"/>
                <w:lang w:eastAsia="en-US"/>
              </w:rPr>
            </w:pPr>
            <w:r w:rsidRPr="003D7E12">
              <w:rPr>
                <w:rFonts w:ascii="Arial" w:hAnsi="Arial" w:cs="Arial"/>
                <w:b/>
                <w:snapToGrid w:val="0"/>
                <w:lang w:eastAsia="en-US"/>
              </w:rPr>
              <w:t>DRUG TYPE OR USE</w:t>
            </w:r>
          </w:p>
          <w:p w:rsidR="003D7E12" w:rsidRPr="003D7E12" w:rsidRDefault="003D7E12">
            <w:pPr>
              <w:widowControl w:val="0"/>
              <w:jc w:val="center"/>
              <w:rPr>
                <w:rFonts w:ascii="Arial" w:hAnsi="Arial" w:cs="Arial"/>
                <w:b/>
                <w:i/>
                <w:snapToGrid w:val="0"/>
                <w:lang w:eastAsia="en-US"/>
              </w:rPr>
            </w:pPr>
          </w:p>
        </w:tc>
        <w:tc>
          <w:tcPr>
            <w:tcW w:w="2987" w:type="dxa"/>
            <w:tcMar>
              <w:top w:w="28" w:type="dxa"/>
              <w:bottom w:w="28" w:type="dxa"/>
            </w:tcMar>
          </w:tcPr>
          <w:p w:rsidR="003D7E12" w:rsidRPr="00590156" w:rsidRDefault="003D7E12">
            <w:pPr>
              <w:widowControl w:val="0"/>
              <w:jc w:val="center"/>
              <w:rPr>
                <w:rFonts w:ascii="Arial" w:hAnsi="Arial" w:cs="Arial"/>
                <w:i/>
                <w:snapToGrid w:val="0"/>
                <w:lang w:eastAsia="en-US"/>
              </w:rPr>
            </w:pPr>
            <w:r w:rsidRPr="003D7E12">
              <w:rPr>
                <w:rFonts w:ascii="Arial" w:hAnsi="Arial" w:cs="Arial"/>
                <w:b/>
                <w:snapToGrid w:val="0"/>
                <w:lang w:eastAsia="en-US"/>
              </w:rPr>
              <w:t>LISTING REQUESTED BY SPONSOR / PURPOSE OF SUBMISSION</w:t>
            </w:r>
          </w:p>
        </w:tc>
        <w:tc>
          <w:tcPr>
            <w:tcW w:w="7192" w:type="dxa"/>
          </w:tcPr>
          <w:p w:rsidR="003D7E12" w:rsidRPr="003D7E12" w:rsidRDefault="003D7E12">
            <w:pPr>
              <w:widowControl w:val="0"/>
              <w:jc w:val="center"/>
              <w:rPr>
                <w:rFonts w:ascii="Arial" w:hAnsi="Arial" w:cs="Arial"/>
                <w:b/>
                <w:snapToGrid w:val="0"/>
                <w:lang w:eastAsia="en-US"/>
              </w:rPr>
            </w:pPr>
            <w:r w:rsidRPr="003D7E12">
              <w:rPr>
                <w:rFonts w:ascii="Arial" w:hAnsi="Arial" w:cs="Arial"/>
                <w:b/>
                <w:snapToGrid w:val="0"/>
                <w:lang w:eastAsia="en-US"/>
              </w:rPr>
              <w:t>PBAC OUTCOME</w:t>
            </w:r>
          </w:p>
        </w:tc>
      </w:tr>
      <w:tr w:rsidR="00BE7474" w:rsidRPr="003D7E12" w:rsidTr="000F72EA">
        <w:trPr>
          <w:tblHeader/>
        </w:trPr>
        <w:tc>
          <w:tcPr>
            <w:tcW w:w="3118" w:type="dxa"/>
            <w:tcMar>
              <w:top w:w="28" w:type="dxa"/>
              <w:bottom w:w="28" w:type="dxa"/>
            </w:tcMar>
          </w:tcPr>
          <w:p w:rsidR="00BE7474" w:rsidRDefault="00BE7474" w:rsidP="00F66566">
            <w:pPr>
              <w:rPr>
                <w:rFonts w:ascii="Arial" w:hAnsi="Arial" w:cs="Arial"/>
                <w:color w:val="000000"/>
              </w:rPr>
            </w:pPr>
            <w:r w:rsidRPr="007F7D95">
              <w:rPr>
                <w:rFonts w:ascii="Arial" w:hAnsi="Arial" w:cs="Arial"/>
                <w:color w:val="000000"/>
              </w:rPr>
              <w:t>FILGRASTIM</w:t>
            </w:r>
            <w:r w:rsidRPr="007F7D95">
              <w:rPr>
                <w:rFonts w:ascii="Arial" w:hAnsi="Arial" w:cs="Arial"/>
                <w:color w:val="000000"/>
              </w:rPr>
              <w:br/>
            </w:r>
            <w:r w:rsidRPr="007F7D95">
              <w:rPr>
                <w:rFonts w:ascii="Arial" w:hAnsi="Arial" w:cs="Arial"/>
                <w:color w:val="000000"/>
              </w:rPr>
              <w:br/>
              <w:t xml:space="preserve">Injection 120 micrograms in 0.2 mL single use pre-filled syringe </w:t>
            </w:r>
            <w:r w:rsidRPr="007F7D95">
              <w:rPr>
                <w:rFonts w:ascii="Arial" w:hAnsi="Arial" w:cs="Arial"/>
                <w:color w:val="000000"/>
              </w:rPr>
              <w:br/>
              <w:t>Injection 300 micrograms in 0.5 mL single u</w:t>
            </w:r>
            <w:r>
              <w:rPr>
                <w:rFonts w:ascii="Arial" w:hAnsi="Arial" w:cs="Arial"/>
                <w:color w:val="000000"/>
              </w:rPr>
              <w:t xml:space="preserve">se pre-filled syringe </w:t>
            </w:r>
            <w:r w:rsidRPr="007F7D95">
              <w:rPr>
                <w:rFonts w:ascii="Arial" w:hAnsi="Arial" w:cs="Arial"/>
                <w:color w:val="000000"/>
              </w:rPr>
              <w:br/>
              <w:t>Injection 480 micrograms in 0.5 mL single u</w:t>
            </w:r>
            <w:r>
              <w:rPr>
                <w:rFonts w:ascii="Arial" w:hAnsi="Arial" w:cs="Arial"/>
                <w:color w:val="000000"/>
              </w:rPr>
              <w:t xml:space="preserve">se pre-filled syringe </w:t>
            </w:r>
            <w:r w:rsidRPr="007F7D95">
              <w:rPr>
                <w:rFonts w:ascii="Arial" w:hAnsi="Arial" w:cs="Arial"/>
                <w:color w:val="000000"/>
              </w:rPr>
              <w:br/>
            </w:r>
            <w:r w:rsidRPr="007F7D95">
              <w:rPr>
                <w:rFonts w:ascii="Arial" w:hAnsi="Arial" w:cs="Arial"/>
                <w:color w:val="000000"/>
              </w:rPr>
              <w:br/>
              <w:t xml:space="preserve">Nivestim® </w:t>
            </w:r>
            <w:r w:rsidRPr="007F7D95">
              <w:rPr>
                <w:rFonts w:ascii="Arial" w:hAnsi="Arial" w:cs="Arial"/>
                <w:color w:val="000000"/>
              </w:rPr>
              <w:br/>
            </w:r>
            <w:r w:rsidRPr="007F7D95">
              <w:rPr>
                <w:rFonts w:ascii="Arial" w:hAnsi="Arial" w:cs="Arial"/>
                <w:color w:val="000000"/>
              </w:rPr>
              <w:br/>
              <w:t>Pfizer Australia Pty Ltd</w:t>
            </w:r>
          </w:p>
          <w:p w:rsidR="00BE7474" w:rsidRDefault="00BE7474" w:rsidP="00F66566">
            <w:pPr>
              <w:rPr>
                <w:rFonts w:ascii="Arial" w:hAnsi="Arial" w:cs="Arial"/>
                <w:color w:val="000000"/>
              </w:rPr>
            </w:pPr>
          </w:p>
          <w:p w:rsidR="00BE7474" w:rsidRDefault="00BE7474" w:rsidP="00F66566">
            <w:pPr>
              <w:rPr>
                <w:rFonts w:ascii="Arial" w:hAnsi="Arial" w:cs="Arial"/>
                <w:color w:val="000000"/>
              </w:rPr>
            </w:pPr>
            <w:r>
              <w:rPr>
                <w:rFonts w:ascii="Arial" w:hAnsi="Arial" w:cs="Arial"/>
                <w:color w:val="000000"/>
              </w:rPr>
              <w:t xml:space="preserve">Change to listing </w:t>
            </w:r>
          </w:p>
          <w:p w:rsidR="00BE7474" w:rsidRPr="00395B97" w:rsidRDefault="00BE7474" w:rsidP="00F66566">
            <w:pPr>
              <w:rPr>
                <w:rFonts w:ascii="Arial" w:hAnsi="Arial" w:cs="Arial"/>
              </w:rPr>
            </w:pPr>
            <w:r>
              <w:rPr>
                <w:rFonts w:ascii="Arial" w:hAnsi="Arial" w:cs="Arial"/>
                <w:color w:val="000000"/>
              </w:rPr>
              <w:t>(Minor Submission)</w:t>
            </w:r>
          </w:p>
        </w:tc>
        <w:tc>
          <w:tcPr>
            <w:tcW w:w="2262" w:type="dxa"/>
            <w:tcMar>
              <w:top w:w="28" w:type="dxa"/>
              <w:bottom w:w="28" w:type="dxa"/>
            </w:tcMar>
          </w:tcPr>
          <w:p w:rsidR="00BE7474" w:rsidRPr="00395B97" w:rsidRDefault="00BE7474" w:rsidP="00F66566">
            <w:pPr>
              <w:rPr>
                <w:rFonts w:ascii="Arial" w:hAnsi="Arial" w:cs="Arial"/>
              </w:rPr>
            </w:pPr>
            <w:r w:rsidRPr="007F7D95">
              <w:rPr>
                <w:rFonts w:ascii="Arial" w:hAnsi="Arial" w:cs="Arial"/>
                <w:color w:val="000000"/>
              </w:rPr>
              <w:t>Chemotherapy-induced neutropenia</w:t>
            </w:r>
            <w:r>
              <w:rPr>
                <w:rFonts w:ascii="Arial" w:hAnsi="Arial" w:cs="Arial"/>
                <w:color w:val="000000"/>
              </w:rPr>
              <w:t>;</w:t>
            </w:r>
            <w:r w:rsidRPr="007F7D95">
              <w:rPr>
                <w:rFonts w:ascii="Arial" w:hAnsi="Arial" w:cs="Arial"/>
                <w:color w:val="000000"/>
              </w:rPr>
              <w:br/>
              <w:t>Mobilisation of peripheral blood progenitor cells</w:t>
            </w:r>
            <w:r>
              <w:rPr>
                <w:rFonts w:ascii="Arial" w:hAnsi="Arial" w:cs="Arial"/>
                <w:color w:val="000000"/>
              </w:rPr>
              <w:t>;</w:t>
            </w:r>
            <w:r w:rsidRPr="007F7D95">
              <w:rPr>
                <w:rFonts w:ascii="Arial" w:hAnsi="Arial" w:cs="Arial"/>
                <w:color w:val="000000"/>
              </w:rPr>
              <w:br/>
              <w:t>Assisting bone marrow transplantation</w:t>
            </w:r>
            <w:r>
              <w:rPr>
                <w:rFonts w:ascii="Arial" w:hAnsi="Arial" w:cs="Arial"/>
                <w:color w:val="000000"/>
              </w:rPr>
              <w:t>;</w:t>
            </w:r>
            <w:r w:rsidRPr="007F7D95">
              <w:rPr>
                <w:rFonts w:ascii="Arial" w:hAnsi="Arial" w:cs="Arial"/>
                <w:color w:val="000000"/>
              </w:rPr>
              <w:br/>
              <w:t>Assisting autologous peripheral blood progenitor cell transplantation</w:t>
            </w:r>
            <w:r>
              <w:rPr>
                <w:rFonts w:ascii="Arial" w:hAnsi="Arial" w:cs="Arial"/>
                <w:color w:val="000000"/>
              </w:rPr>
              <w:t>;</w:t>
            </w:r>
            <w:r w:rsidRPr="007F7D95">
              <w:rPr>
                <w:rFonts w:ascii="Arial" w:hAnsi="Arial" w:cs="Arial"/>
                <w:color w:val="000000"/>
              </w:rPr>
              <w:br/>
              <w:t>Severe congenital neutropenia</w:t>
            </w:r>
            <w:r>
              <w:rPr>
                <w:rFonts w:ascii="Arial" w:hAnsi="Arial" w:cs="Arial"/>
                <w:color w:val="000000"/>
              </w:rPr>
              <w:t>;</w:t>
            </w:r>
            <w:r w:rsidRPr="007F7D95">
              <w:rPr>
                <w:rFonts w:ascii="Arial" w:hAnsi="Arial" w:cs="Arial"/>
                <w:color w:val="000000"/>
              </w:rPr>
              <w:br/>
              <w:t>Severe chronic neutropenia</w:t>
            </w:r>
            <w:r>
              <w:rPr>
                <w:rFonts w:ascii="Arial" w:hAnsi="Arial" w:cs="Arial"/>
                <w:color w:val="000000"/>
              </w:rPr>
              <w:t>;</w:t>
            </w:r>
            <w:r w:rsidRPr="007F7D95">
              <w:rPr>
                <w:rFonts w:ascii="Arial" w:hAnsi="Arial" w:cs="Arial"/>
                <w:color w:val="000000"/>
              </w:rPr>
              <w:br/>
              <w:t>Chronic cyclical neutropenia</w:t>
            </w:r>
          </w:p>
        </w:tc>
        <w:tc>
          <w:tcPr>
            <w:tcW w:w="2987" w:type="dxa"/>
            <w:tcMar>
              <w:top w:w="28" w:type="dxa"/>
              <w:bottom w:w="28" w:type="dxa"/>
            </w:tcMar>
          </w:tcPr>
          <w:p w:rsidR="00BE7474" w:rsidRPr="00D03C40" w:rsidRDefault="00BE7474">
            <w:pPr>
              <w:rPr>
                <w:rFonts w:ascii="Arial" w:hAnsi="Arial" w:cs="Arial"/>
                <w:color w:val="000000"/>
              </w:rPr>
            </w:pPr>
            <w:r w:rsidRPr="007F7D95">
              <w:rPr>
                <w:rFonts w:ascii="Arial" w:hAnsi="Arial" w:cs="Arial"/>
                <w:color w:val="000000"/>
              </w:rPr>
              <w:t>To request that the current listings of Nivestim be changed to Authority Required (STREAMLINED) for Section 100 Highly Specialised Drugs (Private Hospital).</w:t>
            </w:r>
          </w:p>
        </w:tc>
        <w:tc>
          <w:tcPr>
            <w:tcW w:w="7192" w:type="dxa"/>
          </w:tcPr>
          <w:p w:rsidR="006835E3" w:rsidRPr="00590156" w:rsidRDefault="00BE7474">
            <w:pPr>
              <w:rPr>
                <w:rFonts w:ascii="Arial" w:hAnsi="Arial" w:cs="Arial"/>
                <w:color w:val="000000"/>
              </w:rPr>
            </w:pPr>
            <w:r w:rsidRPr="00AF7DDF">
              <w:rPr>
                <w:rFonts w:ascii="Arial" w:hAnsi="Arial" w:cs="Arial"/>
                <w:color w:val="000000"/>
              </w:rPr>
              <w:t>The PBAC recommended that based on currently available evidence,  the reference biological, Neupogen®, and the three filgrastim biosimilar brands (Nivestim®, Tevagrastim® and Zarzio®) currently PBS listed could be marked as equivalent in the Schedule of Pharmaceutical Benefits (‘a’ flagged), for the purposes of substitution by the pharmacist at the point of dispensing for all circumstances filgrastim is listed for.</w:t>
            </w:r>
          </w:p>
          <w:p w:rsidR="00590156" w:rsidRDefault="00590156">
            <w:pPr>
              <w:rPr>
                <w:rFonts w:ascii="Arial" w:hAnsi="Arial" w:cs="Arial"/>
                <w:color w:val="000000"/>
              </w:rPr>
            </w:pPr>
          </w:p>
          <w:p w:rsidR="006835E3" w:rsidRPr="00590156" w:rsidRDefault="00BE7474">
            <w:pPr>
              <w:rPr>
                <w:rFonts w:ascii="Arial" w:hAnsi="Arial" w:cs="Arial"/>
                <w:color w:val="000000"/>
              </w:rPr>
            </w:pPr>
            <w:r w:rsidRPr="00AF7DDF">
              <w:rPr>
                <w:rFonts w:ascii="Arial" w:hAnsi="Arial" w:cs="Arial"/>
                <w:color w:val="000000"/>
              </w:rPr>
              <w:t xml:space="preserve">In making this recommendation, the PBAC noted there is limited high quality evidence specifically analysing the impact of treatment switching between different filgrastim brands, and further noted most of the evidence available were single arm and/or open-label studies, which often used historical cohorts for the reference biologic. However, the PBAC noted that the evidence in nearly all studies presented concluded similar efficacy and safety with the reference biologic. The PBAC specially noted the Ebbers </w:t>
            </w:r>
            <w:bookmarkStart w:id="0" w:name="_GoBack"/>
            <w:bookmarkEnd w:id="0"/>
            <w:r w:rsidRPr="00515459">
              <w:rPr>
                <w:rFonts w:ascii="Arial" w:hAnsi="Arial" w:cs="Arial"/>
                <w:i/>
                <w:color w:val="000000"/>
              </w:rPr>
              <w:t>et al</w:t>
            </w:r>
            <w:r w:rsidR="00515459">
              <w:rPr>
                <w:rFonts w:ascii="Arial" w:hAnsi="Arial" w:cs="Arial"/>
                <w:color w:val="000000"/>
              </w:rPr>
              <w:t>.</w:t>
            </w:r>
            <w:r w:rsidRPr="00AF7DDF">
              <w:rPr>
                <w:rFonts w:ascii="Arial" w:hAnsi="Arial" w:cs="Arial"/>
                <w:color w:val="000000"/>
              </w:rPr>
              <w:t xml:space="preserve"> review presented the most comprehensive summary of evidence of the presented studies, which found no evidence of major safety concerns associated with switching between different filgrastim products. The PBAC also noted there was no data that pointed to major safety concerns associated with switching between different granulocyte colony stimulating factors (G-CSF), and noted the TGA had previously determined the currently PBS-listed filgrastim biosimilars had demonstrated therapeutic equivalence to the reference brand. </w:t>
            </w:r>
          </w:p>
          <w:p w:rsidR="00590156" w:rsidRDefault="00590156">
            <w:pPr>
              <w:rPr>
                <w:rFonts w:ascii="Arial" w:hAnsi="Arial" w:cs="Arial"/>
                <w:color w:val="000000"/>
              </w:rPr>
            </w:pPr>
          </w:p>
          <w:p w:rsidR="00BE7474" w:rsidRPr="00AF7DDF" w:rsidRDefault="00BE7474">
            <w:pPr>
              <w:rPr>
                <w:rFonts w:ascii="Arial" w:hAnsi="Arial" w:cs="Arial"/>
                <w:color w:val="000000"/>
              </w:rPr>
            </w:pPr>
            <w:r w:rsidRPr="00AF7DDF">
              <w:rPr>
                <w:rFonts w:ascii="Arial" w:hAnsi="Arial" w:cs="Arial"/>
                <w:color w:val="000000"/>
              </w:rPr>
              <w:t xml:space="preserve">The PBAC also recalled that when it deferred </w:t>
            </w:r>
            <w:r w:rsidR="00991DB4">
              <w:rPr>
                <w:rFonts w:ascii="Arial" w:hAnsi="Arial" w:cs="Arial"/>
                <w:color w:val="000000"/>
              </w:rPr>
              <w:t xml:space="preserve">its decision on this </w:t>
            </w:r>
            <w:r w:rsidRPr="00AF7DDF">
              <w:rPr>
                <w:rFonts w:ascii="Arial" w:hAnsi="Arial" w:cs="Arial"/>
                <w:color w:val="000000"/>
              </w:rPr>
              <w:t xml:space="preserve">submission </w:t>
            </w:r>
            <w:r w:rsidR="00991DB4">
              <w:rPr>
                <w:rFonts w:ascii="Arial" w:hAnsi="Arial" w:cs="Arial"/>
                <w:color w:val="000000"/>
              </w:rPr>
              <w:t xml:space="preserve"> at its March 2018 meeting </w:t>
            </w:r>
            <w:r w:rsidR="00991DB4" w:rsidRPr="00991DB4">
              <w:rPr>
                <w:rFonts w:ascii="Arial" w:hAnsi="Arial" w:cs="Arial"/>
                <w:bCs/>
                <w:color w:val="000000"/>
                <w:lang w:val="en-GB"/>
              </w:rPr>
              <w:t>to seeking further information regarding whether the four filgrastim brands currently PBS listed could be marked as equivalent in the Schedule of Pharma</w:t>
            </w:r>
            <w:r w:rsidR="00B14C5B">
              <w:rPr>
                <w:rFonts w:ascii="Arial" w:hAnsi="Arial" w:cs="Arial"/>
                <w:bCs/>
                <w:color w:val="000000"/>
                <w:lang w:val="en-GB"/>
              </w:rPr>
              <w:t>ceutical Benefits (‘a’ flagged)</w:t>
            </w:r>
            <w:r w:rsidR="00991DB4" w:rsidRPr="00991DB4">
              <w:rPr>
                <w:rFonts w:ascii="Arial" w:hAnsi="Arial" w:cs="Arial"/>
                <w:bCs/>
                <w:color w:val="000000"/>
                <w:lang w:val="en-GB"/>
              </w:rPr>
              <w:t xml:space="preserve"> </w:t>
            </w:r>
            <w:r w:rsidRPr="00AF7DDF">
              <w:rPr>
                <w:rFonts w:ascii="Arial" w:hAnsi="Arial" w:cs="Arial"/>
                <w:color w:val="000000"/>
              </w:rPr>
              <w:t>it had advised the following;</w:t>
            </w:r>
          </w:p>
          <w:p w:rsidR="00BE7474" w:rsidRPr="00AF7DDF" w:rsidRDefault="00BE7474">
            <w:pPr>
              <w:pStyle w:val="ListParagraph"/>
              <w:numPr>
                <w:ilvl w:val="0"/>
                <w:numId w:val="38"/>
              </w:numPr>
              <w:rPr>
                <w:rFonts w:ascii="Arial" w:hAnsi="Arial" w:cs="Arial"/>
                <w:color w:val="000000"/>
                <w:sz w:val="20"/>
                <w:szCs w:val="20"/>
              </w:rPr>
            </w:pPr>
            <w:r w:rsidRPr="00AF7DDF">
              <w:rPr>
                <w:rFonts w:ascii="Arial" w:hAnsi="Arial" w:cs="Arial"/>
                <w:color w:val="000000"/>
                <w:sz w:val="20"/>
                <w:szCs w:val="20"/>
              </w:rPr>
              <w:t xml:space="preserve">in principle, support of the application of biosimilar uptake drivers to all biosimilar brands of filgrastim. The PBAC recommended that the Section 100 (Highly Specialised Drugs Program – Private Hospital) listings of filgrastim should be lowered to a streamlined authority;  and </w:t>
            </w:r>
          </w:p>
          <w:p w:rsidR="00590156" w:rsidRDefault="00BE7474">
            <w:pPr>
              <w:pStyle w:val="ListParagraph"/>
              <w:numPr>
                <w:ilvl w:val="0"/>
                <w:numId w:val="38"/>
              </w:numPr>
              <w:rPr>
                <w:rFonts w:ascii="Arial" w:hAnsi="Arial" w:cs="Arial"/>
                <w:color w:val="000000"/>
                <w:sz w:val="20"/>
                <w:szCs w:val="20"/>
              </w:rPr>
            </w:pPr>
            <w:r w:rsidRPr="00AF7DDF">
              <w:rPr>
                <w:rFonts w:ascii="Arial" w:hAnsi="Arial" w:cs="Arial"/>
                <w:color w:val="000000"/>
                <w:sz w:val="20"/>
                <w:szCs w:val="20"/>
              </w:rPr>
              <w:t>that the legislative instrument (LI) forms of the filgrastim</w:t>
            </w:r>
            <w:r w:rsidRPr="00AC48E3">
              <w:rPr>
                <w:rFonts w:ascii="Arial" w:hAnsi="Arial" w:cs="Arial"/>
                <w:color w:val="000000"/>
                <w:sz w:val="20"/>
                <w:szCs w:val="20"/>
              </w:rPr>
              <w:t xml:space="preserve"> brands could be consolidated</w:t>
            </w:r>
            <w:r w:rsidR="00B14C5B" w:rsidRPr="00B14C5B">
              <w:rPr>
                <w:rFonts w:asciiTheme="minorHAnsi" w:eastAsia="Times New Roman" w:hAnsiTheme="minorHAnsi" w:cs="Arial"/>
                <w:bCs/>
                <w:snapToGrid w:val="0"/>
                <w:lang w:val="en-GB"/>
              </w:rPr>
              <w:t xml:space="preserve"> </w:t>
            </w:r>
            <w:r w:rsidR="00B14C5B" w:rsidRPr="00B14C5B">
              <w:rPr>
                <w:rFonts w:ascii="Arial" w:hAnsi="Arial" w:cs="Arial"/>
                <w:bCs/>
                <w:color w:val="000000"/>
                <w:sz w:val="20"/>
                <w:szCs w:val="20"/>
                <w:lang w:val="en-GB"/>
              </w:rPr>
              <w:t>by removing the brand names that are included as part of the current LI form descriptions</w:t>
            </w:r>
            <w:r w:rsidRPr="00AC48E3">
              <w:rPr>
                <w:rFonts w:ascii="Arial" w:hAnsi="Arial" w:cs="Arial"/>
                <w:color w:val="000000"/>
                <w:sz w:val="20"/>
                <w:szCs w:val="20"/>
              </w:rPr>
              <w:t>.</w:t>
            </w:r>
          </w:p>
          <w:p w:rsidR="0098008E" w:rsidRPr="00F66566" w:rsidRDefault="0098008E" w:rsidP="00F66566">
            <w:pPr>
              <w:rPr>
                <w:rFonts w:ascii="Arial" w:hAnsi="Arial" w:cs="Arial"/>
                <w:color w:val="000000"/>
              </w:rPr>
            </w:pPr>
          </w:p>
        </w:tc>
      </w:tr>
      <w:tr w:rsidR="00E21691" w:rsidRPr="003D7E12" w:rsidTr="000F72EA">
        <w:trPr>
          <w:tblHeader/>
        </w:trPr>
        <w:tc>
          <w:tcPr>
            <w:tcW w:w="3118" w:type="dxa"/>
            <w:tcMar>
              <w:top w:w="28" w:type="dxa"/>
              <w:bottom w:w="28" w:type="dxa"/>
            </w:tcMar>
          </w:tcPr>
          <w:p w:rsidR="00E21691" w:rsidRDefault="00E21691" w:rsidP="00FA2262">
            <w:pPr>
              <w:rPr>
                <w:rFonts w:ascii="Arial" w:hAnsi="Arial" w:cs="Arial"/>
                <w:color w:val="000000"/>
                <w:sz w:val="24"/>
                <w:szCs w:val="24"/>
              </w:rPr>
            </w:pPr>
            <w:r>
              <w:rPr>
                <w:rFonts w:ascii="Arial" w:hAnsi="Arial" w:cs="Arial"/>
                <w:color w:val="000000"/>
              </w:rPr>
              <w:lastRenderedPageBreak/>
              <w:t xml:space="preserve">OBINUTUZUMAB </w:t>
            </w:r>
            <w:r>
              <w:rPr>
                <w:rFonts w:ascii="Arial" w:hAnsi="Arial" w:cs="Arial"/>
                <w:color w:val="000000"/>
              </w:rPr>
              <w:br/>
            </w:r>
            <w:r>
              <w:rPr>
                <w:rFonts w:ascii="Arial" w:hAnsi="Arial" w:cs="Arial"/>
                <w:color w:val="000000"/>
              </w:rPr>
              <w:br/>
              <w:t>Solution for I.V. infusion 1000 mg in 40 mL</w:t>
            </w:r>
            <w:r>
              <w:rPr>
                <w:rFonts w:ascii="Arial" w:hAnsi="Arial" w:cs="Arial"/>
                <w:color w:val="000000"/>
              </w:rPr>
              <w:br/>
            </w:r>
            <w:r>
              <w:rPr>
                <w:rFonts w:ascii="Arial" w:hAnsi="Arial" w:cs="Arial"/>
                <w:color w:val="000000"/>
              </w:rPr>
              <w:br/>
              <w:t>Gazyva®</w:t>
            </w:r>
            <w:r>
              <w:rPr>
                <w:rFonts w:ascii="Arial" w:hAnsi="Arial" w:cs="Arial"/>
                <w:color w:val="000000"/>
              </w:rPr>
              <w:br/>
            </w:r>
            <w:r>
              <w:rPr>
                <w:rFonts w:ascii="Arial" w:hAnsi="Arial" w:cs="Arial"/>
                <w:color w:val="000000"/>
              </w:rPr>
              <w:br/>
              <w:t>Roche Products Pty Ltd</w:t>
            </w:r>
          </w:p>
          <w:p w:rsidR="00E21691" w:rsidRDefault="00E21691" w:rsidP="00FA2262">
            <w:pPr>
              <w:rPr>
                <w:rFonts w:ascii="Arial" w:hAnsi="Arial" w:cs="Arial"/>
                <w:color w:val="000000"/>
              </w:rPr>
            </w:pPr>
          </w:p>
          <w:p w:rsidR="00E21691" w:rsidRDefault="00E21691" w:rsidP="00FA2262">
            <w:pPr>
              <w:rPr>
                <w:rFonts w:ascii="Arial" w:hAnsi="Arial" w:cs="Arial"/>
                <w:color w:val="000000"/>
              </w:rPr>
            </w:pPr>
            <w:r>
              <w:rPr>
                <w:rFonts w:ascii="Arial" w:hAnsi="Arial" w:cs="Arial"/>
                <w:color w:val="000000"/>
              </w:rPr>
              <w:t xml:space="preserve">Change to listing </w:t>
            </w:r>
          </w:p>
          <w:p w:rsidR="00E21691" w:rsidRDefault="00E21691" w:rsidP="00FA2262">
            <w:pPr>
              <w:rPr>
                <w:rFonts w:ascii="Arial" w:hAnsi="Arial" w:cs="Arial"/>
                <w:color w:val="000000"/>
                <w:sz w:val="24"/>
                <w:szCs w:val="24"/>
              </w:rPr>
            </w:pPr>
            <w:r>
              <w:rPr>
                <w:rFonts w:ascii="Arial" w:hAnsi="Arial" w:cs="Arial"/>
                <w:color w:val="000000"/>
              </w:rPr>
              <w:t>(Minor Submission)</w:t>
            </w:r>
          </w:p>
        </w:tc>
        <w:tc>
          <w:tcPr>
            <w:tcW w:w="2262" w:type="dxa"/>
            <w:tcMar>
              <w:top w:w="28" w:type="dxa"/>
              <w:bottom w:w="28" w:type="dxa"/>
            </w:tcMar>
          </w:tcPr>
          <w:p w:rsidR="00E21691" w:rsidRDefault="00E21691" w:rsidP="00FA2262">
            <w:pPr>
              <w:rPr>
                <w:rFonts w:ascii="Arial" w:hAnsi="Arial" w:cs="Arial"/>
                <w:color w:val="000000"/>
                <w:sz w:val="24"/>
                <w:szCs w:val="24"/>
              </w:rPr>
            </w:pPr>
            <w:r>
              <w:rPr>
                <w:rFonts w:ascii="Arial" w:hAnsi="Arial" w:cs="Arial"/>
                <w:color w:val="000000"/>
              </w:rPr>
              <w:t>CD20 positive follicular lymphoma</w:t>
            </w:r>
          </w:p>
        </w:tc>
        <w:tc>
          <w:tcPr>
            <w:tcW w:w="2987" w:type="dxa"/>
            <w:tcMar>
              <w:top w:w="28" w:type="dxa"/>
              <w:bottom w:w="28" w:type="dxa"/>
            </w:tcMar>
          </w:tcPr>
          <w:p w:rsidR="00E21691" w:rsidRDefault="00E21691" w:rsidP="00FA2262">
            <w:pPr>
              <w:rPr>
                <w:rFonts w:ascii="Arial" w:hAnsi="Arial" w:cs="Arial"/>
                <w:color w:val="000000"/>
                <w:sz w:val="24"/>
                <w:szCs w:val="24"/>
              </w:rPr>
            </w:pPr>
            <w:r>
              <w:rPr>
                <w:rFonts w:ascii="Arial" w:hAnsi="Arial" w:cs="Arial"/>
                <w:color w:val="000000"/>
              </w:rPr>
              <w:t>To request an Authority Required (STREAMLINED) listing for untreated patients with Stage II bulky or Stage III/IV CD20 positive follicular lymphoma or rituximab-refractory follicular lymphoma.</w:t>
            </w:r>
          </w:p>
        </w:tc>
        <w:tc>
          <w:tcPr>
            <w:tcW w:w="7192" w:type="dxa"/>
          </w:tcPr>
          <w:p w:rsidR="00E21691" w:rsidRDefault="00E21691" w:rsidP="00FA2262">
            <w:pPr>
              <w:jc w:val="both"/>
              <w:rPr>
                <w:rFonts w:ascii="Arial" w:hAnsi="Arial" w:cs="Arial"/>
                <w:color w:val="000000"/>
              </w:rPr>
            </w:pPr>
            <w:r>
              <w:rPr>
                <w:rFonts w:ascii="Arial" w:hAnsi="Arial" w:cs="Arial"/>
                <w:color w:val="000000"/>
              </w:rPr>
              <w:t>The PBAC recommended extending the PBS-listing of obinutuzumab to include the treatment of patients with previously untreated advanced follicular lymphoma (Stage II bulky or Stage III/IV) and rituximab-refractory follicular lymphoma. The PBAC recalled that at its March 2018 meeting it had deferred its decision on the submission to allow time for</w:t>
            </w:r>
            <w:r w:rsidRPr="00F926F5">
              <w:rPr>
                <w:rFonts w:ascii="Arial" w:hAnsi="Arial" w:cs="Arial"/>
                <w:color w:val="000000"/>
              </w:rPr>
              <w:t xml:space="preserve"> further work to establish a price for treatment with obinutuzumab that could be considered </w:t>
            </w:r>
            <w:r>
              <w:rPr>
                <w:rFonts w:ascii="Arial" w:hAnsi="Arial" w:cs="Arial"/>
                <w:color w:val="000000"/>
              </w:rPr>
              <w:t>appropriate</w:t>
            </w:r>
            <w:r w:rsidRPr="00F926F5">
              <w:rPr>
                <w:rFonts w:ascii="Arial" w:hAnsi="Arial" w:cs="Arial"/>
                <w:color w:val="000000"/>
              </w:rPr>
              <w:t xml:space="preserve"> in both these follicular lymphoma settings</w:t>
            </w:r>
            <w:r>
              <w:rPr>
                <w:rFonts w:ascii="Arial" w:hAnsi="Arial" w:cs="Arial"/>
                <w:color w:val="000000"/>
              </w:rPr>
              <w:t xml:space="preserve"> and noted that the sponsor had provided additional information: </w:t>
            </w:r>
          </w:p>
          <w:p w:rsidR="00E21691" w:rsidRPr="00A85BCF" w:rsidRDefault="00E21691" w:rsidP="00E21691">
            <w:pPr>
              <w:pStyle w:val="ListParagraph"/>
              <w:numPr>
                <w:ilvl w:val="0"/>
                <w:numId w:val="40"/>
              </w:numPr>
              <w:spacing w:after="120"/>
              <w:ind w:left="399" w:hanging="284"/>
              <w:jc w:val="both"/>
              <w:rPr>
                <w:rFonts w:ascii="Arial" w:hAnsi="Arial" w:cs="Arial"/>
                <w:color w:val="000000"/>
              </w:rPr>
            </w:pPr>
            <w:r w:rsidRPr="003C5EF6">
              <w:rPr>
                <w:rFonts w:ascii="Arial" w:hAnsi="Arial" w:cs="Arial"/>
                <w:color w:val="000000"/>
                <w:sz w:val="22"/>
                <w:szCs w:val="22"/>
              </w:rPr>
              <w:t>in both settings the financial estimates were updated and a reduced price was proposed;</w:t>
            </w:r>
          </w:p>
          <w:p w:rsidR="00E21691" w:rsidRPr="00F926F5" w:rsidRDefault="00E21691" w:rsidP="00E21691">
            <w:pPr>
              <w:pStyle w:val="ListParagraph"/>
              <w:numPr>
                <w:ilvl w:val="0"/>
                <w:numId w:val="40"/>
              </w:numPr>
              <w:spacing w:after="120"/>
              <w:ind w:left="399" w:hanging="284"/>
              <w:jc w:val="both"/>
              <w:rPr>
                <w:rFonts w:ascii="Arial" w:hAnsi="Arial" w:cs="Arial"/>
                <w:color w:val="000000"/>
              </w:rPr>
            </w:pPr>
            <w:r w:rsidRPr="003C5EF6">
              <w:rPr>
                <w:rFonts w:ascii="Arial" w:hAnsi="Arial" w:cs="Arial"/>
                <w:color w:val="000000"/>
                <w:sz w:val="22"/>
                <w:szCs w:val="22"/>
              </w:rPr>
              <w:t xml:space="preserve"> in the previously untreated setting the proportion of patients eligible for obinutuzumab maintenance was updated; and </w:t>
            </w:r>
          </w:p>
          <w:p w:rsidR="00E21691" w:rsidRPr="00F926F5" w:rsidRDefault="00E21691" w:rsidP="00E21691">
            <w:pPr>
              <w:pStyle w:val="ListParagraph"/>
              <w:numPr>
                <w:ilvl w:val="0"/>
                <w:numId w:val="40"/>
              </w:numPr>
              <w:spacing w:after="120"/>
              <w:ind w:left="399" w:hanging="284"/>
              <w:jc w:val="both"/>
              <w:rPr>
                <w:rFonts w:ascii="Arial" w:hAnsi="Arial" w:cs="Arial"/>
                <w:color w:val="000000"/>
              </w:rPr>
            </w:pPr>
            <w:r w:rsidRPr="003C5EF6">
              <w:rPr>
                <w:rFonts w:ascii="Arial" w:hAnsi="Arial" w:cs="Arial"/>
                <w:color w:val="000000"/>
                <w:sz w:val="22"/>
                <w:szCs w:val="22"/>
              </w:rPr>
              <w:t xml:space="preserve">in the rituximab-refractory setting the economic model was updated. </w:t>
            </w:r>
          </w:p>
          <w:p w:rsidR="00E21691" w:rsidRPr="003C5EF6" w:rsidRDefault="00E21691" w:rsidP="00FA2262">
            <w:pPr>
              <w:spacing w:after="120"/>
              <w:jc w:val="both"/>
              <w:rPr>
                <w:rFonts w:ascii="Arial" w:hAnsi="Arial" w:cs="Arial"/>
                <w:color w:val="000000"/>
              </w:rPr>
            </w:pPr>
            <w:r w:rsidRPr="003C5EF6">
              <w:rPr>
                <w:rFonts w:ascii="Arial" w:hAnsi="Arial" w:cs="Arial"/>
                <w:color w:val="000000"/>
              </w:rPr>
              <w:t>The PBAC considered that its previous concerns</w:t>
            </w:r>
            <w:r>
              <w:rPr>
                <w:rFonts w:ascii="Arial" w:hAnsi="Arial" w:cs="Arial"/>
                <w:color w:val="000000"/>
              </w:rPr>
              <w:t xml:space="preserve"> had been adequately addressed</w:t>
            </w:r>
            <w:r w:rsidRPr="003C5EF6">
              <w:rPr>
                <w:rFonts w:ascii="Arial" w:hAnsi="Arial" w:cs="Arial"/>
                <w:color w:val="000000"/>
              </w:rPr>
              <w:t>.</w:t>
            </w:r>
          </w:p>
          <w:p w:rsidR="00E21691" w:rsidRDefault="00E21691" w:rsidP="00FA2262">
            <w:pPr>
              <w:spacing w:after="120"/>
              <w:jc w:val="both"/>
              <w:rPr>
                <w:rFonts w:ascii="Arial" w:hAnsi="Arial" w:cs="Arial"/>
                <w:b/>
                <w:bCs/>
                <w:snapToGrid w:val="0"/>
              </w:rPr>
            </w:pPr>
            <w:r>
              <w:rPr>
                <w:rFonts w:ascii="Arial" w:hAnsi="Arial" w:cs="Arial"/>
                <w:color w:val="000000"/>
              </w:rPr>
              <w:t>As part of this consideration, the PBAC also recommended extending the PBS-listing of bendamustine to include the treatment of patients with rituximab-refractory follicular lymphoma in combination with obinutuzumab.</w:t>
            </w:r>
            <w:r>
              <w:t xml:space="preserve"> </w:t>
            </w:r>
          </w:p>
        </w:tc>
      </w:tr>
      <w:tr w:rsidR="00E21691" w:rsidRPr="003D7E12" w:rsidTr="000F72EA">
        <w:trPr>
          <w:tblHeader/>
        </w:trPr>
        <w:tc>
          <w:tcPr>
            <w:tcW w:w="3118" w:type="dxa"/>
            <w:tcMar>
              <w:top w:w="28" w:type="dxa"/>
              <w:bottom w:w="28" w:type="dxa"/>
            </w:tcMar>
          </w:tcPr>
          <w:p w:rsidR="00E21691" w:rsidRDefault="00E21691">
            <w:pPr>
              <w:rPr>
                <w:rFonts w:ascii="Arial" w:hAnsi="Arial" w:cs="Arial"/>
                <w:color w:val="000000"/>
              </w:rPr>
            </w:pPr>
            <w:r>
              <w:rPr>
                <w:rFonts w:ascii="Arial" w:hAnsi="Arial" w:cs="Arial"/>
                <w:color w:val="000000"/>
              </w:rPr>
              <w:lastRenderedPageBreak/>
              <w:t>PONATINIB</w:t>
            </w:r>
          </w:p>
          <w:p w:rsidR="00E21691" w:rsidRDefault="00E21691">
            <w:pPr>
              <w:rPr>
                <w:rFonts w:ascii="Arial" w:hAnsi="Arial" w:cs="Arial"/>
                <w:color w:val="000000"/>
              </w:rPr>
            </w:pPr>
          </w:p>
          <w:p w:rsidR="00E21691" w:rsidRPr="0044675E" w:rsidRDefault="00E21691">
            <w:pPr>
              <w:rPr>
                <w:rFonts w:ascii="Arial" w:hAnsi="Arial" w:cs="Arial"/>
                <w:color w:val="000000"/>
              </w:rPr>
            </w:pPr>
            <w:r w:rsidRPr="0044675E">
              <w:rPr>
                <w:rFonts w:ascii="Arial" w:hAnsi="Arial" w:cs="Arial"/>
                <w:color w:val="000000"/>
              </w:rPr>
              <w:t>Tablet 15 mg (as hydrochloride),</w:t>
            </w:r>
          </w:p>
          <w:p w:rsidR="00E21691" w:rsidRPr="0044675E" w:rsidRDefault="00E21691">
            <w:pPr>
              <w:rPr>
                <w:rFonts w:ascii="Arial" w:hAnsi="Arial" w:cs="Arial"/>
                <w:color w:val="000000"/>
              </w:rPr>
            </w:pPr>
            <w:r w:rsidRPr="0044675E">
              <w:rPr>
                <w:rFonts w:ascii="Arial" w:hAnsi="Arial" w:cs="Arial"/>
                <w:color w:val="000000"/>
              </w:rPr>
              <w:t>Tablet 45 mg (as hydrochloride),</w:t>
            </w:r>
          </w:p>
          <w:p w:rsidR="00E21691" w:rsidRDefault="00E21691">
            <w:pPr>
              <w:rPr>
                <w:rFonts w:ascii="Arial" w:hAnsi="Arial" w:cs="Arial"/>
                <w:color w:val="000000"/>
              </w:rPr>
            </w:pPr>
          </w:p>
          <w:p w:rsidR="00E21691" w:rsidRDefault="00E21691">
            <w:pPr>
              <w:rPr>
                <w:rFonts w:ascii="Arial" w:hAnsi="Arial" w:cs="Arial"/>
                <w:color w:val="000000"/>
              </w:rPr>
            </w:pPr>
            <w:r w:rsidRPr="0044675E">
              <w:rPr>
                <w:rFonts w:ascii="Arial" w:hAnsi="Arial" w:cs="Arial"/>
                <w:color w:val="000000"/>
              </w:rPr>
              <w:t>Iclusig®, Specialised Therapeutics Australia Pty Ltd.</w:t>
            </w:r>
          </w:p>
          <w:p w:rsidR="00E21691" w:rsidRDefault="00E21691">
            <w:pPr>
              <w:rPr>
                <w:rFonts w:ascii="Arial" w:hAnsi="Arial" w:cs="Arial"/>
                <w:color w:val="000000"/>
              </w:rPr>
            </w:pPr>
          </w:p>
          <w:p w:rsidR="00E21691" w:rsidRDefault="00E21691">
            <w:pPr>
              <w:rPr>
                <w:rFonts w:ascii="Arial" w:hAnsi="Arial" w:cs="Arial"/>
                <w:color w:val="000000"/>
              </w:rPr>
            </w:pPr>
            <w:r>
              <w:rPr>
                <w:rFonts w:ascii="Arial" w:hAnsi="Arial" w:cs="Arial"/>
                <w:color w:val="000000"/>
              </w:rPr>
              <w:t>Other Matter</w:t>
            </w:r>
          </w:p>
          <w:p w:rsidR="00E21691" w:rsidRDefault="00E21691">
            <w:pPr>
              <w:rPr>
                <w:rFonts w:ascii="Arial" w:hAnsi="Arial" w:cs="Arial"/>
                <w:color w:val="000000"/>
              </w:rPr>
            </w:pPr>
            <w:r>
              <w:rPr>
                <w:rFonts w:ascii="Arial" w:hAnsi="Arial" w:cs="Arial"/>
                <w:color w:val="000000"/>
              </w:rPr>
              <w:t>(No sponsor submission)</w:t>
            </w:r>
          </w:p>
          <w:p w:rsidR="00E21691" w:rsidRPr="00D03C40" w:rsidRDefault="00E21691">
            <w:pPr>
              <w:rPr>
                <w:rFonts w:ascii="Arial" w:hAnsi="Arial" w:cs="Arial"/>
                <w:color w:val="000000"/>
              </w:rPr>
            </w:pPr>
          </w:p>
        </w:tc>
        <w:tc>
          <w:tcPr>
            <w:tcW w:w="2262" w:type="dxa"/>
            <w:tcMar>
              <w:top w:w="28" w:type="dxa"/>
              <w:bottom w:w="28" w:type="dxa"/>
            </w:tcMar>
          </w:tcPr>
          <w:p w:rsidR="00E21691" w:rsidRPr="00D03C40" w:rsidRDefault="00E21691">
            <w:pPr>
              <w:rPr>
                <w:rFonts w:ascii="Arial" w:hAnsi="Arial" w:cs="Arial"/>
                <w:color w:val="000000"/>
              </w:rPr>
            </w:pPr>
            <w:r w:rsidRPr="00260B80">
              <w:rPr>
                <w:rFonts w:ascii="Arial" w:hAnsi="Arial" w:cs="Arial"/>
                <w:color w:val="000000"/>
              </w:rPr>
              <w:t>Acute lymphoblastic leukaemia</w:t>
            </w:r>
          </w:p>
        </w:tc>
        <w:tc>
          <w:tcPr>
            <w:tcW w:w="2987" w:type="dxa"/>
            <w:tcMar>
              <w:top w:w="28" w:type="dxa"/>
              <w:bottom w:w="28" w:type="dxa"/>
            </w:tcMar>
          </w:tcPr>
          <w:p w:rsidR="00E21691" w:rsidRDefault="00E21691">
            <w:pPr>
              <w:widowControl w:val="0"/>
              <w:rPr>
                <w:rFonts w:ascii="Arial" w:hAnsi="Arial" w:cs="Arial"/>
                <w:bCs/>
                <w:snapToGrid w:val="0"/>
              </w:rPr>
            </w:pPr>
            <w:r>
              <w:rPr>
                <w:rFonts w:ascii="Arial" w:hAnsi="Arial" w:cs="Arial"/>
                <w:bCs/>
                <w:snapToGrid w:val="0"/>
              </w:rPr>
              <w:t xml:space="preserve">To consider </w:t>
            </w:r>
            <w:r w:rsidRPr="00A95137">
              <w:rPr>
                <w:rFonts w:ascii="Arial" w:hAnsi="Arial" w:cs="Arial"/>
                <w:bCs/>
                <w:snapToGrid w:val="0"/>
              </w:rPr>
              <w:t>advice from the Haematology Society of Australia and New Zealand (HSANZ)</w:t>
            </w:r>
            <w:r>
              <w:rPr>
                <w:rFonts w:ascii="Arial" w:hAnsi="Arial" w:cs="Arial"/>
                <w:bCs/>
                <w:snapToGrid w:val="0"/>
              </w:rPr>
              <w:t xml:space="preserve"> in relation to the PBAC’s recommendation at its November 2017 meeting to extend the listing of ponatinib to </w:t>
            </w:r>
            <w:r w:rsidRPr="0060127D">
              <w:rPr>
                <w:rFonts w:ascii="Arial" w:hAnsi="Arial" w:cs="Arial"/>
                <w:bCs/>
                <w:snapToGrid w:val="0"/>
              </w:rPr>
              <w:t>for relapsed/refractory Ph+ALL to include all patients, regardless of T315I mutation status, who have failed or are intolerant to dasatinib</w:t>
            </w:r>
            <w:r>
              <w:rPr>
                <w:rFonts w:ascii="Arial" w:hAnsi="Arial" w:cs="Arial"/>
                <w:bCs/>
                <w:snapToGrid w:val="0"/>
              </w:rPr>
              <w:t>.</w:t>
            </w:r>
          </w:p>
          <w:p w:rsidR="00E21691" w:rsidRPr="005A715B" w:rsidRDefault="00E21691">
            <w:pPr>
              <w:widowControl w:val="0"/>
              <w:rPr>
                <w:rFonts w:ascii="Arial" w:hAnsi="Arial" w:cs="Arial"/>
                <w:bCs/>
                <w:snapToGrid w:val="0"/>
              </w:rPr>
            </w:pPr>
          </w:p>
        </w:tc>
        <w:tc>
          <w:tcPr>
            <w:tcW w:w="7192" w:type="dxa"/>
          </w:tcPr>
          <w:p w:rsidR="00E21691" w:rsidRPr="002E1129" w:rsidRDefault="00E21691">
            <w:pPr>
              <w:widowControl w:val="0"/>
              <w:jc w:val="both"/>
              <w:rPr>
                <w:rFonts w:ascii="Arial" w:hAnsi="Arial" w:cs="Arial"/>
                <w:bCs/>
                <w:snapToGrid w:val="0"/>
              </w:rPr>
            </w:pPr>
            <w:r w:rsidRPr="002E1129">
              <w:rPr>
                <w:rFonts w:ascii="Arial" w:hAnsi="Arial" w:cs="Arial"/>
                <w:bCs/>
                <w:snapToGrid w:val="0"/>
              </w:rPr>
              <w:t xml:space="preserve">The PBAC reiterated its view from the November 2017 meeting that there is a clinical need for treatments of </w:t>
            </w:r>
            <w:r w:rsidRPr="009E261B">
              <w:rPr>
                <w:rFonts w:ascii="Arial" w:hAnsi="Arial" w:cs="Arial"/>
                <w:bCs/>
                <w:snapToGrid w:val="0"/>
              </w:rPr>
              <w:t xml:space="preserve">Philadelphia chromosome positive acute lymphoblastic leukaemia </w:t>
            </w:r>
            <w:r>
              <w:rPr>
                <w:rFonts w:ascii="Arial" w:hAnsi="Arial" w:cs="Arial"/>
                <w:bCs/>
                <w:snapToGrid w:val="0"/>
              </w:rPr>
              <w:t>(</w:t>
            </w:r>
            <w:r w:rsidRPr="002E1129">
              <w:rPr>
                <w:rFonts w:ascii="Arial" w:hAnsi="Arial" w:cs="Arial"/>
                <w:bCs/>
                <w:snapToGrid w:val="0"/>
              </w:rPr>
              <w:t>Ph+ ALL</w:t>
            </w:r>
            <w:r>
              <w:rPr>
                <w:rFonts w:ascii="Arial" w:hAnsi="Arial" w:cs="Arial"/>
                <w:bCs/>
                <w:snapToGrid w:val="0"/>
              </w:rPr>
              <w:t>)</w:t>
            </w:r>
            <w:r w:rsidRPr="002E1129">
              <w:rPr>
                <w:rFonts w:ascii="Arial" w:hAnsi="Arial" w:cs="Arial"/>
                <w:bCs/>
                <w:snapToGrid w:val="0"/>
              </w:rPr>
              <w:t xml:space="preserve"> without the T315I mutation. The PBAC considered that ponatinib can be used as a second or third line therapy in the treatment of Ph+ ALL</w:t>
            </w:r>
            <w:r>
              <w:rPr>
                <w:rFonts w:ascii="Arial" w:hAnsi="Arial" w:cs="Arial"/>
                <w:bCs/>
                <w:snapToGrid w:val="0"/>
              </w:rPr>
              <w:t xml:space="preserve"> and recommended the listing of ponatinib be extended to include this indication.</w:t>
            </w:r>
          </w:p>
          <w:p w:rsidR="00E21691" w:rsidRPr="002E1129" w:rsidRDefault="00E21691">
            <w:pPr>
              <w:widowControl w:val="0"/>
              <w:jc w:val="both"/>
              <w:rPr>
                <w:rFonts w:ascii="Arial" w:hAnsi="Arial" w:cs="Arial"/>
                <w:bCs/>
                <w:snapToGrid w:val="0"/>
              </w:rPr>
            </w:pPr>
          </w:p>
          <w:p w:rsidR="00E21691" w:rsidRPr="00B24F96" w:rsidRDefault="00E21691">
            <w:pPr>
              <w:widowControl w:val="0"/>
              <w:jc w:val="both"/>
              <w:rPr>
                <w:rFonts w:ascii="Arial" w:hAnsi="Arial" w:cs="Arial"/>
                <w:bCs/>
                <w:snapToGrid w:val="0"/>
              </w:rPr>
            </w:pPr>
            <w:r w:rsidRPr="002E1129">
              <w:rPr>
                <w:rFonts w:ascii="Arial" w:hAnsi="Arial" w:cs="Arial"/>
                <w:bCs/>
                <w:snapToGrid w:val="0"/>
              </w:rPr>
              <w:t xml:space="preserve">The PBAC thanked HSANZ for their helpful summary of guidelines and suggested general changes that would better align restrictions for currently listed </w:t>
            </w:r>
            <w:r>
              <w:rPr>
                <w:rFonts w:ascii="Arial" w:hAnsi="Arial" w:cs="Arial"/>
                <w:bCs/>
                <w:snapToGrid w:val="0"/>
              </w:rPr>
              <w:t>tyrosine kinase inhibitors (</w:t>
            </w:r>
            <w:r w:rsidRPr="002E1129">
              <w:rPr>
                <w:rFonts w:ascii="Arial" w:hAnsi="Arial" w:cs="Arial"/>
                <w:bCs/>
                <w:snapToGrid w:val="0"/>
              </w:rPr>
              <w:t>TKIs</w:t>
            </w:r>
            <w:r>
              <w:rPr>
                <w:rFonts w:ascii="Arial" w:hAnsi="Arial" w:cs="Arial"/>
                <w:bCs/>
                <w:snapToGrid w:val="0"/>
              </w:rPr>
              <w:t>)</w:t>
            </w:r>
            <w:r w:rsidRPr="002E1129">
              <w:rPr>
                <w:rFonts w:ascii="Arial" w:hAnsi="Arial" w:cs="Arial"/>
                <w:bCs/>
                <w:snapToGrid w:val="0"/>
              </w:rPr>
              <w:t xml:space="preserve"> for this condition with </w:t>
            </w:r>
            <w:r>
              <w:rPr>
                <w:rFonts w:ascii="Arial" w:hAnsi="Arial" w:cs="Arial"/>
                <w:bCs/>
                <w:snapToGrid w:val="0"/>
              </w:rPr>
              <w:t xml:space="preserve">those </w:t>
            </w:r>
            <w:r w:rsidRPr="002E1129">
              <w:rPr>
                <w:rFonts w:ascii="Arial" w:hAnsi="Arial" w:cs="Arial"/>
                <w:bCs/>
                <w:snapToGrid w:val="0"/>
              </w:rPr>
              <w:t>guidelines.</w:t>
            </w:r>
            <w:r>
              <w:rPr>
                <w:rFonts w:ascii="Arial" w:hAnsi="Arial" w:cs="Arial"/>
                <w:bCs/>
                <w:snapToGrid w:val="0"/>
              </w:rPr>
              <w:t xml:space="preserve"> In regard to the request</w:t>
            </w:r>
            <w:r w:rsidRPr="0098008E">
              <w:rPr>
                <w:rFonts w:ascii="Arial" w:hAnsi="Arial" w:cs="Arial"/>
                <w:bCs/>
                <w:snapToGrid w:val="0"/>
              </w:rPr>
              <w:t xml:space="preserve"> </w:t>
            </w:r>
            <w:r>
              <w:rPr>
                <w:rFonts w:ascii="Arial" w:hAnsi="Arial" w:cs="Arial"/>
                <w:bCs/>
                <w:snapToGrid w:val="0"/>
              </w:rPr>
              <w:t xml:space="preserve">for </w:t>
            </w:r>
            <w:r w:rsidRPr="00B91819">
              <w:rPr>
                <w:rFonts w:ascii="Arial" w:hAnsi="Arial" w:cs="Arial"/>
                <w:bCs/>
                <w:snapToGrid w:val="0"/>
              </w:rPr>
              <w:t xml:space="preserve">the restriction of imatinib in combination with intensive chemotherapy </w:t>
            </w:r>
            <w:r>
              <w:rPr>
                <w:rFonts w:ascii="Arial" w:hAnsi="Arial" w:cs="Arial"/>
                <w:bCs/>
                <w:snapToGrid w:val="0"/>
              </w:rPr>
              <w:t xml:space="preserve">to </w:t>
            </w:r>
            <w:r w:rsidRPr="00B91819">
              <w:rPr>
                <w:rFonts w:ascii="Arial" w:hAnsi="Arial" w:cs="Arial"/>
                <w:bCs/>
                <w:snapToGrid w:val="0"/>
              </w:rPr>
              <w:t xml:space="preserve">be broadened to </w:t>
            </w:r>
            <w:r>
              <w:rPr>
                <w:rFonts w:ascii="Arial" w:hAnsi="Arial" w:cs="Arial"/>
                <w:bCs/>
                <w:snapToGrid w:val="0"/>
              </w:rPr>
              <w:t xml:space="preserve">include </w:t>
            </w:r>
            <w:r w:rsidRPr="00B91819">
              <w:rPr>
                <w:rFonts w:ascii="Arial" w:hAnsi="Arial" w:cs="Arial"/>
                <w:bCs/>
                <w:snapToGrid w:val="0"/>
              </w:rPr>
              <w:t>chemotherapy or corticosteroid therapy</w:t>
            </w:r>
            <w:r>
              <w:rPr>
                <w:rFonts w:ascii="Arial" w:hAnsi="Arial" w:cs="Arial"/>
                <w:bCs/>
                <w:snapToGrid w:val="0"/>
              </w:rPr>
              <w:t>,</w:t>
            </w:r>
            <w:r w:rsidRPr="00B91819">
              <w:rPr>
                <w:rFonts w:ascii="Arial" w:hAnsi="Arial" w:cs="Arial"/>
                <w:bCs/>
                <w:snapToGrid w:val="0"/>
              </w:rPr>
              <w:t xml:space="preserve"> </w:t>
            </w:r>
            <w:r>
              <w:rPr>
                <w:rFonts w:ascii="Arial" w:hAnsi="Arial" w:cs="Arial"/>
                <w:bCs/>
                <w:snapToGrid w:val="0"/>
              </w:rPr>
              <w:t xml:space="preserve">the </w:t>
            </w:r>
            <w:r w:rsidRPr="0098008E">
              <w:rPr>
                <w:rFonts w:ascii="Arial" w:hAnsi="Arial" w:cs="Arial"/>
                <w:bCs/>
                <w:snapToGrid w:val="0"/>
              </w:rPr>
              <w:t xml:space="preserve">PBAC agreed to the requested change of an inclusion of corticosteroid therapy in the current restriction wording for imatinib for the Ph+ ALL indication. </w:t>
            </w:r>
            <w:r>
              <w:rPr>
                <w:rFonts w:ascii="Arial" w:hAnsi="Arial" w:cs="Arial"/>
                <w:bCs/>
                <w:snapToGrid w:val="0"/>
              </w:rPr>
              <w:t xml:space="preserve">In regard to the request to </w:t>
            </w:r>
            <w:r w:rsidRPr="006F1EFB">
              <w:rPr>
                <w:rFonts w:ascii="Arial" w:hAnsi="Arial" w:cs="Arial"/>
                <w:bCs/>
                <w:snapToGrid w:val="0"/>
              </w:rPr>
              <w:t>allow use of a second generation TKI in the first line setting for Ph+ ALL, the PBAC considered that the evidence did support the use of dasatinib in combination with chemotherapy as an alternative to the use of imatinib plus chemotherapy</w:t>
            </w:r>
            <w:r>
              <w:rPr>
                <w:rFonts w:ascii="Arial" w:hAnsi="Arial" w:cs="Arial"/>
                <w:bCs/>
                <w:snapToGrid w:val="0"/>
              </w:rPr>
              <w:t>, but considered that i</w:t>
            </w:r>
            <w:r w:rsidRPr="006F1EFB">
              <w:rPr>
                <w:rFonts w:ascii="Arial" w:hAnsi="Arial" w:cs="Arial"/>
                <w:bCs/>
                <w:snapToGrid w:val="0"/>
              </w:rPr>
              <w:t>n this setting</w:t>
            </w:r>
            <w:r>
              <w:rPr>
                <w:rFonts w:ascii="Arial" w:hAnsi="Arial" w:cs="Arial"/>
                <w:bCs/>
                <w:snapToGrid w:val="0"/>
              </w:rPr>
              <w:t xml:space="preserve"> </w:t>
            </w:r>
            <w:r w:rsidRPr="006F1EFB">
              <w:rPr>
                <w:rFonts w:ascii="Arial" w:hAnsi="Arial" w:cs="Arial"/>
                <w:bCs/>
                <w:snapToGrid w:val="0"/>
              </w:rPr>
              <w:t>a price reduction for dasatinib would be required for it to be cost effective.</w:t>
            </w:r>
            <w:r>
              <w:rPr>
                <w:rFonts w:ascii="Arial" w:hAnsi="Arial" w:cs="Arial"/>
                <w:bCs/>
                <w:snapToGrid w:val="0"/>
              </w:rPr>
              <w:t xml:space="preserve"> </w:t>
            </w:r>
            <w:r w:rsidRPr="002A342C">
              <w:rPr>
                <w:rFonts w:ascii="Arial" w:hAnsi="Arial" w:cs="Arial"/>
                <w:bCs/>
                <w:snapToGrid w:val="0"/>
              </w:rPr>
              <w:t xml:space="preserve">The PBAC </w:t>
            </w:r>
            <w:r>
              <w:rPr>
                <w:rFonts w:ascii="Arial" w:hAnsi="Arial" w:cs="Arial"/>
                <w:bCs/>
                <w:snapToGrid w:val="0"/>
              </w:rPr>
              <w:t>asked that</w:t>
            </w:r>
            <w:r w:rsidRPr="002A342C">
              <w:rPr>
                <w:rFonts w:ascii="Arial" w:hAnsi="Arial" w:cs="Arial"/>
                <w:bCs/>
                <w:snapToGrid w:val="0"/>
              </w:rPr>
              <w:t xml:space="preserve"> the sponsor of dasatinib </w:t>
            </w:r>
            <w:r>
              <w:rPr>
                <w:rFonts w:ascii="Arial" w:hAnsi="Arial" w:cs="Arial"/>
                <w:bCs/>
                <w:snapToGrid w:val="0"/>
              </w:rPr>
              <w:t>be</w:t>
            </w:r>
            <w:r w:rsidRPr="002A342C">
              <w:rPr>
                <w:rFonts w:ascii="Arial" w:hAnsi="Arial" w:cs="Arial"/>
                <w:bCs/>
                <w:snapToGrid w:val="0"/>
              </w:rPr>
              <w:t xml:space="preserve"> invite</w:t>
            </w:r>
            <w:r>
              <w:rPr>
                <w:rFonts w:ascii="Arial" w:hAnsi="Arial" w:cs="Arial"/>
                <w:bCs/>
                <w:snapToGrid w:val="0"/>
              </w:rPr>
              <w:t>d to make</w:t>
            </w:r>
            <w:r w:rsidRPr="002A342C">
              <w:rPr>
                <w:rFonts w:ascii="Arial" w:hAnsi="Arial" w:cs="Arial"/>
                <w:bCs/>
                <w:snapToGrid w:val="0"/>
              </w:rPr>
              <w:t xml:space="preserve"> a submission with a proposal on dosing and price for first line therapy in Ph+ ALL, in combination with chemotherapy or corticosteroid therapy.</w:t>
            </w:r>
          </w:p>
        </w:tc>
      </w:tr>
    </w:tbl>
    <w:p w:rsidR="003D7E12" w:rsidRPr="009147E0" w:rsidRDefault="003D7E12">
      <w:pPr>
        <w:tabs>
          <w:tab w:val="left" w:pos="5210"/>
        </w:tabs>
        <w:rPr>
          <w:rFonts w:ascii="Arial" w:hAnsi="Arial" w:cs="Arial"/>
          <w:lang w:val="en-US"/>
        </w:rPr>
      </w:pPr>
    </w:p>
    <w:sectPr w:rsidR="003D7E12" w:rsidRPr="009147E0" w:rsidSect="00812D71">
      <w:headerReference w:type="default" r:id="rId9"/>
      <w:footerReference w:type="even" r:id="rId10"/>
      <w:footerReference w:type="default" r:id="rId11"/>
      <w:pgSz w:w="16838" w:h="11906" w:orient="landscape" w:code="9"/>
      <w:pgMar w:top="720" w:right="720" w:bottom="720" w:left="72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5EF0" w:rsidRDefault="00E75EF0">
      <w:r>
        <w:separator/>
      </w:r>
    </w:p>
  </w:endnote>
  <w:endnote w:type="continuationSeparator" w:id="0">
    <w:p w:rsidR="00E75EF0" w:rsidRDefault="00E75E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1AE1" w:rsidRDefault="00C21AE1" w:rsidP="00FE2A8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21AE1" w:rsidRDefault="00C21AE1" w:rsidP="00FE2A8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1AE1" w:rsidRPr="00CE0CBC" w:rsidRDefault="00C21AE1" w:rsidP="00FE2A81">
    <w:pPr>
      <w:pStyle w:val="Footer"/>
      <w:framePr w:wrap="around" w:vAnchor="text" w:hAnchor="margin" w:xAlign="right" w:y="1"/>
      <w:rPr>
        <w:rStyle w:val="PageNumber"/>
        <w:rFonts w:ascii="Arial" w:hAnsi="Arial" w:cs="Arial"/>
      </w:rPr>
    </w:pPr>
    <w:r w:rsidRPr="00CE0CBC">
      <w:rPr>
        <w:rStyle w:val="PageNumber"/>
        <w:rFonts w:ascii="Arial" w:hAnsi="Arial" w:cs="Arial"/>
      </w:rPr>
      <w:fldChar w:fldCharType="begin"/>
    </w:r>
    <w:r w:rsidRPr="00CE0CBC">
      <w:rPr>
        <w:rStyle w:val="PageNumber"/>
        <w:rFonts w:ascii="Arial" w:hAnsi="Arial" w:cs="Arial"/>
      </w:rPr>
      <w:instrText xml:space="preserve">PAGE  </w:instrText>
    </w:r>
    <w:r w:rsidRPr="00CE0CBC">
      <w:rPr>
        <w:rStyle w:val="PageNumber"/>
        <w:rFonts w:ascii="Arial" w:hAnsi="Arial" w:cs="Arial"/>
      </w:rPr>
      <w:fldChar w:fldCharType="separate"/>
    </w:r>
    <w:r w:rsidR="00515459">
      <w:rPr>
        <w:rStyle w:val="PageNumber"/>
        <w:rFonts w:ascii="Arial" w:hAnsi="Arial" w:cs="Arial"/>
        <w:noProof/>
      </w:rPr>
      <w:t>1</w:t>
    </w:r>
    <w:r w:rsidRPr="00CE0CBC">
      <w:rPr>
        <w:rStyle w:val="PageNumber"/>
        <w:rFonts w:ascii="Arial" w:hAnsi="Arial" w:cs="Arial"/>
      </w:rPr>
      <w:fldChar w:fldCharType="end"/>
    </w:r>
  </w:p>
  <w:p w:rsidR="00C21AE1" w:rsidRDefault="00C21AE1" w:rsidP="00FE2A81">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5EF0" w:rsidRDefault="00E75EF0">
      <w:r>
        <w:separator/>
      </w:r>
    </w:p>
  </w:footnote>
  <w:footnote w:type="continuationSeparator" w:id="0">
    <w:p w:rsidR="00E75EF0" w:rsidRDefault="00E75E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1AE1" w:rsidRDefault="00352BA4" w:rsidP="007D408D">
    <w:pPr>
      <w:pStyle w:val="Header"/>
      <w:jc w:val="center"/>
      <w:rPr>
        <w:rFonts w:ascii="Arial" w:hAnsi="Arial" w:cs="Arial"/>
        <w:b/>
        <w:snapToGrid w:val="0"/>
        <w:lang w:eastAsia="en-US"/>
      </w:rPr>
    </w:pPr>
    <w:r>
      <w:rPr>
        <w:rFonts w:ascii="Arial" w:hAnsi="Arial" w:cs="Arial"/>
        <w:b/>
        <w:snapToGrid w:val="0"/>
        <w:lang w:eastAsia="en-US"/>
      </w:rPr>
      <w:t>APRIL</w:t>
    </w:r>
    <w:r w:rsidR="006101D8">
      <w:rPr>
        <w:rFonts w:ascii="Arial" w:hAnsi="Arial" w:cs="Arial"/>
        <w:b/>
        <w:snapToGrid w:val="0"/>
        <w:lang w:eastAsia="en-US"/>
      </w:rPr>
      <w:t xml:space="preserve"> </w:t>
    </w:r>
    <w:r w:rsidR="00A25C02">
      <w:rPr>
        <w:rFonts w:ascii="Arial" w:hAnsi="Arial" w:cs="Arial"/>
        <w:b/>
        <w:snapToGrid w:val="0"/>
        <w:lang w:eastAsia="en-US"/>
      </w:rPr>
      <w:t>201</w:t>
    </w:r>
    <w:r>
      <w:rPr>
        <w:rFonts w:ascii="Arial" w:hAnsi="Arial" w:cs="Arial"/>
        <w:b/>
        <w:snapToGrid w:val="0"/>
        <w:lang w:eastAsia="en-US"/>
      </w:rPr>
      <w:t>8</w:t>
    </w:r>
    <w:r w:rsidR="00C21AE1">
      <w:rPr>
        <w:rFonts w:ascii="Arial" w:hAnsi="Arial" w:cs="Arial"/>
        <w:b/>
        <w:snapToGrid w:val="0"/>
        <w:lang w:eastAsia="en-US"/>
      </w:rPr>
      <w:t xml:space="preserve"> PBAC MEETING </w:t>
    </w:r>
    <w:r w:rsidR="00FE54F6">
      <w:rPr>
        <w:rFonts w:ascii="Arial" w:hAnsi="Arial" w:cs="Arial"/>
        <w:b/>
        <w:snapToGrid w:val="0"/>
        <w:lang w:eastAsia="en-US"/>
      </w:rPr>
      <w:t>– POSITIVE RECOMMENDATIONS</w:t>
    </w:r>
  </w:p>
  <w:p w:rsidR="00C21AE1" w:rsidRDefault="00C21AE1" w:rsidP="007D408D">
    <w:pPr>
      <w:pStyle w:val="Header"/>
      <w:jc w:val="center"/>
      <w:rPr>
        <w:rFonts w:ascii="Arial" w:hAnsi="Arial" w:cs="Arial"/>
        <w:b/>
        <w:snapToGrid w:val="0"/>
        <w:lang w:eastAsia="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30DD2"/>
    <w:multiLevelType w:val="hybridMultilevel"/>
    <w:tmpl w:val="CD6E6D48"/>
    <w:lvl w:ilvl="0" w:tplc="B55ADCF4">
      <w:start w:val="43"/>
      <w:numFmt w:val="bullet"/>
      <w:lvlText w:val="-"/>
      <w:lvlJc w:val="left"/>
      <w:pPr>
        <w:ind w:left="949" w:hanging="360"/>
      </w:pPr>
      <w:rPr>
        <w:rFonts w:ascii="Arial" w:eastAsia="Times New Roman" w:hAnsi="Arial" w:cs="Arial" w:hint="default"/>
      </w:rPr>
    </w:lvl>
    <w:lvl w:ilvl="1" w:tplc="0C090003" w:tentative="1">
      <w:start w:val="1"/>
      <w:numFmt w:val="bullet"/>
      <w:lvlText w:val="o"/>
      <w:lvlJc w:val="left"/>
      <w:pPr>
        <w:ind w:left="1669" w:hanging="360"/>
      </w:pPr>
      <w:rPr>
        <w:rFonts w:ascii="Courier New" w:hAnsi="Courier New" w:cs="Courier New" w:hint="default"/>
      </w:rPr>
    </w:lvl>
    <w:lvl w:ilvl="2" w:tplc="0C090005" w:tentative="1">
      <w:start w:val="1"/>
      <w:numFmt w:val="bullet"/>
      <w:lvlText w:val=""/>
      <w:lvlJc w:val="left"/>
      <w:pPr>
        <w:ind w:left="2389" w:hanging="360"/>
      </w:pPr>
      <w:rPr>
        <w:rFonts w:ascii="Wingdings" w:hAnsi="Wingdings" w:hint="default"/>
      </w:rPr>
    </w:lvl>
    <w:lvl w:ilvl="3" w:tplc="0C090001" w:tentative="1">
      <w:start w:val="1"/>
      <w:numFmt w:val="bullet"/>
      <w:lvlText w:val=""/>
      <w:lvlJc w:val="left"/>
      <w:pPr>
        <w:ind w:left="3109" w:hanging="360"/>
      </w:pPr>
      <w:rPr>
        <w:rFonts w:ascii="Symbol" w:hAnsi="Symbol" w:hint="default"/>
      </w:rPr>
    </w:lvl>
    <w:lvl w:ilvl="4" w:tplc="0C090003" w:tentative="1">
      <w:start w:val="1"/>
      <w:numFmt w:val="bullet"/>
      <w:lvlText w:val="o"/>
      <w:lvlJc w:val="left"/>
      <w:pPr>
        <w:ind w:left="3829" w:hanging="360"/>
      </w:pPr>
      <w:rPr>
        <w:rFonts w:ascii="Courier New" w:hAnsi="Courier New" w:cs="Courier New" w:hint="default"/>
      </w:rPr>
    </w:lvl>
    <w:lvl w:ilvl="5" w:tplc="0C090005" w:tentative="1">
      <w:start w:val="1"/>
      <w:numFmt w:val="bullet"/>
      <w:lvlText w:val=""/>
      <w:lvlJc w:val="left"/>
      <w:pPr>
        <w:ind w:left="4549" w:hanging="360"/>
      </w:pPr>
      <w:rPr>
        <w:rFonts w:ascii="Wingdings" w:hAnsi="Wingdings" w:hint="default"/>
      </w:rPr>
    </w:lvl>
    <w:lvl w:ilvl="6" w:tplc="0C090001" w:tentative="1">
      <w:start w:val="1"/>
      <w:numFmt w:val="bullet"/>
      <w:lvlText w:val=""/>
      <w:lvlJc w:val="left"/>
      <w:pPr>
        <w:ind w:left="5269" w:hanging="360"/>
      </w:pPr>
      <w:rPr>
        <w:rFonts w:ascii="Symbol" w:hAnsi="Symbol" w:hint="default"/>
      </w:rPr>
    </w:lvl>
    <w:lvl w:ilvl="7" w:tplc="0C090003" w:tentative="1">
      <w:start w:val="1"/>
      <w:numFmt w:val="bullet"/>
      <w:lvlText w:val="o"/>
      <w:lvlJc w:val="left"/>
      <w:pPr>
        <w:ind w:left="5989" w:hanging="360"/>
      </w:pPr>
      <w:rPr>
        <w:rFonts w:ascii="Courier New" w:hAnsi="Courier New" w:cs="Courier New" w:hint="default"/>
      </w:rPr>
    </w:lvl>
    <w:lvl w:ilvl="8" w:tplc="0C090005" w:tentative="1">
      <w:start w:val="1"/>
      <w:numFmt w:val="bullet"/>
      <w:lvlText w:val=""/>
      <w:lvlJc w:val="left"/>
      <w:pPr>
        <w:ind w:left="6709" w:hanging="360"/>
      </w:pPr>
      <w:rPr>
        <w:rFonts w:ascii="Wingdings" w:hAnsi="Wingdings" w:hint="default"/>
      </w:rPr>
    </w:lvl>
  </w:abstractNum>
  <w:abstractNum w:abstractNumId="1">
    <w:nsid w:val="04DB6EC1"/>
    <w:multiLevelType w:val="hybridMultilevel"/>
    <w:tmpl w:val="4762CBFE"/>
    <w:lvl w:ilvl="0" w:tplc="04090001">
      <w:start w:val="1"/>
      <w:numFmt w:val="bullet"/>
      <w:lvlText w:val=""/>
      <w:lvlJc w:val="left"/>
      <w:pPr>
        <w:ind w:left="647" w:hanging="360"/>
      </w:pPr>
      <w:rPr>
        <w:rFonts w:ascii="Symbol" w:hAnsi="Symbol" w:hint="default"/>
      </w:rPr>
    </w:lvl>
    <w:lvl w:ilvl="1" w:tplc="78746994">
      <w:start w:val="3"/>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A178B9"/>
    <w:multiLevelType w:val="hybridMultilevel"/>
    <w:tmpl w:val="5CF0F4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785221F"/>
    <w:multiLevelType w:val="hybridMultilevel"/>
    <w:tmpl w:val="8C4852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0893311C"/>
    <w:multiLevelType w:val="hybridMultilevel"/>
    <w:tmpl w:val="FB4054EE"/>
    <w:lvl w:ilvl="0" w:tplc="B3426A64">
      <w:numFmt w:val="bullet"/>
      <w:lvlText w:val="•"/>
      <w:lvlJc w:val="left"/>
      <w:pPr>
        <w:ind w:left="930" w:hanging="57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0A8545F8"/>
    <w:multiLevelType w:val="hybridMultilevel"/>
    <w:tmpl w:val="1B74940A"/>
    <w:lvl w:ilvl="0" w:tplc="0C090001">
      <w:start w:val="1"/>
      <w:numFmt w:val="bullet"/>
      <w:lvlText w:val=""/>
      <w:lvlJc w:val="left"/>
      <w:pPr>
        <w:ind w:left="835" w:hanging="360"/>
      </w:pPr>
      <w:rPr>
        <w:rFonts w:ascii="Symbol" w:hAnsi="Symbol" w:hint="default"/>
      </w:rPr>
    </w:lvl>
    <w:lvl w:ilvl="1" w:tplc="0C090003" w:tentative="1">
      <w:start w:val="1"/>
      <w:numFmt w:val="bullet"/>
      <w:lvlText w:val="o"/>
      <w:lvlJc w:val="left"/>
      <w:pPr>
        <w:ind w:left="1555" w:hanging="360"/>
      </w:pPr>
      <w:rPr>
        <w:rFonts w:ascii="Courier New" w:hAnsi="Courier New" w:cs="Courier New" w:hint="default"/>
      </w:rPr>
    </w:lvl>
    <w:lvl w:ilvl="2" w:tplc="0C090005" w:tentative="1">
      <w:start w:val="1"/>
      <w:numFmt w:val="bullet"/>
      <w:lvlText w:val=""/>
      <w:lvlJc w:val="left"/>
      <w:pPr>
        <w:ind w:left="2275" w:hanging="360"/>
      </w:pPr>
      <w:rPr>
        <w:rFonts w:ascii="Wingdings" w:hAnsi="Wingdings" w:hint="default"/>
      </w:rPr>
    </w:lvl>
    <w:lvl w:ilvl="3" w:tplc="0C090001" w:tentative="1">
      <w:start w:val="1"/>
      <w:numFmt w:val="bullet"/>
      <w:lvlText w:val=""/>
      <w:lvlJc w:val="left"/>
      <w:pPr>
        <w:ind w:left="2995" w:hanging="360"/>
      </w:pPr>
      <w:rPr>
        <w:rFonts w:ascii="Symbol" w:hAnsi="Symbol" w:hint="default"/>
      </w:rPr>
    </w:lvl>
    <w:lvl w:ilvl="4" w:tplc="0C090003" w:tentative="1">
      <w:start w:val="1"/>
      <w:numFmt w:val="bullet"/>
      <w:lvlText w:val="o"/>
      <w:lvlJc w:val="left"/>
      <w:pPr>
        <w:ind w:left="3715" w:hanging="360"/>
      </w:pPr>
      <w:rPr>
        <w:rFonts w:ascii="Courier New" w:hAnsi="Courier New" w:cs="Courier New" w:hint="default"/>
      </w:rPr>
    </w:lvl>
    <w:lvl w:ilvl="5" w:tplc="0C090005" w:tentative="1">
      <w:start w:val="1"/>
      <w:numFmt w:val="bullet"/>
      <w:lvlText w:val=""/>
      <w:lvlJc w:val="left"/>
      <w:pPr>
        <w:ind w:left="4435" w:hanging="360"/>
      </w:pPr>
      <w:rPr>
        <w:rFonts w:ascii="Wingdings" w:hAnsi="Wingdings" w:hint="default"/>
      </w:rPr>
    </w:lvl>
    <w:lvl w:ilvl="6" w:tplc="0C090001" w:tentative="1">
      <w:start w:val="1"/>
      <w:numFmt w:val="bullet"/>
      <w:lvlText w:val=""/>
      <w:lvlJc w:val="left"/>
      <w:pPr>
        <w:ind w:left="5155" w:hanging="360"/>
      </w:pPr>
      <w:rPr>
        <w:rFonts w:ascii="Symbol" w:hAnsi="Symbol" w:hint="default"/>
      </w:rPr>
    </w:lvl>
    <w:lvl w:ilvl="7" w:tplc="0C090003" w:tentative="1">
      <w:start w:val="1"/>
      <w:numFmt w:val="bullet"/>
      <w:lvlText w:val="o"/>
      <w:lvlJc w:val="left"/>
      <w:pPr>
        <w:ind w:left="5875" w:hanging="360"/>
      </w:pPr>
      <w:rPr>
        <w:rFonts w:ascii="Courier New" w:hAnsi="Courier New" w:cs="Courier New" w:hint="default"/>
      </w:rPr>
    </w:lvl>
    <w:lvl w:ilvl="8" w:tplc="0C090005" w:tentative="1">
      <w:start w:val="1"/>
      <w:numFmt w:val="bullet"/>
      <w:lvlText w:val=""/>
      <w:lvlJc w:val="left"/>
      <w:pPr>
        <w:ind w:left="6595" w:hanging="360"/>
      </w:pPr>
      <w:rPr>
        <w:rFonts w:ascii="Wingdings" w:hAnsi="Wingdings" w:hint="default"/>
      </w:rPr>
    </w:lvl>
  </w:abstractNum>
  <w:abstractNum w:abstractNumId="6">
    <w:nsid w:val="0C485E5F"/>
    <w:multiLevelType w:val="hybridMultilevel"/>
    <w:tmpl w:val="690EBFA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nsid w:val="13F002E5"/>
    <w:multiLevelType w:val="hybridMultilevel"/>
    <w:tmpl w:val="8F9CE5CA"/>
    <w:lvl w:ilvl="0" w:tplc="3C04F0CA">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43D2DC2"/>
    <w:multiLevelType w:val="hybridMultilevel"/>
    <w:tmpl w:val="72189C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16B424D5"/>
    <w:multiLevelType w:val="multilevel"/>
    <w:tmpl w:val="3FFAD756"/>
    <w:lvl w:ilvl="0">
      <w:start w:val="1"/>
      <w:numFmt w:val="decimal"/>
      <w:lvlText w:val="%1"/>
      <w:lvlJc w:val="left"/>
      <w:pPr>
        <w:ind w:left="720" w:hanging="720"/>
      </w:pPr>
      <w:rPr>
        <w:rFonts w:hint="default"/>
      </w:rPr>
    </w:lvl>
    <w:lvl w:ilvl="1">
      <w:start w:val="1"/>
      <w:numFmt w:val="decimal"/>
      <w:isLgl/>
      <w:lvlText w:val="%1.%2"/>
      <w:lvlJc w:val="left"/>
      <w:pPr>
        <w:ind w:left="360" w:hanging="360"/>
      </w:pPr>
      <w:rPr>
        <w:rFonts w:hint="default"/>
        <w:b w:val="0"/>
        <w:sz w:val="24"/>
        <w:szCs w:val="24"/>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0">
    <w:nsid w:val="19A20D14"/>
    <w:multiLevelType w:val="hybridMultilevel"/>
    <w:tmpl w:val="EDD819C6"/>
    <w:lvl w:ilvl="0" w:tplc="78746994">
      <w:start w:val="3"/>
      <w:numFmt w:val="bullet"/>
      <w:lvlText w:val="-"/>
      <w:lvlJc w:val="left"/>
      <w:pPr>
        <w:ind w:left="717" w:hanging="360"/>
      </w:pPr>
      <w:rPr>
        <w:rFonts w:ascii="Arial" w:eastAsia="Times New Roman" w:hAnsi="Arial" w:cs="Arial" w:hint="default"/>
      </w:rPr>
    </w:lvl>
    <w:lvl w:ilvl="1" w:tplc="0C090003" w:tentative="1">
      <w:start w:val="1"/>
      <w:numFmt w:val="bullet"/>
      <w:lvlText w:val="o"/>
      <w:lvlJc w:val="left"/>
      <w:pPr>
        <w:ind w:left="1437" w:hanging="360"/>
      </w:pPr>
      <w:rPr>
        <w:rFonts w:ascii="Courier New" w:hAnsi="Courier New" w:cs="Courier New" w:hint="default"/>
      </w:rPr>
    </w:lvl>
    <w:lvl w:ilvl="2" w:tplc="0C090005" w:tentative="1">
      <w:start w:val="1"/>
      <w:numFmt w:val="bullet"/>
      <w:lvlText w:val=""/>
      <w:lvlJc w:val="left"/>
      <w:pPr>
        <w:ind w:left="2157" w:hanging="360"/>
      </w:pPr>
      <w:rPr>
        <w:rFonts w:ascii="Wingdings" w:hAnsi="Wingdings" w:hint="default"/>
      </w:rPr>
    </w:lvl>
    <w:lvl w:ilvl="3" w:tplc="0C090001" w:tentative="1">
      <w:start w:val="1"/>
      <w:numFmt w:val="bullet"/>
      <w:lvlText w:val=""/>
      <w:lvlJc w:val="left"/>
      <w:pPr>
        <w:ind w:left="2877" w:hanging="360"/>
      </w:pPr>
      <w:rPr>
        <w:rFonts w:ascii="Symbol" w:hAnsi="Symbol" w:hint="default"/>
      </w:rPr>
    </w:lvl>
    <w:lvl w:ilvl="4" w:tplc="0C090003" w:tentative="1">
      <w:start w:val="1"/>
      <w:numFmt w:val="bullet"/>
      <w:lvlText w:val="o"/>
      <w:lvlJc w:val="left"/>
      <w:pPr>
        <w:ind w:left="3597" w:hanging="360"/>
      </w:pPr>
      <w:rPr>
        <w:rFonts w:ascii="Courier New" w:hAnsi="Courier New" w:cs="Courier New" w:hint="default"/>
      </w:rPr>
    </w:lvl>
    <w:lvl w:ilvl="5" w:tplc="0C090005" w:tentative="1">
      <w:start w:val="1"/>
      <w:numFmt w:val="bullet"/>
      <w:lvlText w:val=""/>
      <w:lvlJc w:val="left"/>
      <w:pPr>
        <w:ind w:left="4317" w:hanging="360"/>
      </w:pPr>
      <w:rPr>
        <w:rFonts w:ascii="Wingdings" w:hAnsi="Wingdings" w:hint="default"/>
      </w:rPr>
    </w:lvl>
    <w:lvl w:ilvl="6" w:tplc="0C090001" w:tentative="1">
      <w:start w:val="1"/>
      <w:numFmt w:val="bullet"/>
      <w:lvlText w:val=""/>
      <w:lvlJc w:val="left"/>
      <w:pPr>
        <w:ind w:left="5037" w:hanging="360"/>
      </w:pPr>
      <w:rPr>
        <w:rFonts w:ascii="Symbol" w:hAnsi="Symbol" w:hint="default"/>
      </w:rPr>
    </w:lvl>
    <w:lvl w:ilvl="7" w:tplc="0C090003" w:tentative="1">
      <w:start w:val="1"/>
      <w:numFmt w:val="bullet"/>
      <w:lvlText w:val="o"/>
      <w:lvlJc w:val="left"/>
      <w:pPr>
        <w:ind w:left="5757" w:hanging="360"/>
      </w:pPr>
      <w:rPr>
        <w:rFonts w:ascii="Courier New" w:hAnsi="Courier New" w:cs="Courier New" w:hint="default"/>
      </w:rPr>
    </w:lvl>
    <w:lvl w:ilvl="8" w:tplc="0C090005" w:tentative="1">
      <w:start w:val="1"/>
      <w:numFmt w:val="bullet"/>
      <w:lvlText w:val=""/>
      <w:lvlJc w:val="left"/>
      <w:pPr>
        <w:ind w:left="6477" w:hanging="360"/>
      </w:pPr>
      <w:rPr>
        <w:rFonts w:ascii="Wingdings" w:hAnsi="Wingdings" w:hint="default"/>
      </w:rPr>
    </w:lvl>
  </w:abstractNum>
  <w:abstractNum w:abstractNumId="11">
    <w:nsid w:val="1EC649B4"/>
    <w:multiLevelType w:val="hybridMultilevel"/>
    <w:tmpl w:val="807234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23314AFE"/>
    <w:multiLevelType w:val="hybridMultilevel"/>
    <w:tmpl w:val="703634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23A05B88"/>
    <w:multiLevelType w:val="hybridMultilevel"/>
    <w:tmpl w:val="5DB66292"/>
    <w:lvl w:ilvl="0" w:tplc="78746994">
      <w:start w:val="3"/>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284E6825"/>
    <w:multiLevelType w:val="multilevel"/>
    <w:tmpl w:val="9C8AE392"/>
    <w:lvl w:ilvl="0">
      <w:start w:val="1"/>
      <w:numFmt w:val="decimal"/>
      <w:lvlText w:val="%1"/>
      <w:lvlJc w:val="left"/>
      <w:pPr>
        <w:ind w:left="432" w:hanging="432"/>
      </w:pPr>
      <w:rPr>
        <w:rFonts w:hint="default"/>
        <w:b/>
        <w:i w:val="0"/>
      </w:rPr>
    </w:lvl>
    <w:lvl w:ilvl="1">
      <w:start w:val="1"/>
      <w:numFmt w:val="decimal"/>
      <w:lvlText w:val="%1.%2"/>
      <w:lvlJc w:val="left"/>
      <w:pPr>
        <w:ind w:left="576" w:hanging="576"/>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nsid w:val="2CD64047"/>
    <w:multiLevelType w:val="hybridMultilevel"/>
    <w:tmpl w:val="2C8AF3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2EEF3822"/>
    <w:multiLevelType w:val="multilevel"/>
    <w:tmpl w:val="5FE8AA6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ind w:left="2520" w:hanging="720"/>
      </w:pPr>
      <w:rPr>
        <w:rFonts w:hint="default"/>
      </w:rPr>
    </w:lvl>
    <w:lvl w:ilvl="3">
      <w:start w:val="1"/>
      <w:numFmt w:val="upperLetter"/>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0D17818"/>
    <w:multiLevelType w:val="hybridMultilevel"/>
    <w:tmpl w:val="10EA526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33B57719"/>
    <w:multiLevelType w:val="hybridMultilevel"/>
    <w:tmpl w:val="DD24270C"/>
    <w:lvl w:ilvl="0" w:tplc="0C090011">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9">
    <w:nsid w:val="35A83421"/>
    <w:multiLevelType w:val="hybridMultilevel"/>
    <w:tmpl w:val="D3E0CEEA"/>
    <w:lvl w:ilvl="0" w:tplc="84067C2A">
      <w:numFmt w:val="bullet"/>
      <w:lvlText w:val="-"/>
      <w:lvlJc w:val="left"/>
      <w:pPr>
        <w:ind w:left="420" w:hanging="360"/>
      </w:pPr>
      <w:rPr>
        <w:rFonts w:ascii="Arial" w:eastAsia="Times New Roman" w:hAnsi="Arial" w:cs="Arial" w:hint="default"/>
      </w:rPr>
    </w:lvl>
    <w:lvl w:ilvl="1" w:tplc="0C090003" w:tentative="1">
      <w:start w:val="1"/>
      <w:numFmt w:val="bullet"/>
      <w:lvlText w:val="o"/>
      <w:lvlJc w:val="left"/>
      <w:pPr>
        <w:ind w:left="1140" w:hanging="360"/>
      </w:pPr>
      <w:rPr>
        <w:rFonts w:ascii="Courier New" w:hAnsi="Courier New" w:cs="Courier New" w:hint="default"/>
      </w:rPr>
    </w:lvl>
    <w:lvl w:ilvl="2" w:tplc="0C090005" w:tentative="1">
      <w:start w:val="1"/>
      <w:numFmt w:val="bullet"/>
      <w:lvlText w:val=""/>
      <w:lvlJc w:val="left"/>
      <w:pPr>
        <w:ind w:left="1860" w:hanging="360"/>
      </w:pPr>
      <w:rPr>
        <w:rFonts w:ascii="Wingdings" w:hAnsi="Wingdings" w:hint="default"/>
      </w:rPr>
    </w:lvl>
    <w:lvl w:ilvl="3" w:tplc="0C090001" w:tentative="1">
      <w:start w:val="1"/>
      <w:numFmt w:val="bullet"/>
      <w:lvlText w:val=""/>
      <w:lvlJc w:val="left"/>
      <w:pPr>
        <w:ind w:left="2580" w:hanging="360"/>
      </w:pPr>
      <w:rPr>
        <w:rFonts w:ascii="Symbol" w:hAnsi="Symbol" w:hint="default"/>
      </w:rPr>
    </w:lvl>
    <w:lvl w:ilvl="4" w:tplc="0C090003" w:tentative="1">
      <w:start w:val="1"/>
      <w:numFmt w:val="bullet"/>
      <w:lvlText w:val="o"/>
      <w:lvlJc w:val="left"/>
      <w:pPr>
        <w:ind w:left="3300" w:hanging="360"/>
      </w:pPr>
      <w:rPr>
        <w:rFonts w:ascii="Courier New" w:hAnsi="Courier New" w:cs="Courier New" w:hint="default"/>
      </w:rPr>
    </w:lvl>
    <w:lvl w:ilvl="5" w:tplc="0C090005" w:tentative="1">
      <w:start w:val="1"/>
      <w:numFmt w:val="bullet"/>
      <w:lvlText w:val=""/>
      <w:lvlJc w:val="left"/>
      <w:pPr>
        <w:ind w:left="4020" w:hanging="360"/>
      </w:pPr>
      <w:rPr>
        <w:rFonts w:ascii="Wingdings" w:hAnsi="Wingdings" w:hint="default"/>
      </w:rPr>
    </w:lvl>
    <w:lvl w:ilvl="6" w:tplc="0C090001" w:tentative="1">
      <w:start w:val="1"/>
      <w:numFmt w:val="bullet"/>
      <w:lvlText w:val=""/>
      <w:lvlJc w:val="left"/>
      <w:pPr>
        <w:ind w:left="4740" w:hanging="360"/>
      </w:pPr>
      <w:rPr>
        <w:rFonts w:ascii="Symbol" w:hAnsi="Symbol" w:hint="default"/>
      </w:rPr>
    </w:lvl>
    <w:lvl w:ilvl="7" w:tplc="0C090003" w:tentative="1">
      <w:start w:val="1"/>
      <w:numFmt w:val="bullet"/>
      <w:lvlText w:val="o"/>
      <w:lvlJc w:val="left"/>
      <w:pPr>
        <w:ind w:left="5460" w:hanging="360"/>
      </w:pPr>
      <w:rPr>
        <w:rFonts w:ascii="Courier New" w:hAnsi="Courier New" w:cs="Courier New" w:hint="default"/>
      </w:rPr>
    </w:lvl>
    <w:lvl w:ilvl="8" w:tplc="0C090005" w:tentative="1">
      <w:start w:val="1"/>
      <w:numFmt w:val="bullet"/>
      <w:lvlText w:val=""/>
      <w:lvlJc w:val="left"/>
      <w:pPr>
        <w:ind w:left="6180" w:hanging="360"/>
      </w:pPr>
      <w:rPr>
        <w:rFonts w:ascii="Wingdings" w:hAnsi="Wingdings" w:hint="default"/>
      </w:rPr>
    </w:lvl>
  </w:abstractNum>
  <w:abstractNum w:abstractNumId="20">
    <w:nsid w:val="3B236EFB"/>
    <w:multiLevelType w:val="hybridMultilevel"/>
    <w:tmpl w:val="EECE161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nsid w:val="3CF41B35"/>
    <w:multiLevelType w:val="hybridMultilevel"/>
    <w:tmpl w:val="12AA59E4"/>
    <w:lvl w:ilvl="0" w:tplc="78746994">
      <w:start w:val="3"/>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422D761A"/>
    <w:multiLevelType w:val="hybridMultilevel"/>
    <w:tmpl w:val="3A3693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4DDA6F81"/>
    <w:multiLevelType w:val="hybridMultilevel"/>
    <w:tmpl w:val="09D6CAA2"/>
    <w:lvl w:ilvl="0" w:tplc="24DEAFD8">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4">
    <w:nsid w:val="4DFA2E47"/>
    <w:multiLevelType w:val="hybridMultilevel"/>
    <w:tmpl w:val="89502D7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nsid w:val="4F4A7F2A"/>
    <w:multiLevelType w:val="multilevel"/>
    <w:tmpl w:val="A16C22EA"/>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nsid w:val="539F4048"/>
    <w:multiLevelType w:val="hybridMultilevel"/>
    <w:tmpl w:val="7162543A"/>
    <w:lvl w:ilvl="0" w:tplc="0C090001">
      <w:start w:val="1"/>
      <w:numFmt w:val="bullet"/>
      <w:lvlText w:val=""/>
      <w:lvlJc w:val="left"/>
      <w:pPr>
        <w:ind w:left="731" w:hanging="360"/>
      </w:pPr>
      <w:rPr>
        <w:rFonts w:ascii="Symbol" w:hAnsi="Symbol" w:hint="default"/>
      </w:rPr>
    </w:lvl>
    <w:lvl w:ilvl="1" w:tplc="0C090003" w:tentative="1">
      <w:start w:val="1"/>
      <w:numFmt w:val="bullet"/>
      <w:lvlText w:val="o"/>
      <w:lvlJc w:val="left"/>
      <w:pPr>
        <w:ind w:left="1451" w:hanging="360"/>
      </w:pPr>
      <w:rPr>
        <w:rFonts w:ascii="Courier New" w:hAnsi="Courier New" w:cs="Courier New" w:hint="default"/>
      </w:rPr>
    </w:lvl>
    <w:lvl w:ilvl="2" w:tplc="0C090005" w:tentative="1">
      <w:start w:val="1"/>
      <w:numFmt w:val="bullet"/>
      <w:lvlText w:val=""/>
      <w:lvlJc w:val="left"/>
      <w:pPr>
        <w:ind w:left="2171" w:hanging="360"/>
      </w:pPr>
      <w:rPr>
        <w:rFonts w:ascii="Wingdings" w:hAnsi="Wingdings" w:hint="default"/>
      </w:rPr>
    </w:lvl>
    <w:lvl w:ilvl="3" w:tplc="0C090001" w:tentative="1">
      <w:start w:val="1"/>
      <w:numFmt w:val="bullet"/>
      <w:lvlText w:val=""/>
      <w:lvlJc w:val="left"/>
      <w:pPr>
        <w:ind w:left="2891" w:hanging="360"/>
      </w:pPr>
      <w:rPr>
        <w:rFonts w:ascii="Symbol" w:hAnsi="Symbol" w:hint="default"/>
      </w:rPr>
    </w:lvl>
    <w:lvl w:ilvl="4" w:tplc="0C090003" w:tentative="1">
      <w:start w:val="1"/>
      <w:numFmt w:val="bullet"/>
      <w:lvlText w:val="o"/>
      <w:lvlJc w:val="left"/>
      <w:pPr>
        <w:ind w:left="3611" w:hanging="360"/>
      </w:pPr>
      <w:rPr>
        <w:rFonts w:ascii="Courier New" w:hAnsi="Courier New" w:cs="Courier New" w:hint="default"/>
      </w:rPr>
    </w:lvl>
    <w:lvl w:ilvl="5" w:tplc="0C090005" w:tentative="1">
      <w:start w:val="1"/>
      <w:numFmt w:val="bullet"/>
      <w:lvlText w:val=""/>
      <w:lvlJc w:val="left"/>
      <w:pPr>
        <w:ind w:left="4331" w:hanging="360"/>
      </w:pPr>
      <w:rPr>
        <w:rFonts w:ascii="Wingdings" w:hAnsi="Wingdings" w:hint="default"/>
      </w:rPr>
    </w:lvl>
    <w:lvl w:ilvl="6" w:tplc="0C090001" w:tentative="1">
      <w:start w:val="1"/>
      <w:numFmt w:val="bullet"/>
      <w:lvlText w:val=""/>
      <w:lvlJc w:val="left"/>
      <w:pPr>
        <w:ind w:left="5051" w:hanging="360"/>
      </w:pPr>
      <w:rPr>
        <w:rFonts w:ascii="Symbol" w:hAnsi="Symbol" w:hint="default"/>
      </w:rPr>
    </w:lvl>
    <w:lvl w:ilvl="7" w:tplc="0C090003" w:tentative="1">
      <w:start w:val="1"/>
      <w:numFmt w:val="bullet"/>
      <w:lvlText w:val="o"/>
      <w:lvlJc w:val="left"/>
      <w:pPr>
        <w:ind w:left="5771" w:hanging="360"/>
      </w:pPr>
      <w:rPr>
        <w:rFonts w:ascii="Courier New" w:hAnsi="Courier New" w:cs="Courier New" w:hint="default"/>
      </w:rPr>
    </w:lvl>
    <w:lvl w:ilvl="8" w:tplc="0C090005" w:tentative="1">
      <w:start w:val="1"/>
      <w:numFmt w:val="bullet"/>
      <w:lvlText w:val=""/>
      <w:lvlJc w:val="left"/>
      <w:pPr>
        <w:ind w:left="6491" w:hanging="360"/>
      </w:pPr>
      <w:rPr>
        <w:rFonts w:ascii="Wingdings" w:hAnsi="Wingdings" w:hint="default"/>
      </w:rPr>
    </w:lvl>
  </w:abstractNum>
  <w:abstractNum w:abstractNumId="27">
    <w:nsid w:val="55E50A7A"/>
    <w:multiLevelType w:val="hybridMultilevel"/>
    <w:tmpl w:val="2F2E3E5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nsid w:val="58E632BB"/>
    <w:multiLevelType w:val="hybridMultilevel"/>
    <w:tmpl w:val="EB1296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59BC5196"/>
    <w:multiLevelType w:val="multilevel"/>
    <w:tmpl w:val="BC14E302"/>
    <w:lvl w:ilvl="0">
      <w:start w:val="6"/>
      <w:numFmt w:val="decimal"/>
      <w:lvlText w:val="%1"/>
      <w:lvlJc w:val="left"/>
      <w:pPr>
        <w:ind w:left="360" w:hanging="360"/>
      </w:pPr>
      <w:rPr>
        <w:rFonts w:hint="default"/>
        <w:i w:val="0"/>
      </w:rPr>
    </w:lvl>
    <w:lvl w:ilvl="1">
      <w:start w:val="1"/>
      <w:numFmt w:val="decimal"/>
      <w:lvlText w:val="%1.%2"/>
      <w:lvlJc w:val="left"/>
      <w:pPr>
        <w:ind w:left="502" w:hanging="36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nsid w:val="5B2F6CCF"/>
    <w:multiLevelType w:val="hybridMultilevel"/>
    <w:tmpl w:val="2D4AC6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5C4E57E2"/>
    <w:multiLevelType w:val="hybridMultilevel"/>
    <w:tmpl w:val="A6F0E1A2"/>
    <w:lvl w:ilvl="0" w:tplc="78746994">
      <w:start w:val="3"/>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nsid w:val="624667BF"/>
    <w:multiLevelType w:val="multilevel"/>
    <w:tmpl w:val="1A325E7C"/>
    <w:lvl w:ilvl="0">
      <w:start w:val="1"/>
      <w:numFmt w:val="decimal"/>
      <w:lvlText w:val="%1"/>
      <w:lvlJc w:val="left"/>
      <w:pPr>
        <w:ind w:left="720" w:hanging="720"/>
      </w:pPr>
      <w:rPr>
        <w:rFonts w:hint="default"/>
      </w:rPr>
    </w:lvl>
    <w:lvl w:ilvl="1">
      <w:start w:val="1"/>
      <w:numFmt w:val="decimal"/>
      <w:isLgl/>
      <w:lvlText w:val="%1.%2"/>
      <w:lvlJc w:val="left"/>
      <w:pPr>
        <w:ind w:left="360" w:hanging="360"/>
      </w:pPr>
      <w:rPr>
        <w:rFonts w:ascii="Arial" w:hAnsi="Arial" w:hint="default"/>
        <w:b w:val="0"/>
        <w:sz w:val="22"/>
        <w:szCs w:val="22"/>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3">
    <w:nsid w:val="624D6414"/>
    <w:multiLevelType w:val="hybridMultilevel"/>
    <w:tmpl w:val="29E6B5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nsid w:val="660D58DA"/>
    <w:multiLevelType w:val="hybridMultilevel"/>
    <w:tmpl w:val="B64E3FDA"/>
    <w:lvl w:ilvl="0" w:tplc="172C78AA">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5">
    <w:nsid w:val="664B21C0"/>
    <w:multiLevelType w:val="multilevel"/>
    <w:tmpl w:val="0BF414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66767F61"/>
    <w:multiLevelType w:val="hybridMultilevel"/>
    <w:tmpl w:val="79FEAB8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68F82EFA"/>
    <w:multiLevelType w:val="hybridMultilevel"/>
    <w:tmpl w:val="C0228ED6"/>
    <w:lvl w:ilvl="0" w:tplc="0C090001">
      <w:start w:val="1"/>
      <w:numFmt w:val="bullet"/>
      <w:lvlText w:val=""/>
      <w:lvlJc w:val="left"/>
      <w:pPr>
        <w:ind w:left="1473" w:hanging="360"/>
      </w:pPr>
      <w:rPr>
        <w:rFonts w:ascii="Symbol" w:hAnsi="Symbol" w:hint="default"/>
      </w:rPr>
    </w:lvl>
    <w:lvl w:ilvl="1" w:tplc="0C090003" w:tentative="1">
      <w:start w:val="1"/>
      <w:numFmt w:val="bullet"/>
      <w:lvlText w:val="o"/>
      <w:lvlJc w:val="left"/>
      <w:pPr>
        <w:ind w:left="2193" w:hanging="360"/>
      </w:pPr>
      <w:rPr>
        <w:rFonts w:ascii="Courier New" w:hAnsi="Courier New" w:cs="Courier New" w:hint="default"/>
      </w:rPr>
    </w:lvl>
    <w:lvl w:ilvl="2" w:tplc="0C090005" w:tentative="1">
      <w:start w:val="1"/>
      <w:numFmt w:val="bullet"/>
      <w:lvlText w:val=""/>
      <w:lvlJc w:val="left"/>
      <w:pPr>
        <w:ind w:left="2913" w:hanging="360"/>
      </w:pPr>
      <w:rPr>
        <w:rFonts w:ascii="Wingdings" w:hAnsi="Wingdings" w:hint="default"/>
      </w:rPr>
    </w:lvl>
    <w:lvl w:ilvl="3" w:tplc="0C090001" w:tentative="1">
      <w:start w:val="1"/>
      <w:numFmt w:val="bullet"/>
      <w:lvlText w:val=""/>
      <w:lvlJc w:val="left"/>
      <w:pPr>
        <w:ind w:left="3633" w:hanging="360"/>
      </w:pPr>
      <w:rPr>
        <w:rFonts w:ascii="Symbol" w:hAnsi="Symbol" w:hint="default"/>
      </w:rPr>
    </w:lvl>
    <w:lvl w:ilvl="4" w:tplc="0C090003" w:tentative="1">
      <w:start w:val="1"/>
      <w:numFmt w:val="bullet"/>
      <w:lvlText w:val="o"/>
      <w:lvlJc w:val="left"/>
      <w:pPr>
        <w:ind w:left="4353" w:hanging="360"/>
      </w:pPr>
      <w:rPr>
        <w:rFonts w:ascii="Courier New" w:hAnsi="Courier New" w:cs="Courier New" w:hint="default"/>
      </w:rPr>
    </w:lvl>
    <w:lvl w:ilvl="5" w:tplc="0C090005" w:tentative="1">
      <w:start w:val="1"/>
      <w:numFmt w:val="bullet"/>
      <w:lvlText w:val=""/>
      <w:lvlJc w:val="left"/>
      <w:pPr>
        <w:ind w:left="5073" w:hanging="360"/>
      </w:pPr>
      <w:rPr>
        <w:rFonts w:ascii="Wingdings" w:hAnsi="Wingdings" w:hint="default"/>
      </w:rPr>
    </w:lvl>
    <w:lvl w:ilvl="6" w:tplc="0C090001" w:tentative="1">
      <w:start w:val="1"/>
      <w:numFmt w:val="bullet"/>
      <w:lvlText w:val=""/>
      <w:lvlJc w:val="left"/>
      <w:pPr>
        <w:ind w:left="5793" w:hanging="360"/>
      </w:pPr>
      <w:rPr>
        <w:rFonts w:ascii="Symbol" w:hAnsi="Symbol" w:hint="default"/>
      </w:rPr>
    </w:lvl>
    <w:lvl w:ilvl="7" w:tplc="0C090003" w:tentative="1">
      <w:start w:val="1"/>
      <w:numFmt w:val="bullet"/>
      <w:lvlText w:val="o"/>
      <w:lvlJc w:val="left"/>
      <w:pPr>
        <w:ind w:left="6513" w:hanging="360"/>
      </w:pPr>
      <w:rPr>
        <w:rFonts w:ascii="Courier New" w:hAnsi="Courier New" w:cs="Courier New" w:hint="default"/>
      </w:rPr>
    </w:lvl>
    <w:lvl w:ilvl="8" w:tplc="0C090005" w:tentative="1">
      <w:start w:val="1"/>
      <w:numFmt w:val="bullet"/>
      <w:lvlText w:val=""/>
      <w:lvlJc w:val="left"/>
      <w:pPr>
        <w:ind w:left="7233" w:hanging="360"/>
      </w:pPr>
      <w:rPr>
        <w:rFonts w:ascii="Wingdings" w:hAnsi="Wingdings" w:hint="default"/>
      </w:rPr>
    </w:lvl>
  </w:abstractNum>
  <w:abstractNum w:abstractNumId="38">
    <w:nsid w:val="710225F6"/>
    <w:multiLevelType w:val="hybridMultilevel"/>
    <w:tmpl w:val="26A282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nsid w:val="784D033C"/>
    <w:multiLevelType w:val="multilevel"/>
    <w:tmpl w:val="91BEBE84"/>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6"/>
  </w:num>
  <w:num w:numId="2">
    <w:abstractNumId w:val="35"/>
  </w:num>
  <w:num w:numId="3">
    <w:abstractNumId w:val="34"/>
  </w:num>
  <w:num w:numId="4">
    <w:abstractNumId w:val="23"/>
  </w:num>
  <w:num w:numId="5">
    <w:abstractNumId w:val="18"/>
  </w:num>
  <w:num w:numId="6">
    <w:abstractNumId w:val="7"/>
  </w:num>
  <w:num w:numId="7">
    <w:abstractNumId w:val="36"/>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9"/>
  </w:num>
  <w:num w:numId="11">
    <w:abstractNumId w:val="39"/>
  </w:num>
  <w:num w:numId="12">
    <w:abstractNumId w:val="38"/>
  </w:num>
  <w:num w:numId="13">
    <w:abstractNumId w:val="8"/>
  </w:num>
  <w:num w:numId="14">
    <w:abstractNumId w:val="28"/>
  </w:num>
  <w:num w:numId="15">
    <w:abstractNumId w:val="11"/>
  </w:num>
  <w:num w:numId="16">
    <w:abstractNumId w:val="30"/>
  </w:num>
  <w:num w:numId="17">
    <w:abstractNumId w:val="2"/>
  </w:num>
  <w:num w:numId="18">
    <w:abstractNumId w:val="3"/>
  </w:num>
  <w:num w:numId="19">
    <w:abstractNumId w:val="12"/>
  </w:num>
  <w:num w:numId="20">
    <w:abstractNumId w:val="33"/>
  </w:num>
  <w:num w:numId="21">
    <w:abstractNumId w:val="27"/>
  </w:num>
  <w:num w:numId="22">
    <w:abstractNumId w:val="32"/>
  </w:num>
  <w:num w:numId="23">
    <w:abstractNumId w:val="1"/>
  </w:num>
  <w:num w:numId="24">
    <w:abstractNumId w:val="6"/>
  </w:num>
  <w:num w:numId="25">
    <w:abstractNumId w:val="29"/>
  </w:num>
  <w:num w:numId="26">
    <w:abstractNumId w:val="37"/>
  </w:num>
  <w:num w:numId="27">
    <w:abstractNumId w:val="15"/>
  </w:num>
  <w:num w:numId="28">
    <w:abstractNumId w:val="4"/>
  </w:num>
  <w:num w:numId="29">
    <w:abstractNumId w:val="10"/>
  </w:num>
  <w:num w:numId="30">
    <w:abstractNumId w:val="13"/>
  </w:num>
  <w:num w:numId="31">
    <w:abstractNumId w:val="22"/>
  </w:num>
  <w:num w:numId="32">
    <w:abstractNumId w:val="21"/>
  </w:num>
  <w:num w:numId="33">
    <w:abstractNumId w:val="31"/>
  </w:num>
  <w:num w:numId="34">
    <w:abstractNumId w:val="25"/>
  </w:num>
  <w:num w:numId="35">
    <w:abstractNumId w:val="17"/>
  </w:num>
  <w:num w:numId="36">
    <w:abstractNumId w:val="14"/>
  </w:num>
  <w:num w:numId="37">
    <w:abstractNumId w:val="26"/>
  </w:num>
  <w:num w:numId="38">
    <w:abstractNumId w:val="19"/>
  </w:num>
  <w:num w:numId="39">
    <w:abstractNumId w:val="24"/>
  </w:num>
  <w:num w:numId="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44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2C8A"/>
    <w:rsid w:val="0000091B"/>
    <w:rsid w:val="0000099E"/>
    <w:rsid w:val="00000C2B"/>
    <w:rsid w:val="0000162D"/>
    <w:rsid w:val="000020F6"/>
    <w:rsid w:val="00002E16"/>
    <w:rsid w:val="000034C3"/>
    <w:rsid w:val="00003584"/>
    <w:rsid w:val="00004628"/>
    <w:rsid w:val="0000462B"/>
    <w:rsid w:val="00004D33"/>
    <w:rsid w:val="00004D75"/>
    <w:rsid w:val="00004F9D"/>
    <w:rsid w:val="00005F17"/>
    <w:rsid w:val="00005FA7"/>
    <w:rsid w:val="000063DB"/>
    <w:rsid w:val="0000733C"/>
    <w:rsid w:val="000074BD"/>
    <w:rsid w:val="00007D69"/>
    <w:rsid w:val="00010886"/>
    <w:rsid w:val="00010920"/>
    <w:rsid w:val="0001152D"/>
    <w:rsid w:val="000118E3"/>
    <w:rsid w:val="000119C6"/>
    <w:rsid w:val="00011EA7"/>
    <w:rsid w:val="000120D3"/>
    <w:rsid w:val="000129ED"/>
    <w:rsid w:val="00012FB9"/>
    <w:rsid w:val="00013284"/>
    <w:rsid w:val="0001362E"/>
    <w:rsid w:val="00014746"/>
    <w:rsid w:val="00014B96"/>
    <w:rsid w:val="00014DC1"/>
    <w:rsid w:val="00014FF8"/>
    <w:rsid w:val="000155A7"/>
    <w:rsid w:val="00015748"/>
    <w:rsid w:val="00015DFE"/>
    <w:rsid w:val="00015EB4"/>
    <w:rsid w:val="00016092"/>
    <w:rsid w:val="0001617C"/>
    <w:rsid w:val="0001634D"/>
    <w:rsid w:val="00016F44"/>
    <w:rsid w:val="00017050"/>
    <w:rsid w:val="00017870"/>
    <w:rsid w:val="000179CE"/>
    <w:rsid w:val="00017CDE"/>
    <w:rsid w:val="00020A7A"/>
    <w:rsid w:val="00022361"/>
    <w:rsid w:val="000223D3"/>
    <w:rsid w:val="00022435"/>
    <w:rsid w:val="00022686"/>
    <w:rsid w:val="000228B1"/>
    <w:rsid w:val="0002300F"/>
    <w:rsid w:val="0002305C"/>
    <w:rsid w:val="00023228"/>
    <w:rsid w:val="000236BA"/>
    <w:rsid w:val="00023817"/>
    <w:rsid w:val="0002401C"/>
    <w:rsid w:val="00024248"/>
    <w:rsid w:val="000245BC"/>
    <w:rsid w:val="0002470A"/>
    <w:rsid w:val="0002564D"/>
    <w:rsid w:val="00025967"/>
    <w:rsid w:val="00025F56"/>
    <w:rsid w:val="00026F9B"/>
    <w:rsid w:val="0002716D"/>
    <w:rsid w:val="00027346"/>
    <w:rsid w:val="00030320"/>
    <w:rsid w:val="00031946"/>
    <w:rsid w:val="000322EC"/>
    <w:rsid w:val="00032AB9"/>
    <w:rsid w:val="00033D0B"/>
    <w:rsid w:val="00034086"/>
    <w:rsid w:val="00034121"/>
    <w:rsid w:val="000350A9"/>
    <w:rsid w:val="00035472"/>
    <w:rsid w:val="0003621F"/>
    <w:rsid w:val="000365B0"/>
    <w:rsid w:val="00036CF7"/>
    <w:rsid w:val="00037F52"/>
    <w:rsid w:val="0004019D"/>
    <w:rsid w:val="000401CC"/>
    <w:rsid w:val="000407E0"/>
    <w:rsid w:val="00041467"/>
    <w:rsid w:val="0004160D"/>
    <w:rsid w:val="00041F3D"/>
    <w:rsid w:val="00042593"/>
    <w:rsid w:val="00043C1D"/>
    <w:rsid w:val="00044146"/>
    <w:rsid w:val="00044BB4"/>
    <w:rsid w:val="00046725"/>
    <w:rsid w:val="000468C0"/>
    <w:rsid w:val="00046DA2"/>
    <w:rsid w:val="00050762"/>
    <w:rsid w:val="000507B9"/>
    <w:rsid w:val="00051AF5"/>
    <w:rsid w:val="00052580"/>
    <w:rsid w:val="0005440F"/>
    <w:rsid w:val="0005661F"/>
    <w:rsid w:val="00057006"/>
    <w:rsid w:val="000575B4"/>
    <w:rsid w:val="000601EA"/>
    <w:rsid w:val="000603CB"/>
    <w:rsid w:val="0006084C"/>
    <w:rsid w:val="000608FE"/>
    <w:rsid w:val="000615B0"/>
    <w:rsid w:val="00061E01"/>
    <w:rsid w:val="0006239E"/>
    <w:rsid w:val="0006295A"/>
    <w:rsid w:val="000643D0"/>
    <w:rsid w:val="00065195"/>
    <w:rsid w:val="00066976"/>
    <w:rsid w:val="000672D3"/>
    <w:rsid w:val="0006744F"/>
    <w:rsid w:val="00067A06"/>
    <w:rsid w:val="00067E91"/>
    <w:rsid w:val="00070612"/>
    <w:rsid w:val="000714CE"/>
    <w:rsid w:val="00071D67"/>
    <w:rsid w:val="00072584"/>
    <w:rsid w:val="00072F02"/>
    <w:rsid w:val="00074126"/>
    <w:rsid w:val="0007567B"/>
    <w:rsid w:val="00075B7E"/>
    <w:rsid w:val="00076287"/>
    <w:rsid w:val="00076297"/>
    <w:rsid w:val="00077F45"/>
    <w:rsid w:val="00080510"/>
    <w:rsid w:val="00081153"/>
    <w:rsid w:val="000812EE"/>
    <w:rsid w:val="00081DCD"/>
    <w:rsid w:val="00082053"/>
    <w:rsid w:val="00082507"/>
    <w:rsid w:val="000834C8"/>
    <w:rsid w:val="00083789"/>
    <w:rsid w:val="00083792"/>
    <w:rsid w:val="000839D5"/>
    <w:rsid w:val="00083A63"/>
    <w:rsid w:val="00083BE8"/>
    <w:rsid w:val="00083E6A"/>
    <w:rsid w:val="00084012"/>
    <w:rsid w:val="00084264"/>
    <w:rsid w:val="000842BB"/>
    <w:rsid w:val="00084CED"/>
    <w:rsid w:val="000855C9"/>
    <w:rsid w:val="00085F9C"/>
    <w:rsid w:val="00086013"/>
    <w:rsid w:val="0008687E"/>
    <w:rsid w:val="000868A3"/>
    <w:rsid w:val="00086D66"/>
    <w:rsid w:val="000872FA"/>
    <w:rsid w:val="00090385"/>
    <w:rsid w:val="00090D21"/>
    <w:rsid w:val="00090F42"/>
    <w:rsid w:val="00091262"/>
    <w:rsid w:val="00092523"/>
    <w:rsid w:val="00093960"/>
    <w:rsid w:val="0009470A"/>
    <w:rsid w:val="00095C30"/>
    <w:rsid w:val="00096B9F"/>
    <w:rsid w:val="00096E39"/>
    <w:rsid w:val="000971C3"/>
    <w:rsid w:val="000972AC"/>
    <w:rsid w:val="00097C0E"/>
    <w:rsid w:val="00097ED4"/>
    <w:rsid w:val="000A16D0"/>
    <w:rsid w:val="000A1E1C"/>
    <w:rsid w:val="000A2697"/>
    <w:rsid w:val="000A2A86"/>
    <w:rsid w:val="000A2C2D"/>
    <w:rsid w:val="000A2DE4"/>
    <w:rsid w:val="000A2FEC"/>
    <w:rsid w:val="000A418B"/>
    <w:rsid w:val="000A46FC"/>
    <w:rsid w:val="000A4955"/>
    <w:rsid w:val="000A570D"/>
    <w:rsid w:val="000A59CC"/>
    <w:rsid w:val="000A64C7"/>
    <w:rsid w:val="000A74AC"/>
    <w:rsid w:val="000A7C8A"/>
    <w:rsid w:val="000A7F23"/>
    <w:rsid w:val="000B0B19"/>
    <w:rsid w:val="000B1811"/>
    <w:rsid w:val="000B1A6E"/>
    <w:rsid w:val="000B21DD"/>
    <w:rsid w:val="000B258B"/>
    <w:rsid w:val="000B2F97"/>
    <w:rsid w:val="000B3043"/>
    <w:rsid w:val="000B34FA"/>
    <w:rsid w:val="000B36FE"/>
    <w:rsid w:val="000B372D"/>
    <w:rsid w:val="000B38D3"/>
    <w:rsid w:val="000B5120"/>
    <w:rsid w:val="000B5B24"/>
    <w:rsid w:val="000B6487"/>
    <w:rsid w:val="000B7071"/>
    <w:rsid w:val="000B7A91"/>
    <w:rsid w:val="000B7F45"/>
    <w:rsid w:val="000C040A"/>
    <w:rsid w:val="000C0497"/>
    <w:rsid w:val="000C059E"/>
    <w:rsid w:val="000C0E21"/>
    <w:rsid w:val="000C1BA1"/>
    <w:rsid w:val="000C223A"/>
    <w:rsid w:val="000C22B0"/>
    <w:rsid w:val="000C2786"/>
    <w:rsid w:val="000C3369"/>
    <w:rsid w:val="000C3CAA"/>
    <w:rsid w:val="000C3E90"/>
    <w:rsid w:val="000C45E3"/>
    <w:rsid w:val="000C56B4"/>
    <w:rsid w:val="000C5728"/>
    <w:rsid w:val="000C586F"/>
    <w:rsid w:val="000C5B48"/>
    <w:rsid w:val="000C661A"/>
    <w:rsid w:val="000C77A9"/>
    <w:rsid w:val="000D0D8B"/>
    <w:rsid w:val="000D141C"/>
    <w:rsid w:val="000D14F1"/>
    <w:rsid w:val="000D1C61"/>
    <w:rsid w:val="000D203D"/>
    <w:rsid w:val="000D2AFE"/>
    <w:rsid w:val="000D2D84"/>
    <w:rsid w:val="000D3190"/>
    <w:rsid w:val="000D3ECA"/>
    <w:rsid w:val="000D40FA"/>
    <w:rsid w:val="000D418F"/>
    <w:rsid w:val="000D4551"/>
    <w:rsid w:val="000D5C55"/>
    <w:rsid w:val="000D5D71"/>
    <w:rsid w:val="000D5EFB"/>
    <w:rsid w:val="000D6416"/>
    <w:rsid w:val="000D7F3B"/>
    <w:rsid w:val="000E055E"/>
    <w:rsid w:val="000E0C55"/>
    <w:rsid w:val="000E1259"/>
    <w:rsid w:val="000E12D5"/>
    <w:rsid w:val="000E15F8"/>
    <w:rsid w:val="000E1C3A"/>
    <w:rsid w:val="000E21D8"/>
    <w:rsid w:val="000E2C73"/>
    <w:rsid w:val="000E2C8F"/>
    <w:rsid w:val="000E2EA3"/>
    <w:rsid w:val="000E4B3E"/>
    <w:rsid w:val="000E4EEA"/>
    <w:rsid w:val="000E539F"/>
    <w:rsid w:val="000E56ED"/>
    <w:rsid w:val="000E6CF9"/>
    <w:rsid w:val="000E73BD"/>
    <w:rsid w:val="000F069C"/>
    <w:rsid w:val="000F0B27"/>
    <w:rsid w:val="000F1D4F"/>
    <w:rsid w:val="000F2E82"/>
    <w:rsid w:val="000F3A4F"/>
    <w:rsid w:val="000F3D50"/>
    <w:rsid w:val="000F5D35"/>
    <w:rsid w:val="000F5DDE"/>
    <w:rsid w:val="000F72EA"/>
    <w:rsid w:val="001000EA"/>
    <w:rsid w:val="00100B0B"/>
    <w:rsid w:val="001025E7"/>
    <w:rsid w:val="0010275F"/>
    <w:rsid w:val="0010316E"/>
    <w:rsid w:val="001038BB"/>
    <w:rsid w:val="00103F76"/>
    <w:rsid w:val="00105880"/>
    <w:rsid w:val="00107038"/>
    <w:rsid w:val="00107219"/>
    <w:rsid w:val="001101E1"/>
    <w:rsid w:val="00110379"/>
    <w:rsid w:val="001103CF"/>
    <w:rsid w:val="00111F4C"/>
    <w:rsid w:val="0011290B"/>
    <w:rsid w:val="001129E8"/>
    <w:rsid w:val="00112BA9"/>
    <w:rsid w:val="0011385A"/>
    <w:rsid w:val="00113C76"/>
    <w:rsid w:val="00114588"/>
    <w:rsid w:val="00114964"/>
    <w:rsid w:val="001149B9"/>
    <w:rsid w:val="00114A58"/>
    <w:rsid w:val="00114D12"/>
    <w:rsid w:val="00115629"/>
    <w:rsid w:val="001158B6"/>
    <w:rsid w:val="00115B67"/>
    <w:rsid w:val="001171CB"/>
    <w:rsid w:val="00117210"/>
    <w:rsid w:val="0011744C"/>
    <w:rsid w:val="00117C0E"/>
    <w:rsid w:val="00120FAC"/>
    <w:rsid w:val="00121311"/>
    <w:rsid w:val="00121A8E"/>
    <w:rsid w:val="00121BF6"/>
    <w:rsid w:val="00124D80"/>
    <w:rsid w:val="001267DB"/>
    <w:rsid w:val="001276FB"/>
    <w:rsid w:val="001304E8"/>
    <w:rsid w:val="00130C57"/>
    <w:rsid w:val="0013141F"/>
    <w:rsid w:val="001317E4"/>
    <w:rsid w:val="00131CB1"/>
    <w:rsid w:val="00132052"/>
    <w:rsid w:val="0013270B"/>
    <w:rsid w:val="001329B7"/>
    <w:rsid w:val="00132A3A"/>
    <w:rsid w:val="00132DAB"/>
    <w:rsid w:val="00132EAD"/>
    <w:rsid w:val="00132FA5"/>
    <w:rsid w:val="001334F9"/>
    <w:rsid w:val="00133D7F"/>
    <w:rsid w:val="00134ECB"/>
    <w:rsid w:val="00134F08"/>
    <w:rsid w:val="001357A1"/>
    <w:rsid w:val="001362A6"/>
    <w:rsid w:val="00136B3F"/>
    <w:rsid w:val="00136DF8"/>
    <w:rsid w:val="0013745F"/>
    <w:rsid w:val="00137894"/>
    <w:rsid w:val="00137C49"/>
    <w:rsid w:val="00137CB8"/>
    <w:rsid w:val="00140035"/>
    <w:rsid w:val="00140465"/>
    <w:rsid w:val="00140E09"/>
    <w:rsid w:val="0014101A"/>
    <w:rsid w:val="0014142D"/>
    <w:rsid w:val="0014148A"/>
    <w:rsid w:val="00141FEB"/>
    <w:rsid w:val="00142EED"/>
    <w:rsid w:val="00143743"/>
    <w:rsid w:val="001437D5"/>
    <w:rsid w:val="00143E66"/>
    <w:rsid w:val="00145D66"/>
    <w:rsid w:val="00146F0E"/>
    <w:rsid w:val="0014776D"/>
    <w:rsid w:val="00147845"/>
    <w:rsid w:val="00147FC1"/>
    <w:rsid w:val="001500C8"/>
    <w:rsid w:val="0015080E"/>
    <w:rsid w:val="00151705"/>
    <w:rsid w:val="001518E7"/>
    <w:rsid w:val="00151C88"/>
    <w:rsid w:val="00151D35"/>
    <w:rsid w:val="00152387"/>
    <w:rsid w:val="00152A0C"/>
    <w:rsid w:val="00153424"/>
    <w:rsid w:val="0015402E"/>
    <w:rsid w:val="001546E8"/>
    <w:rsid w:val="00154828"/>
    <w:rsid w:val="00155698"/>
    <w:rsid w:val="00155BC9"/>
    <w:rsid w:val="00155C11"/>
    <w:rsid w:val="00157858"/>
    <w:rsid w:val="00157D22"/>
    <w:rsid w:val="00157F62"/>
    <w:rsid w:val="001600EB"/>
    <w:rsid w:val="00160423"/>
    <w:rsid w:val="00161CD7"/>
    <w:rsid w:val="00162688"/>
    <w:rsid w:val="0016312E"/>
    <w:rsid w:val="0016341E"/>
    <w:rsid w:val="001654A9"/>
    <w:rsid w:val="00165A05"/>
    <w:rsid w:val="00165E5D"/>
    <w:rsid w:val="00166297"/>
    <w:rsid w:val="001663D5"/>
    <w:rsid w:val="00166549"/>
    <w:rsid w:val="0016683E"/>
    <w:rsid w:val="00167277"/>
    <w:rsid w:val="00170573"/>
    <w:rsid w:val="001707C4"/>
    <w:rsid w:val="001712DE"/>
    <w:rsid w:val="00171570"/>
    <w:rsid w:val="00171DC1"/>
    <w:rsid w:val="00171E1D"/>
    <w:rsid w:val="00171EF7"/>
    <w:rsid w:val="00174067"/>
    <w:rsid w:val="0017449B"/>
    <w:rsid w:val="00174944"/>
    <w:rsid w:val="00175139"/>
    <w:rsid w:val="00175BA1"/>
    <w:rsid w:val="00176067"/>
    <w:rsid w:val="00176645"/>
    <w:rsid w:val="001766A8"/>
    <w:rsid w:val="0017687A"/>
    <w:rsid w:val="00176927"/>
    <w:rsid w:val="001772D4"/>
    <w:rsid w:val="0017743E"/>
    <w:rsid w:val="00177845"/>
    <w:rsid w:val="001806A2"/>
    <w:rsid w:val="001810C8"/>
    <w:rsid w:val="001812AE"/>
    <w:rsid w:val="001815CB"/>
    <w:rsid w:val="00182E45"/>
    <w:rsid w:val="00183DEE"/>
    <w:rsid w:val="00184373"/>
    <w:rsid w:val="00184E8A"/>
    <w:rsid w:val="0018519A"/>
    <w:rsid w:val="00190B9C"/>
    <w:rsid w:val="00190D52"/>
    <w:rsid w:val="0019138B"/>
    <w:rsid w:val="001919D3"/>
    <w:rsid w:val="001925E9"/>
    <w:rsid w:val="00192900"/>
    <w:rsid w:val="001935DE"/>
    <w:rsid w:val="00193C35"/>
    <w:rsid w:val="0019441C"/>
    <w:rsid w:val="001950D9"/>
    <w:rsid w:val="00195379"/>
    <w:rsid w:val="00196144"/>
    <w:rsid w:val="001971B1"/>
    <w:rsid w:val="001971EA"/>
    <w:rsid w:val="0019742A"/>
    <w:rsid w:val="00197975"/>
    <w:rsid w:val="001A07AC"/>
    <w:rsid w:val="001A0DC8"/>
    <w:rsid w:val="001A14F5"/>
    <w:rsid w:val="001A1777"/>
    <w:rsid w:val="001A1A8A"/>
    <w:rsid w:val="001A2649"/>
    <w:rsid w:val="001A2B7C"/>
    <w:rsid w:val="001A307D"/>
    <w:rsid w:val="001A3986"/>
    <w:rsid w:val="001A3E19"/>
    <w:rsid w:val="001A4242"/>
    <w:rsid w:val="001A48FD"/>
    <w:rsid w:val="001A6DEF"/>
    <w:rsid w:val="001A7A6A"/>
    <w:rsid w:val="001B0039"/>
    <w:rsid w:val="001B049D"/>
    <w:rsid w:val="001B04E4"/>
    <w:rsid w:val="001B0553"/>
    <w:rsid w:val="001B1469"/>
    <w:rsid w:val="001B1577"/>
    <w:rsid w:val="001B16C3"/>
    <w:rsid w:val="001B1838"/>
    <w:rsid w:val="001B1C67"/>
    <w:rsid w:val="001B2234"/>
    <w:rsid w:val="001B3984"/>
    <w:rsid w:val="001B3FE9"/>
    <w:rsid w:val="001B4293"/>
    <w:rsid w:val="001B46AE"/>
    <w:rsid w:val="001B54F0"/>
    <w:rsid w:val="001B5950"/>
    <w:rsid w:val="001B6AAD"/>
    <w:rsid w:val="001B71B5"/>
    <w:rsid w:val="001B78E2"/>
    <w:rsid w:val="001B7BF2"/>
    <w:rsid w:val="001B7EED"/>
    <w:rsid w:val="001C0289"/>
    <w:rsid w:val="001C181C"/>
    <w:rsid w:val="001C2014"/>
    <w:rsid w:val="001C27AF"/>
    <w:rsid w:val="001C3403"/>
    <w:rsid w:val="001C3944"/>
    <w:rsid w:val="001C3AAA"/>
    <w:rsid w:val="001C43B3"/>
    <w:rsid w:val="001C4834"/>
    <w:rsid w:val="001C4C95"/>
    <w:rsid w:val="001C5BA6"/>
    <w:rsid w:val="001D0229"/>
    <w:rsid w:val="001D028A"/>
    <w:rsid w:val="001D0868"/>
    <w:rsid w:val="001D1636"/>
    <w:rsid w:val="001D181F"/>
    <w:rsid w:val="001D2755"/>
    <w:rsid w:val="001D2F4D"/>
    <w:rsid w:val="001D388D"/>
    <w:rsid w:val="001D39E8"/>
    <w:rsid w:val="001D3DEA"/>
    <w:rsid w:val="001D4075"/>
    <w:rsid w:val="001D4F81"/>
    <w:rsid w:val="001D600F"/>
    <w:rsid w:val="001D6843"/>
    <w:rsid w:val="001D755F"/>
    <w:rsid w:val="001D764B"/>
    <w:rsid w:val="001D79BC"/>
    <w:rsid w:val="001E0212"/>
    <w:rsid w:val="001E092F"/>
    <w:rsid w:val="001E0947"/>
    <w:rsid w:val="001E152C"/>
    <w:rsid w:val="001E24EA"/>
    <w:rsid w:val="001E25BD"/>
    <w:rsid w:val="001E25FF"/>
    <w:rsid w:val="001E411C"/>
    <w:rsid w:val="001E5979"/>
    <w:rsid w:val="001E5C38"/>
    <w:rsid w:val="001E776D"/>
    <w:rsid w:val="001E77D9"/>
    <w:rsid w:val="001F0D67"/>
    <w:rsid w:val="001F0F1E"/>
    <w:rsid w:val="001F1A00"/>
    <w:rsid w:val="001F1B8A"/>
    <w:rsid w:val="001F2058"/>
    <w:rsid w:val="001F23BC"/>
    <w:rsid w:val="001F29C8"/>
    <w:rsid w:val="001F3474"/>
    <w:rsid w:val="001F391D"/>
    <w:rsid w:val="001F49C4"/>
    <w:rsid w:val="001F5561"/>
    <w:rsid w:val="001F5939"/>
    <w:rsid w:val="001F5B96"/>
    <w:rsid w:val="001F60DF"/>
    <w:rsid w:val="001F67F2"/>
    <w:rsid w:val="001F6895"/>
    <w:rsid w:val="001F6A3C"/>
    <w:rsid w:val="001F6DCB"/>
    <w:rsid w:val="001F7055"/>
    <w:rsid w:val="001F716B"/>
    <w:rsid w:val="001F7B95"/>
    <w:rsid w:val="001F7E44"/>
    <w:rsid w:val="001F7FE1"/>
    <w:rsid w:val="002010D3"/>
    <w:rsid w:val="00201885"/>
    <w:rsid w:val="00202566"/>
    <w:rsid w:val="0020322B"/>
    <w:rsid w:val="002032C8"/>
    <w:rsid w:val="00203A75"/>
    <w:rsid w:val="0020409B"/>
    <w:rsid w:val="002060A5"/>
    <w:rsid w:val="002070E4"/>
    <w:rsid w:val="0020721C"/>
    <w:rsid w:val="002072C3"/>
    <w:rsid w:val="0020790A"/>
    <w:rsid w:val="00207E86"/>
    <w:rsid w:val="00210594"/>
    <w:rsid w:val="002108B5"/>
    <w:rsid w:val="00210F65"/>
    <w:rsid w:val="00212939"/>
    <w:rsid w:val="00212B8B"/>
    <w:rsid w:val="0021300C"/>
    <w:rsid w:val="0021371C"/>
    <w:rsid w:val="002139E7"/>
    <w:rsid w:val="0021409F"/>
    <w:rsid w:val="002144A1"/>
    <w:rsid w:val="002147A6"/>
    <w:rsid w:val="00214875"/>
    <w:rsid w:val="00214D4B"/>
    <w:rsid w:val="00215739"/>
    <w:rsid w:val="002157B5"/>
    <w:rsid w:val="00216869"/>
    <w:rsid w:val="0021720D"/>
    <w:rsid w:val="0022016A"/>
    <w:rsid w:val="00221057"/>
    <w:rsid w:val="002212CB"/>
    <w:rsid w:val="00221B4C"/>
    <w:rsid w:val="002226A9"/>
    <w:rsid w:val="0022277E"/>
    <w:rsid w:val="00223034"/>
    <w:rsid w:val="00223614"/>
    <w:rsid w:val="002238E6"/>
    <w:rsid w:val="00225CB8"/>
    <w:rsid w:val="00226E88"/>
    <w:rsid w:val="00226F8B"/>
    <w:rsid w:val="0022715D"/>
    <w:rsid w:val="00230AF7"/>
    <w:rsid w:val="00230B76"/>
    <w:rsid w:val="00231068"/>
    <w:rsid w:val="00231F8F"/>
    <w:rsid w:val="00234FCD"/>
    <w:rsid w:val="00234FD9"/>
    <w:rsid w:val="002356F5"/>
    <w:rsid w:val="0023617F"/>
    <w:rsid w:val="00236374"/>
    <w:rsid w:val="00237E07"/>
    <w:rsid w:val="00237F8D"/>
    <w:rsid w:val="002400A1"/>
    <w:rsid w:val="00240222"/>
    <w:rsid w:val="002413C0"/>
    <w:rsid w:val="0024218B"/>
    <w:rsid w:val="002425FE"/>
    <w:rsid w:val="00242CD9"/>
    <w:rsid w:val="0024349D"/>
    <w:rsid w:val="00243967"/>
    <w:rsid w:val="002444C2"/>
    <w:rsid w:val="00244BE9"/>
    <w:rsid w:val="0024530D"/>
    <w:rsid w:val="00245A74"/>
    <w:rsid w:val="00246A8F"/>
    <w:rsid w:val="00247154"/>
    <w:rsid w:val="0024727D"/>
    <w:rsid w:val="00250912"/>
    <w:rsid w:val="00250DBA"/>
    <w:rsid w:val="00251087"/>
    <w:rsid w:val="00251294"/>
    <w:rsid w:val="00251AD5"/>
    <w:rsid w:val="002523E5"/>
    <w:rsid w:val="00253058"/>
    <w:rsid w:val="00253764"/>
    <w:rsid w:val="00254ED9"/>
    <w:rsid w:val="002550D8"/>
    <w:rsid w:val="00256078"/>
    <w:rsid w:val="00256401"/>
    <w:rsid w:val="002564FB"/>
    <w:rsid w:val="00256CF2"/>
    <w:rsid w:val="00260361"/>
    <w:rsid w:val="0026049B"/>
    <w:rsid w:val="00260942"/>
    <w:rsid w:val="00260AAE"/>
    <w:rsid w:val="00260B80"/>
    <w:rsid w:val="00260EFA"/>
    <w:rsid w:val="00261377"/>
    <w:rsid w:val="00261D0C"/>
    <w:rsid w:val="00261EFF"/>
    <w:rsid w:val="00262160"/>
    <w:rsid w:val="00262814"/>
    <w:rsid w:val="002629E0"/>
    <w:rsid w:val="00262E2E"/>
    <w:rsid w:val="00263457"/>
    <w:rsid w:val="00263EF4"/>
    <w:rsid w:val="00263F7F"/>
    <w:rsid w:val="002646E0"/>
    <w:rsid w:val="00264A64"/>
    <w:rsid w:val="00265FE9"/>
    <w:rsid w:val="0026773E"/>
    <w:rsid w:val="00270693"/>
    <w:rsid w:val="002723FD"/>
    <w:rsid w:val="0027256C"/>
    <w:rsid w:val="00272E01"/>
    <w:rsid w:val="00273015"/>
    <w:rsid w:val="002731A4"/>
    <w:rsid w:val="00274536"/>
    <w:rsid w:val="0027463A"/>
    <w:rsid w:val="0027487A"/>
    <w:rsid w:val="00274D0D"/>
    <w:rsid w:val="00274D8B"/>
    <w:rsid w:val="00275318"/>
    <w:rsid w:val="002766B0"/>
    <w:rsid w:val="00277572"/>
    <w:rsid w:val="00277812"/>
    <w:rsid w:val="002802A1"/>
    <w:rsid w:val="002803B8"/>
    <w:rsid w:val="002808CA"/>
    <w:rsid w:val="00280926"/>
    <w:rsid w:val="00281B0A"/>
    <w:rsid w:val="00282CDE"/>
    <w:rsid w:val="00283073"/>
    <w:rsid w:val="0028348A"/>
    <w:rsid w:val="002837E8"/>
    <w:rsid w:val="00285478"/>
    <w:rsid w:val="0028663C"/>
    <w:rsid w:val="002905B5"/>
    <w:rsid w:val="00292129"/>
    <w:rsid w:val="00293203"/>
    <w:rsid w:val="0029329A"/>
    <w:rsid w:val="00293A15"/>
    <w:rsid w:val="00295693"/>
    <w:rsid w:val="002969C0"/>
    <w:rsid w:val="002972D4"/>
    <w:rsid w:val="00297AEF"/>
    <w:rsid w:val="00297F02"/>
    <w:rsid w:val="002A0126"/>
    <w:rsid w:val="002A06E1"/>
    <w:rsid w:val="002A21E8"/>
    <w:rsid w:val="002A3220"/>
    <w:rsid w:val="002A324A"/>
    <w:rsid w:val="002A342C"/>
    <w:rsid w:val="002A3596"/>
    <w:rsid w:val="002A3A5F"/>
    <w:rsid w:val="002A3AA9"/>
    <w:rsid w:val="002A5AA2"/>
    <w:rsid w:val="002A5C85"/>
    <w:rsid w:val="002A5C87"/>
    <w:rsid w:val="002A5D50"/>
    <w:rsid w:val="002A5DE5"/>
    <w:rsid w:val="002A7542"/>
    <w:rsid w:val="002A7BE8"/>
    <w:rsid w:val="002B05E2"/>
    <w:rsid w:val="002B09C6"/>
    <w:rsid w:val="002B0F52"/>
    <w:rsid w:val="002B1071"/>
    <w:rsid w:val="002B129B"/>
    <w:rsid w:val="002B29E2"/>
    <w:rsid w:val="002B3708"/>
    <w:rsid w:val="002B5625"/>
    <w:rsid w:val="002B5F9C"/>
    <w:rsid w:val="002B6147"/>
    <w:rsid w:val="002B7C88"/>
    <w:rsid w:val="002C0062"/>
    <w:rsid w:val="002C0170"/>
    <w:rsid w:val="002C0E18"/>
    <w:rsid w:val="002C2427"/>
    <w:rsid w:val="002C2773"/>
    <w:rsid w:val="002C2A4F"/>
    <w:rsid w:val="002C3502"/>
    <w:rsid w:val="002C397B"/>
    <w:rsid w:val="002C3B93"/>
    <w:rsid w:val="002C3BA0"/>
    <w:rsid w:val="002C436C"/>
    <w:rsid w:val="002C47C4"/>
    <w:rsid w:val="002C63F2"/>
    <w:rsid w:val="002C6E41"/>
    <w:rsid w:val="002C748E"/>
    <w:rsid w:val="002D0DDF"/>
    <w:rsid w:val="002D17A5"/>
    <w:rsid w:val="002D1AC7"/>
    <w:rsid w:val="002D2F38"/>
    <w:rsid w:val="002D347E"/>
    <w:rsid w:val="002D35CB"/>
    <w:rsid w:val="002D3771"/>
    <w:rsid w:val="002D3D17"/>
    <w:rsid w:val="002D42A0"/>
    <w:rsid w:val="002D440D"/>
    <w:rsid w:val="002D4C8C"/>
    <w:rsid w:val="002D545A"/>
    <w:rsid w:val="002D59E5"/>
    <w:rsid w:val="002D5C23"/>
    <w:rsid w:val="002D5CBC"/>
    <w:rsid w:val="002D5DC3"/>
    <w:rsid w:val="002D62F6"/>
    <w:rsid w:val="002D6B4D"/>
    <w:rsid w:val="002D7EF4"/>
    <w:rsid w:val="002E1129"/>
    <w:rsid w:val="002E1388"/>
    <w:rsid w:val="002E1415"/>
    <w:rsid w:val="002E16E6"/>
    <w:rsid w:val="002E1B83"/>
    <w:rsid w:val="002E1C1F"/>
    <w:rsid w:val="002E2688"/>
    <w:rsid w:val="002E307D"/>
    <w:rsid w:val="002E34A3"/>
    <w:rsid w:val="002E36E1"/>
    <w:rsid w:val="002E3E6F"/>
    <w:rsid w:val="002E3F75"/>
    <w:rsid w:val="002E45B7"/>
    <w:rsid w:val="002E4721"/>
    <w:rsid w:val="002E486A"/>
    <w:rsid w:val="002E4DC4"/>
    <w:rsid w:val="002E5281"/>
    <w:rsid w:val="002E54CD"/>
    <w:rsid w:val="002E5E0E"/>
    <w:rsid w:val="002E5E2F"/>
    <w:rsid w:val="002E5F1C"/>
    <w:rsid w:val="002E5F3E"/>
    <w:rsid w:val="002E7155"/>
    <w:rsid w:val="002E736D"/>
    <w:rsid w:val="002F0875"/>
    <w:rsid w:val="002F0884"/>
    <w:rsid w:val="002F1A5B"/>
    <w:rsid w:val="002F1B87"/>
    <w:rsid w:val="002F1CF8"/>
    <w:rsid w:val="002F1FB6"/>
    <w:rsid w:val="002F4CA2"/>
    <w:rsid w:val="002F51B3"/>
    <w:rsid w:val="002F527B"/>
    <w:rsid w:val="002F5306"/>
    <w:rsid w:val="002F5570"/>
    <w:rsid w:val="002F5792"/>
    <w:rsid w:val="002F5C9A"/>
    <w:rsid w:val="002F6254"/>
    <w:rsid w:val="002F6432"/>
    <w:rsid w:val="002F69EB"/>
    <w:rsid w:val="002F6D11"/>
    <w:rsid w:val="002F6FC4"/>
    <w:rsid w:val="002F7255"/>
    <w:rsid w:val="00300450"/>
    <w:rsid w:val="003005AA"/>
    <w:rsid w:val="00300D34"/>
    <w:rsid w:val="00300EA5"/>
    <w:rsid w:val="00301C95"/>
    <w:rsid w:val="003022B8"/>
    <w:rsid w:val="003023C4"/>
    <w:rsid w:val="003026B9"/>
    <w:rsid w:val="00302C73"/>
    <w:rsid w:val="003035B2"/>
    <w:rsid w:val="00303733"/>
    <w:rsid w:val="00303A2F"/>
    <w:rsid w:val="00303C94"/>
    <w:rsid w:val="00304BF7"/>
    <w:rsid w:val="00304FE8"/>
    <w:rsid w:val="0030506D"/>
    <w:rsid w:val="00305126"/>
    <w:rsid w:val="00305FA4"/>
    <w:rsid w:val="003065D6"/>
    <w:rsid w:val="00307C42"/>
    <w:rsid w:val="00310992"/>
    <w:rsid w:val="00311387"/>
    <w:rsid w:val="00311EEA"/>
    <w:rsid w:val="0031351E"/>
    <w:rsid w:val="00313537"/>
    <w:rsid w:val="003135CD"/>
    <w:rsid w:val="00313625"/>
    <w:rsid w:val="00313C59"/>
    <w:rsid w:val="00314373"/>
    <w:rsid w:val="00314425"/>
    <w:rsid w:val="003146EE"/>
    <w:rsid w:val="003153EA"/>
    <w:rsid w:val="00316745"/>
    <w:rsid w:val="00320015"/>
    <w:rsid w:val="00320263"/>
    <w:rsid w:val="0032080E"/>
    <w:rsid w:val="003209C7"/>
    <w:rsid w:val="00320AB2"/>
    <w:rsid w:val="003225D5"/>
    <w:rsid w:val="0032271E"/>
    <w:rsid w:val="003229A0"/>
    <w:rsid w:val="0032378E"/>
    <w:rsid w:val="00323C12"/>
    <w:rsid w:val="00323D04"/>
    <w:rsid w:val="003243CB"/>
    <w:rsid w:val="003245FB"/>
    <w:rsid w:val="003250E2"/>
    <w:rsid w:val="0032569E"/>
    <w:rsid w:val="00326522"/>
    <w:rsid w:val="00326943"/>
    <w:rsid w:val="003270BF"/>
    <w:rsid w:val="00327A0C"/>
    <w:rsid w:val="003301A3"/>
    <w:rsid w:val="0033063D"/>
    <w:rsid w:val="00332129"/>
    <w:rsid w:val="0033322F"/>
    <w:rsid w:val="00334912"/>
    <w:rsid w:val="00336FF2"/>
    <w:rsid w:val="003376B5"/>
    <w:rsid w:val="003376DF"/>
    <w:rsid w:val="003402DF"/>
    <w:rsid w:val="00340AC2"/>
    <w:rsid w:val="00340D16"/>
    <w:rsid w:val="00340EB5"/>
    <w:rsid w:val="00340EFB"/>
    <w:rsid w:val="00341361"/>
    <w:rsid w:val="003435A3"/>
    <w:rsid w:val="00343D26"/>
    <w:rsid w:val="00343D77"/>
    <w:rsid w:val="00345308"/>
    <w:rsid w:val="003455FE"/>
    <w:rsid w:val="00345652"/>
    <w:rsid w:val="003459F0"/>
    <w:rsid w:val="00345B4F"/>
    <w:rsid w:val="00346216"/>
    <w:rsid w:val="0034672E"/>
    <w:rsid w:val="0034743F"/>
    <w:rsid w:val="0034782B"/>
    <w:rsid w:val="00347C46"/>
    <w:rsid w:val="00350DDB"/>
    <w:rsid w:val="00351A7F"/>
    <w:rsid w:val="003521B4"/>
    <w:rsid w:val="003525C0"/>
    <w:rsid w:val="00352BA4"/>
    <w:rsid w:val="00352CFB"/>
    <w:rsid w:val="00352F20"/>
    <w:rsid w:val="003530B9"/>
    <w:rsid w:val="00353798"/>
    <w:rsid w:val="003541D1"/>
    <w:rsid w:val="003548D7"/>
    <w:rsid w:val="003548F0"/>
    <w:rsid w:val="003549D1"/>
    <w:rsid w:val="00354D94"/>
    <w:rsid w:val="003550C7"/>
    <w:rsid w:val="003557CB"/>
    <w:rsid w:val="003566E9"/>
    <w:rsid w:val="00357214"/>
    <w:rsid w:val="0035791D"/>
    <w:rsid w:val="00357DB9"/>
    <w:rsid w:val="00357FA8"/>
    <w:rsid w:val="00360CBD"/>
    <w:rsid w:val="00361072"/>
    <w:rsid w:val="00362461"/>
    <w:rsid w:val="003628AA"/>
    <w:rsid w:val="00362D37"/>
    <w:rsid w:val="00363C87"/>
    <w:rsid w:val="00363DA3"/>
    <w:rsid w:val="00364D63"/>
    <w:rsid w:val="00365105"/>
    <w:rsid w:val="0036579C"/>
    <w:rsid w:val="003657E7"/>
    <w:rsid w:val="00365E78"/>
    <w:rsid w:val="00366857"/>
    <w:rsid w:val="00370449"/>
    <w:rsid w:val="00370CFC"/>
    <w:rsid w:val="00370EE0"/>
    <w:rsid w:val="003713B0"/>
    <w:rsid w:val="00371B3D"/>
    <w:rsid w:val="00372F44"/>
    <w:rsid w:val="00374783"/>
    <w:rsid w:val="003750B5"/>
    <w:rsid w:val="00375135"/>
    <w:rsid w:val="00375F6A"/>
    <w:rsid w:val="00377224"/>
    <w:rsid w:val="003777B8"/>
    <w:rsid w:val="00377BAD"/>
    <w:rsid w:val="00381ACB"/>
    <w:rsid w:val="00381DCB"/>
    <w:rsid w:val="00381F87"/>
    <w:rsid w:val="00383FF3"/>
    <w:rsid w:val="00384485"/>
    <w:rsid w:val="00384833"/>
    <w:rsid w:val="00384B1C"/>
    <w:rsid w:val="00384EA5"/>
    <w:rsid w:val="0038505C"/>
    <w:rsid w:val="00385BBE"/>
    <w:rsid w:val="00385D5C"/>
    <w:rsid w:val="00386843"/>
    <w:rsid w:val="00386C4E"/>
    <w:rsid w:val="00386E5D"/>
    <w:rsid w:val="00387E97"/>
    <w:rsid w:val="003902C1"/>
    <w:rsid w:val="00390919"/>
    <w:rsid w:val="00390A7C"/>
    <w:rsid w:val="00390A91"/>
    <w:rsid w:val="00390AFB"/>
    <w:rsid w:val="0039142B"/>
    <w:rsid w:val="00391A35"/>
    <w:rsid w:val="00391E07"/>
    <w:rsid w:val="00393110"/>
    <w:rsid w:val="00393DD4"/>
    <w:rsid w:val="003946AC"/>
    <w:rsid w:val="00395338"/>
    <w:rsid w:val="00395600"/>
    <w:rsid w:val="00395C55"/>
    <w:rsid w:val="00397572"/>
    <w:rsid w:val="003A074E"/>
    <w:rsid w:val="003A0BC7"/>
    <w:rsid w:val="003A1CFF"/>
    <w:rsid w:val="003A23AD"/>
    <w:rsid w:val="003A2BB7"/>
    <w:rsid w:val="003A312D"/>
    <w:rsid w:val="003A42FF"/>
    <w:rsid w:val="003A4AB4"/>
    <w:rsid w:val="003A4C61"/>
    <w:rsid w:val="003A4D00"/>
    <w:rsid w:val="003A546F"/>
    <w:rsid w:val="003A565B"/>
    <w:rsid w:val="003A5C29"/>
    <w:rsid w:val="003A5DEB"/>
    <w:rsid w:val="003A61D4"/>
    <w:rsid w:val="003A6240"/>
    <w:rsid w:val="003A648B"/>
    <w:rsid w:val="003A6A14"/>
    <w:rsid w:val="003A72E4"/>
    <w:rsid w:val="003A7535"/>
    <w:rsid w:val="003A7616"/>
    <w:rsid w:val="003A799B"/>
    <w:rsid w:val="003A7D18"/>
    <w:rsid w:val="003B00C2"/>
    <w:rsid w:val="003B022F"/>
    <w:rsid w:val="003B1AF6"/>
    <w:rsid w:val="003B1B75"/>
    <w:rsid w:val="003B253C"/>
    <w:rsid w:val="003B2FBC"/>
    <w:rsid w:val="003B32CC"/>
    <w:rsid w:val="003B35CB"/>
    <w:rsid w:val="003B4DA2"/>
    <w:rsid w:val="003B4DDF"/>
    <w:rsid w:val="003B545C"/>
    <w:rsid w:val="003B57B7"/>
    <w:rsid w:val="003B5E19"/>
    <w:rsid w:val="003B64D8"/>
    <w:rsid w:val="003B78AC"/>
    <w:rsid w:val="003C08BD"/>
    <w:rsid w:val="003C1A62"/>
    <w:rsid w:val="003C1B40"/>
    <w:rsid w:val="003C2F43"/>
    <w:rsid w:val="003C318F"/>
    <w:rsid w:val="003C32FC"/>
    <w:rsid w:val="003C4EBE"/>
    <w:rsid w:val="003C558C"/>
    <w:rsid w:val="003C66C3"/>
    <w:rsid w:val="003C6F87"/>
    <w:rsid w:val="003C75BD"/>
    <w:rsid w:val="003C7E0E"/>
    <w:rsid w:val="003D0802"/>
    <w:rsid w:val="003D098A"/>
    <w:rsid w:val="003D0B7A"/>
    <w:rsid w:val="003D17E4"/>
    <w:rsid w:val="003D1A6C"/>
    <w:rsid w:val="003D1AEC"/>
    <w:rsid w:val="003D23D5"/>
    <w:rsid w:val="003D3CD1"/>
    <w:rsid w:val="003D489A"/>
    <w:rsid w:val="003D4EA6"/>
    <w:rsid w:val="003D5944"/>
    <w:rsid w:val="003D5D05"/>
    <w:rsid w:val="003D5ECA"/>
    <w:rsid w:val="003D5FB6"/>
    <w:rsid w:val="003D6CBF"/>
    <w:rsid w:val="003D70C4"/>
    <w:rsid w:val="003D72CC"/>
    <w:rsid w:val="003D783F"/>
    <w:rsid w:val="003D7D05"/>
    <w:rsid w:val="003D7E12"/>
    <w:rsid w:val="003E03C3"/>
    <w:rsid w:val="003E0437"/>
    <w:rsid w:val="003E067B"/>
    <w:rsid w:val="003E11A4"/>
    <w:rsid w:val="003E1AD1"/>
    <w:rsid w:val="003E236D"/>
    <w:rsid w:val="003E2E8C"/>
    <w:rsid w:val="003E3009"/>
    <w:rsid w:val="003E308A"/>
    <w:rsid w:val="003E367A"/>
    <w:rsid w:val="003E37A4"/>
    <w:rsid w:val="003E4136"/>
    <w:rsid w:val="003E7AFC"/>
    <w:rsid w:val="003E7C04"/>
    <w:rsid w:val="003E7FDA"/>
    <w:rsid w:val="003F01F7"/>
    <w:rsid w:val="003F0570"/>
    <w:rsid w:val="003F0D15"/>
    <w:rsid w:val="003F1283"/>
    <w:rsid w:val="003F13F6"/>
    <w:rsid w:val="003F174E"/>
    <w:rsid w:val="003F1F13"/>
    <w:rsid w:val="003F25D7"/>
    <w:rsid w:val="003F2DAF"/>
    <w:rsid w:val="003F2ED2"/>
    <w:rsid w:val="003F3772"/>
    <w:rsid w:val="003F3ED2"/>
    <w:rsid w:val="003F4627"/>
    <w:rsid w:val="003F4ABA"/>
    <w:rsid w:val="003F53B6"/>
    <w:rsid w:val="003F6169"/>
    <w:rsid w:val="003F6645"/>
    <w:rsid w:val="003F72D7"/>
    <w:rsid w:val="003F77DA"/>
    <w:rsid w:val="003F7B2D"/>
    <w:rsid w:val="003F7C7A"/>
    <w:rsid w:val="00400D40"/>
    <w:rsid w:val="004014C9"/>
    <w:rsid w:val="00401DDB"/>
    <w:rsid w:val="00402B5F"/>
    <w:rsid w:val="00402C3D"/>
    <w:rsid w:val="00403EDA"/>
    <w:rsid w:val="00403F44"/>
    <w:rsid w:val="0040409C"/>
    <w:rsid w:val="0040473D"/>
    <w:rsid w:val="00404A45"/>
    <w:rsid w:val="004058B8"/>
    <w:rsid w:val="00405B3F"/>
    <w:rsid w:val="00406113"/>
    <w:rsid w:val="004063C4"/>
    <w:rsid w:val="004072FC"/>
    <w:rsid w:val="004074CB"/>
    <w:rsid w:val="00407C97"/>
    <w:rsid w:val="00407D7D"/>
    <w:rsid w:val="00407ED3"/>
    <w:rsid w:val="00410B00"/>
    <w:rsid w:val="00410B24"/>
    <w:rsid w:val="00410E12"/>
    <w:rsid w:val="00410E3B"/>
    <w:rsid w:val="004115C8"/>
    <w:rsid w:val="00413BE9"/>
    <w:rsid w:val="00413E03"/>
    <w:rsid w:val="004147E1"/>
    <w:rsid w:val="00414E73"/>
    <w:rsid w:val="00415367"/>
    <w:rsid w:val="004161C2"/>
    <w:rsid w:val="004170A6"/>
    <w:rsid w:val="004176BC"/>
    <w:rsid w:val="00420584"/>
    <w:rsid w:val="00421048"/>
    <w:rsid w:val="00422A93"/>
    <w:rsid w:val="00422BB1"/>
    <w:rsid w:val="00424D21"/>
    <w:rsid w:val="00424F3C"/>
    <w:rsid w:val="00425C24"/>
    <w:rsid w:val="004273BF"/>
    <w:rsid w:val="00430A13"/>
    <w:rsid w:val="004311FF"/>
    <w:rsid w:val="004314B6"/>
    <w:rsid w:val="00432447"/>
    <w:rsid w:val="00432D97"/>
    <w:rsid w:val="00432F21"/>
    <w:rsid w:val="00433D8D"/>
    <w:rsid w:val="00435431"/>
    <w:rsid w:val="0043544F"/>
    <w:rsid w:val="004362C0"/>
    <w:rsid w:val="00436425"/>
    <w:rsid w:val="004364E6"/>
    <w:rsid w:val="00436B27"/>
    <w:rsid w:val="0043712E"/>
    <w:rsid w:val="00437C96"/>
    <w:rsid w:val="004400BC"/>
    <w:rsid w:val="004409CC"/>
    <w:rsid w:val="004412E8"/>
    <w:rsid w:val="00441947"/>
    <w:rsid w:val="00443331"/>
    <w:rsid w:val="00443561"/>
    <w:rsid w:val="00443591"/>
    <w:rsid w:val="0044501E"/>
    <w:rsid w:val="00445587"/>
    <w:rsid w:val="00445B35"/>
    <w:rsid w:val="00445DCE"/>
    <w:rsid w:val="00445DFA"/>
    <w:rsid w:val="004462BD"/>
    <w:rsid w:val="004462FA"/>
    <w:rsid w:val="0044675E"/>
    <w:rsid w:val="00446828"/>
    <w:rsid w:val="0044692E"/>
    <w:rsid w:val="0044732A"/>
    <w:rsid w:val="00450BC1"/>
    <w:rsid w:val="00451103"/>
    <w:rsid w:val="00451F2C"/>
    <w:rsid w:val="0045203F"/>
    <w:rsid w:val="004520DB"/>
    <w:rsid w:val="00452550"/>
    <w:rsid w:val="004525A5"/>
    <w:rsid w:val="004525C4"/>
    <w:rsid w:val="00453228"/>
    <w:rsid w:val="00453DB2"/>
    <w:rsid w:val="00453F45"/>
    <w:rsid w:val="00454D4D"/>
    <w:rsid w:val="00454DFB"/>
    <w:rsid w:val="00454F1D"/>
    <w:rsid w:val="00455817"/>
    <w:rsid w:val="00455AE4"/>
    <w:rsid w:val="00457034"/>
    <w:rsid w:val="00457BAA"/>
    <w:rsid w:val="00460981"/>
    <w:rsid w:val="004609DE"/>
    <w:rsid w:val="00461DC0"/>
    <w:rsid w:val="004628F0"/>
    <w:rsid w:val="00462D54"/>
    <w:rsid w:val="00462D63"/>
    <w:rsid w:val="00463886"/>
    <w:rsid w:val="004643B9"/>
    <w:rsid w:val="00464F36"/>
    <w:rsid w:val="0046568B"/>
    <w:rsid w:val="00466121"/>
    <w:rsid w:val="00466912"/>
    <w:rsid w:val="00466A77"/>
    <w:rsid w:val="00467686"/>
    <w:rsid w:val="00467792"/>
    <w:rsid w:val="004679AB"/>
    <w:rsid w:val="00471665"/>
    <w:rsid w:val="0047195F"/>
    <w:rsid w:val="00471A9E"/>
    <w:rsid w:val="00471B86"/>
    <w:rsid w:val="00472227"/>
    <w:rsid w:val="00472E9C"/>
    <w:rsid w:val="004732E6"/>
    <w:rsid w:val="00474927"/>
    <w:rsid w:val="00474FBE"/>
    <w:rsid w:val="0047540F"/>
    <w:rsid w:val="00475612"/>
    <w:rsid w:val="004772FF"/>
    <w:rsid w:val="00477DE8"/>
    <w:rsid w:val="0048048A"/>
    <w:rsid w:val="00481705"/>
    <w:rsid w:val="00481966"/>
    <w:rsid w:val="00482254"/>
    <w:rsid w:val="004823C6"/>
    <w:rsid w:val="00482F51"/>
    <w:rsid w:val="00483166"/>
    <w:rsid w:val="0048365C"/>
    <w:rsid w:val="004837B4"/>
    <w:rsid w:val="00484915"/>
    <w:rsid w:val="004853D8"/>
    <w:rsid w:val="0048589F"/>
    <w:rsid w:val="00486552"/>
    <w:rsid w:val="00486AEA"/>
    <w:rsid w:val="00486EEE"/>
    <w:rsid w:val="0048735B"/>
    <w:rsid w:val="004875E6"/>
    <w:rsid w:val="00487AD4"/>
    <w:rsid w:val="00490275"/>
    <w:rsid w:val="00490628"/>
    <w:rsid w:val="0049071D"/>
    <w:rsid w:val="0049103F"/>
    <w:rsid w:val="00491083"/>
    <w:rsid w:val="00491532"/>
    <w:rsid w:val="0049239D"/>
    <w:rsid w:val="004925C9"/>
    <w:rsid w:val="00493577"/>
    <w:rsid w:val="00494307"/>
    <w:rsid w:val="00494B3B"/>
    <w:rsid w:val="0049565D"/>
    <w:rsid w:val="00495665"/>
    <w:rsid w:val="004963FE"/>
    <w:rsid w:val="004A020A"/>
    <w:rsid w:val="004A036F"/>
    <w:rsid w:val="004A04FE"/>
    <w:rsid w:val="004A0859"/>
    <w:rsid w:val="004A0C71"/>
    <w:rsid w:val="004A0CF6"/>
    <w:rsid w:val="004A18E6"/>
    <w:rsid w:val="004A18FA"/>
    <w:rsid w:val="004A1962"/>
    <w:rsid w:val="004A1B4E"/>
    <w:rsid w:val="004A20DA"/>
    <w:rsid w:val="004A2509"/>
    <w:rsid w:val="004A294E"/>
    <w:rsid w:val="004A2EFB"/>
    <w:rsid w:val="004A3391"/>
    <w:rsid w:val="004A3C39"/>
    <w:rsid w:val="004A3FAE"/>
    <w:rsid w:val="004A4225"/>
    <w:rsid w:val="004A4291"/>
    <w:rsid w:val="004A4D02"/>
    <w:rsid w:val="004A4F2D"/>
    <w:rsid w:val="004A5AFA"/>
    <w:rsid w:val="004A723C"/>
    <w:rsid w:val="004B17CE"/>
    <w:rsid w:val="004B1903"/>
    <w:rsid w:val="004B1A9C"/>
    <w:rsid w:val="004B1B15"/>
    <w:rsid w:val="004B1CB3"/>
    <w:rsid w:val="004B2241"/>
    <w:rsid w:val="004B27D6"/>
    <w:rsid w:val="004B2EBB"/>
    <w:rsid w:val="004B36DF"/>
    <w:rsid w:val="004B3C81"/>
    <w:rsid w:val="004B47F4"/>
    <w:rsid w:val="004B50CC"/>
    <w:rsid w:val="004B5825"/>
    <w:rsid w:val="004B636F"/>
    <w:rsid w:val="004B6415"/>
    <w:rsid w:val="004B64FA"/>
    <w:rsid w:val="004B6AC9"/>
    <w:rsid w:val="004B7C46"/>
    <w:rsid w:val="004B7F9F"/>
    <w:rsid w:val="004C06CE"/>
    <w:rsid w:val="004C099B"/>
    <w:rsid w:val="004C0DB4"/>
    <w:rsid w:val="004C33E8"/>
    <w:rsid w:val="004C4A96"/>
    <w:rsid w:val="004C4C62"/>
    <w:rsid w:val="004C4E5F"/>
    <w:rsid w:val="004C5875"/>
    <w:rsid w:val="004C5F28"/>
    <w:rsid w:val="004C6997"/>
    <w:rsid w:val="004C6CDB"/>
    <w:rsid w:val="004C7C36"/>
    <w:rsid w:val="004C7D16"/>
    <w:rsid w:val="004D0132"/>
    <w:rsid w:val="004D080F"/>
    <w:rsid w:val="004D185E"/>
    <w:rsid w:val="004D4B61"/>
    <w:rsid w:val="004D606D"/>
    <w:rsid w:val="004D6B20"/>
    <w:rsid w:val="004D6C2F"/>
    <w:rsid w:val="004D6DA2"/>
    <w:rsid w:val="004D71FE"/>
    <w:rsid w:val="004D7A80"/>
    <w:rsid w:val="004D7CA3"/>
    <w:rsid w:val="004E0388"/>
    <w:rsid w:val="004E0894"/>
    <w:rsid w:val="004E135A"/>
    <w:rsid w:val="004E1C50"/>
    <w:rsid w:val="004E20EE"/>
    <w:rsid w:val="004E251F"/>
    <w:rsid w:val="004E2B23"/>
    <w:rsid w:val="004E3390"/>
    <w:rsid w:val="004E416F"/>
    <w:rsid w:val="004E424D"/>
    <w:rsid w:val="004E4D96"/>
    <w:rsid w:val="004E5F45"/>
    <w:rsid w:val="004E64DC"/>
    <w:rsid w:val="004E6F86"/>
    <w:rsid w:val="004E706A"/>
    <w:rsid w:val="004F0671"/>
    <w:rsid w:val="004F0C01"/>
    <w:rsid w:val="004F126D"/>
    <w:rsid w:val="004F15F3"/>
    <w:rsid w:val="004F24B5"/>
    <w:rsid w:val="004F2B02"/>
    <w:rsid w:val="004F2D1B"/>
    <w:rsid w:val="004F2E11"/>
    <w:rsid w:val="004F2FA8"/>
    <w:rsid w:val="004F31BD"/>
    <w:rsid w:val="004F3B34"/>
    <w:rsid w:val="004F3E23"/>
    <w:rsid w:val="004F4767"/>
    <w:rsid w:val="004F498A"/>
    <w:rsid w:val="004F4C20"/>
    <w:rsid w:val="004F51B2"/>
    <w:rsid w:val="004F59C4"/>
    <w:rsid w:val="004F5D65"/>
    <w:rsid w:val="004F70F8"/>
    <w:rsid w:val="004F7230"/>
    <w:rsid w:val="004F77EE"/>
    <w:rsid w:val="004F7D7B"/>
    <w:rsid w:val="00501659"/>
    <w:rsid w:val="00501733"/>
    <w:rsid w:val="00501B75"/>
    <w:rsid w:val="00501C39"/>
    <w:rsid w:val="00502203"/>
    <w:rsid w:val="005027B8"/>
    <w:rsid w:val="00502DE1"/>
    <w:rsid w:val="00503D5D"/>
    <w:rsid w:val="00503F42"/>
    <w:rsid w:val="005054FD"/>
    <w:rsid w:val="00505A66"/>
    <w:rsid w:val="00505EBA"/>
    <w:rsid w:val="00506576"/>
    <w:rsid w:val="00506710"/>
    <w:rsid w:val="00506DC2"/>
    <w:rsid w:val="00506E86"/>
    <w:rsid w:val="0050702C"/>
    <w:rsid w:val="0050723E"/>
    <w:rsid w:val="00507403"/>
    <w:rsid w:val="00507430"/>
    <w:rsid w:val="005101E5"/>
    <w:rsid w:val="005110FB"/>
    <w:rsid w:val="00511D75"/>
    <w:rsid w:val="00512232"/>
    <w:rsid w:val="00513B7E"/>
    <w:rsid w:val="00514597"/>
    <w:rsid w:val="005150AB"/>
    <w:rsid w:val="00515459"/>
    <w:rsid w:val="005172E2"/>
    <w:rsid w:val="005175B3"/>
    <w:rsid w:val="0051769B"/>
    <w:rsid w:val="0052052F"/>
    <w:rsid w:val="00520571"/>
    <w:rsid w:val="00522C8A"/>
    <w:rsid w:val="00523AF8"/>
    <w:rsid w:val="00523F57"/>
    <w:rsid w:val="00523F8F"/>
    <w:rsid w:val="005248F8"/>
    <w:rsid w:val="00524E1E"/>
    <w:rsid w:val="005250F7"/>
    <w:rsid w:val="0052565F"/>
    <w:rsid w:val="00525C8D"/>
    <w:rsid w:val="00526E9C"/>
    <w:rsid w:val="00526FD0"/>
    <w:rsid w:val="005278F8"/>
    <w:rsid w:val="005300ED"/>
    <w:rsid w:val="00531706"/>
    <w:rsid w:val="00531A11"/>
    <w:rsid w:val="00532121"/>
    <w:rsid w:val="00532429"/>
    <w:rsid w:val="00532850"/>
    <w:rsid w:val="005328A9"/>
    <w:rsid w:val="00532C36"/>
    <w:rsid w:val="00532C7A"/>
    <w:rsid w:val="005332FA"/>
    <w:rsid w:val="005335ED"/>
    <w:rsid w:val="00534668"/>
    <w:rsid w:val="005346BF"/>
    <w:rsid w:val="0053472D"/>
    <w:rsid w:val="00534A62"/>
    <w:rsid w:val="00535189"/>
    <w:rsid w:val="005356B6"/>
    <w:rsid w:val="00535D75"/>
    <w:rsid w:val="00535FF9"/>
    <w:rsid w:val="0053609B"/>
    <w:rsid w:val="0053655A"/>
    <w:rsid w:val="00536C74"/>
    <w:rsid w:val="00536ECF"/>
    <w:rsid w:val="0053740F"/>
    <w:rsid w:val="00540D9E"/>
    <w:rsid w:val="0054171A"/>
    <w:rsid w:val="005420CF"/>
    <w:rsid w:val="00542C2A"/>
    <w:rsid w:val="00543122"/>
    <w:rsid w:val="0054337D"/>
    <w:rsid w:val="005438E3"/>
    <w:rsid w:val="00543CAC"/>
    <w:rsid w:val="005440E4"/>
    <w:rsid w:val="00545BEC"/>
    <w:rsid w:val="005463C9"/>
    <w:rsid w:val="005468A5"/>
    <w:rsid w:val="00546A1D"/>
    <w:rsid w:val="00546C8E"/>
    <w:rsid w:val="00546CB9"/>
    <w:rsid w:val="00546E83"/>
    <w:rsid w:val="00550292"/>
    <w:rsid w:val="00551309"/>
    <w:rsid w:val="005517A4"/>
    <w:rsid w:val="00552426"/>
    <w:rsid w:val="00552F1A"/>
    <w:rsid w:val="0055363B"/>
    <w:rsid w:val="00553693"/>
    <w:rsid w:val="00553934"/>
    <w:rsid w:val="00553B71"/>
    <w:rsid w:val="00554C4D"/>
    <w:rsid w:val="00556A43"/>
    <w:rsid w:val="0056087F"/>
    <w:rsid w:val="0056121A"/>
    <w:rsid w:val="005614F5"/>
    <w:rsid w:val="00562195"/>
    <w:rsid w:val="00562575"/>
    <w:rsid w:val="0056261D"/>
    <w:rsid w:val="00562918"/>
    <w:rsid w:val="00563269"/>
    <w:rsid w:val="00564643"/>
    <w:rsid w:val="00564772"/>
    <w:rsid w:val="00566518"/>
    <w:rsid w:val="005669DA"/>
    <w:rsid w:val="00567613"/>
    <w:rsid w:val="00571640"/>
    <w:rsid w:val="00571902"/>
    <w:rsid w:val="0057194C"/>
    <w:rsid w:val="005720AF"/>
    <w:rsid w:val="00572283"/>
    <w:rsid w:val="0057278A"/>
    <w:rsid w:val="00572F6B"/>
    <w:rsid w:val="00573604"/>
    <w:rsid w:val="00573DE2"/>
    <w:rsid w:val="005741B7"/>
    <w:rsid w:val="00574949"/>
    <w:rsid w:val="00574AD1"/>
    <w:rsid w:val="005767F1"/>
    <w:rsid w:val="00576A92"/>
    <w:rsid w:val="00577417"/>
    <w:rsid w:val="005779BD"/>
    <w:rsid w:val="00580009"/>
    <w:rsid w:val="00580850"/>
    <w:rsid w:val="00580912"/>
    <w:rsid w:val="00580D6B"/>
    <w:rsid w:val="00580F14"/>
    <w:rsid w:val="005812AE"/>
    <w:rsid w:val="005813F0"/>
    <w:rsid w:val="0058144C"/>
    <w:rsid w:val="0058159E"/>
    <w:rsid w:val="00582234"/>
    <w:rsid w:val="005824FB"/>
    <w:rsid w:val="00582686"/>
    <w:rsid w:val="005829C4"/>
    <w:rsid w:val="00582D45"/>
    <w:rsid w:val="005860BC"/>
    <w:rsid w:val="00587129"/>
    <w:rsid w:val="005879CE"/>
    <w:rsid w:val="00590156"/>
    <w:rsid w:val="00590B24"/>
    <w:rsid w:val="00590B6C"/>
    <w:rsid w:val="00590E74"/>
    <w:rsid w:val="00591392"/>
    <w:rsid w:val="00591429"/>
    <w:rsid w:val="005915E6"/>
    <w:rsid w:val="00591BEC"/>
    <w:rsid w:val="00591C20"/>
    <w:rsid w:val="005921E8"/>
    <w:rsid w:val="005924E3"/>
    <w:rsid w:val="00592DE3"/>
    <w:rsid w:val="00594948"/>
    <w:rsid w:val="005950B2"/>
    <w:rsid w:val="00595154"/>
    <w:rsid w:val="00595296"/>
    <w:rsid w:val="00595917"/>
    <w:rsid w:val="005969F6"/>
    <w:rsid w:val="00596FEB"/>
    <w:rsid w:val="00597A00"/>
    <w:rsid w:val="00597AB3"/>
    <w:rsid w:val="00597DBB"/>
    <w:rsid w:val="005A118A"/>
    <w:rsid w:val="005A1897"/>
    <w:rsid w:val="005A3B97"/>
    <w:rsid w:val="005A41B4"/>
    <w:rsid w:val="005A45EC"/>
    <w:rsid w:val="005A4A89"/>
    <w:rsid w:val="005A55F6"/>
    <w:rsid w:val="005A57D4"/>
    <w:rsid w:val="005A5C31"/>
    <w:rsid w:val="005A5DB4"/>
    <w:rsid w:val="005A600A"/>
    <w:rsid w:val="005A61A9"/>
    <w:rsid w:val="005A715B"/>
    <w:rsid w:val="005A74D9"/>
    <w:rsid w:val="005A7E88"/>
    <w:rsid w:val="005B01F4"/>
    <w:rsid w:val="005B05BE"/>
    <w:rsid w:val="005B07C7"/>
    <w:rsid w:val="005B0E7B"/>
    <w:rsid w:val="005B1B4F"/>
    <w:rsid w:val="005B2564"/>
    <w:rsid w:val="005B2E53"/>
    <w:rsid w:val="005B2F26"/>
    <w:rsid w:val="005B389B"/>
    <w:rsid w:val="005B4B88"/>
    <w:rsid w:val="005B4C25"/>
    <w:rsid w:val="005B52D8"/>
    <w:rsid w:val="005B57E9"/>
    <w:rsid w:val="005B5DAD"/>
    <w:rsid w:val="005B659A"/>
    <w:rsid w:val="005B65CA"/>
    <w:rsid w:val="005B6D04"/>
    <w:rsid w:val="005B79C6"/>
    <w:rsid w:val="005C04C0"/>
    <w:rsid w:val="005C0912"/>
    <w:rsid w:val="005C1B46"/>
    <w:rsid w:val="005C1ECC"/>
    <w:rsid w:val="005C1F7E"/>
    <w:rsid w:val="005C2057"/>
    <w:rsid w:val="005C20A0"/>
    <w:rsid w:val="005C2EF2"/>
    <w:rsid w:val="005C3AE2"/>
    <w:rsid w:val="005C5258"/>
    <w:rsid w:val="005C57F7"/>
    <w:rsid w:val="005C5E5D"/>
    <w:rsid w:val="005C76FD"/>
    <w:rsid w:val="005C7A6D"/>
    <w:rsid w:val="005C7DC3"/>
    <w:rsid w:val="005D0DAF"/>
    <w:rsid w:val="005D0E2B"/>
    <w:rsid w:val="005D14A4"/>
    <w:rsid w:val="005D1D83"/>
    <w:rsid w:val="005D2614"/>
    <w:rsid w:val="005D2E2B"/>
    <w:rsid w:val="005D3D10"/>
    <w:rsid w:val="005D6E2B"/>
    <w:rsid w:val="005D71BB"/>
    <w:rsid w:val="005E07F3"/>
    <w:rsid w:val="005E0823"/>
    <w:rsid w:val="005E1008"/>
    <w:rsid w:val="005E11E2"/>
    <w:rsid w:val="005E170E"/>
    <w:rsid w:val="005E1DDB"/>
    <w:rsid w:val="005E1F3F"/>
    <w:rsid w:val="005E250E"/>
    <w:rsid w:val="005E3769"/>
    <w:rsid w:val="005E3B68"/>
    <w:rsid w:val="005E4148"/>
    <w:rsid w:val="005E4455"/>
    <w:rsid w:val="005E4674"/>
    <w:rsid w:val="005E4AF5"/>
    <w:rsid w:val="005E4F30"/>
    <w:rsid w:val="005E511D"/>
    <w:rsid w:val="005E55DC"/>
    <w:rsid w:val="005E56C4"/>
    <w:rsid w:val="005E6369"/>
    <w:rsid w:val="005E652A"/>
    <w:rsid w:val="005E68B2"/>
    <w:rsid w:val="005E6C14"/>
    <w:rsid w:val="005E6F87"/>
    <w:rsid w:val="005F043C"/>
    <w:rsid w:val="005F0593"/>
    <w:rsid w:val="005F1BE8"/>
    <w:rsid w:val="005F1C1F"/>
    <w:rsid w:val="005F2ABB"/>
    <w:rsid w:val="005F3375"/>
    <w:rsid w:val="005F354A"/>
    <w:rsid w:val="005F5B5B"/>
    <w:rsid w:val="005F74BD"/>
    <w:rsid w:val="005F7D2F"/>
    <w:rsid w:val="006003A9"/>
    <w:rsid w:val="00600E8E"/>
    <w:rsid w:val="0060127D"/>
    <w:rsid w:val="006018CA"/>
    <w:rsid w:val="006019E6"/>
    <w:rsid w:val="00601AA5"/>
    <w:rsid w:val="006021EE"/>
    <w:rsid w:val="0060270D"/>
    <w:rsid w:val="006034A7"/>
    <w:rsid w:val="006037CC"/>
    <w:rsid w:val="00603A6B"/>
    <w:rsid w:val="006040F2"/>
    <w:rsid w:val="0060449A"/>
    <w:rsid w:val="00604805"/>
    <w:rsid w:val="0060529E"/>
    <w:rsid w:val="00605384"/>
    <w:rsid w:val="00607C2D"/>
    <w:rsid w:val="00610087"/>
    <w:rsid w:val="006101D8"/>
    <w:rsid w:val="006103A4"/>
    <w:rsid w:val="00610922"/>
    <w:rsid w:val="00611D8D"/>
    <w:rsid w:val="006122E2"/>
    <w:rsid w:val="00612464"/>
    <w:rsid w:val="006125AA"/>
    <w:rsid w:val="00613E9D"/>
    <w:rsid w:val="0061423C"/>
    <w:rsid w:val="0061427C"/>
    <w:rsid w:val="00615FAB"/>
    <w:rsid w:val="006169BB"/>
    <w:rsid w:val="00616F11"/>
    <w:rsid w:val="006177F0"/>
    <w:rsid w:val="0062005F"/>
    <w:rsid w:val="00620165"/>
    <w:rsid w:val="006201DC"/>
    <w:rsid w:val="00620985"/>
    <w:rsid w:val="00620BD5"/>
    <w:rsid w:val="00622289"/>
    <w:rsid w:val="00622543"/>
    <w:rsid w:val="00622643"/>
    <w:rsid w:val="00623312"/>
    <w:rsid w:val="0062351E"/>
    <w:rsid w:val="00623E92"/>
    <w:rsid w:val="00623E93"/>
    <w:rsid w:val="00624322"/>
    <w:rsid w:val="006248E3"/>
    <w:rsid w:val="00624B0B"/>
    <w:rsid w:val="0062558F"/>
    <w:rsid w:val="00625D3D"/>
    <w:rsid w:val="00625DB6"/>
    <w:rsid w:val="00626CAC"/>
    <w:rsid w:val="00627AD4"/>
    <w:rsid w:val="0063048A"/>
    <w:rsid w:val="00630F33"/>
    <w:rsid w:val="006312A4"/>
    <w:rsid w:val="006312F8"/>
    <w:rsid w:val="006313C9"/>
    <w:rsid w:val="006317D2"/>
    <w:rsid w:val="00631C0F"/>
    <w:rsid w:val="006348ED"/>
    <w:rsid w:val="00636A18"/>
    <w:rsid w:val="00636C52"/>
    <w:rsid w:val="0063771E"/>
    <w:rsid w:val="006406A6"/>
    <w:rsid w:val="00640A5A"/>
    <w:rsid w:val="00640E6C"/>
    <w:rsid w:val="00642351"/>
    <w:rsid w:val="006424F7"/>
    <w:rsid w:val="00642B0B"/>
    <w:rsid w:val="00642C32"/>
    <w:rsid w:val="006433D0"/>
    <w:rsid w:val="00643467"/>
    <w:rsid w:val="00643A31"/>
    <w:rsid w:val="00643AAE"/>
    <w:rsid w:val="00644A9F"/>
    <w:rsid w:val="00645C5F"/>
    <w:rsid w:val="00646BA0"/>
    <w:rsid w:val="00646F54"/>
    <w:rsid w:val="0065002D"/>
    <w:rsid w:val="00650254"/>
    <w:rsid w:val="006502BB"/>
    <w:rsid w:val="006515EF"/>
    <w:rsid w:val="006530E2"/>
    <w:rsid w:val="006535DE"/>
    <w:rsid w:val="0065453F"/>
    <w:rsid w:val="00654758"/>
    <w:rsid w:val="006563FC"/>
    <w:rsid w:val="00656EAE"/>
    <w:rsid w:val="00657344"/>
    <w:rsid w:val="006602CF"/>
    <w:rsid w:val="00660FB0"/>
    <w:rsid w:val="00661356"/>
    <w:rsid w:val="00662399"/>
    <w:rsid w:val="006628D0"/>
    <w:rsid w:val="00664B40"/>
    <w:rsid w:val="00665061"/>
    <w:rsid w:val="006652FD"/>
    <w:rsid w:val="00665679"/>
    <w:rsid w:val="0066568C"/>
    <w:rsid w:val="0066590A"/>
    <w:rsid w:val="00665DB7"/>
    <w:rsid w:val="00666370"/>
    <w:rsid w:val="0066646F"/>
    <w:rsid w:val="00666775"/>
    <w:rsid w:val="00666A5B"/>
    <w:rsid w:val="0066758F"/>
    <w:rsid w:val="006707E3"/>
    <w:rsid w:val="00670EFB"/>
    <w:rsid w:val="00671380"/>
    <w:rsid w:val="006713F9"/>
    <w:rsid w:val="00672F3E"/>
    <w:rsid w:val="00673BF2"/>
    <w:rsid w:val="00673C58"/>
    <w:rsid w:val="0067494B"/>
    <w:rsid w:val="00674996"/>
    <w:rsid w:val="00674DB0"/>
    <w:rsid w:val="00675296"/>
    <w:rsid w:val="006766B8"/>
    <w:rsid w:val="00677143"/>
    <w:rsid w:val="00677EE3"/>
    <w:rsid w:val="006807E1"/>
    <w:rsid w:val="00680DE4"/>
    <w:rsid w:val="0068116A"/>
    <w:rsid w:val="006823D9"/>
    <w:rsid w:val="00683367"/>
    <w:rsid w:val="006835E3"/>
    <w:rsid w:val="00683B8F"/>
    <w:rsid w:val="006841B1"/>
    <w:rsid w:val="0068436A"/>
    <w:rsid w:val="0068523F"/>
    <w:rsid w:val="006855A0"/>
    <w:rsid w:val="006861C4"/>
    <w:rsid w:val="00686C23"/>
    <w:rsid w:val="00687033"/>
    <w:rsid w:val="00687D28"/>
    <w:rsid w:val="00687EC6"/>
    <w:rsid w:val="00690AC8"/>
    <w:rsid w:val="00690CCF"/>
    <w:rsid w:val="00690E24"/>
    <w:rsid w:val="00691626"/>
    <w:rsid w:val="006934EC"/>
    <w:rsid w:val="006936CD"/>
    <w:rsid w:val="0069391C"/>
    <w:rsid w:val="00693EA8"/>
    <w:rsid w:val="0069493D"/>
    <w:rsid w:val="00694C13"/>
    <w:rsid w:val="00694FF9"/>
    <w:rsid w:val="006954E8"/>
    <w:rsid w:val="0069620B"/>
    <w:rsid w:val="0069659F"/>
    <w:rsid w:val="00696801"/>
    <w:rsid w:val="0069758F"/>
    <w:rsid w:val="006978DB"/>
    <w:rsid w:val="00697989"/>
    <w:rsid w:val="006979EF"/>
    <w:rsid w:val="006A049D"/>
    <w:rsid w:val="006A0623"/>
    <w:rsid w:val="006A12AE"/>
    <w:rsid w:val="006A12E9"/>
    <w:rsid w:val="006A1BC6"/>
    <w:rsid w:val="006A217F"/>
    <w:rsid w:val="006A272F"/>
    <w:rsid w:val="006A4F56"/>
    <w:rsid w:val="006A54EF"/>
    <w:rsid w:val="006A58A2"/>
    <w:rsid w:val="006A5A39"/>
    <w:rsid w:val="006A5C7F"/>
    <w:rsid w:val="006A6263"/>
    <w:rsid w:val="006A6484"/>
    <w:rsid w:val="006A652E"/>
    <w:rsid w:val="006A7EA3"/>
    <w:rsid w:val="006B022C"/>
    <w:rsid w:val="006B07D8"/>
    <w:rsid w:val="006B0CEB"/>
    <w:rsid w:val="006B13C1"/>
    <w:rsid w:val="006B1707"/>
    <w:rsid w:val="006B212D"/>
    <w:rsid w:val="006B2489"/>
    <w:rsid w:val="006B3215"/>
    <w:rsid w:val="006B3348"/>
    <w:rsid w:val="006B3448"/>
    <w:rsid w:val="006B4F5C"/>
    <w:rsid w:val="006B5062"/>
    <w:rsid w:val="006B5725"/>
    <w:rsid w:val="006B6BDE"/>
    <w:rsid w:val="006B6CBE"/>
    <w:rsid w:val="006B71E4"/>
    <w:rsid w:val="006B721D"/>
    <w:rsid w:val="006C00B5"/>
    <w:rsid w:val="006C0601"/>
    <w:rsid w:val="006C1170"/>
    <w:rsid w:val="006C2506"/>
    <w:rsid w:val="006C2952"/>
    <w:rsid w:val="006C348B"/>
    <w:rsid w:val="006C34C1"/>
    <w:rsid w:val="006C374C"/>
    <w:rsid w:val="006C4E73"/>
    <w:rsid w:val="006C4EB7"/>
    <w:rsid w:val="006C5014"/>
    <w:rsid w:val="006C565B"/>
    <w:rsid w:val="006C5D35"/>
    <w:rsid w:val="006C75FA"/>
    <w:rsid w:val="006C7FAC"/>
    <w:rsid w:val="006D0421"/>
    <w:rsid w:val="006D047B"/>
    <w:rsid w:val="006D11C3"/>
    <w:rsid w:val="006D1D18"/>
    <w:rsid w:val="006D2594"/>
    <w:rsid w:val="006D2BD4"/>
    <w:rsid w:val="006D30C4"/>
    <w:rsid w:val="006D407D"/>
    <w:rsid w:val="006D4750"/>
    <w:rsid w:val="006D477F"/>
    <w:rsid w:val="006D47BC"/>
    <w:rsid w:val="006D4ACA"/>
    <w:rsid w:val="006D5843"/>
    <w:rsid w:val="006D59EA"/>
    <w:rsid w:val="006D6871"/>
    <w:rsid w:val="006D6CA2"/>
    <w:rsid w:val="006D71D3"/>
    <w:rsid w:val="006E1FB4"/>
    <w:rsid w:val="006E24D7"/>
    <w:rsid w:val="006E3415"/>
    <w:rsid w:val="006E3962"/>
    <w:rsid w:val="006E464C"/>
    <w:rsid w:val="006E4970"/>
    <w:rsid w:val="006E4A6B"/>
    <w:rsid w:val="006E4CCB"/>
    <w:rsid w:val="006E4CCC"/>
    <w:rsid w:val="006E4EC5"/>
    <w:rsid w:val="006E516B"/>
    <w:rsid w:val="006E64FC"/>
    <w:rsid w:val="006E6536"/>
    <w:rsid w:val="006E69AE"/>
    <w:rsid w:val="006E78A4"/>
    <w:rsid w:val="006E7A04"/>
    <w:rsid w:val="006F065D"/>
    <w:rsid w:val="006F0C10"/>
    <w:rsid w:val="006F1EFB"/>
    <w:rsid w:val="006F29B4"/>
    <w:rsid w:val="006F3143"/>
    <w:rsid w:val="006F5A8D"/>
    <w:rsid w:val="006F6DDA"/>
    <w:rsid w:val="006F7041"/>
    <w:rsid w:val="0070068B"/>
    <w:rsid w:val="00700990"/>
    <w:rsid w:val="00700CF4"/>
    <w:rsid w:val="007016BE"/>
    <w:rsid w:val="007025A3"/>
    <w:rsid w:val="007030B9"/>
    <w:rsid w:val="00703181"/>
    <w:rsid w:val="007042E7"/>
    <w:rsid w:val="007044EC"/>
    <w:rsid w:val="00704571"/>
    <w:rsid w:val="007048F0"/>
    <w:rsid w:val="007048F1"/>
    <w:rsid w:val="00705362"/>
    <w:rsid w:val="0070604E"/>
    <w:rsid w:val="00706EA7"/>
    <w:rsid w:val="0070718C"/>
    <w:rsid w:val="007102D2"/>
    <w:rsid w:val="00710751"/>
    <w:rsid w:val="00711526"/>
    <w:rsid w:val="0071165C"/>
    <w:rsid w:val="00711CAD"/>
    <w:rsid w:val="0071201B"/>
    <w:rsid w:val="007147A8"/>
    <w:rsid w:val="007153F0"/>
    <w:rsid w:val="007154CF"/>
    <w:rsid w:val="007159A1"/>
    <w:rsid w:val="00716812"/>
    <w:rsid w:val="00716DC4"/>
    <w:rsid w:val="007171DB"/>
    <w:rsid w:val="00717651"/>
    <w:rsid w:val="0071796A"/>
    <w:rsid w:val="00717A8D"/>
    <w:rsid w:val="00717BF6"/>
    <w:rsid w:val="00717F9F"/>
    <w:rsid w:val="00720493"/>
    <w:rsid w:val="00720B9E"/>
    <w:rsid w:val="00721887"/>
    <w:rsid w:val="00721CC5"/>
    <w:rsid w:val="007224ED"/>
    <w:rsid w:val="00722FD8"/>
    <w:rsid w:val="00724291"/>
    <w:rsid w:val="00724D0C"/>
    <w:rsid w:val="0072590A"/>
    <w:rsid w:val="00725996"/>
    <w:rsid w:val="00726886"/>
    <w:rsid w:val="0072724E"/>
    <w:rsid w:val="00727381"/>
    <w:rsid w:val="00727924"/>
    <w:rsid w:val="00730896"/>
    <w:rsid w:val="007314BA"/>
    <w:rsid w:val="00732A2D"/>
    <w:rsid w:val="00732D06"/>
    <w:rsid w:val="00733E70"/>
    <w:rsid w:val="00733FFC"/>
    <w:rsid w:val="0073438B"/>
    <w:rsid w:val="007343F1"/>
    <w:rsid w:val="0073490E"/>
    <w:rsid w:val="0073536C"/>
    <w:rsid w:val="007359A2"/>
    <w:rsid w:val="007360A9"/>
    <w:rsid w:val="0073699B"/>
    <w:rsid w:val="0073710F"/>
    <w:rsid w:val="00737362"/>
    <w:rsid w:val="00737753"/>
    <w:rsid w:val="00740569"/>
    <w:rsid w:val="007409AA"/>
    <w:rsid w:val="007411F4"/>
    <w:rsid w:val="007413BF"/>
    <w:rsid w:val="00741968"/>
    <w:rsid w:val="00741BDD"/>
    <w:rsid w:val="00743A58"/>
    <w:rsid w:val="00743D1C"/>
    <w:rsid w:val="00743D29"/>
    <w:rsid w:val="0074406C"/>
    <w:rsid w:val="00744146"/>
    <w:rsid w:val="00745153"/>
    <w:rsid w:val="00745844"/>
    <w:rsid w:val="007460ED"/>
    <w:rsid w:val="0074661C"/>
    <w:rsid w:val="00746A2F"/>
    <w:rsid w:val="00746D3B"/>
    <w:rsid w:val="00746F4E"/>
    <w:rsid w:val="007472EF"/>
    <w:rsid w:val="00747669"/>
    <w:rsid w:val="00751097"/>
    <w:rsid w:val="00751E1F"/>
    <w:rsid w:val="0075296E"/>
    <w:rsid w:val="00752F33"/>
    <w:rsid w:val="0075319C"/>
    <w:rsid w:val="007531A5"/>
    <w:rsid w:val="007535E3"/>
    <w:rsid w:val="00753A92"/>
    <w:rsid w:val="00753FCB"/>
    <w:rsid w:val="007542B1"/>
    <w:rsid w:val="007550FE"/>
    <w:rsid w:val="00755EE8"/>
    <w:rsid w:val="00756609"/>
    <w:rsid w:val="007566A7"/>
    <w:rsid w:val="00756E30"/>
    <w:rsid w:val="0075707E"/>
    <w:rsid w:val="00757941"/>
    <w:rsid w:val="007639A5"/>
    <w:rsid w:val="00763EE9"/>
    <w:rsid w:val="00764375"/>
    <w:rsid w:val="007653BF"/>
    <w:rsid w:val="00765630"/>
    <w:rsid w:val="00765919"/>
    <w:rsid w:val="007661BB"/>
    <w:rsid w:val="0076653E"/>
    <w:rsid w:val="00766647"/>
    <w:rsid w:val="0076786D"/>
    <w:rsid w:val="00770E63"/>
    <w:rsid w:val="00774469"/>
    <w:rsid w:val="00774752"/>
    <w:rsid w:val="00775291"/>
    <w:rsid w:val="0077594E"/>
    <w:rsid w:val="00775FB9"/>
    <w:rsid w:val="00776268"/>
    <w:rsid w:val="00777495"/>
    <w:rsid w:val="0078016F"/>
    <w:rsid w:val="007805EC"/>
    <w:rsid w:val="007808A4"/>
    <w:rsid w:val="00780928"/>
    <w:rsid w:val="00780FA6"/>
    <w:rsid w:val="00781689"/>
    <w:rsid w:val="00781EF6"/>
    <w:rsid w:val="007822D6"/>
    <w:rsid w:val="00782394"/>
    <w:rsid w:val="00782848"/>
    <w:rsid w:val="007829B1"/>
    <w:rsid w:val="00783873"/>
    <w:rsid w:val="007847D1"/>
    <w:rsid w:val="00784924"/>
    <w:rsid w:val="00785D82"/>
    <w:rsid w:val="0078647B"/>
    <w:rsid w:val="00786ED4"/>
    <w:rsid w:val="0078716F"/>
    <w:rsid w:val="007873C8"/>
    <w:rsid w:val="0078793D"/>
    <w:rsid w:val="00790F50"/>
    <w:rsid w:val="00791374"/>
    <w:rsid w:val="00792B66"/>
    <w:rsid w:val="0079352C"/>
    <w:rsid w:val="00793B34"/>
    <w:rsid w:val="00793B84"/>
    <w:rsid w:val="00793D87"/>
    <w:rsid w:val="00794795"/>
    <w:rsid w:val="007949E6"/>
    <w:rsid w:val="00794CC2"/>
    <w:rsid w:val="00794D98"/>
    <w:rsid w:val="00794F29"/>
    <w:rsid w:val="00795A2A"/>
    <w:rsid w:val="007964B5"/>
    <w:rsid w:val="007972FB"/>
    <w:rsid w:val="00797800"/>
    <w:rsid w:val="007A02BC"/>
    <w:rsid w:val="007A099F"/>
    <w:rsid w:val="007A0ADA"/>
    <w:rsid w:val="007A0F0F"/>
    <w:rsid w:val="007A16EB"/>
    <w:rsid w:val="007A26C4"/>
    <w:rsid w:val="007A2742"/>
    <w:rsid w:val="007A2F96"/>
    <w:rsid w:val="007A33C4"/>
    <w:rsid w:val="007A49D9"/>
    <w:rsid w:val="007A5620"/>
    <w:rsid w:val="007B01E7"/>
    <w:rsid w:val="007B0810"/>
    <w:rsid w:val="007B104F"/>
    <w:rsid w:val="007B1418"/>
    <w:rsid w:val="007B150E"/>
    <w:rsid w:val="007B1C29"/>
    <w:rsid w:val="007B2177"/>
    <w:rsid w:val="007B7BB1"/>
    <w:rsid w:val="007C0B47"/>
    <w:rsid w:val="007C1229"/>
    <w:rsid w:val="007C17AB"/>
    <w:rsid w:val="007C1DFF"/>
    <w:rsid w:val="007C1E1D"/>
    <w:rsid w:val="007C2145"/>
    <w:rsid w:val="007C2349"/>
    <w:rsid w:val="007C377C"/>
    <w:rsid w:val="007C3815"/>
    <w:rsid w:val="007C3B7F"/>
    <w:rsid w:val="007C5B20"/>
    <w:rsid w:val="007C65FA"/>
    <w:rsid w:val="007C7F3A"/>
    <w:rsid w:val="007D069C"/>
    <w:rsid w:val="007D1AFD"/>
    <w:rsid w:val="007D1E73"/>
    <w:rsid w:val="007D23C4"/>
    <w:rsid w:val="007D2FC8"/>
    <w:rsid w:val="007D408D"/>
    <w:rsid w:val="007D4CD5"/>
    <w:rsid w:val="007D52A7"/>
    <w:rsid w:val="007D619D"/>
    <w:rsid w:val="007D658F"/>
    <w:rsid w:val="007D6D6F"/>
    <w:rsid w:val="007D6E6D"/>
    <w:rsid w:val="007D6F5D"/>
    <w:rsid w:val="007D7604"/>
    <w:rsid w:val="007D7AA9"/>
    <w:rsid w:val="007E075D"/>
    <w:rsid w:val="007E1008"/>
    <w:rsid w:val="007E170B"/>
    <w:rsid w:val="007E18BA"/>
    <w:rsid w:val="007E18FA"/>
    <w:rsid w:val="007E1DF2"/>
    <w:rsid w:val="007E2888"/>
    <w:rsid w:val="007E32D4"/>
    <w:rsid w:val="007E3514"/>
    <w:rsid w:val="007E3829"/>
    <w:rsid w:val="007E402B"/>
    <w:rsid w:val="007E495E"/>
    <w:rsid w:val="007E5FF3"/>
    <w:rsid w:val="007E65FE"/>
    <w:rsid w:val="007E6782"/>
    <w:rsid w:val="007E6B64"/>
    <w:rsid w:val="007E7679"/>
    <w:rsid w:val="007E79F5"/>
    <w:rsid w:val="007E7AF0"/>
    <w:rsid w:val="007E7ED5"/>
    <w:rsid w:val="007F02BF"/>
    <w:rsid w:val="007F1BC2"/>
    <w:rsid w:val="007F1CCC"/>
    <w:rsid w:val="007F25B4"/>
    <w:rsid w:val="007F2C38"/>
    <w:rsid w:val="007F2EFF"/>
    <w:rsid w:val="007F3683"/>
    <w:rsid w:val="007F39D7"/>
    <w:rsid w:val="007F3A04"/>
    <w:rsid w:val="007F51FF"/>
    <w:rsid w:val="007F5557"/>
    <w:rsid w:val="007F5CD4"/>
    <w:rsid w:val="007F61E2"/>
    <w:rsid w:val="007F730F"/>
    <w:rsid w:val="007F7563"/>
    <w:rsid w:val="007F7A54"/>
    <w:rsid w:val="007F7AB8"/>
    <w:rsid w:val="00800125"/>
    <w:rsid w:val="0080026A"/>
    <w:rsid w:val="00800EAD"/>
    <w:rsid w:val="00800FCD"/>
    <w:rsid w:val="00801057"/>
    <w:rsid w:val="00801387"/>
    <w:rsid w:val="00801BFF"/>
    <w:rsid w:val="0080250E"/>
    <w:rsid w:val="0080281E"/>
    <w:rsid w:val="0080288E"/>
    <w:rsid w:val="00803DDF"/>
    <w:rsid w:val="00805261"/>
    <w:rsid w:val="0080563D"/>
    <w:rsid w:val="00805F75"/>
    <w:rsid w:val="00806071"/>
    <w:rsid w:val="008078AC"/>
    <w:rsid w:val="00807BFE"/>
    <w:rsid w:val="00807C1B"/>
    <w:rsid w:val="00810489"/>
    <w:rsid w:val="00810B18"/>
    <w:rsid w:val="00811026"/>
    <w:rsid w:val="00811B7A"/>
    <w:rsid w:val="00811E77"/>
    <w:rsid w:val="00812638"/>
    <w:rsid w:val="00812720"/>
    <w:rsid w:val="00812AE2"/>
    <w:rsid w:val="00812CD4"/>
    <w:rsid w:val="00812D71"/>
    <w:rsid w:val="00814892"/>
    <w:rsid w:val="00814D78"/>
    <w:rsid w:val="00815167"/>
    <w:rsid w:val="008151B0"/>
    <w:rsid w:val="00816744"/>
    <w:rsid w:val="0081696D"/>
    <w:rsid w:val="00816B36"/>
    <w:rsid w:val="00817452"/>
    <w:rsid w:val="0081758D"/>
    <w:rsid w:val="00817C39"/>
    <w:rsid w:val="00817C8A"/>
    <w:rsid w:val="00820136"/>
    <w:rsid w:val="0082098B"/>
    <w:rsid w:val="00821E84"/>
    <w:rsid w:val="00822005"/>
    <w:rsid w:val="0082256B"/>
    <w:rsid w:val="008225BB"/>
    <w:rsid w:val="00822609"/>
    <w:rsid w:val="00822B0C"/>
    <w:rsid w:val="00822C45"/>
    <w:rsid w:val="008231D9"/>
    <w:rsid w:val="00823810"/>
    <w:rsid w:val="008241E4"/>
    <w:rsid w:val="00824912"/>
    <w:rsid w:val="00824F1A"/>
    <w:rsid w:val="00825B07"/>
    <w:rsid w:val="008265E8"/>
    <w:rsid w:val="00826634"/>
    <w:rsid w:val="00826C0C"/>
    <w:rsid w:val="00827E75"/>
    <w:rsid w:val="00830810"/>
    <w:rsid w:val="008309CF"/>
    <w:rsid w:val="00830AF8"/>
    <w:rsid w:val="00830DC0"/>
    <w:rsid w:val="00831427"/>
    <w:rsid w:val="00831C09"/>
    <w:rsid w:val="00831C68"/>
    <w:rsid w:val="008322FB"/>
    <w:rsid w:val="0083272D"/>
    <w:rsid w:val="00832E6A"/>
    <w:rsid w:val="00833E4E"/>
    <w:rsid w:val="0083473D"/>
    <w:rsid w:val="00834990"/>
    <w:rsid w:val="00834AF4"/>
    <w:rsid w:val="00834BEC"/>
    <w:rsid w:val="00834D47"/>
    <w:rsid w:val="00834DC9"/>
    <w:rsid w:val="00834FAF"/>
    <w:rsid w:val="00835389"/>
    <w:rsid w:val="00835459"/>
    <w:rsid w:val="008356D1"/>
    <w:rsid w:val="008358DA"/>
    <w:rsid w:val="00836CC0"/>
    <w:rsid w:val="008373F3"/>
    <w:rsid w:val="00840350"/>
    <w:rsid w:val="00840409"/>
    <w:rsid w:val="0084055F"/>
    <w:rsid w:val="008405C8"/>
    <w:rsid w:val="0084098C"/>
    <w:rsid w:val="008411FD"/>
    <w:rsid w:val="0084138C"/>
    <w:rsid w:val="00841542"/>
    <w:rsid w:val="0084154A"/>
    <w:rsid w:val="008429DB"/>
    <w:rsid w:val="00842BA8"/>
    <w:rsid w:val="0084324E"/>
    <w:rsid w:val="00843326"/>
    <w:rsid w:val="00844B2A"/>
    <w:rsid w:val="00844ED2"/>
    <w:rsid w:val="0084562E"/>
    <w:rsid w:val="00845CAA"/>
    <w:rsid w:val="0084736D"/>
    <w:rsid w:val="008479BC"/>
    <w:rsid w:val="00847C79"/>
    <w:rsid w:val="008509B7"/>
    <w:rsid w:val="00850A19"/>
    <w:rsid w:val="0085106C"/>
    <w:rsid w:val="008514EC"/>
    <w:rsid w:val="00851F31"/>
    <w:rsid w:val="0085233E"/>
    <w:rsid w:val="008524F7"/>
    <w:rsid w:val="00852A9A"/>
    <w:rsid w:val="008534FA"/>
    <w:rsid w:val="00853616"/>
    <w:rsid w:val="00853704"/>
    <w:rsid w:val="00853C23"/>
    <w:rsid w:val="0085413E"/>
    <w:rsid w:val="00854674"/>
    <w:rsid w:val="00854784"/>
    <w:rsid w:val="00854C8E"/>
    <w:rsid w:val="0085729A"/>
    <w:rsid w:val="008575ED"/>
    <w:rsid w:val="00857F3D"/>
    <w:rsid w:val="008600E4"/>
    <w:rsid w:val="00860F08"/>
    <w:rsid w:val="008612F5"/>
    <w:rsid w:val="00861F9D"/>
    <w:rsid w:val="0086307F"/>
    <w:rsid w:val="00863113"/>
    <w:rsid w:val="008639AD"/>
    <w:rsid w:val="00863BFD"/>
    <w:rsid w:val="00863C1F"/>
    <w:rsid w:val="00863E8B"/>
    <w:rsid w:val="0086436B"/>
    <w:rsid w:val="00870856"/>
    <w:rsid w:val="008708CA"/>
    <w:rsid w:val="0087157B"/>
    <w:rsid w:val="00873467"/>
    <w:rsid w:val="00873845"/>
    <w:rsid w:val="00874BE8"/>
    <w:rsid w:val="00876522"/>
    <w:rsid w:val="00876AE3"/>
    <w:rsid w:val="008775DB"/>
    <w:rsid w:val="00877B07"/>
    <w:rsid w:val="00877B7A"/>
    <w:rsid w:val="00880EFA"/>
    <w:rsid w:val="00881EBC"/>
    <w:rsid w:val="008828DF"/>
    <w:rsid w:val="00882E91"/>
    <w:rsid w:val="00882EA8"/>
    <w:rsid w:val="00883EE1"/>
    <w:rsid w:val="0088421A"/>
    <w:rsid w:val="00884ED2"/>
    <w:rsid w:val="00885317"/>
    <w:rsid w:val="0088567D"/>
    <w:rsid w:val="00885D0E"/>
    <w:rsid w:val="008863EC"/>
    <w:rsid w:val="00886D85"/>
    <w:rsid w:val="00887227"/>
    <w:rsid w:val="008900AA"/>
    <w:rsid w:val="00890427"/>
    <w:rsid w:val="0089096B"/>
    <w:rsid w:val="008919D4"/>
    <w:rsid w:val="00891F15"/>
    <w:rsid w:val="00892157"/>
    <w:rsid w:val="0089225A"/>
    <w:rsid w:val="00892AC0"/>
    <w:rsid w:val="008934FE"/>
    <w:rsid w:val="00893B5D"/>
    <w:rsid w:val="00893E2F"/>
    <w:rsid w:val="008944DB"/>
    <w:rsid w:val="0089594E"/>
    <w:rsid w:val="008968C4"/>
    <w:rsid w:val="00897463"/>
    <w:rsid w:val="0089753B"/>
    <w:rsid w:val="00897911"/>
    <w:rsid w:val="00897B11"/>
    <w:rsid w:val="008A03BE"/>
    <w:rsid w:val="008A1C8E"/>
    <w:rsid w:val="008A2377"/>
    <w:rsid w:val="008A2E17"/>
    <w:rsid w:val="008A344E"/>
    <w:rsid w:val="008A3721"/>
    <w:rsid w:val="008A382F"/>
    <w:rsid w:val="008A39A0"/>
    <w:rsid w:val="008A39AD"/>
    <w:rsid w:val="008A3DB6"/>
    <w:rsid w:val="008A56ED"/>
    <w:rsid w:val="008A5BE4"/>
    <w:rsid w:val="008A7E3B"/>
    <w:rsid w:val="008B0364"/>
    <w:rsid w:val="008B0379"/>
    <w:rsid w:val="008B05C9"/>
    <w:rsid w:val="008B0D70"/>
    <w:rsid w:val="008B0EA7"/>
    <w:rsid w:val="008B18C5"/>
    <w:rsid w:val="008B480A"/>
    <w:rsid w:val="008B4F76"/>
    <w:rsid w:val="008B58D9"/>
    <w:rsid w:val="008B64DC"/>
    <w:rsid w:val="008B6AFD"/>
    <w:rsid w:val="008B70D9"/>
    <w:rsid w:val="008B7C23"/>
    <w:rsid w:val="008C07A9"/>
    <w:rsid w:val="008C0A39"/>
    <w:rsid w:val="008C1814"/>
    <w:rsid w:val="008C3CCC"/>
    <w:rsid w:val="008C4084"/>
    <w:rsid w:val="008C4116"/>
    <w:rsid w:val="008C4162"/>
    <w:rsid w:val="008C43A5"/>
    <w:rsid w:val="008C5C81"/>
    <w:rsid w:val="008C6580"/>
    <w:rsid w:val="008C7375"/>
    <w:rsid w:val="008C79F3"/>
    <w:rsid w:val="008D0267"/>
    <w:rsid w:val="008D02BA"/>
    <w:rsid w:val="008D04D0"/>
    <w:rsid w:val="008D1097"/>
    <w:rsid w:val="008D137F"/>
    <w:rsid w:val="008D1417"/>
    <w:rsid w:val="008D1F27"/>
    <w:rsid w:val="008D2F95"/>
    <w:rsid w:val="008D384C"/>
    <w:rsid w:val="008D3EF5"/>
    <w:rsid w:val="008D483E"/>
    <w:rsid w:val="008D4BD7"/>
    <w:rsid w:val="008D56F1"/>
    <w:rsid w:val="008D6375"/>
    <w:rsid w:val="008E02E0"/>
    <w:rsid w:val="008E0670"/>
    <w:rsid w:val="008E114F"/>
    <w:rsid w:val="008E1153"/>
    <w:rsid w:val="008E1495"/>
    <w:rsid w:val="008E1D76"/>
    <w:rsid w:val="008E228B"/>
    <w:rsid w:val="008E2594"/>
    <w:rsid w:val="008E3455"/>
    <w:rsid w:val="008E3BFB"/>
    <w:rsid w:val="008E50BD"/>
    <w:rsid w:val="008E5755"/>
    <w:rsid w:val="008E6356"/>
    <w:rsid w:val="008E6529"/>
    <w:rsid w:val="008E6C51"/>
    <w:rsid w:val="008E6F7A"/>
    <w:rsid w:val="008E7734"/>
    <w:rsid w:val="008F07ED"/>
    <w:rsid w:val="008F142D"/>
    <w:rsid w:val="008F1674"/>
    <w:rsid w:val="008F192D"/>
    <w:rsid w:val="008F2699"/>
    <w:rsid w:val="008F3FE5"/>
    <w:rsid w:val="008F42D7"/>
    <w:rsid w:val="008F4382"/>
    <w:rsid w:val="008F4CE7"/>
    <w:rsid w:val="008F629F"/>
    <w:rsid w:val="008F6537"/>
    <w:rsid w:val="008F7B07"/>
    <w:rsid w:val="00900590"/>
    <w:rsid w:val="00901459"/>
    <w:rsid w:val="00901C47"/>
    <w:rsid w:val="0090328B"/>
    <w:rsid w:val="009032E9"/>
    <w:rsid w:val="00903C3E"/>
    <w:rsid w:val="00903EFE"/>
    <w:rsid w:val="009040EB"/>
    <w:rsid w:val="0090437C"/>
    <w:rsid w:val="0090472D"/>
    <w:rsid w:val="00904DBE"/>
    <w:rsid w:val="0090518E"/>
    <w:rsid w:val="0090563D"/>
    <w:rsid w:val="00906EF4"/>
    <w:rsid w:val="00910D9D"/>
    <w:rsid w:val="00910F33"/>
    <w:rsid w:val="00911691"/>
    <w:rsid w:val="009118B0"/>
    <w:rsid w:val="009124E6"/>
    <w:rsid w:val="00913944"/>
    <w:rsid w:val="009147E0"/>
    <w:rsid w:val="00916440"/>
    <w:rsid w:val="00916748"/>
    <w:rsid w:val="00917332"/>
    <w:rsid w:val="009177FA"/>
    <w:rsid w:val="009201C7"/>
    <w:rsid w:val="009202C5"/>
    <w:rsid w:val="00920773"/>
    <w:rsid w:val="009209C5"/>
    <w:rsid w:val="00921817"/>
    <w:rsid w:val="00922327"/>
    <w:rsid w:val="0092265F"/>
    <w:rsid w:val="0092359E"/>
    <w:rsid w:val="00923EA0"/>
    <w:rsid w:val="0092474D"/>
    <w:rsid w:val="0092598F"/>
    <w:rsid w:val="00925FF9"/>
    <w:rsid w:val="00927B0A"/>
    <w:rsid w:val="00927E94"/>
    <w:rsid w:val="00930743"/>
    <w:rsid w:val="00931282"/>
    <w:rsid w:val="00931457"/>
    <w:rsid w:val="009315B3"/>
    <w:rsid w:val="0093167B"/>
    <w:rsid w:val="0093175E"/>
    <w:rsid w:val="00932333"/>
    <w:rsid w:val="00932567"/>
    <w:rsid w:val="009326C6"/>
    <w:rsid w:val="00933665"/>
    <w:rsid w:val="00933695"/>
    <w:rsid w:val="00933CF4"/>
    <w:rsid w:val="00933F52"/>
    <w:rsid w:val="0093661E"/>
    <w:rsid w:val="00936789"/>
    <w:rsid w:val="00936EF5"/>
    <w:rsid w:val="009372E1"/>
    <w:rsid w:val="0093736F"/>
    <w:rsid w:val="00937FBA"/>
    <w:rsid w:val="00940E29"/>
    <w:rsid w:val="0094325C"/>
    <w:rsid w:val="00945766"/>
    <w:rsid w:val="009457AC"/>
    <w:rsid w:val="00945B1E"/>
    <w:rsid w:val="0094609D"/>
    <w:rsid w:val="00946484"/>
    <w:rsid w:val="00946970"/>
    <w:rsid w:val="00946B28"/>
    <w:rsid w:val="00947200"/>
    <w:rsid w:val="00947447"/>
    <w:rsid w:val="00947A17"/>
    <w:rsid w:val="00947AC7"/>
    <w:rsid w:val="009510F9"/>
    <w:rsid w:val="009516DD"/>
    <w:rsid w:val="00951D77"/>
    <w:rsid w:val="00951F1A"/>
    <w:rsid w:val="00953586"/>
    <w:rsid w:val="0095377C"/>
    <w:rsid w:val="00953A0D"/>
    <w:rsid w:val="00954532"/>
    <w:rsid w:val="00954C5C"/>
    <w:rsid w:val="00954D4A"/>
    <w:rsid w:val="009552E3"/>
    <w:rsid w:val="00955666"/>
    <w:rsid w:val="00955E1B"/>
    <w:rsid w:val="00955F37"/>
    <w:rsid w:val="0095706B"/>
    <w:rsid w:val="009570F9"/>
    <w:rsid w:val="009571B0"/>
    <w:rsid w:val="009573EB"/>
    <w:rsid w:val="00960092"/>
    <w:rsid w:val="00960671"/>
    <w:rsid w:val="0096083A"/>
    <w:rsid w:val="009610B1"/>
    <w:rsid w:val="009618CD"/>
    <w:rsid w:val="00961F2F"/>
    <w:rsid w:val="009621E4"/>
    <w:rsid w:val="00962429"/>
    <w:rsid w:val="00964583"/>
    <w:rsid w:val="00964775"/>
    <w:rsid w:val="00964ACE"/>
    <w:rsid w:val="009652A3"/>
    <w:rsid w:val="009659F8"/>
    <w:rsid w:val="009664CB"/>
    <w:rsid w:val="00966CC0"/>
    <w:rsid w:val="009671A1"/>
    <w:rsid w:val="0097179C"/>
    <w:rsid w:val="0097191C"/>
    <w:rsid w:val="0097198A"/>
    <w:rsid w:val="009734BF"/>
    <w:rsid w:val="009737F3"/>
    <w:rsid w:val="00973C3E"/>
    <w:rsid w:val="00974364"/>
    <w:rsid w:val="00974ACC"/>
    <w:rsid w:val="00974C49"/>
    <w:rsid w:val="00974EE4"/>
    <w:rsid w:val="009754CE"/>
    <w:rsid w:val="009756B6"/>
    <w:rsid w:val="00975EF7"/>
    <w:rsid w:val="009774BE"/>
    <w:rsid w:val="0098008E"/>
    <w:rsid w:val="009801D6"/>
    <w:rsid w:val="009802D1"/>
    <w:rsid w:val="0098050A"/>
    <w:rsid w:val="00980592"/>
    <w:rsid w:val="009806B0"/>
    <w:rsid w:val="009807B8"/>
    <w:rsid w:val="00981E56"/>
    <w:rsid w:val="00982142"/>
    <w:rsid w:val="00982639"/>
    <w:rsid w:val="00982EEA"/>
    <w:rsid w:val="00982F82"/>
    <w:rsid w:val="009831E2"/>
    <w:rsid w:val="00983255"/>
    <w:rsid w:val="00983D12"/>
    <w:rsid w:val="00983E5F"/>
    <w:rsid w:val="00985051"/>
    <w:rsid w:val="00985DA2"/>
    <w:rsid w:val="0098660C"/>
    <w:rsid w:val="00987DF4"/>
    <w:rsid w:val="00990175"/>
    <w:rsid w:val="00990561"/>
    <w:rsid w:val="00991DB4"/>
    <w:rsid w:val="00991ED6"/>
    <w:rsid w:val="009920A0"/>
    <w:rsid w:val="00992E8A"/>
    <w:rsid w:val="00992E8D"/>
    <w:rsid w:val="009937FD"/>
    <w:rsid w:val="00994F4D"/>
    <w:rsid w:val="0099532E"/>
    <w:rsid w:val="0099582B"/>
    <w:rsid w:val="00995DAF"/>
    <w:rsid w:val="00995FC3"/>
    <w:rsid w:val="00996AA6"/>
    <w:rsid w:val="00997230"/>
    <w:rsid w:val="009A0274"/>
    <w:rsid w:val="009A035E"/>
    <w:rsid w:val="009A18AB"/>
    <w:rsid w:val="009A2D7C"/>
    <w:rsid w:val="009A30FE"/>
    <w:rsid w:val="009A4075"/>
    <w:rsid w:val="009A4644"/>
    <w:rsid w:val="009A468E"/>
    <w:rsid w:val="009A480D"/>
    <w:rsid w:val="009A4908"/>
    <w:rsid w:val="009A6258"/>
    <w:rsid w:val="009A6B3A"/>
    <w:rsid w:val="009A76F7"/>
    <w:rsid w:val="009B00E1"/>
    <w:rsid w:val="009B01CF"/>
    <w:rsid w:val="009B02DB"/>
    <w:rsid w:val="009B0A50"/>
    <w:rsid w:val="009B1DA0"/>
    <w:rsid w:val="009B1F5D"/>
    <w:rsid w:val="009B2407"/>
    <w:rsid w:val="009B3BEA"/>
    <w:rsid w:val="009B41BA"/>
    <w:rsid w:val="009B44F0"/>
    <w:rsid w:val="009B545D"/>
    <w:rsid w:val="009B5957"/>
    <w:rsid w:val="009B5C0B"/>
    <w:rsid w:val="009B7273"/>
    <w:rsid w:val="009B7356"/>
    <w:rsid w:val="009B7FAC"/>
    <w:rsid w:val="009C026B"/>
    <w:rsid w:val="009C0C99"/>
    <w:rsid w:val="009C1122"/>
    <w:rsid w:val="009C1840"/>
    <w:rsid w:val="009C1B99"/>
    <w:rsid w:val="009C1DC2"/>
    <w:rsid w:val="009C323A"/>
    <w:rsid w:val="009C3AE8"/>
    <w:rsid w:val="009C4087"/>
    <w:rsid w:val="009C4959"/>
    <w:rsid w:val="009C4CFF"/>
    <w:rsid w:val="009C5961"/>
    <w:rsid w:val="009C76A3"/>
    <w:rsid w:val="009C79E5"/>
    <w:rsid w:val="009C7ACB"/>
    <w:rsid w:val="009C7C85"/>
    <w:rsid w:val="009D02C9"/>
    <w:rsid w:val="009D03F6"/>
    <w:rsid w:val="009D04E7"/>
    <w:rsid w:val="009D14B8"/>
    <w:rsid w:val="009D2363"/>
    <w:rsid w:val="009D3D0D"/>
    <w:rsid w:val="009D3F08"/>
    <w:rsid w:val="009D6353"/>
    <w:rsid w:val="009D6CF0"/>
    <w:rsid w:val="009D6E22"/>
    <w:rsid w:val="009D75A9"/>
    <w:rsid w:val="009E0A40"/>
    <w:rsid w:val="009E0D31"/>
    <w:rsid w:val="009E153F"/>
    <w:rsid w:val="009E19AE"/>
    <w:rsid w:val="009E1E60"/>
    <w:rsid w:val="009E1F86"/>
    <w:rsid w:val="009E261B"/>
    <w:rsid w:val="009E3112"/>
    <w:rsid w:val="009E34B7"/>
    <w:rsid w:val="009E41C9"/>
    <w:rsid w:val="009E434B"/>
    <w:rsid w:val="009E462C"/>
    <w:rsid w:val="009E480B"/>
    <w:rsid w:val="009E5ADE"/>
    <w:rsid w:val="009E5BAE"/>
    <w:rsid w:val="009E5BF5"/>
    <w:rsid w:val="009E5D18"/>
    <w:rsid w:val="009E5F8E"/>
    <w:rsid w:val="009E699D"/>
    <w:rsid w:val="009F0DC3"/>
    <w:rsid w:val="009F1904"/>
    <w:rsid w:val="009F209E"/>
    <w:rsid w:val="009F2446"/>
    <w:rsid w:val="009F2BF4"/>
    <w:rsid w:val="009F2C12"/>
    <w:rsid w:val="009F385D"/>
    <w:rsid w:val="009F4B7F"/>
    <w:rsid w:val="009F5C78"/>
    <w:rsid w:val="009F697A"/>
    <w:rsid w:val="009F6DAC"/>
    <w:rsid w:val="009F7309"/>
    <w:rsid w:val="009F763F"/>
    <w:rsid w:val="009F7748"/>
    <w:rsid w:val="009F7802"/>
    <w:rsid w:val="009F791B"/>
    <w:rsid w:val="009F79D5"/>
    <w:rsid w:val="009F7D96"/>
    <w:rsid w:val="00A007E7"/>
    <w:rsid w:val="00A021E7"/>
    <w:rsid w:val="00A035DE"/>
    <w:rsid w:val="00A035EA"/>
    <w:rsid w:val="00A04F59"/>
    <w:rsid w:val="00A05597"/>
    <w:rsid w:val="00A05B20"/>
    <w:rsid w:val="00A070DE"/>
    <w:rsid w:val="00A0718D"/>
    <w:rsid w:val="00A07468"/>
    <w:rsid w:val="00A0797A"/>
    <w:rsid w:val="00A07FED"/>
    <w:rsid w:val="00A105EC"/>
    <w:rsid w:val="00A10896"/>
    <w:rsid w:val="00A10C0A"/>
    <w:rsid w:val="00A11019"/>
    <w:rsid w:val="00A114E5"/>
    <w:rsid w:val="00A115CB"/>
    <w:rsid w:val="00A116B1"/>
    <w:rsid w:val="00A11A73"/>
    <w:rsid w:val="00A11A7E"/>
    <w:rsid w:val="00A11F1D"/>
    <w:rsid w:val="00A1253F"/>
    <w:rsid w:val="00A13C50"/>
    <w:rsid w:val="00A14331"/>
    <w:rsid w:val="00A145EB"/>
    <w:rsid w:val="00A14849"/>
    <w:rsid w:val="00A14AB2"/>
    <w:rsid w:val="00A14AC9"/>
    <w:rsid w:val="00A1690D"/>
    <w:rsid w:val="00A175A7"/>
    <w:rsid w:val="00A20573"/>
    <w:rsid w:val="00A207FA"/>
    <w:rsid w:val="00A20C94"/>
    <w:rsid w:val="00A21C4C"/>
    <w:rsid w:val="00A220B7"/>
    <w:rsid w:val="00A227D6"/>
    <w:rsid w:val="00A227E7"/>
    <w:rsid w:val="00A22D55"/>
    <w:rsid w:val="00A239DB"/>
    <w:rsid w:val="00A24008"/>
    <w:rsid w:val="00A24078"/>
    <w:rsid w:val="00A2475E"/>
    <w:rsid w:val="00A258E0"/>
    <w:rsid w:val="00A25C02"/>
    <w:rsid w:val="00A25FCF"/>
    <w:rsid w:val="00A269B5"/>
    <w:rsid w:val="00A26A3F"/>
    <w:rsid w:val="00A2726D"/>
    <w:rsid w:val="00A273E2"/>
    <w:rsid w:val="00A30627"/>
    <w:rsid w:val="00A30B6C"/>
    <w:rsid w:val="00A31D99"/>
    <w:rsid w:val="00A3244C"/>
    <w:rsid w:val="00A32E59"/>
    <w:rsid w:val="00A33017"/>
    <w:rsid w:val="00A33E4D"/>
    <w:rsid w:val="00A346EE"/>
    <w:rsid w:val="00A34995"/>
    <w:rsid w:val="00A34C32"/>
    <w:rsid w:val="00A34DDE"/>
    <w:rsid w:val="00A34EAB"/>
    <w:rsid w:val="00A350EA"/>
    <w:rsid w:val="00A3594F"/>
    <w:rsid w:val="00A35BCB"/>
    <w:rsid w:val="00A35D94"/>
    <w:rsid w:val="00A362F7"/>
    <w:rsid w:val="00A36940"/>
    <w:rsid w:val="00A36EBD"/>
    <w:rsid w:val="00A40439"/>
    <w:rsid w:val="00A40F98"/>
    <w:rsid w:val="00A43813"/>
    <w:rsid w:val="00A43D47"/>
    <w:rsid w:val="00A440A6"/>
    <w:rsid w:val="00A4618D"/>
    <w:rsid w:val="00A464E1"/>
    <w:rsid w:val="00A46C4E"/>
    <w:rsid w:val="00A46D95"/>
    <w:rsid w:val="00A47081"/>
    <w:rsid w:val="00A47480"/>
    <w:rsid w:val="00A47E8C"/>
    <w:rsid w:val="00A51BC0"/>
    <w:rsid w:val="00A5298C"/>
    <w:rsid w:val="00A52AD0"/>
    <w:rsid w:val="00A53019"/>
    <w:rsid w:val="00A53497"/>
    <w:rsid w:val="00A536CB"/>
    <w:rsid w:val="00A542F8"/>
    <w:rsid w:val="00A55A47"/>
    <w:rsid w:val="00A574BF"/>
    <w:rsid w:val="00A579F8"/>
    <w:rsid w:val="00A6000D"/>
    <w:rsid w:val="00A605E1"/>
    <w:rsid w:val="00A6204A"/>
    <w:rsid w:val="00A62093"/>
    <w:rsid w:val="00A6310C"/>
    <w:rsid w:val="00A6316B"/>
    <w:rsid w:val="00A63679"/>
    <w:rsid w:val="00A63A8F"/>
    <w:rsid w:val="00A64389"/>
    <w:rsid w:val="00A64797"/>
    <w:rsid w:val="00A64817"/>
    <w:rsid w:val="00A71CDE"/>
    <w:rsid w:val="00A7252E"/>
    <w:rsid w:val="00A72BBC"/>
    <w:rsid w:val="00A72E18"/>
    <w:rsid w:val="00A730F3"/>
    <w:rsid w:val="00A74BE6"/>
    <w:rsid w:val="00A7557C"/>
    <w:rsid w:val="00A758A4"/>
    <w:rsid w:val="00A768A2"/>
    <w:rsid w:val="00A76A55"/>
    <w:rsid w:val="00A773B4"/>
    <w:rsid w:val="00A80948"/>
    <w:rsid w:val="00A833A3"/>
    <w:rsid w:val="00A835E5"/>
    <w:rsid w:val="00A83768"/>
    <w:rsid w:val="00A84373"/>
    <w:rsid w:val="00A8456A"/>
    <w:rsid w:val="00A845ED"/>
    <w:rsid w:val="00A8568A"/>
    <w:rsid w:val="00A867C8"/>
    <w:rsid w:val="00A86F87"/>
    <w:rsid w:val="00A87161"/>
    <w:rsid w:val="00A874D6"/>
    <w:rsid w:val="00A87C01"/>
    <w:rsid w:val="00A902A7"/>
    <w:rsid w:val="00A90327"/>
    <w:rsid w:val="00A904AB"/>
    <w:rsid w:val="00A91FE5"/>
    <w:rsid w:val="00A92A16"/>
    <w:rsid w:val="00A93154"/>
    <w:rsid w:val="00A93214"/>
    <w:rsid w:val="00A93552"/>
    <w:rsid w:val="00A93C27"/>
    <w:rsid w:val="00A93C2B"/>
    <w:rsid w:val="00A93DC1"/>
    <w:rsid w:val="00A94D8C"/>
    <w:rsid w:val="00A95137"/>
    <w:rsid w:val="00A95EA8"/>
    <w:rsid w:val="00A96FC0"/>
    <w:rsid w:val="00A9731F"/>
    <w:rsid w:val="00A97BFA"/>
    <w:rsid w:val="00AA007C"/>
    <w:rsid w:val="00AA0B30"/>
    <w:rsid w:val="00AA25C9"/>
    <w:rsid w:val="00AA3726"/>
    <w:rsid w:val="00AA40AA"/>
    <w:rsid w:val="00AA4F09"/>
    <w:rsid w:val="00AA5C2A"/>
    <w:rsid w:val="00AA5F8C"/>
    <w:rsid w:val="00AA7A72"/>
    <w:rsid w:val="00AA7DCE"/>
    <w:rsid w:val="00AA7F8C"/>
    <w:rsid w:val="00AA7FA5"/>
    <w:rsid w:val="00AB0725"/>
    <w:rsid w:val="00AB0FB2"/>
    <w:rsid w:val="00AB10E3"/>
    <w:rsid w:val="00AB18AB"/>
    <w:rsid w:val="00AB1FAD"/>
    <w:rsid w:val="00AB2AF8"/>
    <w:rsid w:val="00AB2D88"/>
    <w:rsid w:val="00AB37FD"/>
    <w:rsid w:val="00AB41AF"/>
    <w:rsid w:val="00AB42BB"/>
    <w:rsid w:val="00AB4B6A"/>
    <w:rsid w:val="00AB4BDD"/>
    <w:rsid w:val="00AB50C3"/>
    <w:rsid w:val="00AB5669"/>
    <w:rsid w:val="00AB57D9"/>
    <w:rsid w:val="00AB5EC9"/>
    <w:rsid w:val="00AB6F61"/>
    <w:rsid w:val="00AB7601"/>
    <w:rsid w:val="00AB7957"/>
    <w:rsid w:val="00AB7A15"/>
    <w:rsid w:val="00AB7D9C"/>
    <w:rsid w:val="00AC1506"/>
    <w:rsid w:val="00AC1E53"/>
    <w:rsid w:val="00AC42FA"/>
    <w:rsid w:val="00AC455C"/>
    <w:rsid w:val="00AC48E3"/>
    <w:rsid w:val="00AC4D66"/>
    <w:rsid w:val="00AC5C0E"/>
    <w:rsid w:val="00AC5FCE"/>
    <w:rsid w:val="00AC615E"/>
    <w:rsid w:val="00AC62B7"/>
    <w:rsid w:val="00AC6BDA"/>
    <w:rsid w:val="00AC6E20"/>
    <w:rsid w:val="00AC7A38"/>
    <w:rsid w:val="00AC7A45"/>
    <w:rsid w:val="00AD07F1"/>
    <w:rsid w:val="00AD08BD"/>
    <w:rsid w:val="00AD20E0"/>
    <w:rsid w:val="00AD2BE1"/>
    <w:rsid w:val="00AD3C49"/>
    <w:rsid w:val="00AD3D21"/>
    <w:rsid w:val="00AD4939"/>
    <w:rsid w:val="00AD68F8"/>
    <w:rsid w:val="00AE0955"/>
    <w:rsid w:val="00AE0B68"/>
    <w:rsid w:val="00AE10CD"/>
    <w:rsid w:val="00AE1499"/>
    <w:rsid w:val="00AE2D0A"/>
    <w:rsid w:val="00AE3725"/>
    <w:rsid w:val="00AE4E58"/>
    <w:rsid w:val="00AE5139"/>
    <w:rsid w:val="00AE54FA"/>
    <w:rsid w:val="00AE5C8B"/>
    <w:rsid w:val="00AE653E"/>
    <w:rsid w:val="00AE65CA"/>
    <w:rsid w:val="00AE6800"/>
    <w:rsid w:val="00AE6CDA"/>
    <w:rsid w:val="00AE72FC"/>
    <w:rsid w:val="00AE751E"/>
    <w:rsid w:val="00AF16A0"/>
    <w:rsid w:val="00AF239F"/>
    <w:rsid w:val="00AF23AA"/>
    <w:rsid w:val="00AF23C2"/>
    <w:rsid w:val="00AF3040"/>
    <w:rsid w:val="00AF39BC"/>
    <w:rsid w:val="00AF4046"/>
    <w:rsid w:val="00AF51E5"/>
    <w:rsid w:val="00AF52E7"/>
    <w:rsid w:val="00AF5D55"/>
    <w:rsid w:val="00AF605B"/>
    <w:rsid w:val="00AF741B"/>
    <w:rsid w:val="00AF7453"/>
    <w:rsid w:val="00AF7C3D"/>
    <w:rsid w:val="00AF7DDF"/>
    <w:rsid w:val="00AF7E72"/>
    <w:rsid w:val="00B0115C"/>
    <w:rsid w:val="00B0432F"/>
    <w:rsid w:val="00B043ED"/>
    <w:rsid w:val="00B054FF"/>
    <w:rsid w:val="00B05CB6"/>
    <w:rsid w:val="00B0633F"/>
    <w:rsid w:val="00B070A0"/>
    <w:rsid w:val="00B07CC0"/>
    <w:rsid w:val="00B07D53"/>
    <w:rsid w:val="00B102F5"/>
    <w:rsid w:val="00B103BE"/>
    <w:rsid w:val="00B103E9"/>
    <w:rsid w:val="00B10C24"/>
    <w:rsid w:val="00B11586"/>
    <w:rsid w:val="00B11E6D"/>
    <w:rsid w:val="00B11FA4"/>
    <w:rsid w:val="00B12242"/>
    <w:rsid w:val="00B1393B"/>
    <w:rsid w:val="00B140D2"/>
    <w:rsid w:val="00B14C5B"/>
    <w:rsid w:val="00B14CD1"/>
    <w:rsid w:val="00B15491"/>
    <w:rsid w:val="00B1562F"/>
    <w:rsid w:val="00B159D6"/>
    <w:rsid w:val="00B16D63"/>
    <w:rsid w:val="00B17629"/>
    <w:rsid w:val="00B21D6E"/>
    <w:rsid w:val="00B228E4"/>
    <w:rsid w:val="00B22C39"/>
    <w:rsid w:val="00B22DE0"/>
    <w:rsid w:val="00B23D2D"/>
    <w:rsid w:val="00B24F96"/>
    <w:rsid w:val="00B24FEA"/>
    <w:rsid w:val="00B2540B"/>
    <w:rsid w:val="00B25B94"/>
    <w:rsid w:val="00B25FE6"/>
    <w:rsid w:val="00B26407"/>
    <w:rsid w:val="00B26CD6"/>
    <w:rsid w:val="00B27255"/>
    <w:rsid w:val="00B2749B"/>
    <w:rsid w:val="00B2763A"/>
    <w:rsid w:val="00B27A0A"/>
    <w:rsid w:val="00B30160"/>
    <w:rsid w:val="00B3068C"/>
    <w:rsid w:val="00B308B8"/>
    <w:rsid w:val="00B3155C"/>
    <w:rsid w:val="00B317DC"/>
    <w:rsid w:val="00B31E48"/>
    <w:rsid w:val="00B327F4"/>
    <w:rsid w:val="00B32F4E"/>
    <w:rsid w:val="00B3322F"/>
    <w:rsid w:val="00B334B1"/>
    <w:rsid w:val="00B33554"/>
    <w:rsid w:val="00B33E53"/>
    <w:rsid w:val="00B3426C"/>
    <w:rsid w:val="00B35631"/>
    <w:rsid w:val="00B3586B"/>
    <w:rsid w:val="00B3587C"/>
    <w:rsid w:val="00B35B04"/>
    <w:rsid w:val="00B36E10"/>
    <w:rsid w:val="00B36E89"/>
    <w:rsid w:val="00B37246"/>
    <w:rsid w:val="00B3733C"/>
    <w:rsid w:val="00B3775E"/>
    <w:rsid w:val="00B37810"/>
    <w:rsid w:val="00B37E95"/>
    <w:rsid w:val="00B4190C"/>
    <w:rsid w:val="00B41956"/>
    <w:rsid w:val="00B42A22"/>
    <w:rsid w:val="00B45535"/>
    <w:rsid w:val="00B4553C"/>
    <w:rsid w:val="00B4572C"/>
    <w:rsid w:val="00B459C8"/>
    <w:rsid w:val="00B45BAB"/>
    <w:rsid w:val="00B46975"/>
    <w:rsid w:val="00B472EC"/>
    <w:rsid w:val="00B52046"/>
    <w:rsid w:val="00B5259A"/>
    <w:rsid w:val="00B528DA"/>
    <w:rsid w:val="00B52CB1"/>
    <w:rsid w:val="00B53C9A"/>
    <w:rsid w:val="00B53D31"/>
    <w:rsid w:val="00B553DF"/>
    <w:rsid w:val="00B5563C"/>
    <w:rsid w:val="00B57D54"/>
    <w:rsid w:val="00B60946"/>
    <w:rsid w:val="00B609C3"/>
    <w:rsid w:val="00B609D4"/>
    <w:rsid w:val="00B60FB5"/>
    <w:rsid w:val="00B62014"/>
    <w:rsid w:val="00B629C9"/>
    <w:rsid w:val="00B63426"/>
    <w:rsid w:val="00B63F21"/>
    <w:rsid w:val="00B63FB6"/>
    <w:rsid w:val="00B64086"/>
    <w:rsid w:val="00B64519"/>
    <w:rsid w:val="00B64541"/>
    <w:rsid w:val="00B6456D"/>
    <w:rsid w:val="00B64BD0"/>
    <w:rsid w:val="00B64FCD"/>
    <w:rsid w:val="00B65CBD"/>
    <w:rsid w:val="00B66802"/>
    <w:rsid w:val="00B67453"/>
    <w:rsid w:val="00B675F7"/>
    <w:rsid w:val="00B67A78"/>
    <w:rsid w:val="00B7086A"/>
    <w:rsid w:val="00B70A5F"/>
    <w:rsid w:val="00B70C27"/>
    <w:rsid w:val="00B70E97"/>
    <w:rsid w:val="00B715DC"/>
    <w:rsid w:val="00B715DF"/>
    <w:rsid w:val="00B71ACD"/>
    <w:rsid w:val="00B7211A"/>
    <w:rsid w:val="00B722FE"/>
    <w:rsid w:val="00B729F1"/>
    <w:rsid w:val="00B7300C"/>
    <w:rsid w:val="00B73222"/>
    <w:rsid w:val="00B74D56"/>
    <w:rsid w:val="00B759A8"/>
    <w:rsid w:val="00B75CCA"/>
    <w:rsid w:val="00B768A7"/>
    <w:rsid w:val="00B76970"/>
    <w:rsid w:val="00B7738B"/>
    <w:rsid w:val="00B77D39"/>
    <w:rsid w:val="00B77E9E"/>
    <w:rsid w:val="00B80406"/>
    <w:rsid w:val="00B80A5E"/>
    <w:rsid w:val="00B80F1F"/>
    <w:rsid w:val="00B8146F"/>
    <w:rsid w:val="00B8167D"/>
    <w:rsid w:val="00B82C49"/>
    <w:rsid w:val="00B82D90"/>
    <w:rsid w:val="00B82FB4"/>
    <w:rsid w:val="00B83B69"/>
    <w:rsid w:val="00B83DFC"/>
    <w:rsid w:val="00B86B7E"/>
    <w:rsid w:val="00B87DD5"/>
    <w:rsid w:val="00B90F96"/>
    <w:rsid w:val="00B91819"/>
    <w:rsid w:val="00B9219F"/>
    <w:rsid w:val="00B926CB"/>
    <w:rsid w:val="00B933B2"/>
    <w:rsid w:val="00B936CB"/>
    <w:rsid w:val="00B93CAF"/>
    <w:rsid w:val="00B941B6"/>
    <w:rsid w:val="00B94A06"/>
    <w:rsid w:val="00B95288"/>
    <w:rsid w:val="00B952E7"/>
    <w:rsid w:val="00B95B2F"/>
    <w:rsid w:val="00B97356"/>
    <w:rsid w:val="00B97A6D"/>
    <w:rsid w:val="00BA0391"/>
    <w:rsid w:val="00BA060B"/>
    <w:rsid w:val="00BA0DCD"/>
    <w:rsid w:val="00BA2423"/>
    <w:rsid w:val="00BA34B1"/>
    <w:rsid w:val="00BA382E"/>
    <w:rsid w:val="00BA3830"/>
    <w:rsid w:val="00BA41E7"/>
    <w:rsid w:val="00BA42E0"/>
    <w:rsid w:val="00BA5792"/>
    <w:rsid w:val="00BA7701"/>
    <w:rsid w:val="00BA7BAB"/>
    <w:rsid w:val="00BA7C02"/>
    <w:rsid w:val="00BA7C73"/>
    <w:rsid w:val="00BB00C3"/>
    <w:rsid w:val="00BB01F3"/>
    <w:rsid w:val="00BB0741"/>
    <w:rsid w:val="00BB17AD"/>
    <w:rsid w:val="00BB292D"/>
    <w:rsid w:val="00BB300F"/>
    <w:rsid w:val="00BB369B"/>
    <w:rsid w:val="00BB3866"/>
    <w:rsid w:val="00BB3919"/>
    <w:rsid w:val="00BB3A56"/>
    <w:rsid w:val="00BB3E2E"/>
    <w:rsid w:val="00BB49CB"/>
    <w:rsid w:val="00BB4CAE"/>
    <w:rsid w:val="00BB6187"/>
    <w:rsid w:val="00BB67F1"/>
    <w:rsid w:val="00BB79C2"/>
    <w:rsid w:val="00BB7F0F"/>
    <w:rsid w:val="00BC0EC7"/>
    <w:rsid w:val="00BC1722"/>
    <w:rsid w:val="00BC194A"/>
    <w:rsid w:val="00BC2214"/>
    <w:rsid w:val="00BC2825"/>
    <w:rsid w:val="00BC2E96"/>
    <w:rsid w:val="00BC365F"/>
    <w:rsid w:val="00BC406F"/>
    <w:rsid w:val="00BC4C88"/>
    <w:rsid w:val="00BC4F84"/>
    <w:rsid w:val="00BC59CA"/>
    <w:rsid w:val="00BC6970"/>
    <w:rsid w:val="00BC6D81"/>
    <w:rsid w:val="00BC6F87"/>
    <w:rsid w:val="00BC734E"/>
    <w:rsid w:val="00BC7713"/>
    <w:rsid w:val="00BC7C93"/>
    <w:rsid w:val="00BC7F2A"/>
    <w:rsid w:val="00BD0286"/>
    <w:rsid w:val="00BD1B3F"/>
    <w:rsid w:val="00BD33A9"/>
    <w:rsid w:val="00BD33BE"/>
    <w:rsid w:val="00BD3792"/>
    <w:rsid w:val="00BD3C72"/>
    <w:rsid w:val="00BD4E12"/>
    <w:rsid w:val="00BD5D4E"/>
    <w:rsid w:val="00BD7991"/>
    <w:rsid w:val="00BD7CEE"/>
    <w:rsid w:val="00BE0BDD"/>
    <w:rsid w:val="00BE21E3"/>
    <w:rsid w:val="00BE305B"/>
    <w:rsid w:val="00BE62B2"/>
    <w:rsid w:val="00BE6350"/>
    <w:rsid w:val="00BE6C24"/>
    <w:rsid w:val="00BE7287"/>
    <w:rsid w:val="00BE7474"/>
    <w:rsid w:val="00BE7C93"/>
    <w:rsid w:val="00BF0362"/>
    <w:rsid w:val="00BF0479"/>
    <w:rsid w:val="00BF0D73"/>
    <w:rsid w:val="00BF1D23"/>
    <w:rsid w:val="00BF1F82"/>
    <w:rsid w:val="00BF2520"/>
    <w:rsid w:val="00BF3470"/>
    <w:rsid w:val="00BF3B94"/>
    <w:rsid w:val="00BF3FF8"/>
    <w:rsid w:val="00BF4C53"/>
    <w:rsid w:val="00BF5294"/>
    <w:rsid w:val="00BF54DC"/>
    <w:rsid w:val="00BF5748"/>
    <w:rsid w:val="00BF6270"/>
    <w:rsid w:val="00BF67B7"/>
    <w:rsid w:val="00BF770B"/>
    <w:rsid w:val="00C00567"/>
    <w:rsid w:val="00C01510"/>
    <w:rsid w:val="00C01CEB"/>
    <w:rsid w:val="00C01F6E"/>
    <w:rsid w:val="00C03249"/>
    <w:rsid w:val="00C05896"/>
    <w:rsid w:val="00C0599A"/>
    <w:rsid w:val="00C073DA"/>
    <w:rsid w:val="00C07C15"/>
    <w:rsid w:val="00C10B9B"/>
    <w:rsid w:val="00C10C30"/>
    <w:rsid w:val="00C1104C"/>
    <w:rsid w:val="00C11577"/>
    <w:rsid w:val="00C11DC5"/>
    <w:rsid w:val="00C11F13"/>
    <w:rsid w:val="00C11F39"/>
    <w:rsid w:val="00C11F55"/>
    <w:rsid w:val="00C12249"/>
    <w:rsid w:val="00C1250E"/>
    <w:rsid w:val="00C139A1"/>
    <w:rsid w:val="00C1448C"/>
    <w:rsid w:val="00C14D7A"/>
    <w:rsid w:val="00C17059"/>
    <w:rsid w:val="00C17174"/>
    <w:rsid w:val="00C171C5"/>
    <w:rsid w:val="00C17B44"/>
    <w:rsid w:val="00C17F63"/>
    <w:rsid w:val="00C2041C"/>
    <w:rsid w:val="00C20869"/>
    <w:rsid w:val="00C20DC6"/>
    <w:rsid w:val="00C2113D"/>
    <w:rsid w:val="00C215D1"/>
    <w:rsid w:val="00C21AE1"/>
    <w:rsid w:val="00C223D1"/>
    <w:rsid w:val="00C22449"/>
    <w:rsid w:val="00C2248F"/>
    <w:rsid w:val="00C227C6"/>
    <w:rsid w:val="00C230F6"/>
    <w:rsid w:val="00C23D9A"/>
    <w:rsid w:val="00C23F8A"/>
    <w:rsid w:val="00C24B05"/>
    <w:rsid w:val="00C25D31"/>
    <w:rsid w:val="00C261C8"/>
    <w:rsid w:val="00C265D0"/>
    <w:rsid w:val="00C26A6C"/>
    <w:rsid w:val="00C26FE5"/>
    <w:rsid w:val="00C27163"/>
    <w:rsid w:val="00C3022B"/>
    <w:rsid w:val="00C30723"/>
    <w:rsid w:val="00C31756"/>
    <w:rsid w:val="00C31F7F"/>
    <w:rsid w:val="00C32186"/>
    <w:rsid w:val="00C32A3B"/>
    <w:rsid w:val="00C335AE"/>
    <w:rsid w:val="00C35C70"/>
    <w:rsid w:val="00C35E26"/>
    <w:rsid w:val="00C36684"/>
    <w:rsid w:val="00C36F0A"/>
    <w:rsid w:val="00C36F4F"/>
    <w:rsid w:val="00C372CB"/>
    <w:rsid w:val="00C4067A"/>
    <w:rsid w:val="00C41480"/>
    <w:rsid w:val="00C44052"/>
    <w:rsid w:val="00C44368"/>
    <w:rsid w:val="00C46111"/>
    <w:rsid w:val="00C46822"/>
    <w:rsid w:val="00C46CE5"/>
    <w:rsid w:val="00C50260"/>
    <w:rsid w:val="00C51395"/>
    <w:rsid w:val="00C51553"/>
    <w:rsid w:val="00C518A5"/>
    <w:rsid w:val="00C51A60"/>
    <w:rsid w:val="00C52334"/>
    <w:rsid w:val="00C52C65"/>
    <w:rsid w:val="00C53110"/>
    <w:rsid w:val="00C53636"/>
    <w:rsid w:val="00C53B12"/>
    <w:rsid w:val="00C541B2"/>
    <w:rsid w:val="00C54928"/>
    <w:rsid w:val="00C54A44"/>
    <w:rsid w:val="00C54E2A"/>
    <w:rsid w:val="00C5661F"/>
    <w:rsid w:val="00C57085"/>
    <w:rsid w:val="00C575AF"/>
    <w:rsid w:val="00C576FC"/>
    <w:rsid w:val="00C60361"/>
    <w:rsid w:val="00C60738"/>
    <w:rsid w:val="00C608D7"/>
    <w:rsid w:val="00C60D9F"/>
    <w:rsid w:val="00C620BA"/>
    <w:rsid w:val="00C62747"/>
    <w:rsid w:val="00C627C5"/>
    <w:rsid w:val="00C6395F"/>
    <w:rsid w:val="00C63C3D"/>
    <w:rsid w:val="00C644BF"/>
    <w:rsid w:val="00C65163"/>
    <w:rsid w:val="00C65611"/>
    <w:rsid w:val="00C65B6B"/>
    <w:rsid w:val="00C66492"/>
    <w:rsid w:val="00C664AB"/>
    <w:rsid w:val="00C66584"/>
    <w:rsid w:val="00C66705"/>
    <w:rsid w:val="00C67754"/>
    <w:rsid w:val="00C70254"/>
    <w:rsid w:val="00C703C0"/>
    <w:rsid w:val="00C706D1"/>
    <w:rsid w:val="00C70FAE"/>
    <w:rsid w:val="00C71284"/>
    <w:rsid w:val="00C72DD5"/>
    <w:rsid w:val="00C733A6"/>
    <w:rsid w:val="00C737B0"/>
    <w:rsid w:val="00C73D39"/>
    <w:rsid w:val="00C7520D"/>
    <w:rsid w:val="00C75B40"/>
    <w:rsid w:val="00C7675A"/>
    <w:rsid w:val="00C76E9D"/>
    <w:rsid w:val="00C816DF"/>
    <w:rsid w:val="00C820EE"/>
    <w:rsid w:val="00C84713"/>
    <w:rsid w:val="00C84758"/>
    <w:rsid w:val="00C853AB"/>
    <w:rsid w:val="00C85F72"/>
    <w:rsid w:val="00C86896"/>
    <w:rsid w:val="00C876E1"/>
    <w:rsid w:val="00C87792"/>
    <w:rsid w:val="00C908A9"/>
    <w:rsid w:val="00C908BE"/>
    <w:rsid w:val="00C91507"/>
    <w:rsid w:val="00C940C2"/>
    <w:rsid w:val="00C952E9"/>
    <w:rsid w:val="00C95AC8"/>
    <w:rsid w:val="00C9760B"/>
    <w:rsid w:val="00C976E0"/>
    <w:rsid w:val="00C9796B"/>
    <w:rsid w:val="00C97C19"/>
    <w:rsid w:val="00CA0174"/>
    <w:rsid w:val="00CA0C53"/>
    <w:rsid w:val="00CA1AE4"/>
    <w:rsid w:val="00CA1E0C"/>
    <w:rsid w:val="00CA1FA7"/>
    <w:rsid w:val="00CA20E3"/>
    <w:rsid w:val="00CA245C"/>
    <w:rsid w:val="00CA26EC"/>
    <w:rsid w:val="00CA423D"/>
    <w:rsid w:val="00CA5AF9"/>
    <w:rsid w:val="00CA5D0C"/>
    <w:rsid w:val="00CA5E13"/>
    <w:rsid w:val="00CA625D"/>
    <w:rsid w:val="00CA69FF"/>
    <w:rsid w:val="00CA6F73"/>
    <w:rsid w:val="00CA7A1F"/>
    <w:rsid w:val="00CA7DAF"/>
    <w:rsid w:val="00CB017E"/>
    <w:rsid w:val="00CB0226"/>
    <w:rsid w:val="00CB0717"/>
    <w:rsid w:val="00CB0A65"/>
    <w:rsid w:val="00CB1177"/>
    <w:rsid w:val="00CB1618"/>
    <w:rsid w:val="00CB221F"/>
    <w:rsid w:val="00CB277F"/>
    <w:rsid w:val="00CB2D1B"/>
    <w:rsid w:val="00CB310A"/>
    <w:rsid w:val="00CB3318"/>
    <w:rsid w:val="00CB3628"/>
    <w:rsid w:val="00CB407C"/>
    <w:rsid w:val="00CB46B4"/>
    <w:rsid w:val="00CB4940"/>
    <w:rsid w:val="00CB5D5B"/>
    <w:rsid w:val="00CB6D0C"/>
    <w:rsid w:val="00CB6E94"/>
    <w:rsid w:val="00CB7060"/>
    <w:rsid w:val="00CB77F2"/>
    <w:rsid w:val="00CB7DD6"/>
    <w:rsid w:val="00CC0248"/>
    <w:rsid w:val="00CC0438"/>
    <w:rsid w:val="00CC0563"/>
    <w:rsid w:val="00CC140D"/>
    <w:rsid w:val="00CC2270"/>
    <w:rsid w:val="00CC3277"/>
    <w:rsid w:val="00CC385B"/>
    <w:rsid w:val="00CC4207"/>
    <w:rsid w:val="00CC5222"/>
    <w:rsid w:val="00CC5775"/>
    <w:rsid w:val="00CC57E5"/>
    <w:rsid w:val="00CC62CD"/>
    <w:rsid w:val="00CC7881"/>
    <w:rsid w:val="00CC7971"/>
    <w:rsid w:val="00CD0422"/>
    <w:rsid w:val="00CD0982"/>
    <w:rsid w:val="00CD124B"/>
    <w:rsid w:val="00CD19CF"/>
    <w:rsid w:val="00CD2987"/>
    <w:rsid w:val="00CD2A22"/>
    <w:rsid w:val="00CD2A3D"/>
    <w:rsid w:val="00CD2D13"/>
    <w:rsid w:val="00CD2EE0"/>
    <w:rsid w:val="00CD400D"/>
    <w:rsid w:val="00CD40C7"/>
    <w:rsid w:val="00CD5885"/>
    <w:rsid w:val="00CD5D11"/>
    <w:rsid w:val="00CD63D3"/>
    <w:rsid w:val="00CD6924"/>
    <w:rsid w:val="00CD7055"/>
    <w:rsid w:val="00CD7340"/>
    <w:rsid w:val="00CE06B1"/>
    <w:rsid w:val="00CE0944"/>
    <w:rsid w:val="00CE0A76"/>
    <w:rsid w:val="00CE0CBC"/>
    <w:rsid w:val="00CE1F13"/>
    <w:rsid w:val="00CE3120"/>
    <w:rsid w:val="00CE3C60"/>
    <w:rsid w:val="00CE42DB"/>
    <w:rsid w:val="00CE4C6F"/>
    <w:rsid w:val="00CE52CC"/>
    <w:rsid w:val="00CE53F4"/>
    <w:rsid w:val="00CE5510"/>
    <w:rsid w:val="00CE5B5C"/>
    <w:rsid w:val="00CE5B69"/>
    <w:rsid w:val="00CE6071"/>
    <w:rsid w:val="00CE66E3"/>
    <w:rsid w:val="00CE70A3"/>
    <w:rsid w:val="00CE793F"/>
    <w:rsid w:val="00CF0FA5"/>
    <w:rsid w:val="00CF15DD"/>
    <w:rsid w:val="00CF223D"/>
    <w:rsid w:val="00CF2824"/>
    <w:rsid w:val="00CF3526"/>
    <w:rsid w:val="00CF357F"/>
    <w:rsid w:val="00CF3A33"/>
    <w:rsid w:val="00CF3C7D"/>
    <w:rsid w:val="00CF45BF"/>
    <w:rsid w:val="00CF4755"/>
    <w:rsid w:val="00CF51C1"/>
    <w:rsid w:val="00CF54CE"/>
    <w:rsid w:val="00CF5B47"/>
    <w:rsid w:val="00CF5B54"/>
    <w:rsid w:val="00CF5EE3"/>
    <w:rsid w:val="00CF6C01"/>
    <w:rsid w:val="00CF7105"/>
    <w:rsid w:val="00CF7305"/>
    <w:rsid w:val="00D005E0"/>
    <w:rsid w:val="00D012FF"/>
    <w:rsid w:val="00D0157B"/>
    <w:rsid w:val="00D01CC4"/>
    <w:rsid w:val="00D01E6B"/>
    <w:rsid w:val="00D0354D"/>
    <w:rsid w:val="00D0497C"/>
    <w:rsid w:val="00D04F45"/>
    <w:rsid w:val="00D04FAA"/>
    <w:rsid w:val="00D0548B"/>
    <w:rsid w:val="00D05AEE"/>
    <w:rsid w:val="00D05D6E"/>
    <w:rsid w:val="00D06413"/>
    <w:rsid w:val="00D0648D"/>
    <w:rsid w:val="00D06EB9"/>
    <w:rsid w:val="00D1153F"/>
    <w:rsid w:val="00D11995"/>
    <w:rsid w:val="00D11BFB"/>
    <w:rsid w:val="00D11CFD"/>
    <w:rsid w:val="00D12432"/>
    <w:rsid w:val="00D133F6"/>
    <w:rsid w:val="00D13808"/>
    <w:rsid w:val="00D146FE"/>
    <w:rsid w:val="00D1581E"/>
    <w:rsid w:val="00D15D19"/>
    <w:rsid w:val="00D15D93"/>
    <w:rsid w:val="00D15DA1"/>
    <w:rsid w:val="00D15EEC"/>
    <w:rsid w:val="00D1635E"/>
    <w:rsid w:val="00D16380"/>
    <w:rsid w:val="00D163FF"/>
    <w:rsid w:val="00D166B5"/>
    <w:rsid w:val="00D16E87"/>
    <w:rsid w:val="00D1731C"/>
    <w:rsid w:val="00D17335"/>
    <w:rsid w:val="00D17F7B"/>
    <w:rsid w:val="00D2079E"/>
    <w:rsid w:val="00D21356"/>
    <w:rsid w:val="00D2142F"/>
    <w:rsid w:val="00D216EE"/>
    <w:rsid w:val="00D21C4D"/>
    <w:rsid w:val="00D220B5"/>
    <w:rsid w:val="00D233CD"/>
    <w:rsid w:val="00D23458"/>
    <w:rsid w:val="00D2350E"/>
    <w:rsid w:val="00D23AD3"/>
    <w:rsid w:val="00D23FC0"/>
    <w:rsid w:val="00D23FCE"/>
    <w:rsid w:val="00D24364"/>
    <w:rsid w:val="00D2469E"/>
    <w:rsid w:val="00D2649E"/>
    <w:rsid w:val="00D27300"/>
    <w:rsid w:val="00D27875"/>
    <w:rsid w:val="00D307FD"/>
    <w:rsid w:val="00D30A3B"/>
    <w:rsid w:val="00D3129D"/>
    <w:rsid w:val="00D31E2D"/>
    <w:rsid w:val="00D321E8"/>
    <w:rsid w:val="00D328E1"/>
    <w:rsid w:val="00D32E01"/>
    <w:rsid w:val="00D33975"/>
    <w:rsid w:val="00D33A8C"/>
    <w:rsid w:val="00D33ED9"/>
    <w:rsid w:val="00D34D1F"/>
    <w:rsid w:val="00D35597"/>
    <w:rsid w:val="00D35689"/>
    <w:rsid w:val="00D35843"/>
    <w:rsid w:val="00D36180"/>
    <w:rsid w:val="00D365FA"/>
    <w:rsid w:val="00D37093"/>
    <w:rsid w:val="00D40425"/>
    <w:rsid w:val="00D40BC3"/>
    <w:rsid w:val="00D40D6B"/>
    <w:rsid w:val="00D4129E"/>
    <w:rsid w:val="00D418A3"/>
    <w:rsid w:val="00D42946"/>
    <w:rsid w:val="00D43984"/>
    <w:rsid w:val="00D44230"/>
    <w:rsid w:val="00D4459D"/>
    <w:rsid w:val="00D46BE9"/>
    <w:rsid w:val="00D46FA2"/>
    <w:rsid w:val="00D47451"/>
    <w:rsid w:val="00D47947"/>
    <w:rsid w:val="00D50053"/>
    <w:rsid w:val="00D504FA"/>
    <w:rsid w:val="00D50F10"/>
    <w:rsid w:val="00D50F83"/>
    <w:rsid w:val="00D512D8"/>
    <w:rsid w:val="00D51610"/>
    <w:rsid w:val="00D516DF"/>
    <w:rsid w:val="00D51A99"/>
    <w:rsid w:val="00D51C73"/>
    <w:rsid w:val="00D51E13"/>
    <w:rsid w:val="00D51F07"/>
    <w:rsid w:val="00D51F15"/>
    <w:rsid w:val="00D52146"/>
    <w:rsid w:val="00D524AF"/>
    <w:rsid w:val="00D52A8A"/>
    <w:rsid w:val="00D52C43"/>
    <w:rsid w:val="00D5329D"/>
    <w:rsid w:val="00D533FE"/>
    <w:rsid w:val="00D534C8"/>
    <w:rsid w:val="00D54B1D"/>
    <w:rsid w:val="00D5509F"/>
    <w:rsid w:val="00D55425"/>
    <w:rsid w:val="00D5578A"/>
    <w:rsid w:val="00D5616C"/>
    <w:rsid w:val="00D56C00"/>
    <w:rsid w:val="00D57082"/>
    <w:rsid w:val="00D577BB"/>
    <w:rsid w:val="00D57B91"/>
    <w:rsid w:val="00D62320"/>
    <w:rsid w:val="00D6248B"/>
    <w:rsid w:val="00D62A24"/>
    <w:rsid w:val="00D62B5D"/>
    <w:rsid w:val="00D63203"/>
    <w:rsid w:val="00D63379"/>
    <w:rsid w:val="00D635B1"/>
    <w:rsid w:val="00D639C5"/>
    <w:rsid w:val="00D63DB5"/>
    <w:rsid w:val="00D64155"/>
    <w:rsid w:val="00D64BEA"/>
    <w:rsid w:val="00D65C02"/>
    <w:rsid w:val="00D661D2"/>
    <w:rsid w:val="00D66410"/>
    <w:rsid w:val="00D66648"/>
    <w:rsid w:val="00D66FDA"/>
    <w:rsid w:val="00D67292"/>
    <w:rsid w:val="00D70C38"/>
    <w:rsid w:val="00D710E5"/>
    <w:rsid w:val="00D71197"/>
    <w:rsid w:val="00D7178C"/>
    <w:rsid w:val="00D72008"/>
    <w:rsid w:val="00D72192"/>
    <w:rsid w:val="00D72D32"/>
    <w:rsid w:val="00D731D1"/>
    <w:rsid w:val="00D73415"/>
    <w:rsid w:val="00D73AC1"/>
    <w:rsid w:val="00D73BD2"/>
    <w:rsid w:val="00D73FC4"/>
    <w:rsid w:val="00D73FE8"/>
    <w:rsid w:val="00D74538"/>
    <w:rsid w:val="00D749CB"/>
    <w:rsid w:val="00D74C9E"/>
    <w:rsid w:val="00D75818"/>
    <w:rsid w:val="00D75E77"/>
    <w:rsid w:val="00D75F19"/>
    <w:rsid w:val="00D77AD8"/>
    <w:rsid w:val="00D80973"/>
    <w:rsid w:val="00D80BD8"/>
    <w:rsid w:val="00D824BB"/>
    <w:rsid w:val="00D82A2B"/>
    <w:rsid w:val="00D8301D"/>
    <w:rsid w:val="00D8473E"/>
    <w:rsid w:val="00D86255"/>
    <w:rsid w:val="00D863D1"/>
    <w:rsid w:val="00D872B7"/>
    <w:rsid w:val="00D8763A"/>
    <w:rsid w:val="00D87DCF"/>
    <w:rsid w:val="00D87F5B"/>
    <w:rsid w:val="00D90125"/>
    <w:rsid w:val="00D9057B"/>
    <w:rsid w:val="00D9096B"/>
    <w:rsid w:val="00D90ED1"/>
    <w:rsid w:val="00D91C34"/>
    <w:rsid w:val="00D925C5"/>
    <w:rsid w:val="00D9279F"/>
    <w:rsid w:val="00D940EE"/>
    <w:rsid w:val="00D94D1D"/>
    <w:rsid w:val="00D94E4C"/>
    <w:rsid w:val="00D95709"/>
    <w:rsid w:val="00D958A7"/>
    <w:rsid w:val="00D96C09"/>
    <w:rsid w:val="00D96D46"/>
    <w:rsid w:val="00D97B72"/>
    <w:rsid w:val="00D97CF6"/>
    <w:rsid w:val="00DA0AD6"/>
    <w:rsid w:val="00DA0BBE"/>
    <w:rsid w:val="00DA11AE"/>
    <w:rsid w:val="00DA16E5"/>
    <w:rsid w:val="00DA1BE9"/>
    <w:rsid w:val="00DA283D"/>
    <w:rsid w:val="00DA3E12"/>
    <w:rsid w:val="00DA4141"/>
    <w:rsid w:val="00DA417B"/>
    <w:rsid w:val="00DA45BD"/>
    <w:rsid w:val="00DA52EB"/>
    <w:rsid w:val="00DA5CD6"/>
    <w:rsid w:val="00DA6763"/>
    <w:rsid w:val="00DA6868"/>
    <w:rsid w:val="00DA7207"/>
    <w:rsid w:val="00DB0312"/>
    <w:rsid w:val="00DB05FD"/>
    <w:rsid w:val="00DB115A"/>
    <w:rsid w:val="00DB176D"/>
    <w:rsid w:val="00DB1B88"/>
    <w:rsid w:val="00DB3213"/>
    <w:rsid w:val="00DB387C"/>
    <w:rsid w:val="00DB43F8"/>
    <w:rsid w:val="00DB46DA"/>
    <w:rsid w:val="00DB5A7F"/>
    <w:rsid w:val="00DB640B"/>
    <w:rsid w:val="00DB656B"/>
    <w:rsid w:val="00DB6A23"/>
    <w:rsid w:val="00DB75BE"/>
    <w:rsid w:val="00DB7D6B"/>
    <w:rsid w:val="00DC01DD"/>
    <w:rsid w:val="00DC0423"/>
    <w:rsid w:val="00DC29D6"/>
    <w:rsid w:val="00DC3515"/>
    <w:rsid w:val="00DC430F"/>
    <w:rsid w:val="00DC43B0"/>
    <w:rsid w:val="00DC478C"/>
    <w:rsid w:val="00DC47BF"/>
    <w:rsid w:val="00DC4CEC"/>
    <w:rsid w:val="00DC5055"/>
    <w:rsid w:val="00DC5F0A"/>
    <w:rsid w:val="00DC6348"/>
    <w:rsid w:val="00DC6447"/>
    <w:rsid w:val="00DC6F43"/>
    <w:rsid w:val="00DC7AD9"/>
    <w:rsid w:val="00DD0C80"/>
    <w:rsid w:val="00DD2409"/>
    <w:rsid w:val="00DD2798"/>
    <w:rsid w:val="00DD2A6B"/>
    <w:rsid w:val="00DD3A79"/>
    <w:rsid w:val="00DD4174"/>
    <w:rsid w:val="00DD418A"/>
    <w:rsid w:val="00DD452E"/>
    <w:rsid w:val="00DD4929"/>
    <w:rsid w:val="00DD6998"/>
    <w:rsid w:val="00DD6E5C"/>
    <w:rsid w:val="00DD7C1F"/>
    <w:rsid w:val="00DD7C32"/>
    <w:rsid w:val="00DE00A7"/>
    <w:rsid w:val="00DE0A7D"/>
    <w:rsid w:val="00DE0DC9"/>
    <w:rsid w:val="00DE12EF"/>
    <w:rsid w:val="00DE19AA"/>
    <w:rsid w:val="00DE1FFD"/>
    <w:rsid w:val="00DE367F"/>
    <w:rsid w:val="00DE3E2A"/>
    <w:rsid w:val="00DE5469"/>
    <w:rsid w:val="00DE5D83"/>
    <w:rsid w:val="00DE7DBA"/>
    <w:rsid w:val="00DE7F1B"/>
    <w:rsid w:val="00DE7FB5"/>
    <w:rsid w:val="00DF0953"/>
    <w:rsid w:val="00DF33E8"/>
    <w:rsid w:val="00DF354D"/>
    <w:rsid w:val="00DF3B05"/>
    <w:rsid w:val="00DF44BC"/>
    <w:rsid w:val="00DF46D2"/>
    <w:rsid w:val="00DF5209"/>
    <w:rsid w:val="00DF5300"/>
    <w:rsid w:val="00DF61C2"/>
    <w:rsid w:val="00DF649D"/>
    <w:rsid w:val="00DF7E21"/>
    <w:rsid w:val="00E00733"/>
    <w:rsid w:val="00E00948"/>
    <w:rsid w:val="00E00C13"/>
    <w:rsid w:val="00E00C41"/>
    <w:rsid w:val="00E01D40"/>
    <w:rsid w:val="00E024F6"/>
    <w:rsid w:val="00E0287E"/>
    <w:rsid w:val="00E02D84"/>
    <w:rsid w:val="00E037FD"/>
    <w:rsid w:val="00E04271"/>
    <w:rsid w:val="00E04F16"/>
    <w:rsid w:val="00E053BA"/>
    <w:rsid w:val="00E0562D"/>
    <w:rsid w:val="00E05C05"/>
    <w:rsid w:val="00E06510"/>
    <w:rsid w:val="00E066EF"/>
    <w:rsid w:val="00E072B0"/>
    <w:rsid w:val="00E07C90"/>
    <w:rsid w:val="00E10A96"/>
    <w:rsid w:val="00E111E7"/>
    <w:rsid w:val="00E111F8"/>
    <w:rsid w:val="00E11C10"/>
    <w:rsid w:val="00E12618"/>
    <w:rsid w:val="00E129DF"/>
    <w:rsid w:val="00E12B5D"/>
    <w:rsid w:val="00E13435"/>
    <w:rsid w:val="00E13F23"/>
    <w:rsid w:val="00E143D4"/>
    <w:rsid w:val="00E14773"/>
    <w:rsid w:val="00E1521D"/>
    <w:rsid w:val="00E155E5"/>
    <w:rsid w:val="00E16E19"/>
    <w:rsid w:val="00E1769F"/>
    <w:rsid w:val="00E17930"/>
    <w:rsid w:val="00E20164"/>
    <w:rsid w:val="00E21691"/>
    <w:rsid w:val="00E21AA6"/>
    <w:rsid w:val="00E21DF6"/>
    <w:rsid w:val="00E22387"/>
    <w:rsid w:val="00E223DC"/>
    <w:rsid w:val="00E2304B"/>
    <w:rsid w:val="00E2320D"/>
    <w:rsid w:val="00E23447"/>
    <w:rsid w:val="00E23F6C"/>
    <w:rsid w:val="00E23FBF"/>
    <w:rsid w:val="00E24A35"/>
    <w:rsid w:val="00E24B61"/>
    <w:rsid w:val="00E24E2E"/>
    <w:rsid w:val="00E2523E"/>
    <w:rsid w:val="00E25549"/>
    <w:rsid w:val="00E2575D"/>
    <w:rsid w:val="00E264B9"/>
    <w:rsid w:val="00E26E41"/>
    <w:rsid w:val="00E274C1"/>
    <w:rsid w:val="00E30920"/>
    <w:rsid w:val="00E309C7"/>
    <w:rsid w:val="00E30A90"/>
    <w:rsid w:val="00E30D47"/>
    <w:rsid w:val="00E30F4F"/>
    <w:rsid w:val="00E31068"/>
    <w:rsid w:val="00E3123A"/>
    <w:rsid w:val="00E312E5"/>
    <w:rsid w:val="00E31B79"/>
    <w:rsid w:val="00E32715"/>
    <w:rsid w:val="00E32D36"/>
    <w:rsid w:val="00E334B8"/>
    <w:rsid w:val="00E33C3F"/>
    <w:rsid w:val="00E3511E"/>
    <w:rsid w:val="00E36F8A"/>
    <w:rsid w:val="00E37A6A"/>
    <w:rsid w:val="00E37CC3"/>
    <w:rsid w:val="00E40479"/>
    <w:rsid w:val="00E40FB5"/>
    <w:rsid w:val="00E4192C"/>
    <w:rsid w:val="00E41DF6"/>
    <w:rsid w:val="00E420CB"/>
    <w:rsid w:val="00E42DBF"/>
    <w:rsid w:val="00E44877"/>
    <w:rsid w:val="00E451B6"/>
    <w:rsid w:val="00E454AD"/>
    <w:rsid w:val="00E4671A"/>
    <w:rsid w:val="00E474DE"/>
    <w:rsid w:val="00E47920"/>
    <w:rsid w:val="00E5019C"/>
    <w:rsid w:val="00E50240"/>
    <w:rsid w:val="00E51311"/>
    <w:rsid w:val="00E51652"/>
    <w:rsid w:val="00E51D11"/>
    <w:rsid w:val="00E52056"/>
    <w:rsid w:val="00E522E3"/>
    <w:rsid w:val="00E52841"/>
    <w:rsid w:val="00E52FF6"/>
    <w:rsid w:val="00E530E1"/>
    <w:rsid w:val="00E532BD"/>
    <w:rsid w:val="00E53D9D"/>
    <w:rsid w:val="00E54446"/>
    <w:rsid w:val="00E54704"/>
    <w:rsid w:val="00E55DC8"/>
    <w:rsid w:val="00E567C7"/>
    <w:rsid w:val="00E56821"/>
    <w:rsid w:val="00E569DE"/>
    <w:rsid w:val="00E56F73"/>
    <w:rsid w:val="00E603AF"/>
    <w:rsid w:val="00E604FA"/>
    <w:rsid w:val="00E60FAB"/>
    <w:rsid w:val="00E615BD"/>
    <w:rsid w:val="00E61F48"/>
    <w:rsid w:val="00E624CC"/>
    <w:rsid w:val="00E62B98"/>
    <w:rsid w:val="00E62F16"/>
    <w:rsid w:val="00E631E5"/>
    <w:rsid w:val="00E6329E"/>
    <w:rsid w:val="00E6390E"/>
    <w:rsid w:val="00E65018"/>
    <w:rsid w:val="00E6694C"/>
    <w:rsid w:val="00E66EAB"/>
    <w:rsid w:val="00E67339"/>
    <w:rsid w:val="00E6734C"/>
    <w:rsid w:val="00E67560"/>
    <w:rsid w:val="00E67B4D"/>
    <w:rsid w:val="00E67B50"/>
    <w:rsid w:val="00E67EF0"/>
    <w:rsid w:val="00E705EE"/>
    <w:rsid w:val="00E70B72"/>
    <w:rsid w:val="00E70FDA"/>
    <w:rsid w:val="00E722A2"/>
    <w:rsid w:val="00E729B9"/>
    <w:rsid w:val="00E742E4"/>
    <w:rsid w:val="00E752A9"/>
    <w:rsid w:val="00E75529"/>
    <w:rsid w:val="00E75D96"/>
    <w:rsid w:val="00E75DC3"/>
    <w:rsid w:val="00E75EF0"/>
    <w:rsid w:val="00E76D6E"/>
    <w:rsid w:val="00E7757E"/>
    <w:rsid w:val="00E7789E"/>
    <w:rsid w:val="00E77A75"/>
    <w:rsid w:val="00E77B23"/>
    <w:rsid w:val="00E77D56"/>
    <w:rsid w:val="00E80364"/>
    <w:rsid w:val="00E80511"/>
    <w:rsid w:val="00E8108F"/>
    <w:rsid w:val="00E81C1A"/>
    <w:rsid w:val="00E81C1F"/>
    <w:rsid w:val="00E822F5"/>
    <w:rsid w:val="00E82ED9"/>
    <w:rsid w:val="00E83C04"/>
    <w:rsid w:val="00E83F2F"/>
    <w:rsid w:val="00E843F7"/>
    <w:rsid w:val="00E846F7"/>
    <w:rsid w:val="00E84FD5"/>
    <w:rsid w:val="00E8551B"/>
    <w:rsid w:val="00E878A3"/>
    <w:rsid w:val="00E900A4"/>
    <w:rsid w:val="00E9041B"/>
    <w:rsid w:val="00E91398"/>
    <w:rsid w:val="00E9159F"/>
    <w:rsid w:val="00E91748"/>
    <w:rsid w:val="00E91BF4"/>
    <w:rsid w:val="00E91E02"/>
    <w:rsid w:val="00E92398"/>
    <w:rsid w:val="00E92CBF"/>
    <w:rsid w:val="00E92E0A"/>
    <w:rsid w:val="00E937C9"/>
    <w:rsid w:val="00E9381C"/>
    <w:rsid w:val="00E93CFD"/>
    <w:rsid w:val="00E93F39"/>
    <w:rsid w:val="00E94584"/>
    <w:rsid w:val="00E95058"/>
    <w:rsid w:val="00E95C26"/>
    <w:rsid w:val="00E95CEA"/>
    <w:rsid w:val="00E95E3D"/>
    <w:rsid w:val="00E967F1"/>
    <w:rsid w:val="00E97D20"/>
    <w:rsid w:val="00E97FE2"/>
    <w:rsid w:val="00E97FE6"/>
    <w:rsid w:val="00EA08E8"/>
    <w:rsid w:val="00EA1903"/>
    <w:rsid w:val="00EA1A5A"/>
    <w:rsid w:val="00EA2FC0"/>
    <w:rsid w:val="00EA3F5C"/>
    <w:rsid w:val="00EA4397"/>
    <w:rsid w:val="00EA499D"/>
    <w:rsid w:val="00EA4FFF"/>
    <w:rsid w:val="00EA54A1"/>
    <w:rsid w:val="00EA54AD"/>
    <w:rsid w:val="00EA58A0"/>
    <w:rsid w:val="00EA5AE3"/>
    <w:rsid w:val="00EA5C8C"/>
    <w:rsid w:val="00EA5ECB"/>
    <w:rsid w:val="00EA62F8"/>
    <w:rsid w:val="00EA64B9"/>
    <w:rsid w:val="00EA64FC"/>
    <w:rsid w:val="00EA6B56"/>
    <w:rsid w:val="00EA6D49"/>
    <w:rsid w:val="00EA7144"/>
    <w:rsid w:val="00EA7D0C"/>
    <w:rsid w:val="00EA7F0B"/>
    <w:rsid w:val="00EB0CCF"/>
    <w:rsid w:val="00EB114C"/>
    <w:rsid w:val="00EB18C0"/>
    <w:rsid w:val="00EB20F4"/>
    <w:rsid w:val="00EB2490"/>
    <w:rsid w:val="00EB3F05"/>
    <w:rsid w:val="00EB43BA"/>
    <w:rsid w:val="00EB56C4"/>
    <w:rsid w:val="00EB5955"/>
    <w:rsid w:val="00EB63FA"/>
    <w:rsid w:val="00EB6662"/>
    <w:rsid w:val="00EB6E71"/>
    <w:rsid w:val="00EB7657"/>
    <w:rsid w:val="00EC05E1"/>
    <w:rsid w:val="00EC07BA"/>
    <w:rsid w:val="00EC08E4"/>
    <w:rsid w:val="00EC23D8"/>
    <w:rsid w:val="00EC3785"/>
    <w:rsid w:val="00EC3B2D"/>
    <w:rsid w:val="00EC3E5A"/>
    <w:rsid w:val="00EC458A"/>
    <w:rsid w:val="00EC51A1"/>
    <w:rsid w:val="00EC6178"/>
    <w:rsid w:val="00EC65DD"/>
    <w:rsid w:val="00EC6A56"/>
    <w:rsid w:val="00EC7166"/>
    <w:rsid w:val="00EC7E78"/>
    <w:rsid w:val="00ED06AD"/>
    <w:rsid w:val="00ED0BED"/>
    <w:rsid w:val="00ED1232"/>
    <w:rsid w:val="00ED1A7F"/>
    <w:rsid w:val="00ED22C5"/>
    <w:rsid w:val="00ED3473"/>
    <w:rsid w:val="00ED3503"/>
    <w:rsid w:val="00ED35D8"/>
    <w:rsid w:val="00ED4DFC"/>
    <w:rsid w:val="00ED4E42"/>
    <w:rsid w:val="00ED5E54"/>
    <w:rsid w:val="00ED7786"/>
    <w:rsid w:val="00ED7EA9"/>
    <w:rsid w:val="00EE00E5"/>
    <w:rsid w:val="00EE0B31"/>
    <w:rsid w:val="00EE1E9C"/>
    <w:rsid w:val="00EE1F6E"/>
    <w:rsid w:val="00EE200B"/>
    <w:rsid w:val="00EE2083"/>
    <w:rsid w:val="00EE20A8"/>
    <w:rsid w:val="00EE23BC"/>
    <w:rsid w:val="00EE25D9"/>
    <w:rsid w:val="00EE433B"/>
    <w:rsid w:val="00EE46D0"/>
    <w:rsid w:val="00EE476D"/>
    <w:rsid w:val="00EE49A6"/>
    <w:rsid w:val="00EE49B5"/>
    <w:rsid w:val="00EE4C73"/>
    <w:rsid w:val="00EE5C23"/>
    <w:rsid w:val="00EE67FE"/>
    <w:rsid w:val="00EE703E"/>
    <w:rsid w:val="00EE76F0"/>
    <w:rsid w:val="00EE7B1C"/>
    <w:rsid w:val="00EF02BD"/>
    <w:rsid w:val="00EF17B9"/>
    <w:rsid w:val="00EF1EB9"/>
    <w:rsid w:val="00EF20AF"/>
    <w:rsid w:val="00EF274D"/>
    <w:rsid w:val="00EF34F6"/>
    <w:rsid w:val="00EF355D"/>
    <w:rsid w:val="00EF3725"/>
    <w:rsid w:val="00EF37B5"/>
    <w:rsid w:val="00EF388A"/>
    <w:rsid w:val="00EF3D14"/>
    <w:rsid w:val="00EF3EEE"/>
    <w:rsid w:val="00EF3F88"/>
    <w:rsid w:val="00EF75A6"/>
    <w:rsid w:val="00F0045E"/>
    <w:rsid w:val="00F00724"/>
    <w:rsid w:val="00F00774"/>
    <w:rsid w:val="00F0081B"/>
    <w:rsid w:val="00F01968"/>
    <w:rsid w:val="00F01F95"/>
    <w:rsid w:val="00F0256E"/>
    <w:rsid w:val="00F03681"/>
    <w:rsid w:val="00F03E2F"/>
    <w:rsid w:val="00F04D9B"/>
    <w:rsid w:val="00F05AB5"/>
    <w:rsid w:val="00F05BC9"/>
    <w:rsid w:val="00F0608B"/>
    <w:rsid w:val="00F0659C"/>
    <w:rsid w:val="00F06776"/>
    <w:rsid w:val="00F06CDD"/>
    <w:rsid w:val="00F06D5D"/>
    <w:rsid w:val="00F102AB"/>
    <w:rsid w:val="00F11AA5"/>
    <w:rsid w:val="00F11E55"/>
    <w:rsid w:val="00F128DE"/>
    <w:rsid w:val="00F12B44"/>
    <w:rsid w:val="00F12DF4"/>
    <w:rsid w:val="00F13400"/>
    <w:rsid w:val="00F1411B"/>
    <w:rsid w:val="00F14C07"/>
    <w:rsid w:val="00F14C0C"/>
    <w:rsid w:val="00F14CD6"/>
    <w:rsid w:val="00F154D7"/>
    <w:rsid w:val="00F1585C"/>
    <w:rsid w:val="00F15FFE"/>
    <w:rsid w:val="00F163F8"/>
    <w:rsid w:val="00F16901"/>
    <w:rsid w:val="00F17267"/>
    <w:rsid w:val="00F218A0"/>
    <w:rsid w:val="00F2210C"/>
    <w:rsid w:val="00F231FB"/>
    <w:rsid w:val="00F243C4"/>
    <w:rsid w:val="00F243FF"/>
    <w:rsid w:val="00F25199"/>
    <w:rsid w:val="00F254D8"/>
    <w:rsid w:val="00F26955"/>
    <w:rsid w:val="00F26A46"/>
    <w:rsid w:val="00F26F86"/>
    <w:rsid w:val="00F271AB"/>
    <w:rsid w:val="00F2780A"/>
    <w:rsid w:val="00F311C3"/>
    <w:rsid w:val="00F314EF"/>
    <w:rsid w:val="00F3167E"/>
    <w:rsid w:val="00F31D61"/>
    <w:rsid w:val="00F332B2"/>
    <w:rsid w:val="00F33DD2"/>
    <w:rsid w:val="00F33E94"/>
    <w:rsid w:val="00F33F0D"/>
    <w:rsid w:val="00F352BD"/>
    <w:rsid w:val="00F3589E"/>
    <w:rsid w:val="00F35DAE"/>
    <w:rsid w:val="00F36723"/>
    <w:rsid w:val="00F368F2"/>
    <w:rsid w:val="00F3715D"/>
    <w:rsid w:val="00F37A09"/>
    <w:rsid w:val="00F404BF"/>
    <w:rsid w:val="00F40EB5"/>
    <w:rsid w:val="00F40F31"/>
    <w:rsid w:val="00F41380"/>
    <w:rsid w:val="00F41421"/>
    <w:rsid w:val="00F41886"/>
    <w:rsid w:val="00F419C3"/>
    <w:rsid w:val="00F41A80"/>
    <w:rsid w:val="00F41C4B"/>
    <w:rsid w:val="00F43206"/>
    <w:rsid w:val="00F435B6"/>
    <w:rsid w:val="00F4392C"/>
    <w:rsid w:val="00F448F9"/>
    <w:rsid w:val="00F44EC7"/>
    <w:rsid w:val="00F44EC8"/>
    <w:rsid w:val="00F452E7"/>
    <w:rsid w:val="00F4670C"/>
    <w:rsid w:val="00F467C0"/>
    <w:rsid w:val="00F47C6B"/>
    <w:rsid w:val="00F503D2"/>
    <w:rsid w:val="00F505AC"/>
    <w:rsid w:val="00F50603"/>
    <w:rsid w:val="00F50C03"/>
    <w:rsid w:val="00F50F47"/>
    <w:rsid w:val="00F51899"/>
    <w:rsid w:val="00F51E43"/>
    <w:rsid w:val="00F51E44"/>
    <w:rsid w:val="00F5253A"/>
    <w:rsid w:val="00F5325B"/>
    <w:rsid w:val="00F53AF0"/>
    <w:rsid w:val="00F5442C"/>
    <w:rsid w:val="00F55337"/>
    <w:rsid w:val="00F55F0A"/>
    <w:rsid w:val="00F56456"/>
    <w:rsid w:val="00F5652C"/>
    <w:rsid w:val="00F575D1"/>
    <w:rsid w:val="00F57C49"/>
    <w:rsid w:val="00F57D6B"/>
    <w:rsid w:val="00F60A98"/>
    <w:rsid w:val="00F618C5"/>
    <w:rsid w:val="00F619E0"/>
    <w:rsid w:val="00F622E5"/>
    <w:rsid w:val="00F626FF"/>
    <w:rsid w:val="00F627D0"/>
    <w:rsid w:val="00F6380C"/>
    <w:rsid w:val="00F63E23"/>
    <w:rsid w:val="00F65D31"/>
    <w:rsid w:val="00F66566"/>
    <w:rsid w:val="00F666A7"/>
    <w:rsid w:val="00F66A2E"/>
    <w:rsid w:val="00F67C31"/>
    <w:rsid w:val="00F67F09"/>
    <w:rsid w:val="00F706A0"/>
    <w:rsid w:val="00F708C0"/>
    <w:rsid w:val="00F709F5"/>
    <w:rsid w:val="00F717CC"/>
    <w:rsid w:val="00F72F51"/>
    <w:rsid w:val="00F73999"/>
    <w:rsid w:val="00F73AB3"/>
    <w:rsid w:val="00F73AB7"/>
    <w:rsid w:val="00F7566A"/>
    <w:rsid w:val="00F76268"/>
    <w:rsid w:val="00F76CF3"/>
    <w:rsid w:val="00F76DA3"/>
    <w:rsid w:val="00F776D1"/>
    <w:rsid w:val="00F805CA"/>
    <w:rsid w:val="00F807A4"/>
    <w:rsid w:val="00F809ED"/>
    <w:rsid w:val="00F80DD8"/>
    <w:rsid w:val="00F81914"/>
    <w:rsid w:val="00F81B7D"/>
    <w:rsid w:val="00F82079"/>
    <w:rsid w:val="00F824D5"/>
    <w:rsid w:val="00F82628"/>
    <w:rsid w:val="00F82D8E"/>
    <w:rsid w:val="00F82E01"/>
    <w:rsid w:val="00F8321D"/>
    <w:rsid w:val="00F83461"/>
    <w:rsid w:val="00F83585"/>
    <w:rsid w:val="00F83883"/>
    <w:rsid w:val="00F83ACF"/>
    <w:rsid w:val="00F8517B"/>
    <w:rsid w:val="00F853BE"/>
    <w:rsid w:val="00F869F3"/>
    <w:rsid w:val="00F87971"/>
    <w:rsid w:val="00F87B71"/>
    <w:rsid w:val="00F87EB0"/>
    <w:rsid w:val="00F9052C"/>
    <w:rsid w:val="00F9135D"/>
    <w:rsid w:val="00F91B71"/>
    <w:rsid w:val="00F91BA8"/>
    <w:rsid w:val="00F9260F"/>
    <w:rsid w:val="00F9308E"/>
    <w:rsid w:val="00F95E64"/>
    <w:rsid w:val="00F960B8"/>
    <w:rsid w:val="00F9649D"/>
    <w:rsid w:val="00F96A46"/>
    <w:rsid w:val="00F96BB8"/>
    <w:rsid w:val="00F97A19"/>
    <w:rsid w:val="00FA068B"/>
    <w:rsid w:val="00FA0B65"/>
    <w:rsid w:val="00FA1B1B"/>
    <w:rsid w:val="00FA2534"/>
    <w:rsid w:val="00FA2BC2"/>
    <w:rsid w:val="00FA37EA"/>
    <w:rsid w:val="00FA381E"/>
    <w:rsid w:val="00FA3927"/>
    <w:rsid w:val="00FA52C8"/>
    <w:rsid w:val="00FA54B2"/>
    <w:rsid w:val="00FA5812"/>
    <w:rsid w:val="00FA59CD"/>
    <w:rsid w:val="00FA7990"/>
    <w:rsid w:val="00FB07FC"/>
    <w:rsid w:val="00FB1180"/>
    <w:rsid w:val="00FB174F"/>
    <w:rsid w:val="00FB1FEB"/>
    <w:rsid w:val="00FB28DA"/>
    <w:rsid w:val="00FB35B5"/>
    <w:rsid w:val="00FB4250"/>
    <w:rsid w:val="00FB42B4"/>
    <w:rsid w:val="00FB5638"/>
    <w:rsid w:val="00FB59AB"/>
    <w:rsid w:val="00FB5A8D"/>
    <w:rsid w:val="00FB6627"/>
    <w:rsid w:val="00FB6721"/>
    <w:rsid w:val="00FB7318"/>
    <w:rsid w:val="00FB77DE"/>
    <w:rsid w:val="00FC0251"/>
    <w:rsid w:val="00FC1102"/>
    <w:rsid w:val="00FC16AD"/>
    <w:rsid w:val="00FC1F94"/>
    <w:rsid w:val="00FC2E23"/>
    <w:rsid w:val="00FC3241"/>
    <w:rsid w:val="00FC3649"/>
    <w:rsid w:val="00FC3BB3"/>
    <w:rsid w:val="00FC3ED9"/>
    <w:rsid w:val="00FC54D5"/>
    <w:rsid w:val="00FC664D"/>
    <w:rsid w:val="00FC737A"/>
    <w:rsid w:val="00FC7844"/>
    <w:rsid w:val="00FD0A8B"/>
    <w:rsid w:val="00FD1512"/>
    <w:rsid w:val="00FD163B"/>
    <w:rsid w:val="00FD1AB4"/>
    <w:rsid w:val="00FD1DDF"/>
    <w:rsid w:val="00FD2068"/>
    <w:rsid w:val="00FD28E8"/>
    <w:rsid w:val="00FD3355"/>
    <w:rsid w:val="00FD3CF7"/>
    <w:rsid w:val="00FD4FCC"/>
    <w:rsid w:val="00FD522F"/>
    <w:rsid w:val="00FD5A00"/>
    <w:rsid w:val="00FD5D23"/>
    <w:rsid w:val="00FD5F89"/>
    <w:rsid w:val="00FD6570"/>
    <w:rsid w:val="00FD6EA4"/>
    <w:rsid w:val="00FD6FCC"/>
    <w:rsid w:val="00FD739A"/>
    <w:rsid w:val="00FD79A7"/>
    <w:rsid w:val="00FE04A4"/>
    <w:rsid w:val="00FE0841"/>
    <w:rsid w:val="00FE08FD"/>
    <w:rsid w:val="00FE12A5"/>
    <w:rsid w:val="00FE1B58"/>
    <w:rsid w:val="00FE1DFA"/>
    <w:rsid w:val="00FE1EDA"/>
    <w:rsid w:val="00FE1F3B"/>
    <w:rsid w:val="00FE22CB"/>
    <w:rsid w:val="00FE2859"/>
    <w:rsid w:val="00FE2A81"/>
    <w:rsid w:val="00FE303A"/>
    <w:rsid w:val="00FE345D"/>
    <w:rsid w:val="00FE486C"/>
    <w:rsid w:val="00FE4E00"/>
    <w:rsid w:val="00FE5194"/>
    <w:rsid w:val="00FE544E"/>
    <w:rsid w:val="00FE54F6"/>
    <w:rsid w:val="00FE5A35"/>
    <w:rsid w:val="00FE64A9"/>
    <w:rsid w:val="00FE6BD7"/>
    <w:rsid w:val="00FE6C8F"/>
    <w:rsid w:val="00FF0644"/>
    <w:rsid w:val="00FF094E"/>
    <w:rsid w:val="00FF0A66"/>
    <w:rsid w:val="00FF1632"/>
    <w:rsid w:val="00FF1FCE"/>
    <w:rsid w:val="00FF2234"/>
    <w:rsid w:val="00FF290B"/>
    <w:rsid w:val="00FF320D"/>
    <w:rsid w:val="00FF33BD"/>
    <w:rsid w:val="00FF3C13"/>
    <w:rsid w:val="00FF4169"/>
    <w:rsid w:val="00FF4FD5"/>
    <w:rsid w:val="00FF582B"/>
    <w:rsid w:val="00FF6702"/>
    <w:rsid w:val="00FF7188"/>
    <w:rsid w:val="00FF72DC"/>
    <w:rsid w:val="00FF76DE"/>
    <w:rsid w:val="00FF7785"/>
    <w:rsid w:val="00FF7BE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4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F4B7F"/>
  </w:style>
  <w:style w:type="paragraph" w:styleId="Heading1">
    <w:name w:val="heading 1"/>
    <w:basedOn w:val="Normal"/>
    <w:next w:val="Normal"/>
    <w:link w:val="Heading1Char"/>
    <w:qFormat/>
    <w:rsid w:val="00081DCD"/>
    <w:pPr>
      <w:keepNext/>
      <w:widowControl w:val="0"/>
      <w:outlineLvl w:val="0"/>
    </w:pPr>
    <w:rPr>
      <w:rFonts w:ascii="Arial" w:hAnsi="Arial"/>
      <w:b/>
      <w:snapToGrid w:val="0"/>
      <w:lang w:eastAsia="en-US"/>
    </w:rPr>
  </w:style>
  <w:style w:type="paragraph" w:styleId="Heading2">
    <w:name w:val="heading 2"/>
    <w:basedOn w:val="Normal"/>
    <w:next w:val="Normal"/>
    <w:link w:val="Heading2Char"/>
    <w:semiHidden/>
    <w:unhideWhenUsed/>
    <w:qFormat/>
    <w:rsid w:val="00D824BB"/>
    <w:pPr>
      <w:keepNext/>
      <w:spacing w:before="240" w:after="60"/>
      <w:outlineLvl w:val="1"/>
    </w:pPr>
    <w:rPr>
      <w:rFonts w:asciiTheme="majorHAnsi" w:eastAsiaTheme="majorEastAsia" w:hAnsiTheme="majorHAnsi" w:cstheme="majorBidi"/>
      <w:b/>
      <w:bCs/>
      <w:i/>
      <w:iCs/>
      <w:sz w:val="28"/>
      <w:szCs w:val="28"/>
    </w:rPr>
  </w:style>
  <w:style w:type="paragraph" w:styleId="Heading4">
    <w:name w:val="heading 4"/>
    <w:basedOn w:val="Normal"/>
    <w:next w:val="Normal"/>
    <w:qFormat/>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pPr>
      <w:spacing w:after="160" w:line="240" w:lineRule="exact"/>
    </w:pPr>
    <w:rPr>
      <w:rFonts w:ascii="Verdana" w:eastAsia="MS Mincho" w:hAnsi="Verdana" w:cs="Verdana"/>
      <w:lang w:val="en-US" w:eastAsia="en-US"/>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character" w:styleId="Hyperlink">
    <w:name w:val="Hyperlink"/>
    <w:rPr>
      <w:color w:val="0000CC"/>
      <w:u w:val="single"/>
    </w:rPr>
  </w:style>
  <w:style w:type="character" w:styleId="Emphasis">
    <w:name w:val="Emphasis"/>
    <w:qFormat/>
    <w:rPr>
      <w:b/>
      <w:bCs/>
      <w:i w:val="0"/>
      <w:iCs w:val="0"/>
    </w:rPr>
  </w:style>
  <w:style w:type="paragraph" w:customStyle="1" w:styleId="Char0">
    <w:name w:val="Char"/>
    <w:basedOn w:val="Normal"/>
    <w:pPr>
      <w:spacing w:after="160" w:line="240" w:lineRule="exact"/>
    </w:pPr>
    <w:rPr>
      <w:rFonts w:ascii="Verdana" w:eastAsia="MS Mincho" w:hAnsi="Verdana" w:cs="Verdana"/>
      <w:lang w:val="en-US" w:eastAsia="en-US"/>
    </w:rPr>
  </w:style>
  <w:style w:type="character" w:styleId="CommentReference">
    <w:name w:val="annotation reference"/>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character" w:styleId="PageNumber">
    <w:name w:val="page number"/>
    <w:basedOn w:val="DefaultParagraphFont"/>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lang w:val="en-US" w:eastAsia="en-US"/>
    </w:rPr>
  </w:style>
  <w:style w:type="paragraph" w:styleId="ListBullet">
    <w:name w:val="List Bullet"/>
    <w:basedOn w:val="Normal"/>
    <w:autoRedefine/>
  </w:style>
  <w:style w:type="character" w:customStyle="1" w:styleId="brand">
    <w:name w:val="brand"/>
    <w:basedOn w:val="DefaultParagraphFont"/>
    <w:rsid w:val="00A05B20"/>
  </w:style>
  <w:style w:type="paragraph" w:styleId="NormalWeb">
    <w:name w:val="Normal (Web)"/>
    <w:basedOn w:val="Normal"/>
    <w:uiPriority w:val="99"/>
    <w:unhideWhenUsed/>
    <w:rsid w:val="003A2BB7"/>
    <w:pPr>
      <w:spacing w:before="100" w:beforeAutospacing="1" w:after="100" w:afterAutospacing="1"/>
    </w:pPr>
    <w:rPr>
      <w:sz w:val="24"/>
      <w:szCs w:val="24"/>
    </w:rPr>
  </w:style>
  <w:style w:type="character" w:customStyle="1" w:styleId="form-strength">
    <w:name w:val="form-strength"/>
    <w:rsid w:val="00CB77F2"/>
  </w:style>
  <w:style w:type="character" w:customStyle="1" w:styleId="drug-name">
    <w:name w:val="drug-name"/>
    <w:rsid w:val="00CB77F2"/>
  </w:style>
  <w:style w:type="paragraph" w:styleId="BodyText">
    <w:name w:val="Body Text"/>
    <w:aliases w:val="Char Char Char"/>
    <w:basedOn w:val="Normal"/>
    <w:link w:val="BodyTextChar"/>
    <w:qFormat/>
    <w:rsid w:val="00E3123A"/>
    <w:pPr>
      <w:spacing w:after="360" w:line="360" w:lineRule="auto"/>
    </w:pPr>
    <w:rPr>
      <w:rFonts w:ascii="Arial" w:hAnsi="Arial"/>
      <w:szCs w:val="24"/>
      <w:lang w:val="en-US" w:eastAsia="en-US"/>
    </w:rPr>
  </w:style>
  <w:style w:type="character" w:customStyle="1" w:styleId="BodyTextChar">
    <w:name w:val="Body Text Char"/>
    <w:aliases w:val="Char Char Char Char"/>
    <w:link w:val="BodyText"/>
    <w:rsid w:val="00E3123A"/>
    <w:rPr>
      <w:rFonts w:ascii="Arial" w:hAnsi="Arial"/>
      <w:szCs w:val="24"/>
      <w:lang w:val="en-US" w:eastAsia="en-US"/>
    </w:rPr>
  </w:style>
  <w:style w:type="paragraph" w:customStyle="1" w:styleId="Default">
    <w:name w:val="Default"/>
    <w:rsid w:val="00E56F73"/>
    <w:pPr>
      <w:autoSpaceDE w:val="0"/>
      <w:autoSpaceDN w:val="0"/>
      <w:adjustRightInd w:val="0"/>
    </w:pPr>
    <w:rPr>
      <w:color w:val="000000"/>
      <w:sz w:val="24"/>
      <w:szCs w:val="24"/>
    </w:rPr>
  </w:style>
  <w:style w:type="character" w:customStyle="1" w:styleId="HeaderChar">
    <w:name w:val="Header Char"/>
    <w:link w:val="Header"/>
    <w:rsid w:val="00D33975"/>
  </w:style>
  <w:style w:type="character" w:customStyle="1" w:styleId="Heading1Char">
    <w:name w:val="Heading 1 Char"/>
    <w:link w:val="Heading1"/>
    <w:rsid w:val="00081DCD"/>
    <w:rPr>
      <w:rFonts w:ascii="Arial" w:hAnsi="Arial"/>
      <w:b/>
      <w:snapToGrid w:val="0"/>
      <w:lang w:eastAsia="en-US"/>
    </w:rPr>
  </w:style>
  <w:style w:type="character" w:customStyle="1" w:styleId="st">
    <w:name w:val="st"/>
    <w:rsid w:val="00081DCD"/>
  </w:style>
  <w:style w:type="paragraph" w:styleId="ListParagraph">
    <w:name w:val="List Paragraph"/>
    <w:aliases w:val="BulletPoints,Bullet point,List Paragraph1,List Paragraph11,Recommendation,Footnote"/>
    <w:basedOn w:val="Normal"/>
    <w:link w:val="ListParagraphChar"/>
    <w:uiPriority w:val="34"/>
    <w:qFormat/>
    <w:rsid w:val="008708CA"/>
    <w:pPr>
      <w:ind w:left="720"/>
      <w:contextualSpacing/>
    </w:pPr>
    <w:rPr>
      <w:rFonts w:eastAsia="SimSun"/>
      <w:sz w:val="24"/>
      <w:szCs w:val="24"/>
    </w:rPr>
  </w:style>
  <w:style w:type="character" w:styleId="IntenseReference">
    <w:name w:val="Intense Reference"/>
    <w:uiPriority w:val="32"/>
    <w:qFormat/>
    <w:rsid w:val="002A0126"/>
    <w:rPr>
      <w:b/>
      <w:bCs/>
      <w:i/>
      <w:smallCaps/>
      <w:color w:val="C0504D"/>
      <w:spacing w:val="5"/>
      <w:u w:val="none"/>
    </w:rPr>
  </w:style>
  <w:style w:type="paragraph" w:customStyle="1" w:styleId="PBACHeading1">
    <w:name w:val="PBAC Heading 1"/>
    <w:qFormat/>
    <w:rsid w:val="005741B7"/>
    <w:pPr>
      <w:ind w:left="720" w:hanging="720"/>
    </w:pPr>
    <w:rPr>
      <w:rFonts w:ascii="Arial" w:hAnsi="Arial" w:cs="Arial"/>
      <w:b/>
      <w:snapToGrid w:val="0"/>
      <w:sz w:val="22"/>
      <w:szCs w:val="22"/>
      <w:lang w:eastAsia="en-US"/>
    </w:rPr>
  </w:style>
  <w:style w:type="character" w:customStyle="1" w:styleId="ListParagraphChar">
    <w:name w:val="List Paragraph Char"/>
    <w:aliases w:val="BulletPoints Char,Bullet point Char,List Paragraph1 Char,List Paragraph11 Char,Recommendation Char,Footnote Char"/>
    <w:link w:val="ListParagraph"/>
    <w:uiPriority w:val="34"/>
    <w:rsid w:val="005741B7"/>
    <w:rPr>
      <w:rFonts w:eastAsia="SimSun"/>
      <w:sz w:val="24"/>
      <w:szCs w:val="24"/>
    </w:rPr>
  </w:style>
  <w:style w:type="character" w:customStyle="1" w:styleId="apple-converted-space">
    <w:name w:val="apple-converted-space"/>
    <w:rsid w:val="004E4D96"/>
  </w:style>
  <w:style w:type="paragraph" w:customStyle="1" w:styleId="PBACheading10">
    <w:name w:val="PBAC heading 1"/>
    <w:qFormat/>
    <w:rsid w:val="00F67C31"/>
    <w:pPr>
      <w:ind w:left="720" w:hanging="720"/>
    </w:pPr>
    <w:rPr>
      <w:rFonts w:ascii="Arial" w:eastAsia="SimSun" w:hAnsi="Arial" w:cs="Arial"/>
      <w:snapToGrid w:val="0"/>
      <w:sz w:val="22"/>
      <w:szCs w:val="22"/>
      <w:lang w:eastAsia="en-US"/>
    </w:rPr>
  </w:style>
  <w:style w:type="character" w:customStyle="1" w:styleId="Heading2Char">
    <w:name w:val="Heading 2 Char"/>
    <w:basedOn w:val="DefaultParagraphFont"/>
    <w:link w:val="Heading2"/>
    <w:semiHidden/>
    <w:rsid w:val="00D824BB"/>
    <w:rPr>
      <w:rFonts w:asciiTheme="majorHAnsi" w:eastAsiaTheme="majorEastAsia" w:hAnsiTheme="majorHAnsi" w:cstheme="majorBidi"/>
      <w:b/>
      <w:bCs/>
      <w:i/>
      <w:i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F4B7F"/>
  </w:style>
  <w:style w:type="paragraph" w:styleId="Heading1">
    <w:name w:val="heading 1"/>
    <w:basedOn w:val="Normal"/>
    <w:next w:val="Normal"/>
    <w:link w:val="Heading1Char"/>
    <w:qFormat/>
    <w:rsid w:val="00081DCD"/>
    <w:pPr>
      <w:keepNext/>
      <w:widowControl w:val="0"/>
      <w:outlineLvl w:val="0"/>
    </w:pPr>
    <w:rPr>
      <w:rFonts w:ascii="Arial" w:hAnsi="Arial"/>
      <w:b/>
      <w:snapToGrid w:val="0"/>
      <w:lang w:eastAsia="en-US"/>
    </w:rPr>
  </w:style>
  <w:style w:type="paragraph" w:styleId="Heading2">
    <w:name w:val="heading 2"/>
    <w:basedOn w:val="Normal"/>
    <w:next w:val="Normal"/>
    <w:link w:val="Heading2Char"/>
    <w:semiHidden/>
    <w:unhideWhenUsed/>
    <w:qFormat/>
    <w:rsid w:val="00D824BB"/>
    <w:pPr>
      <w:keepNext/>
      <w:spacing w:before="240" w:after="60"/>
      <w:outlineLvl w:val="1"/>
    </w:pPr>
    <w:rPr>
      <w:rFonts w:asciiTheme="majorHAnsi" w:eastAsiaTheme="majorEastAsia" w:hAnsiTheme="majorHAnsi" w:cstheme="majorBidi"/>
      <w:b/>
      <w:bCs/>
      <w:i/>
      <w:iCs/>
      <w:sz w:val="28"/>
      <w:szCs w:val="28"/>
    </w:rPr>
  </w:style>
  <w:style w:type="paragraph" w:styleId="Heading4">
    <w:name w:val="heading 4"/>
    <w:basedOn w:val="Normal"/>
    <w:next w:val="Normal"/>
    <w:qFormat/>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pPr>
      <w:spacing w:after="160" w:line="240" w:lineRule="exact"/>
    </w:pPr>
    <w:rPr>
      <w:rFonts w:ascii="Verdana" w:eastAsia="MS Mincho" w:hAnsi="Verdana" w:cs="Verdana"/>
      <w:lang w:val="en-US" w:eastAsia="en-US"/>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character" w:styleId="Hyperlink">
    <w:name w:val="Hyperlink"/>
    <w:rPr>
      <w:color w:val="0000CC"/>
      <w:u w:val="single"/>
    </w:rPr>
  </w:style>
  <w:style w:type="character" w:styleId="Emphasis">
    <w:name w:val="Emphasis"/>
    <w:qFormat/>
    <w:rPr>
      <w:b/>
      <w:bCs/>
      <w:i w:val="0"/>
      <w:iCs w:val="0"/>
    </w:rPr>
  </w:style>
  <w:style w:type="paragraph" w:customStyle="1" w:styleId="Char0">
    <w:name w:val="Char"/>
    <w:basedOn w:val="Normal"/>
    <w:pPr>
      <w:spacing w:after="160" w:line="240" w:lineRule="exact"/>
    </w:pPr>
    <w:rPr>
      <w:rFonts w:ascii="Verdana" w:eastAsia="MS Mincho" w:hAnsi="Verdana" w:cs="Verdana"/>
      <w:lang w:val="en-US" w:eastAsia="en-US"/>
    </w:rPr>
  </w:style>
  <w:style w:type="character" w:styleId="CommentReference">
    <w:name w:val="annotation reference"/>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character" w:styleId="PageNumber">
    <w:name w:val="page number"/>
    <w:basedOn w:val="DefaultParagraphFont"/>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lang w:val="en-US" w:eastAsia="en-US"/>
    </w:rPr>
  </w:style>
  <w:style w:type="paragraph" w:styleId="ListBullet">
    <w:name w:val="List Bullet"/>
    <w:basedOn w:val="Normal"/>
    <w:autoRedefine/>
  </w:style>
  <w:style w:type="character" w:customStyle="1" w:styleId="brand">
    <w:name w:val="brand"/>
    <w:basedOn w:val="DefaultParagraphFont"/>
    <w:rsid w:val="00A05B20"/>
  </w:style>
  <w:style w:type="paragraph" w:styleId="NormalWeb">
    <w:name w:val="Normal (Web)"/>
    <w:basedOn w:val="Normal"/>
    <w:uiPriority w:val="99"/>
    <w:unhideWhenUsed/>
    <w:rsid w:val="003A2BB7"/>
    <w:pPr>
      <w:spacing w:before="100" w:beforeAutospacing="1" w:after="100" w:afterAutospacing="1"/>
    </w:pPr>
    <w:rPr>
      <w:sz w:val="24"/>
      <w:szCs w:val="24"/>
    </w:rPr>
  </w:style>
  <w:style w:type="character" w:customStyle="1" w:styleId="form-strength">
    <w:name w:val="form-strength"/>
    <w:rsid w:val="00CB77F2"/>
  </w:style>
  <w:style w:type="character" w:customStyle="1" w:styleId="drug-name">
    <w:name w:val="drug-name"/>
    <w:rsid w:val="00CB77F2"/>
  </w:style>
  <w:style w:type="paragraph" w:styleId="BodyText">
    <w:name w:val="Body Text"/>
    <w:aliases w:val="Char Char Char"/>
    <w:basedOn w:val="Normal"/>
    <w:link w:val="BodyTextChar"/>
    <w:qFormat/>
    <w:rsid w:val="00E3123A"/>
    <w:pPr>
      <w:spacing w:after="360" w:line="360" w:lineRule="auto"/>
    </w:pPr>
    <w:rPr>
      <w:rFonts w:ascii="Arial" w:hAnsi="Arial"/>
      <w:szCs w:val="24"/>
      <w:lang w:val="en-US" w:eastAsia="en-US"/>
    </w:rPr>
  </w:style>
  <w:style w:type="character" w:customStyle="1" w:styleId="BodyTextChar">
    <w:name w:val="Body Text Char"/>
    <w:aliases w:val="Char Char Char Char"/>
    <w:link w:val="BodyText"/>
    <w:rsid w:val="00E3123A"/>
    <w:rPr>
      <w:rFonts w:ascii="Arial" w:hAnsi="Arial"/>
      <w:szCs w:val="24"/>
      <w:lang w:val="en-US" w:eastAsia="en-US"/>
    </w:rPr>
  </w:style>
  <w:style w:type="paragraph" w:customStyle="1" w:styleId="Default">
    <w:name w:val="Default"/>
    <w:rsid w:val="00E56F73"/>
    <w:pPr>
      <w:autoSpaceDE w:val="0"/>
      <w:autoSpaceDN w:val="0"/>
      <w:adjustRightInd w:val="0"/>
    </w:pPr>
    <w:rPr>
      <w:color w:val="000000"/>
      <w:sz w:val="24"/>
      <w:szCs w:val="24"/>
    </w:rPr>
  </w:style>
  <w:style w:type="character" w:customStyle="1" w:styleId="HeaderChar">
    <w:name w:val="Header Char"/>
    <w:link w:val="Header"/>
    <w:rsid w:val="00D33975"/>
  </w:style>
  <w:style w:type="character" w:customStyle="1" w:styleId="Heading1Char">
    <w:name w:val="Heading 1 Char"/>
    <w:link w:val="Heading1"/>
    <w:rsid w:val="00081DCD"/>
    <w:rPr>
      <w:rFonts w:ascii="Arial" w:hAnsi="Arial"/>
      <w:b/>
      <w:snapToGrid w:val="0"/>
      <w:lang w:eastAsia="en-US"/>
    </w:rPr>
  </w:style>
  <w:style w:type="character" w:customStyle="1" w:styleId="st">
    <w:name w:val="st"/>
    <w:rsid w:val="00081DCD"/>
  </w:style>
  <w:style w:type="paragraph" w:styleId="ListParagraph">
    <w:name w:val="List Paragraph"/>
    <w:aliases w:val="BulletPoints,Bullet point,List Paragraph1,List Paragraph11,Recommendation,Footnote"/>
    <w:basedOn w:val="Normal"/>
    <w:link w:val="ListParagraphChar"/>
    <w:uiPriority w:val="34"/>
    <w:qFormat/>
    <w:rsid w:val="008708CA"/>
    <w:pPr>
      <w:ind w:left="720"/>
      <w:contextualSpacing/>
    </w:pPr>
    <w:rPr>
      <w:rFonts w:eastAsia="SimSun"/>
      <w:sz w:val="24"/>
      <w:szCs w:val="24"/>
    </w:rPr>
  </w:style>
  <w:style w:type="character" w:styleId="IntenseReference">
    <w:name w:val="Intense Reference"/>
    <w:uiPriority w:val="32"/>
    <w:qFormat/>
    <w:rsid w:val="002A0126"/>
    <w:rPr>
      <w:b/>
      <w:bCs/>
      <w:i/>
      <w:smallCaps/>
      <w:color w:val="C0504D"/>
      <w:spacing w:val="5"/>
      <w:u w:val="none"/>
    </w:rPr>
  </w:style>
  <w:style w:type="paragraph" w:customStyle="1" w:styleId="PBACHeading1">
    <w:name w:val="PBAC Heading 1"/>
    <w:qFormat/>
    <w:rsid w:val="005741B7"/>
    <w:pPr>
      <w:ind w:left="720" w:hanging="720"/>
    </w:pPr>
    <w:rPr>
      <w:rFonts w:ascii="Arial" w:hAnsi="Arial" w:cs="Arial"/>
      <w:b/>
      <w:snapToGrid w:val="0"/>
      <w:sz w:val="22"/>
      <w:szCs w:val="22"/>
      <w:lang w:eastAsia="en-US"/>
    </w:rPr>
  </w:style>
  <w:style w:type="character" w:customStyle="1" w:styleId="ListParagraphChar">
    <w:name w:val="List Paragraph Char"/>
    <w:aliases w:val="BulletPoints Char,Bullet point Char,List Paragraph1 Char,List Paragraph11 Char,Recommendation Char,Footnote Char"/>
    <w:link w:val="ListParagraph"/>
    <w:uiPriority w:val="34"/>
    <w:rsid w:val="005741B7"/>
    <w:rPr>
      <w:rFonts w:eastAsia="SimSun"/>
      <w:sz w:val="24"/>
      <w:szCs w:val="24"/>
    </w:rPr>
  </w:style>
  <w:style w:type="character" w:customStyle="1" w:styleId="apple-converted-space">
    <w:name w:val="apple-converted-space"/>
    <w:rsid w:val="004E4D96"/>
  </w:style>
  <w:style w:type="paragraph" w:customStyle="1" w:styleId="PBACheading10">
    <w:name w:val="PBAC heading 1"/>
    <w:qFormat/>
    <w:rsid w:val="00F67C31"/>
    <w:pPr>
      <w:ind w:left="720" w:hanging="720"/>
    </w:pPr>
    <w:rPr>
      <w:rFonts w:ascii="Arial" w:eastAsia="SimSun" w:hAnsi="Arial" w:cs="Arial"/>
      <w:snapToGrid w:val="0"/>
      <w:sz w:val="22"/>
      <w:szCs w:val="22"/>
      <w:lang w:eastAsia="en-US"/>
    </w:rPr>
  </w:style>
  <w:style w:type="character" w:customStyle="1" w:styleId="Heading2Char">
    <w:name w:val="Heading 2 Char"/>
    <w:basedOn w:val="DefaultParagraphFont"/>
    <w:link w:val="Heading2"/>
    <w:semiHidden/>
    <w:rsid w:val="00D824BB"/>
    <w:rPr>
      <w:rFonts w:asciiTheme="majorHAnsi" w:eastAsiaTheme="majorEastAsia" w:hAnsiTheme="majorHAnsi" w:cstheme="majorBidi"/>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58647">
      <w:bodyDiv w:val="1"/>
      <w:marLeft w:val="0"/>
      <w:marRight w:val="0"/>
      <w:marTop w:val="0"/>
      <w:marBottom w:val="0"/>
      <w:divBdr>
        <w:top w:val="none" w:sz="0" w:space="0" w:color="auto"/>
        <w:left w:val="none" w:sz="0" w:space="0" w:color="auto"/>
        <w:bottom w:val="none" w:sz="0" w:space="0" w:color="auto"/>
        <w:right w:val="none" w:sz="0" w:space="0" w:color="auto"/>
      </w:divBdr>
    </w:div>
    <w:div w:id="54011280">
      <w:bodyDiv w:val="1"/>
      <w:marLeft w:val="0"/>
      <w:marRight w:val="0"/>
      <w:marTop w:val="0"/>
      <w:marBottom w:val="0"/>
      <w:divBdr>
        <w:top w:val="none" w:sz="0" w:space="0" w:color="auto"/>
        <w:left w:val="none" w:sz="0" w:space="0" w:color="auto"/>
        <w:bottom w:val="none" w:sz="0" w:space="0" w:color="auto"/>
        <w:right w:val="none" w:sz="0" w:space="0" w:color="auto"/>
      </w:divBdr>
    </w:div>
    <w:div w:id="70007710">
      <w:bodyDiv w:val="1"/>
      <w:marLeft w:val="0"/>
      <w:marRight w:val="0"/>
      <w:marTop w:val="0"/>
      <w:marBottom w:val="0"/>
      <w:divBdr>
        <w:top w:val="none" w:sz="0" w:space="0" w:color="auto"/>
        <w:left w:val="none" w:sz="0" w:space="0" w:color="auto"/>
        <w:bottom w:val="none" w:sz="0" w:space="0" w:color="auto"/>
        <w:right w:val="none" w:sz="0" w:space="0" w:color="auto"/>
      </w:divBdr>
    </w:div>
    <w:div w:id="73675210">
      <w:bodyDiv w:val="1"/>
      <w:marLeft w:val="0"/>
      <w:marRight w:val="0"/>
      <w:marTop w:val="0"/>
      <w:marBottom w:val="0"/>
      <w:divBdr>
        <w:top w:val="none" w:sz="0" w:space="0" w:color="auto"/>
        <w:left w:val="none" w:sz="0" w:space="0" w:color="auto"/>
        <w:bottom w:val="none" w:sz="0" w:space="0" w:color="auto"/>
        <w:right w:val="none" w:sz="0" w:space="0" w:color="auto"/>
      </w:divBdr>
    </w:div>
    <w:div w:id="79184216">
      <w:bodyDiv w:val="1"/>
      <w:marLeft w:val="0"/>
      <w:marRight w:val="0"/>
      <w:marTop w:val="0"/>
      <w:marBottom w:val="0"/>
      <w:divBdr>
        <w:top w:val="none" w:sz="0" w:space="0" w:color="auto"/>
        <w:left w:val="none" w:sz="0" w:space="0" w:color="auto"/>
        <w:bottom w:val="none" w:sz="0" w:space="0" w:color="auto"/>
        <w:right w:val="none" w:sz="0" w:space="0" w:color="auto"/>
      </w:divBdr>
    </w:div>
    <w:div w:id="106513899">
      <w:bodyDiv w:val="1"/>
      <w:marLeft w:val="0"/>
      <w:marRight w:val="0"/>
      <w:marTop w:val="0"/>
      <w:marBottom w:val="0"/>
      <w:divBdr>
        <w:top w:val="none" w:sz="0" w:space="0" w:color="auto"/>
        <w:left w:val="none" w:sz="0" w:space="0" w:color="auto"/>
        <w:bottom w:val="none" w:sz="0" w:space="0" w:color="auto"/>
        <w:right w:val="none" w:sz="0" w:space="0" w:color="auto"/>
      </w:divBdr>
    </w:div>
    <w:div w:id="116220105">
      <w:bodyDiv w:val="1"/>
      <w:marLeft w:val="0"/>
      <w:marRight w:val="0"/>
      <w:marTop w:val="0"/>
      <w:marBottom w:val="0"/>
      <w:divBdr>
        <w:top w:val="none" w:sz="0" w:space="0" w:color="auto"/>
        <w:left w:val="none" w:sz="0" w:space="0" w:color="auto"/>
        <w:bottom w:val="none" w:sz="0" w:space="0" w:color="auto"/>
        <w:right w:val="none" w:sz="0" w:space="0" w:color="auto"/>
      </w:divBdr>
    </w:div>
    <w:div w:id="122428845">
      <w:bodyDiv w:val="1"/>
      <w:marLeft w:val="0"/>
      <w:marRight w:val="0"/>
      <w:marTop w:val="0"/>
      <w:marBottom w:val="0"/>
      <w:divBdr>
        <w:top w:val="none" w:sz="0" w:space="0" w:color="auto"/>
        <w:left w:val="none" w:sz="0" w:space="0" w:color="auto"/>
        <w:bottom w:val="none" w:sz="0" w:space="0" w:color="auto"/>
        <w:right w:val="none" w:sz="0" w:space="0" w:color="auto"/>
      </w:divBdr>
    </w:div>
    <w:div w:id="138232654">
      <w:bodyDiv w:val="1"/>
      <w:marLeft w:val="0"/>
      <w:marRight w:val="0"/>
      <w:marTop w:val="0"/>
      <w:marBottom w:val="0"/>
      <w:divBdr>
        <w:top w:val="none" w:sz="0" w:space="0" w:color="auto"/>
        <w:left w:val="none" w:sz="0" w:space="0" w:color="auto"/>
        <w:bottom w:val="none" w:sz="0" w:space="0" w:color="auto"/>
        <w:right w:val="none" w:sz="0" w:space="0" w:color="auto"/>
      </w:divBdr>
      <w:divsChild>
        <w:div w:id="2031683294">
          <w:marLeft w:val="0"/>
          <w:marRight w:val="0"/>
          <w:marTop w:val="0"/>
          <w:marBottom w:val="0"/>
          <w:divBdr>
            <w:top w:val="none" w:sz="0" w:space="0" w:color="auto"/>
            <w:left w:val="none" w:sz="0" w:space="0" w:color="auto"/>
            <w:bottom w:val="none" w:sz="0" w:space="0" w:color="auto"/>
            <w:right w:val="none" w:sz="0" w:space="0" w:color="auto"/>
          </w:divBdr>
          <w:divsChild>
            <w:div w:id="787238871">
              <w:marLeft w:val="0"/>
              <w:marRight w:val="0"/>
              <w:marTop w:val="0"/>
              <w:marBottom w:val="0"/>
              <w:divBdr>
                <w:top w:val="none" w:sz="0" w:space="0" w:color="auto"/>
                <w:left w:val="none" w:sz="0" w:space="0" w:color="auto"/>
                <w:bottom w:val="none" w:sz="0" w:space="0" w:color="auto"/>
                <w:right w:val="none" w:sz="0" w:space="0" w:color="auto"/>
              </w:divBdr>
              <w:divsChild>
                <w:div w:id="1389305185">
                  <w:marLeft w:val="0"/>
                  <w:marRight w:val="0"/>
                  <w:marTop w:val="0"/>
                  <w:marBottom w:val="0"/>
                  <w:divBdr>
                    <w:top w:val="none" w:sz="0" w:space="0" w:color="auto"/>
                    <w:left w:val="none" w:sz="0" w:space="0" w:color="auto"/>
                    <w:bottom w:val="none" w:sz="0" w:space="0" w:color="auto"/>
                    <w:right w:val="none" w:sz="0" w:space="0" w:color="auto"/>
                  </w:divBdr>
                  <w:divsChild>
                    <w:div w:id="980304283">
                      <w:marLeft w:val="0"/>
                      <w:marRight w:val="0"/>
                      <w:marTop w:val="0"/>
                      <w:marBottom w:val="0"/>
                      <w:divBdr>
                        <w:top w:val="none" w:sz="0" w:space="0" w:color="auto"/>
                        <w:left w:val="none" w:sz="0" w:space="0" w:color="auto"/>
                        <w:bottom w:val="none" w:sz="0" w:space="0" w:color="auto"/>
                        <w:right w:val="none" w:sz="0" w:space="0" w:color="auto"/>
                      </w:divBdr>
                      <w:divsChild>
                        <w:div w:id="166450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149314">
      <w:bodyDiv w:val="1"/>
      <w:marLeft w:val="0"/>
      <w:marRight w:val="0"/>
      <w:marTop w:val="0"/>
      <w:marBottom w:val="0"/>
      <w:divBdr>
        <w:top w:val="none" w:sz="0" w:space="0" w:color="auto"/>
        <w:left w:val="none" w:sz="0" w:space="0" w:color="auto"/>
        <w:bottom w:val="none" w:sz="0" w:space="0" w:color="auto"/>
        <w:right w:val="none" w:sz="0" w:space="0" w:color="auto"/>
      </w:divBdr>
    </w:div>
    <w:div w:id="156119378">
      <w:bodyDiv w:val="1"/>
      <w:marLeft w:val="0"/>
      <w:marRight w:val="0"/>
      <w:marTop w:val="0"/>
      <w:marBottom w:val="0"/>
      <w:divBdr>
        <w:top w:val="none" w:sz="0" w:space="0" w:color="auto"/>
        <w:left w:val="none" w:sz="0" w:space="0" w:color="auto"/>
        <w:bottom w:val="none" w:sz="0" w:space="0" w:color="auto"/>
        <w:right w:val="none" w:sz="0" w:space="0" w:color="auto"/>
      </w:divBdr>
    </w:div>
    <w:div w:id="196238139">
      <w:bodyDiv w:val="1"/>
      <w:marLeft w:val="0"/>
      <w:marRight w:val="0"/>
      <w:marTop w:val="0"/>
      <w:marBottom w:val="0"/>
      <w:divBdr>
        <w:top w:val="none" w:sz="0" w:space="0" w:color="auto"/>
        <w:left w:val="none" w:sz="0" w:space="0" w:color="auto"/>
        <w:bottom w:val="none" w:sz="0" w:space="0" w:color="auto"/>
        <w:right w:val="none" w:sz="0" w:space="0" w:color="auto"/>
      </w:divBdr>
    </w:div>
    <w:div w:id="197353048">
      <w:bodyDiv w:val="1"/>
      <w:marLeft w:val="0"/>
      <w:marRight w:val="0"/>
      <w:marTop w:val="0"/>
      <w:marBottom w:val="0"/>
      <w:divBdr>
        <w:top w:val="none" w:sz="0" w:space="0" w:color="auto"/>
        <w:left w:val="none" w:sz="0" w:space="0" w:color="auto"/>
        <w:bottom w:val="none" w:sz="0" w:space="0" w:color="auto"/>
        <w:right w:val="none" w:sz="0" w:space="0" w:color="auto"/>
      </w:divBdr>
    </w:div>
    <w:div w:id="205459571">
      <w:bodyDiv w:val="1"/>
      <w:marLeft w:val="0"/>
      <w:marRight w:val="0"/>
      <w:marTop w:val="0"/>
      <w:marBottom w:val="0"/>
      <w:divBdr>
        <w:top w:val="none" w:sz="0" w:space="0" w:color="auto"/>
        <w:left w:val="none" w:sz="0" w:space="0" w:color="auto"/>
        <w:bottom w:val="none" w:sz="0" w:space="0" w:color="auto"/>
        <w:right w:val="none" w:sz="0" w:space="0" w:color="auto"/>
      </w:divBdr>
    </w:div>
    <w:div w:id="211969564">
      <w:bodyDiv w:val="1"/>
      <w:marLeft w:val="0"/>
      <w:marRight w:val="0"/>
      <w:marTop w:val="0"/>
      <w:marBottom w:val="0"/>
      <w:divBdr>
        <w:top w:val="none" w:sz="0" w:space="0" w:color="auto"/>
        <w:left w:val="none" w:sz="0" w:space="0" w:color="auto"/>
        <w:bottom w:val="none" w:sz="0" w:space="0" w:color="auto"/>
        <w:right w:val="none" w:sz="0" w:space="0" w:color="auto"/>
      </w:divBdr>
    </w:div>
    <w:div w:id="228268593">
      <w:bodyDiv w:val="1"/>
      <w:marLeft w:val="0"/>
      <w:marRight w:val="0"/>
      <w:marTop w:val="0"/>
      <w:marBottom w:val="0"/>
      <w:divBdr>
        <w:top w:val="none" w:sz="0" w:space="0" w:color="auto"/>
        <w:left w:val="none" w:sz="0" w:space="0" w:color="auto"/>
        <w:bottom w:val="none" w:sz="0" w:space="0" w:color="auto"/>
        <w:right w:val="none" w:sz="0" w:space="0" w:color="auto"/>
      </w:divBdr>
    </w:div>
    <w:div w:id="262540116">
      <w:bodyDiv w:val="1"/>
      <w:marLeft w:val="0"/>
      <w:marRight w:val="0"/>
      <w:marTop w:val="0"/>
      <w:marBottom w:val="0"/>
      <w:divBdr>
        <w:top w:val="none" w:sz="0" w:space="0" w:color="auto"/>
        <w:left w:val="none" w:sz="0" w:space="0" w:color="auto"/>
        <w:bottom w:val="none" w:sz="0" w:space="0" w:color="auto"/>
        <w:right w:val="none" w:sz="0" w:space="0" w:color="auto"/>
      </w:divBdr>
    </w:div>
    <w:div w:id="270168697">
      <w:bodyDiv w:val="1"/>
      <w:marLeft w:val="0"/>
      <w:marRight w:val="0"/>
      <w:marTop w:val="0"/>
      <w:marBottom w:val="0"/>
      <w:divBdr>
        <w:top w:val="none" w:sz="0" w:space="0" w:color="auto"/>
        <w:left w:val="none" w:sz="0" w:space="0" w:color="auto"/>
        <w:bottom w:val="none" w:sz="0" w:space="0" w:color="auto"/>
        <w:right w:val="none" w:sz="0" w:space="0" w:color="auto"/>
      </w:divBdr>
    </w:div>
    <w:div w:id="276958260">
      <w:bodyDiv w:val="1"/>
      <w:marLeft w:val="0"/>
      <w:marRight w:val="0"/>
      <w:marTop w:val="0"/>
      <w:marBottom w:val="0"/>
      <w:divBdr>
        <w:top w:val="none" w:sz="0" w:space="0" w:color="auto"/>
        <w:left w:val="none" w:sz="0" w:space="0" w:color="auto"/>
        <w:bottom w:val="none" w:sz="0" w:space="0" w:color="auto"/>
        <w:right w:val="none" w:sz="0" w:space="0" w:color="auto"/>
      </w:divBdr>
    </w:div>
    <w:div w:id="308900236">
      <w:bodyDiv w:val="1"/>
      <w:marLeft w:val="0"/>
      <w:marRight w:val="0"/>
      <w:marTop w:val="0"/>
      <w:marBottom w:val="0"/>
      <w:divBdr>
        <w:top w:val="none" w:sz="0" w:space="0" w:color="auto"/>
        <w:left w:val="none" w:sz="0" w:space="0" w:color="auto"/>
        <w:bottom w:val="none" w:sz="0" w:space="0" w:color="auto"/>
        <w:right w:val="none" w:sz="0" w:space="0" w:color="auto"/>
      </w:divBdr>
    </w:div>
    <w:div w:id="333076228">
      <w:bodyDiv w:val="1"/>
      <w:marLeft w:val="0"/>
      <w:marRight w:val="0"/>
      <w:marTop w:val="0"/>
      <w:marBottom w:val="0"/>
      <w:divBdr>
        <w:top w:val="none" w:sz="0" w:space="0" w:color="auto"/>
        <w:left w:val="none" w:sz="0" w:space="0" w:color="auto"/>
        <w:bottom w:val="none" w:sz="0" w:space="0" w:color="auto"/>
        <w:right w:val="none" w:sz="0" w:space="0" w:color="auto"/>
      </w:divBdr>
    </w:div>
    <w:div w:id="363021008">
      <w:bodyDiv w:val="1"/>
      <w:marLeft w:val="0"/>
      <w:marRight w:val="0"/>
      <w:marTop w:val="0"/>
      <w:marBottom w:val="0"/>
      <w:divBdr>
        <w:top w:val="none" w:sz="0" w:space="0" w:color="auto"/>
        <w:left w:val="none" w:sz="0" w:space="0" w:color="auto"/>
        <w:bottom w:val="none" w:sz="0" w:space="0" w:color="auto"/>
        <w:right w:val="none" w:sz="0" w:space="0" w:color="auto"/>
      </w:divBdr>
    </w:div>
    <w:div w:id="373846694">
      <w:bodyDiv w:val="1"/>
      <w:marLeft w:val="0"/>
      <w:marRight w:val="0"/>
      <w:marTop w:val="0"/>
      <w:marBottom w:val="0"/>
      <w:divBdr>
        <w:top w:val="none" w:sz="0" w:space="0" w:color="auto"/>
        <w:left w:val="none" w:sz="0" w:space="0" w:color="auto"/>
        <w:bottom w:val="none" w:sz="0" w:space="0" w:color="auto"/>
        <w:right w:val="none" w:sz="0" w:space="0" w:color="auto"/>
      </w:divBdr>
    </w:div>
    <w:div w:id="410932005">
      <w:bodyDiv w:val="1"/>
      <w:marLeft w:val="120"/>
      <w:marRight w:val="120"/>
      <w:marTop w:val="45"/>
      <w:marBottom w:val="45"/>
      <w:divBdr>
        <w:top w:val="none" w:sz="0" w:space="0" w:color="auto"/>
        <w:left w:val="none" w:sz="0" w:space="0" w:color="auto"/>
        <w:bottom w:val="none" w:sz="0" w:space="0" w:color="auto"/>
        <w:right w:val="none" w:sz="0" w:space="0" w:color="auto"/>
      </w:divBdr>
      <w:divsChild>
        <w:div w:id="1501582553">
          <w:marLeft w:val="0"/>
          <w:marRight w:val="0"/>
          <w:marTop w:val="0"/>
          <w:marBottom w:val="0"/>
          <w:divBdr>
            <w:top w:val="none" w:sz="0" w:space="0" w:color="auto"/>
            <w:left w:val="none" w:sz="0" w:space="0" w:color="auto"/>
            <w:bottom w:val="none" w:sz="0" w:space="0" w:color="auto"/>
            <w:right w:val="none" w:sz="0" w:space="0" w:color="auto"/>
          </w:divBdr>
          <w:divsChild>
            <w:div w:id="72105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829103">
      <w:bodyDiv w:val="1"/>
      <w:marLeft w:val="0"/>
      <w:marRight w:val="0"/>
      <w:marTop w:val="0"/>
      <w:marBottom w:val="0"/>
      <w:divBdr>
        <w:top w:val="none" w:sz="0" w:space="0" w:color="auto"/>
        <w:left w:val="none" w:sz="0" w:space="0" w:color="auto"/>
        <w:bottom w:val="none" w:sz="0" w:space="0" w:color="auto"/>
        <w:right w:val="none" w:sz="0" w:space="0" w:color="auto"/>
      </w:divBdr>
    </w:div>
    <w:div w:id="479539838">
      <w:bodyDiv w:val="1"/>
      <w:marLeft w:val="0"/>
      <w:marRight w:val="0"/>
      <w:marTop w:val="0"/>
      <w:marBottom w:val="0"/>
      <w:divBdr>
        <w:top w:val="none" w:sz="0" w:space="0" w:color="auto"/>
        <w:left w:val="none" w:sz="0" w:space="0" w:color="auto"/>
        <w:bottom w:val="none" w:sz="0" w:space="0" w:color="auto"/>
        <w:right w:val="none" w:sz="0" w:space="0" w:color="auto"/>
      </w:divBdr>
    </w:div>
    <w:div w:id="505947649">
      <w:bodyDiv w:val="1"/>
      <w:marLeft w:val="0"/>
      <w:marRight w:val="0"/>
      <w:marTop w:val="0"/>
      <w:marBottom w:val="0"/>
      <w:divBdr>
        <w:top w:val="none" w:sz="0" w:space="0" w:color="auto"/>
        <w:left w:val="none" w:sz="0" w:space="0" w:color="auto"/>
        <w:bottom w:val="none" w:sz="0" w:space="0" w:color="auto"/>
        <w:right w:val="none" w:sz="0" w:space="0" w:color="auto"/>
      </w:divBdr>
    </w:div>
    <w:div w:id="521632417">
      <w:bodyDiv w:val="1"/>
      <w:marLeft w:val="0"/>
      <w:marRight w:val="0"/>
      <w:marTop w:val="0"/>
      <w:marBottom w:val="0"/>
      <w:divBdr>
        <w:top w:val="none" w:sz="0" w:space="0" w:color="auto"/>
        <w:left w:val="none" w:sz="0" w:space="0" w:color="auto"/>
        <w:bottom w:val="none" w:sz="0" w:space="0" w:color="auto"/>
        <w:right w:val="none" w:sz="0" w:space="0" w:color="auto"/>
      </w:divBdr>
    </w:div>
    <w:div w:id="537856584">
      <w:bodyDiv w:val="1"/>
      <w:marLeft w:val="0"/>
      <w:marRight w:val="0"/>
      <w:marTop w:val="0"/>
      <w:marBottom w:val="0"/>
      <w:divBdr>
        <w:top w:val="none" w:sz="0" w:space="0" w:color="auto"/>
        <w:left w:val="none" w:sz="0" w:space="0" w:color="auto"/>
        <w:bottom w:val="none" w:sz="0" w:space="0" w:color="auto"/>
        <w:right w:val="none" w:sz="0" w:space="0" w:color="auto"/>
      </w:divBdr>
    </w:div>
    <w:div w:id="545682741">
      <w:bodyDiv w:val="1"/>
      <w:marLeft w:val="0"/>
      <w:marRight w:val="0"/>
      <w:marTop w:val="0"/>
      <w:marBottom w:val="0"/>
      <w:divBdr>
        <w:top w:val="none" w:sz="0" w:space="0" w:color="auto"/>
        <w:left w:val="none" w:sz="0" w:space="0" w:color="auto"/>
        <w:bottom w:val="none" w:sz="0" w:space="0" w:color="auto"/>
        <w:right w:val="none" w:sz="0" w:space="0" w:color="auto"/>
      </w:divBdr>
    </w:div>
    <w:div w:id="600843296">
      <w:bodyDiv w:val="1"/>
      <w:marLeft w:val="0"/>
      <w:marRight w:val="0"/>
      <w:marTop w:val="0"/>
      <w:marBottom w:val="0"/>
      <w:divBdr>
        <w:top w:val="none" w:sz="0" w:space="0" w:color="auto"/>
        <w:left w:val="none" w:sz="0" w:space="0" w:color="auto"/>
        <w:bottom w:val="none" w:sz="0" w:space="0" w:color="auto"/>
        <w:right w:val="none" w:sz="0" w:space="0" w:color="auto"/>
      </w:divBdr>
    </w:div>
    <w:div w:id="627130870">
      <w:bodyDiv w:val="1"/>
      <w:marLeft w:val="0"/>
      <w:marRight w:val="0"/>
      <w:marTop w:val="0"/>
      <w:marBottom w:val="0"/>
      <w:divBdr>
        <w:top w:val="none" w:sz="0" w:space="0" w:color="auto"/>
        <w:left w:val="none" w:sz="0" w:space="0" w:color="auto"/>
        <w:bottom w:val="none" w:sz="0" w:space="0" w:color="auto"/>
        <w:right w:val="none" w:sz="0" w:space="0" w:color="auto"/>
      </w:divBdr>
    </w:div>
    <w:div w:id="628976738">
      <w:bodyDiv w:val="1"/>
      <w:marLeft w:val="0"/>
      <w:marRight w:val="0"/>
      <w:marTop w:val="0"/>
      <w:marBottom w:val="0"/>
      <w:divBdr>
        <w:top w:val="none" w:sz="0" w:space="0" w:color="auto"/>
        <w:left w:val="none" w:sz="0" w:space="0" w:color="auto"/>
        <w:bottom w:val="none" w:sz="0" w:space="0" w:color="auto"/>
        <w:right w:val="none" w:sz="0" w:space="0" w:color="auto"/>
      </w:divBdr>
    </w:div>
    <w:div w:id="714815807">
      <w:bodyDiv w:val="1"/>
      <w:marLeft w:val="0"/>
      <w:marRight w:val="0"/>
      <w:marTop w:val="0"/>
      <w:marBottom w:val="0"/>
      <w:divBdr>
        <w:top w:val="none" w:sz="0" w:space="0" w:color="auto"/>
        <w:left w:val="none" w:sz="0" w:space="0" w:color="auto"/>
        <w:bottom w:val="none" w:sz="0" w:space="0" w:color="auto"/>
        <w:right w:val="none" w:sz="0" w:space="0" w:color="auto"/>
      </w:divBdr>
    </w:div>
    <w:div w:id="716322239">
      <w:bodyDiv w:val="1"/>
      <w:marLeft w:val="0"/>
      <w:marRight w:val="0"/>
      <w:marTop w:val="0"/>
      <w:marBottom w:val="0"/>
      <w:divBdr>
        <w:top w:val="none" w:sz="0" w:space="0" w:color="auto"/>
        <w:left w:val="none" w:sz="0" w:space="0" w:color="auto"/>
        <w:bottom w:val="none" w:sz="0" w:space="0" w:color="auto"/>
        <w:right w:val="none" w:sz="0" w:space="0" w:color="auto"/>
      </w:divBdr>
    </w:div>
    <w:div w:id="721826668">
      <w:bodyDiv w:val="1"/>
      <w:marLeft w:val="0"/>
      <w:marRight w:val="0"/>
      <w:marTop w:val="0"/>
      <w:marBottom w:val="0"/>
      <w:divBdr>
        <w:top w:val="none" w:sz="0" w:space="0" w:color="auto"/>
        <w:left w:val="none" w:sz="0" w:space="0" w:color="auto"/>
        <w:bottom w:val="none" w:sz="0" w:space="0" w:color="auto"/>
        <w:right w:val="none" w:sz="0" w:space="0" w:color="auto"/>
      </w:divBdr>
    </w:div>
    <w:div w:id="777289653">
      <w:bodyDiv w:val="1"/>
      <w:marLeft w:val="0"/>
      <w:marRight w:val="0"/>
      <w:marTop w:val="0"/>
      <w:marBottom w:val="0"/>
      <w:divBdr>
        <w:top w:val="none" w:sz="0" w:space="0" w:color="auto"/>
        <w:left w:val="none" w:sz="0" w:space="0" w:color="auto"/>
        <w:bottom w:val="none" w:sz="0" w:space="0" w:color="auto"/>
        <w:right w:val="none" w:sz="0" w:space="0" w:color="auto"/>
      </w:divBdr>
    </w:div>
    <w:div w:id="799111579">
      <w:bodyDiv w:val="1"/>
      <w:marLeft w:val="0"/>
      <w:marRight w:val="0"/>
      <w:marTop w:val="0"/>
      <w:marBottom w:val="0"/>
      <w:divBdr>
        <w:top w:val="none" w:sz="0" w:space="0" w:color="auto"/>
        <w:left w:val="none" w:sz="0" w:space="0" w:color="auto"/>
        <w:bottom w:val="none" w:sz="0" w:space="0" w:color="auto"/>
        <w:right w:val="none" w:sz="0" w:space="0" w:color="auto"/>
      </w:divBdr>
      <w:divsChild>
        <w:div w:id="752702958">
          <w:marLeft w:val="0"/>
          <w:marRight w:val="0"/>
          <w:marTop w:val="240"/>
          <w:marBottom w:val="480"/>
          <w:divBdr>
            <w:top w:val="none" w:sz="0" w:space="0" w:color="auto"/>
            <w:left w:val="none" w:sz="0" w:space="0" w:color="auto"/>
            <w:bottom w:val="none" w:sz="0" w:space="0" w:color="auto"/>
            <w:right w:val="none" w:sz="0" w:space="0" w:color="auto"/>
          </w:divBdr>
          <w:divsChild>
            <w:div w:id="442503937">
              <w:marLeft w:val="0"/>
              <w:marRight w:val="0"/>
              <w:marTop w:val="0"/>
              <w:marBottom w:val="0"/>
              <w:divBdr>
                <w:top w:val="none" w:sz="0" w:space="0" w:color="auto"/>
                <w:left w:val="none" w:sz="0" w:space="0" w:color="auto"/>
                <w:bottom w:val="none" w:sz="0" w:space="0" w:color="auto"/>
                <w:right w:val="none" w:sz="0" w:space="0" w:color="auto"/>
              </w:divBdr>
              <w:divsChild>
                <w:div w:id="629673879">
                  <w:marLeft w:val="0"/>
                  <w:marRight w:val="0"/>
                  <w:marTop w:val="0"/>
                  <w:marBottom w:val="0"/>
                  <w:divBdr>
                    <w:top w:val="none" w:sz="0" w:space="0" w:color="auto"/>
                    <w:left w:val="none" w:sz="0" w:space="0" w:color="auto"/>
                    <w:bottom w:val="none" w:sz="0" w:space="0" w:color="auto"/>
                    <w:right w:val="none" w:sz="0" w:space="0" w:color="auto"/>
                  </w:divBdr>
                  <w:divsChild>
                    <w:div w:id="107093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3351179">
      <w:bodyDiv w:val="1"/>
      <w:marLeft w:val="0"/>
      <w:marRight w:val="0"/>
      <w:marTop w:val="0"/>
      <w:marBottom w:val="0"/>
      <w:divBdr>
        <w:top w:val="none" w:sz="0" w:space="0" w:color="auto"/>
        <w:left w:val="none" w:sz="0" w:space="0" w:color="auto"/>
        <w:bottom w:val="none" w:sz="0" w:space="0" w:color="auto"/>
        <w:right w:val="none" w:sz="0" w:space="0" w:color="auto"/>
      </w:divBdr>
    </w:div>
    <w:div w:id="822505033">
      <w:bodyDiv w:val="1"/>
      <w:marLeft w:val="0"/>
      <w:marRight w:val="0"/>
      <w:marTop w:val="0"/>
      <w:marBottom w:val="0"/>
      <w:divBdr>
        <w:top w:val="none" w:sz="0" w:space="0" w:color="auto"/>
        <w:left w:val="none" w:sz="0" w:space="0" w:color="auto"/>
        <w:bottom w:val="none" w:sz="0" w:space="0" w:color="auto"/>
        <w:right w:val="none" w:sz="0" w:space="0" w:color="auto"/>
      </w:divBdr>
    </w:div>
    <w:div w:id="839853820">
      <w:bodyDiv w:val="1"/>
      <w:marLeft w:val="0"/>
      <w:marRight w:val="0"/>
      <w:marTop w:val="0"/>
      <w:marBottom w:val="0"/>
      <w:divBdr>
        <w:top w:val="none" w:sz="0" w:space="0" w:color="auto"/>
        <w:left w:val="none" w:sz="0" w:space="0" w:color="auto"/>
        <w:bottom w:val="none" w:sz="0" w:space="0" w:color="auto"/>
        <w:right w:val="none" w:sz="0" w:space="0" w:color="auto"/>
      </w:divBdr>
    </w:div>
    <w:div w:id="842664460">
      <w:bodyDiv w:val="1"/>
      <w:marLeft w:val="0"/>
      <w:marRight w:val="0"/>
      <w:marTop w:val="0"/>
      <w:marBottom w:val="0"/>
      <w:divBdr>
        <w:top w:val="none" w:sz="0" w:space="0" w:color="auto"/>
        <w:left w:val="none" w:sz="0" w:space="0" w:color="auto"/>
        <w:bottom w:val="none" w:sz="0" w:space="0" w:color="auto"/>
        <w:right w:val="none" w:sz="0" w:space="0" w:color="auto"/>
      </w:divBdr>
    </w:div>
    <w:div w:id="862014521">
      <w:bodyDiv w:val="1"/>
      <w:marLeft w:val="0"/>
      <w:marRight w:val="0"/>
      <w:marTop w:val="0"/>
      <w:marBottom w:val="0"/>
      <w:divBdr>
        <w:top w:val="none" w:sz="0" w:space="0" w:color="auto"/>
        <w:left w:val="none" w:sz="0" w:space="0" w:color="auto"/>
        <w:bottom w:val="none" w:sz="0" w:space="0" w:color="auto"/>
        <w:right w:val="none" w:sz="0" w:space="0" w:color="auto"/>
      </w:divBdr>
    </w:div>
    <w:div w:id="885144429">
      <w:bodyDiv w:val="1"/>
      <w:marLeft w:val="0"/>
      <w:marRight w:val="0"/>
      <w:marTop w:val="0"/>
      <w:marBottom w:val="0"/>
      <w:divBdr>
        <w:top w:val="none" w:sz="0" w:space="0" w:color="auto"/>
        <w:left w:val="none" w:sz="0" w:space="0" w:color="auto"/>
        <w:bottom w:val="none" w:sz="0" w:space="0" w:color="auto"/>
        <w:right w:val="none" w:sz="0" w:space="0" w:color="auto"/>
      </w:divBdr>
    </w:div>
    <w:div w:id="931275262">
      <w:bodyDiv w:val="1"/>
      <w:marLeft w:val="0"/>
      <w:marRight w:val="0"/>
      <w:marTop w:val="0"/>
      <w:marBottom w:val="0"/>
      <w:divBdr>
        <w:top w:val="none" w:sz="0" w:space="0" w:color="auto"/>
        <w:left w:val="none" w:sz="0" w:space="0" w:color="auto"/>
        <w:bottom w:val="none" w:sz="0" w:space="0" w:color="auto"/>
        <w:right w:val="none" w:sz="0" w:space="0" w:color="auto"/>
      </w:divBdr>
    </w:div>
    <w:div w:id="941106275">
      <w:bodyDiv w:val="1"/>
      <w:marLeft w:val="0"/>
      <w:marRight w:val="0"/>
      <w:marTop w:val="0"/>
      <w:marBottom w:val="0"/>
      <w:divBdr>
        <w:top w:val="none" w:sz="0" w:space="0" w:color="auto"/>
        <w:left w:val="none" w:sz="0" w:space="0" w:color="auto"/>
        <w:bottom w:val="none" w:sz="0" w:space="0" w:color="auto"/>
        <w:right w:val="none" w:sz="0" w:space="0" w:color="auto"/>
      </w:divBdr>
    </w:div>
    <w:div w:id="948467164">
      <w:bodyDiv w:val="1"/>
      <w:marLeft w:val="0"/>
      <w:marRight w:val="0"/>
      <w:marTop w:val="0"/>
      <w:marBottom w:val="0"/>
      <w:divBdr>
        <w:top w:val="none" w:sz="0" w:space="0" w:color="auto"/>
        <w:left w:val="none" w:sz="0" w:space="0" w:color="auto"/>
        <w:bottom w:val="none" w:sz="0" w:space="0" w:color="auto"/>
        <w:right w:val="none" w:sz="0" w:space="0" w:color="auto"/>
      </w:divBdr>
    </w:div>
    <w:div w:id="952781671">
      <w:bodyDiv w:val="1"/>
      <w:marLeft w:val="0"/>
      <w:marRight w:val="0"/>
      <w:marTop w:val="0"/>
      <w:marBottom w:val="0"/>
      <w:divBdr>
        <w:top w:val="none" w:sz="0" w:space="0" w:color="auto"/>
        <w:left w:val="none" w:sz="0" w:space="0" w:color="auto"/>
        <w:bottom w:val="none" w:sz="0" w:space="0" w:color="auto"/>
        <w:right w:val="none" w:sz="0" w:space="0" w:color="auto"/>
      </w:divBdr>
    </w:div>
    <w:div w:id="957759998">
      <w:bodyDiv w:val="1"/>
      <w:marLeft w:val="0"/>
      <w:marRight w:val="0"/>
      <w:marTop w:val="0"/>
      <w:marBottom w:val="0"/>
      <w:divBdr>
        <w:top w:val="none" w:sz="0" w:space="0" w:color="auto"/>
        <w:left w:val="none" w:sz="0" w:space="0" w:color="auto"/>
        <w:bottom w:val="none" w:sz="0" w:space="0" w:color="auto"/>
        <w:right w:val="none" w:sz="0" w:space="0" w:color="auto"/>
      </w:divBdr>
    </w:div>
    <w:div w:id="973022721">
      <w:bodyDiv w:val="1"/>
      <w:marLeft w:val="0"/>
      <w:marRight w:val="0"/>
      <w:marTop w:val="0"/>
      <w:marBottom w:val="0"/>
      <w:divBdr>
        <w:top w:val="none" w:sz="0" w:space="0" w:color="auto"/>
        <w:left w:val="none" w:sz="0" w:space="0" w:color="auto"/>
        <w:bottom w:val="none" w:sz="0" w:space="0" w:color="auto"/>
        <w:right w:val="none" w:sz="0" w:space="0" w:color="auto"/>
      </w:divBdr>
    </w:div>
    <w:div w:id="977731736">
      <w:bodyDiv w:val="1"/>
      <w:marLeft w:val="0"/>
      <w:marRight w:val="0"/>
      <w:marTop w:val="0"/>
      <w:marBottom w:val="0"/>
      <w:divBdr>
        <w:top w:val="none" w:sz="0" w:space="0" w:color="auto"/>
        <w:left w:val="none" w:sz="0" w:space="0" w:color="auto"/>
        <w:bottom w:val="none" w:sz="0" w:space="0" w:color="auto"/>
        <w:right w:val="none" w:sz="0" w:space="0" w:color="auto"/>
      </w:divBdr>
    </w:div>
    <w:div w:id="987517036">
      <w:bodyDiv w:val="1"/>
      <w:marLeft w:val="0"/>
      <w:marRight w:val="0"/>
      <w:marTop w:val="0"/>
      <w:marBottom w:val="0"/>
      <w:divBdr>
        <w:top w:val="none" w:sz="0" w:space="0" w:color="auto"/>
        <w:left w:val="none" w:sz="0" w:space="0" w:color="auto"/>
        <w:bottom w:val="none" w:sz="0" w:space="0" w:color="auto"/>
        <w:right w:val="none" w:sz="0" w:space="0" w:color="auto"/>
      </w:divBdr>
    </w:div>
    <w:div w:id="999502401">
      <w:bodyDiv w:val="1"/>
      <w:marLeft w:val="0"/>
      <w:marRight w:val="0"/>
      <w:marTop w:val="0"/>
      <w:marBottom w:val="0"/>
      <w:divBdr>
        <w:top w:val="none" w:sz="0" w:space="0" w:color="auto"/>
        <w:left w:val="none" w:sz="0" w:space="0" w:color="auto"/>
        <w:bottom w:val="none" w:sz="0" w:space="0" w:color="auto"/>
        <w:right w:val="none" w:sz="0" w:space="0" w:color="auto"/>
      </w:divBdr>
    </w:div>
    <w:div w:id="1037925111">
      <w:bodyDiv w:val="1"/>
      <w:marLeft w:val="0"/>
      <w:marRight w:val="0"/>
      <w:marTop w:val="0"/>
      <w:marBottom w:val="0"/>
      <w:divBdr>
        <w:top w:val="none" w:sz="0" w:space="0" w:color="auto"/>
        <w:left w:val="none" w:sz="0" w:space="0" w:color="auto"/>
        <w:bottom w:val="none" w:sz="0" w:space="0" w:color="auto"/>
        <w:right w:val="none" w:sz="0" w:space="0" w:color="auto"/>
      </w:divBdr>
    </w:div>
    <w:div w:id="1055205619">
      <w:bodyDiv w:val="1"/>
      <w:marLeft w:val="0"/>
      <w:marRight w:val="0"/>
      <w:marTop w:val="0"/>
      <w:marBottom w:val="0"/>
      <w:divBdr>
        <w:top w:val="none" w:sz="0" w:space="0" w:color="auto"/>
        <w:left w:val="none" w:sz="0" w:space="0" w:color="auto"/>
        <w:bottom w:val="none" w:sz="0" w:space="0" w:color="auto"/>
        <w:right w:val="none" w:sz="0" w:space="0" w:color="auto"/>
      </w:divBdr>
    </w:div>
    <w:div w:id="1059934358">
      <w:bodyDiv w:val="1"/>
      <w:marLeft w:val="0"/>
      <w:marRight w:val="0"/>
      <w:marTop w:val="0"/>
      <w:marBottom w:val="0"/>
      <w:divBdr>
        <w:top w:val="none" w:sz="0" w:space="0" w:color="auto"/>
        <w:left w:val="none" w:sz="0" w:space="0" w:color="auto"/>
        <w:bottom w:val="none" w:sz="0" w:space="0" w:color="auto"/>
        <w:right w:val="none" w:sz="0" w:space="0" w:color="auto"/>
      </w:divBdr>
    </w:div>
    <w:div w:id="1071806390">
      <w:bodyDiv w:val="1"/>
      <w:marLeft w:val="0"/>
      <w:marRight w:val="0"/>
      <w:marTop w:val="0"/>
      <w:marBottom w:val="0"/>
      <w:divBdr>
        <w:top w:val="none" w:sz="0" w:space="0" w:color="auto"/>
        <w:left w:val="none" w:sz="0" w:space="0" w:color="auto"/>
        <w:bottom w:val="none" w:sz="0" w:space="0" w:color="auto"/>
        <w:right w:val="none" w:sz="0" w:space="0" w:color="auto"/>
      </w:divBdr>
    </w:div>
    <w:div w:id="1076167159">
      <w:bodyDiv w:val="1"/>
      <w:marLeft w:val="0"/>
      <w:marRight w:val="0"/>
      <w:marTop w:val="0"/>
      <w:marBottom w:val="0"/>
      <w:divBdr>
        <w:top w:val="none" w:sz="0" w:space="0" w:color="auto"/>
        <w:left w:val="none" w:sz="0" w:space="0" w:color="auto"/>
        <w:bottom w:val="none" w:sz="0" w:space="0" w:color="auto"/>
        <w:right w:val="none" w:sz="0" w:space="0" w:color="auto"/>
      </w:divBdr>
    </w:div>
    <w:div w:id="1101532126">
      <w:bodyDiv w:val="1"/>
      <w:marLeft w:val="0"/>
      <w:marRight w:val="0"/>
      <w:marTop w:val="0"/>
      <w:marBottom w:val="0"/>
      <w:divBdr>
        <w:top w:val="none" w:sz="0" w:space="0" w:color="auto"/>
        <w:left w:val="none" w:sz="0" w:space="0" w:color="auto"/>
        <w:bottom w:val="none" w:sz="0" w:space="0" w:color="auto"/>
        <w:right w:val="none" w:sz="0" w:space="0" w:color="auto"/>
      </w:divBdr>
    </w:div>
    <w:div w:id="1101993864">
      <w:bodyDiv w:val="1"/>
      <w:marLeft w:val="0"/>
      <w:marRight w:val="0"/>
      <w:marTop w:val="0"/>
      <w:marBottom w:val="0"/>
      <w:divBdr>
        <w:top w:val="none" w:sz="0" w:space="0" w:color="auto"/>
        <w:left w:val="none" w:sz="0" w:space="0" w:color="auto"/>
        <w:bottom w:val="none" w:sz="0" w:space="0" w:color="auto"/>
        <w:right w:val="none" w:sz="0" w:space="0" w:color="auto"/>
      </w:divBdr>
    </w:div>
    <w:div w:id="1115907605">
      <w:bodyDiv w:val="1"/>
      <w:marLeft w:val="0"/>
      <w:marRight w:val="0"/>
      <w:marTop w:val="0"/>
      <w:marBottom w:val="0"/>
      <w:divBdr>
        <w:top w:val="none" w:sz="0" w:space="0" w:color="auto"/>
        <w:left w:val="none" w:sz="0" w:space="0" w:color="auto"/>
        <w:bottom w:val="none" w:sz="0" w:space="0" w:color="auto"/>
        <w:right w:val="none" w:sz="0" w:space="0" w:color="auto"/>
      </w:divBdr>
    </w:div>
    <w:div w:id="1116290827">
      <w:bodyDiv w:val="1"/>
      <w:marLeft w:val="0"/>
      <w:marRight w:val="0"/>
      <w:marTop w:val="0"/>
      <w:marBottom w:val="0"/>
      <w:divBdr>
        <w:top w:val="none" w:sz="0" w:space="0" w:color="auto"/>
        <w:left w:val="none" w:sz="0" w:space="0" w:color="auto"/>
        <w:bottom w:val="none" w:sz="0" w:space="0" w:color="auto"/>
        <w:right w:val="none" w:sz="0" w:space="0" w:color="auto"/>
      </w:divBdr>
    </w:div>
    <w:div w:id="1126659742">
      <w:bodyDiv w:val="1"/>
      <w:marLeft w:val="0"/>
      <w:marRight w:val="0"/>
      <w:marTop w:val="0"/>
      <w:marBottom w:val="0"/>
      <w:divBdr>
        <w:top w:val="none" w:sz="0" w:space="0" w:color="auto"/>
        <w:left w:val="none" w:sz="0" w:space="0" w:color="auto"/>
        <w:bottom w:val="none" w:sz="0" w:space="0" w:color="auto"/>
        <w:right w:val="none" w:sz="0" w:space="0" w:color="auto"/>
      </w:divBdr>
    </w:div>
    <w:div w:id="1153374080">
      <w:bodyDiv w:val="1"/>
      <w:marLeft w:val="0"/>
      <w:marRight w:val="0"/>
      <w:marTop w:val="0"/>
      <w:marBottom w:val="0"/>
      <w:divBdr>
        <w:top w:val="none" w:sz="0" w:space="0" w:color="auto"/>
        <w:left w:val="none" w:sz="0" w:space="0" w:color="auto"/>
        <w:bottom w:val="none" w:sz="0" w:space="0" w:color="auto"/>
        <w:right w:val="none" w:sz="0" w:space="0" w:color="auto"/>
      </w:divBdr>
    </w:div>
    <w:div w:id="1155608731">
      <w:bodyDiv w:val="1"/>
      <w:marLeft w:val="0"/>
      <w:marRight w:val="0"/>
      <w:marTop w:val="0"/>
      <w:marBottom w:val="0"/>
      <w:divBdr>
        <w:top w:val="none" w:sz="0" w:space="0" w:color="auto"/>
        <w:left w:val="none" w:sz="0" w:space="0" w:color="auto"/>
        <w:bottom w:val="none" w:sz="0" w:space="0" w:color="auto"/>
        <w:right w:val="none" w:sz="0" w:space="0" w:color="auto"/>
      </w:divBdr>
    </w:div>
    <w:div w:id="1171025680">
      <w:bodyDiv w:val="1"/>
      <w:marLeft w:val="0"/>
      <w:marRight w:val="0"/>
      <w:marTop w:val="0"/>
      <w:marBottom w:val="0"/>
      <w:divBdr>
        <w:top w:val="none" w:sz="0" w:space="0" w:color="auto"/>
        <w:left w:val="none" w:sz="0" w:space="0" w:color="auto"/>
        <w:bottom w:val="none" w:sz="0" w:space="0" w:color="auto"/>
        <w:right w:val="none" w:sz="0" w:space="0" w:color="auto"/>
      </w:divBdr>
    </w:div>
    <w:div w:id="1206719826">
      <w:bodyDiv w:val="1"/>
      <w:marLeft w:val="0"/>
      <w:marRight w:val="0"/>
      <w:marTop w:val="0"/>
      <w:marBottom w:val="0"/>
      <w:divBdr>
        <w:top w:val="none" w:sz="0" w:space="0" w:color="auto"/>
        <w:left w:val="none" w:sz="0" w:space="0" w:color="auto"/>
        <w:bottom w:val="none" w:sz="0" w:space="0" w:color="auto"/>
        <w:right w:val="none" w:sz="0" w:space="0" w:color="auto"/>
      </w:divBdr>
    </w:div>
    <w:div w:id="1220674039">
      <w:bodyDiv w:val="1"/>
      <w:marLeft w:val="0"/>
      <w:marRight w:val="0"/>
      <w:marTop w:val="0"/>
      <w:marBottom w:val="0"/>
      <w:divBdr>
        <w:top w:val="none" w:sz="0" w:space="0" w:color="auto"/>
        <w:left w:val="none" w:sz="0" w:space="0" w:color="auto"/>
        <w:bottom w:val="none" w:sz="0" w:space="0" w:color="auto"/>
        <w:right w:val="none" w:sz="0" w:space="0" w:color="auto"/>
      </w:divBdr>
    </w:div>
    <w:div w:id="1227960003">
      <w:bodyDiv w:val="1"/>
      <w:marLeft w:val="0"/>
      <w:marRight w:val="0"/>
      <w:marTop w:val="0"/>
      <w:marBottom w:val="0"/>
      <w:divBdr>
        <w:top w:val="none" w:sz="0" w:space="0" w:color="auto"/>
        <w:left w:val="none" w:sz="0" w:space="0" w:color="auto"/>
        <w:bottom w:val="none" w:sz="0" w:space="0" w:color="auto"/>
        <w:right w:val="none" w:sz="0" w:space="0" w:color="auto"/>
      </w:divBdr>
    </w:div>
    <w:div w:id="1251038833">
      <w:bodyDiv w:val="1"/>
      <w:marLeft w:val="0"/>
      <w:marRight w:val="0"/>
      <w:marTop w:val="0"/>
      <w:marBottom w:val="0"/>
      <w:divBdr>
        <w:top w:val="none" w:sz="0" w:space="0" w:color="auto"/>
        <w:left w:val="none" w:sz="0" w:space="0" w:color="auto"/>
        <w:bottom w:val="none" w:sz="0" w:space="0" w:color="auto"/>
        <w:right w:val="none" w:sz="0" w:space="0" w:color="auto"/>
      </w:divBdr>
    </w:div>
    <w:div w:id="1268847508">
      <w:bodyDiv w:val="1"/>
      <w:marLeft w:val="0"/>
      <w:marRight w:val="0"/>
      <w:marTop w:val="0"/>
      <w:marBottom w:val="0"/>
      <w:divBdr>
        <w:top w:val="none" w:sz="0" w:space="0" w:color="auto"/>
        <w:left w:val="none" w:sz="0" w:space="0" w:color="auto"/>
        <w:bottom w:val="none" w:sz="0" w:space="0" w:color="auto"/>
        <w:right w:val="none" w:sz="0" w:space="0" w:color="auto"/>
      </w:divBdr>
    </w:div>
    <w:div w:id="1275361685">
      <w:bodyDiv w:val="1"/>
      <w:marLeft w:val="0"/>
      <w:marRight w:val="0"/>
      <w:marTop w:val="0"/>
      <w:marBottom w:val="0"/>
      <w:divBdr>
        <w:top w:val="none" w:sz="0" w:space="0" w:color="auto"/>
        <w:left w:val="none" w:sz="0" w:space="0" w:color="auto"/>
        <w:bottom w:val="none" w:sz="0" w:space="0" w:color="auto"/>
        <w:right w:val="none" w:sz="0" w:space="0" w:color="auto"/>
      </w:divBdr>
    </w:div>
    <w:div w:id="1276326797">
      <w:bodyDiv w:val="1"/>
      <w:marLeft w:val="0"/>
      <w:marRight w:val="0"/>
      <w:marTop w:val="0"/>
      <w:marBottom w:val="0"/>
      <w:divBdr>
        <w:top w:val="none" w:sz="0" w:space="0" w:color="auto"/>
        <w:left w:val="none" w:sz="0" w:space="0" w:color="auto"/>
        <w:bottom w:val="none" w:sz="0" w:space="0" w:color="auto"/>
        <w:right w:val="none" w:sz="0" w:space="0" w:color="auto"/>
      </w:divBdr>
    </w:div>
    <w:div w:id="1289430422">
      <w:bodyDiv w:val="1"/>
      <w:marLeft w:val="0"/>
      <w:marRight w:val="0"/>
      <w:marTop w:val="0"/>
      <w:marBottom w:val="0"/>
      <w:divBdr>
        <w:top w:val="none" w:sz="0" w:space="0" w:color="auto"/>
        <w:left w:val="none" w:sz="0" w:space="0" w:color="auto"/>
        <w:bottom w:val="none" w:sz="0" w:space="0" w:color="auto"/>
        <w:right w:val="none" w:sz="0" w:space="0" w:color="auto"/>
      </w:divBdr>
    </w:div>
    <w:div w:id="1294211571">
      <w:bodyDiv w:val="1"/>
      <w:marLeft w:val="0"/>
      <w:marRight w:val="0"/>
      <w:marTop w:val="0"/>
      <w:marBottom w:val="0"/>
      <w:divBdr>
        <w:top w:val="none" w:sz="0" w:space="0" w:color="auto"/>
        <w:left w:val="none" w:sz="0" w:space="0" w:color="auto"/>
        <w:bottom w:val="none" w:sz="0" w:space="0" w:color="auto"/>
        <w:right w:val="none" w:sz="0" w:space="0" w:color="auto"/>
      </w:divBdr>
    </w:div>
    <w:div w:id="1328511551">
      <w:bodyDiv w:val="1"/>
      <w:marLeft w:val="0"/>
      <w:marRight w:val="0"/>
      <w:marTop w:val="0"/>
      <w:marBottom w:val="0"/>
      <w:divBdr>
        <w:top w:val="none" w:sz="0" w:space="0" w:color="auto"/>
        <w:left w:val="none" w:sz="0" w:space="0" w:color="auto"/>
        <w:bottom w:val="none" w:sz="0" w:space="0" w:color="auto"/>
        <w:right w:val="none" w:sz="0" w:space="0" w:color="auto"/>
      </w:divBdr>
    </w:div>
    <w:div w:id="1337030599">
      <w:bodyDiv w:val="1"/>
      <w:marLeft w:val="0"/>
      <w:marRight w:val="0"/>
      <w:marTop w:val="0"/>
      <w:marBottom w:val="0"/>
      <w:divBdr>
        <w:top w:val="none" w:sz="0" w:space="0" w:color="auto"/>
        <w:left w:val="none" w:sz="0" w:space="0" w:color="auto"/>
        <w:bottom w:val="none" w:sz="0" w:space="0" w:color="auto"/>
        <w:right w:val="none" w:sz="0" w:space="0" w:color="auto"/>
      </w:divBdr>
    </w:div>
    <w:div w:id="1365521243">
      <w:bodyDiv w:val="1"/>
      <w:marLeft w:val="0"/>
      <w:marRight w:val="0"/>
      <w:marTop w:val="0"/>
      <w:marBottom w:val="0"/>
      <w:divBdr>
        <w:top w:val="none" w:sz="0" w:space="0" w:color="auto"/>
        <w:left w:val="none" w:sz="0" w:space="0" w:color="auto"/>
        <w:bottom w:val="none" w:sz="0" w:space="0" w:color="auto"/>
        <w:right w:val="none" w:sz="0" w:space="0" w:color="auto"/>
      </w:divBdr>
    </w:div>
    <w:div w:id="1366099865">
      <w:bodyDiv w:val="1"/>
      <w:marLeft w:val="0"/>
      <w:marRight w:val="0"/>
      <w:marTop w:val="0"/>
      <w:marBottom w:val="0"/>
      <w:divBdr>
        <w:top w:val="none" w:sz="0" w:space="0" w:color="auto"/>
        <w:left w:val="none" w:sz="0" w:space="0" w:color="auto"/>
        <w:bottom w:val="none" w:sz="0" w:space="0" w:color="auto"/>
        <w:right w:val="none" w:sz="0" w:space="0" w:color="auto"/>
      </w:divBdr>
    </w:div>
    <w:div w:id="1373578677">
      <w:bodyDiv w:val="1"/>
      <w:marLeft w:val="0"/>
      <w:marRight w:val="0"/>
      <w:marTop w:val="0"/>
      <w:marBottom w:val="0"/>
      <w:divBdr>
        <w:top w:val="none" w:sz="0" w:space="0" w:color="auto"/>
        <w:left w:val="none" w:sz="0" w:space="0" w:color="auto"/>
        <w:bottom w:val="none" w:sz="0" w:space="0" w:color="auto"/>
        <w:right w:val="none" w:sz="0" w:space="0" w:color="auto"/>
      </w:divBdr>
    </w:div>
    <w:div w:id="1385564403">
      <w:bodyDiv w:val="1"/>
      <w:marLeft w:val="0"/>
      <w:marRight w:val="0"/>
      <w:marTop w:val="0"/>
      <w:marBottom w:val="0"/>
      <w:divBdr>
        <w:top w:val="none" w:sz="0" w:space="0" w:color="auto"/>
        <w:left w:val="none" w:sz="0" w:space="0" w:color="auto"/>
        <w:bottom w:val="none" w:sz="0" w:space="0" w:color="auto"/>
        <w:right w:val="none" w:sz="0" w:space="0" w:color="auto"/>
      </w:divBdr>
    </w:div>
    <w:div w:id="1386027445">
      <w:bodyDiv w:val="1"/>
      <w:marLeft w:val="0"/>
      <w:marRight w:val="0"/>
      <w:marTop w:val="0"/>
      <w:marBottom w:val="0"/>
      <w:divBdr>
        <w:top w:val="none" w:sz="0" w:space="0" w:color="auto"/>
        <w:left w:val="none" w:sz="0" w:space="0" w:color="auto"/>
        <w:bottom w:val="none" w:sz="0" w:space="0" w:color="auto"/>
        <w:right w:val="none" w:sz="0" w:space="0" w:color="auto"/>
      </w:divBdr>
    </w:div>
    <w:div w:id="1390887451">
      <w:bodyDiv w:val="1"/>
      <w:marLeft w:val="0"/>
      <w:marRight w:val="0"/>
      <w:marTop w:val="0"/>
      <w:marBottom w:val="0"/>
      <w:divBdr>
        <w:top w:val="none" w:sz="0" w:space="0" w:color="auto"/>
        <w:left w:val="none" w:sz="0" w:space="0" w:color="auto"/>
        <w:bottom w:val="none" w:sz="0" w:space="0" w:color="auto"/>
        <w:right w:val="none" w:sz="0" w:space="0" w:color="auto"/>
      </w:divBdr>
    </w:div>
    <w:div w:id="1412965708">
      <w:bodyDiv w:val="1"/>
      <w:marLeft w:val="0"/>
      <w:marRight w:val="0"/>
      <w:marTop w:val="0"/>
      <w:marBottom w:val="0"/>
      <w:divBdr>
        <w:top w:val="none" w:sz="0" w:space="0" w:color="auto"/>
        <w:left w:val="none" w:sz="0" w:space="0" w:color="auto"/>
        <w:bottom w:val="none" w:sz="0" w:space="0" w:color="auto"/>
        <w:right w:val="none" w:sz="0" w:space="0" w:color="auto"/>
      </w:divBdr>
    </w:div>
    <w:div w:id="1420982280">
      <w:bodyDiv w:val="1"/>
      <w:marLeft w:val="0"/>
      <w:marRight w:val="0"/>
      <w:marTop w:val="0"/>
      <w:marBottom w:val="0"/>
      <w:divBdr>
        <w:top w:val="none" w:sz="0" w:space="0" w:color="auto"/>
        <w:left w:val="none" w:sz="0" w:space="0" w:color="auto"/>
        <w:bottom w:val="none" w:sz="0" w:space="0" w:color="auto"/>
        <w:right w:val="none" w:sz="0" w:space="0" w:color="auto"/>
      </w:divBdr>
    </w:div>
    <w:div w:id="1422026129">
      <w:bodyDiv w:val="1"/>
      <w:marLeft w:val="0"/>
      <w:marRight w:val="0"/>
      <w:marTop w:val="0"/>
      <w:marBottom w:val="0"/>
      <w:divBdr>
        <w:top w:val="none" w:sz="0" w:space="0" w:color="auto"/>
        <w:left w:val="none" w:sz="0" w:space="0" w:color="auto"/>
        <w:bottom w:val="none" w:sz="0" w:space="0" w:color="auto"/>
        <w:right w:val="none" w:sz="0" w:space="0" w:color="auto"/>
      </w:divBdr>
    </w:div>
    <w:div w:id="1430005961">
      <w:bodyDiv w:val="1"/>
      <w:marLeft w:val="0"/>
      <w:marRight w:val="0"/>
      <w:marTop w:val="0"/>
      <w:marBottom w:val="0"/>
      <w:divBdr>
        <w:top w:val="none" w:sz="0" w:space="0" w:color="auto"/>
        <w:left w:val="none" w:sz="0" w:space="0" w:color="auto"/>
        <w:bottom w:val="none" w:sz="0" w:space="0" w:color="auto"/>
        <w:right w:val="none" w:sz="0" w:space="0" w:color="auto"/>
      </w:divBdr>
    </w:div>
    <w:div w:id="1433090330">
      <w:bodyDiv w:val="1"/>
      <w:marLeft w:val="0"/>
      <w:marRight w:val="0"/>
      <w:marTop w:val="0"/>
      <w:marBottom w:val="0"/>
      <w:divBdr>
        <w:top w:val="none" w:sz="0" w:space="0" w:color="auto"/>
        <w:left w:val="none" w:sz="0" w:space="0" w:color="auto"/>
        <w:bottom w:val="none" w:sz="0" w:space="0" w:color="auto"/>
        <w:right w:val="none" w:sz="0" w:space="0" w:color="auto"/>
      </w:divBdr>
    </w:div>
    <w:div w:id="1444883533">
      <w:bodyDiv w:val="1"/>
      <w:marLeft w:val="0"/>
      <w:marRight w:val="0"/>
      <w:marTop w:val="0"/>
      <w:marBottom w:val="0"/>
      <w:divBdr>
        <w:top w:val="none" w:sz="0" w:space="0" w:color="auto"/>
        <w:left w:val="none" w:sz="0" w:space="0" w:color="auto"/>
        <w:bottom w:val="none" w:sz="0" w:space="0" w:color="auto"/>
        <w:right w:val="none" w:sz="0" w:space="0" w:color="auto"/>
      </w:divBdr>
    </w:div>
    <w:div w:id="1460612829">
      <w:bodyDiv w:val="1"/>
      <w:marLeft w:val="0"/>
      <w:marRight w:val="0"/>
      <w:marTop w:val="0"/>
      <w:marBottom w:val="0"/>
      <w:divBdr>
        <w:top w:val="none" w:sz="0" w:space="0" w:color="auto"/>
        <w:left w:val="none" w:sz="0" w:space="0" w:color="auto"/>
        <w:bottom w:val="none" w:sz="0" w:space="0" w:color="auto"/>
        <w:right w:val="none" w:sz="0" w:space="0" w:color="auto"/>
      </w:divBdr>
    </w:div>
    <w:div w:id="1479225136">
      <w:bodyDiv w:val="1"/>
      <w:marLeft w:val="0"/>
      <w:marRight w:val="0"/>
      <w:marTop w:val="0"/>
      <w:marBottom w:val="0"/>
      <w:divBdr>
        <w:top w:val="none" w:sz="0" w:space="0" w:color="auto"/>
        <w:left w:val="none" w:sz="0" w:space="0" w:color="auto"/>
        <w:bottom w:val="none" w:sz="0" w:space="0" w:color="auto"/>
        <w:right w:val="none" w:sz="0" w:space="0" w:color="auto"/>
      </w:divBdr>
    </w:div>
    <w:div w:id="1512405107">
      <w:bodyDiv w:val="1"/>
      <w:marLeft w:val="0"/>
      <w:marRight w:val="0"/>
      <w:marTop w:val="0"/>
      <w:marBottom w:val="0"/>
      <w:divBdr>
        <w:top w:val="none" w:sz="0" w:space="0" w:color="auto"/>
        <w:left w:val="none" w:sz="0" w:space="0" w:color="auto"/>
        <w:bottom w:val="none" w:sz="0" w:space="0" w:color="auto"/>
        <w:right w:val="none" w:sz="0" w:space="0" w:color="auto"/>
      </w:divBdr>
    </w:div>
    <w:div w:id="1517112721">
      <w:bodyDiv w:val="1"/>
      <w:marLeft w:val="0"/>
      <w:marRight w:val="0"/>
      <w:marTop w:val="0"/>
      <w:marBottom w:val="0"/>
      <w:divBdr>
        <w:top w:val="none" w:sz="0" w:space="0" w:color="auto"/>
        <w:left w:val="none" w:sz="0" w:space="0" w:color="auto"/>
        <w:bottom w:val="none" w:sz="0" w:space="0" w:color="auto"/>
        <w:right w:val="none" w:sz="0" w:space="0" w:color="auto"/>
      </w:divBdr>
    </w:div>
    <w:div w:id="1521310406">
      <w:bodyDiv w:val="1"/>
      <w:marLeft w:val="0"/>
      <w:marRight w:val="0"/>
      <w:marTop w:val="0"/>
      <w:marBottom w:val="0"/>
      <w:divBdr>
        <w:top w:val="none" w:sz="0" w:space="0" w:color="auto"/>
        <w:left w:val="none" w:sz="0" w:space="0" w:color="auto"/>
        <w:bottom w:val="none" w:sz="0" w:space="0" w:color="auto"/>
        <w:right w:val="none" w:sz="0" w:space="0" w:color="auto"/>
      </w:divBdr>
    </w:div>
    <w:div w:id="1524054499">
      <w:bodyDiv w:val="1"/>
      <w:marLeft w:val="0"/>
      <w:marRight w:val="0"/>
      <w:marTop w:val="0"/>
      <w:marBottom w:val="0"/>
      <w:divBdr>
        <w:top w:val="none" w:sz="0" w:space="0" w:color="auto"/>
        <w:left w:val="none" w:sz="0" w:space="0" w:color="auto"/>
        <w:bottom w:val="none" w:sz="0" w:space="0" w:color="auto"/>
        <w:right w:val="none" w:sz="0" w:space="0" w:color="auto"/>
      </w:divBdr>
    </w:div>
    <w:div w:id="1529488833">
      <w:bodyDiv w:val="1"/>
      <w:marLeft w:val="0"/>
      <w:marRight w:val="0"/>
      <w:marTop w:val="0"/>
      <w:marBottom w:val="0"/>
      <w:divBdr>
        <w:top w:val="none" w:sz="0" w:space="0" w:color="auto"/>
        <w:left w:val="none" w:sz="0" w:space="0" w:color="auto"/>
        <w:bottom w:val="none" w:sz="0" w:space="0" w:color="auto"/>
        <w:right w:val="none" w:sz="0" w:space="0" w:color="auto"/>
      </w:divBdr>
    </w:div>
    <w:div w:id="1583373237">
      <w:bodyDiv w:val="1"/>
      <w:marLeft w:val="0"/>
      <w:marRight w:val="0"/>
      <w:marTop w:val="0"/>
      <w:marBottom w:val="0"/>
      <w:divBdr>
        <w:top w:val="none" w:sz="0" w:space="0" w:color="auto"/>
        <w:left w:val="none" w:sz="0" w:space="0" w:color="auto"/>
        <w:bottom w:val="none" w:sz="0" w:space="0" w:color="auto"/>
        <w:right w:val="none" w:sz="0" w:space="0" w:color="auto"/>
      </w:divBdr>
    </w:div>
    <w:div w:id="1591500704">
      <w:bodyDiv w:val="1"/>
      <w:marLeft w:val="0"/>
      <w:marRight w:val="0"/>
      <w:marTop w:val="0"/>
      <w:marBottom w:val="0"/>
      <w:divBdr>
        <w:top w:val="none" w:sz="0" w:space="0" w:color="auto"/>
        <w:left w:val="none" w:sz="0" w:space="0" w:color="auto"/>
        <w:bottom w:val="none" w:sz="0" w:space="0" w:color="auto"/>
        <w:right w:val="none" w:sz="0" w:space="0" w:color="auto"/>
      </w:divBdr>
    </w:div>
    <w:div w:id="1597398399">
      <w:bodyDiv w:val="1"/>
      <w:marLeft w:val="0"/>
      <w:marRight w:val="0"/>
      <w:marTop w:val="0"/>
      <w:marBottom w:val="0"/>
      <w:divBdr>
        <w:top w:val="none" w:sz="0" w:space="0" w:color="auto"/>
        <w:left w:val="none" w:sz="0" w:space="0" w:color="auto"/>
        <w:bottom w:val="none" w:sz="0" w:space="0" w:color="auto"/>
        <w:right w:val="none" w:sz="0" w:space="0" w:color="auto"/>
      </w:divBdr>
    </w:div>
    <w:div w:id="1633244755">
      <w:bodyDiv w:val="1"/>
      <w:marLeft w:val="0"/>
      <w:marRight w:val="0"/>
      <w:marTop w:val="0"/>
      <w:marBottom w:val="0"/>
      <w:divBdr>
        <w:top w:val="none" w:sz="0" w:space="0" w:color="auto"/>
        <w:left w:val="none" w:sz="0" w:space="0" w:color="auto"/>
        <w:bottom w:val="none" w:sz="0" w:space="0" w:color="auto"/>
        <w:right w:val="none" w:sz="0" w:space="0" w:color="auto"/>
      </w:divBdr>
    </w:div>
    <w:div w:id="1660695137">
      <w:bodyDiv w:val="1"/>
      <w:marLeft w:val="0"/>
      <w:marRight w:val="0"/>
      <w:marTop w:val="0"/>
      <w:marBottom w:val="0"/>
      <w:divBdr>
        <w:top w:val="none" w:sz="0" w:space="0" w:color="auto"/>
        <w:left w:val="none" w:sz="0" w:space="0" w:color="auto"/>
        <w:bottom w:val="none" w:sz="0" w:space="0" w:color="auto"/>
        <w:right w:val="none" w:sz="0" w:space="0" w:color="auto"/>
      </w:divBdr>
    </w:div>
    <w:div w:id="1661233736">
      <w:bodyDiv w:val="1"/>
      <w:marLeft w:val="0"/>
      <w:marRight w:val="0"/>
      <w:marTop w:val="0"/>
      <w:marBottom w:val="0"/>
      <w:divBdr>
        <w:top w:val="none" w:sz="0" w:space="0" w:color="auto"/>
        <w:left w:val="none" w:sz="0" w:space="0" w:color="auto"/>
        <w:bottom w:val="none" w:sz="0" w:space="0" w:color="auto"/>
        <w:right w:val="none" w:sz="0" w:space="0" w:color="auto"/>
      </w:divBdr>
    </w:div>
    <w:div w:id="1668747550">
      <w:bodyDiv w:val="1"/>
      <w:marLeft w:val="0"/>
      <w:marRight w:val="0"/>
      <w:marTop w:val="0"/>
      <w:marBottom w:val="0"/>
      <w:divBdr>
        <w:top w:val="none" w:sz="0" w:space="0" w:color="auto"/>
        <w:left w:val="none" w:sz="0" w:space="0" w:color="auto"/>
        <w:bottom w:val="none" w:sz="0" w:space="0" w:color="auto"/>
        <w:right w:val="none" w:sz="0" w:space="0" w:color="auto"/>
      </w:divBdr>
    </w:div>
    <w:div w:id="1711877382">
      <w:bodyDiv w:val="1"/>
      <w:marLeft w:val="0"/>
      <w:marRight w:val="0"/>
      <w:marTop w:val="0"/>
      <w:marBottom w:val="0"/>
      <w:divBdr>
        <w:top w:val="none" w:sz="0" w:space="0" w:color="auto"/>
        <w:left w:val="none" w:sz="0" w:space="0" w:color="auto"/>
        <w:bottom w:val="none" w:sz="0" w:space="0" w:color="auto"/>
        <w:right w:val="none" w:sz="0" w:space="0" w:color="auto"/>
      </w:divBdr>
    </w:div>
    <w:div w:id="1800605440">
      <w:bodyDiv w:val="1"/>
      <w:marLeft w:val="0"/>
      <w:marRight w:val="0"/>
      <w:marTop w:val="0"/>
      <w:marBottom w:val="0"/>
      <w:divBdr>
        <w:top w:val="none" w:sz="0" w:space="0" w:color="auto"/>
        <w:left w:val="none" w:sz="0" w:space="0" w:color="auto"/>
        <w:bottom w:val="none" w:sz="0" w:space="0" w:color="auto"/>
        <w:right w:val="none" w:sz="0" w:space="0" w:color="auto"/>
      </w:divBdr>
    </w:div>
    <w:div w:id="1839533887">
      <w:bodyDiv w:val="1"/>
      <w:marLeft w:val="0"/>
      <w:marRight w:val="0"/>
      <w:marTop w:val="0"/>
      <w:marBottom w:val="0"/>
      <w:divBdr>
        <w:top w:val="none" w:sz="0" w:space="0" w:color="auto"/>
        <w:left w:val="none" w:sz="0" w:space="0" w:color="auto"/>
        <w:bottom w:val="none" w:sz="0" w:space="0" w:color="auto"/>
        <w:right w:val="none" w:sz="0" w:space="0" w:color="auto"/>
      </w:divBdr>
    </w:div>
    <w:div w:id="1842356157">
      <w:bodyDiv w:val="1"/>
      <w:marLeft w:val="0"/>
      <w:marRight w:val="0"/>
      <w:marTop w:val="0"/>
      <w:marBottom w:val="0"/>
      <w:divBdr>
        <w:top w:val="none" w:sz="0" w:space="0" w:color="auto"/>
        <w:left w:val="none" w:sz="0" w:space="0" w:color="auto"/>
        <w:bottom w:val="none" w:sz="0" w:space="0" w:color="auto"/>
        <w:right w:val="none" w:sz="0" w:space="0" w:color="auto"/>
      </w:divBdr>
    </w:div>
    <w:div w:id="1847667626">
      <w:bodyDiv w:val="1"/>
      <w:marLeft w:val="0"/>
      <w:marRight w:val="0"/>
      <w:marTop w:val="0"/>
      <w:marBottom w:val="0"/>
      <w:divBdr>
        <w:top w:val="none" w:sz="0" w:space="0" w:color="auto"/>
        <w:left w:val="none" w:sz="0" w:space="0" w:color="auto"/>
        <w:bottom w:val="none" w:sz="0" w:space="0" w:color="auto"/>
        <w:right w:val="none" w:sz="0" w:space="0" w:color="auto"/>
      </w:divBdr>
    </w:div>
    <w:div w:id="1856531335">
      <w:bodyDiv w:val="1"/>
      <w:marLeft w:val="0"/>
      <w:marRight w:val="0"/>
      <w:marTop w:val="0"/>
      <w:marBottom w:val="0"/>
      <w:divBdr>
        <w:top w:val="none" w:sz="0" w:space="0" w:color="auto"/>
        <w:left w:val="none" w:sz="0" w:space="0" w:color="auto"/>
        <w:bottom w:val="none" w:sz="0" w:space="0" w:color="auto"/>
        <w:right w:val="none" w:sz="0" w:space="0" w:color="auto"/>
      </w:divBdr>
    </w:div>
    <w:div w:id="1894585668">
      <w:bodyDiv w:val="1"/>
      <w:marLeft w:val="0"/>
      <w:marRight w:val="0"/>
      <w:marTop w:val="0"/>
      <w:marBottom w:val="0"/>
      <w:divBdr>
        <w:top w:val="none" w:sz="0" w:space="0" w:color="auto"/>
        <w:left w:val="none" w:sz="0" w:space="0" w:color="auto"/>
        <w:bottom w:val="none" w:sz="0" w:space="0" w:color="auto"/>
        <w:right w:val="none" w:sz="0" w:space="0" w:color="auto"/>
      </w:divBdr>
    </w:div>
    <w:div w:id="1944995436">
      <w:bodyDiv w:val="1"/>
      <w:marLeft w:val="0"/>
      <w:marRight w:val="0"/>
      <w:marTop w:val="0"/>
      <w:marBottom w:val="0"/>
      <w:divBdr>
        <w:top w:val="none" w:sz="0" w:space="0" w:color="auto"/>
        <w:left w:val="none" w:sz="0" w:space="0" w:color="auto"/>
        <w:bottom w:val="none" w:sz="0" w:space="0" w:color="auto"/>
        <w:right w:val="none" w:sz="0" w:space="0" w:color="auto"/>
      </w:divBdr>
    </w:div>
    <w:div w:id="2000838388">
      <w:bodyDiv w:val="1"/>
      <w:marLeft w:val="0"/>
      <w:marRight w:val="0"/>
      <w:marTop w:val="0"/>
      <w:marBottom w:val="0"/>
      <w:divBdr>
        <w:top w:val="none" w:sz="0" w:space="0" w:color="auto"/>
        <w:left w:val="none" w:sz="0" w:space="0" w:color="auto"/>
        <w:bottom w:val="none" w:sz="0" w:space="0" w:color="auto"/>
        <w:right w:val="none" w:sz="0" w:space="0" w:color="auto"/>
      </w:divBdr>
    </w:div>
    <w:div w:id="2004160721">
      <w:bodyDiv w:val="1"/>
      <w:marLeft w:val="0"/>
      <w:marRight w:val="0"/>
      <w:marTop w:val="0"/>
      <w:marBottom w:val="0"/>
      <w:divBdr>
        <w:top w:val="none" w:sz="0" w:space="0" w:color="auto"/>
        <w:left w:val="none" w:sz="0" w:space="0" w:color="auto"/>
        <w:bottom w:val="none" w:sz="0" w:space="0" w:color="auto"/>
        <w:right w:val="none" w:sz="0" w:space="0" w:color="auto"/>
      </w:divBdr>
    </w:div>
    <w:div w:id="2045865217">
      <w:bodyDiv w:val="1"/>
      <w:marLeft w:val="0"/>
      <w:marRight w:val="0"/>
      <w:marTop w:val="0"/>
      <w:marBottom w:val="0"/>
      <w:divBdr>
        <w:top w:val="none" w:sz="0" w:space="0" w:color="auto"/>
        <w:left w:val="none" w:sz="0" w:space="0" w:color="auto"/>
        <w:bottom w:val="none" w:sz="0" w:space="0" w:color="auto"/>
        <w:right w:val="none" w:sz="0" w:space="0" w:color="auto"/>
      </w:divBdr>
    </w:div>
    <w:div w:id="2073460548">
      <w:bodyDiv w:val="1"/>
      <w:marLeft w:val="0"/>
      <w:marRight w:val="0"/>
      <w:marTop w:val="0"/>
      <w:marBottom w:val="0"/>
      <w:divBdr>
        <w:top w:val="none" w:sz="0" w:space="0" w:color="auto"/>
        <w:left w:val="none" w:sz="0" w:space="0" w:color="auto"/>
        <w:bottom w:val="none" w:sz="0" w:space="0" w:color="auto"/>
        <w:right w:val="none" w:sz="0" w:space="0" w:color="auto"/>
      </w:divBdr>
    </w:div>
    <w:div w:id="2086488274">
      <w:bodyDiv w:val="1"/>
      <w:marLeft w:val="0"/>
      <w:marRight w:val="0"/>
      <w:marTop w:val="0"/>
      <w:marBottom w:val="0"/>
      <w:divBdr>
        <w:top w:val="none" w:sz="0" w:space="0" w:color="auto"/>
        <w:left w:val="none" w:sz="0" w:space="0" w:color="auto"/>
        <w:bottom w:val="none" w:sz="0" w:space="0" w:color="auto"/>
        <w:right w:val="none" w:sz="0" w:space="0" w:color="auto"/>
      </w:divBdr>
    </w:div>
    <w:div w:id="2087529007">
      <w:bodyDiv w:val="1"/>
      <w:marLeft w:val="0"/>
      <w:marRight w:val="0"/>
      <w:marTop w:val="0"/>
      <w:marBottom w:val="0"/>
      <w:divBdr>
        <w:top w:val="none" w:sz="0" w:space="0" w:color="auto"/>
        <w:left w:val="none" w:sz="0" w:space="0" w:color="auto"/>
        <w:bottom w:val="none" w:sz="0" w:space="0" w:color="auto"/>
        <w:right w:val="none" w:sz="0" w:space="0" w:color="auto"/>
      </w:divBdr>
    </w:div>
    <w:div w:id="2112623878">
      <w:bodyDiv w:val="1"/>
      <w:marLeft w:val="0"/>
      <w:marRight w:val="0"/>
      <w:marTop w:val="0"/>
      <w:marBottom w:val="0"/>
      <w:divBdr>
        <w:top w:val="none" w:sz="0" w:space="0" w:color="auto"/>
        <w:left w:val="none" w:sz="0" w:space="0" w:color="auto"/>
        <w:bottom w:val="none" w:sz="0" w:space="0" w:color="auto"/>
        <w:right w:val="none" w:sz="0" w:space="0" w:color="auto"/>
      </w:divBdr>
    </w:div>
    <w:div w:id="2113016194">
      <w:bodyDiv w:val="1"/>
      <w:marLeft w:val="0"/>
      <w:marRight w:val="0"/>
      <w:marTop w:val="0"/>
      <w:marBottom w:val="0"/>
      <w:divBdr>
        <w:top w:val="none" w:sz="0" w:space="0" w:color="auto"/>
        <w:left w:val="none" w:sz="0" w:space="0" w:color="auto"/>
        <w:bottom w:val="none" w:sz="0" w:space="0" w:color="auto"/>
        <w:right w:val="none" w:sz="0" w:space="0" w:color="auto"/>
      </w:divBdr>
    </w:div>
    <w:div w:id="2121677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D8D845-6E80-4BF7-AAF1-45BB975280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994</Words>
  <Characters>5671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2018-01-16T04:41:00Z</dcterms:created>
  <dcterms:modified xsi:type="dcterms:W3CDTF">2018-06-04T04:16:00Z</dcterms:modified>
</cp:coreProperties>
</file>