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8"/>
        <w:gridCol w:w="1842"/>
        <w:gridCol w:w="3402"/>
        <w:gridCol w:w="5245"/>
      </w:tblGrid>
      <w:tr w:rsidR="0010394D" w:rsidRPr="00447CFB" w:rsidTr="007E146D">
        <w:trPr>
          <w:tblHeader/>
        </w:trPr>
        <w:tc>
          <w:tcPr>
            <w:tcW w:w="2127" w:type="dxa"/>
          </w:tcPr>
          <w:p w:rsidR="0010394D" w:rsidRPr="00447CFB" w:rsidRDefault="001047FA" w:rsidP="001047FA">
            <w:pPr>
              <w:pStyle w:val="Header"/>
              <w:spacing w:after="240"/>
              <w:contextualSpacing/>
              <w:jc w:val="center"/>
              <w:rPr>
                <w:rFonts w:ascii="Arial" w:hAnsi="Arial" w:cs="Arial"/>
                <w:b/>
                <w:snapToGrid w:val="0"/>
                <w:sz w:val="20"/>
                <w:lang w:eastAsia="en-US"/>
              </w:rPr>
            </w:pPr>
            <w:bookmarkStart w:id="0" w:name="_GoBack"/>
            <w:bookmarkEnd w:id="0"/>
            <w:r w:rsidRPr="00447CFB">
              <w:rPr>
                <w:rFonts w:ascii="Arial" w:hAnsi="Arial" w:cs="Arial"/>
                <w:b/>
                <w:snapToGrid w:val="0"/>
                <w:sz w:val="20"/>
                <w:lang w:eastAsia="en-US"/>
              </w:rPr>
              <w:t>DRUG NAME, FORM(S), STRENGTH(S), SPONSOR, TYPE OF SUBMISSION</w:t>
            </w:r>
          </w:p>
        </w:tc>
        <w:tc>
          <w:tcPr>
            <w:tcW w:w="2268" w:type="dxa"/>
          </w:tcPr>
          <w:p w:rsidR="001047FA"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TGA INDICATION</w:t>
            </w:r>
          </w:p>
          <w:p w:rsidR="0010394D" w:rsidRPr="00447CFB" w:rsidRDefault="0010394D" w:rsidP="001047FA">
            <w:pPr>
              <w:pStyle w:val="Header"/>
              <w:spacing w:after="240"/>
              <w:contextualSpacing/>
              <w:jc w:val="center"/>
              <w:rPr>
                <w:rFonts w:ascii="Arial" w:hAnsi="Arial" w:cs="Arial"/>
                <w:b/>
                <w:snapToGrid w:val="0"/>
                <w:sz w:val="20"/>
                <w:lang w:eastAsia="en-US"/>
              </w:rPr>
            </w:pPr>
          </w:p>
        </w:tc>
        <w:tc>
          <w:tcPr>
            <w:tcW w:w="1842" w:type="dxa"/>
          </w:tcPr>
          <w:p w:rsidR="0010394D"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CURRENT PBS LISTING</w:t>
            </w:r>
          </w:p>
        </w:tc>
        <w:tc>
          <w:tcPr>
            <w:tcW w:w="3402" w:type="dxa"/>
            <w:shd w:val="clear" w:color="auto" w:fill="auto"/>
          </w:tcPr>
          <w:p w:rsidR="0010394D" w:rsidRPr="00447CFB" w:rsidRDefault="001047FA"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LISTING REQUESTED BY SPONSOR / PURPOSE OF SUBMISSION</w:t>
            </w:r>
          </w:p>
        </w:tc>
        <w:tc>
          <w:tcPr>
            <w:tcW w:w="5245" w:type="dxa"/>
          </w:tcPr>
          <w:p w:rsidR="0010394D" w:rsidRPr="00447CFB" w:rsidRDefault="0010394D" w:rsidP="001047FA">
            <w:pPr>
              <w:pStyle w:val="Header"/>
              <w:spacing w:after="240"/>
              <w:contextualSpacing/>
              <w:jc w:val="center"/>
              <w:rPr>
                <w:rFonts w:ascii="Arial" w:hAnsi="Arial" w:cs="Arial"/>
                <w:b/>
                <w:snapToGrid w:val="0"/>
                <w:sz w:val="20"/>
                <w:lang w:eastAsia="en-US"/>
              </w:rPr>
            </w:pPr>
            <w:r w:rsidRPr="00447CFB">
              <w:rPr>
                <w:rFonts w:ascii="Arial" w:hAnsi="Arial" w:cs="Arial"/>
                <w:b/>
                <w:snapToGrid w:val="0"/>
                <w:sz w:val="20"/>
                <w:lang w:eastAsia="en-US"/>
              </w:rPr>
              <w:t xml:space="preserve">PBAC </w:t>
            </w:r>
            <w:r w:rsidR="001047FA" w:rsidRPr="00447CFB">
              <w:rPr>
                <w:rFonts w:ascii="Arial" w:hAnsi="Arial" w:cs="Arial"/>
                <w:b/>
                <w:snapToGrid w:val="0"/>
                <w:sz w:val="20"/>
                <w:lang w:eastAsia="en-US"/>
              </w:rPr>
              <w:t>OUTCOME</w:t>
            </w:r>
          </w:p>
        </w:tc>
      </w:tr>
      <w:tr w:rsidR="00A71CF4" w:rsidRPr="00447CFB" w:rsidTr="00855CF7">
        <w:trPr>
          <w:trHeight w:val="1636"/>
        </w:trPr>
        <w:tc>
          <w:tcPr>
            <w:tcW w:w="2127" w:type="dxa"/>
            <w:vMerge w:val="restart"/>
          </w:tcPr>
          <w:p w:rsidR="00A71CF4" w:rsidRPr="007E146D" w:rsidRDefault="00A71CF4" w:rsidP="00447CFB">
            <w:pPr>
              <w:rPr>
                <w:rFonts w:ascii="Arial" w:hAnsi="Arial" w:cs="Arial"/>
                <w:sz w:val="20"/>
                <w:highlight w:val="yellow"/>
              </w:rPr>
            </w:pPr>
            <w:r w:rsidRPr="007E146D">
              <w:rPr>
                <w:rFonts w:ascii="Arial" w:hAnsi="Arial" w:cs="Arial"/>
                <w:color w:val="000000"/>
                <w:sz w:val="20"/>
              </w:rPr>
              <w:t xml:space="preserve">APREMILAST </w:t>
            </w:r>
            <w:r w:rsidRPr="007E146D">
              <w:rPr>
                <w:rFonts w:ascii="Arial" w:hAnsi="Arial" w:cs="Arial"/>
                <w:color w:val="000000"/>
                <w:sz w:val="20"/>
              </w:rPr>
              <w:br/>
            </w:r>
            <w:r w:rsidRPr="007E146D">
              <w:rPr>
                <w:rFonts w:ascii="Arial" w:hAnsi="Arial" w:cs="Arial"/>
                <w:color w:val="000000"/>
                <w:sz w:val="20"/>
              </w:rPr>
              <w:br/>
              <w:t>Tablet 30 mg</w:t>
            </w:r>
            <w:r w:rsidRPr="007E146D">
              <w:rPr>
                <w:rFonts w:ascii="Arial" w:hAnsi="Arial" w:cs="Arial"/>
                <w:color w:val="000000"/>
                <w:sz w:val="20"/>
              </w:rPr>
              <w:br/>
              <w:t>Pack containing 4 tablets of 10 mg , 4 tablets of 20 mg and 19 tablets of 30 mg</w:t>
            </w:r>
            <w:r w:rsidRPr="007E146D">
              <w:rPr>
                <w:rFonts w:ascii="Arial" w:hAnsi="Arial" w:cs="Arial"/>
                <w:color w:val="000000"/>
                <w:sz w:val="20"/>
              </w:rPr>
              <w:br/>
            </w:r>
            <w:r w:rsidRPr="007E146D">
              <w:rPr>
                <w:rFonts w:ascii="Arial" w:hAnsi="Arial" w:cs="Arial"/>
                <w:color w:val="000000"/>
                <w:sz w:val="20"/>
              </w:rPr>
              <w:br/>
              <w:t>Otezla®</w:t>
            </w:r>
            <w:r w:rsidRPr="007E146D">
              <w:rPr>
                <w:rFonts w:ascii="Arial" w:hAnsi="Arial" w:cs="Arial"/>
                <w:color w:val="000000"/>
                <w:sz w:val="20"/>
              </w:rPr>
              <w:br/>
            </w:r>
            <w:r w:rsidRPr="007E146D">
              <w:rPr>
                <w:rFonts w:ascii="Arial" w:hAnsi="Arial" w:cs="Arial"/>
                <w:color w:val="000000"/>
                <w:sz w:val="20"/>
              </w:rPr>
              <w:br/>
              <w:t>Celgene Pty Ltd</w:t>
            </w:r>
            <w:r w:rsidRPr="007E146D">
              <w:rPr>
                <w:rFonts w:ascii="Arial" w:hAnsi="Arial" w:cs="Arial"/>
                <w:sz w:val="20"/>
                <w:highlight w:val="yellow"/>
              </w:rPr>
              <w:t xml:space="preserve"> </w:t>
            </w:r>
          </w:p>
          <w:p w:rsidR="00A71CF4" w:rsidRPr="007E146D" w:rsidRDefault="00A71CF4" w:rsidP="00447CFB">
            <w:pPr>
              <w:rPr>
                <w:rFonts w:ascii="Arial" w:hAnsi="Arial" w:cs="Arial"/>
                <w:sz w:val="20"/>
                <w:highlight w:val="yellow"/>
              </w:rPr>
            </w:pPr>
          </w:p>
          <w:p w:rsidR="00A71CF4" w:rsidRPr="007E146D" w:rsidRDefault="00A71CF4" w:rsidP="00447CFB">
            <w:pPr>
              <w:rPr>
                <w:rFonts w:ascii="Arial" w:hAnsi="Arial" w:cs="Arial"/>
                <w:sz w:val="20"/>
              </w:rPr>
            </w:pPr>
            <w:r w:rsidRPr="007E146D">
              <w:rPr>
                <w:rFonts w:ascii="Arial" w:hAnsi="Arial" w:cs="Arial"/>
                <w:sz w:val="20"/>
              </w:rPr>
              <w:t xml:space="preserve">New listing </w:t>
            </w:r>
          </w:p>
          <w:p w:rsidR="00A71CF4" w:rsidRPr="007E146D" w:rsidRDefault="00A71CF4" w:rsidP="00447CFB">
            <w:pPr>
              <w:rPr>
                <w:rFonts w:ascii="Arial" w:hAnsi="Arial" w:cs="Arial"/>
                <w:sz w:val="20"/>
                <w:highlight w:val="yellow"/>
              </w:rPr>
            </w:pPr>
            <w:r w:rsidRPr="007E146D">
              <w:rPr>
                <w:rFonts w:ascii="Arial" w:hAnsi="Arial" w:cs="Arial"/>
                <w:sz w:val="20"/>
              </w:rPr>
              <w:t>(Minor Submission)</w:t>
            </w:r>
          </w:p>
        </w:tc>
        <w:tc>
          <w:tcPr>
            <w:tcW w:w="2268" w:type="dxa"/>
            <w:vMerge w:val="restart"/>
          </w:tcPr>
          <w:p w:rsidR="00A71CF4" w:rsidRPr="007E146D" w:rsidRDefault="00A71CF4" w:rsidP="0089118B">
            <w:pPr>
              <w:keepNext/>
              <w:rPr>
                <w:rFonts w:ascii="Arial" w:hAnsi="Arial" w:cs="Arial"/>
                <w:sz w:val="20"/>
              </w:rPr>
            </w:pPr>
            <w:r w:rsidRPr="007E146D">
              <w:rPr>
                <w:rFonts w:ascii="Arial" w:hAnsi="Arial" w:cs="Arial"/>
                <w:sz w:val="20"/>
              </w:rPr>
              <w:t>Indicated for the treatment of:</w:t>
            </w:r>
          </w:p>
          <w:p w:rsidR="00A71CF4" w:rsidRPr="007E146D" w:rsidRDefault="00A71CF4" w:rsidP="00FC0CE0">
            <w:pPr>
              <w:pStyle w:val="ListParagraph"/>
              <w:keepNext/>
              <w:numPr>
                <w:ilvl w:val="0"/>
                <w:numId w:val="17"/>
              </w:numPr>
              <w:ind w:left="175" w:hanging="283"/>
              <w:rPr>
                <w:rFonts w:ascii="Arial" w:hAnsi="Arial" w:cs="Arial"/>
                <w:sz w:val="20"/>
                <w:szCs w:val="20"/>
              </w:rPr>
            </w:pPr>
            <w:r w:rsidRPr="007E146D">
              <w:rPr>
                <w:rFonts w:ascii="Arial" w:hAnsi="Arial" w:cs="Arial"/>
                <w:sz w:val="20"/>
                <w:szCs w:val="20"/>
              </w:rPr>
              <w:t>signs and symptoms of active psoriatic arthritis in adult patients</w:t>
            </w:r>
          </w:p>
          <w:p w:rsidR="00A71CF4" w:rsidRPr="007E146D" w:rsidRDefault="00A71CF4" w:rsidP="00FC0CE0">
            <w:pPr>
              <w:pStyle w:val="ListParagraph"/>
              <w:keepNext/>
              <w:numPr>
                <w:ilvl w:val="0"/>
                <w:numId w:val="17"/>
              </w:numPr>
              <w:ind w:left="175" w:hanging="283"/>
              <w:rPr>
                <w:rFonts w:ascii="Arial" w:hAnsi="Arial" w:cs="Arial"/>
                <w:sz w:val="20"/>
                <w:szCs w:val="20"/>
              </w:rPr>
            </w:pPr>
            <w:r w:rsidRPr="007E146D">
              <w:rPr>
                <w:rFonts w:ascii="Arial" w:hAnsi="Arial" w:cs="Arial"/>
                <w:sz w:val="20"/>
                <w:szCs w:val="20"/>
              </w:rPr>
              <w:t>adult patients with moderate to severe plaque psoriasis who are candidates for phototherapy or systemic therapy</w:t>
            </w:r>
          </w:p>
        </w:tc>
        <w:tc>
          <w:tcPr>
            <w:tcW w:w="1842" w:type="dxa"/>
            <w:vMerge w:val="restart"/>
          </w:tcPr>
          <w:p w:rsidR="00A71CF4" w:rsidRPr="007E146D" w:rsidRDefault="00A71CF4" w:rsidP="00401F5B">
            <w:pPr>
              <w:rPr>
                <w:rFonts w:ascii="Arial" w:hAnsi="Arial" w:cs="Arial"/>
                <w:sz w:val="20"/>
                <w:highlight w:val="yellow"/>
              </w:rPr>
            </w:pPr>
            <w:r w:rsidRPr="007E146D">
              <w:rPr>
                <w:rFonts w:ascii="Arial" w:hAnsi="Arial" w:cs="Arial"/>
                <w:color w:val="000000"/>
                <w:sz w:val="20"/>
              </w:rPr>
              <w:t>APREMILAST</w:t>
            </w:r>
            <w:r w:rsidRPr="007E146D">
              <w:rPr>
                <w:rFonts w:ascii="Arial" w:hAnsi="Arial" w:cs="Arial"/>
                <w:sz w:val="20"/>
              </w:rPr>
              <w:t xml:space="preserve"> is not currently PBS listed.</w:t>
            </w:r>
          </w:p>
        </w:tc>
        <w:tc>
          <w:tcPr>
            <w:tcW w:w="3402" w:type="dxa"/>
          </w:tcPr>
          <w:p w:rsidR="00A71CF4" w:rsidRPr="007E146D" w:rsidRDefault="00A71CF4" w:rsidP="00A24F2E">
            <w:pPr>
              <w:keepLines/>
              <w:rPr>
                <w:rFonts w:ascii="Arial" w:hAnsi="Arial" w:cs="Arial"/>
                <w:sz w:val="20"/>
              </w:rPr>
            </w:pPr>
            <w:r w:rsidRPr="007E146D">
              <w:rPr>
                <w:rFonts w:ascii="Arial" w:hAnsi="Arial" w:cs="Arial"/>
                <w:color w:val="000000"/>
                <w:sz w:val="20"/>
              </w:rPr>
              <w:t>Resubmission to request an Authority Required (STREAMLINED) listing for the treatment of patients with moderate to severe plaque psoriasis.</w:t>
            </w:r>
          </w:p>
        </w:tc>
        <w:tc>
          <w:tcPr>
            <w:tcW w:w="5245" w:type="dxa"/>
          </w:tcPr>
          <w:p w:rsidR="00A71CF4" w:rsidRPr="007E146D" w:rsidRDefault="00A71CF4" w:rsidP="004A4FC2">
            <w:pPr>
              <w:jc w:val="both"/>
              <w:rPr>
                <w:rFonts w:ascii="Arial" w:hAnsi="Arial" w:cs="Arial"/>
                <w:color w:val="000000"/>
                <w:sz w:val="20"/>
              </w:rPr>
            </w:pPr>
            <w:r w:rsidRPr="007E146D">
              <w:rPr>
                <w:rFonts w:ascii="Arial" w:hAnsi="Arial" w:cs="Arial"/>
                <w:color w:val="000000"/>
                <w:sz w:val="20"/>
              </w:rPr>
              <w:t xml:space="preserve">The PBAC did not recommend apremilast for the treatment of moderate to severe plaque psoriasis on the basis that the risk share arrangement (RSA) proposed by the sponsor was unlikely to achieve an overall price per patient for apremilast within the range the PBAC advised at its November 2017 meeting would be considered cost-effective. </w:t>
            </w:r>
          </w:p>
        </w:tc>
      </w:tr>
      <w:tr w:rsidR="00A71CF4" w:rsidRPr="00447CFB" w:rsidTr="007E146D">
        <w:trPr>
          <w:trHeight w:val="671"/>
        </w:trPr>
        <w:tc>
          <w:tcPr>
            <w:tcW w:w="2127" w:type="dxa"/>
            <w:vMerge/>
          </w:tcPr>
          <w:p w:rsidR="00A71CF4" w:rsidRPr="007E146D" w:rsidRDefault="00A71CF4" w:rsidP="00CA0C65">
            <w:pPr>
              <w:rPr>
                <w:rFonts w:ascii="Arial" w:hAnsi="Arial" w:cs="Arial"/>
                <w:sz w:val="20"/>
              </w:rPr>
            </w:pPr>
          </w:p>
        </w:tc>
        <w:tc>
          <w:tcPr>
            <w:tcW w:w="2268" w:type="dxa"/>
            <w:vMerge/>
          </w:tcPr>
          <w:p w:rsidR="00A71CF4" w:rsidRPr="007E146D" w:rsidRDefault="00A71CF4" w:rsidP="00CA0C65">
            <w:pPr>
              <w:rPr>
                <w:rFonts w:ascii="Arial" w:hAnsi="Arial" w:cs="Arial"/>
                <w:sz w:val="20"/>
              </w:rPr>
            </w:pPr>
          </w:p>
        </w:tc>
        <w:tc>
          <w:tcPr>
            <w:tcW w:w="1842" w:type="dxa"/>
            <w:vMerge/>
          </w:tcPr>
          <w:p w:rsidR="00A71CF4" w:rsidRPr="007E146D" w:rsidRDefault="00A71CF4" w:rsidP="00CA0C65">
            <w:pPr>
              <w:rPr>
                <w:rFonts w:ascii="Arial" w:hAnsi="Arial" w:cs="Arial"/>
                <w:sz w:val="20"/>
              </w:rPr>
            </w:pPr>
          </w:p>
        </w:tc>
        <w:tc>
          <w:tcPr>
            <w:tcW w:w="3402" w:type="dxa"/>
          </w:tcPr>
          <w:p w:rsidR="00A71CF4" w:rsidRPr="007E146D" w:rsidRDefault="00A71CF4" w:rsidP="00A71CF4">
            <w:pPr>
              <w:pStyle w:val="ListBullet"/>
              <w:rPr>
                <w:snapToGrid/>
                <w:lang w:eastAsia="en-AU"/>
              </w:rPr>
            </w:pPr>
            <w:r w:rsidRPr="007E146D">
              <w:t>Comparator: Cyclosporin  (November 2016 and subsequent resubmissions)</w:t>
            </w:r>
            <w:r w:rsidR="007E146D">
              <w:t>.</w:t>
            </w:r>
          </w:p>
        </w:tc>
        <w:tc>
          <w:tcPr>
            <w:tcW w:w="5245" w:type="dxa"/>
          </w:tcPr>
          <w:p w:rsidR="00A71CF4" w:rsidRPr="007E146D" w:rsidRDefault="00A71CF4" w:rsidP="00A71CF4">
            <w:pPr>
              <w:jc w:val="both"/>
              <w:rPr>
                <w:rFonts w:ascii="Arial" w:hAnsi="Arial" w:cs="Arial"/>
                <w:sz w:val="20"/>
              </w:rPr>
            </w:pPr>
            <w:r w:rsidRPr="007E146D">
              <w:rPr>
                <w:rFonts w:ascii="Arial" w:hAnsi="Arial" w:cs="Arial"/>
                <w:sz w:val="20"/>
              </w:rPr>
              <w:t>The PBAC previously accepted cyclosporin as the main comparator at its November 2016, March 2017 and November 2017 meetings.</w:t>
            </w:r>
          </w:p>
          <w:p w:rsidR="00A71CF4" w:rsidRPr="007E146D" w:rsidRDefault="00A71CF4" w:rsidP="00A71CF4">
            <w:pPr>
              <w:jc w:val="both"/>
              <w:rPr>
                <w:rFonts w:ascii="Arial" w:hAnsi="Arial" w:cs="Arial"/>
                <w:sz w:val="20"/>
              </w:rPr>
            </w:pPr>
            <w:r w:rsidRPr="007E146D">
              <w:rPr>
                <w:rFonts w:ascii="Arial" w:hAnsi="Arial" w:cs="Arial"/>
                <w:sz w:val="20"/>
              </w:rPr>
              <w:t>The submission did not nominate an alternative comparator.</w:t>
            </w:r>
          </w:p>
        </w:tc>
      </w:tr>
      <w:tr w:rsidR="00A71CF4" w:rsidRPr="00447CFB" w:rsidTr="007E146D">
        <w:trPr>
          <w:trHeight w:val="671"/>
        </w:trPr>
        <w:tc>
          <w:tcPr>
            <w:tcW w:w="2127" w:type="dxa"/>
            <w:vMerge/>
          </w:tcPr>
          <w:p w:rsidR="00A71CF4" w:rsidRPr="007E146D" w:rsidRDefault="00A71CF4" w:rsidP="00CA0C65">
            <w:pPr>
              <w:rPr>
                <w:rFonts w:ascii="Arial" w:hAnsi="Arial" w:cs="Arial"/>
                <w:sz w:val="20"/>
              </w:rPr>
            </w:pPr>
          </w:p>
        </w:tc>
        <w:tc>
          <w:tcPr>
            <w:tcW w:w="2268" w:type="dxa"/>
            <w:vMerge/>
          </w:tcPr>
          <w:p w:rsidR="00A71CF4" w:rsidRPr="007E146D" w:rsidRDefault="00A71CF4" w:rsidP="00CA0C65">
            <w:pPr>
              <w:rPr>
                <w:rFonts w:ascii="Arial" w:hAnsi="Arial" w:cs="Arial"/>
                <w:sz w:val="20"/>
              </w:rPr>
            </w:pPr>
          </w:p>
        </w:tc>
        <w:tc>
          <w:tcPr>
            <w:tcW w:w="1842" w:type="dxa"/>
            <w:vMerge/>
          </w:tcPr>
          <w:p w:rsidR="00A71CF4" w:rsidRPr="007E146D" w:rsidRDefault="00A71CF4" w:rsidP="00CA0C65">
            <w:pPr>
              <w:rPr>
                <w:rFonts w:ascii="Arial" w:hAnsi="Arial" w:cs="Arial"/>
                <w:sz w:val="20"/>
              </w:rPr>
            </w:pPr>
          </w:p>
        </w:tc>
        <w:tc>
          <w:tcPr>
            <w:tcW w:w="3402" w:type="dxa"/>
          </w:tcPr>
          <w:p w:rsidR="00A71CF4" w:rsidRPr="007E146D" w:rsidRDefault="00A71CF4" w:rsidP="005948E2">
            <w:pPr>
              <w:pStyle w:val="ListBullet"/>
            </w:pPr>
            <w:r w:rsidRPr="007E146D">
              <w:t>Clinical claim:  Non-inferior comparat</w:t>
            </w:r>
            <w:r w:rsidR="007E146D">
              <w:t xml:space="preserve">ive effectiveness and superior </w:t>
            </w:r>
            <w:r w:rsidRPr="007E146D">
              <w:t>safety versus cyclosporin (November 2017 submission)</w:t>
            </w:r>
            <w:r w:rsidR="007E146D">
              <w:t>.</w:t>
            </w:r>
          </w:p>
        </w:tc>
        <w:tc>
          <w:tcPr>
            <w:tcW w:w="5245" w:type="dxa"/>
          </w:tcPr>
          <w:p w:rsidR="00A71CF4" w:rsidRPr="007E146D" w:rsidRDefault="00A71CF4" w:rsidP="00A71CF4">
            <w:pPr>
              <w:jc w:val="both"/>
              <w:rPr>
                <w:rFonts w:ascii="Arial" w:hAnsi="Arial" w:cs="Arial"/>
                <w:sz w:val="20"/>
              </w:rPr>
            </w:pPr>
            <w:r w:rsidRPr="007E146D">
              <w:rPr>
                <w:rFonts w:ascii="Arial" w:hAnsi="Arial" w:cs="Arial"/>
                <w:sz w:val="20"/>
              </w:rPr>
              <w:t>The PBAC previously considered at its November 2017 meeting that the claim of non-inferior efficacy was not well supported by the evidence presented in the submission, in particular noting the clinical heterogeneity of the trials included in the network meta-analysis (NMA). On balance, the PBAC considered the claim of non-inferior comparative effectiveness was likely to be reasonable.</w:t>
            </w:r>
          </w:p>
          <w:p w:rsidR="00A71CF4" w:rsidRPr="007E146D" w:rsidRDefault="00A71CF4" w:rsidP="00A71CF4">
            <w:pPr>
              <w:jc w:val="both"/>
              <w:rPr>
                <w:rFonts w:ascii="Arial" w:hAnsi="Arial" w:cs="Arial"/>
                <w:sz w:val="20"/>
              </w:rPr>
            </w:pPr>
          </w:p>
          <w:p w:rsidR="00A71CF4" w:rsidRPr="007E146D" w:rsidRDefault="00A71CF4" w:rsidP="00A71CF4">
            <w:pPr>
              <w:jc w:val="both"/>
              <w:rPr>
                <w:rFonts w:ascii="Arial" w:hAnsi="Arial" w:cs="Arial"/>
                <w:sz w:val="20"/>
              </w:rPr>
            </w:pPr>
            <w:r w:rsidRPr="007E146D">
              <w:rPr>
                <w:rFonts w:ascii="Arial" w:hAnsi="Arial" w:cs="Arial"/>
                <w:sz w:val="20"/>
              </w:rPr>
              <w:t>The PBAC previously considered at its November 2017 meeting that the claim of non-inferior safety in terms of adverse events was not reasonable and also considered the superiority claim for the safety profile overall was not well supported by the clinical evidence provided. However, noting the well-documented cumulative toxicity of cyclosporin and limitations of its therapeutic use in psoriasis to no more than two years, the PBAC considered the safety profile of apremilast was likely to be superior to cyclosporin.</w:t>
            </w:r>
          </w:p>
          <w:p w:rsidR="00A71CF4" w:rsidRPr="007E146D" w:rsidRDefault="00A71CF4" w:rsidP="00A71CF4">
            <w:pPr>
              <w:jc w:val="both"/>
              <w:rPr>
                <w:rFonts w:ascii="Arial" w:hAnsi="Arial" w:cs="Arial"/>
                <w:sz w:val="20"/>
              </w:rPr>
            </w:pPr>
          </w:p>
          <w:p w:rsidR="00A71CF4" w:rsidRDefault="007E146D" w:rsidP="00A71CF4">
            <w:pPr>
              <w:jc w:val="both"/>
              <w:rPr>
                <w:rFonts w:ascii="Arial" w:hAnsi="Arial" w:cs="Arial"/>
                <w:sz w:val="20"/>
              </w:rPr>
            </w:pPr>
            <w:r>
              <w:rPr>
                <w:rFonts w:ascii="Arial" w:hAnsi="Arial" w:cs="Arial"/>
                <w:sz w:val="20"/>
              </w:rPr>
              <w:t xml:space="preserve">The minor submission did not </w:t>
            </w:r>
            <w:r w:rsidR="00A71CF4" w:rsidRPr="007E146D">
              <w:rPr>
                <w:rFonts w:ascii="Arial" w:hAnsi="Arial" w:cs="Arial"/>
                <w:sz w:val="20"/>
              </w:rPr>
              <w:t>make a new clinical claim.</w:t>
            </w:r>
          </w:p>
          <w:p w:rsidR="00B216CD" w:rsidRDefault="00B216CD" w:rsidP="00A71CF4">
            <w:pPr>
              <w:jc w:val="both"/>
              <w:rPr>
                <w:rFonts w:ascii="Arial" w:hAnsi="Arial" w:cs="Arial"/>
                <w:sz w:val="20"/>
              </w:rPr>
            </w:pPr>
          </w:p>
          <w:p w:rsidR="00B216CD" w:rsidRPr="007E146D" w:rsidRDefault="00B216CD" w:rsidP="00A71CF4">
            <w:pPr>
              <w:jc w:val="both"/>
              <w:rPr>
                <w:rFonts w:ascii="Arial" w:hAnsi="Arial" w:cs="Arial"/>
                <w:sz w:val="20"/>
              </w:rPr>
            </w:pPr>
          </w:p>
        </w:tc>
      </w:tr>
      <w:tr w:rsidR="00A71CF4" w:rsidRPr="00447CFB" w:rsidTr="007E146D">
        <w:trPr>
          <w:trHeight w:val="374"/>
        </w:trPr>
        <w:tc>
          <w:tcPr>
            <w:tcW w:w="2127" w:type="dxa"/>
            <w:vMerge/>
          </w:tcPr>
          <w:p w:rsidR="00A71CF4" w:rsidRPr="00447CFB" w:rsidRDefault="00A71CF4" w:rsidP="00CA0C65">
            <w:pPr>
              <w:rPr>
                <w:rFonts w:ascii="Arial" w:hAnsi="Arial" w:cs="Arial"/>
                <w:sz w:val="20"/>
              </w:rPr>
            </w:pPr>
          </w:p>
        </w:tc>
        <w:tc>
          <w:tcPr>
            <w:tcW w:w="2268" w:type="dxa"/>
            <w:vMerge/>
          </w:tcPr>
          <w:p w:rsidR="00A71CF4" w:rsidRPr="00447CFB" w:rsidRDefault="00A71CF4" w:rsidP="00CA0C65">
            <w:pPr>
              <w:rPr>
                <w:rFonts w:ascii="Arial" w:hAnsi="Arial" w:cs="Arial"/>
                <w:sz w:val="20"/>
              </w:rPr>
            </w:pPr>
          </w:p>
        </w:tc>
        <w:tc>
          <w:tcPr>
            <w:tcW w:w="1842" w:type="dxa"/>
            <w:vMerge/>
          </w:tcPr>
          <w:p w:rsidR="00A71CF4" w:rsidRPr="00447CFB" w:rsidRDefault="00A71CF4" w:rsidP="00CA0C65">
            <w:pPr>
              <w:rPr>
                <w:rFonts w:ascii="Arial" w:hAnsi="Arial" w:cs="Arial"/>
                <w:sz w:val="20"/>
              </w:rPr>
            </w:pPr>
          </w:p>
        </w:tc>
        <w:tc>
          <w:tcPr>
            <w:tcW w:w="3402" w:type="dxa"/>
          </w:tcPr>
          <w:p w:rsidR="00A71CF4" w:rsidRPr="00A71CF4" w:rsidRDefault="00A71CF4" w:rsidP="00A71CF4">
            <w:pPr>
              <w:rPr>
                <w:rFonts w:ascii="Arial" w:hAnsi="Arial" w:cs="Arial"/>
                <w:snapToGrid w:val="0"/>
                <w:color w:val="000000"/>
                <w:sz w:val="20"/>
                <w:lang w:eastAsia="en-US"/>
              </w:rPr>
            </w:pPr>
            <w:r>
              <w:rPr>
                <w:rFonts w:ascii="Arial" w:hAnsi="Arial" w:cs="Arial"/>
                <w:color w:val="000000"/>
                <w:sz w:val="20"/>
              </w:rPr>
              <w:t>Economic claim:</w:t>
            </w:r>
            <w:r>
              <w:t xml:space="preserve"> </w:t>
            </w:r>
            <w:r w:rsidRPr="00A71CF4">
              <w:rPr>
                <w:rFonts w:ascii="Arial" w:hAnsi="Arial" w:cs="Arial"/>
                <w:snapToGrid w:val="0"/>
                <w:color w:val="000000"/>
                <w:sz w:val="20"/>
                <w:lang w:eastAsia="en-US"/>
              </w:rPr>
              <w:t>Cost-minimisation basis with cyclosporin using a risk-sharing arrangement (RSA) to achieve an average cost-minimised price per patient (November 2017 submission)</w:t>
            </w:r>
            <w:r w:rsidR="007E146D">
              <w:rPr>
                <w:rFonts w:ascii="Arial" w:hAnsi="Arial" w:cs="Arial"/>
                <w:snapToGrid w:val="0"/>
                <w:color w:val="000000"/>
                <w:sz w:val="20"/>
                <w:lang w:eastAsia="en-US"/>
              </w:rPr>
              <w:t>.</w:t>
            </w:r>
          </w:p>
          <w:p w:rsidR="00A71CF4" w:rsidRPr="00447CFB" w:rsidRDefault="00A71CF4" w:rsidP="005948E2">
            <w:pPr>
              <w:pStyle w:val="ListBullet"/>
            </w:pPr>
          </w:p>
        </w:tc>
        <w:tc>
          <w:tcPr>
            <w:tcW w:w="5245" w:type="dxa"/>
          </w:tcPr>
          <w:p w:rsidR="00A71CF4" w:rsidRPr="00A71CF4" w:rsidRDefault="00A71CF4" w:rsidP="00A71CF4">
            <w:pPr>
              <w:jc w:val="both"/>
              <w:rPr>
                <w:rFonts w:ascii="Arial" w:hAnsi="Arial" w:cs="Arial"/>
                <w:sz w:val="20"/>
              </w:rPr>
            </w:pPr>
            <w:r w:rsidRPr="00A71CF4">
              <w:rPr>
                <w:rFonts w:ascii="Arial" w:hAnsi="Arial" w:cs="Arial"/>
                <w:sz w:val="20"/>
              </w:rPr>
              <w:t>The PBAC previously considered at its November 2017 meeting that based on the uncertainty in the clinical data provided regarding non-inferior efficacy, but taking into account the reduced toxicity of apremilast compared to cyclosporin, the PBAC considered that a listing on a cost-minimisation basis (with offsets for reduced patient monitoring requirements) would likely be cost-effective for the purposes of the National Health Act 1953.</w:t>
            </w:r>
          </w:p>
          <w:p w:rsidR="00A71CF4" w:rsidRPr="00A71CF4" w:rsidRDefault="00A71CF4" w:rsidP="00A71CF4">
            <w:pPr>
              <w:jc w:val="both"/>
              <w:rPr>
                <w:rFonts w:ascii="Arial" w:hAnsi="Arial" w:cs="Arial"/>
                <w:sz w:val="20"/>
              </w:rPr>
            </w:pPr>
          </w:p>
          <w:p w:rsidR="00A71CF4" w:rsidRDefault="00A71CF4" w:rsidP="00A71CF4">
            <w:pPr>
              <w:jc w:val="both"/>
              <w:rPr>
                <w:rFonts w:ascii="Arial" w:hAnsi="Arial" w:cs="Arial"/>
                <w:sz w:val="20"/>
              </w:rPr>
            </w:pPr>
            <w:r w:rsidRPr="00A71CF4">
              <w:rPr>
                <w:rFonts w:ascii="Arial" w:hAnsi="Arial" w:cs="Arial"/>
                <w:sz w:val="20"/>
              </w:rPr>
              <w:t>The resubmission requested listing on a cost-minimisation basis with cyclosporin, achieved by means of an RSA proposal.</w:t>
            </w:r>
          </w:p>
        </w:tc>
      </w:tr>
      <w:tr w:rsidR="00A71CF4" w:rsidRPr="00447CFB" w:rsidTr="00855CF7">
        <w:trPr>
          <w:trHeight w:val="308"/>
        </w:trPr>
        <w:tc>
          <w:tcPr>
            <w:tcW w:w="2127" w:type="dxa"/>
            <w:vMerge/>
          </w:tcPr>
          <w:p w:rsidR="00A71CF4" w:rsidRPr="00447CFB" w:rsidRDefault="00A71CF4" w:rsidP="00CA0C65">
            <w:pPr>
              <w:rPr>
                <w:rFonts w:ascii="Arial" w:hAnsi="Arial" w:cs="Arial"/>
                <w:sz w:val="20"/>
              </w:rPr>
            </w:pPr>
          </w:p>
        </w:tc>
        <w:tc>
          <w:tcPr>
            <w:tcW w:w="2268" w:type="dxa"/>
            <w:vMerge/>
          </w:tcPr>
          <w:p w:rsidR="00A71CF4" w:rsidRPr="00447CFB" w:rsidRDefault="00A71CF4" w:rsidP="00CA0C65">
            <w:pPr>
              <w:rPr>
                <w:rFonts w:ascii="Arial" w:hAnsi="Arial" w:cs="Arial"/>
                <w:sz w:val="20"/>
              </w:rPr>
            </w:pPr>
          </w:p>
        </w:tc>
        <w:tc>
          <w:tcPr>
            <w:tcW w:w="1842" w:type="dxa"/>
            <w:vMerge/>
          </w:tcPr>
          <w:p w:rsidR="00A71CF4" w:rsidRPr="00447CFB" w:rsidRDefault="00A71CF4" w:rsidP="00CA0C65">
            <w:pPr>
              <w:rPr>
                <w:rFonts w:ascii="Arial" w:hAnsi="Arial" w:cs="Arial"/>
                <w:sz w:val="20"/>
              </w:rPr>
            </w:pPr>
          </w:p>
        </w:tc>
        <w:tc>
          <w:tcPr>
            <w:tcW w:w="3402" w:type="dxa"/>
          </w:tcPr>
          <w:p w:rsidR="007E146D" w:rsidRDefault="00A71CF4" w:rsidP="005948E2">
            <w:pPr>
              <w:pStyle w:val="ListBullet"/>
            </w:pPr>
            <w:r w:rsidRPr="00447CFB">
              <w:t>Sponsor’s comments:</w:t>
            </w:r>
          </w:p>
          <w:p w:rsidR="007E146D" w:rsidRPr="00447CFB" w:rsidRDefault="007E146D" w:rsidP="005948E2">
            <w:pPr>
              <w:pStyle w:val="ListBullet"/>
            </w:pPr>
          </w:p>
        </w:tc>
        <w:tc>
          <w:tcPr>
            <w:tcW w:w="5245" w:type="dxa"/>
          </w:tcPr>
          <w:p w:rsidR="00A71CF4" w:rsidRDefault="00855CF7" w:rsidP="00F61C70">
            <w:pPr>
              <w:jc w:val="both"/>
              <w:rPr>
                <w:rFonts w:ascii="Arial" w:hAnsi="Arial" w:cs="Arial"/>
                <w:sz w:val="20"/>
              </w:rPr>
            </w:pPr>
            <w:r>
              <w:rPr>
                <w:rFonts w:ascii="Arial" w:hAnsi="Arial" w:cs="Arial"/>
                <w:sz w:val="20"/>
              </w:rPr>
              <w:t>The sponsor had no comment.</w:t>
            </w:r>
          </w:p>
        </w:tc>
      </w:tr>
      <w:tr w:rsidR="00447CFB" w:rsidRPr="00447CFB" w:rsidTr="000057CB">
        <w:trPr>
          <w:cantSplit/>
          <w:trHeight w:val="435"/>
        </w:trPr>
        <w:tc>
          <w:tcPr>
            <w:tcW w:w="2127" w:type="dxa"/>
            <w:vMerge w:val="restart"/>
          </w:tcPr>
          <w:p w:rsidR="00447CFB" w:rsidRPr="00447CFB" w:rsidRDefault="00447CFB" w:rsidP="005524B8">
            <w:pPr>
              <w:rPr>
                <w:rFonts w:ascii="Arial" w:hAnsi="Arial" w:cs="Arial"/>
                <w:color w:val="000000"/>
                <w:sz w:val="20"/>
              </w:rPr>
            </w:pPr>
            <w:r w:rsidRPr="00447CFB">
              <w:rPr>
                <w:rFonts w:ascii="Arial" w:hAnsi="Arial" w:cs="Arial"/>
                <w:color w:val="000000"/>
                <w:sz w:val="20"/>
              </w:rPr>
              <w:lastRenderedPageBreak/>
              <w:t>ASFOTASE ALFA</w:t>
            </w:r>
          </w:p>
          <w:p w:rsidR="00447CFB" w:rsidRPr="00447CFB" w:rsidRDefault="00447CFB" w:rsidP="005524B8">
            <w:pPr>
              <w:rPr>
                <w:rFonts w:ascii="Arial" w:hAnsi="Arial" w:cs="Arial"/>
                <w:color w:val="000000"/>
                <w:sz w:val="20"/>
              </w:rPr>
            </w:pPr>
          </w:p>
          <w:p w:rsidR="00447CFB" w:rsidRPr="00447CFB" w:rsidRDefault="00447CFB" w:rsidP="005524B8">
            <w:pPr>
              <w:rPr>
                <w:rFonts w:ascii="Arial" w:hAnsi="Arial" w:cs="Arial"/>
                <w:color w:val="000000"/>
                <w:sz w:val="20"/>
              </w:rPr>
            </w:pPr>
            <w:r w:rsidRPr="00447CFB">
              <w:rPr>
                <w:rFonts w:ascii="Arial" w:hAnsi="Arial" w:cs="Arial"/>
                <w:color w:val="000000"/>
                <w:sz w:val="20"/>
              </w:rPr>
              <w:br w:type="page"/>
            </w:r>
            <w:r w:rsidRPr="00447CFB">
              <w:rPr>
                <w:rFonts w:ascii="Arial" w:hAnsi="Arial" w:cs="Arial"/>
                <w:color w:val="000000"/>
                <w:sz w:val="20"/>
              </w:rPr>
              <w:br w:type="page"/>
              <w:t>Injection 18 mg in 0.45 mL vial</w:t>
            </w:r>
          </w:p>
          <w:p w:rsidR="00447CFB" w:rsidRPr="00447CFB" w:rsidRDefault="00447CFB" w:rsidP="005524B8">
            <w:pPr>
              <w:rPr>
                <w:rFonts w:ascii="Arial" w:hAnsi="Arial" w:cs="Arial"/>
                <w:color w:val="000000"/>
                <w:sz w:val="20"/>
              </w:rPr>
            </w:pPr>
            <w:r w:rsidRPr="00447CFB">
              <w:rPr>
                <w:rFonts w:ascii="Arial" w:hAnsi="Arial" w:cs="Arial"/>
                <w:color w:val="000000"/>
                <w:sz w:val="20"/>
              </w:rPr>
              <w:br w:type="page"/>
              <w:t>Injection 28 mg in 0.7 mL vial</w:t>
            </w:r>
            <w:r w:rsidRPr="00447CFB">
              <w:rPr>
                <w:rFonts w:ascii="Arial" w:hAnsi="Arial" w:cs="Arial"/>
                <w:color w:val="000000"/>
                <w:sz w:val="20"/>
              </w:rPr>
              <w:br w:type="page"/>
            </w:r>
          </w:p>
          <w:p w:rsidR="00447CFB" w:rsidRPr="00447CFB" w:rsidRDefault="00447CFB" w:rsidP="005524B8">
            <w:pPr>
              <w:rPr>
                <w:rFonts w:ascii="Arial" w:hAnsi="Arial" w:cs="Arial"/>
                <w:color w:val="000000"/>
                <w:sz w:val="20"/>
              </w:rPr>
            </w:pPr>
            <w:r w:rsidRPr="00447CFB">
              <w:rPr>
                <w:rFonts w:ascii="Arial" w:hAnsi="Arial" w:cs="Arial"/>
                <w:color w:val="000000"/>
                <w:sz w:val="20"/>
              </w:rPr>
              <w:t>Injection 40 mg in 1 mL vial</w:t>
            </w:r>
          </w:p>
          <w:p w:rsidR="00447CFB" w:rsidRPr="00447CFB" w:rsidRDefault="00447CFB" w:rsidP="005524B8">
            <w:pPr>
              <w:rPr>
                <w:rFonts w:ascii="Arial" w:hAnsi="Arial" w:cs="Arial"/>
                <w:color w:val="000000"/>
                <w:sz w:val="20"/>
              </w:rPr>
            </w:pPr>
            <w:r w:rsidRPr="00447CFB">
              <w:rPr>
                <w:rFonts w:ascii="Arial" w:hAnsi="Arial" w:cs="Arial"/>
                <w:color w:val="000000"/>
                <w:sz w:val="20"/>
              </w:rPr>
              <w:br w:type="page"/>
              <w:t>Injection 80 mg in 0.8 mL vial</w:t>
            </w:r>
            <w:r w:rsidRPr="00447CFB">
              <w:rPr>
                <w:rFonts w:ascii="Arial" w:hAnsi="Arial" w:cs="Arial"/>
                <w:color w:val="000000"/>
                <w:sz w:val="20"/>
              </w:rPr>
              <w:br w:type="page"/>
            </w:r>
            <w:r w:rsidRPr="00447CFB">
              <w:rPr>
                <w:rFonts w:ascii="Arial" w:hAnsi="Arial" w:cs="Arial"/>
                <w:color w:val="000000"/>
                <w:sz w:val="20"/>
              </w:rPr>
              <w:br w:type="page"/>
            </w:r>
            <w:r w:rsidRPr="00447CFB">
              <w:rPr>
                <w:rFonts w:ascii="Arial" w:hAnsi="Arial" w:cs="Arial"/>
                <w:color w:val="000000"/>
                <w:sz w:val="20"/>
              </w:rPr>
              <w:br w:type="page"/>
            </w:r>
          </w:p>
          <w:p w:rsidR="00447CFB" w:rsidRPr="00447CFB" w:rsidRDefault="00447CFB" w:rsidP="005524B8">
            <w:pPr>
              <w:rPr>
                <w:rFonts w:ascii="Arial" w:hAnsi="Arial" w:cs="Arial"/>
                <w:color w:val="000000"/>
                <w:sz w:val="20"/>
              </w:rPr>
            </w:pPr>
          </w:p>
          <w:p w:rsidR="00447CFB" w:rsidRPr="00447CFB" w:rsidRDefault="00447CFB" w:rsidP="005524B8">
            <w:pPr>
              <w:rPr>
                <w:rFonts w:ascii="Arial" w:hAnsi="Arial" w:cs="Arial"/>
                <w:color w:val="000000"/>
                <w:sz w:val="20"/>
              </w:rPr>
            </w:pPr>
            <w:r w:rsidRPr="00447CFB">
              <w:rPr>
                <w:rFonts w:ascii="Arial" w:hAnsi="Arial" w:cs="Arial"/>
                <w:color w:val="000000"/>
                <w:sz w:val="20"/>
              </w:rPr>
              <w:t>Strensiq®</w:t>
            </w:r>
            <w:r w:rsidRPr="00447CFB">
              <w:rPr>
                <w:rFonts w:ascii="Arial" w:hAnsi="Arial" w:cs="Arial"/>
                <w:color w:val="000000"/>
                <w:sz w:val="20"/>
              </w:rPr>
              <w:br w:type="page"/>
            </w:r>
            <w:r w:rsidRPr="00447CFB">
              <w:rPr>
                <w:rFonts w:ascii="Arial" w:hAnsi="Arial" w:cs="Arial"/>
                <w:color w:val="000000"/>
                <w:sz w:val="20"/>
              </w:rPr>
              <w:br w:type="page"/>
            </w:r>
          </w:p>
          <w:p w:rsidR="00447CFB" w:rsidRPr="00447CFB" w:rsidRDefault="00447CFB" w:rsidP="005524B8">
            <w:pPr>
              <w:rPr>
                <w:rFonts w:ascii="Arial" w:hAnsi="Arial" w:cs="Arial"/>
                <w:color w:val="000000"/>
                <w:sz w:val="20"/>
              </w:rPr>
            </w:pPr>
          </w:p>
          <w:p w:rsidR="00447CFB" w:rsidRDefault="00447CFB" w:rsidP="005524B8">
            <w:pPr>
              <w:rPr>
                <w:rFonts w:ascii="Arial" w:hAnsi="Arial" w:cs="Arial"/>
                <w:color w:val="000000"/>
                <w:sz w:val="20"/>
              </w:rPr>
            </w:pPr>
            <w:r w:rsidRPr="00447CFB">
              <w:rPr>
                <w:rFonts w:ascii="Arial" w:hAnsi="Arial" w:cs="Arial"/>
                <w:color w:val="000000"/>
                <w:sz w:val="20"/>
              </w:rPr>
              <w:t>Alexion Pharmaceuticals Australasia Pty Ltd</w:t>
            </w:r>
          </w:p>
          <w:p w:rsidR="00447CFB" w:rsidRDefault="00447CFB" w:rsidP="005524B8">
            <w:pPr>
              <w:rPr>
                <w:rFonts w:ascii="Arial" w:hAnsi="Arial" w:cs="Arial"/>
                <w:color w:val="000000"/>
                <w:sz w:val="20"/>
              </w:rPr>
            </w:pPr>
          </w:p>
          <w:p w:rsidR="00FD1332" w:rsidRDefault="00447CFB" w:rsidP="005524B8">
            <w:pPr>
              <w:rPr>
                <w:rFonts w:ascii="Arial" w:hAnsi="Arial" w:cs="Arial"/>
                <w:color w:val="000000"/>
                <w:sz w:val="20"/>
              </w:rPr>
            </w:pPr>
            <w:r>
              <w:rPr>
                <w:rFonts w:ascii="Arial" w:hAnsi="Arial" w:cs="Arial"/>
                <w:color w:val="000000"/>
                <w:sz w:val="20"/>
              </w:rPr>
              <w:t>New listing</w:t>
            </w:r>
          </w:p>
          <w:p w:rsidR="00447CFB" w:rsidRPr="00447CFB" w:rsidRDefault="00447CFB" w:rsidP="005524B8">
            <w:pPr>
              <w:rPr>
                <w:rFonts w:ascii="Arial" w:hAnsi="Arial" w:cs="Arial"/>
                <w:color w:val="000000"/>
                <w:sz w:val="20"/>
              </w:rPr>
            </w:pPr>
            <w:r>
              <w:rPr>
                <w:rFonts w:ascii="Arial" w:hAnsi="Arial" w:cs="Arial"/>
                <w:color w:val="000000"/>
                <w:sz w:val="20"/>
              </w:rPr>
              <w:t>(Major Submission)</w:t>
            </w:r>
          </w:p>
        </w:tc>
        <w:tc>
          <w:tcPr>
            <w:tcW w:w="2268" w:type="dxa"/>
            <w:vMerge w:val="restart"/>
          </w:tcPr>
          <w:p w:rsidR="00447CFB" w:rsidRPr="007E146D" w:rsidRDefault="0051671E" w:rsidP="007E146D">
            <w:pPr>
              <w:keepNext/>
              <w:rPr>
                <w:rFonts w:ascii="Arial" w:hAnsi="Arial" w:cs="Arial"/>
                <w:sz w:val="20"/>
              </w:rPr>
            </w:pPr>
            <w:r w:rsidRPr="007E146D">
              <w:rPr>
                <w:rFonts w:ascii="Arial" w:hAnsi="Arial" w:cs="Arial"/>
                <w:sz w:val="20"/>
              </w:rPr>
              <w:t>Enzyme replacement therapy in patients with paediatric-onset hypophosphatasia</w:t>
            </w:r>
          </w:p>
        </w:tc>
        <w:tc>
          <w:tcPr>
            <w:tcW w:w="1842" w:type="dxa"/>
            <w:vMerge w:val="restart"/>
          </w:tcPr>
          <w:p w:rsidR="00A017D1" w:rsidRPr="00A017D1" w:rsidRDefault="00A017D1" w:rsidP="00A017D1">
            <w:pPr>
              <w:rPr>
                <w:rFonts w:ascii="Arial" w:hAnsi="Arial" w:cs="Arial"/>
                <w:sz w:val="20"/>
              </w:rPr>
            </w:pPr>
            <w:r w:rsidRPr="00A017D1">
              <w:rPr>
                <w:rFonts w:ascii="Arial" w:hAnsi="Arial" w:cs="Arial"/>
                <w:sz w:val="20"/>
              </w:rPr>
              <w:t>ASFOTASE ALFA</w:t>
            </w:r>
            <w:r>
              <w:rPr>
                <w:rFonts w:ascii="Arial" w:hAnsi="Arial" w:cs="Arial"/>
                <w:sz w:val="20"/>
              </w:rPr>
              <w:t xml:space="preserve"> </w:t>
            </w:r>
            <w:r w:rsidRPr="00A017D1">
              <w:rPr>
                <w:rFonts w:ascii="Arial" w:hAnsi="Arial" w:cs="Arial"/>
                <w:sz w:val="20"/>
              </w:rPr>
              <w:t>is not currently PBS listed.</w:t>
            </w:r>
          </w:p>
          <w:p w:rsidR="00447CFB" w:rsidRPr="00447CFB" w:rsidRDefault="00447CFB" w:rsidP="001D2FAD">
            <w:pPr>
              <w:rPr>
                <w:rFonts w:ascii="Arial" w:hAnsi="Arial" w:cs="Arial"/>
                <w:sz w:val="20"/>
                <w:highlight w:val="yellow"/>
              </w:rPr>
            </w:pPr>
          </w:p>
        </w:tc>
        <w:tc>
          <w:tcPr>
            <w:tcW w:w="3402" w:type="dxa"/>
          </w:tcPr>
          <w:p w:rsidR="00447CFB" w:rsidRPr="00447CFB" w:rsidRDefault="00447CFB" w:rsidP="001D2FAD">
            <w:pPr>
              <w:keepLines/>
              <w:rPr>
                <w:rFonts w:ascii="Arial" w:hAnsi="Arial" w:cs="Arial"/>
                <w:sz w:val="20"/>
              </w:rPr>
            </w:pPr>
            <w:r w:rsidRPr="00447CFB">
              <w:rPr>
                <w:rFonts w:ascii="Arial" w:hAnsi="Arial" w:cs="Arial"/>
                <w:color w:val="000000"/>
                <w:sz w:val="20"/>
              </w:rPr>
              <w:t xml:space="preserve">Resubmission to request a Section 100 (Highly Specialised Drugs Program) listing for the treatment of patients with </w:t>
            </w:r>
            <w:r w:rsidR="00FD1332" w:rsidRPr="00447CFB">
              <w:rPr>
                <w:rFonts w:ascii="Arial" w:hAnsi="Arial" w:cs="Arial"/>
                <w:color w:val="000000"/>
                <w:sz w:val="20"/>
              </w:rPr>
              <w:t>juvenile</w:t>
            </w:r>
            <w:r w:rsidRPr="00447CFB">
              <w:rPr>
                <w:rFonts w:ascii="Arial" w:hAnsi="Arial" w:cs="Arial"/>
                <w:color w:val="000000"/>
                <w:sz w:val="20"/>
              </w:rPr>
              <w:t xml:space="preserve"> onset HPP </w:t>
            </w:r>
            <w:r w:rsidR="00510EEE" w:rsidRPr="00510EEE">
              <w:rPr>
                <w:rFonts w:ascii="Arial" w:hAnsi="Arial" w:cs="Arial"/>
                <w:color w:val="000000"/>
                <w:sz w:val="20"/>
              </w:rPr>
              <w:t>(HPP; onset between the ages of 6 months and 17 years)</w:t>
            </w:r>
            <w:r w:rsidR="00510EEE">
              <w:rPr>
                <w:rFonts w:ascii="Arial" w:hAnsi="Arial" w:cs="Arial"/>
                <w:color w:val="000000"/>
                <w:sz w:val="20"/>
              </w:rPr>
              <w:t xml:space="preserve"> </w:t>
            </w:r>
            <w:r w:rsidRPr="00447CFB">
              <w:rPr>
                <w:rFonts w:ascii="Arial" w:hAnsi="Arial" w:cs="Arial"/>
                <w:color w:val="000000"/>
                <w:sz w:val="20"/>
              </w:rPr>
              <w:t>who meet certain conditions.</w:t>
            </w:r>
          </w:p>
        </w:tc>
        <w:tc>
          <w:tcPr>
            <w:tcW w:w="5245" w:type="dxa"/>
          </w:tcPr>
          <w:p w:rsidR="00447CFB" w:rsidRPr="00447CFB" w:rsidRDefault="00510EEE" w:rsidP="00510EEE">
            <w:pPr>
              <w:jc w:val="both"/>
              <w:rPr>
                <w:rFonts w:ascii="Arial" w:hAnsi="Arial" w:cs="Arial"/>
                <w:sz w:val="20"/>
                <w:highlight w:val="yellow"/>
              </w:rPr>
            </w:pPr>
            <w:r>
              <w:rPr>
                <w:rFonts w:ascii="Arial" w:hAnsi="Arial" w:cs="Arial"/>
                <w:color w:val="000000"/>
                <w:sz w:val="20"/>
              </w:rPr>
              <w:t xml:space="preserve">The PBAC did not recommend the requested Section 100 (Highly Specialised Drugs Program) listing of asfotase alfa </w:t>
            </w:r>
            <w:r>
              <w:rPr>
                <w:rFonts w:ascii="Arial" w:hAnsi="Arial" w:cs="Arial"/>
                <w:i/>
                <w:iCs/>
                <w:color w:val="000000"/>
                <w:sz w:val="20"/>
              </w:rPr>
              <w:t>rch</w:t>
            </w:r>
            <w:r>
              <w:rPr>
                <w:rFonts w:ascii="Arial" w:hAnsi="Arial" w:cs="Arial"/>
                <w:color w:val="000000"/>
                <w:sz w:val="20"/>
              </w:rPr>
              <w:t xml:space="preserve"> for the treatment of patients with juvenile-onset hypophosphatasia (HPP) on the basis of continuing uncertainty about the benefit of treatment in the juvenile onset population with this condition. However, the PBAC considered it is likely that there is a group of patients with HPP who would benefit most from treatment with asfotase alfa </w:t>
            </w:r>
            <w:r>
              <w:rPr>
                <w:rFonts w:ascii="Arial" w:hAnsi="Arial" w:cs="Arial"/>
                <w:i/>
                <w:iCs/>
                <w:color w:val="000000"/>
                <w:sz w:val="20"/>
              </w:rPr>
              <w:t>rch</w:t>
            </w:r>
            <w:r>
              <w:rPr>
                <w:rFonts w:ascii="Arial" w:hAnsi="Arial" w:cs="Arial"/>
                <w:color w:val="000000"/>
                <w:sz w:val="20"/>
              </w:rPr>
              <w:t xml:space="preserve"> but that it was not possible to identify that group on the basis of the information provided in the current submission. The PBAC considered that the submission presented a high and very uncertain incremental cost-effectiveness ratio (ICER).  The PBAC noted that asfotase alfa </w:t>
            </w:r>
            <w:r>
              <w:rPr>
                <w:rFonts w:ascii="Arial" w:hAnsi="Arial" w:cs="Arial"/>
                <w:i/>
                <w:iCs/>
                <w:color w:val="000000"/>
                <w:sz w:val="20"/>
              </w:rPr>
              <w:t>rch</w:t>
            </w:r>
            <w:r>
              <w:rPr>
                <w:rFonts w:ascii="Arial" w:hAnsi="Arial" w:cs="Arial"/>
                <w:color w:val="000000"/>
                <w:sz w:val="20"/>
              </w:rPr>
              <w:t xml:space="preserve"> cannot be considered for the Life Saving Drugs Program (LSDP) for the treatment of juvenile-onset hypophosphatasia without PBAC being satisfied that it is clinically effective, but not cost-effective. However, the PBAC noted that asfotase alfa </w:t>
            </w:r>
            <w:r>
              <w:rPr>
                <w:rFonts w:ascii="Arial" w:hAnsi="Arial" w:cs="Arial"/>
                <w:i/>
                <w:iCs/>
                <w:color w:val="000000"/>
                <w:sz w:val="20"/>
              </w:rPr>
              <w:t>rch</w:t>
            </w:r>
            <w:r>
              <w:rPr>
                <w:rFonts w:ascii="Arial" w:hAnsi="Arial" w:cs="Arial"/>
                <w:color w:val="000000"/>
                <w:sz w:val="20"/>
              </w:rPr>
              <w:t xml:space="preserve"> is currently being considered for inclusion in the LSDP for the treatment of the most severe forms of hypophosphatasia, perinatal- and infantile-onset disease.  </w:t>
            </w:r>
          </w:p>
        </w:tc>
      </w:tr>
      <w:tr w:rsidR="007D44F0" w:rsidRPr="00447CFB" w:rsidTr="007E146D">
        <w:trPr>
          <w:trHeight w:val="433"/>
        </w:trPr>
        <w:tc>
          <w:tcPr>
            <w:tcW w:w="2127" w:type="dxa"/>
            <w:vMerge/>
          </w:tcPr>
          <w:p w:rsidR="007D44F0" w:rsidRPr="00447CFB" w:rsidRDefault="007D44F0" w:rsidP="00DA535C">
            <w:pPr>
              <w:rPr>
                <w:rFonts w:ascii="Arial" w:hAnsi="Arial" w:cs="Arial"/>
                <w:sz w:val="20"/>
              </w:rPr>
            </w:pPr>
          </w:p>
        </w:tc>
        <w:tc>
          <w:tcPr>
            <w:tcW w:w="2268" w:type="dxa"/>
            <w:vMerge/>
          </w:tcPr>
          <w:p w:rsidR="007D44F0" w:rsidRPr="00447CFB" w:rsidRDefault="007D44F0" w:rsidP="00DA535C">
            <w:pPr>
              <w:rPr>
                <w:rFonts w:ascii="Arial" w:hAnsi="Arial" w:cs="Arial"/>
                <w:sz w:val="20"/>
              </w:rPr>
            </w:pPr>
          </w:p>
        </w:tc>
        <w:tc>
          <w:tcPr>
            <w:tcW w:w="1842" w:type="dxa"/>
            <w:vMerge/>
          </w:tcPr>
          <w:p w:rsidR="007D44F0" w:rsidRPr="00447CFB" w:rsidRDefault="007D44F0" w:rsidP="00DA535C">
            <w:pPr>
              <w:rPr>
                <w:rFonts w:ascii="Arial" w:hAnsi="Arial" w:cs="Arial"/>
                <w:sz w:val="20"/>
              </w:rPr>
            </w:pPr>
          </w:p>
        </w:tc>
        <w:tc>
          <w:tcPr>
            <w:tcW w:w="3402" w:type="dxa"/>
          </w:tcPr>
          <w:p w:rsidR="007D44F0" w:rsidRPr="00447CFB" w:rsidRDefault="007D44F0" w:rsidP="00011B57">
            <w:pPr>
              <w:pStyle w:val="ListBullet"/>
            </w:pPr>
            <w:r w:rsidRPr="00447CFB">
              <w:t>Comparator:</w:t>
            </w:r>
            <w:r w:rsidR="00510EEE">
              <w:t xml:space="preserve"> Best supportive care</w:t>
            </w:r>
          </w:p>
        </w:tc>
        <w:tc>
          <w:tcPr>
            <w:tcW w:w="5245" w:type="dxa"/>
            <w:shd w:val="clear" w:color="auto" w:fill="auto"/>
          </w:tcPr>
          <w:p w:rsidR="007D44F0" w:rsidRPr="00447CFB" w:rsidRDefault="00510EEE" w:rsidP="00F61C70">
            <w:pPr>
              <w:jc w:val="both"/>
              <w:rPr>
                <w:rFonts w:ascii="Arial" w:hAnsi="Arial" w:cs="Arial"/>
                <w:sz w:val="20"/>
                <w:highlight w:val="yellow"/>
              </w:rPr>
            </w:pPr>
            <w:r w:rsidRPr="00D4717B">
              <w:rPr>
                <w:rFonts w:ascii="Arial" w:hAnsi="Arial" w:cs="Arial"/>
                <w:sz w:val="20"/>
              </w:rPr>
              <w:t>Accepted</w:t>
            </w:r>
          </w:p>
        </w:tc>
      </w:tr>
      <w:tr w:rsidR="007D44F0" w:rsidRPr="00447CFB" w:rsidTr="007E146D">
        <w:trPr>
          <w:trHeight w:val="433"/>
        </w:trPr>
        <w:tc>
          <w:tcPr>
            <w:tcW w:w="2127" w:type="dxa"/>
            <w:vMerge/>
          </w:tcPr>
          <w:p w:rsidR="007D44F0" w:rsidRPr="00447CFB" w:rsidRDefault="007D44F0" w:rsidP="00DA535C">
            <w:pPr>
              <w:rPr>
                <w:rFonts w:ascii="Arial" w:hAnsi="Arial" w:cs="Arial"/>
                <w:sz w:val="20"/>
              </w:rPr>
            </w:pPr>
          </w:p>
        </w:tc>
        <w:tc>
          <w:tcPr>
            <w:tcW w:w="2268" w:type="dxa"/>
            <w:vMerge/>
          </w:tcPr>
          <w:p w:rsidR="007D44F0" w:rsidRPr="00447CFB" w:rsidRDefault="007D44F0" w:rsidP="00DA535C">
            <w:pPr>
              <w:rPr>
                <w:rFonts w:ascii="Arial" w:hAnsi="Arial" w:cs="Arial"/>
                <w:sz w:val="20"/>
              </w:rPr>
            </w:pPr>
          </w:p>
        </w:tc>
        <w:tc>
          <w:tcPr>
            <w:tcW w:w="1842" w:type="dxa"/>
            <w:vMerge/>
          </w:tcPr>
          <w:p w:rsidR="007D44F0" w:rsidRPr="00447CFB" w:rsidRDefault="007D44F0" w:rsidP="00DA535C">
            <w:pPr>
              <w:rPr>
                <w:rFonts w:ascii="Arial" w:hAnsi="Arial" w:cs="Arial"/>
                <w:sz w:val="20"/>
              </w:rPr>
            </w:pPr>
          </w:p>
        </w:tc>
        <w:tc>
          <w:tcPr>
            <w:tcW w:w="3402" w:type="dxa"/>
          </w:tcPr>
          <w:p w:rsidR="007D44F0" w:rsidRPr="00447CFB" w:rsidRDefault="00510EEE" w:rsidP="00011B57">
            <w:pPr>
              <w:pStyle w:val="ListBullet"/>
            </w:pPr>
            <w:r w:rsidRPr="00510EEE">
              <w:t>Clinical claim:  Superior effectiveness and non-inferior safety compared with best supportive care.</w:t>
            </w:r>
          </w:p>
        </w:tc>
        <w:tc>
          <w:tcPr>
            <w:tcW w:w="5245" w:type="dxa"/>
          </w:tcPr>
          <w:p w:rsidR="007D44F0" w:rsidRPr="00510EEE" w:rsidRDefault="00510EEE" w:rsidP="00F61C70">
            <w:pPr>
              <w:jc w:val="both"/>
              <w:rPr>
                <w:rFonts w:ascii="Arial" w:hAnsi="Arial" w:cs="Arial"/>
                <w:color w:val="000000"/>
                <w:sz w:val="20"/>
              </w:rPr>
            </w:pPr>
            <w:r>
              <w:rPr>
                <w:rFonts w:ascii="Arial" w:hAnsi="Arial" w:cs="Arial"/>
                <w:color w:val="000000"/>
                <w:sz w:val="20"/>
              </w:rPr>
              <w:t xml:space="preserve">The PBAC did not accept that asfotase alfa </w:t>
            </w:r>
            <w:r>
              <w:rPr>
                <w:rFonts w:ascii="Arial" w:hAnsi="Arial" w:cs="Arial"/>
                <w:i/>
                <w:iCs/>
                <w:color w:val="000000"/>
                <w:sz w:val="20"/>
              </w:rPr>
              <w:t xml:space="preserve">rch </w:t>
            </w:r>
            <w:r>
              <w:rPr>
                <w:rFonts w:ascii="Arial" w:hAnsi="Arial" w:cs="Arial"/>
                <w:color w:val="000000"/>
                <w:sz w:val="20"/>
              </w:rPr>
              <w:t>demonstrated superior effectiveness and non-inferior safety compared with best supportive care.</w:t>
            </w:r>
            <w:r>
              <w:rPr>
                <w:rFonts w:ascii="Calibri" w:hAnsi="Calibri" w:cs="Arial"/>
                <w:color w:val="000000"/>
              </w:rPr>
              <w:t xml:space="preserve"> </w:t>
            </w:r>
            <w:r>
              <w:rPr>
                <w:rFonts w:ascii="Arial" w:hAnsi="Arial" w:cs="Arial"/>
                <w:color w:val="000000"/>
                <w:sz w:val="20"/>
              </w:rPr>
              <w:t xml:space="preserve">The PBAC noted that no new clinical evidence was provided and the submission relied on one head-to-head randomised trial comparing asfotase alfa </w:t>
            </w:r>
            <w:r>
              <w:rPr>
                <w:rFonts w:ascii="Arial" w:hAnsi="Arial" w:cs="Arial"/>
                <w:i/>
                <w:iCs/>
                <w:color w:val="000000"/>
                <w:sz w:val="20"/>
              </w:rPr>
              <w:t>rch</w:t>
            </w:r>
            <w:r>
              <w:rPr>
                <w:rFonts w:ascii="Arial" w:hAnsi="Arial" w:cs="Arial"/>
                <w:color w:val="000000"/>
                <w:sz w:val="20"/>
              </w:rPr>
              <w:t xml:space="preserve"> (n=13) with best supportive care (n=6), two supplementary non-randomised studies and a retrospective epidemiological review of patients receiving BSC. As with the original submission the PBAC considered the clinical evidence presented did not provide a strong estimate of the size of the benefit or a good indication of the likely variation </w:t>
            </w:r>
            <w:r>
              <w:rPr>
                <w:rFonts w:ascii="Arial" w:hAnsi="Arial" w:cs="Arial"/>
                <w:color w:val="000000"/>
                <w:sz w:val="20"/>
              </w:rPr>
              <w:lastRenderedPageBreak/>
              <w:t xml:space="preserve">in the effect of treatment of asfotase alfa </w:t>
            </w:r>
            <w:r>
              <w:rPr>
                <w:rFonts w:ascii="Arial" w:hAnsi="Arial" w:cs="Arial"/>
                <w:i/>
                <w:iCs/>
                <w:color w:val="000000"/>
                <w:sz w:val="20"/>
              </w:rPr>
              <w:t>rch</w:t>
            </w:r>
            <w:r>
              <w:rPr>
                <w:rFonts w:ascii="Arial" w:hAnsi="Arial" w:cs="Arial"/>
                <w:color w:val="000000"/>
                <w:sz w:val="20"/>
              </w:rPr>
              <w:t xml:space="preserve"> in the juvenile-onset HPP population.</w:t>
            </w:r>
          </w:p>
        </w:tc>
      </w:tr>
      <w:tr w:rsidR="007D44F0" w:rsidRPr="00447CFB" w:rsidTr="007E146D">
        <w:trPr>
          <w:trHeight w:val="433"/>
        </w:trPr>
        <w:tc>
          <w:tcPr>
            <w:tcW w:w="2127" w:type="dxa"/>
            <w:vMerge/>
          </w:tcPr>
          <w:p w:rsidR="007D44F0" w:rsidRPr="00447CFB" w:rsidRDefault="007D44F0" w:rsidP="00DA535C">
            <w:pPr>
              <w:rPr>
                <w:rFonts w:ascii="Arial" w:hAnsi="Arial" w:cs="Arial"/>
                <w:sz w:val="20"/>
              </w:rPr>
            </w:pPr>
          </w:p>
        </w:tc>
        <w:tc>
          <w:tcPr>
            <w:tcW w:w="2268" w:type="dxa"/>
            <w:vMerge/>
          </w:tcPr>
          <w:p w:rsidR="007D44F0" w:rsidRPr="00447CFB" w:rsidRDefault="007D44F0" w:rsidP="00DA535C">
            <w:pPr>
              <w:rPr>
                <w:rFonts w:ascii="Arial" w:hAnsi="Arial" w:cs="Arial"/>
                <w:sz w:val="20"/>
              </w:rPr>
            </w:pPr>
          </w:p>
        </w:tc>
        <w:tc>
          <w:tcPr>
            <w:tcW w:w="1842" w:type="dxa"/>
            <w:vMerge/>
          </w:tcPr>
          <w:p w:rsidR="007D44F0" w:rsidRPr="00447CFB" w:rsidRDefault="007D44F0" w:rsidP="00DA535C">
            <w:pPr>
              <w:rPr>
                <w:rFonts w:ascii="Arial" w:hAnsi="Arial" w:cs="Arial"/>
                <w:sz w:val="20"/>
              </w:rPr>
            </w:pPr>
          </w:p>
        </w:tc>
        <w:tc>
          <w:tcPr>
            <w:tcW w:w="3402" w:type="dxa"/>
          </w:tcPr>
          <w:p w:rsidR="007D44F0" w:rsidRPr="00510EEE" w:rsidRDefault="00510EEE" w:rsidP="00510EEE">
            <w:pPr>
              <w:rPr>
                <w:rFonts w:ascii="Arial" w:hAnsi="Arial" w:cs="Arial"/>
                <w:color w:val="000000"/>
                <w:sz w:val="20"/>
              </w:rPr>
            </w:pPr>
            <w:r>
              <w:rPr>
                <w:rFonts w:ascii="Arial" w:hAnsi="Arial" w:cs="Arial"/>
                <w:color w:val="000000"/>
                <w:sz w:val="20"/>
              </w:rPr>
              <w:t xml:space="preserve">Economic claim: The submission presented a cost-utility analysis comparing asfotase alfa </w:t>
            </w:r>
            <w:r>
              <w:rPr>
                <w:rFonts w:ascii="Arial" w:hAnsi="Arial" w:cs="Arial"/>
                <w:i/>
                <w:iCs/>
                <w:color w:val="000000"/>
                <w:sz w:val="20"/>
              </w:rPr>
              <w:t>rch</w:t>
            </w:r>
            <w:r>
              <w:rPr>
                <w:rFonts w:ascii="Arial" w:hAnsi="Arial" w:cs="Arial"/>
                <w:color w:val="000000"/>
                <w:sz w:val="20"/>
              </w:rPr>
              <w:t xml:space="preserve"> and best supportive care using the 6MWT.</w:t>
            </w:r>
          </w:p>
        </w:tc>
        <w:tc>
          <w:tcPr>
            <w:tcW w:w="5245" w:type="dxa"/>
          </w:tcPr>
          <w:p w:rsidR="007D44F0" w:rsidRDefault="00510EEE" w:rsidP="00510EEE">
            <w:pPr>
              <w:jc w:val="both"/>
              <w:rPr>
                <w:rFonts w:ascii="Arial" w:hAnsi="Arial" w:cs="Arial"/>
                <w:color w:val="000000"/>
                <w:sz w:val="20"/>
              </w:rPr>
            </w:pPr>
            <w:r>
              <w:rPr>
                <w:rFonts w:ascii="Arial" w:hAnsi="Arial" w:cs="Arial"/>
                <w:color w:val="000000"/>
                <w:sz w:val="20"/>
              </w:rPr>
              <w:t xml:space="preserve">The PBAC considered that the incremental cost-effectiveness ratio (ICER) presented by the submission was unacceptably high and very uncertain. </w:t>
            </w:r>
          </w:p>
          <w:p w:rsidR="00855CF7" w:rsidRDefault="00855CF7" w:rsidP="00510EEE">
            <w:pPr>
              <w:jc w:val="both"/>
              <w:rPr>
                <w:rFonts w:ascii="Arial" w:hAnsi="Arial" w:cs="Arial"/>
                <w:color w:val="000000"/>
                <w:sz w:val="20"/>
              </w:rPr>
            </w:pPr>
          </w:p>
          <w:p w:rsidR="00510EEE" w:rsidRPr="00510EEE" w:rsidRDefault="00510EEE" w:rsidP="00510EEE">
            <w:pPr>
              <w:jc w:val="both"/>
              <w:rPr>
                <w:rFonts w:ascii="Arial" w:hAnsi="Arial" w:cs="Arial"/>
                <w:color w:val="000000"/>
                <w:sz w:val="20"/>
              </w:rPr>
            </w:pPr>
            <w:r>
              <w:rPr>
                <w:rFonts w:ascii="Arial" w:hAnsi="Arial" w:cs="Arial"/>
                <w:color w:val="000000"/>
                <w:sz w:val="20"/>
              </w:rPr>
              <w:t>The PBAC again noted the basis of the economic model was improvement in the six minute walk test (6MWT)</w:t>
            </w:r>
            <w:r>
              <w:rPr>
                <w:rFonts w:ascii="Calibri" w:hAnsi="Calibri" w:cs="Arial"/>
                <w:color w:val="000000"/>
              </w:rPr>
              <w:t xml:space="preserve">. </w:t>
            </w:r>
            <w:r>
              <w:rPr>
                <w:rFonts w:ascii="Arial" w:hAnsi="Arial" w:cs="Arial"/>
                <w:color w:val="000000"/>
                <w:sz w:val="20"/>
              </w:rPr>
              <w:t xml:space="preserve">The PBAC considered this was not reasonable as there were no statistically significant differences observed between groups for this outcome in the randomised trial at 24 weeks.  As for the previous submission, 6MWT may not be an acceptable surrogate outcome for patients with juvenile-onset HPP, particularly for those aged less than 5 years where 6MWT was not (and could not be) assessed in the trial or study. Further, the relationship between changes in 6MWT distance and changes in disease state severity was unclear as some symptoms experienced by patients with HPP are not related to the endurance measured by the 6MWT. </w:t>
            </w:r>
          </w:p>
        </w:tc>
      </w:tr>
      <w:tr w:rsidR="007D44F0" w:rsidRPr="00447CFB" w:rsidTr="007E146D">
        <w:trPr>
          <w:trHeight w:val="433"/>
        </w:trPr>
        <w:tc>
          <w:tcPr>
            <w:tcW w:w="2127" w:type="dxa"/>
            <w:vMerge/>
          </w:tcPr>
          <w:p w:rsidR="007D44F0" w:rsidRPr="00447CFB" w:rsidRDefault="007D44F0" w:rsidP="00DA535C">
            <w:pPr>
              <w:rPr>
                <w:rFonts w:ascii="Arial" w:hAnsi="Arial" w:cs="Arial"/>
                <w:sz w:val="20"/>
              </w:rPr>
            </w:pPr>
          </w:p>
        </w:tc>
        <w:tc>
          <w:tcPr>
            <w:tcW w:w="2268" w:type="dxa"/>
            <w:vMerge/>
          </w:tcPr>
          <w:p w:rsidR="007D44F0" w:rsidRPr="00447CFB" w:rsidRDefault="007D44F0" w:rsidP="00DA535C">
            <w:pPr>
              <w:rPr>
                <w:rFonts w:ascii="Arial" w:hAnsi="Arial" w:cs="Arial"/>
                <w:sz w:val="20"/>
              </w:rPr>
            </w:pPr>
          </w:p>
        </w:tc>
        <w:tc>
          <w:tcPr>
            <w:tcW w:w="1842" w:type="dxa"/>
            <w:vMerge/>
          </w:tcPr>
          <w:p w:rsidR="007D44F0" w:rsidRPr="00447CFB" w:rsidRDefault="007D44F0" w:rsidP="00DA535C">
            <w:pPr>
              <w:rPr>
                <w:rFonts w:ascii="Arial" w:hAnsi="Arial" w:cs="Arial"/>
                <w:sz w:val="20"/>
              </w:rPr>
            </w:pPr>
          </w:p>
        </w:tc>
        <w:tc>
          <w:tcPr>
            <w:tcW w:w="3402" w:type="dxa"/>
          </w:tcPr>
          <w:p w:rsidR="007D44F0" w:rsidRPr="004D3707" w:rsidRDefault="007D44F0" w:rsidP="001D2FAD">
            <w:pPr>
              <w:pStyle w:val="ListBullet"/>
            </w:pPr>
            <w:r w:rsidRPr="004D3707">
              <w:t>Sponsor’s comments:</w:t>
            </w:r>
          </w:p>
          <w:p w:rsidR="00062B17" w:rsidRPr="004D3707" w:rsidRDefault="00062B17" w:rsidP="001D2FAD">
            <w:pPr>
              <w:pStyle w:val="ListBullet"/>
            </w:pPr>
          </w:p>
          <w:p w:rsidR="007D44F0" w:rsidRPr="004D3707" w:rsidRDefault="007D44F0" w:rsidP="00DA535C">
            <w:pPr>
              <w:pStyle w:val="ListBullet"/>
            </w:pPr>
          </w:p>
        </w:tc>
        <w:tc>
          <w:tcPr>
            <w:tcW w:w="5245" w:type="dxa"/>
          </w:tcPr>
          <w:p w:rsidR="007D44F0" w:rsidRPr="004D3707" w:rsidRDefault="004D3707" w:rsidP="00A71CF4">
            <w:pPr>
              <w:jc w:val="both"/>
              <w:rPr>
                <w:rFonts w:ascii="Arial" w:hAnsi="Arial" w:cs="Arial"/>
                <w:sz w:val="20"/>
                <w:highlight w:val="yellow"/>
              </w:rPr>
            </w:pPr>
            <w:r w:rsidRPr="004D3707">
              <w:rPr>
                <w:rFonts w:ascii="Arial" w:hAnsi="Arial" w:cs="Arial"/>
                <w:sz w:val="20"/>
              </w:rPr>
              <w:t xml:space="preserve">Alexion is disappointed that a therapy which will address a clear unmet medical need is not been made available to juvenile-onset HPP patients with severe disability. Alexion nevertheless remains committed to work in partnership with the PBAC to find a workable solution to provide access to subsidised </w:t>
            </w:r>
            <w:proofErr w:type="spellStart"/>
            <w:r w:rsidRPr="004D3707">
              <w:rPr>
                <w:rFonts w:ascii="Arial" w:hAnsi="Arial" w:cs="Arial"/>
                <w:sz w:val="20"/>
              </w:rPr>
              <w:t>asfotase</w:t>
            </w:r>
            <w:proofErr w:type="spellEnd"/>
            <w:r w:rsidRPr="004D3707">
              <w:rPr>
                <w:rFonts w:ascii="Arial" w:hAnsi="Arial" w:cs="Arial"/>
                <w:sz w:val="20"/>
              </w:rPr>
              <w:t xml:space="preserve"> alfa for these patients.</w:t>
            </w:r>
          </w:p>
        </w:tc>
      </w:tr>
      <w:tr w:rsidR="002D5215" w:rsidRPr="00447CFB" w:rsidTr="000057CB">
        <w:trPr>
          <w:cantSplit/>
          <w:trHeight w:val="435"/>
        </w:trPr>
        <w:tc>
          <w:tcPr>
            <w:tcW w:w="2127" w:type="dxa"/>
            <w:vMerge w:val="restart"/>
          </w:tcPr>
          <w:p w:rsidR="00CB2370" w:rsidRPr="00447CFB" w:rsidRDefault="00CB2370" w:rsidP="00CB2370">
            <w:pPr>
              <w:contextualSpacing/>
              <w:rPr>
                <w:rFonts w:ascii="Arial" w:hAnsi="Arial" w:cs="Arial"/>
                <w:sz w:val="20"/>
              </w:rPr>
            </w:pPr>
            <w:r w:rsidRPr="00447CFB">
              <w:rPr>
                <w:rFonts w:ascii="Arial" w:hAnsi="Arial" w:cs="Arial"/>
                <w:sz w:val="20"/>
              </w:rPr>
              <w:t>CLADRIBINE</w:t>
            </w:r>
          </w:p>
          <w:p w:rsidR="00447CFB" w:rsidRPr="00447CFB" w:rsidRDefault="00447CFB" w:rsidP="00CB2370">
            <w:pPr>
              <w:contextualSpacing/>
              <w:rPr>
                <w:rFonts w:ascii="Arial" w:hAnsi="Arial" w:cs="Arial"/>
                <w:color w:val="000000"/>
                <w:sz w:val="20"/>
              </w:rPr>
            </w:pPr>
          </w:p>
          <w:p w:rsidR="002D5215" w:rsidRPr="00447CFB" w:rsidRDefault="00447CFB" w:rsidP="00CB2370">
            <w:pPr>
              <w:contextualSpacing/>
              <w:rPr>
                <w:rFonts w:ascii="Arial" w:hAnsi="Arial" w:cs="Arial"/>
                <w:color w:val="000000"/>
                <w:sz w:val="20"/>
              </w:rPr>
            </w:pPr>
            <w:r w:rsidRPr="00447CFB">
              <w:rPr>
                <w:rFonts w:ascii="Arial" w:hAnsi="Arial" w:cs="Arial"/>
                <w:color w:val="000000"/>
                <w:sz w:val="20"/>
              </w:rPr>
              <w:t>Tablet 10 mg</w:t>
            </w:r>
            <w:r w:rsidRPr="00447CFB">
              <w:rPr>
                <w:rFonts w:ascii="Arial" w:hAnsi="Arial" w:cs="Arial"/>
                <w:color w:val="000000"/>
                <w:sz w:val="20"/>
              </w:rPr>
              <w:br/>
            </w:r>
            <w:r w:rsidRPr="00447CFB">
              <w:rPr>
                <w:rFonts w:ascii="Arial" w:hAnsi="Arial" w:cs="Arial"/>
                <w:color w:val="000000"/>
                <w:sz w:val="20"/>
              </w:rPr>
              <w:br/>
              <w:t>Mavenclad®</w:t>
            </w:r>
            <w:r w:rsidRPr="00447CFB">
              <w:rPr>
                <w:rFonts w:ascii="Arial" w:hAnsi="Arial" w:cs="Arial"/>
                <w:color w:val="000000"/>
                <w:sz w:val="20"/>
              </w:rPr>
              <w:br/>
            </w:r>
            <w:r w:rsidRPr="00447CFB">
              <w:rPr>
                <w:rFonts w:ascii="Arial" w:hAnsi="Arial" w:cs="Arial"/>
                <w:color w:val="000000"/>
                <w:sz w:val="20"/>
              </w:rPr>
              <w:br/>
              <w:t>Merck Serono Australia Pty Ltd</w:t>
            </w:r>
          </w:p>
          <w:p w:rsidR="00447CFB" w:rsidRPr="00447CFB" w:rsidRDefault="00447CFB" w:rsidP="00CB2370">
            <w:pPr>
              <w:contextualSpacing/>
              <w:rPr>
                <w:rFonts w:ascii="Arial" w:hAnsi="Arial" w:cs="Arial"/>
                <w:color w:val="000000"/>
                <w:sz w:val="20"/>
              </w:rPr>
            </w:pPr>
          </w:p>
          <w:p w:rsidR="00BA3A69" w:rsidRDefault="00447CFB" w:rsidP="00CB2370">
            <w:pPr>
              <w:contextualSpacing/>
              <w:rPr>
                <w:rFonts w:ascii="Arial" w:hAnsi="Arial" w:cs="Arial"/>
                <w:color w:val="000000"/>
                <w:sz w:val="20"/>
              </w:rPr>
            </w:pPr>
            <w:r w:rsidRPr="00447CFB">
              <w:rPr>
                <w:rFonts w:ascii="Arial" w:hAnsi="Arial" w:cs="Arial"/>
                <w:color w:val="000000"/>
                <w:sz w:val="20"/>
              </w:rPr>
              <w:t>New listing</w:t>
            </w:r>
          </w:p>
          <w:p w:rsidR="00447CFB" w:rsidRPr="00447CFB" w:rsidRDefault="00447CFB" w:rsidP="00CB2370">
            <w:pPr>
              <w:contextualSpacing/>
              <w:rPr>
                <w:rFonts w:ascii="Arial" w:hAnsi="Arial" w:cs="Arial"/>
                <w:sz w:val="20"/>
                <w:highlight w:val="yellow"/>
              </w:rPr>
            </w:pPr>
            <w:r w:rsidRPr="00447CFB">
              <w:rPr>
                <w:rFonts w:ascii="Arial" w:hAnsi="Arial" w:cs="Arial"/>
                <w:color w:val="000000"/>
                <w:sz w:val="20"/>
              </w:rPr>
              <w:t>(Minor Submission)</w:t>
            </w:r>
          </w:p>
        </w:tc>
        <w:tc>
          <w:tcPr>
            <w:tcW w:w="2268" w:type="dxa"/>
            <w:vMerge w:val="restart"/>
          </w:tcPr>
          <w:p w:rsidR="005F5AFB" w:rsidRPr="005F5AFB" w:rsidRDefault="005F5AFB" w:rsidP="005F5AFB">
            <w:pPr>
              <w:rPr>
                <w:rFonts w:ascii="Arial" w:hAnsi="Arial" w:cs="Arial"/>
                <w:sz w:val="20"/>
              </w:rPr>
            </w:pPr>
            <w:r w:rsidRPr="005F5AFB">
              <w:rPr>
                <w:rFonts w:ascii="Arial" w:hAnsi="Arial" w:cs="Arial"/>
                <w:sz w:val="20"/>
              </w:rPr>
              <w:lastRenderedPageBreak/>
              <w:t xml:space="preserve">Indication is for the treatment of relapsing-remitting multiple sclerosis (RRMS) to reduce the frequency of clinical relapses and to delay the progression of physical </w:t>
            </w:r>
            <w:r w:rsidRPr="005F5AFB">
              <w:rPr>
                <w:rFonts w:ascii="Arial" w:hAnsi="Arial" w:cs="Arial"/>
                <w:sz w:val="20"/>
              </w:rPr>
              <w:lastRenderedPageBreak/>
              <w:t>disability. Following completion of the 2 treatment courses, no further cladribine treatment is required in years 3 and 4.</w:t>
            </w:r>
          </w:p>
          <w:p w:rsidR="005F5AFB" w:rsidRPr="00447CFB" w:rsidRDefault="005F5AFB" w:rsidP="005F5AFB">
            <w:pPr>
              <w:rPr>
                <w:rFonts w:ascii="Arial" w:hAnsi="Arial" w:cs="Arial"/>
                <w:sz w:val="20"/>
                <w:highlight w:val="yellow"/>
              </w:rPr>
            </w:pPr>
            <w:r w:rsidRPr="005F5AFB">
              <w:rPr>
                <w:rFonts w:ascii="Arial" w:hAnsi="Arial" w:cs="Arial"/>
                <w:sz w:val="20"/>
              </w:rPr>
              <w:t>Re-initiation of therapy after year 4 has not been studied.</w:t>
            </w:r>
          </w:p>
        </w:tc>
        <w:tc>
          <w:tcPr>
            <w:tcW w:w="1842" w:type="dxa"/>
            <w:vMerge w:val="restart"/>
          </w:tcPr>
          <w:p w:rsidR="002D5215" w:rsidRPr="00447CFB" w:rsidRDefault="00096AEE" w:rsidP="007001F5">
            <w:pPr>
              <w:rPr>
                <w:rFonts w:ascii="Arial" w:hAnsi="Arial" w:cs="Arial"/>
                <w:sz w:val="20"/>
                <w:highlight w:val="yellow"/>
              </w:rPr>
            </w:pPr>
            <w:r w:rsidRPr="007E146D">
              <w:rPr>
                <w:rFonts w:ascii="Arial" w:hAnsi="Arial" w:cs="Arial"/>
                <w:sz w:val="20"/>
              </w:rPr>
              <w:lastRenderedPageBreak/>
              <w:t>Cladribine</w:t>
            </w:r>
            <w:r w:rsidR="00EC5E1E" w:rsidRPr="007E146D">
              <w:rPr>
                <w:rFonts w:ascii="Arial" w:hAnsi="Arial" w:cs="Arial"/>
                <w:sz w:val="20"/>
              </w:rPr>
              <w:t xml:space="preserve"> tablets are</w:t>
            </w:r>
            <w:r w:rsidR="005F5AFB" w:rsidRPr="007E146D">
              <w:rPr>
                <w:rFonts w:ascii="Arial" w:hAnsi="Arial" w:cs="Arial"/>
                <w:sz w:val="20"/>
              </w:rPr>
              <w:t xml:space="preserve"> not currently PBS listed.</w:t>
            </w:r>
          </w:p>
        </w:tc>
        <w:tc>
          <w:tcPr>
            <w:tcW w:w="3402" w:type="dxa"/>
          </w:tcPr>
          <w:p w:rsidR="002D5215" w:rsidRPr="00447CFB" w:rsidRDefault="00BA3A69" w:rsidP="00011B57">
            <w:pPr>
              <w:rPr>
                <w:rFonts w:ascii="Arial" w:hAnsi="Arial" w:cs="Arial"/>
                <w:color w:val="000000"/>
                <w:sz w:val="20"/>
              </w:rPr>
            </w:pPr>
            <w:r w:rsidRPr="00BA3A69">
              <w:rPr>
                <w:rFonts w:ascii="Arial" w:hAnsi="Arial" w:cs="Arial"/>
                <w:color w:val="000000"/>
                <w:sz w:val="20"/>
              </w:rPr>
              <w:t xml:space="preserve">Resubmission to request an Authority Required listing for the treatment of </w:t>
            </w:r>
            <w:r w:rsidR="00297A0B">
              <w:rPr>
                <w:rFonts w:ascii="Arial" w:hAnsi="Arial" w:cs="Arial"/>
                <w:color w:val="000000"/>
                <w:sz w:val="20"/>
              </w:rPr>
              <w:t>relapsing remitting multiple sclerosis (</w:t>
            </w:r>
            <w:r w:rsidRPr="00BA3A69">
              <w:rPr>
                <w:rFonts w:ascii="Arial" w:hAnsi="Arial" w:cs="Arial"/>
                <w:color w:val="000000"/>
                <w:sz w:val="20"/>
              </w:rPr>
              <w:t>RRMS</w:t>
            </w:r>
            <w:r w:rsidR="00297A0B">
              <w:rPr>
                <w:rFonts w:ascii="Arial" w:hAnsi="Arial" w:cs="Arial"/>
                <w:color w:val="000000"/>
                <w:sz w:val="20"/>
              </w:rPr>
              <w:t>)</w:t>
            </w:r>
            <w:r w:rsidRPr="00BA3A69">
              <w:rPr>
                <w:rFonts w:ascii="Arial" w:hAnsi="Arial" w:cs="Arial"/>
                <w:color w:val="000000"/>
                <w:sz w:val="20"/>
              </w:rPr>
              <w:t>.</w:t>
            </w:r>
          </w:p>
        </w:tc>
        <w:tc>
          <w:tcPr>
            <w:tcW w:w="5245" w:type="dxa"/>
          </w:tcPr>
          <w:p w:rsidR="002D5215" w:rsidRPr="00447CFB" w:rsidRDefault="00BA3A69" w:rsidP="00C44740">
            <w:pPr>
              <w:jc w:val="both"/>
              <w:rPr>
                <w:rFonts w:ascii="Arial" w:hAnsi="Arial" w:cs="Arial"/>
                <w:sz w:val="20"/>
                <w:highlight w:val="yellow"/>
              </w:rPr>
            </w:pPr>
            <w:r w:rsidRPr="00BA3A69">
              <w:rPr>
                <w:rFonts w:ascii="Arial" w:hAnsi="Arial" w:cs="Arial"/>
                <w:sz w:val="20"/>
              </w:rPr>
              <w:t>The PBAC did not recommend the listing of cladribine for the treatment of relapsing remitting multiple sclerosis (RRMS), on the basis of uncertainty in the non-inferior efficacy claim of cladribine versus fingolimod over two and four years.</w:t>
            </w:r>
          </w:p>
        </w:tc>
      </w:tr>
      <w:tr w:rsidR="002D5215" w:rsidRPr="00447CFB" w:rsidTr="007E146D">
        <w:trPr>
          <w:trHeight w:val="433"/>
        </w:trPr>
        <w:tc>
          <w:tcPr>
            <w:tcW w:w="2127" w:type="dxa"/>
            <w:vMerge/>
          </w:tcPr>
          <w:p w:rsidR="002D5215" w:rsidRPr="00447CFB" w:rsidRDefault="002D5215" w:rsidP="00DA535C">
            <w:pPr>
              <w:rPr>
                <w:rFonts w:ascii="Arial" w:hAnsi="Arial" w:cs="Arial"/>
                <w:sz w:val="20"/>
              </w:rPr>
            </w:pPr>
          </w:p>
        </w:tc>
        <w:tc>
          <w:tcPr>
            <w:tcW w:w="2268" w:type="dxa"/>
            <w:vMerge/>
          </w:tcPr>
          <w:p w:rsidR="002D5215" w:rsidRPr="00447CFB" w:rsidRDefault="002D5215" w:rsidP="00DA535C">
            <w:pPr>
              <w:rPr>
                <w:rFonts w:ascii="Arial" w:hAnsi="Arial" w:cs="Arial"/>
                <w:sz w:val="20"/>
              </w:rPr>
            </w:pPr>
          </w:p>
        </w:tc>
        <w:tc>
          <w:tcPr>
            <w:tcW w:w="1842" w:type="dxa"/>
            <w:vMerge/>
          </w:tcPr>
          <w:p w:rsidR="002D5215" w:rsidRPr="00447CFB" w:rsidRDefault="002D5215" w:rsidP="00DA535C">
            <w:pPr>
              <w:rPr>
                <w:rFonts w:ascii="Arial" w:hAnsi="Arial" w:cs="Arial"/>
                <w:sz w:val="20"/>
              </w:rPr>
            </w:pPr>
          </w:p>
        </w:tc>
        <w:tc>
          <w:tcPr>
            <w:tcW w:w="3402" w:type="dxa"/>
          </w:tcPr>
          <w:p w:rsidR="002D5215" w:rsidRPr="00447CFB" w:rsidRDefault="00BA3A69" w:rsidP="00297A0B">
            <w:pPr>
              <w:pStyle w:val="ListBullet"/>
            </w:pPr>
            <w:r>
              <w:t xml:space="preserve">Comparator: </w:t>
            </w:r>
            <w:r w:rsidR="00297A0B">
              <w:t xml:space="preserve"> </w:t>
            </w:r>
            <w:r w:rsidRPr="00BA3A69">
              <w:t>The resubmission nominated fingolimod as the main comparator (unchanged).</w:t>
            </w:r>
          </w:p>
        </w:tc>
        <w:tc>
          <w:tcPr>
            <w:tcW w:w="5245" w:type="dxa"/>
          </w:tcPr>
          <w:p w:rsidR="002D5215" w:rsidRPr="00447CFB" w:rsidRDefault="00BA3A69" w:rsidP="00F61C70">
            <w:pPr>
              <w:jc w:val="both"/>
              <w:rPr>
                <w:rFonts w:ascii="Arial" w:hAnsi="Arial" w:cs="Arial"/>
                <w:sz w:val="20"/>
                <w:highlight w:val="yellow"/>
              </w:rPr>
            </w:pPr>
            <w:r w:rsidRPr="00BA3A69">
              <w:rPr>
                <w:rFonts w:ascii="Arial" w:hAnsi="Arial" w:cs="Arial"/>
                <w:sz w:val="20"/>
              </w:rPr>
              <w:t>The PBAC accepted fingolimod as the appropriate main comparator, however considered that cladribine may replace or displace all PBS listed RRMS treatments.</w:t>
            </w:r>
          </w:p>
        </w:tc>
      </w:tr>
      <w:tr w:rsidR="002D5215" w:rsidRPr="00447CFB" w:rsidTr="007E146D">
        <w:trPr>
          <w:trHeight w:val="433"/>
        </w:trPr>
        <w:tc>
          <w:tcPr>
            <w:tcW w:w="2127" w:type="dxa"/>
            <w:vMerge/>
          </w:tcPr>
          <w:p w:rsidR="002D5215" w:rsidRPr="00447CFB" w:rsidRDefault="002D5215" w:rsidP="00DA535C">
            <w:pPr>
              <w:rPr>
                <w:rFonts w:ascii="Arial" w:hAnsi="Arial" w:cs="Arial"/>
                <w:sz w:val="20"/>
              </w:rPr>
            </w:pPr>
          </w:p>
        </w:tc>
        <w:tc>
          <w:tcPr>
            <w:tcW w:w="2268" w:type="dxa"/>
            <w:vMerge/>
          </w:tcPr>
          <w:p w:rsidR="002D5215" w:rsidRPr="00447CFB" w:rsidRDefault="002D5215" w:rsidP="00DA535C">
            <w:pPr>
              <w:rPr>
                <w:rFonts w:ascii="Arial" w:hAnsi="Arial" w:cs="Arial"/>
                <w:sz w:val="20"/>
              </w:rPr>
            </w:pPr>
          </w:p>
        </w:tc>
        <w:tc>
          <w:tcPr>
            <w:tcW w:w="1842" w:type="dxa"/>
            <w:vMerge/>
          </w:tcPr>
          <w:p w:rsidR="002D5215" w:rsidRPr="00447CFB" w:rsidRDefault="002D5215" w:rsidP="00DA535C">
            <w:pPr>
              <w:rPr>
                <w:rFonts w:ascii="Arial" w:hAnsi="Arial" w:cs="Arial"/>
                <w:sz w:val="20"/>
              </w:rPr>
            </w:pPr>
          </w:p>
        </w:tc>
        <w:tc>
          <w:tcPr>
            <w:tcW w:w="3402" w:type="dxa"/>
          </w:tcPr>
          <w:p w:rsidR="002D5215" w:rsidRPr="00447CFB" w:rsidRDefault="002D5215" w:rsidP="00297A0B">
            <w:pPr>
              <w:pStyle w:val="ListBullet"/>
            </w:pPr>
            <w:r w:rsidRPr="00447CFB">
              <w:t>Clinical claim:</w:t>
            </w:r>
            <w:r w:rsidR="00BA3A69">
              <w:t xml:space="preserve">  N</w:t>
            </w:r>
            <w:r w:rsidR="00BA3A69" w:rsidRPr="00BA3A69">
              <w:t>on-inferior efficacy claim of cladribine versus fingolimod over two and four years (unchanged).</w:t>
            </w:r>
          </w:p>
        </w:tc>
        <w:tc>
          <w:tcPr>
            <w:tcW w:w="5245" w:type="dxa"/>
          </w:tcPr>
          <w:p w:rsidR="002D5215" w:rsidRPr="00447CFB" w:rsidRDefault="00BA3A69" w:rsidP="00F474B8">
            <w:pPr>
              <w:ind w:left="34"/>
              <w:jc w:val="both"/>
              <w:rPr>
                <w:rFonts w:ascii="Arial" w:hAnsi="Arial" w:cs="Arial"/>
                <w:sz w:val="20"/>
                <w:highlight w:val="yellow"/>
              </w:rPr>
            </w:pPr>
            <w:r w:rsidRPr="00BA3A69">
              <w:rPr>
                <w:rFonts w:ascii="Arial" w:hAnsi="Arial" w:cs="Arial"/>
                <w:sz w:val="20"/>
              </w:rPr>
              <w:t xml:space="preserve">The PBAC noted the minor resubmission’s arguments for the use of the </w:t>
            </w:r>
            <w:r w:rsidR="00096AEE">
              <w:rPr>
                <w:rFonts w:ascii="Arial" w:hAnsi="Arial" w:cs="Arial"/>
                <w:sz w:val="20"/>
              </w:rPr>
              <w:t>m</w:t>
            </w:r>
            <w:r w:rsidR="00096AEE" w:rsidRPr="00096AEE">
              <w:rPr>
                <w:rFonts w:ascii="Arial" w:hAnsi="Arial" w:cs="Arial"/>
                <w:sz w:val="20"/>
              </w:rPr>
              <w:t xml:space="preserve">inimal clinically important differences </w:t>
            </w:r>
            <w:r w:rsidR="00096AEE">
              <w:rPr>
                <w:rFonts w:ascii="Arial" w:hAnsi="Arial" w:cs="Arial"/>
                <w:sz w:val="20"/>
              </w:rPr>
              <w:t>(</w:t>
            </w:r>
            <w:r w:rsidRPr="00BA3A69">
              <w:rPr>
                <w:rFonts w:ascii="Arial" w:hAnsi="Arial" w:cs="Arial"/>
                <w:sz w:val="20"/>
              </w:rPr>
              <w:t>MCID</w:t>
            </w:r>
            <w:r w:rsidR="00096AEE">
              <w:rPr>
                <w:rFonts w:ascii="Arial" w:hAnsi="Arial" w:cs="Arial"/>
                <w:sz w:val="20"/>
              </w:rPr>
              <w:t>)</w:t>
            </w:r>
            <w:r w:rsidRPr="00BA3A69">
              <w:rPr>
                <w:rFonts w:ascii="Arial" w:hAnsi="Arial" w:cs="Arial"/>
                <w:sz w:val="20"/>
              </w:rPr>
              <w:t xml:space="preserve"> used in the ocrelizumab submission for RRMS (July 2017) in assessing the efficacy of cladribine, however it recalled that the Committee recommended ocrelizumab based on the totality of the evidence presented in that submission, and not on the basis of the proposed MCID. The PBAC noted that the minor resubmission did not address its concerns regarding the uncertainty in the non-inferior efficacy between cladribine and fingolimod over four years, or uncertainty in the non-inferior safety between cladribine and fingolimod. The PBAC therefore considered that the uncertainty in the non-inferior efficacy claim over two and four years, and non-inferior safety claim between cladribine and fingolimod, remained.</w:t>
            </w:r>
          </w:p>
        </w:tc>
      </w:tr>
      <w:tr w:rsidR="002D5215" w:rsidRPr="00447CFB" w:rsidTr="007E146D">
        <w:trPr>
          <w:trHeight w:val="433"/>
        </w:trPr>
        <w:tc>
          <w:tcPr>
            <w:tcW w:w="2127" w:type="dxa"/>
            <w:vMerge/>
          </w:tcPr>
          <w:p w:rsidR="002D5215" w:rsidRPr="00447CFB" w:rsidRDefault="002D5215" w:rsidP="00DA535C">
            <w:pPr>
              <w:rPr>
                <w:rFonts w:ascii="Arial" w:hAnsi="Arial" w:cs="Arial"/>
                <w:sz w:val="20"/>
              </w:rPr>
            </w:pPr>
          </w:p>
        </w:tc>
        <w:tc>
          <w:tcPr>
            <w:tcW w:w="2268" w:type="dxa"/>
            <w:vMerge/>
          </w:tcPr>
          <w:p w:rsidR="002D5215" w:rsidRPr="00447CFB" w:rsidRDefault="002D5215" w:rsidP="00DA535C">
            <w:pPr>
              <w:rPr>
                <w:rFonts w:ascii="Arial" w:hAnsi="Arial" w:cs="Arial"/>
                <w:sz w:val="20"/>
              </w:rPr>
            </w:pPr>
          </w:p>
        </w:tc>
        <w:tc>
          <w:tcPr>
            <w:tcW w:w="1842" w:type="dxa"/>
            <w:vMerge/>
          </w:tcPr>
          <w:p w:rsidR="002D5215" w:rsidRPr="00447CFB" w:rsidRDefault="002D5215" w:rsidP="00DA535C">
            <w:pPr>
              <w:rPr>
                <w:rFonts w:ascii="Arial" w:hAnsi="Arial" w:cs="Arial"/>
                <w:sz w:val="20"/>
              </w:rPr>
            </w:pPr>
          </w:p>
        </w:tc>
        <w:tc>
          <w:tcPr>
            <w:tcW w:w="3402" w:type="dxa"/>
          </w:tcPr>
          <w:p w:rsidR="002D5215" w:rsidRPr="00447CFB" w:rsidRDefault="002D5215" w:rsidP="00297A0B">
            <w:pPr>
              <w:pStyle w:val="ListBullet"/>
            </w:pPr>
            <w:r w:rsidRPr="00447CFB">
              <w:t>Economic claim:</w:t>
            </w:r>
            <w:r w:rsidR="00BA3A69">
              <w:t xml:space="preserve"> </w:t>
            </w:r>
            <w:r w:rsidR="00297A0B">
              <w:t xml:space="preserve"> </w:t>
            </w:r>
            <w:r w:rsidR="00BA3A69">
              <w:t>C</w:t>
            </w:r>
            <w:r w:rsidR="00BA3A69" w:rsidRPr="00BA3A69">
              <w:t>ost minimisation analysis based on a claim of non-inferior efficacy of 2 years’ treatment with cladribine to 4 years’ treatment with fingolimod (unchanged).</w:t>
            </w:r>
          </w:p>
        </w:tc>
        <w:tc>
          <w:tcPr>
            <w:tcW w:w="5245" w:type="dxa"/>
          </w:tcPr>
          <w:p w:rsidR="00BA3A69" w:rsidRPr="00686972" w:rsidRDefault="00BA3A69" w:rsidP="00F61C70">
            <w:pPr>
              <w:jc w:val="both"/>
              <w:rPr>
                <w:rFonts w:ascii="Arial" w:hAnsi="Arial" w:cs="Arial"/>
                <w:sz w:val="20"/>
              </w:rPr>
            </w:pPr>
            <w:r w:rsidRPr="00BA3A69">
              <w:rPr>
                <w:rFonts w:ascii="Arial" w:hAnsi="Arial" w:cs="Arial"/>
                <w:sz w:val="20"/>
              </w:rPr>
              <w:t>Given that the PBAC did not accept the claim that cladribine is non-inferior to fingolimod in terms of efficacy over four years, it did not accept this as the basis for estimating the equi-effective doses of cladribine and fingolimod, or as the basis for the financial analyses.</w:t>
            </w:r>
          </w:p>
        </w:tc>
      </w:tr>
      <w:tr w:rsidR="002D5215" w:rsidRPr="00447CFB" w:rsidTr="007E146D">
        <w:trPr>
          <w:trHeight w:val="433"/>
        </w:trPr>
        <w:tc>
          <w:tcPr>
            <w:tcW w:w="2127" w:type="dxa"/>
            <w:vMerge/>
          </w:tcPr>
          <w:p w:rsidR="002D5215" w:rsidRPr="00447CFB" w:rsidRDefault="002D5215" w:rsidP="00DA535C">
            <w:pPr>
              <w:rPr>
                <w:rFonts w:ascii="Arial" w:hAnsi="Arial" w:cs="Arial"/>
                <w:sz w:val="20"/>
              </w:rPr>
            </w:pPr>
          </w:p>
        </w:tc>
        <w:tc>
          <w:tcPr>
            <w:tcW w:w="2268" w:type="dxa"/>
            <w:vMerge/>
          </w:tcPr>
          <w:p w:rsidR="002D5215" w:rsidRPr="00447CFB" w:rsidRDefault="002D5215" w:rsidP="00DA535C">
            <w:pPr>
              <w:rPr>
                <w:rFonts w:ascii="Arial" w:hAnsi="Arial" w:cs="Arial"/>
                <w:sz w:val="20"/>
              </w:rPr>
            </w:pPr>
          </w:p>
        </w:tc>
        <w:tc>
          <w:tcPr>
            <w:tcW w:w="1842" w:type="dxa"/>
            <w:vMerge/>
          </w:tcPr>
          <w:p w:rsidR="002D5215" w:rsidRPr="00447CFB" w:rsidRDefault="002D5215" w:rsidP="00DA535C">
            <w:pPr>
              <w:rPr>
                <w:rFonts w:ascii="Arial" w:hAnsi="Arial" w:cs="Arial"/>
                <w:sz w:val="20"/>
              </w:rPr>
            </w:pPr>
          </w:p>
        </w:tc>
        <w:tc>
          <w:tcPr>
            <w:tcW w:w="3402" w:type="dxa"/>
          </w:tcPr>
          <w:p w:rsidR="002D5215" w:rsidRPr="00447CFB" w:rsidRDefault="002D5215" w:rsidP="001263F7">
            <w:pPr>
              <w:pStyle w:val="ListBullet"/>
            </w:pPr>
            <w:r w:rsidRPr="00447CFB">
              <w:t>Sponsor’s comments:</w:t>
            </w:r>
          </w:p>
        </w:tc>
        <w:tc>
          <w:tcPr>
            <w:tcW w:w="5245" w:type="dxa"/>
          </w:tcPr>
          <w:p w:rsidR="002D5215" w:rsidRPr="00447CFB" w:rsidRDefault="002A6D25" w:rsidP="00686972">
            <w:pPr>
              <w:jc w:val="both"/>
              <w:rPr>
                <w:rFonts w:ascii="Arial" w:hAnsi="Arial" w:cs="Arial"/>
                <w:sz w:val="20"/>
                <w:highlight w:val="yellow"/>
              </w:rPr>
            </w:pPr>
            <w:r w:rsidRPr="002A6D25">
              <w:rPr>
                <w:rFonts w:ascii="Arial" w:hAnsi="Arial" w:cs="Arial"/>
                <w:bCs/>
                <w:iCs/>
                <w:color w:val="000000"/>
                <w:sz w:val="20"/>
              </w:rPr>
              <w:t>We are disappointed for the MS community that the Committee has been unable to recommend MAVENCLAD (</w:t>
            </w:r>
            <w:proofErr w:type="spellStart"/>
            <w:r w:rsidRPr="002A6D25">
              <w:rPr>
                <w:rFonts w:ascii="Arial" w:hAnsi="Arial" w:cs="Arial"/>
                <w:bCs/>
                <w:iCs/>
                <w:color w:val="000000"/>
                <w:sz w:val="20"/>
              </w:rPr>
              <w:t>cladribine</w:t>
            </w:r>
            <w:proofErr w:type="spellEnd"/>
            <w:r w:rsidRPr="002A6D25">
              <w:rPr>
                <w:rFonts w:ascii="Arial" w:hAnsi="Arial" w:cs="Arial"/>
                <w:bCs/>
                <w:iCs/>
                <w:color w:val="000000"/>
                <w:sz w:val="20"/>
              </w:rPr>
              <w:t xml:space="preserve"> tablets).  Its dosing regimen of a</w:t>
            </w:r>
            <w:r w:rsidR="00E96332">
              <w:rPr>
                <w:rFonts w:ascii="Arial" w:hAnsi="Arial" w:cs="Arial"/>
                <w:bCs/>
                <w:iCs/>
                <w:color w:val="000000"/>
                <w:sz w:val="20"/>
              </w:rPr>
              <w:t xml:space="preserve">pproximately 20 days treatment </w:t>
            </w:r>
            <w:r w:rsidRPr="002A6D25">
              <w:rPr>
                <w:rFonts w:ascii="Arial" w:hAnsi="Arial" w:cs="Arial"/>
                <w:bCs/>
                <w:iCs/>
                <w:color w:val="000000"/>
                <w:sz w:val="20"/>
              </w:rPr>
              <w:t>over 4 years is unique and fills an unmet need</w:t>
            </w:r>
            <w:r w:rsidR="00EB79F5">
              <w:rPr>
                <w:rFonts w:ascii="Arial" w:hAnsi="Arial" w:cs="Arial"/>
                <w:bCs/>
                <w:iCs/>
                <w:color w:val="000000"/>
                <w:sz w:val="20"/>
              </w:rPr>
              <w:t xml:space="preserve"> </w:t>
            </w:r>
            <w:r w:rsidRPr="002A6D25">
              <w:rPr>
                <w:rFonts w:ascii="Arial" w:hAnsi="Arial" w:cs="Arial"/>
                <w:bCs/>
                <w:iCs/>
                <w:color w:val="000000"/>
                <w:sz w:val="20"/>
              </w:rPr>
              <w:t xml:space="preserve">for a number of patients with RRMS. Merck appreciates the broad public support for MAVENCLAD as evidenced by the consumer comments received. </w:t>
            </w:r>
          </w:p>
        </w:tc>
      </w:tr>
      <w:tr w:rsidR="00447CFB" w:rsidRPr="00447CFB" w:rsidTr="000057CB">
        <w:trPr>
          <w:cantSplit/>
          <w:trHeight w:val="435"/>
        </w:trPr>
        <w:tc>
          <w:tcPr>
            <w:tcW w:w="2127" w:type="dxa"/>
            <w:vMerge w:val="restart"/>
          </w:tcPr>
          <w:p w:rsidR="00447CFB" w:rsidRPr="0093171D" w:rsidRDefault="0093171D" w:rsidP="005524B8">
            <w:pPr>
              <w:contextualSpacing/>
              <w:rPr>
                <w:rFonts w:ascii="Arial" w:hAnsi="Arial" w:cs="Arial"/>
                <w:sz w:val="20"/>
                <w:highlight w:val="yellow"/>
              </w:rPr>
            </w:pPr>
            <w:r w:rsidRPr="0093171D">
              <w:rPr>
                <w:rFonts w:ascii="Arial" w:hAnsi="Arial" w:cs="Arial"/>
                <w:color w:val="000000"/>
                <w:sz w:val="20"/>
              </w:rPr>
              <w:lastRenderedPageBreak/>
              <w:t>IRINOTECAN (NANOLIPOSOMAL)</w:t>
            </w:r>
            <w:r w:rsidRPr="0093171D">
              <w:rPr>
                <w:rFonts w:ascii="Arial" w:hAnsi="Arial" w:cs="Arial"/>
                <w:color w:val="000000"/>
                <w:sz w:val="20"/>
              </w:rPr>
              <w:br/>
            </w:r>
            <w:r w:rsidRPr="0093171D">
              <w:rPr>
                <w:rFonts w:ascii="Arial" w:hAnsi="Arial" w:cs="Arial"/>
                <w:color w:val="000000"/>
                <w:sz w:val="20"/>
              </w:rPr>
              <w:br/>
              <w:t>Injection concentrate for I.V. infusion 43 mg (as sucrosofate) in 10 mL</w:t>
            </w:r>
            <w:r w:rsidRPr="0093171D">
              <w:rPr>
                <w:rFonts w:ascii="Arial" w:hAnsi="Arial" w:cs="Arial"/>
                <w:color w:val="000000"/>
                <w:sz w:val="20"/>
              </w:rPr>
              <w:br/>
            </w:r>
            <w:r w:rsidRPr="0093171D">
              <w:rPr>
                <w:rFonts w:ascii="Arial" w:hAnsi="Arial" w:cs="Arial"/>
                <w:color w:val="000000"/>
                <w:sz w:val="20"/>
              </w:rPr>
              <w:br/>
              <w:t>Onivyde®</w:t>
            </w:r>
            <w:r w:rsidRPr="0093171D">
              <w:rPr>
                <w:rFonts w:ascii="Arial" w:hAnsi="Arial" w:cs="Arial"/>
                <w:color w:val="000000"/>
                <w:sz w:val="20"/>
              </w:rPr>
              <w:br/>
            </w:r>
            <w:r w:rsidRPr="0093171D">
              <w:rPr>
                <w:rFonts w:ascii="Arial" w:hAnsi="Arial" w:cs="Arial"/>
                <w:color w:val="000000"/>
                <w:sz w:val="20"/>
              </w:rPr>
              <w:br/>
              <w:t>Shire Australia Pty Ltd</w:t>
            </w:r>
            <w:r w:rsidRPr="0093171D">
              <w:rPr>
                <w:rFonts w:ascii="Arial" w:hAnsi="Arial" w:cs="Arial"/>
                <w:sz w:val="20"/>
                <w:highlight w:val="yellow"/>
              </w:rPr>
              <w:t xml:space="preserve"> </w:t>
            </w:r>
          </w:p>
          <w:p w:rsidR="0093171D" w:rsidRPr="0093171D" w:rsidRDefault="0093171D" w:rsidP="005524B8">
            <w:pPr>
              <w:contextualSpacing/>
              <w:rPr>
                <w:rFonts w:ascii="Arial" w:hAnsi="Arial" w:cs="Arial"/>
                <w:sz w:val="20"/>
                <w:highlight w:val="yellow"/>
              </w:rPr>
            </w:pPr>
          </w:p>
          <w:p w:rsidR="00FD1332" w:rsidRDefault="0093171D" w:rsidP="0093171D">
            <w:pPr>
              <w:contextualSpacing/>
              <w:rPr>
                <w:rFonts w:ascii="Arial" w:hAnsi="Arial" w:cs="Arial"/>
                <w:color w:val="000000"/>
                <w:sz w:val="20"/>
              </w:rPr>
            </w:pPr>
            <w:r w:rsidRPr="0093171D">
              <w:rPr>
                <w:rFonts w:ascii="Arial" w:hAnsi="Arial" w:cs="Arial"/>
                <w:color w:val="000000"/>
                <w:sz w:val="20"/>
              </w:rPr>
              <w:t>New listing</w:t>
            </w:r>
            <w:r>
              <w:rPr>
                <w:rFonts w:ascii="Arial" w:hAnsi="Arial" w:cs="Arial"/>
                <w:color w:val="000000"/>
                <w:sz w:val="20"/>
              </w:rPr>
              <w:t xml:space="preserve"> </w:t>
            </w:r>
          </w:p>
          <w:p w:rsidR="0093171D" w:rsidRPr="00447CFB" w:rsidRDefault="0093171D" w:rsidP="0093171D">
            <w:pPr>
              <w:contextualSpacing/>
              <w:rPr>
                <w:rFonts w:ascii="Arial" w:hAnsi="Arial" w:cs="Arial"/>
                <w:sz w:val="20"/>
                <w:highlight w:val="yellow"/>
              </w:rPr>
            </w:pPr>
            <w:r w:rsidRPr="0093171D">
              <w:rPr>
                <w:rFonts w:ascii="Arial" w:hAnsi="Arial" w:cs="Arial"/>
                <w:color w:val="000000"/>
                <w:sz w:val="20"/>
              </w:rPr>
              <w:t>(Major Submission)</w:t>
            </w:r>
          </w:p>
        </w:tc>
        <w:tc>
          <w:tcPr>
            <w:tcW w:w="2268" w:type="dxa"/>
            <w:vMerge w:val="restart"/>
          </w:tcPr>
          <w:p w:rsidR="00447CFB" w:rsidRPr="00783EF0" w:rsidRDefault="00783EF0" w:rsidP="005524B8">
            <w:pPr>
              <w:rPr>
                <w:rFonts w:ascii="Arial" w:hAnsi="Arial" w:cs="Arial"/>
                <w:sz w:val="20"/>
                <w:highlight w:val="yellow"/>
              </w:rPr>
            </w:pPr>
            <w:r w:rsidRPr="00783EF0">
              <w:rPr>
                <w:rFonts w:ascii="Arial" w:hAnsi="Arial" w:cs="Arial"/>
                <w:sz w:val="20"/>
              </w:rPr>
              <w:t>Indicated in the treatment of metastatic adenocarcinoma of the pancreas, in combination with 5-fluorouracil and folinic acid (leucovorin) in adult patients who have been previously treated with gemcitabine-based therapy.</w:t>
            </w:r>
          </w:p>
        </w:tc>
        <w:tc>
          <w:tcPr>
            <w:tcW w:w="1842" w:type="dxa"/>
            <w:vMerge w:val="restart"/>
            <w:shd w:val="clear" w:color="auto" w:fill="FFFFFF" w:themeFill="background1"/>
          </w:tcPr>
          <w:p w:rsidR="00447CFB" w:rsidRPr="00D61D0B" w:rsidRDefault="00E84559" w:rsidP="00E84559">
            <w:pPr>
              <w:rPr>
                <w:rFonts w:ascii="Arial" w:hAnsi="Arial" w:cs="Arial"/>
                <w:sz w:val="20"/>
              </w:rPr>
            </w:pPr>
            <w:r>
              <w:rPr>
                <w:rFonts w:ascii="Arial" w:hAnsi="Arial" w:cs="Arial"/>
                <w:sz w:val="20"/>
              </w:rPr>
              <w:t>IRINOTECAN (</w:t>
            </w:r>
            <w:r w:rsidRPr="0093171D">
              <w:rPr>
                <w:rFonts w:ascii="Arial" w:hAnsi="Arial" w:cs="Arial"/>
                <w:color w:val="000000"/>
                <w:sz w:val="20"/>
              </w:rPr>
              <w:t>NANO</w:t>
            </w:r>
            <w:r w:rsidR="00062B17">
              <w:rPr>
                <w:rFonts w:ascii="Arial" w:hAnsi="Arial" w:cs="Arial"/>
                <w:color w:val="000000"/>
                <w:sz w:val="20"/>
              </w:rPr>
              <w:t>-</w:t>
            </w:r>
            <w:r w:rsidRPr="0093171D">
              <w:rPr>
                <w:rFonts w:ascii="Arial" w:hAnsi="Arial" w:cs="Arial"/>
                <w:color w:val="000000"/>
                <w:sz w:val="20"/>
              </w:rPr>
              <w:t>LIPOSOMAL</w:t>
            </w:r>
            <w:r>
              <w:rPr>
                <w:rFonts w:ascii="Arial" w:hAnsi="Arial" w:cs="Arial"/>
                <w:sz w:val="20"/>
              </w:rPr>
              <w:t>) is not currently PBS listed.</w:t>
            </w:r>
          </w:p>
        </w:tc>
        <w:tc>
          <w:tcPr>
            <w:tcW w:w="3402" w:type="dxa"/>
          </w:tcPr>
          <w:p w:rsidR="00447CFB" w:rsidRPr="0093171D" w:rsidRDefault="0093171D" w:rsidP="005524B8">
            <w:pPr>
              <w:keepLines/>
              <w:rPr>
                <w:rFonts w:ascii="Arial" w:hAnsi="Arial" w:cs="Arial"/>
                <w:sz w:val="20"/>
              </w:rPr>
            </w:pPr>
            <w:r w:rsidRPr="0093171D">
              <w:rPr>
                <w:rFonts w:ascii="Arial" w:hAnsi="Arial" w:cs="Arial"/>
                <w:color w:val="000000"/>
                <w:sz w:val="20"/>
              </w:rPr>
              <w:t>Resubmission to request a Section 100 (Efficient Funding of Chemotherapy) Authority Required (STREAMLINED) listing for the treatment of metastatic pancreatic cancer in combination with 5-fluorouracil and folinic acid (5-FU/LV) in patients who have progressed following treatment with a gemcitabine based regimen.</w:t>
            </w:r>
          </w:p>
        </w:tc>
        <w:tc>
          <w:tcPr>
            <w:tcW w:w="5245" w:type="dxa"/>
          </w:tcPr>
          <w:p w:rsidR="00447CFB" w:rsidRPr="00297A0B" w:rsidRDefault="00F474B8" w:rsidP="00686972">
            <w:pPr>
              <w:jc w:val="both"/>
              <w:rPr>
                <w:rFonts w:ascii="Arial" w:hAnsi="Arial" w:cs="Arial"/>
                <w:sz w:val="20"/>
              </w:rPr>
            </w:pPr>
            <w:r w:rsidRPr="00F474B8">
              <w:rPr>
                <w:rFonts w:ascii="Arial" w:hAnsi="Arial" w:cs="Arial"/>
                <w:sz w:val="20"/>
              </w:rPr>
              <w:t>The PBAC did not recommend the listing of irinotecan (in the form of I.V. injection containing nanoliposomal 43 mg in 10 mL, referred to as irinotecan (nanoliposomal)) in combination with 5-FU/folinic acid for the treatment of metastatic pancreatic adenocarcinoma in adult patients with disease progression who have previously received gemcitabine-based therapy. The PBAC based its decision on unacceptably high incremental cost-effectiveness in the context of a modest and uncertain incremental clinical benefit.</w:t>
            </w:r>
          </w:p>
        </w:tc>
      </w:tr>
      <w:tr w:rsidR="00447CFB" w:rsidRPr="00447CFB" w:rsidTr="007E146D">
        <w:trPr>
          <w:trHeight w:val="433"/>
        </w:trPr>
        <w:tc>
          <w:tcPr>
            <w:tcW w:w="2127" w:type="dxa"/>
            <w:vMerge/>
          </w:tcPr>
          <w:p w:rsidR="00447CFB" w:rsidRPr="00447CFB" w:rsidRDefault="00447CFB" w:rsidP="005524B8">
            <w:pPr>
              <w:rPr>
                <w:rFonts w:ascii="Arial" w:hAnsi="Arial" w:cs="Arial"/>
                <w:sz w:val="20"/>
              </w:rPr>
            </w:pPr>
          </w:p>
        </w:tc>
        <w:tc>
          <w:tcPr>
            <w:tcW w:w="2268" w:type="dxa"/>
            <w:vMerge/>
          </w:tcPr>
          <w:p w:rsidR="00447CFB" w:rsidRPr="00447CFB" w:rsidRDefault="00447CFB" w:rsidP="005524B8">
            <w:pPr>
              <w:rPr>
                <w:rFonts w:ascii="Arial" w:hAnsi="Arial" w:cs="Arial"/>
                <w:sz w:val="20"/>
              </w:rPr>
            </w:pPr>
          </w:p>
        </w:tc>
        <w:tc>
          <w:tcPr>
            <w:tcW w:w="1842" w:type="dxa"/>
            <w:vMerge/>
            <w:shd w:val="clear" w:color="auto" w:fill="FFFFFF" w:themeFill="background1"/>
          </w:tcPr>
          <w:p w:rsidR="00447CFB" w:rsidRPr="00447CFB" w:rsidRDefault="00447CFB" w:rsidP="005524B8">
            <w:pPr>
              <w:rPr>
                <w:rFonts w:ascii="Arial" w:hAnsi="Arial" w:cs="Arial"/>
                <w:sz w:val="20"/>
              </w:rPr>
            </w:pPr>
          </w:p>
        </w:tc>
        <w:tc>
          <w:tcPr>
            <w:tcW w:w="3402" w:type="dxa"/>
          </w:tcPr>
          <w:p w:rsidR="00062B17" w:rsidRPr="00447CFB" w:rsidRDefault="00447CFB" w:rsidP="005524B8">
            <w:pPr>
              <w:pStyle w:val="ListBullet"/>
            </w:pPr>
            <w:r w:rsidRPr="00447CFB">
              <w:t xml:space="preserve">Comparator: </w:t>
            </w:r>
            <w:r w:rsidR="00F474B8" w:rsidRPr="00F474B8">
              <w:t>mFOLFOX6 (using 5-FU/folinic acid as a proxy)</w:t>
            </w:r>
            <w:r w:rsidR="00297A0B">
              <w:t>.</w:t>
            </w:r>
          </w:p>
        </w:tc>
        <w:tc>
          <w:tcPr>
            <w:tcW w:w="5245" w:type="dxa"/>
          </w:tcPr>
          <w:p w:rsidR="00447CFB" w:rsidRPr="00447CFB" w:rsidRDefault="00F474B8" w:rsidP="00686972">
            <w:pPr>
              <w:tabs>
                <w:tab w:val="left" w:pos="1457"/>
              </w:tabs>
              <w:jc w:val="both"/>
              <w:rPr>
                <w:rFonts w:ascii="Arial" w:hAnsi="Arial" w:cs="Arial"/>
                <w:sz w:val="20"/>
                <w:highlight w:val="yellow"/>
              </w:rPr>
            </w:pPr>
            <w:r w:rsidRPr="00F474B8">
              <w:rPr>
                <w:rFonts w:ascii="Arial" w:hAnsi="Arial" w:cs="Arial"/>
                <w:sz w:val="20"/>
              </w:rPr>
              <w:t>Accepted</w:t>
            </w:r>
            <w:r w:rsidR="00297A0B">
              <w:rPr>
                <w:rFonts w:ascii="Arial" w:hAnsi="Arial" w:cs="Arial"/>
                <w:sz w:val="20"/>
              </w:rPr>
              <w:t>.</w:t>
            </w:r>
          </w:p>
        </w:tc>
      </w:tr>
      <w:tr w:rsidR="00447CFB" w:rsidRPr="00447CFB" w:rsidTr="007E146D">
        <w:trPr>
          <w:trHeight w:val="433"/>
        </w:trPr>
        <w:tc>
          <w:tcPr>
            <w:tcW w:w="2127" w:type="dxa"/>
            <w:vMerge/>
          </w:tcPr>
          <w:p w:rsidR="00447CFB" w:rsidRPr="00447CFB" w:rsidRDefault="00447CFB" w:rsidP="005524B8">
            <w:pPr>
              <w:rPr>
                <w:rFonts w:ascii="Arial" w:hAnsi="Arial" w:cs="Arial"/>
                <w:sz w:val="20"/>
              </w:rPr>
            </w:pPr>
          </w:p>
        </w:tc>
        <w:tc>
          <w:tcPr>
            <w:tcW w:w="2268" w:type="dxa"/>
            <w:vMerge/>
          </w:tcPr>
          <w:p w:rsidR="00447CFB" w:rsidRPr="00447CFB" w:rsidRDefault="00447CFB" w:rsidP="005524B8">
            <w:pPr>
              <w:rPr>
                <w:rFonts w:ascii="Arial" w:hAnsi="Arial" w:cs="Arial"/>
                <w:sz w:val="20"/>
              </w:rPr>
            </w:pPr>
          </w:p>
        </w:tc>
        <w:tc>
          <w:tcPr>
            <w:tcW w:w="1842" w:type="dxa"/>
            <w:vMerge/>
            <w:shd w:val="clear" w:color="auto" w:fill="FFFFFF" w:themeFill="background1"/>
          </w:tcPr>
          <w:p w:rsidR="00447CFB" w:rsidRPr="00447CFB" w:rsidRDefault="00447CFB" w:rsidP="005524B8">
            <w:pPr>
              <w:rPr>
                <w:rFonts w:ascii="Arial" w:hAnsi="Arial" w:cs="Arial"/>
                <w:sz w:val="20"/>
              </w:rPr>
            </w:pPr>
          </w:p>
        </w:tc>
        <w:tc>
          <w:tcPr>
            <w:tcW w:w="3402" w:type="dxa"/>
          </w:tcPr>
          <w:p w:rsidR="00447CFB" w:rsidRPr="00447CFB" w:rsidRDefault="00447CFB" w:rsidP="005524B8">
            <w:pPr>
              <w:pStyle w:val="ListBullet"/>
            </w:pPr>
            <w:r w:rsidRPr="00447CFB">
              <w:t xml:space="preserve">Clinical claim: </w:t>
            </w:r>
            <w:r w:rsidR="00F474B8" w:rsidRPr="00F474B8">
              <w:t>Superior comparative efficacy and non-inferior safety compared with mFOLFOX6.</w:t>
            </w:r>
          </w:p>
        </w:tc>
        <w:tc>
          <w:tcPr>
            <w:tcW w:w="5245" w:type="dxa"/>
          </w:tcPr>
          <w:p w:rsidR="00062B17" w:rsidRDefault="00F474B8" w:rsidP="00686972">
            <w:pPr>
              <w:jc w:val="both"/>
              <w:rPr>
                <w:rFonts w:ascii="Arial" w:hAnsi="Arial" w:cs="Arial"/>
                <w:sz w:val="20"/>
              </w:rPr>
            </w:pPr>
            <w:r w:rsidRPr="00F474B8">
              <w:rPr>
                <w:rFonts w:ascii="Arial" w:hAnsi="Arial" w:cs="Arial"/>
                <w:sz w:val="20"/>
              </w:rPr>
              <w:t>The PBAC considered the claim of superior efficacy was difficult to ascertain given the uncertainties associated with using a proxy treatment to determine the benefit of one</w:t>
            </w:r>
            <w:r w:rsidR="00062B17">
              <w:rPr>
                <w:rFonts w:ascii="Arial" w:hAnsi="Arial" w:cs="Arial"/>
                <w:sz w:val="20"/>
              </w:rPr>
              <w:t xml:space="preserve"> </w:t>
            </w:r>
            <w:r w:rsidRPr="00F474B8">
              <w:rPr>
                <w:rFonts w:ascii="Arial" w:hAnsi="Arial" w:cs="Arial"/>
                <w:sz w:val="20"/>
              </w:rPr>
              <w:t>treatment over another.</w:t>
            </w:r>
          </w:p>
          <w:p w:rsidR="00447CFB" w:rsidRPr="00855CF7" w:rsidRDefault="00F474B8" w:rsidP="00855CF7">
            <w:pPr>
              <w:jc w:val="both"/>
              <w:rPr>
                <w:rFonts w:ascii="Arial" w:hAnsi="Arial" w:cs="Arial"/>
                <w:sz w:val="20"/>
              </w:rPr>
            </w:pPr>
            <w:r w:rsidRPr="00F474B8">
              <w:rPr>
                <w:rFonts w:ascii="Arial" w:hAnsi="Arial" w:cs="Arial"/>
                <w:sz w:val="20"/>
              </w:rPr>
              <w:br/>
              <w:t>The PBAC considered that irinotecan (nanoliposomal) is likely to be of similar safety to mFOLFOX6 and other oxaliplatin-containing regimens.</w:t>
            </w:r>
          </w:p>
        </w:tc>
      </w:tr>
      <w:tr w:rsidR="00447CFB" w:rsidRPr="00447CFB" w:rsidTr="007E146D">
        <w:trPr>
          <w:trHeight w:val="433"/>
        </w:trPr>
        <w:tc>
          <w:tcPr>
            <w:tcW w:w="2127" w:type="dxa"/>
            <w:vMerge/>
          </w:tcPr>
          <w:p w:rsidR="00447CFB" w:rsidRPr="00447CFB" w:rsidRDefault="00447CFB" w:rsidP="005524B8">
            <w:pPr>
              <w:rPr>
                <w:rFonts w:ascii="Arial" w:hAnsi="Arial" w:cs="Arial"/>
                <w:sz w:val="20"/>
              </w:rPr>
            </w:pPr>
          </w:p>
        </w:tc>
        <w:tc>
          <w:tcPr>
            <w:tcW w:w="2268" w:type="dxa"/>
            <w:vMerge/>
          </w:tcPr>
          <w:p w:rsidR="00447CFB" w:rsidRPr="00447CFB" w:rsidRDefault="00447CFB" w:rsidP="005524B8">
            <w:pPr>
              <w:rPr>
                <w:rFonts w:ascii="Arial" w:hAnsi="Arial" w:cs="Arial"/>
                <w:sz w:val="20"/>
              </w:rPr>
            </w:pPr>
          </w:p>
        </w:tc>
        <w:tc>
          <w:tcPr>
            <w:tcW w:w="1842" w:type="dxa"/>
            <w:vMerge/>
            <w:shd w:val="clear" w:color="auto" w:fill="FFFFFF" w:themeFill="background1"/>
          </w:tcPr>
          <w:p w:rsidR="00447CFB" w:rsidRPr="00447CFB" w:rsidRDefault="00447CFB" w:rsidP="005524B8">
            <w:pPr>
              <w:rPr>
                <w:rFonts w:ascii="Arial" w:hAnsi="Arial" w:cs="Arial"/>
                <w:sz w:val="20"/>
              </w:rPr>
            </w:pPr>
          </w:p>
        </w:tc>
        <w:tc>
          <w:tcPr>
            <w:tcW w:w="3402" w:type="dxa"/>
          </w:tcPr>
          <w:p w:rsidR="00447CFB" w:rsidRPr="00447CFB" w:rsidRDefault="00447CFB" w:rsidP="00490C42">
            <w:pPr>
              <w:pStyle w:val="ListBullet"/>
            </w:pPr>
            <w:r w:rsidRPr="00447CFB">
              <w:t xml:space="preserve">Economic claim: </w:t>
            </w:r>
            <w:r w:rsidR="00490C42">
              <w:t>C</w:t>
            </w:r>
            <w:r w:rsidR="00490C42" w:rsidRPr="00490C42">
              <w:t>ost-effectiveness analysis compared with mFOLFOX6</w:t>
            </w:r>
            <w:r w:rsidR="00297A0B">
              <w:t>.</w:t>
            </w:r>
          </w:p>
        </w:tc>
        <w:tc>
          <w:tcPr>
            <w:tcW w:w="5245" w:type="dxa"/>
          </w:tcPr>
          <w:p w:rsidR="00062B17" w:rsidRDefault="00490C42" w:rsidP="00686972">
            <w:pPr>
              <w:jc w:val="both"/>
              <w:rPr>
                <w:rFonts w:ascii="Arial" w:hAnsi="Arial" w:cs="Arial"/>
                <w:sz w:val="20"/>
              </w:rPr>
            </w:pPr>
            <w:r w:rsidRPr="00490C42">
              <w:rPr>
                <w:rFonts w:ascii="Arial" w:hAnsi="Arial" w:cs="Arial"/>
                <w:sz w:val="20"/>
              </w:rPr>
              <w:t>The PBAC noted that the submission presented a trial-based analysis comparing irinotecan (nanoliposomal) to mFOLFOX6 (using 5-FU/folinic acid as a proxy) which estimated a cost per life year gained (LYG).</w:t>
            </w:r>
          </w:p>
          <w:p w:rsidR="00062B17" w:rsidRDefault="00490C42" w:rsidP="00686972">
            <w:pPr>
              <w:jc w:val="both"/>
              <w:rPr>
                <w:rFonts w:ascii="Arial" w:hAnsi="Arial" w:cs="Arial"/>
                <w:sz w:val="20"/>
              </w:rPr>
            </w:pPr>
            <w:r w:rsidRPr="00490C42">
              <w:rPr>
                <w:rFonts w:ascii="Arial" w:hAnsi="Arial" w:cs="Arial"/>
                <w:sz w:val="20"/>
              </w:rPr>
              <w:br/>
              <w:t>The PBAC considered it appropriate to incorporate quality of life into the analysis given the impact of the disease on quality of life is likely to be substantial. Overall, the PBAC considered that the estimated ICER was unacceptably high.</w:t>
            </w:r>
          </w:p>
          <w:p w:rsidR="00447CFB" w:rsidRPr="00490C42" w:rsidRDefault="00490C42" w:rsidP="00686972">
            <w:pPr>
              <w:jc w:val="both"/>
              <w:rPr>
                <w:rFonts w:ascii="Arial" w:hAnsi="Arial" w:cs="Arial"/>
                <w:color w:val="0070C0"/>
                <w:sz w:val="20"/>
              </w:rPr>
            </w:pPr>
            <w:r w:rsidRPr="00490C42">
              <w:rPr>
                <w:rFonts w:ascii="Arial" w:hAnsi="Arial" w:cs="Arial"/>
                <w:sz w:val="20"/>
              </w:rPr>
              <w:br/>
              <w:t>The PBAC recommended that a resubmission should present a cost-minimisation analysis against alternative regimens used in the proposed setting.</w:t>
            </w:r>
          </w:p>
        </w:tc>
      </w:tr>
      <w:tr w:rsidR="00447CFB" w:rsidRPr="00447CFB" w:rsidTr="00855CF7">
        <w:trPr>
          <w:trHeight w:val="298"/>
        </w:trPr>
        <w:tc>
          <w:tcPr>
            <w:tcW w:w="2127" w:type="dxa"/>
            <w:vMerge/>
          </w:tcPr>
          <w:p w:rsidR="00447CFB" w:rsidRPr="00447CFB" w:rsidRDefault="00447CFB" w:rsidP="005524B8">
            <w:pPr>
              <w:rPr>
                <w:rFonts w:ascii="Arial" w:hAnsi="Arial" w:cs="Arial"/>
                <w:sz w:val="20"/>
              </w:rPr>
            </w:pPr>
          </w:p>
        </w:tc>
        <w:tc>
          <w:tcPr>
            <w:tcW w:w="2268" w:type="dxa"/>
            <w:vMerge/>
          </w:tcPr>
          <w:p w:rsidR="00447CFB" w:rsidRPr="00447CFB" w:rsidRDefault="00447CFB" w:rsidP="005524B8">
            <w:pPr>
              <w:rPr>
                <w:rFonts w:ascii="Arial" w:hAnsi="Arial" w:cs="Arial"/>
                <w:sz w:val="20"/>
              </w:rPr>
            </w:pPr>
          </w:p>
        </w:tc>
        <w:tc>
          <w:tcPr>
            <w:tcW w:w="1842" w:type="dxa"/>
            <w:vMerge/>
            <w:shd w:val="clear" w:color="auto" w:fill="FFFFFF" w:themeFill="background1"/>
          </w:tcPr>
          <w:p w:rsidR="00447CFB" w:rsidRPr="00447CFB" w:rsidRDefault="00447CFB" w:rsidP="005524B8">
            <w:pPr>
              <w:rPr>
                <w:rFonts w:ascii="Arial" w:hAnsi="Arial" w:cs="Arial"/>
                <w:sz w:val="20"/>
              </w:rPr>
            </w:pPr>
          </w:p>
        </w:tc>
        <w:tc>
          <w:tcPr>
            <w:tcW w:w="3402" w:type="dxa"/>
          </w:tcPr>
          <w:p w:rsidR="00447CFB" w:rsidRPr="005B07F6" w:rsidRDefault="00447CFB" w:rsidP="005524B8">
            <w:pPr>
              <w:pStyle w:val="ListBullet"/>
            </w:pPr>
            <w:r w:rsidRPr="005B07F6">
              <w:t>Sponsor’s comments:</w:t>
            </w:r>
          </w:p>
        </w:tc>
        <w:tc>
          <w:tcPr>
            <w:tcW w:w="5245" w:type="dxa"/>
          </w:tcPr>
          <w:p w:rsidR="00447CFB" w:rsidRPr="005B07F6" w:rsidRDefault="005B07F6" w:rsidP="00686972">
            <w:pPr>
              <w:jc w:val="both"/>
              <w:rPr>
                <w:rFonts w:ascii="Arial" w:hAnsi="Arial" w:cs="Arial"/>
                <w:sz w:val="20"/>
                <w:highlight w:val="yellow"/>
              </w:rPr>
            </w:pPr>
            <w:r>
              <w:rPr>
                <w:rFonts w:ascii="Arial" w:hAnsi="Arial" w:cs="Arial"/>
                <w:sz w:val="20"/>
                <w:lang w:val="en-US"/>
              </w:rPr>
              <w:t>The s</w:t>
            </w:r>
            <w:r w:rsidRPr="005B07F6">
              <w:rPr>
                <w:rFonts w:ascii="Arial" w:hAnsi="Arial" w:cs="Arial"/>
                <w:sz w:val="20"/>
                <w:lang w:val="en-US"/>
              </w:rPr>
              <w:t>ponsor had no comment</w:t>
            </w:r>
            <w:r>
              <w:rPr>
                <w:rFonts w:ascii="Arial" w:hAnsi="Arial" w:cs="Arial"/>
                <w:sz w:val="20"/>
                <w:lang w:val="en-US"/>
              </w:rPr>
              <w:t>.</w:t>
            </w:r>
          </w:p>
        </w:tc>
      </w:tr>
      <w:tr w:rsidR="00CB2370" w:rsidRPr="0093171D" w:rsidTr="00B216CD">
        <w:trPr>
          <w:trHeight w:val="1778"/>
        </w:trPr>
        <w:tc>
          <w:tcPr>
            <w:tcW w:w="2127" w:type="dxa"/>
            <w:vMerge w:val="restart"/>
          </w:tcPr>
          <w:p w:rsidR="00CB2370" w:rsidRPr="0093171D" w:rsidRDefault="0093171D" w:rsidP="00CB2370">
            <w:pPr>
              <w:contextualSpacing/>
              <w:rPr>
                <w:rFonts w:ascii="Arial" w:hAnsi="Arial" w:cs="Arial"/>
                <w:sz w:val="20"/>
                <w:highlight w:val="yellow"/>
              </w:rPr>
            </w:pPr>
            <w:r w:rsidRPr="0093171D">
              <w:rPr>
                <w:rFonts w:ascii="Arial" w:hAnsi="Arial" w:cs="Arial"/>
                <w:color w:val="000000"/>
                <w:sz w:val="20"/>
              </w:rPr>
              <w:lastRenderedPageBreak/>
              <w:t xml:space="preserve">LENVATINIB </w:t>
            </w:r>
            <w:r w:rsidRPr="0093171D">
              <w:rPr>
                <w:rFonts w:ascii="Arial" w:hAnsi="Arial" w:cs="Arial"/>
                <w:color w:val="000000"/>
                <w:sz w:val="20"/>
              </w:rPr>
              <w:br/>
            </w:r>
            <w:r w:rsidRPr="0093171D">
              <w:rPr>
                <w:rFonts w:ascii="Arial" w:hAnsi="Arial" w:cs="Arial"/>
                <w:color w:val="000000"/>
                <w:sz w:val="20"/>
              </w:rPr>
              <w:br/>
              <w:t>Capsule 10 mg (as mesilate)</w:t>
            </w:r>
            <w:r w:rsidRPr="0093171D">
              <w:rPr>
                <w:rFonts w:ascii="Arial" w:hAnsi="Arial" w:cs="Arial"/>
                <w:color w:val="000000"/>
                <w:sz w:val="20"/>
              </w:rPr>
              <w:br/>
              <w:t>Capsule 4 mg (as mesilate)</w:t>
            </w:r>
            <w:r w:rsidRPr="0093171D">
              <w:rPr>
                <w:rFonts w:ascii="Arial" w:hAnsi="Arial" w:cs="Arial"/>
                <w:color w:val="000000"/>
                <w:sz w:val="20"/>
              </w:rPr>
              <w:br/>
            </w:r>
            <w:r w:rsidRPr="0093171D">
              <w:rPr>
                <w:rFonts w:ascii="Arial" w:hAnsi="Arial" w:cs="Arial"/>
                <w:color w:val="000000"/>
                <w:sz w:val="20"/>
              </w:rPr>
              <w:br/>
              <w:t>Lenvima®</w:t>
            </w:r>
            <w:r w:rsidRPr="0093171D">
              <w:rPr>
                <w:rFonts w:ascii="Arial" w:hAnsi="Arial" w:cs="Arial"/>
                <w:color w:val="000000"/>
                <w:sz w:val="20"/>
              </w:rPr>
              <w:br/>
            </w:r>
            <w:r w:rsidRPr="0093171D">
              <w:rPr>
                <w:rFonts w:ascii="Arial" w:hAnsi="Arial" w:cs="Arial"/>
                <w:color w:val="000000"/>
                <w:sz w:val="20"/>
              </w:rPr>
              <w:br/>
              <w:t>Eisai Australia Pty Ltd</w:t>
            </w:r>
            <w:r w:rsidRPr="0093171D">
              <w:rPr>
                <w:rFonts w:ascii="Arial" w:hAnsi="Arial" w:cs="Arial"/>
                <w:sz w:val="20"/>
                <w:highlight w:val="yellow"/>
              </w:rPr>
              <w:t xml:space="preserve"> </w:t>
            </w:r>
          </w:p>
          <w:p w:rsidR="0093171D" w:rsidRPr="0093171D" w:rsidRDefault="0093171D" w:rsidP="00CB2370">
            <w:pPr>
              <w:contextualSpacing/>
              <w:rPr>
                <w:rFonts w:ascii="Arial" w:hAnsi="Arial" w:cs="Arial"/>
                <w:sz w:val="20"/>
                <w:highlight w:val="yellow"/>
              </w:rPr>
            </w:pPr>
          </w:p>
          <w:p w:rsidR="0093171D" w:rsidRPr="0093171D" w:rsidRDefault="0093171D" w:rsidP="0093171D">
            <w:pPr>
              <w:contextualSpacing/>
              <w:rPr>
                <w:rFonts w:ascii="Arial" w:hAnsi="Arial" w:cs="Arial"/>
                <w:sz w:val="20"/>
                <w:highlight w:val="yellow"/>
              </w:rPr>
            </w:pPr>
            <w:r w:rsidRPr="0093171D">
              <w:rPr>
                <w:rFonts w:ascii="Arial" w:hAnsi="Arial" w:cs="Arial"/>
                <w:color w:val="000000"/>
                <w:sz w:val="20"/>
              </w:rPr>
              <w:t>Change to recommended listing (Minor Submission)</w:t>
            </w:r>
          </w:p>
        </w:tc>
        <w:tc>
          <w:tcPr>
            <w:tcW w:w="2268" w:type="dxa"/>
            <w:vMerge w:val="restart"/>
            <w:shd w:val="clear" w:color="auto" w:fill="FFFFFF" w:themeFill="background1"/>
          </w:tcPr>
          <w:p w:rsidR="00D61D0B" w:rsidRPr="004869E4" w:rsidRDefault="004869E4" w:rsidP="008A1B46">
            <w:pPr>
              <w:rPr>
                <w:rFonts w:ascii="Arial" w:hAnsi="Arial" w:cs="Arial"/>
                <w:sz w:val="20"/>
              </w:rPr>
            </w:pPr>
            <w:r w:rsidRPr="004869E4">
              <w:rPr>
                <w:rFonts w:ascii="Arial" w:hAnsi="Arial" w:cs="Arial"/>
                <w:color w:val="000000"/>
                <w:sz w:val="20"/>
              </w:rPr>
              <w:t>LENVATINIB</w:t>
            </w:r>
            <w:r w:rsidR="00D61D0B" w:rsidRPr="004869E4">
              <w:rPr>
                <w:rFonts w:ascii="Arial" w:hAnsi="Arial" w:cs="Arial"/>
                <w:sz w:val="20"/>
              </w:rPr>
              <w:t xml:space="preserve"> is indicated for the treatment of:</w:t>
            </w:r>
          </w:p>
          <w:p w:rsidR="00D61D0B" w:rsidRPr="004869E4" w:rsidRDefault="00D61D0B" w:rsidP="00D61D0B">
            <w:pPr>
              <w:pStyle w:val="ListParagraph"/>
              <w:numPr>
                <w:ilvl w:val="0"/>
                <w:numId w:val="20"/>
              </w:numPr>
              <w:ind w:left="317" w:hanging="317"/>
              <w:rPr>
                <w:rFonts w:ascii="Arial" w:hAnsi="Arial" w:cs="Arial"/>
                <w:sz w:val="20"/>
                <w:szCs w:val="20"/>
              </w:rPr>
            </w:pPr>
            <w:r w:rsidRPr="004869E4">
              <w:rPr>
                <w:rFonts w:ascii="Arial" w:hAnsi="Arial" w:cs="Arial"/>
                <w:sz w:val="20"/>
                <w:szCs w:val="20"/>
              </w:rPr>
              <w:t>patients with progressive, locally advanced or metastatic, radioactive iodine refractory differentiated thyroid cancer.</w:t>
            </w:r>
          </w:p>
          <w:p w:rsidR="00CB2370" w:rsidRPr="004869E4" w:rsidRDefault="00D61D0B" w:rsidP="00D61D0B">
            <w:pPr>
              <w:pStyle w:val="ListParagraph"/>
              <w:numPr>
                <w:ilvl w:val="0"/>
                <w:numId w:val="20"/>
              </w:numPr>
              <w:ind w:left="317" w:hanging="284"/>
              <w:rPr>
                <w:rFonts w:ascii="Arial" w:hAnsi="Arial" w:cs="Arial"/>
                <w:sz w:val="20"/>
                <w:szCs w:val="20"/>
              </w:rPr>
            </w:pPr>
            <w:r w:rsidRPr="004869E4">
              <w:rPr>
                <w:rFonts w:ascii="Arial" w:hAnsi="Arial" w:cs="Arial"/>
                <w:sz w:val="20"/>
                <w:szCs w:val="20"/>
              </w:rPr>
              <w:t>(in combination with everolimus) adult patients with advanced renal cell carcinoma whose disease has progressed following one prior vascular endothelial growth factor targeted therapy.</w:t>
            </w:r>
          </w:p>
        </w:tc>
        <w:tc>
          <w:tcPr>
            <w:tcW w:w="1842" w:type="dxa"/>
            <w:vMerge w:val="restart"/>
            <w:shd w:val="clear" w:color="auto" w:fill="FFFFFF" w:themeFill="background1"/>
          </w:tcPr>
          <w:p w:rsidR="00CB2370" w:rsidRPr="004869E4" w:rsidRDefault="004869E4" w:rsidP="008A1B46">
            <w:pPr>
              <w:rPr>
                <w:rFonts w:ascii="Arial" w:hAnsi="Arial" w:cs="Arial"/>
                <w:sz w:val="20"/>
                <w:highlight w:val="yellow"/>
              </w:rPr>
            </w:pPr>
            <w:r w:rsidRPr="004869E4">
              <w:rPr>
                <w:rFonts w:ascii="Arial" w:hAnsi="Arial" w:cs="Arial"/>
                <w:color w:val="000000"/>
                <w:sz w:val="20"/>
              </w:rPr>
              <w:t>LENVATINIB</w:t>
            </w:r>
            <w:r w:rsidRPr="004869E4">
              <w:rPr>
                <w:rFonts w:ascii="Arial" w:eastAsiaTheme="minorHAnsi" w:hAnsi="Arial" w:cs="Arial"/>
                <w:sz w:val="20"/>
              </w:rPr>
              <w:t xml:space="preserve"> is currently PBS listed for the treatment of locally advanced or metastatic radioactive iodine refractory differentiated thyroid cancer.</w:t>
            </w:r>
          </w:p>
        </w:tc>
        <w:tc>
          <w:tcPr>
            <w:tcW w:w="3402" w:type="dxa"/>
          </w:tcPr>
          <w:p w:rsidR="00CB2370" w:rsidRPr="00E57D8D" w:rsidRDefault="0093171D" w:rsidP="008A1B46">
            <w:pPr>
              <w:keepLines/>
              <w:rPr>
                <w:rFonts w:ascii="Arial" w:hAnsi="Arial" w:cs="Arial"/>
                <w:sz w:val="20"/>
              </w:rPr>
            </w:pPr>
            <w:r w:rsidRPr="00E57D8D">
              <w:rPr>
                <w:rFonts w:ascii="Arial" w:hAnsi="Arial" w:cs="Arial"/>
                <w:color w:val="000000"/>
                <w:sz w:val="20"/>
              </w:rPr>
              <w:t>Resubmission to request an Authority Required (STREAMLINED) listing for the treatment of patients with advanced renal cell carcinoma following treatment with at least one anti-angiogenic therapy.</w:t>
            </w:r>
          </w:p>
        </w:tc>
        <w:tc>
          <w:tcPr>
            <w:tcW w:w="5245" w:type="dxa"/>
          </w:tcPr>
          <w:p w:rsidR="00CB2370" w:rsidRPr="00E57D8D" w:rsidRDefault="00E57D8D" w:rsidP="00686972">
            <w:pPr>
              <w:jc w:val="both"/>
              <w:rPr>
                <w:rFonts w:ascii="Arial" w:hAnsi="Arial" w:cs="Arial"/>
                <w:sz w:val="20"/>
                <w:highlight w:val="yellow"/>
              </w:rPr>
            </w:pPr>
            <w:r w:rsidRPr="00E57D8D">
              <w:rPr>
                <w:rFonts w:ascii="Arial" w:hAnsi="Arial" w:cs="Arial"/>
                <w:sz w:val="20"/>
              </w:rPr>
              <w:t>The PBAC did not recommend the listing of lenvatinib in combination with everolimus for the treatment of patients with stage IV clear cell variant renal cell carcinoma (RCC) on the basis that clinical need and clinical place in therapy were not adequately established.</w:t>
            </w:r>
          </w:p>
        </w:tc>
      </w:tr>
      <w:tr w:rsidR="00CB2370" w:rsidRPr="00447CFB" w:rsidTr="007E146D">
        <w:trPr>
          <w:trHeight w:val="270"/>
        </w:trPr>
        <w:tc>
          <w:tcPr>
            <w:tcW w:w="2127" w:type="dxa"/>
            <w:vMerge/>
          </w:tcPr>
          <w:p w:rsidR="00CB2370" w:rsidRPr="00447CFB" w:rsidRDefault="00CB2370" w:rsidP="008A1B46">
            <w:pPr>
              <w:rPr>
                <w:rFonts w:ascii="Arial" w:hAnsi="Arial" w:cs="Arial"/>
                <w:sz w:val="20"/>
              </w:rPr>
            </w:pPr>
          </w:p>
        </w:tc>
        <w:tc>
          <w:tcPr>
            <w:tcW w:w="2268" w:type="dxa"/>
            <w:vMerge/>
            <w:shd w:val="clear" w:color="auto" w:fill="FFFFFF" w:themeFill="background1"/>
          </w:tcPr>
          <w:p w:rsidR="00CB2370" w:rsidRPr="00E84559" w:rsidRDefault="00CB2370" w:rsidP="008A1B46">
            <w:pPr>
              <w:rPr>
                <w:rFonts w:ascii="Arial" w:hAnsi="Arial" w:cs="Arial"/>
                <w:sz w:val="20"/>
              </w:rPr>
            </w:pPr>
          </w:p>
        </w:tc>
        <w:tc>
          <w:tcPr>
            <w:tcW w:w="1842" w:type="dxa"/>
            <w:vMerge/>
            <w:shd w:val="clear" w:color="auto" w:fill="FFFFFF" w:themeFill="background1"/>
          </w:tcPr>
          <w:p w:rsidR="00CB2370" w:rsidRPr="00447CFB" w:rsidRDefault="00CB2370" w:rsidP="008A1B46">
            <w:pPr>
              <w:rPr>
                <w:rFonts w:ascii="Arial" w:hAnsi="Arial" w:cs="Arial"/>
                <w:sz w:val="20"/>
              </w:rPr>
            </w:pPr>
          </w:p>
        </w:tc>
        <w:tc>
          <w:tcPr>
            <w:tcW w:w="3402" w:type="dxa"/>
          </w:tcPr>
          <w:p w:rsidR="00CB2370" w:rsidRPr="00E57D8D" w:rsidRDefault="00CB2370" w:rsidP="008A1B46">
            <w:pPr>
              <w:rPr>
                <w:rFonts w:ascii="Arial" w:hAnsi="Arial" w:cs="Arial"/>
                <w:snapToGrid w:val="0"/>
                <w:sz w:val="20"/>
                <w:lang w:eastAsia="en-US"/>
              </w:rPr>
            </w:pPr>
            <w:r w:rsidRPr="00E57D8D">
              <w:rPr>
                <w:rFonts w:ascii="Arial" w:hAnsi="Arial" w:cs="Arial"/>
                <w:snapToGrid w:val="0"/>
                <w:sz w:val="20"/>
                <w:lang w:eastAsia="en-US"/>
              </w:rPr>
              <w:t xml:space="preserve">Comparator: </w:t>
            </w:r>
            <w:r w:rsidR="00E57D8D" w:rsidRPr="00E57D8D">
              <w:rPr>
                <w:rFonts w:ascii="Arial" w:hAnsi="Arial" w:cs="Arial"/>
                <w:snapToGrid w:val="0"/>
                <w:sz w:val="20"/>
                <w:lang w:eastAsia="en-US"/>
              </w:rPr>
              <w:t>cabozantinib</w:t>
            </w:r>
            <w:r w:rsidR="001263F7">
              <w:rPr>
                <w:rFonts w:ascii="Arial" w:hAnsi="Arial" w:cs="Arial"/>
                <w:snapToGrid w:val="0"/>
                <w:sz w:val="20"/>
                <w:lang w:eastAsia="en-US"/>
              </w:rPr>
              <w:t>.</w:t>
            </w:r>
          </w:p>
        </w:tc>
        <w:tc>
          <w:tcPr>
            <w:tcW w:w="5245" w:type="dxa"/>
          </w:tcPr>
          <w:p w:rsidR="00CB2370" w:rsidRPr="00E57D8D" w:rsidRDefault="00E57D8D" w:rsidP="00686972">
            <w:pPr>
              <w:jc w:val="both"/>
              <w:rPr>
                <w:rFonts w:ascii="Arial" w:hAnsi="Arial" w:cs="Arial"/>
                <w:sz w:val="20"/>
                <w:highlight w:val="yellow"/>
              </w:rPr>
            </w:pPr>
            <w:r w:rsidRPr="00E57D8D">
              <w:rPr>
                <w:rFonts w:ascii="Arial" w:hAnsi="Arial" w:cs="Arial"/>
                <w:sz w:val="20"/>
              </w:rPr>
              <w:t>The PBAC recalled that there were many established therapies for advanced RCC, and noted that cabozantinib was recommended for PBS listing at the December 2017 meeting. The PBAC noted the pre-PBAC response stated that lenvatinib/everolimus represents an alternative treatment option to cabozantinib. The PBAC considered that concerns regarding the magnitude of clinical benefit of lenvatinib/everolimus when compared to cabozantinib and other later line therapies meant that its clinical place in therapy was unclear. The PBAC re-affirmed that until the clinical place in therapy is established, an appropriate comparator for lenvatinib/everolimus cannot be determined.</w:t>
            </w:r>
          </w:p>
        </w:tc>
      </w:tr>
      <w:tr w:rsidR="00CB2370" w:rsidRPr="00447CFB" w:rsidTr="007E146D">
        <w:trPr>
          <w:trHeight w:val="1903"/>
        </w:trPr>
        <w:tc>
          <w:tcPr>
            <w:tcW w:w="2127" w:type="dxa"/>
            <w:vMerge/>
          </w:tcPr>
          <w:p w:rsidR="00CB2370" w:rsidRPr="00447CFB" w:rsidRDefault="00CB2370" w:rsidP="008A1B46">
            <w:pPr>
              <w:rPr>
                <w:rFonts w:ascii="Arial" w:hAnsi="Arial" w:cs="Arial"/>
                <w:sz w:val="20"/>
              </w:rPr>
            </w:pPr>
          </w:p>
        </w:tc>
        <w:tc>
          <w:tcPr>
            <w:tcW w:w="2268" w:type="dxa"/>
            <w:vMerge/>
            <w:shd w:val="clear" w:color="auto" w:fill="FFFFFF" w:themeFill="background1"/>
          </w:tcPr>
          <w:p w:rsidR="00CB2370" w:rsidRPr="00E84559" w:rsidRDefault="00CB2370" w:rsidP="008A1B46">
            <w:pPr>
              <w:rPr>
                <w:rFonts w:ascii="Arial" w:hAnsi="Arial" w:cs="Arial"/>
                <w:sz w:val="20"/>
              </w:rPr>
            </w:pPr>
          </w:p>
        </w:tc>
        <w:tc>
          <w:tcPr>
            <w:tcW w:w="1842" w:type="dxa"/>
            <w:vMerge/>
            <w:shd w:val="clear" w:color="auto" w:fill="FFFFFF" w:themeFill="background1"/>
          </w:tcPr>
          <w:p w:rsidR="00CB2370" w:rsidRPr="00447CFB" w:rsidRDefault="00CB2370" w:rsidP="008A1B46">
            <w:pPr>
              <w:rPr>
                <w:rFonts w:ascii="Arial" w:hAnsi="Arial" w:cs="Arial"/>
                <w:sz w:val="20"/>
              </w:rPr>
            </w:pPr>
          </w:p>
        </w:tc>
        <w:tc>
          <w:tcPr>
            <w:tcW w:w="3402" w:type="dxa"/>
          </w:tcPr>
          <w:p w:rsidR="00CB2370" w:rsidRPr="00E57D8D" w:rsidRDefault="00CB2370" w:rsidP="008A1B46">
            <w:pPr>
              <w:rPr>
                <w:rFonts w:ascii="Arial" w:hAnsi="Arial" w:cs="Arial"/>
                <w:snapToGrid w:val="0"/>
                <w:sz w:val="20"/>
                <w:lang w:eastAsia="en-US"/>
              </w:rPr>
            </w:pPr>
            <w:r w:rsidRPr="00E57D8D">
              <w:rPr>
                <w:rFonts w:ascii="Arial" w:hAnsi="Arial" w:cs="Arial"/>
                <w:snapToGrid w:val="0"/>
                <w:sz w:val="20"/>
                <w:lang w:eastAsia="en-US"/>
              </w:rPr>
              <w:t>Clinical claim:</w:t>
            </w:r>
            <w:r w:rsidRPr="00E57D8D">
              <w:rPr>
                <w:rFonts w:ascii="Arial" w:hAnsi="Arial" w:cs="Arial"/>
                <w:sz w:val="20"/>
              </w:rPr>
              <w:t xml:space="preserve"> </w:t>
            </w:r>
            <w:r w:rsidR="00E57D8D" w:rsidRPr="00E57D8D">
              <w:rPr>
                <w:rFonts w:ascii="Arial" w:hAnsi="Arial" w:cs="Arial"/>
                <w:sz w:val="20"/>
              </w:rPr>
              <w:t>Lenvatinib/everolimus is non-inferior in terms of effectiveness and safety compared with cabozantinib.</w:t>
            </w:r>
          </w:p>
        </w:tc>
        <w:tc>
          <w:tcPr>
            <w:tcW w:w="5245" w:type="dxa"/>
          </w:tcPr>
          <w:p w:rsidR="00CB2370" w:rsidRPr="00E57D8D" w:rsidRDefault="00E57D8D" w:rsidP="00686972">
            <w:pPr>
              <w:jc w:val="both"/>
              <w:rPr>
                <w:rFonts w:ascii="Arial" w:hAnsi="Arial" w:cs="Arial"/>
                <w:sz w:val="20"/>
                <w:highlight w:val="yellow"/>
              </w:rPr>
            </w:pPr>
            <w:r w:rsidRPr="00E57D8D">
              <w:rPr>
                <w:rFonts w:ascii="Arial" w:hAnsi="Arial" w:cs="Arial"/>
                <w:sz w:val="20"/>
              </w:rPr>
              <w:t>The PBAC considered that the claim of non-inferior effectiveness compared with cabozantinib, based on an indirect comparison, was inadequately supported by the evidence presented. In addition, the PBAC considered the claim of non-inferior safety to be uncertain, and considered it likely that lenvatinib/everolimus has a different safety profile compared with cabozantinib.</w:t>
            </w:r>
          </w:p>
        </w:tc>
      </w:tr>
      <w:tr w:rsidR="00CB2370" w:rsidRPr="00447CFB" w:rsidTr="007E146D">
        <w:trPr>
          <w:trHeight w:val="433"/>
        </w:trPr>
        <w:tc>
          <w:tcPr>
            <w:tcW w:w="2127" w:type="dxa"/>
            <w:vMerge/>
          </w:tcPr>
          <w:p w:rsidR="00CB2370" w:rsidRPr="00447CFB" w:rsidRDefault="00CB2370" w:rsidP="008A1B46">
            <w:pPr>
              <w:rPr>
                <w:rFonts w:ascii="Arial" w:hAnsi="Arial" w:cs="Arial"/>
                <w:sz w:val="20"/>
              </w:rPr>
            </w:pPr>
          </w:p>
        </w:tc>
        <w:tc>
          <w:tcPr>
            <w:tcW w:w="2268" w:type="dxa"/>
            <w:vMerge/>
            <w:shd w:val="clear" w:color="auto" w:fill="FFFFFF" w:themeFill="background1"/>
          </w:tcPr>
          <w:p w:rsidR="00CB2370" w:rsidRPr="00E84559" w:rsidRDefault="00CB2370" w:rsidP="008A1B46">
            <w:pPr>
              <w:rPr>
                <w:rFonts w:ascii="Arial" w:hAnsi="Arial" w:cs="Arial"/>
                <w:sz w:val="20"/>
              </w:rPr>
            </w:pPr>
          </w:p>
        </w:tc>
        <w:tc>
          <w:tcPr>
            <w:tcW w:w="1842" w:type="dxa"/>
            <w:vMerge/>
            <w:shd w:val="clear" w:color="auto" w:fill="FFFFFF" w:themeFill="background1"/>
          </w:tcPr>
          <w:p w:rsidR="00CB2370" w:rsidRPr="00447CFB" w:rsidRDefault="00CB2370" w:rsidP="008A1B46">
            <w:pPr>
              <w:rPr>
                <w:rFonts w:ascii="Arial" w:hAnsi="Arial" w:cs="Arial"/>
                <w:sz w:val="20"/>
              </w:rPr>
            </w:pPr>
          </w:p>
        </w:tc>
        <w:tc>
          <w:tcPr>
            <w:tcW w:w="3402" w:type="dxa"/>
          </w:tcPr>
          <w:p w:rsidR="00E57D8D" w:rsidRPr="00E57D8D" w:rsidRDefault="00CB2370" w:rsidP="00E57D8D">
            <w:pPr>
              <w:rPr>
                <w:rFonts w:ascii="Arial" w:hAnsi="Arial" w:cs="Arial"/>
                <w:snapToGrid w:val="0"/>
                <w:sz w:val="20"/>
              </w:rPr>
            </w:pPr>
            <w:r w:rsidRPr="00E57D8D">
              <w:rPr>
                <w:rFonts w:ascii="Arial" w:hAnsi="Arial" w:cs="Arial"/>
                <w:snapToGrid w:val="0"/>
                <w:sz w:val="20"/>
                <w:lang w:eastAsia="en-US"/>
              </w:rPr>
              <w:t>Economic claim:</w:t>
            </w:r>
            <w:r w:rsidRPr="00E57D8D">
              <w:rPr>
                <w:rFonts w:ascii="Arial" w:hAnsi="Arial" w:cs="Arial"/>
                <w:sz w:val="20"/>
              </w:rPr>
              <w:t xml:space="preserve"> </w:t>
            </w:r>
            <w:r w:rsidR="00E57D8D" w:rsidRPr="00E57D8D">
              <w:rPr>
                <w:rFonts w:ascii="Arial" w:hAnsi="Arial" w:cs="Arial"/>
                <w:sz w:val="20"/>
              </w:rPr>
              <w:t>cost-minimisation analysis compared with cabozantinib</w:t>
            </w:r>
          </w:p>
          <w:p w:rsidR="00CB2370" w:rsidRPr="00E57D8D" w:rsidRDefault="00CB2370" w:rsidP="008A1B46">
            <w:pPr>
              <w:rPr>
                <w:rFonts w:ascii="Arial" w:hAnsi="Arial" w:cs="Arial"/>
                <w:snapToGrid w:val="0"/>
                <w:sz w:val="20"/>
                <w:lang w:eastAsia="en-US"/>
              </w:rPr>
            </w:pPr>
          </w:p>
          <w:p w:rsidR="00CB2370" w:rsidRPr="00E57D8D" w:rsidRDefault="00CB2370" w:rsidP="008A1B46">
            <w:pPr>
              <w:rPr>
                <w:rFonts w:ascii="Arial" w:hAnsi="Arial" w:cs="Arial"/>
                <w:snapToGrid w:val="0"/>
                <w:sz w:val="20"/>
                <w:lang w:eastAsia="en-US"/>
              </w:rPr>
            </w:pPr>
          </w:p>
        </w:tc>
        <w:tc>
          <w:tcPr>
            <w:tcW w:w="5245" w:type="dxa"/>
          </w:tcPr>
          <w:p w:rsidR="00CB2370" w:rsidRPr="00E57D8D" w:rsidRDefault="00E57D8D" w:rsidP="00686972">
            <w:pPr>
              <w:tabs>
                <w:tab w:val="left" w:pos="960"/>
              </w:tabs>
              <w:jc w:val="both"/>
              <w:rPr>
                <w:rFonts w:ascii="Arial" w:hAnsi="Arial" w:cs="Arial"/>
                <w:sz w:val="20"/>
                <w:highlight w:val="yellow"/>
              </w:rPr>
            </w:pPr>
            <w:r w:rsidRPr="00E57D8D">
              <w:rPr>
                <w:rFonts w:ascii="Arial" w:hAnsi="Arial" w:cs="Arial"/>
                <w:sz w:val="20"/>
              </w:rPr>
              <w:t>The PBAC considered that a cost-minimisation analysis was inappropriate, as the indirect comparison evidence presented did not demonstrate non-inferior effectiveness for lenvatinib/everolimus compared with cabozantinib.</w:t>
            </w:r>
          </w:p>
        </w:tc>
      </w:tr>
      <w:tr w:rsidR="00CB2370" w:rsidRPr="00447CFB" w:rsidTr="00855CF7">
        <w:trPr>
          <w:trHeight w:val="405"/>
        </w:trPr>
        <w:tc>
          <w:tcPr>
            <w:tcW w:w="2127" w:type="dxa"/>
            <w:vMerge/>
          </w:tcPr>
          <w:p w:rsidR="00CB2370" w:rsidRPr="00447CFB" w:rsidRDefault="00CB2370" w:rsidP="008A1B46">
            <w:pPr>
              <w:rPr>
                <w:rFonts w:ascii="Arial" w:hAnsi="Arial" w:cs="Arial"/>
                <w:sz w:val="20"/>
              </w:rPr>
            </w:pPr>
          </w:p>
        </w:tc>
        <w:tc>
          <w:tcPr>
            <w:tcW w:w="2268" w:type="dxa"/>
            <w:vMerge/>
            <w:shd w:val="clear" w:color="auto" w:fill="FFFFFF" w:themeFill="background1"/>
          </w:tcPr>
          <w:p w:rsidR="00CB2370" w:rsidRPr="00E84559" w:rsidRDefault="00CB2370" w:rsidP="008A1B46">
            <w:pPr>
              <w:rPr>
                <w:rFonts w:ascii="Arial" w:hAnsi="Arial" w:cs="Arial"/>
                <w:sz w:val="20"/>
              </w:rPr>
            </w:pPr>
          </w:p>
        </w:tc>
        <w:tc>
          <w:tcPr>
            <w:tcW w:w="1842" w:type="dxa"/>
            <w:vMerge/>
            <w:shd w:val="clear" w:color="auto" w:fill="FFFFFF" w:themeFill="background1"/>
          </w:tcPr>
          <w:p w:rsidR="00CB2370" w:rsidRPr="00447CFB" w:rsidRDefault="00CB2370" w:rsidP="008A1B46">
            <w:pPr>
              <w:rPr>
                <w:rFonts w:ascii="Arial" w:hAnsi="Arial" w:cs="Arial"/>
                <w:sz w:val="20"/>
              </w:rPr>
            </w:pPr>
          </w:p>
        </w:tc>
        <w:tc>
          <w:tcPr>
            <w:tcW w:w="3402" w:type="dxa"/>
          </w:tcPr>
          <w:p w:rsidR="00CB2370" w:rsidRPr="00447CFB" w:rsidRDefault="00CB2370" w:rsidP="008A1B46">
            <w:pPr>
              <w:pStyle w:val="ListBullet"/>
            </w:pPr>
            <w:r w:rsidRPr="00447CFB">
              <w:t>Sponsor’s comments:</w:t>
            </w:r>
          </w:p>
          <w:p w:rsidR="00CB2370" w:rsidRPr="00447CFB" w:rsidRDefault="00CB2370" w:rsidP="008A1B46">
            <w:pPr>
              <w:pStyle w:val="ListBullet"/>
            </w:pPr>
          </w:p>
        </w:tc>
        <w:tc>
          <w:tcPr>
            <w:tcW w:w="5245" w:type="dxa"/>
            <w:shd w:val="clear" w:color="auto" w:fill="auto"/>
          </w:tcPr>
          <w:p w:rsidR="00CB2370" w:rsidRPr="00447CFB" w:rsidRDefault="000057CB" w:rsidP="000057CB">
            <w:pPr>
              <w:jc w:val="both"/>
              <w:rPr>
                <w:rFonts w:ascii="Arial" w:hAnsi="Arial" w:cs="Arial"/>
                <w:sz w:val="20"/>
                <w:highlight w:val="yellow"/>
              </w:rPr>
            </w:pPr>
            <w:r w:rsidRPr="000057CB">
              <w:rPr>
                <w:rFonts w:ascii="Arial" w:hAnsi="Arial" w:cs="Arial"/>
                <w:sz w:val="20"/>
              </w:rPr>
              <w:t xml:space="preserve">Eisai Australia Pty Ltd nominated four comparators for </w:t>
            </w:r>
            <w:proofErr w:type="spellStart"/>
            <w:r w:rsidRPr="000057CB">
              <w:rPr>
                <w:rFonts w:ascii="Arial" w:hAnsi="Arial" w:cs="Arial"/>
                <w:sz w:val="20"/>
              </w:rPr>
              <w:t>lenvatinib+everolimus</w:t>
            </w:r>
            <w:proofErr w:type="spellEnd"/>
            <w:r w:rsidRPr="000057CB">
              <w:rPr>
                <w:rFonts w:ascii="Arial" w:hAnsi="Arial" w:cs="Arial"/>
                <w:sz w:val="20"/>
              </w:rPr>
              <w:t xml:space="preserve"> as a treatment for renal cell carcinoma: </w:t>
            </w:r>
            <w:proofErr w:type="spellStart"/>
            <w:r w:rsidRPr="000057CB">
              <w:rPr>
                <w:rFonts w:ascii="Arial" w:hAnsi="Arial" w:cs="Arial"/>
                <w:sz w:val="20"/>
              </w:rPr>
              <w:t>everolimus</w:t>
            </w:r>
            <w:proofErr w:type="spellEnd"/>
            <w:r w:rsidRPr="000057CB">
              <w:rPr>
                <w:rFonts w:ascii="Arial" w:hAnsi="Arial" w:cs="Arial"/>
                <w:sz w:val="20"/>
              </w:rPr>
              <w:t xml:space="preserve">; </w:t>
            </w:r>
            <w:proofErr w:type="spellStart"/>
            <w:r w:rsidRPr="000057CB">
              <w:rPr>
                <w:rFonts w:ascii="Arial" w:hAnsi="Arial" w:cs="Arial"/>
                <w:sz w:val="20"/>
              </w:rPr>
              <w:t>nivolumab</w:t>
            </w:r>
            <w:proofErr w:type="spellEnd"/>
            <w:r w:rsidRPr="000057CB">
              <w:rPr>
                <w:rFonts w:ascii="Arial" w:hAnsi="Arial" w:cs="Arial"/>
                <w:sz w:val="20"/>
              </w:rPr>
              <w:t xml:space="preserve">; </w:t>
            </w:r>
            <w:proofErr w:type="spellStart"/>
            <w:r w:rsidRPr="000057CB">
              <w:rPr>
                <w:rFonts w:ascii="Arial" w:hAnsi="Arial" w:cs="Arial"/>
                <w:sz w:val="20"/>
              </w:rPr>
              <w:t>cabozantinib</w:t>
            </w:r>
            <w:proofErr w:type="spellEnd"/>
            <w:r w:rsidRPr="000057CB">
              <w:rPr>
                <w:rFonts w:ascii="Arial" w:hAnsi="Arial" w:cs="Arial"/>
                <w:sz w:val="20"/>
              </w:rPr>
              <w:t xml:space="preserve"> and </w:t>
            </w:r>
            <w:proofErr w:type="spellStart"/>
            <w:r w:rsidRPr="000057CB">
              <w:rPr>
                <w:rFonts w:ascii="Arial" w:hAnsi="Arial" w:cs="Arial"/>
                <w:sz w:val="20"/>
              </w:rPr>
              <w:t>axitinib</w:t>
            </w:r>
            <w:proofErr w:type="spellEnd"/>
            <w:r w:rsidRPr="000057CB">
              <w:rPr>
                <w:rFonts w:ascii="Arial" w:hAnsi="Arial" w:cs="Arial"/>
                <w:sz w:val="20"/>
              </w:rPr>
              <w:t xml:space="preserve">. Clinical evidence presented to the PBAC showed an increased duration of PFS and OS for </w:t>
            </w:r>
            <w:proofErr w:type="spellStart"/>
            <w:r w:rsidRPr="000057CB">
              <w:rPr>
                <w:rFonts w:ascii="Arial" w:hAnsi="Arial" w:cs="Arial"/>
                <w:sz w:val="20"/>
              </w:rPr>
              <w:t>lenvatinib+everolimus</w:t>
            </w:r>
            <w:proofErr w:type="spellEnd"/>
            <w:r w:rsidRPr="000057CB">
              <w:rPr>
                <w:rFonts w:ascii="Arial" w:hAnsi="Arial" w:cs="Arial"/>
                <w:sz w:val="20"/>
              </w:rPr>
              <w:t xml:space="preserve"> compared to all four comparators. As such, Eisai Australia Pty Ltd is disappointed that the PBAC is of the position that the clinical need was not adequately established and that claim of non-inferior effectiveness to </w:t>
            </w:r>
            <w:proofErr w:type="spellStart"/>
            <w:r w:rsidRPr="000057CB">
              <w:rPr>
                <w:rFonts w:ascii="Arial" w:hAnsi="Arial" w:cs="Arial"/>
                <w:sz w:val="20"/>
              </w:rPr>
              <w:t>cabozantinib</w:t>
            </w:r>
            <w:proofErr w:type="spellEnd"/>
            <w:r w:rsidRPr="000057CB">
              <w:rPr>
                <w:rFonts w:ascii="Arial" w:hAnsi="Arial" w:cs="Arial"/>
                <w:sz w:val="20"/>
              </w:rPr>
              <w:t xml:space="preserve"> was inadequately supported.</w:t>
            </w:r>
          </w:p>
        </w:tc>
      </w:tr>
      <w:tr w:rsidR="00CB2370" w:rsidRPr="008D0CCA" w:rsidTr="000057CB">
        <w:trPr>
          <w:cantSplit/>
          <w:trHeight w:val="435"/>
        </w:trPr>
        <w:tc>
          <w:tcPr>
            <w:tcW w:w="2127" w:type="dxa"/>
            <w:vMerge w:val="restart"/>
          </w:tcPr>
          <w:p w:rsidR="00CB2370" w:rsidRDefault="00CB2370" w:rsidP="00CB2370">
            <w:pPr>
              <w:contextualSpacing/>
              <w:rPr>
                <w:rFonts w:ascii="Arial" w:hAnsi="Arial" w:cs="Arial"/>
                <w:sz w:val="20"/>
              </w:rPr>
            </w:pPr>
            <w:r w:rsidRPr="00CB2370">
              <w:rPr>
                <w:rFonts w:ascii="Arial" w:hAnsi="Arial" w:cs="Arial"/>
                <w:sz w:val="20"/>
              </w:rPr>
              <w:t>LIRAGLUTIDE</w:t>
            </w:r>
          </w:p>
          <w:p w:rsidR="0093171D" w:rsidRPr="0093171D" w:rsidRDefault="0093171D" w:rsidP="00CB2370">
            <w:pPr>
              <w:contextualSpacing/>
              <w:rPr>
                <w:rFonts w:ascii="Arial" w:hAnsi="Arial" w:cs="Arial"/>
                <w:sz w:val="20"/>
              </w:rPr>
            </w:pPr>
          </w:p>
          <w:p w:rsidR="00CB2370" w:rsidRPr="0093171D" w:rsidRDefault="0093171D" w:rsidP="008A1B46">
            <w:pPr>
              <w:contextualSpacing/>
              <w:rPr>
                <w:rFonts w:ascii="Arial" w:hAnsi="Arial" w:cs="Arial"/>
                <w:color w:val="000000"/>
                <w:sz w:val="20"/>
              </w:rPr>
            </w:pPr>
            <w:r w:rsidRPr="0093171D">
              <w:rPr>
                <w:rFonts w:ascii="Arial" w:hAnsi="Arial" w:cs="Arial"/>
                <w:color w:val="000000"/>
                <w:sz w:val="20"/>
              </w:rPr>
              <w:t>Injection 6 mg/mL, 3mL pre-filled pen</w:t>
            </w:r>
            <w:r w:rsidRPr="0093171D">
              <w:rPr>
                <w:rFonts w:ascii="Arial" w:hAnsi="Arial" w:cs="Arial"/>
                <w:color w:val="000000"/>
                <w:sz w:val="20"/>
              </w:rPr>
              <w:br/>
            </w:r>
            <w:r w:rsidRPr="0093171D">
              <w:rPr>
                <w:rFonts w:ascii="Arial" w:hAnsi="Arial" w:cs="Arial"/>
                <w:color w:val="000000"/>
                <w:sz w:val="20"/>
              </w:rPr>
              <w:br/>
              <w:t>Victoza®</w:t>
            </w:r>
            <w:r w:rsidRPr="0093171D">
              <w:rPr>
                <w:rFonts w:ascii="Arial" w:hAnsi="Arial" w:cs="Arial"/>
                <w:color w:val="000000"/>
                <w:sz w:val="20"/>
              </w:rPr>
              <w:br/>
            </w:r>
            <w:r w:rsidRPr="0093171D">
              <w:rPr>
                <w:rFonts w:ascii="Arial" w:hAnsi="Arial" w:cs="Arial"/>
                <w:color w:val="000000"/>
                <w:sz w:val="20"/>
              </w:rPr>
              <w:br/>
              <w:t>Novo Nordisk Pharmaceuticals Pty Limited</w:t>
            </w:r>
          </w:p>
          <w:p w:rsidR="0093171D" w:rsidRPr="0093171D" w:rsidRDefault="0093171D" w:rsidP="008A1B46">
            <w:pPr>
              <w:contextualSpacing/>
              <w:rPr>
                <w:rFonts w:ascii="Arial" w:hAnsi="Arial" w:cs="Arial"/>
                <w:color w:val="000000"/>
                <w:sz w:val="20"/>
              </w:rPr>
            </w:pPr>
          </w:p>
          <w:p w:rsidR="0093171D" w:rsidRPr="008D0CCA" w:rsidRDefault="0093171D" w:rsidP="0093171D">
            <w:pPr>
              <w:contextualSpacing/>
              <w:rPr>
                <w:rFonts w:ascii="Arial" w:hAnsi="Arial" w:cs="Arial"/>
                <w:sz w:val="20"/>
                <w:highlight w:val="yellow"/>
              </w:rPr>
            </w:pPr>
            <w:r w:rsidRPr="0093171D">
              <w:rPr>
                <w:rFonts w:ascii="Arial" w:hAnsi="Arial" w:cs="Arial"/>
                <w:color w:val="000000"/>
                <w:sz w:val="20"/>
              </w:rPr>
              <w:t>Change  to recommended listing (Minor Submission)</w:t>
            </w:r>
          </w:p>
        </w:tc>
        <w:tc>
          <w:tcPr>
            <w:tcW w:w="2268" w:type="dxa"/>
            <w:vMerge w:val="restart"/>
          </w:tcPr>
          <w:p w:rsidR="002D70FB" w:rsidRPr="00E84559" w:rsidRDefault="002D70FB" w:rsidP="002D70FB">
            <w:pPr>
              <w:rPr>
                <w:rFonts w:ascii="Arial" w:hAnsi="Arial" w:cs="Arial"/>
                <w:sz w:val="20"/>
              </w:rPr>
            </w:pPr>
            <w:r w:rsidRPr="00E84559">
              <w:rPr>
                <w:rFonts w:ascii="Arial" w:hAnsi="Arial" w:cs="Arial"/>
                <w:sz w:val="20"/>
              </w:rPr>
              <w:t>Liraglutide is indicated as an adjunct to diet and exercise for treatment of adults with type 2 diabetes mellitus to achieve glycaemic control:</w:t>
            </w:r>
          </w:p>
          <w:p w:rsidR="002D70FB" w:rsidRPr="00E84559" w:rsidRDefault="002D70FB" w:rsidP="002D70FB">
            <w:pPr>
              <w:rPr>
                <w:rFonts w:ascii="Arial" w:hAnsi="Arial" w:cs="Arial"/>
                <w:sz w:val="20"/>
              </w:rPr>
            </w:pPr>
            <w:r w:rsidRPr="00E84559">
              <w:rPr>
                <w:rFonts w:ascii="Arial" w:hAnsi="Arial" w:cs="Arial"/>
                <w:sz w:val="20"/>
              </w:rPr>
              <w:t>• as monotherapy when metformin is contraindicated or is not tolerated</w:t>
            </w:r>
          </w:p>
          <w:p w:rsidR="002D70FB" w:rsidRPr="00E84559" w:rsidRDefault="002D70FB" w:rsidP="002D70FB">
            <w:pPr>
              <w:rPr>
                <w:rFonts w:ascii="Arial" w:hAnsi="Arial" w:cs="Arial"/>
                <w:sz w:val="20"/>
              </w:rPr>
            </w:pPr>
            <w:r w:rsidRPr="00E84559">
              <w:rPr>
                <w:rFonts w:ascii="Arial" w:hAnsi="Arial" w:cs="Arial"/>
                <w:sz w:val="20"/>
              </w:rPr>
              <w:t>• in combination with other glucose lowering medicines.</w:t>
            </w:r>
          </w:p>
          <w:p w:rsidR="002D70FB" w:rsidRPr="00E84559" w:rsidRDefault="002D70FB" w:rsidP="002D70FB">
            <w:pPr>
              <w:rPr>
                <w:rFonts w:ascii="Arial" w:hAnsi="Arial" w:cs="Arial"/>
                <w:sz w:val="20"/>
              </w:rPr>
            </w:pPr>
          </w:p>
          <w:p w:rsidR="00CB2370" w:rsidRPr="00E84559" w:rsidRDefault="002D70FB" w:rsidP="002D70FB">
            <w:pPr>
              <w:rPr>
                <w:rFonts w:ascii="Arial" w:hAnsi="Arial" w:cs="Arial"/>
                <w:sz w:val="20"/>
                <w:highlight w:val="yellow"/>
              </w:rPr>
            </w:pPr>
            <w:r w:rsidRPr="00E84559">
              <w:rPr>
                <w:rFonts w:ascii="Arial" w:hAnsi="Arial" w:cs="Arial"/>
                <w:sz w:val="20"/>
              </w:rPr>
              <w:t xml:space="preserve">In patients where Liraglutide is indicated to improve glycaemic control, Liraglutide is indicated to reduce the risk of cardiovascular events in those at high cardiovascular risk, as an adjunct to standard </w:t>
            </w:r>
            <w:r w:rsidRPr="00E84559">
              <w:rPr>
                <w:rFonts w:ascii="Arial" w:hAnsi="Arial" w:cs="Arial"/>
                <w:sz w:val="20"/>
              </w:rPr>
              <w:lastRenderedPageBreak/>
              <w:t xml:space="preserve">of care therapy. </w:t>
            </w:r>
          </w:p>
        </w:tc>
        <w:tc>
          <w:tcPr>
            <w:tcW w:w="1842" w:type="dxa"/>
            <w:vMerge w:val="restart"/>
          </w:tcPr>
          <w:p w:rsidR="00CB2370" w:rsidRPr="008D0CCA" w:rsidRDefault="002D70FB" w:rsidP="002D70FB">
            <w:pPr>
              <w:rPr>
                <w:rFonts w:ascii="Arial" w:hAnsi="Arial" w:cs="Arial"/>
                <w:sz w:val="20"/>
                <w:highlight w:val="yellow"/>
              </w:rPr>
            </w:pPr>
            <w:r>
              <w:rPr>
                <w:rFonts w:ascii="Arial" w:hAnsi="Arial" w:cs="Arial"/>
                <w:sz w:val="20"/>
              </w:rPr>
              <w:lastRenderedPageBreak/>
              <w:t>LIRAGLUTIDE is n</w:t>
            </w:r>
            <w:r w:rsidR="006C15C5" w:rsidRPr="006C15C5">
              <w:rPr>
                <w:rFonts w:ascii="Arial" w:hAnsi="Arial" w:cs="Arial"/>
                <w:sz w:val="20"/>
              </w:rPr>
              <w:t xml:space="preserve">ot </w:t>
            </w:r>
            <w:r>
              <w:rPr>
                <w:rFonts w:ascii="Arial" w:hAnsi="Arial" w:cs="Arial"/>
                <w:sz w:val="20"/>
              </w:rPr>
              <w:t xml:space="preserve">currently PBS </w:t>
            </w:r>
            <w:r w:rsidR="006C15C5" w:rsidRPr="006C15C5">
              <w:rPr>
                <w:rFonts w:ascii="Arial" w:hAnsi="Arial" w:cs="Arial"/>
                <w:sz w:val="20"/>
              </w:rPr>
              <w:t>listed</w:t>
            </w:r>
            <w:r>
              <w:rPr>
                <w:rFonts w:ascii="Arial" w:hAnsi="Arial" w:cs="Arial"/>
                <w:sz w:val="20"/>
              </w:rPr>
              <w:t>.</w:t>
            </w:r>
          </w:p>
        </w:tc>
        <w:tc>
          <w:tcPr>
            <w:tcW w:w="3402" w:type="dxa"/>
          </w:tcPr>
          <w:p w:rsidR="00CB2370" w:rsidRPr="008D0CCA" w:rsidRDefault="008965DE" w:rsidP="008A1B46">
            <w:pPr>
              <w:keepLines/>
              <w:rPr>
                <w:rFonts w:ascii="Arial" w:hAnsi="Arial" w:cs="Arial"/>
                <w:sz w:val="20"/>
              </w:rPr>
            </w:pPr>
            <w:r w:rsidRPr="008965DE">
              <w:rPr>
                <w:rFonts w:ascii="Arial" w:hAnsi="Arial" w:cs="Arial"/>
                <w:sz w:val="20"/>
              </w:rPr>
              <w:t>Resubmission to request a Special Pricing Arrangement (SPA) for liraglutide 1.2mg.</w:t>
            </w:r>
          </w:p>
        </w:tc>
        <w:tc>
          <w:tcPr>
            <w:tcW w:w="5245" w:type="dxa"/>
          </w:tcPr>
          <w:p w:rsidR="00CB2370" w:rsidRDefault="008965DE" w:rsidP="00531FFC">
            <w:pPr>
              <w:jc w:val="both"/>
              <w:rPr>
                <w:rFonts w:ascii="Arial" w:hAnsi="Arial" w:cs="Arial"/>
                <w:sz w:val="20"/>
              </w:rPr>
            </w:pPr>
            <w:r w:rsidRPr="006C15C5">
              <w:rPr>
                <w:rFonts w:ascii="Arial" w:hAnsi="Arial" w:cs="Arial"/>
                <w:sz w:val="20"/>
              </w:rPr>
              <w:t>The PBAC advised the Minister that liraglutide 1.2 mg does not meet criteria 1 and 2 for a Special Pricing Arrangement for the treatment of patients with Type 2 diabetes mellitus (T2DM) at high risk of cardiovascular events. The PBAC has previously accepted that liraglutide 1.2 mg treats a significant medical condition and generates a substantial incremental benefit for the intended population over placebo. However, the PBAC considered that the submission did not provide sufficient evidence to support the claim that liraglutide 1.2mg has unique characteristics compared to any available alternative therapies, and noted that the medicine is recommended for listing in comparison with a medicine which does not have a similar arrangement.</w:t>
            </w:r>
          </w:p>
          <w:p w:rsidR="006C15C5" w:rsidRPr="006C15C5" w:rsidRDefault="006C15C5" w:rsidP="00531FFC">
            <w:pPr>
              <w:jc w:val="both"/>
              <w:rPr>
                <w:rFonts w:ascii="Arial" w:hAnsi="Arial" w:cs="Arial"/>
                <w:sz w:val="20"/>
                <w:highlight w:val="yellow"/>
              </w:rPr>
            </w:pPr>
          </w:p>
        </w:tc>
      </w:tr>
      <w:tr w:rsidR="00CB2370" w:rsidRPr="008D0CCA" w:rsidTr="007E146D">
        <w:trPr>
          <w:trHeight w:val="270"/>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Default="00CB2370" w:rsidP="008A1B46">
            <w:pPr>
              <w:rPr>
                <w:rFonts w:ascii="Arial" w:hAnsi="Arial" w:cs="Arial"/>
                <w:snapToGrid w:val="0"/>
                <w:sz w:val="20"/>
                <w:lang w:eastAsia="en-US"/>
              </w:rPr>
            </w:pPr>
            <w:r w:rsidRPr="008D0CCA">
              <w:rPr>
                <w:rFonts w:ascii="Arial" w:hAnsi="Arial" w:cs="Arial"/>
                <w:snapToGrid w:val="0"/>
                <w:sz w:val="20"/>
                <w:lang w:eastAsia="en-US"/>
              </w:rPr>
              <w:t xml:space="preserve">Comparator: </w:t>
            </w:r>
            <w:r w:rsidR="008965DE" w:rsidRPr="008965DE">
              <w:rPr>
                <w:rFonts w:ascii="Arial" w:hAnsi="Arial" w:cs="Arial"/>
                <w:snapToGrid w:val="0"/>
                <w:sz w:val="20"/>
                <w:lang w:eastAsia="en-US"/>
              </w:rPr>
              <w:t>Exenatide</w:t>
            </w:r>
          </w:p>
          <w:p w:rsidR="006C15C5" w:rsidRPr="008D0CCA" w:rsidRDefault="006C15C5" w:rsidP="008A1B46">
            <w:pPr>
              <w:rPr>
                <w:rFonts w:ascii="Arial" w:hAnsi="Arial" w:cs="Arial"/>
                <w:snapToGrid w:val="0"/>
                <w:sz w:val="20"/>
                <w:lang w:eastAsia="en-US"/>
              </w:rPr>
            </w:pPr>
          </w:p>
        </w:tc>
        <w:tc>
          <w:tcPr>
            <w:tcW w:w="5245" w:type="dxa"/>
            <w:shd w:val="clear" w:color="auto" w:fill="auto"/>
          </w:tcPr>
          <w:p w:rsidR="00CB2370" w:rsidRPr="006C15C5" w:rsidRDefault="006C15C5" w:rsidP="008A1B46">
            <w:pPr>
              <w:jc w:val="both"/>
              <w:rPr>
                <w:rFonts w:ascii="Arial" w:hAnsi="Arial" w:cs="Arial"/>
                <w:sz w:val="20"/>
              </w:rPr>
            </w:pPr>
            <w:r w:rsidRPr="006C15C5">
              <w:rPr>
                <w:rFonts w:ascii="Arial" w:hAnsi="Arial" w:cs="Arial"/>
                <w:sz w:val="20"/>
              </w:rPr>
              <w:t>Accepted</w:t>
            </w:r>
          </w:p>
        </w:tc>
      </w:tr>
      <w:tr w:rsidR="00CB2370" w:rsidRPr="008D0CCA" w:rsidTr="007E146D">
        <w:trPr>
          <w:trHeight w:val="433"/>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8D0CCA" w:rsidRDefault="00CB2370" w:rsidP="001263F7">
            <w:pPr>
              <w:tabs>
                <w:tab w:val="center" w:pos="1876"/>
              </w:tabs>
              <w:rPr>
                <w:rFonts w:ascii="Arial" w:hAnsi="Arial" w:cs="Arial"/>
                <w:snapToGrid w:val="0"/>
                <w:sz w:val="20"/>
                <w:lang w:eastAsia="en-US"/>
              </w:rPr>
            </w:pPr>
            <w:r w:rsidRPr="008D0CCA">
              <w:rPr>
                <w:rFonts w:ascii="Arial" w:hAnsi="Arial" w:cs="Arial"/>
                <w:snapToGrid w:val="0"/>
                <w:sz w:val="20"/>
                <w:lang w:eastAsia="en-US"/>
              </w:rPr>
              <w:t>Clinical claim:</w:t>
            </w:r>
            <w:r w:rsidRPr="008D0CCA">
              <w:rPr>
                <w:rFonts w:ascii="Arial" w:hAnsi="Arial" w:cs="Arial"/>
                <w:sz w:val="20"/>
              </w:rPr>
              <w:t xml:space="preserve"> </w:t>
            </w:r>
            <w:r w:rsidR="008965DE" w:rsidRPr="008965DE">
              <w:rPr>
                <w:rFonts w:ascii="Arial" w:hAnsi="Arial" w:cs="Arial"/>
                <w:sz w:val="20"/>
              </w:rPr>
              <w:t>The submission claimed liraglutide 1.2 mg once-daily reduces the risk of cardiovascular events in adults with type 2 diabetes mellitus.</w:t>
            </w:r>
            <w:r w:rsidR="008965DE">
              <w:rPr>
                <w:rFonts w:ascii="Arial" w:hAnsi="Arial" w:cs="Arial"/>
                <w:sz w:val="20"/>
              </w:rPr>
              <w:tab/>
            </w:r>
          </w:p>
        </w:tc>
        <w:tc>
          <w:tcPr>
            <w:tcW w:w="5245" w:type="dxa"/>
          </w:tcPr>
          <w:p w:rsidR="00CB2370" w:rsidRPr="006C15C5" w:rsidRDefault="008965DE" w:rsidP="00531FFC">
            <w:pPr>
              <w:jc w:val="both"/>
              <w:rPr>
                <w:rFonts w:ascii="Arial" w:hAnsi="Arial" w:cs="Arial"/>
                <w:sz w:val="20"/>
                <w:highlight w:val="yellow"/>
              </w:rPr>
            </w:pPr>
            <w:r w:rsidRPr="006C15C5">
              <w:rPr>
                <w:rFonts w:ascii="Arial" w:hAnsi="Arial" w:cs="Arial"/>
                <w:sz w:val="20"/>
              </w:rPr>
              <w:t xml:space="preserve">The PBAC did not accept that liraglutide 1.2 mg reduced the risk of cardiovascular events in adults with T2DM based on insufficient evidence presented in the minor submission. The PBAC acknowledged the TGA approval for this indication, but noted that this was in comparison to placebo. The PBAC recalled that at its July 2017 meeting, it considered an indirect comparison of </w:t>
            </w:r>
            <w:r w:rsidRPr="006C15C5">
              <w:rPr>
                <w:rFonts w:ascii="Arial" w:hAnsi="Arial" w:cs="Arial"/>
                <w:sz w:val="20"/>
              </w:rPr>
              <w:lastRenderedPageBreak/>
              <w:t xml:space="preserve">liraglutide and exenatide including a full evaluation of the EXSCEL trial patient characteristics and trial results was required to quantify how the cardiovascular benefits of liraglutide compared to exenatide.  </w:t>
            </w:r>
          </w:p>
        </w:tc>
      </w:tr>
      <w:tr w:rsidR="00CB2370" w:rsidRPr="008D0CCA" w:rsidTr="007E146D">
        <w:trPr>
          <w:trHeight w:val="433"/>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8D0CCA" w:rsidRDefault="00CB2370" w:rsidP="008A1B46">
            <w:pPr>
              <w:rPr>
                <w:rFonts w:ascii="Arial" w:hAnsi="Arial" w:cs="Arial"/>
                <w:snapToGrid w:val="0"/>
                <w:sz w:val="20"/>
                <w:lang w:eastAsia="en-US"/>
              </w:rPr>
            </w:pPr>
            <w:r w:rsidRPr="008D0CCA">
              <w:rPr>
                <w:rFonts w:ascii="Arial" w:hAnsi="Arial" w:cs="Arial"/>
                <w:snapToGrid w:val="0"/>
                <w:sz w:val="20"/>
                <w:lang w:eastAsia="en-US"/>
              </w:rPr>
              <w:t>Economic claim:</w:t>
            </w:r>
            <w:r w:rsidRPr="008D0CCA">
              <w:rPr>
                <w:rFonts w:ascii="Arial" w:hAnsi="Arial" w:cs="Arial"/>
                <w:sz w:val="20"/>
              </w:rPr>
              <w:t xml:space="preserve"> </w:t>
            </w:r>
            <w:r w:rsidR="008965DE" w:rsidRPr="008965DE">
              <w:rPr>
                <w:rFonts w:ascii="Arial" w:hAnsi="Arial" w:cs="Arial"/>
                <w:snapToGrid w:val="0"/>
                <w:sz w:val="20"/>
                <w:lang w:eastAsia="en-US"/>
              </w:rPr>
              <w:t>Not presented.</w:t>
            </w:r>
          </w:p>
        </w:tc>
        <w:tc>
          <w:tcPr>
            <w:tcW w:w="5245" w:type="dxa"/>
          </w:tcPr>
          <w:p w:rsidR="00CB2370" w:rsidRPr="00855CF7" w:rsidRDefault="008965DE" w:rsidP="00531FFC">
            <w:pPr>
              <w:jc w:val="both"/>
              <w:rPr>
                <w:rFonts w:ascii="Arial" w:hAnsi="Arial" w:cs="Arial"/>
                <w:color w:val="000000"/>
                <w:sz w:val="20"/>
              </w:rPr>
            </w:pPr>
            <w:r w:rsidRPr="006C15C5">
              <w:rPr>
                <w:rFonts w:ascii="Arial" w:hAnsi="Arial" w:cs="Arial"/>
                <w:color w:val="000000"/>
                <w:sz w:val="20"/>
              </w:rPr>
              <w:t>The PBAC considered that if the sponsor wished to claim a cardiovascular benefit for liraglutide 1.2 mg, updated economic modelling would need to be provided in a major resubmission.</w:t>
            </w:r>
          </w:p>
        </w:tc>
      </w:tr>
      <w:tr w:rsidR="00CB2370" w:rsidRPr="008D0CCA" w:rsidTr="00855CF7">
        <w:trPr>
          <w:trHeight w:val="414"/>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8D0CCA" w:rsidRDefault="00CB2370" w:rsidP="008A1B46">
            <w:pPr>
              <w:pStyle w:val="ListBullet"/>
            </w:pPr>
            <w:r w:rsidRPr="008D0CCA">
              <w:t>Sponsor’s comments:</w:t>
            </w:r>
          </w:p>
          <w:p w:rsidR="00CB2370" w:rsidRPr="008D0CCA" w:rsidRDefault="00CB2370" w:rsidP="008A1B46">
            <w:pPr>
              <w:pStyle w:val="ListBullet"/>
            </w:pPr>
          </w:p>
        </w:tc>
        <w:tc>
          <w:tcPr>
            <w:tcW w:w="5245" w:type="dxa"/>
          </w:tcPr>
          <w:p w:rsidR="00CB2370" w:rsidRPr="008D0CCA" w:rsidRDefault="00855CF7" w:rsidP="008A1B46">
            <w:pPr>
              <w:jc w:val="both"/>
              <w:rPr>
                <w:rFonts w:ascii="Arial" w:hAnsi="Arial" w:cs="Arial"/>
                <w:sz w:val="20"/>
                <w:highlight w:val="yellow"/>
              </w:rPr>
            </w:pPr>
            <w:r w:rsidRPr="00855CF7">
              <w:rPr>
                <w:rFonts w:ascii="Arial" w:hAnsi="Arial" w:cs="Arial"/>
                <w:sz w:val="20"/>
              </w:rPr>
              <w:t>The sponsor had no comment.</w:t>
            </w:r>
          </w:p>
        </w:tc>
      </w:tr>
      <w:tr w:rsidR="00CB2370" w:rsidRPr="008D0CCA" w:rsidTr="000057CB">
        <w:trPr>
          <w:cantSplit/>
          <w:trHeight w:val="435"/>
        </w:trPr>
        <w:tc>
          <w:tcPr>
            <w:tcW w:w="2127" w:type="dxa"/>
            <w:vMerge w:val="restart"/>
          </w:tcPr>
          <w:p w:rsidR="00CB2370" w:rsidRPr="0093171D" w:rsidRDefault="00CB2370" w:rsidP="00CB2370">
            <w:pPr>
              <w:contextualSpacing/>
              <w:rPr>
                <w:rFonts w:ascii="Arial" w:hAnsi="Arial" w:cs="Arial"/>
                <w:sz w:val="20"/>
              </w:rPr>
            </w:pPr>
            <w:r w:rsidRPr="0093171D">
              <w:rPr>
                <w:rFonts w:ascii="Arial" w:hAnsi="Arial" w:cs="Arial"/>
                <w:sz w:val="20"/>
              </w:rPr>
              <w:t>SODIUM PHENYLBUTYRATE</w:t>
            </w:r>
          </w:p>
          <w:p w:rsidR="00CB2370" w:rsidRPr="0093171D" w:rsidRDefault="0093171D" w:rsidP="00CB2370">
            <w:pPr>
              <w:rPr>
                <w:rFonts w:ascii="Arial" w:hAnsi="Arial" w:cs="Arial"/>
                <w:color w:val="000000"/>
                <w:sz w:val="20"/>
              </w:rPr>
            </w:pPr>
            <w:r w:rsidRPr="0093171D">
              <w:rPr>
                <w:rFonts w:ascii="Arial" w:hAnsi="Arial" w:cs="Arial"/>
                <w:color w:val="000000"/>
                <w:sz w:val="20"/>
              </w:rPr>
              <w:br/>
              <w:t>Granules 483 mg (as sodium) per g, 174 g</w:t>
            </w:r>
            <w:r w:rsidRPr="0093171D">
              <w:rPr>
                <w:rFonts w:ascii="Arial" w:hAnsi="Arial" w:cs="Arial"/>
                <w:color w:val="000000"/>
                <w:sz w:val="20"/>
              </w:rPr>
              <w:br/>
            </w:r>
            <w:r w:rsidRPr="0093171D">
              <w:rPr>
                <w:rFonts w:ascii="Arial" w:hAnsi="Arial" w:cs="Arial"/>
                <w:color w:val="000000"/>
                <w:sz w:val="20"/>
              </w:rPr>
              <w:br/>
              <w:t>Pheburane®</w:t>
            </w:r>
            <w:r w:rsidRPr="0093171D">
              <w:rPr>
                <w:rFonts w:ascii="Arial" w:hAnsi="Arial" w:cs="Arial"/>
                <w:color w:val="000000"/>
                <w:sz w:val="20"/>
              </w:rPr>
              <w:br/>
            </w:r>
            <w:r w:rsidRPr="0093171D">
              <w:rPr>
                <w:rFonts w:ascii="Arial" w:hAnsi="Arial" w:cs="Arial"/>
                <w:color w:val="000000"/>
                <w:sz w:val="20"/>
              </w:rPr>
              <w:br/>
              <w:t>Orpharma Pty Ltd</w:t>
            </w:r>
          </w:p>
          <w:p w:rsidR="0093171D" w:rsidRPr="0093171D" w:rsidRDefault="0093171D" w:rsidP="00CB2370">
            <w:pPr>
              <w:rPr>
                <w:rFonts w:ascii="Arial" w:hAnsi="Arial" w:cs="Arial"/>
                <w:color w:val="000000"/>
                <w:sz w:val="20"/>
              </w:rPr>
            </w:pPr>
          </w:p>
          <w:p w:rsidR="0093171D" w:rsidRPr="0093171D" w:rsidRDefault="0093171D" w:rsidP="0093171D">
            <w:pPr>
              <w:rPr>
                <w:rFonts w:ascii="Arial" w:hAnsi="Arial" w:cs="Arial"/>
                <w:sz w:val="20"/>
                <w:highlight w:val="yellow"/>
              </w:rPr>
            </w:pPr>
            <w:r w:rsidRPr="0093171D">
              <w:rPr>
                <w:rFonts w:ascii="Arial" w:hAnsi="Arial" w:cs="Arial"/>
                <w:color w:val="000000"/>
                <w:sz w:val="20"/>
              </w:rPr>
              <w:t>New listing (Minor Submission)</w:t>
            </w:r>
          </w:p>
        </w:tc>
        <w:tc>
          <w:tcPr>
            <w:tcW w:w="2268" w:type="dxa"/>
            <w:vMerge w:val="restart"/>
          </w:tcPr>
          <w:p w:rsidR="00CB2370" w:rsidRPr="00E84559" w:rsidRDefault="00E84559" w:rsidP="008A1B46">
            <w:pPr>
              <w:rPr>
                <w:rFonts w:ascii="Arial" w:hAnsi="Arial" w:cs="Arial"/>
                <w:sz w:val="20"/>
                <w:highlight w:val="yellow"/>
              </w:rPr>
            </w:pPr>
            <w:r w:rsidRPr="00E84559">
              <w:rPr>
                <w:rFonts w:ascii="Arial" w:hAnsi="Arial" w:cs="Arial"/>
                <w:sz w:val="20"/>
              </w:rPr>
              <w:t>Indicated for the management of hyperammonaemia associated with urea cycle disorders. Pheburane® should be used with dietary protein restriction and, in some cases, dietary supplements (e.g. essential amino acids, arginine, citrulline, and protein-free calorie supplements)</w:t>
            </w:r>
          </w:p>
        </w:tc>
        <w:tc>
          <w:tcPr>
            <w:tcW w:w="1842" w:type="dxa"/>
            <w:vMerge w:val="restart"/>
          </w:tcPr>
          <w:p w:rsidR="00E84559" w:rsidRPr="0093171D" w:rsidRDefault="00E84559" w:rsidP="00E84559">
            <w:pPr>
              <w:contextualSpacing/>
              <w:rPr>
                <w:rFonts w:ascii="Arial" w:hAnsi="Arial" w:cs="Arial"/>
                <w:sz w:val="20"/>
              </w:rPr>
            </w:pPr>
            <w:r w:rsidRPr="0093171D">
              <w:rPr>
                <w:rFonts w:ascii="Arial" w:hAnsi="Arial" w:cs="Arial"/>
                <w:sz w:val="20"/>
              </w:rPr>
              <w:t>SODIUM PHENYL</w:t>
            </w:r>
            <w:r w:rsidR="00062B17">
              <w:rPr>
                <w:rFonts w:ascii="Arial" w:hAnsi="Arial" w:cs="Arial"/>
                <w:sz w:val="20"/>
              </w:rPr>
              <w:t>-</w:t>
            </w:r>
            <w:r w:rsidRPr="0093171D">
              <w:rPr>
                <w:rFonts w:ascii="Arial" w:hAnsi="Arial" w:cs="Arial"/>
                <w:sz w:val="20"/>
              </w:rPr>
              <w:t>BUTYRATE</w:t>
            </w:r>
            <w:r w:rsidR="00062B17">
              <w:rPr>
                <w:rFonts w:ascii="Arial" w:hAnsi="Arial" w:cs="Arial"/>
                <w:sz w:val="20"/>
              </w:rPr>
              <w:t xml:space="preserve"> is </w:t>
            </w:r>
            <w:r>
              <w:rPr>
                <w:rFonts w:ascii="Arial" w:hAnsi="Arial" w:cs="Arial"/>
                <w:sz w:val="20"/>
              </w:rPr>
              <w:t>not currently PBS listed.</w:t>
            </w:r>
          </w:p>
          <w:p w:rsidR="00CB2370" w:rsidRPr="0093171D" w:rsidRDefault="00CB2370" w:rsidP="008A1B46">
            <w:pPr>
              <w:rPr>
                <w:rFonts w:ascii="Arial" w:hAnsi="Arial" w:cs="Arial"/>
                <w:sz w:val="20"/>
                <w:highlight w:val="yellow"/>
              </w:rPr>
            </w:pPr>
          </w:p>
        </w:tc>
        <w:tc>
          <w:tcPr>
            <w:tcW w:w="3402" w:type="dxa"/>
          </w:tcPr>
          <w:p w:rsidR="00CB2370" w:rsidRPr="0093171D" w:rsidRDefault="0093171D" w:rsidP="008A1B46">
            <w:pPr>
              <w:keepLines/>
              <w:rPr>
                <w:rFonts w:ascii="Arial" w:hAnsi="Arial" w:cs="Arial"/>
                <w:sz w:val="20"/>
              </w:rPr>
            </w:pPr>
            <w:r w:rsidRPr="0093171D">
              <w:rPr>
                <w:rFonts w:ascii="Arial" w:hAnsi="Arial" w:cs="Arial"/>
                <w:color w:val="000000"/>
                <w:sz w:val="20"/>
              </w:rPr>
              <w:t xml:space="preserve">Resubmission to request an Authority Required listing </w:t>
            </w:r>
            <w:r w:rsidR="00297A0B">
              <w:rPr>
                <w:rFonts w:ascii="Arial" w:hAnsi="Arial" w:cs="Arial"/>
                <w:color w:val="000000"/>
                <w:sz w:val="20"/>
              </w:rPr>
              <w:t xml:space="preserve">for a sugar-coated granule formulation of sodium phenylbutyrate (referred to as ‘coated NaPb’) </w:t>
            </w:r>
            <w:r w:rsidRPr="0093171D">
              <w:rPr>
                <w:rFonts w:ascii="Arial" w:hAnsi="Arial" w:cs="Arial"/>
                <w:color w:val="000000"/>
                <w:sz w:val="20"/>
              </w:rPr>
              <w:t xml:space="preserve">for the treatment of patients with </w:t>
            </w:r>
            <w:r w:rsidR="00297A0B">
              <w:rPr>
                <w:rFonts w:ascii="Arial" w:hAnsi="Arial" w:cs="Arial"/>
                <w:color w:val="000000"/>
                <w:sz w:val="20"/>
              </w:rPr>
              <w:t>urea cycle disorders (</w:t>
            </w:r>
            <w:r w:rsidRPr="0093171D">
              <w:rPr>
                <w:rFonts w:ascii="Arial" w:hAnsi="Arial" w:cs="Arial"/>
                <w:color w:val="000000"/>
                <w:sz w:val="20"/>
              </w:rPr>
              <w:t>UCD</w:t>
            </w:r>
            <w:r w:rsidR="00297A0B">
              <w:rPr>
                <w:rFonts w:ascii="Arial" w:hAnsi="Arial" w:cs="Arial"/>
                <w:color w:val="000000"/>
                <w:sz w:val="20"/>
              </w:rPr>
              <w:t>)</w:t>
            </w:r>
            <w:r w:rsidRPr="0093171D">
              <w:rPr>
                <w:rFonts w:ascii="Arial" w:hAnsi="Arial" w:cs="Arial"/>
                <w:color w:val="000000"/>
                <w:sz w:val="20"/>
              </w:rPr>
              <w:t>.</w:t>
            </w:r>
          </w:p>
        </w:tc>
        <w:tc>
          <w:tcPr>
            <w:tcW w:w="5245" w:type="dxa"/>
          </w:tcPr>
          <w:p w:rsidR="00CB2370" w:rsidRPr="00297A0B" w:rsidRDefault="00297A0B" w:rsidP="008A1B46">
            <w:pPr>
              <w:jc w:val="both"/>
              <w:rPr>
                <w:rFonts w:ascii="Arial" w:hAnsi="Arial" w:cs="Arial"/>
                <w:color w:val="000000"/>
                <w:sz w:val="20"/>
              </w:rPr>
            </w:pPr>
            <w:r w:rsidRPr="00297A0B">
              <w:rPr>
                <w:rFonts w:ascii="Arial" w:hAnsi="Arial" w:cs="Arial"/>
                <w:color w:val="000000"/>
                <w:sz w:val="20"/>
              </w:rPr>
              <w:t xml:space="preserve">The PBAC did not recommend the listing of coated NaPb on the basis that cost-minimisation compared with other ammonia scavenger formulations was not adequately established. </w:t>
            </w:r>
          </w:p>
        </w:tc>
      </w:tr>
      <w:tr w:rsidR="00CB2370" w:rsidRPr="008D0CCA" w:rsidTr="007E146D">
        <w:trPr>
          <w:trHeight w:val="433"/>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8D0CCA" w:rsidRDefault="00CB2370" w:rsidP="008A1B46">
            <w:pPr>
              <w:pStyle w:val="ListBullet"/>
            </w:pPr>
            <w:r w:rsidRPr="008D0CCA">
              <w:t xml:space="preserve">Comparator: </w:t>
            </w:r>
            <w:r w:rsidR="001263F7">
              <w:t xml:space="preserve"> </w:t>
            </w:r>
            <w:r w:rsidR="001263F7" w:rsidRPr="001263F7">
              <w:t>The comparator nominated by the resubmission was uncoated NaPb powder compounded into an oral suspension or capsules by a compounding pharmacy</w:t>
            </w:r>
            <w:r w:rsidR="001263F7">
              <w:t>.</w:t>
            </w:r>
          </w:p>
        </w:tc>
        <w:tc>
          <w:tcPr>
            <w:tcW w:w="5245" w:type="dxa"/>
          </w:tcPr>
          <w:p w:rsidR="00CB2370" w:rsidRPr="00855CF7" w:rsidRDefault="001263F7" w:rsidP="008A1B46">
            <w:pPr>
              <w:jc w:val="both"/>
              <w:rPr>
                <w:rFonts w:ascii="Arial" w:hAnsi="Arial" w:cs="Arial"/>
                <w:color w:val="000000"/>
                <w:sz w:val="20"/>
              </w:rPr>
            </w:pPr>
            <w:r w:rsidRPr="001263F7">
              <w:rPr>
                <w:rFonts w:ascii="Arial" w:hAnsi="Arial" w:cs="Arial"/>
                <w:color w:val="000000"/>
                <w:sz w:val="20"/>
              </w:rPr>
              <w:t>The PBAC recalled and re-iterated its November 2017 consideration, that sodium benzoate (an alternative ammonia scavenger) was also a relevant comparator for a proportion of patients in the monotherapy setting</w:t>
            </w:r>
            <w:r w:rsidR="00855CF7">
              <w:rPr>
                <w:rFonts w:ascii="Arial" w:hAnsi="Arial" w:cs="Arial"/>
                <w:color w:val="000000"/>
                <w:sz w:val="20"/>
              </w:rPr>
              <w:t>.</w:t>
            </w:r>
          </w:p>
        </w:tc>
      </w:tr>
      <w:tr w:rsidR="00CB2370" w:rsidRPr="00F61C70" w:rsidTr="007E146D">
        <w:trPr>
          <w:trHeight w:val="433"/>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8D0CCA" w:rsidRDefault="00CB2370" w:rsidP="008A1B46">
            <w:pPr>
              <w:pStyle w:val="ListBullet"/>
            </w:pPr>
            <w:r w:rsidRPr="008D0CCA">
              <w:t xml:space="preserve">Clinical claim:  </w:t>
            </w:r>
            <w:r w:rsidR="001263F7" w:rsidRPr="001263F7">
              <w:t>Coated NaPb is non-inferior in terms of effectiveness and safet</w:t>
            </w:r>
            <w:r w:rsidR="001263F7">
              <w:t>y compared with compounded NaPb.</w:t>
            </w:r>
          </w:p>
          <w:p w:rsidR="00CB2370" w:rsidRPr="008D0CCA" w:rsidRDefault="00CB2370" w:rsidP="008A1B46">
            <w:pPr>
              <w:pStyle w:val="ListBullet"/>
              <w:ind w:left="360"/>
            </w:pPr>
          </w:p>
        </w:tc>
        <w:tc>
          <w:tcPr>
            <w:tcW w:w="5245" w:type="dxa"/>
          </w:tcPr>
          <w:p w:rsidR="00062B17" w:rsidRPr="001263F7" w:rsidRDefault="001263F7" w:rsidP="008A1B46">
            <w:pPr>
              <w:jc w:val="both"/>
              <w:rPr>
                <w:rFonts w:ascii="Arial" w:hAnsi="Arial" w:cs="Arial"/>
                <w:color w:val="000000"/>
                <w:sz w:val="20"/>
              </w:rPr>
            </w:pPr>
            <w:r w:rsidRPr="001263F7">
              <w:rPr>
                <w:rFonts w:ascii="Arial" w:hAnsi="Arial" w:cs="Arial"/>
                <w:color w:val="000000"/>
                <w:sz w:val="20"/>
              </w:rPr>
              <w:t>The PBAC re-iterated its previous consideration that a claim of non-inferior comparative efficacy and safety compared with other ammonia scavenger formulations was appropriate given the clinical evidence that had been presented.</w:t>
            </w:r>
          </w:p>
        </w:tc>
      </w:tr>
      <w:tr w:rsidR="00CB2370" w:rsidRPr="008D0CCA" w:rsidTr="007E146D">
        <w:trPr>
          <w:trHeight w:val="433"/>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8D0CCA" w:rsidRDefault="00CB2370" w:rsidP="008A1B46">
            <w:pPr>
              <w:pStyle w:val="ListBullet"/>
            </w:pPr>
            <w:r w:rsidRPr="008D0CCA">
              <w:t xml:space="preserve">Economic claim: </w:t>
            </w:r>
            <w:r w:rsidR="001263F7">
              <w:t xml:space="preserve"> </w:t>
            </w:r>
            <w:r w:rsidR="001263F7" w:rsidRPr="001263F7">
              <w:t>Cost minimisation analysis versus compounded NaPb, i.e. uncoated NaPb powder that was compounded into oral suspension or capsules by a compounding pharmacy</w:t>
            </w:r>
            <w:r w:rsidR="001263F7">
              <w:t>.</w:t>
            </w:r>
          </w:p>
        </w:tc>
        <w:tc>
          <w:tcPr>
            <w:tcW w:w="5245" w:type="dxa"/>
          </w:tcPr>
          <w:p w:rsidR="00CB2370" w:rsidRPr="001263F7" w:rsidRDefault="001263F7" w:rsidP="001263F7">
            <w:pPr>
              <w:jc w:val="both"/>
              <w:rPr>
                <w:rFonts w:ascii="Arial" w:hAnsi="Arial" w:cs="Arial"/>
                <w:color w:val="000000"/>
                <w:sz w:val="20"/>
              </w:rPr>
            </w:pPr>
            <w:r w:rsidRPr="001263F7">
              <w:rPr>
                <w:rFonts w:ascii="Arial" w:hAnsi="Arial" w:cs="Arial"/>
                <w:color w:val="000000"/>
                <w:sz w:val="20"/>
              </w:rPr>
              <w:t xml:space="preserve">The PBAC considered that the re-submission’s cost-minimisation analysis significantly overestimated the cost of compounded NaPb because the analysis: excluded sodium benzoate as a comparator; included mark-ups, margins and compounding costs that were unreasonably high stating these were based on potential prices in the private market; and did not adequately </w:t>
            </w:r>
            <w:r w:rsidRPr="001263F7">
              <w:rPr>
                <w:rFonts w:ascii="Arial" w:hAnsi="Arial" w:cs="Arial"/>
                <w:color w:val="000000"/>
                <w:sz w:val="20"/>
              </w:rPr>
              <w:lastRenderedPageBreak/>
              <w:t>justify the high level of wastage included. Overall, the PBAC considered that the cost-minimisation analysis did not reflect the cost of compounded ammonia scavengers that would be applicable under the PBS.</w:t>
            </w:r>
          </w:p>
        </w:tc>
      </w:tr>
      <w:tr w:rsidR="00CB2370" w:rsidRPr="008D0CCA" w:rsidTr="007E146D">
        <w:trPr>
          <w:trHeight w:val="433"/>
        </w:trPr>
        <w:tc>
          <w:tcPr>
            <w:tcW w:w="2127" w:type="dxa"/>
            <w:vMerge/>
          </w:tcPr>
          <w:p w:rsidR="00CB2370" w:rsidRPr="008D0CCA" w:rsidRDefault="00CB2370" w:rsidP="008A1B46">
            <w:pPr>
              <w:rPr>
                <w:rFonts w:ascii="Arial" w:hAnsi="Arial" w:cs="Arial"/>
                <w:sz w:val="20"/>
              </w:rPr>
            </w:pPr>
          </w:p>
        </w:tc>
        <w:tc>
          <w:tcPr>
            <w:tcW w:w="2268" w:type="dxa"/>
            <w:vMerge/>
          </w:tcPr>
          <w:p w:rsidR="00CB2370" w:rsidRPr="008D0CCA" w:rsidRDefault="00CB2370" w:rsidP="008A1B46">
            <w:pPr>
              <w:rPr>
                <w:rFonts w:ascii="Arial" w:hAnsi="Arial" w:cs="Arial"/>
                <w:sz w:val="20"/>
              </w:rPr>
            </w:pPr>
          </w:p>
        </w:tc>
        <w:tc>
          <w:tcPr>
            <w:tcW w:w="1842" w:type="dxa"/>
            <w:vMerge/>
          </w:tcPr>
          <w:p w:rsidR="00CB2370" w:rsidRPr="008D0CCA" w:rsidRDefault="00CB2370" w:rsidP="008A1B46">
            <w:pPr>
              <w:rPr>
                <w:rFonts w:ascii="Arial" w:hAnsi="Arial" w:cs="Arial"/>
                <w:sz w:val="20"/>
              </w:rPr>
            </w:pPr>
          </w:p>
        </w:tc>
        <w:tc>
          <w:tcPr>
            <w:tcW w:w="3402" w:type="dxa"/>
          </w:tcPr>
          <w:p w:rsidR="00CB2370" w:rsidRPr="002A3C25" w:rsidRDefault="00CB2370" w:rsidP="008A1B46">
            <w:pPr>
              <w:pStyle w:val="ListBullet"/>
            </w:pPr>
            <w:r w:rsidRPr="002A3C25">
              <w:t>Sponsor’s comments:</w:t>
            </w:r>
          </w:p>
          <w:p w:rsidR="00CB2370" w:rsidRPr="002A3C25" w:rsidRDefault="00CB2370" w:rsidP="008A1B46">
            <w:pPr>
              <w:pStyle w:val="ListBullet"/>
            </w:pPr>
          </w:p>
        </w:tc>
        <w:tc>
          <w:tcPr>
            <w:tcW w:w="5245" w:type="dxa"/>
          </w:tcPr>
          <w:p w:rsidR="00CB2370" w:rsidRDefault="002A3C25" w:rsidP="00531FFC">
            <w:pPr>
              <w:jc w:val="both"/>
              <w:rPr>
                <w:rFonts w:ascii="Arial" w:eastAsia="Calibri" w:hAnsi="Arial" w:cs="Arial"/>
                <w:color w:val="000000"/>
                <w:sz w:val="20"/>
                <w:lang w:val="en-GB"/>
              </w:rPr>
            </w:pPr>
            <w:r w:rsidRPr="002A3C25">
              <w:rPr>
                <w:rFonts w:ascii="Arial" w:eastAsia="Calibri" w:hAnsi="Arial" w:cs="Arial"/>
                <w:color w:val="000000"/>
                <w:sz w:val="20"/>
                <w:lang w:val="en-GB"/>
              </w:rPr>
              <w:t>The Sponsor will continue to work with the PBAC to address the matters raised.</w:t>
            </w:r>
          </w:p>
          <w:p w:rsidR="000057CB" w:rsidRPr="00855CF7" w:rsidRDefault="000057CB" w:rsidP="00531FFC">
            <w:pPr>
              <w:jc w:val="both"/>
              <w:rPr>
                <w:rFonts w:ascii="Arial" w:eastAsia="Calibri" w:hAnsi="Arial" w:cs="Arial"/>
                <w:color w:val="000000"/>
                <w:sz w:val="20"/>
              </w:rPr>
            </w:pPr>
          </w:p>
        </w:tc>
      </w:tr>
      <w:tr w:rsidR="00CB2370" w:rsidRPr="0093171D" w:rsidTr="000057CB">
        <w:trPr>
          <w:cantSplit/>
          <w:trHeight w:val="435"/>
        </w:trPr>
        <w:tc>
          <w:tcPr>
            <w:tcW w:w="2127" w:type="dxa"/>
            <w:vMerge w:val="restart"/>
            <w:shd w:val="clear" w:color="auto" w:fill="auto"/>
          </w:tcPr>
          <w:p w:rsidR="00CB2370" w:rsidRPr="0093171D" w:rsidRDefault="00CB2370" w:rsidP="00324853">
            <w:pPr>
              <w:rPr>
                <w:rFonts w:ascii="Arial" w:hAnsi="Arial" w:cs="Arial"/>
                <w:sz w:val="20"/>
              </w:rPr>
            </w:pPr>
            <w:r w:rsidRPr="0093171D">
              <w:rPr>
                <w:rFonts w:ascii="Arial" w:hAnsi="Arial" w:cs="Arial"/>
                <w:sz w:val="20"/>
              </w:rPr>
              <w:t>TRIFLURIDINE WITH TIPIRACIL</w:t>
            </w:r>
          </w:p>
          <w:p w:rsidR="00062B17" w:rsidRDefault="0093171D" w:rsidP="00324853">
            <w:pPr>
              <w:rPr>
                <w:rFonts w:ascii="Arial" w:hAnsi="Arial" w:cs="Arial"/>
                <w:color w:val="000000"/>
                <w:sz w:val="20"/>
              </w:rPr>
            </w:pPr>
            <w:r w:rsidRPr="0093171D">
              <w:rPr>
                <w:rFonts w:ascii="Arial" w:hAnsi="Arial" w:cs="Arial"/>
                <w:color w:val="000000"/>
                <w:sz w:val="20"/>
              </w:rPr>
              <w:br/>
              <w:t xml:space="preserve">Tablet containing </w:t>
            </w:r>
          </w:p>
          <w:p w:rsidR="00062B17" w:rsidRDefault="0093171D" w:rsidP="00324853">
            <w:pPr>
              <w:rPr>
                <w:rFonts w:ascii="Arial" w:hAnsi="Arial" w:cs="Arial"/>
                <w:color w:val="000000"/>
                <w:sz w:val="20"/>
              </w:rPr>
            </w:pPr>
            <w:r w:rsidRPr="0093171D">
              <w:rPr>
                <w:rFonts w:ascii="Arial" w:hAnsi="Arial" w:cs="Arial"/>
                <w:color w:val="000000"/>
                <w:sz w:val="20"/>
              </w:rPr>
              <w:t xml:space="preserve">15 mg trifluridine with 6.14 mg tipiracil </w:t>
            </w:r>
          </w:p>
          <w:p w:rsidR="00062B17" w:rsidRDefault="0093171D" w:rsidP="00324853">
            <w:pPr>
              <w:rPr>
                <w:rFonts w:ascii="Arial" w:hAnsi="Arial" w:cs="Arial"/>
                <w:color w:val="000000"/>
                <w:sz w:val="20"/>
              </w:rPr>
            </w:pPr>
            <w:r w:rsidRPr="0093171D">
              <w:rPr>
                <w:rFonts w:ascii="Arial" w:hAnsi="Arial" w:cs="Arial"/>
                <w:color w:val="000000"/>
                <w:sz w:val="20"/>
              </w:rPr>
              <w:t>(as hydrochloride)</w:t>
            </w:r>
            <w:r w:rsidRPr="0093171D">
              <w:rPr>
                <w:rFonts w:ascii="Arial" w:hAnsi="Arial" w:cs="Arial"/>
                <w:color w:val="000000"/>
                <w:sz w:val="20"/>
              </w:rPr>
              <w:br/>
              <w:t xml:space="preserve">Tablet containing </w:t>
            </w:r>
          </w:p>
          <w:p w:rsidR="00062B17" w:rsidRDefault="0093171D" w:rsidP="00324853">
            <w:pPr>
              <w:rPr>
                <w:rFonts w:ascii="Arial" w:hAnsi="Arial" w:cs="Arial"/>
                <w:color w:val="000000"/>
                <w:sz w:val="20"/>
              </w:rPr>
            </w:pPr>
            <w:r w:rsidRPr="0093171D">
              <w:rPr>
                <w:rFonts w:ascii="Arial" w:hAnsi="Arial" w:cs="Arial"/>
                <w:color w:val="000000"/>
                <w:sz w:val="20"/>
              </w:rPr>
              <w:t xml:space="preserve">20 mg trifluridine with 8.19 mg tipiracil </w:t>
            </w:r>
          </w:p>
          <w:p w:rsidR="0093171D" w:rsidRPr="0093171D" w:rsidRDefault="0093171D" w:rsidP="00324853">
            <w:pPr>
              <w:rPr>
                <w:rFonts w:ascii="Arial" w:hAnsi="Arial" w:cs="Arial"/>
                <w:color w:val="000000"/>
                <w:sz w:val="20"/>
              </w:rPr>
            </w:pPr>
            <w:r w:rsidRPr="0093171D">
              <w:rPr>
                <w:rFonts w:ascii="Arial" w:hAnsi="Arial" w:cs="Arial"/>
                <w:color w:val="000000"/>
                <w:sz w:val="20"/>
              </w:rPr>
              <w:t>(as hydrochloride)</w:t>
            </w:r>
            <w:r w:rsidRPr="0093171D">
              <w:rPr>
                <w:rFonts w:ascii="Arial" w:hAnsi="Arial" w:cs="Arial"/>
                <w:color w:val="000000"/>
                <w:sz w:val="20"/>
              </w:rPr>
              <w:br/>
            </w:r>
            <w:r w:rsidRPr="0093171D">
              <w:rPr>
                <w:rFonts w:ascii="Arial" w:hAnsi="Arial" w:cs="Arial"/>
                <w:color w:val="000000"/>
                <w:sz w:val="20"/>
              </w:rPr>
              <w:br/>
              <w:t>Lonsurf®</w:t>
            </w:r>
            <w:r w:rsidRPr="0093171D">
              <w:rPr>
                <w:rFonts w:ascii="Arial" w:hAnsi="Arial" w:cs="Arial"/>
                <w:color w:val="000000"/>
                <w:sz w:val="20"/>
              </w:rPr>
              <w:br/>
            </w:r>
            <w:r w:rsidRPr="0093171D">
              <w:rPr>
                <w:rFonts w:ascii="Arial" w:hAnsi="Arial" w:cs="Arial"/>
                <w:color w:val="000000"/>
                <w:sz w:val="20"/>
              </w:rPr>
              <w:br/>
              <w:t>Servier Laboratories (Australia) Pty Ltd</w:t>
            </w:r>
          </w:p>
          <w:p w:rsidR="0093171D" w:rsidRPr="0093171D" w:rsidRDefault="0093171D" w:rsidP="00324853">
            <w:pPr>
              <w:rPr>
                <w:rFonts w:ascii="Arial" w:hAnsi="Arial" w:cs="Arial"/>
                <w:color w:val="000000"/>
                <w:sz w:val="20"/>
              </w:rPr>
            </w:pPr>
          </w:p>
          <w:p w:rsidR="006C15C5" w:rsidRDefault="0093171D" w:rsidP="00324853">
            <w:pPr>
              <w:rPr>
                <w:rFonts w:ascii="Arial" w:hAnsi="Arial" w:cs="Arial"/>
                <w:color w:val="000000"/>
                <w:sz w:val="20"/>
              </w:rPr>
            </w:pPr>
            <w:r w:rsidRPr="0093171D">
              <w:rPr>
                <w:rFonts w:ascii="Arial" w:hAnsi="Arial" w:cs="Arial"/>
                <w:color w:val="000000"/>
                <w:sz w:val="20"/>
              </w:rPr>
              <w:t xml:space="preserve">New listing </w:t>
            </w:r>
          </w:p>
          <w:p w:rsidR="0093171D" w:rsidRPr="0093171D" w:rsidRDefault="0093171D" w:rsidP="00324853">
            <w:pPr>
              <w:rPr>
                <w:rFonts w:ascii="Arial" w:hAnsi="Arial" w:cs="Arial"/>
                <w:sz w:val="20"/>
                <w:highlight w:val="yellow"/>
              </w:rPr>
            </w:pPr>
            <w:r w:rsidRPr="0093171D">
              <w:rPr>
                <w:rFonts w:ascii="Arial" w:hAnsi="Arial" w:cs="Arial"/>
                <w:color w:val="000000"/>
                <w:sz w:val="20"/>
              </w:rPr>
              <w:t>(Minor Submission)</w:t>
            </w:r>
          </w:p>
        </w:tc>
        <w:tc>
          <w:tcPr>
            <w:tcW w:w="2268" w:type="dxa"/>
            <w:vMerge w:val="restart"/>
            <w:shd w:val="clear" w:color="auto" w:fill="auto"/>
          </w:tcPr>
          <w:p w:rsidR="00CB2370" w:rsidRPr="00E84559" w:rsidRDefault="00E84559" w:rsidP="00324853">
            <w:pPr>
              <w:rPr>
                <w:rFonts w:ascii="Arial" w:hAnsi="Arial" w:cs="Arial"/>
                <w:sz w:val="20"/>
                <w:highlight w:val="yellow"/>
              </w:rPr>
            </w:pPr>
            <w:r w:rsidRPr="00E84559">
              <w:rPr>
                <w:rFonts w:ascii="Arial" w:hAnsi="Arial" w:cs="Arial"/>
                <w:sz w:val="20"/>
              </w:rPr>
              <w:t>Indicated for the treatment of adult patients with metastatic colorectal cancer (mCRC) who have been previously treated with, or are not considered candidates for, fluoropyrimidine-, oxaliplatin- and irinotecan-based chemotherapies, anti-VEGF agents, and anti-EGFR agents.</w:t>
            </w:r>
          </w:p>
        </w:tc>
        <w:tc>
          <w:tcPr>
            <w:tcW w:w="1842" w:type="dxa"/>
            <w:vMerge w:val="restart"/>
            <w:shd w:val="clear" w:color="auto" w:fill="auto"/>
          </w:tcPr>
          <w:p w:rsidR="00CB2370" w:rsidRPr="00E84559" w:rsidRDefault="00E84559" w:rsidP="00324853">
            <w:pPr>
              <w:rPr>
                <w:rFonts w:ascii="Arial" w:hAnsi="Arial" w:cs="Arial"/>
                <w:sz w:val="20"/>
              </w:rPr>
            </w:pPr>
            <w:r w:rsidRPr="00E84559">
              <w:rPr>
                <w:rFonts w:ascii="Arial" w:hAnsi="Arial" w:cs="Arial"/>
                <w:sz w:val="20"/>
              </w:rPr>
              <w:t>TRIFLURIDINE WITH TIPIRACIL</w:t>
            </w:r>
            <w:r>
              <w:rPr>
                <w:rFonts w:ascii="Arial" w:hAnsi="Arial" w:cs="Arial"/>
                <w:sz w:val="20"/>
              </w:rPr>
              <w:t xml:space="preserve"> </w:t>
            </w:r>
            <w:r w:rsidRPr="00E84559">
              <w:rPr>
                <w:rFonts w:ascii="Arial" w:hAnsi="Arial" w:cs="Arial"/>
                <w:sz w:val="20"/>
              </w:rPr>
              <w:t>is not currently PBS listed.</w:t>
            </w:r>
          </w:p>
        </w:tc>
        <w:tc>
          <w:tcPr>
            <w:tcW w:w="3402" w:type="dxa"/>
            <w:shd w:val="clear" w:color="auto" w:fill="auto"/>
          </w:tcPr>
          <w:p w:rsidR="00CB2370" w:rsidRPr="0093171D" w:rsidRDefault="0093171D" w:rsidP="00324853">
            <w:pPr>
              <w:rPr>
                <w:rFonts w:ascii="Arial" w:hAnsi="Arial" w:cs="Arial"/>
                <w:sz w:val="20"/>
              </w:rPr>
            </w:pPr>
            <w:r w:rsidRPr="0093171D">
              <w:rPr>
                <w:rFonts w:ascii="Arial" w:hAnsi="Arial" w:cs="Arial"/>
                <w:color w:val="000000"/>
                <w:sz w:val="20"/>
              </w:rPr>
              <w:t>Resubmission to request an Authority Required (STREAMLINED) listing for the treatment of metastatic colorectal cancer</w:t>
            </w:r>
            <w:r w:rsidR="006C15C5">
              <w:rPr>
                <w:rFonts w:ascii="Arial" w:hAnsi="Arial" w:cs="Arial"/>
                <w:color w:val="000000"/>
                <w:sz w:val="20"/>
              </w:rPr>
              <w:t xml:space="preserve"> (mCRC)</w:t>
            </w:r>
            <w:r w:rsidRPr="0093171D">
              <w:rPr>
                <w:rFonts w:ascii="Arial" w:hAnsi="Arial" w:cs="Arial"/>
                <w:color w:val="000000"/>
                <w:sz w:val="20"/>
              </w:rPr>
              <w:t>.</w:t>
            </w:r>
          </w:p>
        </w:tc>
        <w:tc>
          <w:tcPr>
            <w:tcW w:w="5245" w:type="dxa"/>
            <w:shd w:val="clear" w:color="auto" w:fill="auto"/>
          </w:tcPr>
          <w:p w:rsidR="006C15C5" w:rsidRPr="00531FFC" w:rsidRDefault="006C15C5" w:rsidP="00324853">
            <w:pPr>
              <w:jc w:val="both"/>
              <w:rPr>
                <w:rFonts w:ascii="Arial" w:hAnsi="Arial" w:cs="Arial"/>
                <w:sz w:val="20"/>
              </w:rPr>
            </w:pPr>
            <w:r w:rsidRPr="006C15C5">
              <w:rPr>
                <w:rFonts w:ascii="Arial" w:hAnsi="Arial" w:cs="Arial"/>
                <w:sz w:val="20"/>
              </w:rPr>
              <w:t xml:space="preserve">The PBAC did not recommend the listing of trifluridine with tipiracil on the PBS for treatment of patients with metastatic colorectal cancer (mCRC) who have been treated previously or are not considered suitable for current available therapies. The PBAC based its decision on the modest clinical benefit and moderate toxicity, noting that the clinical benefit observed in the trial may not be realised in clinical practice. The PBAC noted </w:t>
            </w:r>
            <w:r w:rsidR="004045D0" w:rsidRPr="006C15C5">
              <w:rPr>
                <w:rFonts w:ascii="Arial" w:hAnsi="Arial" w:cs="Arial"/>
                <w:sz w:val="20"/>
              </w:rPr>
              <w:t>th</w:t>
            </w:r>
            <w:r w:rsidR="004045D0">
              <w:rPr>
                <w:rFonts w:ascii="Arial" w:hAnsi="Arial" w:cs="Arial"/>
                <w:sz w:val="20"/>
              </w:rPr>
              <w:t>e</w:t>
            </w:r>
            <w:r w:rsidR="004045D0" w:rsidRPr="006C15C5">
              <w:rPr>
                <w:rFonts w:ascii="Arial" w:hAnsi="Arial" w:cs="Arial"/>
                <w:sz w:val="20"/>
              </w:rPr>
              <w:t xml:space="preserve"> </w:t>
            </w:r>
            <w:r w:rsidRPr="006C15C5">
              <w:rPr>
                <w:rFonts w:ascii="Arial" w:hAnsi="Arial" w:cs="Arial"/>
                <w:sz w:val="20"/>
              </w:rPr>
              <w:t>revised subsidisation caps</w:t>
            </w:r>
            <w:r w:rsidR="004045D0">
              <w:rPr>
                <w:rFonts w:ascii="Arial" w:hAnsi="Arial" w:cs="Arial"/>
                <w:sz w:val="20"/>
              </w:rPr>
              <w:t xml:space="preserve"> proposed in the</w:t>
            </w:r>
            <w:r w:rsidRPr="006C15C5">
              <w:rPr>
                <w:rFonts w:ascii="Arial" w:hAnsi="Arial" w:cs="Arial"/>
                <w:sz w:val="20"/>
              </w:rPr>
              <w:t xml:space="preserve"> submission. However</w:t>
            </w:r>
            <w:r w:rsidR="00062B17">
              <w:rPr>
                <w:rFonts w:ascii="Arial" w:hAnsi="Arial" w:cs="Arial"/>
                <w:sz w:val="20"/>
              </w:rPr>
              <w:t>,</w:t>
            </w:r>
            <w:r w:rsidRPr="006C15C5">
              <w:rPr>
                <w:rFonts w:ascii="Arial" w:hAnsi="Arial" w:cs="Arial"/>
                <w:sz w:val="20"/>
              </w:rPr>
              <w:t xml:space="preserve"> the PBAC maintained that the impact of listing was substantial and represented a significant opportunity cost for the Commonwealth.</w:t>
            </w:r>
          </w:p>
        </w:tc>
      </w:tr>
      <w:tr w:rsidR="00CB2370" w:rsidRPr="008D0CCA" w:rsidTr="000057CB">
        <w:trPr>
          <w:cantSplit/>
          <w:trHeight w:val="433"/>
        </w:trPr>
        <w:tc>
          <w:tcPr>
            <w:tcW w:w="2127" w:type="dxa"/>
            <w:vMerge/>
          </w:tcPr>
          <w:p w:rsidR="00CB2370" w:rsidRPr="008D0CCA" w:rsidRDefault="00CB2370" w:rsidP="0093171D">
            <w:pPr>
              <w:keepNext/>
              <w:rPr>
                <w:rFonts w:ascii="Arial" w:hAnsi="Arial" w:cs="Arial"/>
                <w:sz w:val="20"/>
              </w:rPr>
            </w:pPr>
          </w:p>
        </w:tc>
        <w:tc>
          <w:tcPr>
            <w:tcW w:w="2268" w:type="dxa"/>
            <w:vMerge/>
          </w:tcPr>
          <w:p w:rsidR="00CB2370" w:rsidRPr="008D0CCA" w:rsidRDefault="00CB2370" w:rsidP="0093171D">
            <w:pPr>
              <w:keepNext/>
              <w:rPr>
                <w:rFonts w:ascii="Arial" w:hAnsi="Arial" w:cs="Arial"/>
                <w:sz w:val="20"/>
              </w:rPr>
            </w:pPr>
          </w:p>
        </w:tc>
        <w:tc>
          <w:tcPr>
            <w:tcW w:w="1842" w:type="dxa"/>
            <w:vMerge/>
          </w:tcPr>
          <w:p w:rsidR="00CB2370" w:rsidRPr="008D0CCA" w:rsidRDefault="00CB2370" w:rsidP="0093171D">
            <w:pPr>
              <w:keepNext/>
              <w:rPr>
                <w:rFonts w:ascii="Arial" w:hAnsi="Arial" w:cs="Arial"/>
                <w:sz w:val="20"/>
              </w:rPr>
            </w:pPr>
          </w:p>
        </w:tc>
        <w:tc>
          <w:tcPr>
            <w:tcW w:w="3402" w:type="dxa"/>
          </w:tcPr>
          <w:p w:rsidR="00CB2370" w:rsidRPr="008D0CCA" w:rsidRDefault="006C15C5" w:rsidP="0093171D">
            <w:pPr>
              <w:pStyle w:val="ListBullet"/>
              <w:keepNext/>
            </w:pPr>
            <w:r>
              <w:t>Comparator:</w:t>
            </w:r>
            <w:r w:rsidRPr="006C15C5">
              <w:t xml:space="preserve"> </w:t>
            </w:r>
            <w:r w:rsidR="001263F7">
              <w:t xml:space="preserve"> </w:t>
            </w:r>
            <w:r w:rsidRPr="006C15C5">
              <w:t>Best supportive care (BSC)</w:t>
            </w:r>
            <w:r w:rsidR="001263F7">
              <w:t>.</w:t>
            </w:r>
          </w:p>
        </w:tc>
        <w:tc>
          <w:tcPr>
            <w:tcW w:w="5245" w:type="dxa"/>
          </w:tcPr>
          <w:p w:rsidR="00CB2370" w:rsidRPr="008D0CCA" w:rsidRDefault="006C15C5" w:rsidP="0093171D">
            <w:pPr>
              <w:keepNext/>
              <w:jc w:val="both"/>
              <w:rPr>
                <w:rFonts w:ascii="Arial" w:hAnsi="Arial" w:cs="Arial"/>
                <w:sz w:val="20"/>
                <w:highlight w:val="yellow"/>
              </w:rPr>
            </w:pPr>
            <w:r w:rsidRPr="006C15C5">
              <w:rPr>
                <w:rFonts w:ascii="Arial" w:hAnsi="Arial" w:cs="Arial"/>
                <w:sz w:val="20"/>
              </w:rPr>
              <w:t>Accepted</w:t>
            </w:r>
            <w:r w:rsidR="001263F7">
              <w:rPr>
                <w:rFonts w:ascii="Arial" w:hAnsi="Arial" w:cs="Arial"/>
                <w:sz w:val="20"/>
              </w:rPr>
              <w:t>.</w:t>
            </w:r>
          </w:p>
        </w:tc>
      </w:tr>
      <w:tr w:rsidR="00CB2370" w:rsidRPr="00F61C70" w:rsidTr="007E146D">
        <w:trPr>
          <w:trHeight w:val="433"/>
        </w:trPr>
        <w:tc>
          <w:tcPr>
            <w:tcW w:w="2127" w:type="dxa"/>
            <w:vMerge/>
          </w:tcPr>
          <w:p w:rsidR="00CB2370" w:rsidRPr="008D0CCA" w:rsidRDefault="00CB2370" w:rsidP="0093171D">
            <w:pPr>
              <w:keepNext/>
              <w:rPr>
                <w:rFonts w:ascii="Arial" w:hAnsi="Arial" w:cs="Arial"/>
                <w:sz w:val="20"/>
              </w:rPr>
            </w:pPr>
          </w:p>
        </w:tc>
        <w:tc>
          <w:tcPr>
            <w:tcW w:w="2268" w:type="dxa"/>
            <w:vMerge/>
          </w:tcPr>
          <w:p w:rsidR="00CB2370" w:rsidRPr="008D0CCA" w:rsidRDefault="00CB2370" w:rsidP="0093171D">
            <w:pPr>
              <w:keepNext/>
              <w:rPr>
                <w:rFonts w:ascii="Arial" w:hAnsi="Arial" w:cs="Arial"/>
                <w:sz w:val="20"/>
              </w:rPr>
            </w:pPr>
          </w:p>
        </w:tc>
        <w:tc>
          <w:tcPr>
            <w:tcW w:w="1842" w:type="dxa"/>
            <w:vMerge/>
          </w:tcPr>
          <w:p w:rsidR="00CB2370" w:rsidRPr="008D0CCA" w:rsidRDefault="00CB2370" w:rsidP="0093171D">
            <w:pPr>
              <w:keepNext/>
              <w:rPr>
                <w:rFonts w:ascii="Arial" w:hAnsi="Arial" w:cs="Arial"/>
                <w:sz w:val="20"/>
              </w:rPr>
            </w:pPr>
          </w:p>
        </w:tc>
        <w:tc>
          <w:tcPr>
            <w:tcW w:w="3402" w:type="dxa"/>
          </w:tcPr>
          <w:p w:rsidR="00CB2370" w:rsidRPr="008D0CCA" w:rsidRDefault="00CB2370" w:rsidP="0093171D">
            <w:pPr>
              <w:pStyle w:val="ListBullet"/>
              <w:keepNext/>
            </w:pPr>
            <w:r w:rsidRPr="008D0CCA">
              <w:t xml:space="preserve">Clinical claim:  </w:t>
            </w:r>
            <w:r w:rsidR="006C15C5" w:rsidRPr="006C15C5">
              <w:t>Superior efficacy and inferior safety of trifluridine/tipiracil compared with BSC.</w:t>
            </w:r>
          </w:p>
          <w:p w:rsidR="00CB2370" w:rsidRPr="008D0CCA" w:rsidRDefault="00CB2370" w:rsidP="0093171D">
            <w:pPr>
              <w:pStyle w:val="ListBullet"/>
              <w:keepNext/>
              <w:ind w:left="360"/>
            </w:pPr>
          </w:p>
        </w:tc>
        <w:tc>
          <w:tcPr>
            <w:tcW w:w="5245" w:type="dxa"/>
          </w:tcPr>
          <w:p w:rsidR="00CB2370" w:rsidRPr="00F61C70" w:rsidRDefault="006C15C5" w:rsidP="00531FFC">
            <w:pPr>
              <w:jc w:val="both"/>
              <w:rPr>
                <w:rFonts w:ascii="Arial" w:hAnsi="Arial" w:cs="Arial"/>
                <w:sz w:val="20"/>
              </w:rPr>
            </w:pPr>
            <w:r w:rsidRPr="006C15C5">
              <w:rPr>
                <w:rFonts w:ascii="Arial" w:hAnsi="Arial" w:cs="Arial"/>
                <w:sz w:val="20"/>
              </w:rPr>
              <w:t>There was no change to the clinical claim from the March 2017 resubmission. The PBAC previously accepted the claim of superior comparative effectiveness and inferior safety. However the PBAC considered the magnitude of benefit to be modest.</w:t>
            </w:r>
          </w:p>
        </w:tc>
      </w:tr>
      <w:tr w:rsidR="00CB2370" w:rsidRPr="008D0CCA" w:rsidTr="007E146D">
        <w:trPr>
          <w:trHeight w:val="433"/>
        </w:trPr>
        <w:tc>
          <w:tcPr>
            <w:tcW w:w="2127" w:type="dxa"/>
            <w:vMerge/>
          </w:tcPr>
          <w:p w:rsidR="00CB2370" w:rsidRPr="008D0CCA" w:rsidRDefault="00CB2370" w:rsidP="0093171D">
            <w:pPr>
              <w:keepNext/>
              <w:rPr>
                <w:rFonts w:ascii="Arial" w:hAnsi="Arial" w:cs="Arial"/>
                <w:sz w:val="20"/>
              </w:rPr>
            </w:pPr>
          </w:p>
        </w:tc>
        <w:tc>
          <w:tcPr>
            <w:tcW w:w="2268" w:type="dxa"/>
            <w:vMerge/>
          </w:tcPr>
          <w:p w:rsidR="00CB2370" w:rsidRPr="008D0CCA" w:rsidRDefault="00CB2370" w:rsidP="0093171D">
            <w:pPr>
              <w:keepNext/>
              <w:rPr>
                <w:rFonts w:ascii="Arial" w:hAnsi="Arial" w:cs="Arial"/>
                <w:sz w:val="20"/>
              </w:rPr>
            </w:pPr>
          </w:p>
        </w:tc>
        <w:tc>
          <w:tcPr>
            <w:tcW w:w="1842" w:type="dxa"/>
            <w:vMerge/>
          </w:tcPr>
          <w:p w:rsidR="00CB2370" w:rsidRPr="008D0CCA" w:rsidRDefault="00CB2370" w:rsidP="0093171D">
            <w:pPr>
              <w:keepNext/>
              <w:rPr>
                <w:rFonts w:ascii="Arial" w:hAnsi="Arial" w:cs="Arial"/>
                <w:sz w:val="20"/>
              </w:rPr>
            </w:pPr>
          </w:p>
        </w:tc>
        <w:tc>
          <w:tcPr>
            <w:tcW w:w="3402" w:type="dxa"/>
          </w:tcPr>
          <w:p w:rsidR="00CB2370" w:rsidRPr="008D0CCA" w:rsidRDefault="00CB2370" w:rsidP="001263F7">
            <w:pPr>
              <w:pStyle w:val="ListBullet"/>
              <w:keepNext/>
            </w:pPr>
            <w:r w:rsidRPr="008D0CCA">
              <w:t xml:space="preserve">Economic claim: </w:t>
            </w:r>
            <w:r w:rsidR="001263F7">
              <w:t xml:space="preserve"> </w:t>
            </w:r>
            <w:r w:rsidR="006C15C5" w:rsidRPr="006C15C5">
              <w:t>Cost-utility analysis of trifluridine/tipiracil</w:t>
            </w:r>
            <w:r w:rsidR="001263F7">
              <w:t>.</w:t>
            </w:r>
          </w:p>
        </w:tc>
        <w:tc>
          <w:tcPr>
            <w:tcW w:w="5245" w:type="dxa"/>
          </w:tcPr>
          <w:p w:rsidR="00CB2370" w:rsidRPr="001263F7" w:rsidRDefault="006C15C5" w:rsidP="00531FFC">
            <w:pPr>
              <w:jc w:val="both"/>
              <w:rPr>
                <w:rFonts w:ascii="Arial" w:hAnsi="Arial" w:cs="Arial"/>
                <w:sz w:val="20"/>
              </w:rPr>
            </w:pPr>
            <w:r w:rsidRPr="006C15C5">
              <w:rPr>
                <w:rFonts w:ascii="Arial" w:hAnsi="Arial" w:cs="Arial"/>
                <w:sz w:val="20"/>
              </w:rPr>
              <w:t>The PBAC noted that the base case economic evaluation was not substantially different from that of the previous submission. The PBAC considered that although the resubmission proposed revised expenditure caps set to half the estimated utilisation, there remained uncertainty in the estimated utilisation and therefore, it was uncertain whether these caps would be exceeded in practice. Therefore, the PBAC considered that it was unlikely that the ICER would be reduced through the proposed expenditure caps as proposed in the resubmission. For assessments of cost-effectiveness to rely on Risk Sharing Arrangement (RSA) rebates, the PBAC advised that it would need to have a high level of confidence in the utilisation estimates underpinning the RSA. As such, the PBAC considered that the proposed RSA was not an appropriate approach to achieve cost-effectiveness.</w:t>
            </w:r>
          </w:p>
        </w:tc>
      </w:tr>
      <w:tr w:rsidR="00CB2370" w:rsidRPr="008D0CCA" w:rsidTr="00531FFC">
        <w:trPr>
          <w:trHeight w:val="324"/>
        </w:trPr>
        <w:tc>
          <w:tcPr>
            <w:tcW w:w="2127" w:type="dxa"/>
            <w:vMerge/>
          </w:tcPr>
          <w:p w:rsidR="00CB2370" w:rsidRPr="008D0CCA" w:rsidRDefault="00CB2370" w:rsidP="0093171D">
            <w:pPr>
              <w:keepNext/>
              <w:rPr>
                <w:rFonts w:ascii="Arial" w:hAnsi="Arial" w:cs="Arial"/>
                <w:sz w:val="20"/>
              </w:rPr>
            </w:pPr>
          </w:p>
        </w:tc>
        <w:tc>
          <w:tcPr>
            <w:tcW w:w="2268" w:type="dxa"/>
            <w:vMerge/>
          </w:tcPr>
          <w:p w:rsidR="00CB2370" w:rsidRPr="008D0CCA" w:rsidRDefault="00CB2370" w:rsidP="0093171D">
            <w:pPr>
              <w:keepNext/>
              <w:rPr>
                <w:rFonts w:ascii="Arial" w:hAnsi="Arial" w:cs="Arial"/>
                <w:sz w:val="20"/>
              </w:rPr>
            </w:pPr>
          </w:p>
        </w:tc>
        <w:tc>
          <w:tcPr>
            <w:tcW w:w="1842" w:type="dxa"/>
            <w:vMerge/>
          </w:tcPr>
          <w:p w:rsidR="00CB2370" w:rsidRPr="008D0CCA" w:rsidRDefault="00CB2370" w:rsidP="0093171D">
            <w:pPr>
              <w:keepNext/>
              <w:rPr>
                <w:rFonts w:ascii="Arial" w:hAnsi="Arial" w:cs="Arial"/>
                <w:sz w:val="20"/>
              </w:rPr>
            </w:pPr>
          </w:p>
        </w:tc>
        <w:tc>
          <w:tcPr>
            <w:tcW w:w="3402" w:type="dxa"/>
          </w:tcPr>
          <w:p w:rsidR="00CB2370" w:rsidRPr="008D0CCA" w:rsidRDefault="00CB2370" w:rsidP="0093171D">
            <w:pPr>
              <w:pStyle w:val="ListBullet"/>
              <w:keepNext/>
            </w:pPr>
            <w:r w:rsidRPr="008D0CCA">
              <w:t>Sponsor’s comments:</w:t>
            </w:r>
          </w:p>
          <w:p w:rsidR="00CB2370" w:rsidRPr="008D0CCA" w:rsidRDefault="00CB2370" w:rsidP="0093171D">
            <w:pPr>
              <w:pStyle w:val="ListBullet"/>
              <w:keepNext/>
            </w:pPr>
          </w:p>
        </w:tc>
        <w:tc>
          <w:tcPr>
            <w:tcW w:w="5245" w:type="dxa"/>
          </w:tcPr>
          <w:p w:rsidR="00CB2370" w:rsidRPr="008D0CCA" w:rsidRDefault="00531FFC" w:rsidP="0093171D">
            <w:pPr>
              <w:keepNext/>
              <w:jc w:val="both"/>
              <w:rPr>
                <w:rFonts w:ascii="Arial" w:hAnsi="Arial" w:cs="Arial"/>
                <w:sz w:val="20"/>
                <w:highlight w:val="yellow"/>
              </w:rPr>
            </w:pPr>
            <w:r w:rsidRPr="00855CF7">
              <w:rPr>
                <w:rFonts w:ascii="Arial" w:hAnsi="Arial" w:cs="Arial"/>
                <w:sz w:val="20"/>
              </w:rPr>
              <w:t>The sponsor had no comment.</w:t>
            </w:r>
          </w:p>
        </w:tc>
      </w:tr>
    </w:tbl>
    <w:p w:rsidR="0078027D" w:rsidRPr="0010394D" w:rsidRDefault="0078027D" w:rsidP="005948E2">
      <w:pPr>
        <w:pStyle w:val="Title"/>
        <w:jc w:val="left"/>
      </w:pPr>
    </w:p>
    <w:sectPr w:rsidR="0078027D" w:rsidRPr="0010394D" w:rsidSect="00853C13">
      <w:headerReference w:type="default" r:id="rId9"/>
      <w:footerReference w:type="default" r:id="rId10"/>
      <w:headerReference w:type="first" r:id="rId11"/>
      <w:footerReference w:type="first" r:id="rId12"/>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C9" w:rsidRDefault="003419C9">
      <w:r>
        <w:separator/>
      </w:r>
    </w:p>
  </w:endnote>
  <w:endnote w:type="continuationSeparator" w:id="0">
    <w:p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057CB">
      <w:rPr>
        <w:rFonts w:ascii="Arial" w:hAnsi="Arial" w:cs="Arial"/>
        <w:noProof/>
        <w:sz w:val="22"/>
      </w:rPr>
      <w:t>11</w:t>
    </w:r>
    <w:r w:rsidRPr="000805C6">
      <w:rPr>
        <w:rFonts w:ascii="Arial" w:hAnsi="Arial" w:cs="Arial"/>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853C13">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C9" w:rsidRDefault="003419C9">
      <w:r>
        <w:separator/>
      </w:r>
    </w:p>
  </w:footnote>
  <w:footnote w:type="continuationSeparator" w:id="0">
    <w:p w:rsidR="003419C9" w:rsidRDefault="00341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11B57" w:rsidP="000805C6">
    <w:pPr>
      <w:pStyle w:val="Header"/>
      <w:jc w:val="center"/>
      <w:rPr>
        <w:rFonts w:ascii="Arial" w:hAnsi="Arial" w:cs="Arial"/>
        <w:b/>
        <w:sz w:val="20"/>
      </w:rPr>
    </w:pPr>
    <w:r>
      <w:rPr>
        <w:rFonts w:ascii="Arial" w:hAnsi="Arial" w:cs="Arial"/>
        <w:b/>
        <w:sz w:val="20"/>
      </w:rPr>
      <w:t>MARCH</w:t>
    </w:r>
    <w:r w:rsidR="000805C6">
      <w:rPr>
        <w:rFonts w:ascii="Arial" w:hAnsi="Arial" w:cs="Arial"/>
        <w:b/>
        <w:sz w:val="20"/>
      </w:rPr>
      <w:t xml:space="preserve"> 201</w:t>
    </w:r>
    <w:r>
      <w:rPr>
        <w:rFonts w:ascii="Arial" w:hAnsi="Arial" w:cs="Arial"/>
        <w:b/>
        <w:sz w:val="20"/>
      </w:rPr>
      <w:t xml:space="preserve">8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100024" w:rsidP="00613975">
    <w:pPr>
      <w:pStyle w:val="Header"/>
      <w:jc w:val="center"/>
      <w:rPr>
        <w:rFonts w:ascii="Arial" w:hAnsi="Arial" w:cs="Arial"/>
        <w:b/>
        <w:sz w:val="20"/>
      </w:rPr>
    </w:pPr>
    <w:r>
      <w:rPr>
        <w:rFonts w:ascii="Arial" w:hAnsi="Arial" w:cs="Arial"/>
        <w:b/>
        <w:sz w:val="20"/>
      </w:rPr>
      <w:t>NOVEMBER 2017</w:t>
    </w:r>
    <w:r w:rsidR="00A24F2E" w:rsidRPr="00A24F2E">
      <w:rPr>
        <w:rFonts w:ascii="Arial" w:hAnsi="Arial" w:cs="Arial"/>
        <w:b/>
        <w:sz w:val="20"/>
      </w:rPr>
      <w:t xml:space="preserve">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7A7F97"/>
    <w:multiLevelType w:val="hybridMultilevel"/>
    <w:tmpl w:val="3F9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E93696D"/>
    <w:multiLevelType w:val="hybridMultilevel"/>
    <w:tmpl w:val="6F4A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A73860"/>
    <w:multiLevelType w:val="hybridMultilevel"/>
    <w:tmpl w:val="F12A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6ED3C83"/>
    <w:multiLevelType w:val="hybridMultilevel"/>
    <w:tmpl w:val="616E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6">
    <w:nsid w:val="6BB83544"/>
    <w:multiLevelType w:val="hybridMultilevel"/>
    <w:tmpl w:val="4AA4D96A"/>
    <w:lvl w:ilvl="0" w:tplc="0C090001">
      <w:start w:val="1"/>
      <w:numFmt w:val="bullet"/>
      <w:lvlText w:val=""/>
      <w:lvlJc w:val="left"/>
      <w:pPr>
        <w:ind w:left="469" w:hanging="360"/>
      </w:pPr>
      <w:rPr>
        <w:rFonts w:ascii="Symbol" w:hAnsi="Symbol" w:hint="default"/>
      </w:rPr>
    </w:lvl>
    <w:lvl w:ilvl="1" w:tplc="0C090003" w:tentative="1">
      <w:start w:val="1"/>
      <w:numFmt w:val="bullet"/>
      <w:lvlText w:val="o"/>
      <w:lvlJc w:val="left"/>
      <w:pPr>
        <w:ind w:left="1189" w:hanging="360"/>
      </w:pPr>
      <w:rPr>
        <w:rFonts w:ascii="Courier New" w:hAnsi="Courier New" w:cs="Courier New" w:hint="default"/>
      </w:rPr>
    </w:lvl>
    <w:lvl w:ilvl="2" w:tplc="0C090005" w:tentative="1">
      <w:start w:val="1"/>
      <w:numFmt w:val="bullet"/>
      <w:lvlText w:val=""/>
      <w:lvlJc w:val="left"/>
      <w:pPr>
        <w:ind w:left="1909" w:hanging="360"/>
      </w:pPr>
      <w:rPr>
        <w:rFonts w:ascii="Wingdings" w:hAnsi="Wingdings" w:hint="default"/>
      </w:rPr>
    </w:lvl>
    <w:lvl w:ilvl="3" w:tplc="0C090001" w:tentative="1">
      <w:start w:val="1"/>
      <w:numFmt w:val="bullet"/>
      <w:lvlText w:val=""/>
      <w:lvlJc w:val="left"/>
      <w:pPr>
        <w:ind w:left="2629" w:hanging="360"/>
      </w:pPr>
      <w:rPr>
        <w:rFonts w:ascii="Symbol" w:hAnsi="Symbol" w:hint="default"/>
      </w:rPr>
    </w:lvl>
    <w:lvl w:ilvl="4" w:tplc="0C090003" w:tentative="1">
      <w:start w:val="1"/>
      <w:numFmt w:val="bullet"/>
      <w:lvlText w:val="o"/>
      <w:lvlJc w:val="left"/>
      <w:pPr>
        <w:ind w:left="3349" w:hanging="360"/>
      </w:pPr>
      <w:rPr>
        <w:rFonts w:ascii="Courier New" w:hAnsi="Courier New" w:cs="Courier New" w:hint="default"/>
      </w:rPr>
    </w:lvl>
    <w:lvl w:ilvl="5" w:tplc="0C090005" w:tentative="1">
      <w:start w:val="1"/>
      <w:numFmt w:val="bullet"/>
      <w:lvlText w:val=""/>
      <w:lvlJc w:val="left"/>
      <w:pPr>
        <w:ind w:left="4069" w:hanging="360"/>
      </w:pPr>
      <w:rPr>
        <w:rFonts w:ascii="Wingdings" w:hAnsi="Wingdings" w:hint="default"/>
      </w:rPr>
    </w:lvl>
    <w:lvl w:ilvl="6" w:tplc="0C090001" w:tentative="1">
      <w:start w:val="1"/>
      <w:numFmt w:val="bullet"/>
      <w:lvlText w:val=""/>
      <w:lvlJc w:val="left"/>
      <w:pPr>
        <w:ind w:left="4789" w:hanging="360"/>
      </w:pPr>
      <w:rPr>
        <w:rFonts w:ascii="Symbol" w:hAnsi="Symbol" w:hint="default"/>
      </w:rPr>
    </w:lvl>
    <w:lvl w:ilvl="7" w:tplc="0C090003" w:tentative="1">
      <w:start w:val="1"/>
      <w:numFmt w:val="bullet"/>
      <w:lvlText w:val="o"/>
      <w:lvlJc w:val="left"/>
      <w:pPr>
        <w:ind w:left="5509" w:hanging="360"/>
      </w:pPr>
      <w:rPr>
        <w:rFonts w:ascii="Courier New" w:hAnsi="Courier New" w:cs="Courier New" w:hint="default"/>
      </w:rPr>
    </w:lvl>
    <w:lvl w:ilvl="8" w:tplc="0C090005" w:tentative="1">
      <w:start w:val="1"/>
      <w:numFmt w:val="bullet"/>
      <w:lvlText w:val=""/>
      <w:lvlJc w:val="left"/>
      <w:pPr>
        <w:ind w:left="6229" w:hanging="360"/>
      </w:pPr>
      <w:rPr>
        <w:rFonts w:ascii="Wingdings" w:hAnsi="Wingdings" w:hint="default"/>
      </w:rPr>
    </w:lvl>
  </w:abstractNum>
  <w:abstractNum w:abstractNumId="17">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B3A2D42"/>
    <w:multiLevelType w:val="hybridMultilevel"/>
    <w:tmpl w:val="F48A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C494AEE"/>
    <w:multiLevelType w:val="hybridMultilevel"/>
    <w:tmpl w:val="C69AA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4"/>
  </w:num>
  <w:num w:numId="4">
    <w:abstractNumId w:val="12"/>
  </w:num>
  <w:num w:numId="5">
    <w:abstractNumId w:val="4"/>
  </w:num>
  <w:num w:numId="6">
    <w:abstractNumId w:val="17"/>
  </w:num>
  <w:num w:numId="7">
    <w:abstractNumId w:val="9"/>
  </w:num>
  <w:num w:numId="8">
    <w:abstractNumId w:val="5"/>
  </w:num>
  <w:num w:numId="9">
    <w:abstractNumId w:val="3"/>
  </w:num>
  <w:num w:numId="10">
    <w:abstractNumId w:val="10"/>
  </w:num>
  <w:num w:numId="11">
    <w:abstractNumId w:val="6"/>
  </w:num>
  <w:num w:numId="12">
    <w:abstractNumId w:val="18"/>
  </w:num>
  <w:num w:numId="13">
    <w:abstractNumId w:val="19"/>
  </w:num>
  <w:num w:numId="14">
    <w:abstractNumId w:val="7"/>
  </w:num>
  <w:num w:numId="15">
    <w:abstractNumId w:val="1"/>
  </w:num>
  <w:num w:numId="16">
    <w:abstractNumId w:val="8"/>
  </w:num>
  <w:num w:numId="17">
    <w:abstractNumId w:val="2"/>
  </w:num>
  <w:num w:numId="18">
    <w:abstractNumId w:val="1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057CB"/>
    <w:rsid w:val="0001162E"/>
    <w:rsid w:val="00011B57"/>
    <w:rsid w:val="00014389"/>
    <w:rsid w:val="00016ABD"/>
    <w:rsid w:val="000239AB"/>
    <w:rsid w:val="00024634"/>
    <w:rsid w:val="00024F1C"/>
    <w:rsid w:val="00030555"/>
    <w:rsid w:val="00031E49"/>
    <w:rsid w:val="00046D30"/>
    <w:rsid w:val="00060BDC"/>
    <w:rsid w:val="00062B17"/>
    <w:rsid w:val="000632B7"/>
    <w:rsid w:val="00063F01"/>
    <w:rsid w:val="000703F3"/>
    <w:rsid w:val="000805C6"/>
    <w:rsid w:val="0009305C"/>
    <w:rsid w:val="00096AEE"/>
    <w:rsid w:val="000B4313"/>
    <w:rsid w:val="000B6738"/>
    <w:rsid w:val="000C4095"/>
    <w:rsid w:val="000D1304"/>
    <w:rsid w:val="000D3717"/>
    <w:rsid w:val="000E406F"/>
    <w:rsid w:val="000E52C4"/>
    <w:rsid w:val="00100024"/>
    <w:rsid w:val="0010394D"/>
    <w:rsid w:val="001047FA"/>
    <w:rsid w:val="00120488"/>
    <w:rsid w:val="001263F7"/>
    <w:rsid w:val="00144E78"/>
    <w:rsid w:val="00146698"/>
    <w:rsid w:val="00167BBC"/>
    <w:rsid w:val="00170906"/>
    <w:rsid w:val="001810B2"/>
    <w:rsid w:val="001C0908"/>
    <w:rsid w:val="001D38D0"/>
    <w:rsid w:val="001F5344"/>
    <w:rsid w:val="002007BA"/>
    <w:rsid w:val="00204DB4"/>
    <w:rsid w:val="002075FB"/>
    <w:rsid w:val="00220228"/>
    <w:rsid w:val="00220C3F"/>
    <w:rsid w:val="00223C4D"/>
    <w:rsid w:val="00237031"/>
    <w:rsid w:val="00241E9E"/>
    <w:rsid w:val="002440EA"/>
    <w:rsid w:val="002460D4"/>
    <w:rsid w:val="00255313"/>
    <w:rsid w:val="00255AE8"/>
    <w:rsid w:val="00256ACE"/>
    <w:rsid w:val="00261171"/>
    <w:rsid w:val="002743B5"/>
    <w:rsid w:val="00283041"/>
    <w:rsid w:val="002861D6"/>
    <w:rsid w:val="00287BC5"/>
    <w:rsid w:val="002951DC"/>
    <w:rsid w:val="00297A0B"/>
    <w:rsid w:val="002A1CF2"/>
    <w:rsid w:val="002A3C25"/>
    <w:rsid w:val="002A42C5"/>
    <w:rsid w:val="002A46E6"/>
    <w:rsid w:val="002A5152"/>
    <w:rsid w:val="002A6D25"/>
    <w:rsid w:val="002A7FDE"/>
    <w:rsid w:val="002D5215"/>
    <w:rsid w:val="002D70FB"/>
    <w:rsid w:val="002E5B33"/>
    <w:rsid w:val="002F0F71"/>
    <w:rsid w:val="002F5086"/>
    <w:rsid w:val="002F62A6"/>
    <w:rsid w:val="00302B1F"/>
    <w:rsid w:val="00303527"/>
    <w:rsid w:val="00305656"/>
    <w:rsid w:val="003117DA"/>
    <w:rsid w:val="00312342"/>
    <w:rsid w:val="00312E87"/>
    <w:rsid w:val="00320F76"/>
    <w:rsid w:val="00322CA5"/>
    <w:rsid w:val="00324853"/>
    <w:rsid w:val="003335F7"/>
    <w:rsid w:val="00337EC3"/>
    <w:rsid w:val="003415EF"/>
    <w:rsid w:val="003419C9"/>
    <w:rsid w:val="00344F7D"/>
    <w:rsid w:val="00347546"/>
    <w:rsid w:val="00367CA3"/>
    <w:rsid w:val="00380699"/>
    <w:rsid w:val="0039594A"/>
    <w:rsid w:val="0039641E"/>
    <w:rsid w:val="003B6CFA"/>
    <w:rsid w:val="003C3492"/>
    <w:rsid w:val="003E2DEC"/>
    <w:rsid w:val="003E3C69"/>
    <w:rsid w:val="003E5ACC"/>
    <w:rsid w:val="003F12A1"/>
    <w:rsid w:val="003F7763"/>
    <w:rsid w:val="00401F5B"/>
    <w:rsid w:val="00403549"/>
    <w:rsid w:val="004045D0"/>
    <w:rsid w:val="004074CD"/>
    <w:rsid w:val="00416C9D"/>
    <w:rsid w:val="00422B04"/>
    <w:rsid w:val="00434AEF"/>
    <w:rsid w:val="0043706A"/>
    <w:rsid w:val="00446F57"/>
    <w:rsid w:val="0044777F"/>
    <w:rsid w:val="00447CFB"/>
    <w:rsid w:val="004568DD"/>
    <w:rsid w:val="00467522"/>
    <w:rsid w:val="00475539"/>
    <w:rsid w:val="00477C5E"/>
    <w:rsid w:val="004869E4"/>
    <w:rsid w:val="004874F1"/>
    <w:rsid w:val="00490C42"/>
    <w:rsid w:val="0049673E"/>
    <w:rsid w:val="004968F4"/>
    <w:rsid w:val="004A4FC2"/>
    <w:rsid w:val="004A7506"/>
    <w:rsid w:val="004A76AD"/>
    <w:rsid w:val="004B42E8"/>
    <w:rsid w:val="004C071C"/>
    <w:rsid w:val="004C0A09"/>
    <w:rsid w:val="004C3700"/>
    <w:rsid w:val="004D08BF"/>
    <w:rsid w:val="004D2DFC"/>
    <w:rsid w:val="004D3707"/>
    <w:rsid w:val="004E4BB3"/>
    <w:rsid w:val="004E58AE"/>
    <w:rsid w:val="004E61E5"/>
    <w:rsid w:val="004E7F92"/>
    <w:rsid w:val="004F22AF"/>
    <w:rsid w:val="004F53A2"/>
    <w:rsid w:val="00503F31"/>
    <w:rsid w:val="005060C3"/>
    <w:rsid w:val="00510EEE"/>
    <w:rsid w:val="005156A1"/>
    <w:rsid w:val="0051671E"/>
    <w:rsid w:val="00523F16"/>
    <w:rsid w:val="00524927"/>
    <w:rsid w:val="00526875"/>
    <w:rsid w:val="00531FFC"/>
    <w:rsid w:val="005334F6"/>
    <w:rsid w:val="00533EC6"/>
    <w:rsid w:val="00551121"/>
    <w:rsid w:val="00556A91"/>
    <w:rsid w:val="0056006F"/>
    <w:rsid w:val="00565922"/>
    <w:rsid w:val="00575B97"/>
    <w:rsid w:val="00583A1F"/>
    <w:rsid w:val="00591511"/>
    <w:rsid w:val="005948E2"/>
    <w:rsid w:val="005A4700"/>
    <w:rsid w:val="005B07F6"/>
    <w:rsid w:val="005B1359"/>
    <w:rsid w:val="005C51C0"/>
    <w:rsid w:val="005C529C"/>
    <w:rsid w:val="005C583B"/>
    <w:rsid w:val="005C63E0"/>
    <w:rsid w:val="005D0350"/>
    <w:rsid w:val="005D0C2F"/>
    <w:rsid w:val="005E4432"/>
    <w:rsid w:val="005E6A00"/>
    <w:rsid w:val="005E7C18"/>
    <w:rsid w:val="005F5AFB"/>
    <w:rsid w:val="00606B1D"/>
    <w:rsid w:val="00613975"/>
    <w:rsid w:val="0062060A"/>
    <w:rsid w:val="006227C5"/>
    <w:rsid w:val="00636B27"/>
    <w:rsid w:val="0063770E"/>
    <w:rsid w:val="006378CF"/>
    <w:rsid w:val="00655D5C"/>
    <w:rsid w:val="00670168"/>
    <w:rsid w:val="00674FEC"/>
    <w:rsid w:val="00680915"/>
    <w:rsid w:val="00686972"/>
    <w:rsid w:val="00690AA4"/>
    <w:rsid w:val="00695D28"/>
    <w:rsid w:val="006A4BE8"/>
    <w:rsid w:val="006B1423"/>
    <w:rsid w:val="006C15C5"/>
    <w:rsid w:val="006C196C"/>
    <w:rsid w:val="006C1CD8"/>
    <w:rsid w:val="006E0C7B"/>
    <w:rsid w:val="006E4FBA"/>
    <w:rsid w:val="006F3F91"/>
    <w:rsid w:val="006F40D1"/>
    <w:rsid w:val="00704ABF"/>
    <w:rsid w:val="00704E74"/>
    <w:rsid w:val="00720097"/>
    <w:rsid w:val="00735D52"/>
    <w:rsid w:val="00743998"/>
    <w:rsid w:val="00751128"/>
    <w:rsid w:val="0075364D"/>
    <w:rsid w:val="007572F6"/>
    <w:rsid w:val="007605AB"/>
    <w:rsid w:val="0076473F"/>
    <w:rsid w:val="00770B47"/>
    <w:rsid w:val="00777395"/>
    <w:rsid w:val="0078027D"/>
    <w:rsid w:val="00783EF0"/>
    <w:rsid w:val="00784382"/>
    <w:rsid w:val="0079164A"/>
    <w:rsid w:val="007A29FA"/>
    <w:rsid w:val="007A361E"/>
    <w:rsid w:val="007C0EDE"/>
    <w:rsid w:val="007D085A"/>
    <w:rsid w:val="007D44F0"/>
    <w:rsid w:val="007E146D"/>
    <w:rsid w:val="007F4D1F"/>
    <w:rsid w:val="007F78CC"/>
    <w:rsid w:val="007F7F08"/>
    <w:rsid w:val="0080031A"/>
    <w:rsid w:val="0080046E"/>
    <w:rsid w:val="008068F2"/>
    <w:rsid w:val="00815D6B"/>
    <w:rsid w:val="0081702A"/>
    <w:rsid w:val="00821E75"/>
    <w:rsid w:val="00826000"/>
    <w:rsid w:val="00842F8C"/>
    <w:rsid w:val="00850073"/>
    <w:rsid w:val="00853C13"/>
    <w:rsid w:val="00855CF7"/>
    <w:rsid w:val="0086299E"/>
    <w:rsid w:val="0086603E"/>
    <w:rsid w:val="00883077"/>
    <w:rsid w:val="0089118B"/>
    <w:rsid w:val="008965DE"/>
    <w:rsid w:val="008A5929"/>
    <w:rsid w:val="008B0E22"/>
    <w:rsid w:val="008B7160"/>
    <w:rsid w:val="008C185A"/>
    <w:rsid w:val="008C6E23"/>
    <w:rsid w:val="008D0CCA"/>
    <w:rsid w:val="008D676E"/>
    <w:rsid w:val="008D72BA"/>
    <w:rsid w:val="008E0965"/>
    <w:rsid w:val="009014E2"/>
    <w:rsid w:val="009044AF"/>
    <w:rsid w:val="009224BE"/>
    <w:rsid w:val="00924932"/>
    <w:rsid w:val="00926BBF"/>
    <w:rsid w:val="0093171D"/>
    <w:rsid w:val="00934AD5"/>
    <w:rsid w:val="00947987"/>
    <w:rsid w:val="00957F9F"/>
    <w:rsid w:val="00972B1B"/>
    <w:rsid w:val="0098248A"/>
    <w:rsid w:val="009903EF"/>
    <w:rsid w:val="00991AFC"/>
    <w:rsid w:val="009967A2"/>
    <w:rsid w:val="009A6515"/>
    <w:rsid w:val="009B2F04"/>
    <w:rsid w:val="009B6BB1"/>
    <w:rsid w:val="009B6E95"/>
    <w:rsid w:val="009B735A"/>
    <w:rsid w:val="009B7CBE"/>
    <w:rsid w:val="009C73A4"/>
    <w:rsid w:val="009C7FD0"/>
    <w:rsid w:val="009D1D30"/>
    <w:rsid w:val="009E299C"/>
    <w:rsid w:val="009E6539"/>
    <w:rsid w:val="009F0ED6"/>
    <w:rsid w:val="009F42BE"/>
    <w:rsid w:val="009F5E7E"/>
    <w:rsid w:val="00A017D1"/>
    <w:rsid w:val="00A02424"/>
    <w:rsid w:val="00A07C14"/>
    <w:rsid w:val="00A24F2E"/>
    <w:rsid w:val="00A26805"/>
    <w:rsid w:val="00A42D88"/>
    <w:rsid w:val="00A54D11"/>
    <w:rsid w:val="00A55002"/>
    <w:rsid w:val="00A56ED7"/>
    <w:rsid w:val="00A62091"/>
    <w:rsid w:val="00A62A65"/>
    <w:rsid w:val="00A62D7E"/>
    <w:rsid w:val="00A706C5"/>
    <w:rsid w:val="00A71CF4"/>
    <w:rsid w:val="00A74BD3"/>
    <w:rsid w:val="00A90F44"/>
    <w:rsid w:val="00A913CA"/>
    <w:rsid w:val="00AD3357"/>
    <w:rsid w:val="00AE346B"/>
    <w:rsid w:val="00AE3F52"/>
    <w:rsid w:val="00AF4A3C"/>
    <w:rsid w:val="00B01740"/>
    <w:rsid w:val="00B10521"/>
    <w:rsid w:val="00B216CD"/>
    <w:rsid w:val="00B26FF7"/>
    <w:rsid w:val="00B31015"/>
    <w:rsid w:val="00B312A2"/>
    <w:rsid w:val="00B43E46"/>
    <w:rsid w:val="00B44CA8"/>
    <w:rsid w:val="00B45F4E"/>
    <w:rsid w:val="00B77A97"/>
    <w:rsid w:val="00B80FE3"/>
    <w:rsid w:val="00B93B4A"/>
    <w:rsid w:val="00BA3A69"/>
    <w:rsid w:val="00BC0474"/>
    <w:rsid w:val="00BC1FB7"/>
    <w:rsid w:val="00BC3F63"/>
    <w:rsid w:val="00BC55C3"/>
    <w:rsid w:val="00BD2203"/>
    <w:rsid w:val="00BD6EBF"/>
    <w:rsid w:val="00BE58B8"/>
    <w:rsid w:val="00BE7D88"/>
    <w:rsid w:val="00C110F0"/>
    <w:rsid w:val="00C16D96"/>
    <w:rsid w:val="00C2561B"/>
    <w:rsid w:val="00C26A1C"/>
    <w:rsid w:val="00C333D1"/>
    <w:rsid w:val="00C355A7"/>
    <w:rsid w:val="00C4326C"/>
    <w:rsid w:val="00C44740"/>
    <w:rsid w:val="00C44762"/>
    <w:rsid w:val="00C464A5"/>
    <w:rsid w:val="00C822F1"/>
    <w:rsid w:val="00C86595"/>
    <w:rsid w:val="00C9315F"/>
    <w:rsid w:val="00C9450F"/>
    <w:rsid w:val="00C94D2C"/>
    <w:rsid w:val="00CA0C65"/>
    <w:rsid w:val="00CA2B5C"/>
    <w:rsid w:val="00CA7CB3"/>
    <w:rsid w:val="00CB2370"/>
    <w:rsid w:val="00CD3345"/>
    <w:rsid w:val="00CE3D26"/>
    <w:rsid w:val="00CE3E9F"/>
    <w:rsid w:val="00D041FE"/>
    <w:rsid w:val="00D06895"/>
    <w:rsid w:val="00D230A2"/>
    <w:rsid w:val="00D3127D"/>
    <w:rsid w:val="00D40601"/>
    <w:rsid w:val="00D4464D"/>
    <w:rsid w:val="00D4717B"/>
    <w:rsid w:val="00D5330C"/>
    <w:rsid w:val="00D61D0B"/>
    <w:rsid w:val="00D641C2"/>
    <w:rsid w:val="00D65DDC"/>
    <w:rsid w:val="00D70CFE"/>
    <w:rsid w:val="00D85166"/>
    <w:rsid w:val="00D901F8"/>
    <w:rsid w:val="00D905C6"/>
    <w:rsid w:val="00DA337C"/>
    <w:rsid w:val="00DB0BAD"/>
    <w:rsid w:val="00DB3394"/>
    <w:rsid w:val="00DB589E"/>
    <w:rsid w:val="00DB63C7"/>
    <w:rsid w:val="00DD5B1D"/>
    <w:rsid w:val="00DD66E2"/>
    <w:rsid w:val="00DE6421"/>
    <w:rsid w:val="00DE6C5F"/>
    <w:rsid w:val="00DF703C"/>
    <w:rsid w:val="00E0664F"/>
    <w:rsid w:val="00E16367"/>
    <w:rsid w:val="00E224FF"/>
    <w:rsid w:val="00E239BA"/>
    <w:rsid w:val="00E331E0"/>
    <w:rsid w:val="00E368A2"/>
    <w:rsid w:val="00E47E9A"/>
    <w:rsid w:val="00E508BC"/>
    <w:rsid w:val="00E57D8D"/>
    <w:rsid w:val="00E60ACD"/>
    <w:rsid w:val="00E62D88"/>
    <w:rsid w:val="00E7686D"/>
    <w:rsid w:val="00E77EAA"/>
    <w:rsid w:val="00E84559"/>
    <w:rsid w:val="00E86609"/>
    <w:rsid w:val="00E96332"/>
    <w:rsid w:val="00EA02A3"/>
    <w:rsid w:val="00EA6994"/>
    <w:rsid w:val="00EB79F5"/>
    <w:rsid w:val="00EC5E1E"/>
    <w:rsid w:val="00ED0EFA"/>
    <w:rsid w:val="00EE1E65"/>
    <w:rsid w:val="00EE5442"/>
    <w:rsid w:val="00EF026E"/>
    <w:rsid w:val="00F20487"/>
    <w:rsid w:val="00F215D2"/>
    <w:rsid w:val="00F23F38"/>
    <w:rsid w:val="00F25545"/>
    <w:rsid w:val="00F40665"/>
    <w:rsid w:val="00F43732"/>
    <w:rsid w:val="00F474B8"/>
    <w:rsid w:val="00F52E0A"/>
    <w:rsid w:val="00F61C70"/>
    <w:rsid w:val="00F72B54"/>
    <w:rsid w:val="00F75206"/>
    <w:rsid w:val="00F82673"/>
    <w:rsid w:val="00F83FA8"/>
    <w:rsid w:val="00F924D9"/>
    <w:rsid w:val="00FB02AB"/>
    <w:rsid w:val="00FC0CE0"/>
    <w:rsid w:val="00FC4900"/>
    <w:rsid w:val="00FD1332"/>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7"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uiPriority w:val="1"/>
    <w:qFormat/>
    <w:pPr>
      <w:keepNext/>
      <w:outlineLvl w:val="0"/>
    </w:pPr>
    <w:rPr>
      <w:rFonts w:ascii="Arial" w:hAnsi="Arial"/>
      <w:b/>
      <w:sz w:val="20"/>
    </w:rPr>
  </w:style>
  <w:style w:type="paragraph" w:styleId="Heading8">
    <w:name w:val="heading 8"/>
    <w:basedOn w:val="Normal"/>
    <w:next w:val="Normal"/>
    <w:link w:val="Heading8Char"/>
    <w:uiPriority w:val="7"/>
    <w:unhideWhenUsed/>
    <w:qFormat/>
    <w:rsid w:val="00C822F1"/>
    <w:pPr>
      <w:keepNext/>
      <w:keepLines/>
      <w:spacing w:before="40"/>
      <w:ind w:left="1440" w:hanging="1440"/>
      <w:outlineLvl w:val="7"/>
    </w:pPr>
    <w:rPr>
      <w:rFonts w:ascii="Calibri Light" w:eastAsia="MS Gothic" w:hAnsi="Calibri Light"/>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Footnote,Bullet point,List Paragraph1,List Paragraph11,Recommendation"/>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1CharCharChar">
    <w:name w:val="Char1 Char Char Char"/>
    <w:basedOn w:val="Normal"/>
    <w:rsid w:val="00261171"/>
    <w:pPr>
      <w:spacing w:after="160" w:line="240" w:lineRule="exact"/>
    </w:pPr>
    <w:rPr>
      <w:rFonts w:ascii="Verdana" w:eastAsia="MS Mincho" w:hAnsi="Verdana" w:cs="Verdana"/>
      <w:sz w:val="20"/>
      <w:lang w:val="en-US" w:eastAsia="en-US"/>
    </w:rPr>
  </w:style>
  <w:style w:type="character" w:customStyle="1" w:styleId="Heading8Char">
    <w:name w:val="Heading 8 Char"/>
    <w:basedOn w:val="DefaultParagraphFont"/>
    <w:link w:val="Heading8"/>
    <w:uiPriority w:val="7"/>
    <w:rsid w:val="00C822F1"/>
    <w:rPr>
      <w:rFonts w:ascii="Calibri Light" w:eastAsia="MS Gothic" w:hAnsi="Calibri Light"/>
      <w:color w:val="272727"/>
      <w:sz w:val="21"/>
      <w:szCs w:val="21"/>
      <w:lang w:eastAsia="en-US"/>
    </w:rPr>
  </w:style>
  <w:style w:type="character" w:styleId="CommentReference">
    <w:name w:val="annotation reference"/>
    <w:basedOn w:val="DefaultParagraphFont"/>
    <w:rsid w:val="006E4FBA"/>
    <w:rPr>
      <w:sz w:val="16"/>
      <w:szCs w:val="16"/>
    </w:rPr>
  </w:style>
  <w:style w:type="paragraph" w:styleId="CommentText">
    <w:name w:val="annotation text"/>
    <w:basedOn w:val="Normal"/>
    <w:link w:val="CommentTextChar"/>
    <w:rsid w:val="006E4FBA"/>
    <w:rPr>
      <w:sz w:val="20"/>
    </w:rPr>
  </w:style>
  <w:style w:type="character" w:customStyle="1" w:styleId="CommentTextChar">
    <w:name w:val="Comment Text Char"/>
    <w:basedOn w:val="DefaultParagraphFont"/>
    <w:link w:val="CommentText"/>
    <w:rsid w:val="006E4FBA"/>
  </w:style>
  <w:style w:type="paragraph" w:styleId="CommentSubject">
    <w:name w:val="annotation subject"/>
    <w:basedOn w:val="CommentText"/>
    <w:next w:val="CommentText"/>
    <w:link w:val="CommentSubjectChar"/>
    <w:rsid w:val="006E4FBA"/>
    <w:rPr>
      <w:b/>
      <w:bCs/>
    </w:rPr>
  </w:style>
  <w:style w:type="character" w:customStyle="1" w:styleId="CommentSubjectChar">
    <w:name w:val="Comment Subject Char"/>
    <w:basedOn w:val="CommentTextChar"/>
    <w:link w:val="CommentSubject"/>
    <w:rsid w:val="006E4FBA"/>
    <w:rPr>
      <w:b/>
      <w:bCs/>
    </w:rPr>
  </w:style>
  <w:style w:type="character" w:customStyle="1" w:styleId="TitleChar">
    <w:name w:val="Title Char"/>
    <w:basedOn w:val="DefaultParagraphFont"/>
    <w:link w:val="Title"/>
    <w:rsid w:val="00CB2370"/>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7"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uiPriority w:val="1"/>
    <w:qFormat/>
    <w:pPr>
      <w:keepNext/>
      <w:outlineLvl w:val="0"/>
    </w:pPr>
    <w:rPr>
      <w:rFonts w:ascii="Arial" w:hAnsi="Arial"/>
      <w:b/>
      <w:sz w:val="20"/>
    </w:rPr>
  </w:style>
  <w:style w:type="paragraph" w:styleId="Heading8">
    <w:name w:val="heading 8"/>
    <w:basedOn w:val="Normal"/>
    <w:next w:val="Normal"/>
    <w:link w:val="Heading8Char"/>
    <w:uiPriority w:val="7"/>
    <w:unhideWhenUsed/>
    <w:qFormat/>
    <w:rsid w:val="00C822F1"/>
    <w:pPr>
      <w:keepNext/>
      <w:keepLines/>
      <w:spacing w:before="40"/>
      <w:ind w:left="1440" w:hanging="1440"/>
      <w:outlineLvl w:val="7"/>
    </w:pPr>
    <w:rPr>
      <w:rFonts w:ascii="Calibri Light" w:eastAsia="MS Gothic" w:hAnsi="Calibri Light"/>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Footnote,Bullet point,List Paragraph1,List Paragraph11,Recommendation"/>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1CharCharChar">
    <w:name w:val="Char1 Char Char Char"/>
    <w:basedOn w:val="Normal"/>
    <w:rsid w:val="00261171"/>
    <w:pPr>
      <w:spacing w:after="160" w:line="240" w:lineRule="exact"/>
    </w:pPr>
    <w:rPr>
      <w:rFonts w:ascii="Verdana" w:eastAsia="MS Mincho" w:hAnsi="Verdana" w:cs="Verdana"/>
      <w:sz w:val="20"/>
      <w:lang w:val="en-US" w:eastAsia="en-US"/>
    </w:rPr>
  </w:style>
  <w:style w:type="character" w:customStyle="1" w:styleId="Heading8Char">
    <w:name w:val="Heading 8 Char"/>
    <w:basedOn w:val="DefaultParagraphFont"/>
    <w:link w:val="Heading8"/>
    <w:uiPriority w:val="7"/>
    <w:rsid w:val="00C822F1"/>
    <w:rPr>
      <w:rFonts w:ascii="Calibri Light" w:eastAsia="MS Gothic" w:hAnsi="Calibri Light"/>
      <w:color w:val="272727"/>
      <w:sz w:val="21"/>
      <w:szCs w:val="21"/>
      <w:lang w:eastAsia="en-US"/>
    </w:rPr>
  </w:style>
  <w:style w:type="character" w:styleId="CommentReference">
    <w:name w:val="annotation reference"/>
    <w:basedOn w:val="DefaultParagraphFont"/>
    <w:rsid w:val="006E4FBA"/>
    <w:rPr>
      <w:sz w:val="16"/>
      <w:szCs w:val="16"/>
    </w:rPr>
  </w:style>
  <w:style w:type="paragraph" w:styleId="CommentText">
    <w:name w:val="annotation text"/>
    <w:basedOn w:val="Normal"/>
    <w:link w:val="CommentTextChar"/>
    <w:rsid w:val="006E4FBA"/>
    <w:rPr>
      <w:sz w:val="20"/>
    </w:rPr>
  </w:style>
  <w:style w:type="character" w:customStyle="1" w:styleId="CommentTextChar">
    <w:name w:val="Comment Text Char"/>
    <w:basedOn w:val="DefaultParagraphFont"/>
    <w:link w:val="CommentText"/>
    <w:rsid w:val="006E4FBA"/>
  </w:style>
  <w:style w:type="paragraph" w:styleId="CommentSubject">
    <w:name w:val="annotation subject"/>
    <w:basedOn w:val="CommentText"/>
    <w:next w:val="CommentText"/>
    <w:link w:val="CommentSubjectChar"/>
    <w:rsid w:val="006E4FBA"/>
    <w:rPr>
      <w:b/>
      <w:bCs/>
    </w:rPr>
  </w:style>
  <w:style w:type="character" w:customStyle="1" w:styleId="CommentSubjectChar">
    <w:name w:val="Comment Subject Char"/>
    <w:basedOn w:val="CommentTextChar"/>
    <w:link w:val="CommentSubject"/>
    <w:rsid w:val="006E4FBA"/>
    <w:rPr>
      <w:b/>
      <w:bCs/>
    </w:rPr>
  </w:style>
  <w:style w:type="character" w:customStyle="1" w:styleId="TitleChar">
    <w:name w:val="Title Char"/>
    <w:basedOn w:val="DefaultParagraphFont"/>
    <w:link w:val="Title"/>
    <w:rsid w:val="00CB237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905">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21197178">
      <w:bodyDiv w:val="1"/>
      <w:marLeft w:val="0"/>
      <w:marRight w:val="0"/>
      <w:marTop w:val="0"/>
      <w:marBottom w:val="0"/>
      <w:divBdr>
        <w:top w:val="none" w:sz="0" w:space="0" w:color="auto"/>
        <w:left w:val="none" w:sz="0" w:space="0" w:color="auto"/>
        <w:bottom w:val="none" w:sz="0" w:space="0" w:color="auto"/>
        <w:right w:val="none" w:sz="0" w:space="0" w:color="auto"/>
      </w:divBdr>
    </w:div>
    <w:div w:id="205723273">
      <w:bodyDiv w:val="1"/>
      <w:marLeft w:val="0"/>
      <w:marRight w:val="0"/>
      <w:marTop w:val="0"/>
      <w:marBottom w:val="0"/>
      <w:divBdr>
        <w:top w:val="none" w:sz="0" w:space="0" w:color="auto"/>
        <w:left w:val="none" w:sz="0" w:space="0" w:color="auto"/>
        <w:bottom w:val="none" w:sz="0" w:space="0" w:color="auto"/>
        <w:right w:val="none" w:sz="0" w:space="0" w:color="auto"/>
      </w:divBdr>
    </w:div>
    <w:div w:id="215508864">
      <w:bodyDiv w:val="1"/>
      <w:marLeft w:val="0"/>
      <w:marRight w:val="0"/>
      <w:marTop w:val="0"/>
      <w:marBottom w:val="0"/>
      <w:divBdr>
        <w:top w:val="none" w:sz="0" w:space="0" w:color="auto"/>
        <w:left w:val="none" w:sz="0" w:space="0" w:color="auto"/>
        <w:bottom w:val="none" w:sz="0" w:space="0" w:color="auto"/>
        <w:right w:val="none" w:sz="0" w:space="0" w:color="auto"/>
      </w:divBdr>
    </w:div>
    <w:div w:id="220481906">
      <w:bodyDiv w:val="1"/>
      <w:marLeft w:val="0"/>
      <w:marRight w:val="0"/>
      <w:marTop w:val="0"/>
      <w:marBottom w:val="0"/>
      <w:divBdr>
        <w:top w:val="none" w:sz="0" w:space="0" w:color="auto"/>
        <w:left w:val="none" w:sz="0" w:space="0" w:color="auto"/>
        <w:bottom w:val="none" w:sz="0" w:space="0" w:color="auto"/>
        <w:right w:val="none" w:sz="0" w:space="0" w:color="auto"/>
      </w:divBdr>
    </w:div>
    <w:div w:id="324751222">
      <w:bodyDiv w:val="1"/>
      <w:marLeft w:val="0"/>
      <w:marRight w:val="0"/>
      <w:marTop w:val="0"/>
      <w:marBottom w:val="0"/>
      <w:divBdr>
        <w:top w:val="none" w:sz="0" w:space="0" w:color="auto"/>
        <w:left w:val="none" w:sz="0" w:space="0" w:color="auto"/>
        <w:bottom w:val="none" w:sz="0" w:space="0" w:color="auto"/>
        <w:right w:val="none" w:sz="0" w:space="0" w:color="auto"/>
      </w:divBdr>
    </w:div>
    <w:div w:id="337317736">
      <w:bodyDiv w:val="1"/>
      <w:marLeft w:val="0"/>
      <w:marRight w:val="0"/>
      <w:marTop w:val="0"/>
      <w:marBottom w:val="0"/>
      <w:divBdr>
        <w:top w:val="none" w:sz="0" w:space="0" w:color="auto"/>
        <w:left w:val="none" w:sz="0" w:space="0" w:color="auto"/>
        <w:bottom w:val="none" w:sz="0" w:space="0" w:color="auto"/>
        <w:right w:val="none" w:sz="0" w:space="0" w:color="auto"/>
      </w:divBdr>
    </w:div>
    <w:div w:id="395905807">
      <w:bodyDiv w:val="1"/>
      <w:marLeft w:val="0"/>
      <w:marRight w:val="0"/>
      <w:marTop w:val="0"/>
      <w:marBottom w:val="0"/>
      <w:divBdr>
        <w:top w:val="none" w:sz="0" w:space="0" w:color="auto"/>
        <w:left w:val="none" w:sz="0" w:space="0" w:color="auto"/>
        <w:bottom w:val="none" w:sz="0" w:space="0" w:color="auto"/>
        <w:right w:val="none" w:sz="0" w:space="0" w:color="auto"/>
      </w:divBdr>
    </w:div>
    <w:div w:id="621225633">
      <w:bodyDiv w:val="1"/>
      <w:marLeft w:val="0"/>
      <w:marRight w:val="0"/>
      <w:marTop w:val="0"/>
      <w:marBottom w:val="0"/>
      <w:divBdr>
        <w:top w:val="none" w:sz="0" w:space="0" w:color="auto"/>
        <w:left w:val="none" w:sz="0" w:space="0" w:color="auto"/>
        <w:bottom w:val="none" w:sz="0" w:space="0" w:color="auto"/>
        <w:right w:val="none" w:sz="0" w:space="0" w:color="auto"/>
      </w:divBdr>
    </w:div>
    <w:div w:id="621501225">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09590467">
      <w:bodyDiv w:val="1"/>
      <w:marLeft w:val="0"/>
      <w:marRight w:val="0"/>
      <w:marTop w:val="0"/>
      <w:marBottom w:val="0"/>
      <w:divBdr>
        <w:top w:val="none" w:sz="0" w:space="0" w:color="auto"/>
        <w:left w:val="none" w:sz="0" w:space="0" w:color="auto"/>
        <w:bottom w:val="none" w:sz="0" w:space="0" w:color="auto"/>
        <w:right w:val="none" w:sz="0" w:space="0" w:color="auto"/>
      </w:divBdr>
    </w:div>
    <w:div w:id="811408643">
      <w:bodyDiv w:val="1"/>
      <w:marLeft w:val="0"/>
      <w:marRight w:val="0"/>
      <w:marTop w:val="0"/>
      <w:marBottom w:val="0"/>
      <w:divBdr>
        <w:top w:val="none" w:sz="0" w:space="0" w:color="auto"/>
        <w:left w:val="none" w:sz="0" w:space="0" w:color="auto"/>
        <w:bottom w:val="none" w:sz="0" w:space="0" w:color="auto"/>
        <w:right w:val="none" w:sz="0" w:space="0" w:color="auto"/>
      </w:divBdr>
    </w:div>
    <w:div w:id="823354256">
      <w:bodyDiv w:val="1"/>
      <w:marLeft w:val="0"/>
      <w:marRight w:val="0"/>
      <w:marTop w:val="0"/>
      <w:marBottom w:val="0"/>
      <w:divBdr>
        <w:top w:val="none" w:sz="0" w:space="0" w:color="auto"/>
        <w:left w:val="none" w:sz="0" w:space="0" w:color="auto"/>
        <w:bottom w:val="none" w:sz="0" w:space="0" w:color="auto"/>
        <w:right w:val="none" w:sz="0" w:space="0" w:color="auto"/>
      </w:divBdr>
    </w:div>
    <w:div w:id="831486260">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46041732">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10513237">
      <w:bodyDiv w:val="1"/>
      <w:marLeft w:val="0"/>
      <w:marRight w:val="0"/>
      <w:marTop w:val="0"/>
      <w:marBottom w:val="0"/>
      <w:divBdr>
        <w:top w:val="none" w:sz="0" w:space="0" w:color="auto"/>
        <w:left w:val="none" w:sz="0" w:space="0" w:color="auto"/>
        <w:bottom w:val="none" w:sz="0" w:space="0" w:color="auto"/>
        <w:right w:val="none" w:sz="0" w:space="0" w:color="auto"/>
      </w:divBdr>
    </w:div>
    <w:div w:id="1174952275">
      <w:bodyDiv w:val="1"/>
      <w:marLeft w:val="0"/>
      <w:marRight w:val="0"/>
      <w:marTop w:val="0"/>
      <w:marBottom w:val="0"/>
      <w:divBdr>
        <w:top w:val="none" w:sz="0" w:space="0" w:color="auto"/>
        <w:left w:val="none" w:sz="0" w:space="0" w:color="auto"/>
        <w:bottom w:val="none" w:sz="0" w:space="0" w:color="auto"/>
        <w:right w:val="none" w:sz="0" w:space="0" w:color="auto"/>
      </w:divBdr>
    </w:div>
    <w:div w:id="1245216185">
      <w:bodyDiv w:val="1"/>
      <w:marLeft w:val="0"/>
      <w:marRight w:val="0"/>
      <w:marTop w:val="0"/>
      <w:marBottom w:val="0"/>
      <w:divBdr>
        <w:top w:val="none" w:sz="0" w:space="0" w:color="auto"/>
        <w:left w:val="none" w:sz="0" w:space="0" w:color="auto"/>
        <w:bottom w:val="none" w:sz="0" w:space="0" w:color="auto"/>
        <w:right w:val="none" w:sz="0" w:space="0" w:color="auto"/>
      </w:divBdr>
    </w:div>
    <w:div w:id="1324771868">
      <w:bodyDiv w:val="1"/>
      <w:marLeft w:val="0"/>
      <w:marRight w:val="0"/>
      <w:marTop w:val="0"/>
      <w:marBottom w:val="0"/>
      <w:divBdr>
        <w:top w:val="none" w:sz="0" w:space="0" w:color="auto"/>
        <w:left w:val="none" w:sz="0" w:space="0" w:color="auto"/>
        <w:bottom w:val="none" w:sz="0" w:space="0" w:color="auto"/>
        <w:right w:val="none" w:sz="0" w:space="0" w:color="auto"/>
      </w:divBdr>
    </w:div>
    <w:div w:id="1349599482">
      <w:bodyDiv w:val="1"/>
      <w:marLeft w:val="0"/>
      <w:marRight w:val="0"/>
      <w:marTop w:val="0"/>
      <w:marBottom w:val="0"/>
      <w:divBdr>
        <w:top w:val="none" w:sz="0" w:space="0" w:color="auto"/>
        <w:left w:val="none" w:sz="0" w:space="0" w:color="auto"/>
        <w:bottom w:val="none" w:sz="0" w:space="0" w:color="auto"/>
        <w:right w:val="none" w:sz="0" w:space="0" w:color="auto"/>
      </w:divBdr>
    </w:div>
    <w:div w:id="1373263853">
      <w:bodyDiv w:val="1"/>
      <w:marLeft w:val="0"/>
      <w:marRight w:val="0"/>
      <w:marTop w:val="0"/>
      <w:marBottom w:val="0"/>
      <w:divBdr>
        <w:top w:val="none" w:sz="0" w:space="0" w:color="auto"/>
        <w:left w:val="none" w:sz="0" w:space="0" w:color="auto"/>
        <w:bottom w:val="none" w:sz="0" w:space="0" w:color="auto"/>
        <w:right w:val="none" w:sz="0" w:space="0" w:color="auto"/>
      </w:divBdr>
    </w:div>
    <w:div w:id="1455171149">
      <w:bodyDiv w:val="1"/>
      <w:marLeft w:val="0"/>
      <w:marRight w:val="0"/>
      <w:marTop w:val="0"/>
      <w:marBottom w:val="0"/>
      <w:divBdr>
        <w:top w:val="none" w:sz="0" w:space="0" w:color="auto"/>
        <w:left w:val="none" w:sz="0" w:space="0" w:color="auto"/>
        <w:bottom w:val="none" w:sz="0" w:space="0" w:color="auto"/>
        <w:right w:val="none" w:sz="0" w:space="0" w:color="auto"/>
      </w:divBdr>
    </w:div>
    <w:div w:id="1528182291">
      <w:bodyDiv w:val="1"/>
      <w:marLeft w:val="0"/>
      <w:marRight w:val="0"/>
      <w:marTop w:val="0"/>
      <w:marBottom w:val="0"/>
      <w:divBdr>
        <w:top w:val="none" w:sz="0" w:space="0" w:color="auto"/>
        <w:left w:val="none" w:sz="0" w:space="0" w:color="auto"/>
        <w:bottom w:val="none" w:sz="0" w:space="0" w:color="auto"/>
        <w:right w:val="none" w:sz="0" w:space="0" w:color="auto"/>
      </w:divBdr>
    </w:div>
    <w:div w:id="1596473957">
      <w:bodyDiv w:val="1"/>
      <w:marLeft w:val="0"/>
      <w:marRight w:val="0"/>
      <w:marTop w:val="0"/>
      <w:marBottom w:val="0"/>
      <w:divBdr>
        <w:top w:val="none" w:sz="0" w:space="0" w:color="auto"/>
        <w:left w:val="none" w:sz="0" w:space="0" w:color="auto"/>
        <w:bottom w:val="none" w:sz="0" w:space="0" w:color="auto"/>
        <w:right w:val="none" w:sz="0" w:space="0" w:color="auto"/>
      </w:divBdr>
    </w:div>
    <w:div w:id="1634215257">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0983">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74168730">
      <w:bodyDiv w:val="1"/>
      <w:marLeft w:val="0"/>
      <w:marRight w:val="0"/>
      <w:marTop w:val="0"/>
      <w:marBottom w:val="0"/>
      <w:divBdr>
        <w:top w:val="none" w:sz="0" w:space="0" w:color="auto"/>
        <w:left w:val="none" w:sz="0" w:space="0" w:color="auto"/>
        <w:bottom w:val="none" w:sz="0" w:space="0" w:color="auto"/>
        <w:right w:val="none" w:sz="0" w:space="0" w:color="auto"/>
      </w:divBdr>
    </w:div>
    <w:div w:id="200253797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 w:id="21042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C6FA-7C0C-4E49-833B-9353D92B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3366</Words>
  <Characters>20144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2017-04-11T02:21:00Z</dcterms:created>
  <dcterms:modified xsi:type="dcterms:W3CDTF">2018-04-18T05:00:00Z</dcterms:modified>
</cp:coreProperties>
</file>