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3596"/>
        <w:gridCol w:w="3596"/>
      </w:tblGrid>
      <w:tr w:rsidR="003D7E12" w:rsidRPr="003D7E12" w:rsidTr="00DE1FFD">
        <w:trPr>
          <w:cantSplit/>
          <w:tblHeader/>
        </w:trPr>
        <w:tc>
          <w:tcPr>
            <w:tcW w:w="3118" w:type="dxa"/>
            <w:tcMar>
              <w:top w:w="28" w:type="dxa"/>
              <w:bottom w:w="28" w:type="dxa"/>
            </w:tcMar>
          </w:tcPr>
          <w:p w:rsidR="003D7E12" w:rsidRPr="003D7E12" w:rsidRDefault="003D7E12" w:rsidP="002E307D">
            <w:pPr>
              <w:widowControl w:val="0"/>
              <w:jc w:val="center"/>
              <w:rPr>
                <w:rFonts w:ascii="Arial" w:hAnsi="Arial" w:cs="Arial"/>
                <w:b/>
              </w:rPr>
            </w:pPr>
            <w:r w:rsidRPr="003D7E12">
              <w:rPr>
                <w:rFonts w:ascii="Arial" w:hAnsi="Arial" w:cs="Arial"/>
                <w:b/>
              </w:rPr>
              <w:t>DRUG, SPONSOR, TYPE OF SUBMISSION</w:t>
            </w:r>
          </w:p>
          <w:p w:rsidR="003D7E12" w:rsidRPr="003D7E12" w:rsidRDefault="003D7E12" w:rsidP="002E307D">
            <w:pPr>
              <w:widowControl w:val="0"/>
              <w:jc w:val="center"/>
              <w:rPr>
                <w:rFonts w:ascii="Arial" w:hAnsi="Arial" w:cs="Arial"/>
                <w:snapToGrid w:val="0"/>
                <w:lang w:eastAsia="en-US"/>
              </w:rPr>
            </w:pPr>
          </w:p>
          <w:p w:rsidR="003D7E12" w:rsidRPr="003D7E12" w:rsidRDefault="003D7E12" w:rsidP="002E307D">
            <w:pPr>
              <w:widowControl w:val="0"/>
              <w:jc w:val="center"/>
              <w:rPr>
                <w:rFonts w:ascii="Arial" w:hAnsi="Arial" w:cs="Arial"/>
                <w:b/>
              </w:rPr>
            </w:pPr>
          </w:p>
        </w:tc>
        <w:tc>
          <w:tcPr>
            <w:tcW w:w="2262" w:type="dxa"/>
            <w:tcMar>
              <w:top w:w="28" w:type="dxa"/>
              <w:bottom w:w="28" w:type="dxa"/>
            </w:tcMar>
          </w:tcPr>
          <w:p w:rsidR="003D7E12" w:rsidRPr="003D7E12" w:rsidRDefault="003D7E12" w:rsidP="00263F7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rsidR="003D7E12" w:rsidRPr="003D7E12" w:rsidRDefault="003D7E12" w:rsidP="00263F7F">
            <w:pPr>
              <w:widowControl w:val="0"/>
              <w:jc w:val="center"/>
              <w:rPr>
                <w:rFonts w:ascii="Arial" w:hAnsi="Arial" w:cs="Arial"/>
                <w:b/>
                <w:i/>
                <w:snapToGrid w:val="0"/>
                <w:lang w:eastAsia="en-US"/>
              </w:rPr>
            </w:pPr>
          </w:p>
        </w:tc>
        <w:tc>
          <w:tcPr>
            <w:tcW w:w="2987" w:type="dxa"/>
            <w:tcMar>
              <w:top w:w="28" w:type="dxa"/>
              <w:bottom w:w="28" w:type="dxa"/>
            </w:tcMar>
          </w:tcPr>
          <w:p w:rsidR="003D7E12" w:rsidRPr="003D7E12" w:rsidRDefault="003D7E12" w:rsidP="00263F7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rsidR="003D7E12" w:rsidRPr="003D7E12" w:rsidRDefault="003D7E12" w:rsidP="00263F7F">
            <w:pPr>
              <w:widowControl w:val="0"/>
              <w:rPr>
                <w:rFonts w:ascii="Arial" w:hAnsi="Arial" w:cs="Arial"/>
                <w:b/>
                <w:snapToGrid w:val="0"/>
                <w:lang w:eastAsia="en-US"/>
              </w:rPr>
            </w:pPr>
          </w:p>
        </w:tc>
        <w:tc>
          <w:tcPr>
            <w:tcW w:w="7192" w:type="dxa"/>
            <w:gridSpan w:val="2"/>
          </w:tcPr>
          <w:p w:rsidR="003D7E12" w:rsidRPr="003D7E12" w:rsidRDefault="003D7E12" w:rsidP="002F1CF8">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3D7E12"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Default="00A46480" w:rsidP="00D21C4D">
            <w:pPr>
              <w:rPr>
                <w:rFonts w:ascii="Arial" w:hAnsi="Arial" w:cs="Arial"/>
                <w:color w:val="000000"/>
              </w:rPr>
            </w:pPr>
            <w:r w:rsidRPr="007F7D95">
              <w:rPr>
                <w:rFonts w:ascii="Arial" w:hAnsi="Arial" w:cs="Arial"/>
                <w:color w:val="000000"/>
              </w:rPr>
              <w:t>ADRENALINE</w:t>
            </w:r>
            <w:r w:rsidRPr="007F7D95">
              <w:rPr>
                <w:rFonts w:ascii="Arial" w:hAnsi="Arial" w:cs="Arial"/>
                <w:color w:val="000000"/>
              </w:rPr>
              <w:br/>
            </w:r>
            <w:r w:rsidRPr="007F7D95">
              <w:rPr>
                <w:rFonts w:ascii="Arial" w:hAnsi="Arial" w:cs="Arial"/>
                <w:color w:val="000000"/>
              </w:rPr>
              <w:br/>
              <w:t>I.M. injection 150 micrograms in 0.3 mL single dose syringe auto-injector</w:t>
            </w:r>
            <w:r w:rsidRPr="007F7D95">
              <w:rPr>
                <w:rFonts w:ascii="Arial" w:hAnsi="Arial" w:cs="Arial"/>
                <w:color w:val="000000"/>
              </w:rPr>
              <w:br/>
              <w:t>I.M. injection 300 micrograms in 0.3 mL single dose syringe auto-injector</w:t>
            </w:r>
            <w:r w:rsidRPr="007F7D95">
              <w:rPr>
                <w:rFonts w:ascii="Arial" w:hAnsi="Arial" w:cs="Arial"/>
                <w:color w:val="000000"/>
              </w:rPr>
              <w:br/>
            </w:r>
            <w:r w:rsidRPr="007F7D95">
              <w:rPr>
                <w:rFonts w:ascii="Arial" w:hAnsi="Arial" w:cs="Arial"/>
                <w:color w:val="000000"/>
              </w:rPr>
              <w:br/>
            </w:r>
            <w:proofErr w:type="spellStart"/>
            <w:r w:rsidR="002E4934">
              <w:rPr>
                <w:rFonts w:ascii="Arial" w:hAnsi="Arial" w:cs="Arial"/>
                <w:color w:val="000000"/>
              </w:rPr>
              <w:t>Emerade</w:t>
            </w:r>
            <w:proofErr w:type="spellEnd"/>
            <w:r>
              <w:rPr>
                <w:rFonts w:ascii="Arial" w:hAnsi="Arial" w:cs="Arial"/>
                <w:color w:val="000000"/>
              </w:rPr>
              <w:t>®</w:t>
            </w:r>
            <w:r w:rsidRPr="007F7D95">
              <w:rPr>
                <w:rFonts w:ascii="Arial" w:hAnsi="Arial" w:cs="Arial"/>
                <w:color w:val="000000"/>
              </w:rPr>
              <w:br/>
            </w:r>
            <w:r w:rsidRPr="007F7D95">
              <w:rPr>
                <w:rFonts w:ascii="Arial" w:hAnsi="Arial" w:cs="Arial"/>
                <w:color w:val="000000"/>
              </w:rPr>
              <w:br/>
            </w:r>
            <w:r w:rsidR="002E4934">
              <w:rPr>
                <w:rFonts w:ascii="Arial" w:hAnsi="Arial" w:cs="Arial"/>
                <w:color w:val="000000"/>
              </w:rPr>
              <w:t>Link Medical Products Pty Ltd</w:t>
            </w:r>
          </w:p>
          <w:p w:rsidR="00A46480" w:rsidRDefault="00A46480" w:rsidP="00D21C4D">
            <w:pPr>
              <w:rPr>
                <w:rFonts w:ascii="Arial" w:hAnsi="Arial" w:cs="Arial"/>
                <w:b/>
              </w:rPr>
            </w:pPr>
          </w:p>
          <w:p w:rsidR="00A72398" w:rsidRDefault="002E4934" w:rsidP="002E4934">
            <w:pPr>
              <w:rPr>
                <w:rFonts w:ascii="Arial" w:hAnsi="Arial" w:cs="Arial"/>
              </w:rPr>
            </w:pPr>
            <w:r>
              <w:rPr>
                <w:rFonts w:ascii="Arial" w:hAnsi="Arial" w:cs="Arial"/>
              </w:rPr>
              <w:t>New</w:t>
            </w:r>
            <w:r w:rsidR="00EE6547" w:rsidRPr="00EE6547">
              <w:rPr>
                <w:rFonts w:ascii="Arial" w:hAnsi="Arial" w:cs="Arial"/>
              </w:rPr>
              <w:t xml:space="preserve"> listing </w:t>
            </w:r>
          </w:p>
          <w:p w:rsidR="00A46480" w:rsidRPr="00EE6547" w:rsidRDefault="00EE6547" w:rsidP="002E4934">
            <w:pPr>
              <w:rPr>
                <w:rFonts w:ascii="Arial" w:hAnsi="Arial" w:cs="Arial"/>
              </w:rPr>
            </w:pPr>
            <w:r w:rsidRPr="00EE6547">
              <w:rPr>
                <w:rFonts w:ascii="Arial" w:hAnsi="Arial" w:cs="Arial"/>
              </w:rPr>
              <w:t>(</w:t>
            </w:r>
            <w:r w:rsidR="002E4934">
              <w:rPr>
                <w:rFonts w:ascii="Arial" w:hAnsi="Arial" w:cs="Arial"/>
              </w:rPr>
              <w:t>Other</w:t>
            </w:r>
            <w:r w:rsidR="00845938">
              <w:rPr>
                <w:rFonts w:ascii="Arial" w:hAnsi="Arial" w:cs="Arial"/>
              </w:rPr>
              <w:t xml:space="preserve"> Submission</w:t>
            </w:r>
            <w:r w:rsidRPr="00EE6547">
              <w:rPr>
                <w:rFonts w:ascii="Arial" w:hAnsi="Arial" w:cs="Arial"/>
              </w:rPr>
              <w:t>)</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EE6547" w:rsidP="00263F7F">
            <w:pPr>
              <w:rPr>
                <w:rFonts w:ascii="Arial" w:hAnsi="Arial" w:cs="Arial"/>
              </w:rPr>
            </w:pPr>
            <w:r w:rsidRPr="007F7D95">
              <w:rPr>
                <w:rFonts w:ascii="Arial" w:hAnsi="Arial" w:cs="Arial"/>
                <w:color w:val="000000"/>
              </w:rPr>
              <w:t>Anaphylaxis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2E4934" w:rsidRDefault="002E4934" w:rsidP="002E4934">
            <w:pPr>
              <w:rPr>
                <w:rFonts w:ascii="Arial" w:hAnsi="Arial" w:cs="Arial"/>
                <w:color w:val="000000"/>
              </w:rPr>
            </w:pPr>
            <w:r>
              <w:rPr>
                <w:rFonts w:ascii="Arial" w:hAnsi="Arial" w:cs="Arial"/>
                <w:color w:val="000000"/>
              </w:rPr>
              <w:t>To request a temporary Authority Required listing for the treatment of anaphylaxis</w:t>
            </w:r>
            <w:r w:rsidR="005441FE">
              <w:rPr>
                <w:rFonts w:ascii="Arial" w:hAnsi="Arial" w:cs="Arial"/>
                <w:color w:val="000000"/>
              </w:rPr>
              <w:t>.</w:t>
            </w:r>
          </w:p>
          <w:p w:rsidR="003D7E12" w:rsidRPr="00EE6547" w:rsidRDefault="003D7E12" w:rsidP="002E4934">
            <w:pPr>
              <w:pStyle w:val="ListParagraph"/>
              <w:spacing w:after="120"/>
              <w:ind w:left="0"/>
              <w:contextualSpacing w:val="0"/>
              <w:rPr>
                <w:rFonts w:ascii="Arial" w:hAnsi="Arial" w:cs="Arial"/>
                <w:sz w:val="20"/>
                <w:szCs w:val="20"/>
              </w:rPr>
            </w:pPr>
          </w:p>
        </w:tc>
        <w:tc>
          <w:tcPr>
            <w:tcW w:w="7192" w:type="dxa"/>
            <w:gridSpan w:val="2"/>
            <w:tcBorders>
              <w:top w:val="single" w:sz="4" w:space="0" w:color="auto"/>
              <w:left w:val="single" w:sz="4" w:space="0" w:color="auto"/>
              <w:bottom w:val="single" w:sz="4" w:space="0" w:color="auto"/>
              <w:right w:val="single" w:sz="4" w:space="0" w:color="auto"/>
            </w:tcBorders>
          </w:tcPr>
          <w:p w:rsidR="000C581F" w:rsidRDefault="005118C0" w:rsidP="00040BE7">
            <w:pPr>
              <w:jc w:val="both"/>
              <w:rPr>
                <w:rFonts w:ascii="Arial" w:hAnsi="Arial" w:cs="Arial"/>
              </w:rPr>
            </w:pPr>
            <w:r w:rsidRPr="005118C0">
              <w:rPr>
                <w:rFonts w:ascii="Arial" w:hAnsi="Arial" w:cs="Arial"/>
              </w:rPr>
              <w:t xml:space="preserve">The PBAC recommended the temporary listing of </w:t>
            </w:r>
            <w:proofErr w:type="spellStart"/>
            <w:r w:rsidRPr="005118C0">
              <w:rPr>
                <w:rFonts w:ascii="Arial" w:hAnsi="Arial" w:cs="Arial"/>
              </w:rPr>
              <w:t>Emerade</w:t>
            </w:r>
            <w:proofErr w:type="spellEnd"/>
            <w:r w:rsidRPr="005118C0">
              <w:rPr>
                <w:rFonts w:ascii="Arial" w:hAnsi="Arial" w:cs="Arial"/>
              </w:rPr>
              <w:t xml:space="preserve"> (adrenaline </w:t>
            </w:r>
            <w:r w:rsidR="00E47ED6">
              <w:rPr>
                <w:rFonts w:ascii="Arial" w:hAnsi="Arial" w:cs="Arial"/>
              </w:rPr>
              <w:t xml:space="preserve">300 </w:t>
            </w:r>
            <w:r w:rsidRPr="005118C0">
              <w:rPr>
                <w:rFonts w:ascii="Arial" w:hAnsi="Arial" w:cs="Arial"/>
              </w:rPr>
              <w:t xml:space="preserve">mcg and 150 mcg auto-injectors) to address the current shortage issue of PBS-listed </w:t>
            </w:r>
            <w:proofErr w:type="spellStart"/>
            <w:r w:rsidRPr="005118C0">
              <w:rPr>
                <w:rFonts w:ascii="Arial" w:hAnsi="Arial" w:cs="Arial"/>
              </w:rPr>
              <w:t>EpiPen</w:t>
            </w:r>
            <w:proofErr w:type="spellEnd"/>
            <w:r w:rsidRPr="005118C0">
              <w:rPr>
                <w:rFonts w:ascii="Arial" w:hAnsi="Arial" w:cs="Arial"/>
              </w:rPr>
              <w:t xml:space="preserve"> and </w:t>
            </w:r>
            <w:proofErr w:type="spellStart"/>
            <w:r w:rsidRPr="005118C0">
              <w:rPr>
                <w:rFonts w:ascii="Arial" w:hAnsi="Arial" w:cs="Arial"/>
              </w:rPr>
              <w:t>EpiPen</w:t>
            </w:r>
            <w:proofErr w:type="spellEnd"/>
            <w:r w:rsidRPr="005118C0">
              <w:rPr>
                <w:rFonts w:ascii="Arial" w:hAnsi="Arial" w:cs="Arial"/>
              </w:rPr>
              <w:t xml:space="preserve"> Junior until 31 August 2018.</w:t>
            </w:r>
            <w:r w:rsidR="00466CE5">
              <w:rPr>
                <w:rFonts w:ascii="Arial" w:hAnsi="Arial" w:cs="Arial"/>
              </w:rPr>
              <w:t xml:space="preserve"> </w:t>
            </w:r>
          </w:p>
          <w:p w:rsidR="000C581F" w:rsidRDefault="000C581F" w:rsidP="00040BE7">
            <w:pPr>
              <w:jc w:val="both"/>
              <w:rPr>
                <w:rFonts w:ascii="Arial" w:hAnsi="Arial" w:cs="Arial"/>
              </w:rPr>
            </w:pPr>
          </w:p>
          <w:p w:rsidR="003D7E12" w:rsidRPr="005118C0" w:rsidRDefault="005118C0" w:rsidP="00040BE7">
            <w:pPr>
              <w:tabs>
                <w:tab w:val="left" w:pos="1428"/>
              </w:tabs>
              <w:jc w:val="both"/>
              <w:rPr>
                <w:rFonts w:ascii="Arial" w:hAnsi="Arial" w:cs="Arial"/>
              </w:rPr>
            </w:pPr>
            <w:r>
              <w:rPr>
                <w:rFonts w:ascii="Arial" w:hAnsi="Arial" w:cs="Arial"/>
              </w:rPr>
              <w:tab/>
            </w: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Default="00EE6547" w:rsidP="00596D7F">
            <w:pPr>
              <w:rPr>
                <w:rFonts w:ascii="Arial" w:hAnsi="Arial" w:cs="Arial"/>
                <w:color w:val="000000"/>
              </w:rPr>
            </w:pPr>
            <w:r w:rsidRPr="007F7D95">
              <w:rPr>
                <w:rFonts w:ascii="Arial" w:hAnsi="Arial" w:cs="Arial"/>
                <w:color w:val="000000"/>
              </w:rPr>
              <w:lastRenderedPageBreak/>
              <w:t>1) AMINO ACID FORMULA WITH VITAMINS AND MINERALS WITHOUT VALINE, LEUCINE AND ISOLEUCINE</w:t>
            </w:r>
            <w:r w:rsidRPr="007F7D95">
              <w:rPr>
                <w:rFonts w:ascii="Arial" w:hAnsi="Arial" w:cs="Arial"/>
                <w:color w:val="000000"/>
              </w:rPr>
              <w:br/>
              <w:t>2)  AMINO ACID FORMULA WITH VITAMINS AND MINERALS WITHOUT PHENYLALANINE AND TYROSINE</w:t>
            </w:r>
            <w:r w:rsidRPr="007F7D95">
              <w:rPr>
                <w:rFonts w:ascii="Arial" w:hAnsi="Arial" w:cs="Arial"/>
                <w:color w:val="000000"/>
              </w:rPr>
              <w:br/>
              <w:t>3) AMINO ACID FORMULA WITH VITAMINS AND MINERALS WITHOUT METHIONINE</w:t>
            </w:r>
            <w:r w:rsidRPr="007F7D95">
              <w:rPr>
                <w:rFonts w:ascii="Arial" w:hAnsi="Arial" w:cs="Arial"/>
                <w:color w:val="000000"/>
              </w:rPr>
              <w:br/>
            </w:r>
            <w:r w:rsidRPr="007F7D95">
              <w:rPr>
                <w:rFonts w:ascii="Arial" w:hAnsi="Arial" w:cs="Arial"/>
                <w:color w:val="000000"/>
              </w:rPr>
              <w:br/>
              <w:t>Oral liquid 87 mL, 30;</w:t>
            </w:r>
            <w:r w:rsidRPr="007F7D95">
              <w:rPr>
                <w:rFonts w:ascii="Arial" w:hAnsi="Arial" w:cs="Arial"/>
                <w:color w:val="000000"/>
              </w:rPr>
              <w:br/>
              <w:t>Oral liquid 130 mL, 30; and</w:t>
            </w:r>
            <w:r w:rsidRPr="007F7D95">
              <w:rPr>
                <w:rFonts w:ascii="Arial" w:hAnsi="Arial" w:cs="Arial"/>
                <w:color w:val="000000"/>
              </w:rPr>
              <w:br/>
              <w:t>Oral liquid 174 mL, 30</w:t>
            </w:r>
            <w:r w:rsidRPr="007F7D95">
              <w:rPr>
                <w:rFonts w:ascii="Arial" w:hAnsi="Arial" w:cs="Arial"/>
                <w:color w:val="000000"/>
              </w:rPr>
              <w:br/>
            </w:r>
            <w:r w:rsidRPr="007F7D95">
              <w:rPr>
                <w:rFonts w:ascii="Arial" w:hAnsi="Arial" w:cs="Arial"/>
                <w:color w:val="000000"/>
              </w:rPr>
              <w:br/>
              <w:t>1) MSUD cooler 10, 15 and 20;</w:t>
            </w:r>
            <w:r w:rsidRPr="007F7D95">
              <w:rPr>
                <w:rFonts w:ascii="Arial" w:hAnsi="Arial" w:cs="Arial"/>
                <w:color w:val="000000"/>
              </w:rPr>
              <w:br/>
              <w:t>2) TYR cooler 10, 15 and 20; and</w:t>
            </w:r>
            <w:r w:rsidRPr="007F7D95">
              <w:rPr>
                <w:rFonts w:ascii="Arial" w:hAnsi="Arial" w:cs="Arial"/>
                <w:color w:val="000000"/>
              </w:rPr>
              <w:br/>
              <w:t>3) HCU cooler 10, 15 and 20</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Vitaflo</w:t>
            </w:r>
            <w:proofErr w:type="spellEnd"/>
            <w:r w:rsidRPr="007F7D95">
              <w:rPr>
                <w:rFonts w:ascii="Arial" w:hAnsi="Arial" w:cs="Arial"/>
                <w:color w:val="000000"/>
              </w:rPr>
              <w:t xml:space="preserve"> Australia Pty Ltd</w:t>
            </w:r>
          </w:p>
          <w:p w:rsidR="00EE6547" w:rsidRDefault="00EE6547" w:rsidP="00596D7F">
            <w:pPr>
              <w:rPr>
                <w:rFonts w:ascii="Arial" w:hAnsi="Arial" w:cs="Arial"/>
                <w:color w:val="000000"/>
              </w:rPr>
            </w:pPr>
          </w:p>
          <w:p w:rsidR="00A72398" w:rsidRDefault="00EE6547" w:rsidP="00596D7F">
            <w:pPr>
              <w:rPr>
                <w:rFonts w:ascii="Arial" w:hAnsi="Arial" w:cs="Arial"/>
                <w:color w:val="000000"/>
              </w:rPr>
            </w:pPr>
            <w:r>
              <w:rPr>
                <w:rFonts w:ascii="Arial" w:hAnsi="Arial" w:cs="Arial"/>
                <w:color w:val="000000"/>
              </w:rPr>
              <w:t xml:space="preserve">Change to listing </w:t>
            </w:r>
          </w:p>
          <w:p w:rsidR="00EE6547" w:rsidRPr="007F7D95" w:rsidRDefault="00EE6547"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EE6547" w:rsidP="00445DCE">
            <w:pPr>
              <w:rPr>
                <w:rFonts w:ascii="Arial" w:hAnsi="Arial" w:cs="Arial"/>
              </w:rPr>
            </w:pPr>
            <w:r w:rsidRPr="007F7D95">
              <w:rPr>
                <w:rFonts w:ascii="Arial" w:hAnsi="Arial" w:cs="Arial"/>
                <w:color w:val="000000"/>
              </w:rPr>
              <w:t>1)Maple Syrup Urine Disease (MSUD)</w:t>
            </w:r>
            <w:r w:rsidRPr="007F7D95">
              <w:rPr>
                <w:rFonts w:ascii="Arial" w:hAnsi="Arial" w:cs="Arial"/>
                <w:color w:val="000000"/>
              </w:rPr>
              <w:br/>
              <w:t>2)Tyrosinaemia</w:t>
            </w:r>
            <w:r>
              <w:rPr>
                <w:rFonts w:ascii="Arial" w:hAnsi="Arial" w:cs="Arial"/>
                <w:color w:val="000000"/>
              </w:rPr>
              <w:t xml:space="preserve"> (TYR)</w:t>
            </w:r>
            <w:r w:rsidRPr="007F7D95">
              <w:rPr>
                <w:rFonts w:ascii="Arial" w:hAnsi="Arial" w:cs="Arial"/>
                <w:color w:val="000000"/>
              </w:rPr>
              <w:br/>
              <w:t>3)</w:t>
            </w:r>
            <w:proofErr w:type="spellStart"/>
            <w:r w:rsidRPr="007F7D95">
              <w:rPr>
                <w:rFonts w:ascii="Arial" w:hAnsi="Arial" w:cs="Arial"/>
                <w:color w:val="000000"/>
              </w:rPr>
              <w:t>Homocystinuria</w:t>
            </w:r>
            <w:proofErr w:type="spellEnd"/>
            <w:r>
              <w:rPr>
                <w:rFonts w:ascii="Arial" w:hAnsi="Arial" w:cs="Arial"/>
                <w:color w:val="000000"/>
              </w:rPr>
              <w:t xml:space="preserve"> (HCU)</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EE6547" w:rsidP="00E93F39">
            <w:pPr>
              <w:rPr>
                <w:rFonts w:ascii="Arial" w:hAnsi="Arial" w:cs="Arial"/>
                <w:color w:val="000000"/>
              </w:rPr>
            </w:pPr>
            <w:r w:rsidRPr="007F7D95">
              <w:rPr>
                <w:rFonts w:ascii="Arial" w:hAnsi="Arial" w:cs="Arial"/>
                <w:color w:val="000000"/>
              </w:rPr>
              <w:t>To request changes to the Restricted Benefit listings of MSUD, TYR and HCU Coolers including nutritional content.</w:t>
            </w:r>
          </w:p>
        </w:tc>
        <w:tc>
          <w:tcPr>
            <w:tcW w:w="7192" w:type="dxa"/>
            <w:gridSpan w:val="2"/>
            <w:tcBorders>
              <w:top w:val="single" w:sz="4" w:space="0" w:color="auto"/>
              <w:left w:val="single" w:sz="4" w:space="0" w:color="auto"/>
              <w:bottom w:val="single" w:sz="4" w:space="0" w:color="auto"/>
              <w:right w:val="single" w:sz="4" w:space="0" w:color="auto"/>
            </w:tcBorders>
          </w:tcPr>
          <w:p w:rsidR="000C581F" w:rsidRDefault="00075004" w:rsidP="00075004">
            <w:pPr>
              <w:jc w:val="both"/>
              <w:rPr>
                <w:rFonts w:ascii="Arial" w:hAnsi="Arial" w:cs="Arial"/>
                <w:color w:val="000000"/>
              </w:rPr>
            </w:pPr>
            <w:r w:rsidRPr="00075004">
              <w:rPr>
                <w:rFonts w:ascii="Arial" w:hAnsi="Arial" w:cs="Arial"/>
                <w:color w:val="000000"/>
              </w:rPr>
              <w:t xml:space="preserve">The PBAC recommended the changes to the Restricted Benefit listing of MSUD, TYR and HCU Coolers </w:t>
            </w:r>
            <w:r w:rsidR="00466CE5">
              <w:rPr>
                <w:rFonts w:ascii="Arial" w:hAnsi="Arial" w:cs="Arial"/>
                <w:color w:val="000000"/>
              </w:rPr>
              <w:t>to make minor changes to the</w:t>
            </w:r>
            <w:r w:rsidR="00466CE5" w:rsidRPr="00075004">
              <w:rPr>
                <w:rFonts w:ascii="Arial" w:hAnsi="Arial" w:cs="Arial"/>
                <w:color w:val="000000"/>
              </w:rPr>
              <w:t xml:space="preserve"> </w:t>
            </w:r>
            <w:r w:rsidRPr="00075004">
              <w:rPr>
                <w:rFonts w:ascii="Arial" w:hAnsi="Arial" w:cs="Arial"/>
                <w:color w:val="000000"/>
              </w:rPr>
              <w:t>nutritional content for these formulations.</w:t>
            </w:r>
            <w:r w:rsidR="00466CE5">
              <w:rPr>
                <w:rFonts w:ascii="Arial" w:hAnsi="Arial" w:cs="Arial"/>
                <w:color w:val="000000"/>
              </w:rPr>
              <w:t xml:space="preserve"> </w:t>
            </w:r>
          </w:p>
          <w:p w:rsidR="000C581F" w:rsidRDefault="000C581F" w:rsidP="00075004">
            <w:pPr>
              <w:jc w:val="both"/>
              <w:rPr>
                <w:rFonts w:ascii="Arial" w:hAnsi="Arial" w:cs="Arial"/>
                <w:color w:val="000000"/>
              </w:rPr>
            </w:pPr>
          </w:p>
          <w:p w:rsidR="00EE6547" w:rsidRPr="003D7E12" w:rsidRDefault="00EE6547" w:rsidP="00975950">
            <w:pPr>
              <w:jc w:val="both"/>
              <w:rPr>
                <w:rFonts w:ascii="Arial" w:hAnsi="Arial" w:cs="Arial"/>
                <w:color w:val="000000"/>
              </w:rPr>
            </w:pP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Default="002E4934" w:rsidP="00891F15">
            <w:pPr>
              <w:rPr>
                <w:rFonts w:ascii="Arial" w:hAnsi="Arial" w:cs="Arial"/>
                <w:color w:val="000000"/>
              </w:rPr>
            </w:pPr>
            <w:r w:rsidRPr="007F7D95">
              <w:rPr>
                <w:rFonts w:ascii="Arial" w:hAnsi="Arial" w:cs="Arial"/>
                <w:color w:val="000000"/>
              </w:rPr>
              <w:lastRenderedPageBreak/>
              <w:t>APOMORPHINE</w:t>
            </w:r>
            <w:r w:rsidRPr="007F7D95">
              <w:rPr>
                <w:rFonts w:ascii="Arial" w:hAnsi="Arial" w:cs="Arial"/>
                <w:color w:val="000000"/>
              </w:rPr>
              <w:br/>
            </w:r>
            <w:r w:rsidRPr="007F7D95">
              <w:rPr>
                <w:rFonts w:ascii="Arial" w:hAnsi="Arial" w:cs="Arial"/>
                <w:color w:val="000000"/>
              </w:rPr>
              <w:br/>
              <w:t xml:space="preserve">Solution for subcutaneous infusion containing </w:t>
            </w:r>
            <w:proofErr w:type="spellStart"/>
            <w:r w:rsidRPr="007F7D95">
              <w:rPr>
                <w:rFonts w:ascii="Arial" w:hAnsi="Arial" w:cs="Arial"/>
                <w:color w:val="000000"/>
              </w:rPr>
              <w:t>apomorphine</w:t>
            </w:r>
            <w:proofErr w:type="spellEnd"/>
            <w:r w:rsidRPr="007F7D95">
              <w:rPr>
                <w:rFonts w:ascii="Arial" w:hAnsi="Arial" w:cs="Arial"/>
                <w:color w:val="000000"/>
              </w:rPr>
              <w:t xml:space="preserve"> hydrochloride 30 mg in 3 mL pre-filled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Movapo</w:t>
            </w:r>
            <w:proofErr w:type="spellEnd"/>
            <w:r w:rsidRPr="007F7D95">
              <w:rPr>
                <w:rFonts w:ascii="Arial" w:hAnsi="Arial" w:cs="Arial"/>
                <w:color w:val="000000"/>
              </w:rPr>
              <w:t xml:space="preserve">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Stada</w:t>
            </w:r>
            <w:proofErr w:type="spellEnd"/>
            <w:r w:rsidRPr="007F7D95">
              <w:rPr>
                <w:rFonts w:ascii="Arial" w:hAnsi="Arial" w:cs="Arial"/>
                <w:color w:val="000000"/>
              </w:rPr>
              <w:t xml:space="preserve"> Pharmaceuticals Australia Pty Ltd</w:t>
            </w:r>
          </w:p>
          <w:p w:rsidR="002E4934" w:rsidRDefault="002E4934" w:rsidP="00891F15">
            <w:pPr>
              <w:rPr>
                <w:rFonts w:ascii="Arial" w:hAnsi="Arial" w:cs="Arial"/>
                <w:color w:val="000000"/>
              </w:rPr>
            </w:pPr>
          </w:p>
          <w:p w:rsidR="00A72398" w:rsidRDefault="002E4934" w:rsidP="00891F15">
            <w:pPr>
              <w:rPr>
                <w:rFonts w:ascii="Arial" w:hAnsi="Arial" w:cs="Arial"/>
                <w:color w:val="000000"/>
              </w:rPr>
            </w:pPr>
            <w:r>
              <w:rPr>
                <w:rFonts w:ascii="Arial" w:hAnsi="Arial" w:cs="Arial"/>
                <w:color w:val="000000"/>
              </w:rPr>
              <w:t xml:space="preserve">New listing </w:t>
            </w:r>
          </w:p>
          <w:p w:rsidR="002E4934" w:rsidRPr="003D7E12" w:rsidRDefault="002E4934" w:rsidP="00891F15">
            <w:pPr>
              <w:rPr>
                <w:rFonts w:ascii="Arial" w:hAnsi="Arial" w:cs="Arial"/>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2E4934" w:rsidP="00445DCE">
            <w:pPr>
              <w:rPr>
                <w:rFonts w:ascii="Arial" w:hAnsi="Arial" w:cs="Arial"/>
              </w:rPr>
            </w:pPr>
            <w:r w:rsidRPr="007F7D95">
              <w:rPr>
                <w:rFonts w:ascii="Arial" w:hAnsi="Arial" w:cs="Arial"/>
                <w:color w:val="000000"/>
              </w:rPr>
              <w:t>Parkinson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Default="002E4934" w:rsidP="00596D7F">
            <w:pPr>
              <w:rPr>
                <w:rFonts w:ascii="Arial" w:hAnsi="Arial" w:cs="Arial"/>
                <w:color w:val="000000"/>
              </w:rPr>
            </w:pPr>
            <w:r w:rsidRPr="007F7D95">
              <w:rPr>
                <w:rFonts w:ascii="Arial" w:hAnsi="Arial" w:cs="Arial"/>
                <w:color w:val="000000"/>
              </w:rPr>
              <w:t xml:space="preserve">To request a Section 100 (Highly Specialised Drugs Program - Public and Private Hospital) listing of a new form of </w:t>
            </w:r>
            <w:proofErr w:type="spellStart"/>
            <w:r w:rsidRPr="007F7D95">
              <w:rPr>
                <w:rFonts w:ascii="Arial" w:hAnsi="Arial" w:cs="Arial"/>
                <w:color w:val="000000"/>
              </w:rPr>
              <w:t>apomorphine</w:t>
            </w:r>
            <w:proofErr w:type="spellEnd"/>
            <w:r w:rsidRPr="007F7D95">
              <w:rPr>
                <w:rFonts w:ascii="Arial" w:hAnsi="Arial" w:cs="Arial"/>
                <w:color w:val="000000"/>
              </w:rPr>
              <w:t>.</w:t>
            </w:r>
          </w:p>
        </w:tc>
        <w:tc>
          <w:tcPr>
            <w:tcW w:w="7192" w:type="dxa"/>
            <w:gridSpan w:val="2"/>
            <w:tcBorders>
              <w:top w:val="single" w:sz="4" w:space="0" w:color="auto"/>
              <w:left w:val="single" w:sz="4" w:space="0" w:color="auto"/>
              <w:bottom w:val="single" w:sz="4" w:space="0" w:color="auto"/>
              <w:right w:val="single" w:sz="4" w:space="0" w:color="auto"/>
            </w:tcBorders>
          </w:tcPr>
          <w:p w:rsidR="002D031D" w:rsidRPr="002D031D" w:rsidRDefault="002D031D" w:rsidP="002D031D">
            <w:pPr>
              <w:jc w:val="both"/>
              <w:rPr>
                <w:rFonts w:ascii="Arial" w:hAnsi="Arial" w:cs="Arial"/>
                <w:color w:val="000000"/>
              </w:rPr>
            </w:pPr>
            <w:r w:rsidRPr="002D031D">
              <w:rPr>
                <w:rFonts w:ascii="Arial" w:hAnsi="Arial" w:cs="Arial"/>
                <w:color w:val="000000"/>
              </w:rPr>
              <w:t xml:space="preserve">The PBAC recommended the Authority Required listing of a new form of </w:t>
            </w:r>
            <w:proofErr w:type="spellStart"/>
            <w:r w:rsidRPr="002D031D">
              <w:rPr>
                <w:rFonts w:ascii="Arial" w:hAnsi="Arial" w:cs="Arial"/>
                <w:color w:val="000000"/>
              </w:rPr>
              <w:t>apomorphine</w:t>
            </w:r>
            <w:proofErr w:type="spellEnd"/>
            <w:r w:rsidRPr="002D031D">
              <w:rPr>
                <w:rFonts w:ascii="Arial" w:hAnsi="Arial" w:cs="Arial"/>
                <w:color w:val="000000"/>
              </w:rPr>
              <w:t xml:space="preserve"> (30 mg in 3 mL) delivered in a disposable multiple dose pen injector system for the treatment of Parkinson’s disease, on the basis that it should be available under Section 100 Highly Specialised Drugs (HSD) Program.</w:t>
            </w:r>
          </w:p>
          <w:p w:rsidR="00EE6547" w:rsidRPr="002D031D" w:rsidRDefault="00EE6547" w:rsidP="000A16D0">
            <w:pPr>
              <w:spacing w:before="120" w:after="160"/>
              <w:jc w:val="both"/>
              <w:rPr>
                <w:rFonts w:ascii="Arial" w:hAnsi="Arial" w:cs="Arial"/>
                <w:color w:val="000000"/>
              </w:rPr>
            </w:pP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27735C" w:rsidRDefault="0027735C" w:rsidP="00F271AB">
            <w:pPr>
              <w:rPr>
                <w:rFonts w:ascii="Arial" w:hAnsi="Arial" w:cs="Arial"/>
              </w:rPr>
            </w:pPr>
            <w:r w:rsidRPr="0027735C">
              <w:rPr>
                <w:rFonts w:ascii="Arial" w:hAnsi="Arial" w:cs="Arial"/>
              </w:rPr>
              <w:t>BARI</w:t>
            </w:r>
            <w:r w:rsidR="002E4934" w:rsidRPr="0027735C">
              <w:rPr>
                <w:rFonts w:ascii="Arial" w:hAnsi="Arial" w:cs="Arial"/>
              </w:rPr>
              <w:t>CITINIB</w:t>
            </w:r>
          </w:p>
          <w:p w:rsidR="002E4934" w:rsidRPr="0027735C" w:rsidRDefault="002E4934" w:rsidP="00F271AB">
            <w:pPr>
              <w:rPr>
                <w:rFonts w:ascii="Arial" w:hAnsi="Arial" w:cs="Arial"/>
              </w:rPr>
            </w:pPr>
          </w:p>
          <w:p w:rsidR="0027735C" w:rsidRPr="0027735C" w:rsidRDefault="0027735C" w:rsidP="0027735C">
            <w:pPr>
              <w:rPr>
                <w:rFonts w:ascii="Arial" w:hAnsi="Arial" w:cs="Arial"/>
              </w:rPr>
            </w:pPr>
            <w:r w:rsidRPr="0027735C">
              <w:rPr>
                <w:rFonts w:ascii="Arial" w:hAnsi="Arial" w:cs="Arial"/>
              </w:rPr>
              <w:t>Tablet 2 mg</w:t>
            </w:r>
          </w:p>
          <w:p w:rsidR="002E4934" w:rsidRPr="0027735C" w:rsidRDefault="0027735C" w:rsidP="0027735C">
            <w:pPr>
              <w:rPr>
                <w:rFonts w:ascii="Arial" w:hAnsi="Arial" w:cs="Arial"/>
              </w:rPr>
            </w:pPr>
            <w:r w:rsidRPr="0027735C">
              <w:rPr>
                <w:rFonts w:ascii="Arial" w:hAnsi="Arial" w:cs="Arial"/>
              </w:rPr>
              <w:t>Tablet 4 mg</w:t>
            </w:r>
          </w:p>
          <w:p w:rsidR="0027735C" w:rsidRPr="0027735C" w:rsidRDefault="0027735C" w:rsidP="0027735C">
            <w:pPr>
              <w:rPr>
                <w:rFonts w:ascii="Arial" w:hAnsi="Arial" w:cs="Arial"/>
              </w:rPr>
            </w:pPr>
          </w:p>
          <w:p w:rsidR="0027735C" w:rsidRDefault="0027735C" w:rsidP="0027735C">
            <w:pPr>
              <w:rPr>
                <w:rFonts w:ascii="Arial" w:hAnsi="Arial" w:cs="Arial"/>
                <w:color w:val="000000"/>
              </w:rPr>
            </w:pPr>
            <w:proofErr w:type="spellStart"/>
            <w:r>
              <w:rPr>
                <w:rFonts w:ascii="Arial" w:hAnsi="Arial" w:cs="Arial"/>
                <w:color w:val="000000"/>
              </w:rPr>
              <w:t>Olumiant</w:t>
            </w:r>
            <w:proofErr w:type="spellEnd"/>
            <w:r>
              <w:rPr>
                <w:rFonts w:ascii="Arial" w:hAnsi="Arial" w:cs="Arial"/>
                <w:color w:val="000000"/>
              </w:rPr>
              <w:t>®</w:t>
            </w:r>
          </w:p>
          <w:p w:rsidR="0027735C" w:rsidRDefault="0027735C" w:rsidP="0027735C">
            <w:pPr>
              <w:rPr>
                <w:rFonts w:ascii="Arial" w:hAnsi="Arial" w:cs="Arial"/>
              </w:rPr>
            </w:pPr>
          </w:p>
          <w:p w:rsidR="0027735C" w:rsidRDefault="0027735C" w:rsidP="0027735C">
            <w:pPr>
              <w:rPr>
                <w:rFonts w:ascii="Arial" w:hAnsi="Arial" w:cs="Arial"/>
                <w:color w:val="000000"/>
              </w:rPr>
            </w:pPr>
            <w:r>
              <w:rPr>
                <w:rFonts w:ascii="Arial" w:hAnsi="Arial" w:cs="Arial"/>
                <w:color w:val="000000"/>
              </w:rPr>
              <w:t>Eli Lilly Australia Pty Ltd</w:t>
            </w:r>
          </w:p>
          <w:p w:rsidR="0027735C" w:rsidRDefault="0027735C" w:rsidP="0027735C">
            <w:pPr>
              <w:rPr>
                <w:rFonts w:ascii="Arial" w:hAnsi="Arial" w:cs="Arial"/>
              </w:rPr>
            </w:pPr>
          </w:p>
          <w:p w:rsidR="00A72398" w:rsidRDefault="0027735C" w:rsidP="0027735C">
            <w:pPr>
              <w:rPr>
                <w:rFonts w:ascii="Arial" w:hAnsi="Arial" w:cs="Arial"/>
              </w:rPr>
            </w:pPr>
            <w:r>
              <w:rPr>
                <w:rFonts w:ascii="Arial" w:hAnsi="Arial" w:cs="Arial"/>
              </w:rPr>
              <w:t xml:space="preserve">New listing </w:t>
            </w:r>
          </w:p>
          <w:p w:rsidR="0027735C" w:rsidRPr="0027735C" w:rsidRDefault="0027735C" w:rsidP="0027735C">
            <w:pPr>
              <w:rPr>
                <w:rFonts w:ascii="Arial" w:hAnsi="Arial" w:cs="Arial"/>
              </w:rPr>
            </w:pPr>
            <w:r>
              <w:rPr>
                <w:rFonts w:ascii="Arial" w:hAnsi="Arial" w:cs="Arial"/>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27735C" w:rsidRDefault="0027735C" w:rsidP="0027735C">
            <w:pPr>
              <w:rPr>
                <w:rFonts w:ascii="Arial" w:hAnsi="Arial" w:cs="Arial"/>
                <w:color w:val="000000"/>
              </w:rPr>
            </w:pPr>
            <w:r>
              <w:rPr>
                <w:rFonts w:ascii="Arial" w:hAnsi="Arial" w:cs="Arial"/>
                <w:color w:val="000000"/>
              </w:rPr>
              <w:t>Severe active rheumatoid arthritis (RA)</w:t>
            </w:r>
          </w:p>
          <w:p w:rsidR="00EE6547" w:rsidRPr="003D7E12" w:rsidRDefault="00EE6547" w:rsidP="00263F7F">
            <w:pPr>
              <w:rPr>
                <w:rFonts w:ascii="Arial" w:hAnsi="Arial" w:cs="Arial"/>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27735C" w:rsidRDefault="00331277" w:rsidP="0027735C">
            <w:pPr>
              <w:jc w:val="both"/>
              <w:rPr>
                <w:rFonts w:ascii="Arial" w:hAnsi="Arial" w:cs="Arial"/>
                <w:color w:val="000000"/>
              </w:rPr>
            </w:pPr>
            <w:r>
              <w:rPr>
                <w:rFonts w:ascii="Arial" w:hAnsi="Arial" w:cs="Arial"/>
                <w:color w:val="000000"/>
              </w:rPr>
              <w:t>Resubmission t</w:t>
            </w:r>
            <w:r w:rsidR="0027735C">
              <w:rPr>
                <w:rFonts w:ascii="Arial" w:hAnsi="Arial" w:cs="Arial"/>
                <w:color w:val="000000"/>
              </w:rPr>
              <w:t>o request an Authority Required listing for the treatment of severe active RA under certain conditions.</w:t>
            </w:r>
          </w:p>
          <w:p w:rsidR="00EE6547" w:rsidRPr="003D7E12" w:rsidRDefault="00EE6547" w:rsidP="002D62F6">
            <w:pPr>
              <w:pStyle w:val="ListParagraph"/>
              <w:spacing w:after="120"/>
              <w:ind w:left="0"/>
              <w:contextualSpacing w:val="0"/>
              <w:jc w:val="both"/>
              <w:rPr>
                <w:rFonts w:ascii="Arial" w:hAnsi="Arial" w:cs="Arial"/>
                <w:sz w:val="20"/>
                <w:szCs w:val="20"/>
              </w:rPr>
            </w:pPr>
          </w:p>
        </w:tc>
        <w:tc>
          <w:tcPr>
            <w:tcW w:w="7192" w:type="dxa"/>
            <w:gridSpan w:val="2"/>
            <w:tcBorders>
              <w:top w:val="single" w:sz="4" w:space="0" w:color="auto"/>
              <w:left w:val="single" w:sz="4" w:space="0" w:color="auto"/>
              <w:bottom w:val="single" w:sz="4" w:space="0" w:color="auto"/>
              <w:right w:val="single" w:sz="4" w:space="0" w:color="auto"/>
            </w:tcBorders>
          </w:tcPr>
          <w:p w:rsidR="000C581F" w:rsidRDefault="005118C0" w:rsidP="00040BE7">
            <w:pPr>
              <w:jc w:val="both"/>
              <w:rPr>
                <w:rFonts w:ascii="Arial" w:hAnsi="Arial" w:cs="Arial"/>
                <w:color w:val="000000"/>
              </w:rPr>
            </w:pPr>
            <w:r w:rsidRPr="00430096">
              <w:rPr>
                <w:rFonts w:ascii="Arial" w:hAnsi="Arial" w:cs="Arial"/>
                <w:color w:val="000000"/>
              </w:rPr>
              <w:t xml:space="preserve">The PBAC recommended the listing of </w:t>
            </w:r>
            <w:proofErr w:type="spellStart"/>
            <w:r w:rsidRPr="00430096">
              <w:rPr>
                <w:rFonts w:ascii="Arial" w:hAnsi="Arial" w:cs="Arial"/>
                <w:color w:val="000000"/>
              </w:rPr>
              <w:t>baricitinib</w:t>
            </w:r>
            <w:proofErr w:type="spellEnd"/>
            <w:r w:rsidRPr="00430096">
              <w:rPr>
                <w:rFonts w:ascii="Arial" w:hAnsi="Arial" w:cs="Arial"/>
                <w:color w:val="000000"/>
              </w:rPr>
              <w:t xml:space="preserve"> for the treatment of rheumatoid arthritis on a cost-minimisation basis against the least costly biological Disease Modifying Anti-Rheumatic Drug (bDMARD).</w:t>
            </w:r>
            <w:r w:rsidR="002A37AC">
              <w:rPr>
                <w:rFonts w:ascii="Arial" w:hAnsi="Arial" w:cs="Arial"/>
                <w:color w:val="000000"/>
              </w:rPr>
              <w:t xml:space="preserve"> </w:t>
            </w:r>
          </w:p>
          <w:p w:rsidR="000C581F" w:rsidRDefault="000C581F" w:rsidP="00040BE7">
            <w:pPr>
              <w:jc w:val="both"/>
              <w:rPr>
                <w:rFonts w:ascii="Arial" w:hAnsi="Arial" w:cs="Arial"/>
                <w:color w:val="000000"/>
              </w:rPr>
            </w:pPr>
          </w:p>
          <w:p w:rsidR="00EE6547" w:rsidRPr="005118C0" w:rsidRDefault="00EE6547" w:rsidP="00040BE7">
            <w:pPr>
              <w:jc w:val="both"/>
              <w:rPr>
                <w:rFonts w:ascii="Arial" w:hAnsi="Arial" w:cs="Arial"/>
              </w:rPr>
            </w:pPr>
          </w:p>
        </w:tc>
      </w:tr>
      <w:tr w:rsidR="00B113BB" w:rsidRPr="003D7E12" w:rsidTr="00DE1FFD">
        <w:trPr>
          <w:cantSplit/>
          <w:trHeight w:val="2756"/>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113BB" w:rsidRDefault="00B113BB" w:rsidP="00596D7F">
            <w:pPr>
              <w:rPr>
                <w:rFonts w:ascii="Arial" w:hAnsi="Arial" w:cs="Arial"/>
                <w:color w:val="000000"/>
              </w:rPr>
            </w:pPr>
            <w:r>
              <w:rPr>
                <w:rFonts w:ascii="Arial" w:hAnsi="Arial" w:cs="Arial"/>
                <w:color w:val="000000"/>
              </w:rPr>
              <w:t>BENRALIZUMAB</w:t>
            </w:r>
            <w:r>
              <w:rPr>
                <w:rFonts w:ascii="Arial" w:hAnsi="Arial" w:cs="Arial"/>
                <w:color w:val="000000"/>
              </w:rPr>
              <w:br/>
            </w:r>
            <w:r>
              <w:rPr>
                <w:rFonts w:ascii="Arial" w:hAnsi="Arial" w:cs="Arial"/>
                <w:color w:val="000000"/>
              </w:rPr>
              <w:br/>
              <w:t>30mg in 1 mL solution for injection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Fasenra</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t>AstraZeneca Pty Ltd</w:t>
            </w:r>
          </w:p>
          <w:p w:rsidR="00B113BB" w:rsidRDefault="00B113BB" w:rsidP="00596D7F">
            <w:pPr>
              <w:rPr>
                <w:rFonts w:ascii="Arial" w:hAnsi="Arial" w:cs="Arial"/>
                <w:color w:val="000000"/>
              </w:rPr>
            </w:pPr>
          </w:p>
          <w:p w:rsidR="000C2059" w:rsidRDefault="00B113BB" w:rsidP="00596D7F">
            <w:pPr>
              <w:rPr>
                <w:rFonts w:ascii="Arial" w:hAnsi="Arial" w:cs="Arial"/>
                <w:color w:val="000000"/>
              </w:rPr>
            </w:pPr>
            <w:r>
              <w:rPr>
                <w:rFonts w:ascii="Arial" w:hAnsi="Arial" w:cs="Arial"/>
                <w:color w:val="000000"/>
              </w:rPr>
              <w:t xml:space="preserve">New listing </w:t>
            </w:r>
          </w:p>
          <w:p w:rsidR="00B113BB" w:rsidRDefault="000C2059" w:rsidP="00596D7F">
            <w:pPr>
              <w:rPr>
                <w:rFonts w:ascii="Arial" w:hAnsi="Arial" w:cs="Arial"/>
                <w:color w:val="000000"/>
              </w:rPr>
            </w:pPr>
            <w:r>
              <w:rPr>
                <w:rFonts w:ascii="Arial" w:hAnsi="Arial" w:cs="Arial"/>
                <w:color w:val="000000"/>
              </w:rPr>
              <w:t>(</w:t>
            </w:r>
            <w:r w:rsidR="00B113BB">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113BB" w:rsidRPr="003D7E12" w:rsidRDefault="00B113BB" w:rsidP="00263F7F">
            <w:pPr>
              <w:rPr>
                <w:rFonts w:ascii="Arial" w:hAnsi="Arial" w:cs="Arial"/>
              </w:rPr>
            </w:pPr>
            <w:r w:rsidRPr="007F7D95">
              <w:rPr>
                <w:rFonts w:ascii="Arial" w:hAnsi="Arial" w:cs="Arial"/>
                <w:color w:val="000000"/>
              </w:rPr>
              <w:t>Uncontrolled severe eosinophilic asthma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113BB" w:rsidRPr="00B113BB" w:rsidRDefault="00B113BB" w:rsidP="00B436E9">
            <w:pPr>
              <w:pStyle w:val="ListParagraph"/>
              <w:spacing w:after="120"/>
              <w:ind w:left="0"/>
              <w:contextualSpacing w:val="0"/>
              <w:rPr>
                <w:rFonts w:ascii="Arial" w:hAnsi="Arial" w:cs="Arial"/>
                <w:sz w:val="20"/>
                <w:szCs w:val="20"/>
              </w:rPr>
            </w:pPr>
            <w:r w:rsidRPr="00B113BB">
              <w:rPr>
                <w:rFonts w:ascii="Arial" w:hAnsi="Arial" w:cs="Arial"/>
                <w:color w:val="000000"/>
                <w:sz w:val="20"/>
                <w:szCs w:val="20"/>
              </w:rPr>
              <w:t>To request a Section 100 (Highly Specialised Drug Program) Authority Required listing for the treatment of uncontrolled severe eosinophilic asthma.</w:t>
            </w:r>
          </w:p>
        </w:tc>
        <w:tc>
          <w:tcPr>
            <w:tcW w:w="7192" w:type="dxa"/>
            <w:gridSpan w:val="2"/>
            <w:tcBorders>
              <w:top w:val="single" w:sz="4" w:space="0" w:color="auto"/>
              <w:left w:val="single" w:sz="4" w:space="0" w:color="auto"/>
              <w:bottom w:val="single" w:sz="4" w:space="0" w:color="auto"/>
              <w:right w:val="single" w:sz="4" w:space="0" w:color="auto"/>
            </w:tcBorders>
          </w:tcPr>
          <w:p w:rsidR="002D031D" w:rsidRDefault="002D031D" w:rsidP="002D031D">
            <w:pPr>
              <w:widowControl w:val="0"/>
              <w:jc w:val="both"/>
              <w:rPr>
                <w:rFonts w:ascii="Arial" w:hAnsi="Arial" w:cs="Arial"/>
              </w:rPr>
            </w:pPr>
            <w:r w:rsidRPr="002D031D">
              <w:rPr>
                <w:rFonts w:ascii="Arial" w:hAnsi="Arial" w:cs="Arial"/>
              </w:rPr>
              <w:t xml:space="preserve">The PBAC recommended the Section 100 (Highly Specialised Drug Program) Authority required (in writing) listing of </w:t>
            </w:r>
            <w:proofErr w:type="spellStart"/>
            <w:r w:rsidRPr="002D031D">
              <w:rPr>
                <w:rFonts w:ascii="Arial" w:hAnsi="Arial" w:cs="Arial"/>
              </w:rPr>
              <w:t>benralizumab</w:t>
            </w:r>
            <w:proofErr w:type="spellEnd"/>
            <w:r w:rsidRPr="002D031D">
              <w:rPr>
                <w:rFonts w:ascii="Arial" w:hAnsi="Arial" w:cs="Arial"/>
              </w:rPr>
              <w:t xml:space="preserve"> for the treatment of uncontrolled severe eosinophilic asthma</w:t>
            </w:r>
            <w:r w:rsidR="00B436E9" w:rsidRPr="00B113BB">
              <w:rPr>
                <w:rFonts w:ascii="Arial" w:hAnsi="Arial" w:cs="Arial"/>
                <w:color w:val="000000"/>
              </w:rPr>
              <w:t xml:space="preserve"> </w:t>
            </w:r>
            <w:r w:rsidR="00B436E9">
              <w:rPr>
                <w:rFonts w:ascii="Arial" w:hAnsi="Arial" w:cs="Arial"/>
                <w:color w:val="000000"/>
              </w:rPr>
              <w:t>in patients aged 12</w:t>
            </w:r>
            <w:r w:rsidR="00B436E9" w:rsidRPr="00B113BB">
              <w:rPr>
                <w:rFonts w:ascii="Arial" w:hAnsi="Arial" w:cs="Arial"/>
                <w:color w:val="000000"/>
              </w:rPr>
              <w:t xml:space="preserve"> years and over</w:t>
            </w:r>
            <w:r w:rsidRPr="002D031D">
              <w:rPr>
                <w:rFonts w:ascii="Arial" w:hAnsi="Arial" w:cs="Arial"/>
              </w:rPr>
              <w:t>. In making this recommendation, the PBAC noted the clinical need for additional treatment options in uncontrolled severe asthma.</w:t>
            </w:r>
          </w:p>
          <w:p w:rsidR="00597084" w:rsidRPr="002D031D" w:rsidRDefault="00597084" w:rsidP="002D031D">
            <w:pPr>
              <w:widowControl w:val="0"/>
              <w:jc w:val="both"/>
              <w:rPr>
                <w:rFonts w:ascii="Arial" w:hAnsi="Arial" w:cs="Arial"/>
              </w:rPr>
            </w:pPr>
          </w:p>
          <w:p w:rsidR="00B113BB" w:rsidRPr="002D031D" w:rsidRDefault="002D031D" w:rsidP="00685D3F">
            <w:pPr>
              <w:widowControl w:val="0"/>
              <w:jc w:val="both"/>
              <w:rPr>
                <w:rFonts w:ascii="Arial" w:hAnsi="Arial" w:cs="Arial"/>
              </w:rPr>
            </w:pPr>
            <w:r w:rsidRPr="002D031D">
              <w:rPr>
                <w:rFonts w:ascii="Arial" w:hAnsi="Arial" w:cs="Arial"/>
              </w:rPr>
              <w:t xml:space="preserve">The PBAC recommended the listing on a cost-minimisation basis with </w:t>
            </w:r>
            <w:proofErr w:type="spellStart"/>
            <w:r w:rsidRPr="002D031D">
              <w:rPr>
                <w:rFonts w:ascii="Arial" w:hAnsi="Arial" w:cs="Arial"/>
              </w:rPr>
              <w:t>mepolizumab</w:t>
            </w:r>
            <w:proofErr w:type="spellEnd"/>
            <w:r w:rsidRPr="002D031D">
              <w:rPr>
                <w:rFonts w:ascii="Arial" w:hAnsi="Arial" w:cs="Arial"/>
              </w:rPr>
              <w:t xml:space="preserve">. The PBAC considered that the estimation of equi-effective doses should include the fixed loading doses of </w:t>
            </w:r>
            <w:proofErr w:type="spellStart"/>
            <w:r w:rsidRPr="002D031D">
              <w:rPr>
                <w:rFonts w:ascii="Arial" w:hAnsi="Arial" w:cs="Arial"/>
              </w:rPr>
              <w:t>benralizumab</w:t>
            </w:r>
            <w:proofErr w:type="spellEnd"/>
            <w:r w:rsidRPr="002D031D">
              <w:rPr>
                <w:rFonts w:ascii="Arial" w:hAnsi="Arial" w:cs="Arial"/>
              </w:rPr>
              <w:t>, which would be consistent with methods used to estimate the equi-effective doses of other biologics (in other conditions) that require fixed loading doses.</w:t>
            </w:r>
            <w:r w:rsidRPr="002D031D">
              <w:rPr>
                <w:rFonts w:ascii="Arial" w:hAnsi="Arial" w:cs="Arial"/>
              </w:rPr>
              <w:tab/>
            </w:r>
          </w:p>
        </w:tc>
      </w:tr>
      <w:tr w:rsidR="00B113BB"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113BB" w:rsidRDefault="00B113BB" w:rsidP="00596D7F">
            <w:pPr>
              <w:rPr>
                <w:rFonts w:ascii="Arial" w:hAnsi="Arial" w:cs="Arial"/>
                <w:color w:val="000000"/>
              </w:rPr>
            </w:pPr>
            <w:r w:rsidRPr="007F7D95">
              <w:rPr>
                <w:rFonts w:ascii="Arial" w:hAnsi="Arial" w:cs="Arial"/>
                <w:color w:val="000000"/>
              </w:rPr>
              <w:lastRenderedPageBreak/>
              <w:t>BENRALIZUMAB</w:t>
            </w:r>
            <w:r w:rsidRPr="007F7D95">
              <w:rPr>
                <w:rFonts w:ascii="Arial" w:hAnsi="Arial" w:cs="Arial"/>
                <w:color w:val="000000"/>
              </w:rPr>
              <w:br/>
            </w:r>
            <w:r w:rsidRPr="007F7D95">
              <w:rPr>
                <w:rFonts w:ascii="Arial" w:hAnsi="Arial" w:cs="Arial"/>
                <w:color w:val="000000"/>
              </w:rPr>
              <w:br/>
              <w:t>30mg in 1 mL solution for injection prefilled syringe</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Fasenra</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AstraZeneca Pty Ltd</w:t>
            </w:r>
          </w:p>
          <w:p w:rsidR="00B113BB" w:rsidRDefault="00B113BB" w:rsidP="00596D7F">
            <w:pPr>
              <w:rPr>
                <w:rFonts w:ascii="Arial" w:hAnsi="Arial" w:cs="Arial"/>
                <w:color w:val="000000"/>
              </w:rPr>
            </w:pPr>
          </w:p>
          <w:p w:rsidR="000C2059" w:rsidRDefault="00B113BB" w:rsidP="00596D7F">
            <w:pPr>
              <w:rPr>
                <w:rFonts w:ascii="Arial" w:hAnsi="Arial" w:cs="Arial"/>
                <w:color w:val="000000"/>
              </w:rPr>
            </w:pPr>
            <w:r>
              <w:rPr>
                <w:rFonts w:ascii="Arial" w:hAnsi="Arial" w:cs="Arial"/>
                <w:color w:val="000000"/>
              </w:rPr>
              <w:t xml:space="preserve">Change to listing </w:t>
            </w:r>
          </w:p>
          <w:p w:rsidR="00B113BB" w:rsidRPr="007F7D95" w:rsidRDefault="00B113BB"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113BB" w:rsidRPr="003D7E12" w:rsidRDefault="00B113BB" w:rsidP="00263F7F">
            <w:pPr>
              <w:rPr>
                <w:rFonts w:ascii="Arial" w:hAnsi="Arial" w:cs="Arial"/>
              </w:rPr>
            </w:pPr>
            <w:r w:rsidRPr="007F7D95">
              <w:rPr>
                <w:rFonts w:ascii="Arial" w:hAnsi="Arial" w:cs="Arial"/>
                <w:color w:val="000000"/>
              </w:rPr>
              <w:t>Uncontrolled severe eosinophilic asthma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113BB" w:rsidRPr="00B113BB" w:rsidRDefault="00B113BB" w:rsidP="004D3210">
            <w:pPr>
              <w:pStyle w:val="ListParagraph"/>
              <w:spacing w:after="120"/>
              <w:ind w:left="0"/>
              <w:contextualSpacing w:val="0"/>
              <w:rPr>
                <w:rFonts w:ascii="Arial" w:hAnsi="Arial" w:cs="Arial"/>
                <w:sz w:val="20"/>
                <w:szCs w:val="20"/>
              </w:rPr>
            </w:pPr>
            <w:r w:rsidRPr="00B113BB">
              <w:rPr>
                <w:rFonts w:ascii="Arial" w:hAnsi="Arial" w:cs="Arial"/>
                <w:color w:val="000000"/>
                <w:sz w:val="20"/>
                <w:szCs w:val="20"/>
              </w:rPr>
              <w:t>To request amendments to the current Section 100 (Highly Specialised Drugs Program - Public and Private Hospital) restrictions for uncontrolled severe eosinophilic asthma.</w:t>
            </w:r>
          </w:p>
        </w:tc>
        <w:tc>
          <w:tcPr>
            <w:tcW w:w="7192" w:type="dxa"/>
            <w:gridSpan w:val="2"/>
            <w:tcBorders>
              <w:top w:val="single" w:sz="4" w:space="0" w:color="auto"/>
              <w:left w:val="single" w:sz="4" w:space="0" w:color="auto"/>
              <w:bottom w:val="single" w:sz="4" w:space="0" w:color="auto"/>
              <w:right w:val="single" w:sz="4" w:space="0" w:color="auto"/>
            </w:tcBorders>
          </w:tcPr>
          <w:p w:rsidR="002D031D" w:rsidRDefault="002D031D" w:rsidP="002D031D">
            <w:pPr>
              <w:widowControl w:val="0"/>
              <w:jc w:val="both"/>
              <w:rPr>
                <w:rFonts w:ascii="Arial" w:hAnsi="Arial" w:cs="Arial"/>
              </w:rPr>
            </w:pPr>
            <w:r w:rsidRPr="002D031D">
              <w:rPr>
                <w:rFonts w:ascii="Arial" w:hAnsi="Arial" w:cs="Arial"/>
              </w:rPr>
              <w:t xml:space="preserve">The PBAC recommended changing the restriction for biologics for severe asthma to reduce the duration of time that a patient must be under the care of the same physician </w:t>
            </w:r>
            <w:r w:rsidR="00D7055E">
              <w:rPr>
                <w:rFonts w:ascii="Arial" w:hAnsi="Arial" w:cs="Arial"/>
              </w:rPr>
              <w:t xml:space="preserve">from 12 months </w:t>
            </w:r>
            <w:r w:rsidRPr="002D031D">
              <w:rPr>
                <w:rFonts w:ascii="Arial" w:hAnsi="Arial" w:cs="Arial"/>
              </w:rPr>
              <w:t>to six months. The PBAC considered that this change may improve continuity of care and access to effective treatment when patients with uncontrolled severe asthma change physicians.</w:t>
            </w:r>
          </w:p>
          <w:p w:rsidR="002D031D" w:rsidRPr="002D031D" w:rsidRDefault="002D031D" w:rsidP="002D031D">
            <w:pPr>
              <w:widowControl w:val="0"/>
              <w:jc w:val="both"/>
              <w:rPr>
                <w:rFonts w:ascii="Arial" w:hAnsi="Arial" w:cs="Arial"/>
              </w:rPr>
            </w:pPr>
          </w:p>
          <w:p w:rsidR="002D031D" w:rsidRDefault="002D031D" w:rsidP="002D031D">
            <w:pPr>
              <w:widowControl w:val="0"/>
              <w:jc w:val="both"/>
              <w:rPr>
                <w:rFonts w:ascii="Arial" w:hAnsi="Arial" w:cs="Arial"/>
              </w:rPr>
            </w:pPr>
            <w:r w:rsidRPr="002D031D">
              <w:rPr>
                <w:rFonts w:ascii="Arial" w:hAnsi="Arial" w:cs="Arial"/>
              </w:rPr>
              <w:t xml:space="preserve">The PBAC noted that the submission’s request to extend the eosinophil blood test validity period had already been addressed, pursuant to a positive recommendation for </w:t>
            </w:r>
            <w:proofErr w:type="spellStart"/>
            <w:r w:rsidRPr="002D031D">
              <w:rPr>
                <w:rFonts w:ascii="Arial" w:hAnsi="Arial" w:cs="Arial"/>
              </w:rPr>
              <w:t>mepolizumab</w:t>
            </w:r>
            <w:proofErr w:type="spellEnd"/>
            <w:r w:rsidRPr="002D031D">
              <w:rPr>
                <w:rFonts w:ascii="Arial" w:hAnsi="Arial" w:cs="Arial"/>
              </w:rPr>
              <w:t xml:space="preserve"> that was made at the Committee’s November 2017 meeting. </w:t>
            </w:r>
            <w:r w:rsidR="00D7055E" w:rsidRPr="00D7055E">
              <w:rPr>
                <w:rFonts w:ascii="Arial" w:hAnsi="Arial" w:cs="Arial"/>
                <w:bCs/>
                <w:lang w:val="en-GB"/>
              </w:rPr>
              <w:t xml:space="preserve">The PBAC considered that this adequately addressed the submission’s request to change the time period for validity of this test.  </w:t>
            </w:r>
          </w:p>
          <w:p w:rsidR="002D031D" w:rsidRPr="002D031D" w:rsidRDefault="002D031D" w:rsidP="002D031D">
            <w:pPr>
              <w:widowControl w:val="0"/>
              <w:jc w:val="both"/>
              <w:rPr>
                <w:rFonts w:ascii="Arial" w:hAnsi="Arial" w:cs="Arial"/>
              </w:rPr>
            </w:pPr>
          </w:p>
          <w:p w:rsidR="003C0837" w:rsidRPr="002D031D" w:rsidRDefault="002D031D" w:rsidP="00975950">
            <w:pPr>
              <w:widowControl w:val="0"/>
              <w:jc w:val="both"/>
              <w:rPr>
                <w:rFonts w:ascii="Arial" w:hAnsi="Arial" w:cs="Arial"/>
              </w:rPr>
            </w:pPr>
            <w:r w:rsidRPr="002D031D">
              <w:rPr>
                <w:rFonts w:ascii="Arial" w:hAnsi="Arial" w:cs="Arial"/>
              </w:rPr>
              <w:t xml:space="preserve">The PBAC deferred making a decision on the request to remove the six month treatment break when switching between different biologics. The PBAC considered that removal of the treatment break would have flow-on implications and would require consideration of issues around re-trialling of the same biologic, switching between and cycling of biologics in asthma. The </w:t>
            </w:r>
            <w:r w:rsidR="00D7055E">
              <w:rPr>
                <w:rFonts w:ascii="Arial" w:hAnsi="Arial" w:cs="Arial"/>
              </w:rPr>
              <w:t xml:space="preserve">PBAC’s </w:t>
            </w:r>
            <w:r w:rsidRPr="002D031D">
              <w:rPr>
                <w:rFonts w:ascii="Arial" w:hAnsi="Arial" w:cs="Arial"/>
              </w:rPr>
              <w:t>deferral</w:t>
            </w:r>
            <w:r w:rsidR="00D7055E">
              <w:rPr>
                <w:rFonts w:ascii="Arial" w:hAnsi="Arial" w:cs="Arial"/>
              </w:rPr>
              <w:t xml:space="preserve"> of its decision</w:t>
            </w:r>
            <w:r w:rsidRPr="002D031D">
              <w:rPr>
                <w:rFonts w:ascii="Arial" w:hAnsi="Arial" w:cs="Arial"/>
              </w:rPr>
              <w:t xml:space="preserve"> was to enable further consideration and broader discussion given the complexity of these matters.</w:t>
            </w: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E7A72" w:rsidRDefault="001E7A72" w:rsidP="001E7A72">
            <w:pPr>
              <w:rPr>
                <w:rFonts w:ascii="Arial" w:hAnsi="Arial" w:cs="Arial"/>
                <w:color w:val="000000"/>
              </w:rPr>
            </w:pPr>
            <w:r w:rsidRPr="001E7A72">
              <w:rPr>
                <w:rFonts w:ascii="Arial" w:hAnsi="Arial" w:cs="Arial"/>
                <w:color w:val="000000"/>
              </w:rPr>
              <w:t>CARFILZOMIB</w:t>
            </w:r>
          </w:p>
          <w:p w:rsidR="001E7A72" w:rsidRDefault="001E7A72" w:rsidP="001E7A72">
            <w:pPr>
              <w:rPr>
                <w:rFonts w:ascii="Arial" w:hAnsi="Arial" w:cs="Arial"/>
                <w:color w:val="000000"/>
              </w:rPr>
            </w:pPr>
          </w:p>
          <w:p w:rsidR="001E7A72" w:rsidRDefault="001E7A72" w:rsidP="001E7A72">
            <w:pPr>
              <w:rPr>
                <w:rFonts w:ascii="Arial" w:hAnsi="Arial" w:cs="Arial"/>
                <w:color w:val="000000"/>
              </w:rPr>
            </w:pPr>
            <w:r>
              <w:rPr>
                <w:rFonts w:ascii="Arial" w:hAnsi="Arial" w:cs="Arial"/>
                <w:color w:val="000000"/>
              </w:rPr>
              <w:t>Powder for I.V. infusion 10 mg</w:t>
            </w:r>
          </w:p>
          <w:p w:rsidR="001E7A72" w:rsidRPr="001E7A72" w:rsidRDefault="001E7A72" w:rsidP="001E7A72">
            <w:pPr>
              <w:rPr>
                <w:rFonts w:ascii="Arial" w:hAnsi="Arial" w:cs="Arial"/>
                <w:color w:val="000000"/>
              </w:rPr>
            </w:pPr>
          </w:p>
          <w:p w:rsidR="001E7A72" w:rsidRDefault="001E7A72" w:rsidP="001E7A72">
            <w:pPr>
              <w:rPr>
                <w:rFonts w:ascii="Arial" w:hAnsi="Arial" w:cs="Arial"/>
                <w:color w:val="000000"/>
              </w:rPr>
            </w:pPr>
            <w:proofErr w:type="spellStart"/>
            <w:r>
              <w:rPr>
                <w:rFonts w:ascii="Arial" w:hAnsi="Arial" w:cs="Arial"/>
                <w:color w:val="000000"/>
              </w:rPr>
              <w:t>Kyprolis</w:t>
            </w:r>
            <w:proofErr w:type="spellEnd"/>
            <w:r>
              <w:rPr>
                <w:rFonts w:ascii="Arial" w:hAnsi="Arial" w:cs="Arial"/>
                <w:color w:val="000000"/>
              </w:rPr>
              <w:t>®</w:t>
            </w:r>
          </w:p>
          <w:p w:rsidR="00EE6547" w:rsidRDefault="00EE6547" w:rsidP="002A324A">
            <w:pPr>
              <w:rPr>
                <w:rFonts w:ascii="Arial" w:hAnsi="Arial" w:cs="Arial"/>
                <w:color w:val="000000"/>
              </w:rPr>
            </w:pPr>
          </w:p>
          <w:p w:rsidR="001E7A72" w:rsidRDefault="001E7A72" w:rsidP="001E7A72">
            <w:pPr>
              <w:rPr>
                <w:rFonts w:ascii="Arial" w:hAnsi="Arial" w:cs="Arial"/>
                <w:color w:val="000000"/>
              </w:rPr>
            </w:pPr>
            <w:r>
              <w:rPr>
                <w:rFonts w:ascii="Arial" w:hAnsi="Arial" w:cs="Arial"/>
                <w:color w:val="000000"/>
              </w:rPr>
              <w:t>Amgen Australia Pty Ltd</w:t>
            </w:r>
          </w:p>
          <w:p w:rsidR="001E7A72" w:rsidRDefault="001E7A72" w:rsidP="002A324A">
            <w:pPr>
              <w:rPr>
                <w:rFonts w:ascii="Arial" w:hAnsi="Arial" w:cs="Arial"/>
                <w:color w:val="000000"/>
              </w:rPr>
            </w:pPr>
          </w:p>
          <w:p w:rsidR="000C2059" w:rsidRDefault="001E7A72" w:rsidP="002A324A">
            <w:pPr>
              <w:rPr>
                <w:rFonts w:ascii="Arial" w:hAnsi="Arial" w:cs="Arial"/>
                <w:color w:val="000000"/>
              </w:rPr>
            </w:pPr>
            <w:r>
              <w:rPr>
                <w:rFonts w:ascii="Arial" w:hAnsi="Arial" w:cs="Arial"/>
                <w:color w:val="000000"/>
              </w:rPr>
              <w:t xml:space="preserve">New listing </w:t>
            </w:r>
          </w:p>
          <w:p w:rsidR="001E7A72" w:rsidRPr="003D7E12" w:rsidRDefault="001E7A72" w:rsidP="002A324A">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1E7A72" w:rsidP="002E7155">
            <w:pPr>
              <w:rPr>
                <w:rFonts w:ascii="Arial" w:hAnsi="Arial" w:cs="Arial"/>
                <w:color w:val="000000"/>
              </w:rPr>
            </w:pPr>
            <w:r>
              <w:rPr>
                <w:rFonts w:ascii="Arial" w:hAnsi="Arial" w:cs="Arial"/>
                <w:color w:val="000000"/>
              </w:rPr>
              <w:t>Multiple myeloma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1E7A72" w:rsidRDefault="001E7A72" w:rsidP="001E7A72">
            <w:pPr>
              <w:rPr>
                <w:rFonts w:ascii="Arial" w:hAnsi="Arial" w:cs="Arial"/>
              </w:rPr>
            </w:pPr>
            <w:r>
              <w:rPr>
                <w:rFonts w:ascii="Arial" w:hAnsi="Arial" w:cs="Arial"/>
              </w:rPr>
              <w:t>To request a Section 100 (Efficient Funding of Chemotherapy) Authority Required listing for a new lower strength form of carfilzomib in combination with dexamethasone for the treatment of patients with multiple myeloma who have failed at least one prior line of treatment.</w:t>
            </w:r>
          </w:p>
        </w:tc>
        <w:tc>
          <w:tcPr>
            <w:tcW w:w="7192" w:type="dxa"/>
            <w:gridSpan w:val="2"/>
            <w:tcBorders>
              <w:top w:val="single" w:sz="4" w:space="0" w:color="auto"/>
              <w:left w:val="single" w:sz="4" w:space="0" w:color="auto"/>
              <w:bottom w:val="single" w:sz="4" w:space="0" w:color="auto"/>
              <w:right w:val="single" w:sz="4" w:space="0" w:color="auto"/>
            </w:tcBorders>
          </w:tcPr>
          <w:p w:rsidR="0007412F" w:rsidRPr="00685D3F" w:rsidRDefault="005118C0" w:rsidP="00685D3F">
            <w:pPr>
              <w:jc w:val="both"/>
              <w:rPr>
                <w:rFonts w:ascii="Arial" w:hAnsi="Arial" w:cs="Arial"/>
                <w:color w:val="000000"/>
                <w:sz w:val="24"/>
                <w:szCs w:val="24"/>
              </w:rPr>
            </w:pPr>
            <w:r w:rsidRPr="00F879AD">
              <w:rPr>
                <w:rFonts w:ascii="Arial" w:hAnsi="Arial" w:cs="Arial"/>
                <w:color w:val="000000"/>
              </w:rPr>
              <w:t>The PBAC recommended the listing of a 10 mg vial form of carfilzomib as a Section 100 – Efficient Funding of Chemotherapy benefit on the basis of the same cost per mg and restriction conditions as the currently listed 30 and 60 mg vial forms for the treatment of multiple myeloma.</w:t>
            </w: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Default="00782949" w:rsidP="002A324A">
            <w:pPr>
              <w:rPr>
                <w:rFonts w:ascii="Arial" w:hAnsi="Arial" w:cs="Arial"/>
                <w:color w:val="000000"/>
              </w:rPr>
            </w:pPr>
            <w:r>
              <w:rPr>
                <w:rFonts w:ascii="Arial" w:hAnsi="Arial" w:cs="Arial"/>
                <w:color w:val="000000"/>
              </w:rPr>
              <w:lastRenderedPageBreak/>
              <w:t>CETUXIMAB</w:t>
            </w:r>
            <w:r>
              <w:rPr>
                <w:rFonts w:ascii="Arial" w:hAnsi="Arial" w:cs="Arial"/>
                <w:color w:val="000000"/>
              </w:rPr>
              <w:br/>
            </w:r>
            <w:r>
              <w:rPr>
                <w:rFonts w:ascii="Arial" w:hAnsi="Arial" w:cs="Arial"/>
                <w:color w:val="000000"/>
              </w:rPr>
              <w:br/>
              <w:t>Solution for I.V. infusion 100 mg in 20 mL</w:t>
            </w:r>
            <w:r>
              <w:rPr>
                <w:rFonts w:ascii="Arial" w:hAnsi="Arial" w:cs="Arial"/>
                <w:color w:val="000000"/>
              </w:rPr>
              <w:br/>
              <w:t>Solution for I.V. infusion 500 mg in 100 mL</w:t>
            </w:r>
            <w:r>
              <w:rPr>
                <w:rFonts w:ascii="Arial" w:hAnsi="Arial" w:cs="Arial"/>
                <w:color w:val="000000"/>
              </w:rPr>
              <w:br/>
            </w:r>
            <w:r>
              <w:rPr>
                <w:rFonts w:ascii="Arial" w:hAnsi="Arial" w:cs="Arial"/>
                <w:color w:val="000000"/>
              </w:rPr>
              <w:br/>
              <w:t>Erbitux®</w:t>
            </w:r>
            <w:r>
              <w:rPr>
                <w:rFonts w:ascii="Arial" w:hAnsi="Arial" w:cs="Arial"/>
                <w:color w:val="000000"/>
              </w:rPr>
              <w:br/>
            </w:r>
            <w:r>
              <w:rPr>
                <w:rFonts w:ascii="Arial" w:hAnsi="Arial" w:cs="Arial"/>
                <w:color w:val="000000"/>
              </w:rPr>
              <w:br/>
              <w:t>Merck Serono Australia Pty Ltd</w:t>
            </w:r>
          </w:p>
          <w:p w:rsidR="00782949" w:rsidRDefault="00782949" w:rsidP="002A324A">
            <w:pPr>
              <w:rPr>
                <w:rFonts w:ascii="Arial" w:hAnsi="Arial" w:cs="Arial"/>
                <w:color w:val="000000"/>
              </w:rPr>
            </w:pPr>
          </w:p>
          <w:p w:rsidR="000C2059" w:rsidRDefault="00782949" w:rsidP="002A324A">
            <w:pPr>
              <w:rPr>
                <w:rFonts w:ascii="Arial" w:hAnsi="Arial" w:cs="Arial"/>
                <w:color w:val="000000"/>
              </w:rPr>
            </w:pPr>
            <w:r>
              <w:rPr>
                <w:rFonts w:ascii="Arial" w:hAnsi="Arial" w:cs="Arial"/>
                <w:color w:val="000000"/>
              </w:rPr>
              <w:t>Change to listing</w:t>
            </w:r>
          </w:p>
          <w:p w:rsidR="00782949" w:rsidRPr="003D7E12" w:rsidRDefault="00782949" w:rsidP="002A324A">
            <w:pPr>
              <w:rPr>
                <w:rFonts w:ascii="Arial" w:hAnsi="Arial" w:cs="Arial"/>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782949" w:rsidP="00263F7F">
            <w:pPr>
              <w:rPr>
                <w:rFonts w:ascii="Arial" w:hAnsi="Arial" w:cs="Arial"/>
              </w:rPr>
            </w:pPr>
            <w:r>
              <w:rPr>
                <w:rFonts w:ascii="Arial" w:hAnsi="Arial" w:cs="Arial"/>
                <w:color w:val="000000"/>
              </w:rPr>
              <w:t>Recurrent or metastatic squamous cell carcinoma of the head and neck</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782949" w:rsidP="00301C95">
            <w:pPr>
              <w:rPr>
                <w:rFonts w:ascii="Arial" w:hAnsi="Arial" w:cs="Arial"/>
              </w:rPr>
            </w:pPr>
            <w:r>
              <w:rPr>
                <w:rFonts w:ascii="Arial" w:hAnsi="Arial" w:cs="Arial"/>
                <w:color w:val="000000"/>
              </w:rPr>
              <w:t>To request a Section 100 (Efficient Funding of Chemotherapy) Authority Required listing for the treatment of patients with recurrent or metastatic squamous cell carcinoma of the head and neck.</w:t>
            </w:r>
          </w:p>
        </w:tc>
        <w:tc>
          <w:tcPr>
            <w:tcW w:w="7192" w:type="dxa"/>
            <w:gridSpan w:val="2"/>
            <w:tcBorders>
              <w:top w:val="single" w:sz="4" w:space="0" w:color="auto"/>
              <w:left w:val="single" w:sz="4" w:space="0" w:color="auto"/>
              <w:bottom w:val="single" w:sz="4" w:space="0" w:color="auto"/>
              <w:right w:val="single" w:sz="4" w:space="0" w:color="auto"/>
            </w:tcBorders>
          </w:tcPr>
          <w:p w:rsidR="00EE6547" w:rsidRDefault="00CB26E4" w:rsidP="0007412F">
            <w:pPr>
              <w:jc w:val="both"/>
              <w:rPr>
                <w:rFonts w:ascii="Arial" w:hAnsi="Arial" w:cs="Arial"/>
                <w:color w:val="000000"/>
              </w:rPr>
            </w:pPr>
            <w:r>
              <w:rPr>
                <w:rFonts w:ascii="Arial" w:hAnsi="Arial" w:cs="Arial"/>
                <w:color w:val="000000"/>
              </w:rPr>
              <w:t xml:space="preserve">The PBAC recommended listing of cetuximab for the treatment of patients with previously untreated recurrent and/or metastatic squamous cell carcinoma of the head and neck, on the basis that it should be available only under special arrangements under section 100. The PBAC </w:t>
            </w:r>
            <w:r w:rsidR="0007412F">
              <w:rPr>
                <w:rFonts w:ascii="Arial" w:hAnsi="Arial" w:cs="Arial"/>
                <w:color w:val="000000"/>
              </w:rPr>
              <w:t xml:space="preserve">was </w:t>
            </w:r>
            <w:r>
              <w:rPr>
                <w:rFonts w:ascii="Arial" w:hAnsi="Arial" w:cs="Arial"/>
                <w:color w:val="000000"/>
              </w:rPr>
              <w:t xml:space="preserve">satisfied </w:t>
            </w:r>
            <w:r w:rsidR="0007412F">
              <w:rPr>
                <w:rFonts w:ascii="Arial" w:hAnsi="Arial" w:cs="Arial"/>
                <w:color w:val="000000"/>
              </w:rPr>
              <w:t>of the</w:t>
            </w:r>
            <w:r>
              <w:rPr>
                <w:rFonts w:ascii="Arial" w:hAnsi="Arial" w:cs="Arial"/>
                <w:color w:val="000000"/>
              </w:rPr>
              <w:t xml:space="preserve"> clinical need in this patient population and that, for some patients, cetuximab provides a modest improvement in overall survival, progression free survival and response rates over chemotherapy alone. The PBAC’s recommendation for listing was based on, among other matters, its assessment that the cost effectiveness of cetuximab could be brought into an acceptable range with a reduced effective price.</w:t>
            </w:r>
          </w:p>
          <w:p w:rsidR="0007412F" w:rsidRDefault="0007412F" w:rsidP="0007412F">
            <w:pPr>
              <w:jc w:val="both"/>
              <w:rPr>
                <w:rFonts w:ascii="Arial" w:hAnsi="Arial" w:cs="Arial"/>
                <w:color w:val="000000"/>
              </w:rPr>
            </w:pPr>
          </w:p>
          <w:p w:rsidR="0007412F" w:rsidRPr="00CB26E4" w:rsidRDefault="0007412F" w:rsidP="0007412F">
            <w:pPr>
              <w:jc w:val="both"/>
              <w:rPr>
                <w:rFonts w:ascii="Arial" w:hAnsi="Arial" w:cs="Arial"/>
                <w:color w:val="000000"/>
              </w:rPr>
            </w:pPr>
          </w:p>
        </w:tc>
      </w:tr>
      <w:tr w:rsidR="00EE6547" w:rsidRPr="003D7E12" w:rsidTr="00DE1FFD">
        <w:trPr>
          <w:cantSplit/>
          <w:trHeight w:val="3052"/>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Default="00782949" w:rsidP="002A324A">
            <w:pPr>
              <w:rPr>
                <w:rFonts w:ascii="Arial" w:hAnsi="Arial" w:cs="Arial"/>
                <w:color w:val="000000"/>
              </w:rPr>
            </w:pPr>
            <w:r>
              <w:rPr>
                <w:rFonts w:ascii="Arial" w:hAnsi="Arial" w:cs="Arial"/>
                <w:color w:val="000000"/>
              </w:rPr>
              <w:t>DEXAMETHASONE</w:t>
            </w:r>
            <w:r>
              <w:rPr>
                <w:rFonts w:ascii="Arial" w:hAnsi="Arial" w:cs="Arial"/>
                <w:color w:val="000000"/>
              </w:rPr>
              <w:br/>
            </w:r>
            <w:r>
              <w:rPr>
                <w:rFonts w:ascii="Arial" w:hAnsi="Arial" w:cs="Arial"/>
                <w:color w:val="000000"/>
              </w:rPr>
              <w:br/>
              <w:t>Intravitreal injection 700 micrograms</w:t>
            </w:r>
            <w:r>
              <w:rPr>
                <w:rFonts w:ascii="Arial" w:hAnsi="Arial" w:cs="Arial"/>
                <w:color w:val="000000"/>
              </w:rPr>
              <w:br/>
            </w:r>
            <w:r>
              <w:rPr>
                <w:rFonts w:ascii="Arial" w:hAnsi="Arial" w:cs="Arial"/>
                <w:color w:val="000000"/>
              </w:rPr>
              <w:br/>
            </w:r>
            <w:proofErr w:type="spellStart"/>
            <w:r>
              <w:rPr>
                <w:rFonts w:ascii="Arial" w:hAnsi="Arial" w:cs="Arial"/>
                <w:color w:val="000000"/>
              </w:rPr>
              <w:t>Ozurdex</w:t>
            </w:r>
            <w:proofErr w:type="spellEnd"/>
            <w:r>
              <w:rPr>
                <w:rFonts w:ascii="Arial" w:hAnsi="Arial" w:cs="Arial"/>
                <w:color w:val="000000"/>
              </w:rPr>
              <w:t>®</w:t>
            </w:r>
            <w:r>
              <w:rPr>
                <w:rFonts w:ascii="Arial" w:hAnsi="Arial" w:cs="Arial"/>
                <w:color w:val="000000"/>
              </w:rPr>
              <w:br/>
            </w:r>
            <w:r>
              <w:rPr>
                <w:rFonts w:ascii="Arial" w:hAnsi="Arial" w:cs="Arial"/>
                <w:color w:val="000000"/>
              </w:rPr>
              <w:br/>
              <w:t>Allergan Australia Pty Ltd</w:t>
            </w:r>
          </w:p>
          <w:p w:rsidR="00782949" w:rsidRDefault="00782949" w:rsidP="002A324A">
            <w:pPr>
              <w:rPr>
                <w:rFonts w:ascii="Arial" w:hAnsi="Arial" w:cs="Arial"/>
                <w:color w:val="000000"/>
              </w:rPr>
            </w:pPr>
          </w:p>
          <w:p w:rsidR="000C2059" w:rsidRDefault="00782949" w:rsidP="00782949">
            <w:pPr>
              <w:rPr>
                <w:rFonts w:ascii="Arial" w:hAnsi="Arial" w:cs="Arial"/>
                <w:color w:val="000000"/>
              </w:rPr>
            </w:pPr>
            <w:r>
              <w:rPr>
                <w:rFonts w:ascii="Arial" w:hAnsi="Arial" w:cs="Arial"/>
                <w:color w:val="000000"/>
              </w:rPr>
              <w:t xml:space="preserve">Change to listing </w:t>
            </w:r>
          </w:p>
          <w:p w:rsidR="00782949" w:rsidRPr="003D7E12" w:rsidRDefault="00782949" w:rsidP="00782949">
            <w:pPr>
              <w:rPr>
                <w:rFonts w:ascii="Arial" w:hAnsi="Arial" w:cs="Arial"/>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782949" w:rsidP="00407C97">
            <w:pPr>
              <w:rPr>
                <w:rFonts w:ascii="Arial" w:hAnsi="Arial" w:cs="Arial"/>
              </w:rPr>
            </w:pPr>
            <w:r>
              <w:rPr>
                <w:rFonts w:ascii="Arial" w:hAnsi="Arial" w:cs="Arial"/>
                <w:color w:val="000000"/>
              </w:rPr>
              <w:t>Macular oedema secondary to branch retinal vein occlusion (BRVO) or central retinal vein occlusion (CRVO).</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782949" w:rsidRDefault="00782949" w:rsidP="00596D7F">
            <w:pPr>
              <w:pStyle w:val="ListParagraph"/>
              <w:spacing w:after="120"/>
              <w:ind w:left="0"/>
              <w:contextualSpacing w:val="0"/>
              <w:rPr>
                <w:rFonts w:ascii="Arial" w:eastAsia="Times New Roman" w:hAnsi="Arial" w:cs="Arial"/>
                <w:color w:val="000000"/>
                <w:sz w:val="20"/>
                <w:szCs w:val="20"/>
              </w:rPr>
            </w:pPr>
            <w:r w:rsidRPr="00782949">
              <w:rPr>
                <w:rFonts w:ascii="Arial" w:hAnsi="Arial" w:cs="Arial"/>
                <w:color w:val="000000"/>
                <w:sz w:val="20"/>
                <w:szCs w:val="20"/>
              </w:rPr>
              <w:t>To request an Authority Required listing for the treatment of macular oedema secondary to BRVO and CRVO.</w:t>
            </w:r>
          </w:p>
        </w:tc>
        <w:tc>
          <w:tcPr>
            <w:tcW w:w="7192" w:type="dxa"/>
            <w:gridSpan w:val="2"/>
            <w:tcBorders>
              <w:top w:val="single" w:sz="4" w:space="0" w:color="auto"/>
              <w:left w:val="single" w:sz="4" w:space="0" w:color="auto"/>
              <w:bottom w:val="single" w:sz="4" w:space="0" w:color="auto"/>
              <w:right w:val="single" w:sz="4" w:space="0" w:color="auto"/>
            </w:tcBorders>
          </w:tcPr>
          <w:p w:rsidR="005118C0" w:rsidRPr="00CF75B0" w:rsidRDefault="005118C0" w:rsidP="00BF1F45">
            <w:pPr>
              <w:rPr>
                <w:rFonts w:ascii="Arial" w:hAnsi="Arial" w:cs="Arial"/>
                <w:color w:val="000000"/>
              </w:rPr>
            </w:pPr>
            <w:r w:rsidRPr="00CF75B0">
              <w:rPr>
                <w:rFonts w:ascii="Arial" w:hAnsi="Arial" w:cs="Arial"/>
                <w:color w:val="000000"/>
              </w:rPr>
              <w:t xml:space="preserve">The PBAC recommended extending the listing of dexamethasone intravitreal injection 700 micrograms (dexamethasone implant) as an Authority required benefit (in writing for initial and telephone for continuing treatment) for patients with central or branch retinal vein occlusion (RVO) who have failed or are contraindicated to vascular endothelial growth factor (VEGF) inhibitors. This recommendation was based on clinical need, acceptable clinical effectiveness compared to placebo, and the broader context of the existing listing of dexamethasone for diabetic macular oedema. The clinical trial data for dexamethasone implant compared with placebo showed a modestly improved benefit with dexamethasone implant for some patients (a difference of between 6 to 9 gain in letters in best corrected visual acuity over placebo at 2 months), with the efficacy of the dexamethasone implant waning beyond month 3. </w:t>
            </w:r>
          </w:p>
          <w:p w:rsidR="005118C0" w:rsidRPr="00CF75B0" w:rsidRDefault="005118C0" w:rsidP="00BF1F45">
            <w:pPr>
              <w:rPr>
                <w:rFonts w:ascii="Arial" w:hAnsi="Arial" w:cs="Arial"/>
                <w:color w:val="000000"/>
              </w:rPr>
            </w:pPr>
          </w:p>
          <w:p w:rsidR="00FA1665" w:rsidRPr="000712A9" w:rsidRDefault="005118C0" w:rsidP="00BF1F45">
            <w:pPr>
              <w:rPr>
                <w:rFonts w:ascii="Arial" w:hAnsi="Arial" w:cs="Arial"/>
                <w:color w:val="000000"/>
                <w:sz w:val="24"/>
                <w:szCs w:val="24"/>
              </w:rPr>
            </w:pPr>
            <w:r w:rsidRPr="00CF75B0">
              <w:rPr>
                <w:rFonts w:ascii="Arial" w:hAnsi="Arial" w:cs="Arial"/>
                <w:color w:val="000000"/>
              </w:rPr>
              <w:t xml:space="preserve">The PBAC did not recommend extending the listing to patients with RVO who are considered ‘unsuitable’ for VEGF inhibitors, due to the ambiguity of the proposed restriction wording leading to potential use of an inferior and more harmful therapy than a VEGF inhibitor, based primarily on convenience. The clinical need for an alternative therapy for patients who may respond to a VEGF inhibitor but in whom monthly injections may be </w:t>
            </w:r>
            <w:proofErr w:type="gramStart"/>
            <w:r w:rsidRPr="00CF75B0">
              <w:rPr>
                <w:rFonts w:ascii="Arial" w:hAnsi="Arial" w:cs="Arial"/>
                <w:color w:val="000000"/>
              </w:rPr>
              <w:t>difficult,</w:t>
            </w:r>
            <w:proofErr w:type="gramEnd"/>
            <w:r w:rsidRPr="00CF75B0">
              <w:rPr>
                <w:rFonts w:ascii="Arial" w:hAnsi="Arial" w:cs="Arial"/>
                <w:color w:val="000000"/>
              </w:rPr>
              <w:t xml:space="preserve"> was not adequately supported to make available a sub-optimal therapy for a generally short-term condition.</w:t>
            </w: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685D3F" w:rsidRDefault="00782949" w:rsidP="002A324A">
            <w:pPr>
              <w:rPr>
                <w:rFonts w:ascii="Arial" w:hAnsi="Arial" w:cs="Arial"/>
                <w:color w:val="000000"/>
              </w:rPr>
            </w:pPr>
            <w:r>
              <w:rPr>
                <w:rFonts w:ascii="Arial" w:hAnsi="Arial" w:cs="Arial"/>
                <w:color w:val="000000"/>
              </w:rPr>
              <w:lastRenderedPageBreak/>
              <w:t>1) ERTUGLIFLOZIN</w:t>
            </w:r>
            <w:r>
              <w:rPr>
                <w:rFonts w:ascii="Arial" w:hAnsi="Arial" w:cs="Arial"/>
                <w:color w:val="000000"/>
              </w:rPr>
              <w:br/>
              <w:t>2) ERTUGLIFLOZIN WITH METFORMIN</w:t>
            </w:r>
            <w:r>
              <w:rPr>
                <w:rFonts w:ascii="Arial" w:hAnsi="Arial" w:cs="Arial"/>
                <w:color w:val="000000"/>
              </w:rPr>
              <w:br/>
            </w:r>
            <w:r>
              <w:rPr>
                <w:rFonts w:ascii="Arial" w:hAnsi="Arial" w:cs="Arial"/>
                <w:color w:val="000000"/>
              </w:rPr>
              <w:br/>
              <w:t xml:space="preserve">1) Tablet containing 5 mg </w:t>
            </w:r>
            <w:proofErr w:type="spellStart"/>
            <w:r>
              <w:rPr>
                <w:rFonts w:ascii="Arial" w:hAnsi="Arial" w:cs="Arial"/>
                <w:color w:val="000000"/>
              </w:rPr>
              <w:t>ertugliflozin</w:t>
            </w:r>
            <w:proofErr w:type="spellEnd"/>
            <w:r>
              <w:rPr>
                <w:rFonts w:ascii="Arial" w:hAnsi="Arial" w:cs="Arial"/>
                <w:color w:val="000000"/>
              </w:rPr>
              <w:t>;</w:t>
            </w:r>
            <w:r>
              <w:rPr>
                <w:rFonts w:ascii="Arial" w:hAnsi="Arial" w:cs="Arial"/>
                <w:color w:val="000000"/>
              </w:rPr>
              <w:br/>
              <w:t xml:space="preserve">Tablet containing 15 mg </w:t>
            </w:r>
            <w:proofErr w:type="spellStart"/>
            <w:r>
              <w:rPr>
                <w:rFonts w:ascii="Arial" w:hAnsi="Arial" w:cs="Arial"/>
                <w:color w:val="000000"/>
              </w:rPr>
              <w:t>ertugliflozin</w:t>
            </w:r>
            <w:proofErr w:type="spellEnd"/>
            <w:r>
              <w:rPr>
                <w:rFonts w:ascii="Arial" w:hAnsi="Arial" w:cs="Arial"/>
                <w:color w:val="000000"/>
              </w:rPr>
              <w:br/>
              <w:t xml:space="preserve">2) Tablet containing 2.5 mg </w:t>
            </w:r>
            <w:proofErr w:type="spellStart"/>
            <w:r>
              <w:rPr>
                <w:rFonts w:ascii="Arial" w:hAnsi="Arial" w:cs="Arial"/>
                <w:color w:val="000000"/>
              </w:rPr>
              <w:t>ertugliflozin</w:t>
            </w:r>
            <w:proofErr w:type="spellEnd"/>
            <w:r>
              <w:rPr>
                <w:rFonts w:ascii="Arial" w:hAnsi="Arial" w:cs="Arial"/>
                <w:color w:val="000000"/>
              </w:rPr>
              <w:t xml:space="preserve"> with 500 mg metformin hydrochloride;</w:t>
            </w:r>
            <w:r>
              <w:rPr>
                <w:rFonts w:ascii="Arial" w:hAnsi="Arial" w:cs="Arial"/>
                <w:color w:val="000000"/>
              </w:rPr>
              <w:br/>
              <w:t xml:space="preserve">Tablet containing 2.5 mg </w:t>
            </w:r>
            <w:proofErr w:type="spellStart"/>
            <w:r>
              <w:rPr>
                <w:rFonts w:ascii="Arial" w:hAnsi="Arial" w:cs="Arial"/>
                <w:color w:val="000000"/>
              </w:rPr>
              <w:t>ertugliflozin</w:t>
            </w:r>
            <w:proofErr w:type="spellEnd"/>
            <w:r>
              <w:rPr>
                <w:rFonts w:ascii="Arial" w:hAnsi="Arial" w:cs="Arial"/>
                <w:color w:val="000000"/>
              </w:rPr>
              <w:t xml:space="preserve"> with 1 g metformin hydrochloride;</w:t>
            </w:r>
            <w:r>
              <w:rPr>
                <w:rFonts w:ascii="Arial" w:hAnsi="Arial" w:cs="Arial"/>
                <w:color w:val="000000"/>
              </w:rPr>
              <w:br/>
              <w:t xml:space="preserve">Tablet containing 7.5 mg </w:t>
            </w:r>
            <w:proofErr w:type="spellStart"/>
            <w:r>
              <w:rPr>
                <w:rFonts w:ascii="Arial" w:hAnsi="Arial" w:cs="Arial"/>
                <w:color w:val="000000"/>
              </w:rPr>
              <w:t>ertugliflozin</w:t>
            </w:r>
            <w:proofErr w:type="spellEnd"/>
            <w:r>
              <w:rPr>
                <w:rFonts w:ascii="Arial" w:hAnsi="Arial" w:cs="Arial"/>
                <w:color w:val="000000"/>
              </w:rPr>
              <w:t xml:space="preserve"> with 500 mg metformin hydrochloride;</w:t>
            </w:r>
            <w:r>
              <w:rPr>
                <w:rFonts w:ascii="Arial" w:hAnsi="Arial" w:cs="Arial"/>
                <w:color w:val="000000"/>
              </w:rPr>
              <w:br/>
              <w:t xml:space="preserve">Tablet containing 7.5 mg </w:t>
            </w:r>
            <w:proofErr w:type="spellStart"/>
            <w:r>
              <w:rPr>
                <w:rFonts w:ascii="Arial" w:hAnsi="Arial" w:cs="Arial"/>
                <w:color w:val="000000"/>
              </w:rPr>
              <w:t>ertugliflozin</w:t>
            </w:r>
            <w:proofErr w:type="spellEnd"/>
            <w:r>
              <w:rPr>
                <w:rFonts w:ascii="Arial" w:hAnsi="Arial" w:cs="Arial"/>
                <w:color w:val="000000"/>
              </w:rPr>
              <w:t xml:space="preserve"> wi</w:t>
            </w:r>
            <w:r w:rsidR="00685D3F">
              <w:rPr>
                <w:rFonts w:ascii="Arial" w:hAnsi="Arial" w:cs="Arial"/>
                <w:color w:val="000000"/>
              </w:rPr>
              <w:t>th 1 g metformin hydrochloride;</w:t>
            </w:r>
            <w:r>
              <w:rPr>
                <w:rFonts w:ascii="Arial" w:hAnsi="Arial" w:cs="Arial"/>
                <w:color w:val="000000"/>
              </w:rPr>
              <w:br/>
            </w:r>
            <w:r>
              <w:rPr>
                <w:rFonts w:ascii="Arial" w:hAnsi="Arial" w:cs="Arial"/>
                <w:color w:val="000000"/>
              </w:rPr>
              <w:br/>
              <w:t xml:space="preserve">1) </w:t>
            </w:r>
            <w:proofErr w:type="spellStart"/>
            <w:r>
              <w:rPr>
                <w:rFonts w:ascii="Arial" w:hAnsi="Arial" w:cs="Arial"/>
                <w:color w:val="000000"/>
              </w:rPr>
              <w:t>Steglatro</w:t>
            </w:r>
            <w:proofErr w:type="spellEnd"/>
            <w:r>
              <w:rPr>
                <w:rFonts w:ascii="Arial" w:hAnsi="Arial" w:cs="Arial"/>
                <w:color w:val="000000"/>
              </w:rPr>
              <w:t xml:space="preserve">® </w:t>
            </w:r>
          </w:p>
          <w:p w:rsidR="00685D3F" w:rsidRDefault="00782949" w:rsidP="002A324A">
            <w:pPr>
              <w:rPr>
                <w:rFonts w:ascii="Arial" w:hAnsi="Arial" w:cs="Arial"/>
                <w:color w:val="000000"/>
              </w:rPr>
            </w:pPr>
            <w:r>
              <w:rPr>
                <w:rFonts w:ascii="Arial" w:hAnsi="Arial" w:cs="Arial"/>
                <w:color w:val="000000"/>
              </w:rPr>
              <w:t xml:space="preserve">2) </w:t>
            </w:r>
            <w:proofErr w:type="spellStart"/>
            <w:r>
              <w:rPr>
                <w:rFonts w:ascii="Arial" w:hAnsi="Arial" w:cs="Arial"/>
                <w:color w:val="000000"/>
              </w:rPr>
              <w:t>Segluromet</w:t>
            </w:r>
            <w:proofErr w:type="spellEnd"/>
            <w:r>
              <w:rPr>
                <w:rFonts w:ascii="Arial" w:hAnsi="Arial" w:cs="Arial"/>
                <w:color w:val="000000"/>
              </w:rPr>
              <w:t xml:space="preserve">® </w:t>
            </w:r>
          </w:p>
          <w:p w:rsidR="00EE6547" w:rsidRDefault="00782949" w:rsidP="002A324A">
            <w:pPr>
              <w:rPr>
                <w:rFonts w:ascii="Arial" w:hAnsi="Arial" w:cs="Arial"/>
                <w:color w:val="000000"/>
              </w:rPr>
            </w:pPr>
            <w:r>
              <w:rPr>
                <w:rFonts w:ascii="Arial" w:hAnsi="Arial" w:cs="Arial"/>
                <w:color w:val="000000"/>
              </w:rPr>
              <w:br/>
              <w:t>Merck Sharp &amp; Dohme (Australia) Pty Limited</w:t>
            </w:r>
          </w:p>
          <w:p w:rsidR="00782949" w:rsidRDefault="00782949" w:rsidP="002A324A">
            <w:pPr>
              <w:rPr>
                <w:rFonts w:ascii="Arial" w:hAnsi="Arial" w:cs="Arial"/>
                <w:color w:val="000000"/>
              </w:rPr>
            </w:pPr>
          </w:p>
          <w:p w:rsidR="00782949" w:rsidRPr="003D7E12" w:rsidRDefault="00782949" w:rsidP="00685D3F">
            <w:pPr>
              <w:rPr>
                <w:rFonts w:ascii="Arial" w:hAnsi="Arial" w:cs="Arial"/>
                <w:b/>
              </w:rPr>
            </w:pPr>
            <w:r>
              <w:rPr>
                <w:rFonts w:ascii="Arial" w:hAnsi="Arial" w:cs="Arial"/>
                <w:color w:val="000000"/>
              </w:rPr>
              <w:t>New listing</w:t>
            </w:r>
            <w:r w:rsidR="00685D3F">
              <w:rPr>
                <w:rFonts w:ascii="Arial" w:hAnsi="Arial" w:cs="Arial"/>
                <w:color w:val="000000"/>
              </w:rPr>
              <w:t xml:space="preserve"> </w:t>
            </w: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782949" w:rsidP="00263F7F">
            <w:pPr>
              <w:rPr>
                <w:rFonts w:ascii="Arial" w:hAnsi="Arial" w:cs="Arial"/>
              </w:rPr>
            </w:pPr>
            <w:r>
              <w:rPr>
                <w:rFonts w:ascii="Arial" w:hAnsi="Arial" w:cs="Arial"/>
                <w:color w:val="000000"/>
              </w:rPr>
              <w:t>Type 2 diabetes mellitus (T2DM)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782949" w:rsidRDefault="00782949" w:rsidP="00782949">
            <w:pPr>
              <w:pStyle w:val="ListParagraph"/>
              <w:spacing w:after="120"/>
              <w:ind w:left="0"/>
              <w:contextualSpacing w:val="0"/>
              <w:rPr>
                <w:rFonts w:ascii="Arial" w:hAnsi="Arial" w:cs="Arial"/>
                <w:sz w:val="20"/>
                <w:szCs w:val="20"/>
              </w:rPr>
            </w:pPr>
            <w:r w:rsidRPr="00782949">
              <w:rPr>
                <w:rFonts w:ascii="Arial" w:hAnsi="Arial" w:cs="Arial"/>
                <w:color w:val="000000"/>
                <w:sz w:val="20"/>
                <w:szCs w:val="20"/>
              </w:rPr>
              <w:t>To request an Authority Required (STREAMLINED) listing for dual oral combination therapy for patients with T2DM who are inadequately controlled with metformin or a sulfonylurea.</w:t>
            </w:r>
          </w:p>
        </w:tc>
        <w:tc>
          <w:tcPr>
            <w:tcW w:w="7192" w:type="dxa"/>
            <w:gridSpan w:val="2"/>
            <w:tcBorders>
              <w:top w:val="single" w:sz="4" w:space="0" w:color="auto"/>
              <w:left w:val="single" w:sz="4" w:space="0" w:color="auto"/>
              <w:bottom w:val="single" w:sz="4" w:space="0" w:color="auto"/>
              <w:right w:val="single" w:sz="4" w:space="0" w:color="auto"/>
            </w:tcBorders>
          </w:tcPr>
          <w:p w:rsidR="00B4190D" w:rsidRDefault="00B4190D" w:rsidP="00040BE7">
            <w:pPr>
              <w:widowControl w:val="0"/>
              <w:jc w:val="both"/>
              <w:rPr>
                <w:rFonts w:ascii="Arial" w:hAnsi="Arial" w:cs="Arial"/>
              </w:rPr>
            </w:pPr>
            <w:r>
              <w:rPr>
                <w:rFonts w:ascii="Arial" w:hAnsi="Arial" w:cs="Arial"/>
              </w:rPr>
              <w:t>T</w:t>
            </w:r>
            <w:r w:rsidRPr="00B4190D">
              <w:rPr>
                <w:rFonts w:ascii="Arial" w:hAnsi="Arial" w:cs="Arial"/>
              </w:rPr>
              <w:t xml:space="preserve">he PBAC recommended the Authority Required (STREAMLINED) listing of the 5 mg dose strength </w:t>
            </w:r>
            <w:proofErr w:type="spellStart"/>
            <w:r w:rsidRPr="00B4190D">
              <w:rPr>
                <w:rFonts w:ascii="Arial" w:hAnsi="Arial" w:cs="Arial"/>
              </w:rPr>
              <w:t>ertugliflozin</w:t>
            </w:r>
            <w:proofErr w:type="spellEnd"/>
            <w:r w:rsidRPr="00B4190D">
              <w:rPr>
                <w:rFonts w:ascii="Arial" w:hAnsi="Arial" w:cs="Arial"/>
              </w:rPr>
              <w:t xml:space="preserve"> for dual oral therapy with metformin or a sulfonylurea, and the 2.5 mg </w:t>
            </w:r>
            <w:proofErr w:type="spellStart"/>
            <w:r w:rsidRPr="00B4190D">
              <w:rPr>
                <w:rFonts w:ascii="Arial" w:hAnsi="Arial" w:cs="Arial"/>
              </w:rPr>
              <w:t>ertugliflozin</w:t>
            </w:r>
            <w:proofErr w:type="spellEnd"/>
            <w:r w:rsidRPr="00B4190D">
              <w:rPr>
                <w:rFonts w:ascii="Arial" w:hAnsi="Arial" w:cs="Arial"/>
              </w:rPr>
              <w:t xml:space="preserve"> with 500 mg metformin and 2.5 mg </w:t>
            </w:r>
            <w:proofErr w:type="spellStart"/>
            <w:r w:rsidRPr="00B4190D">
              <w:rPr>
                <w:rFonts w:ascii="Arial" w:hAnsi="Arial" w:cs="Arial"/>
              </w:rPr>
              <w:t>ertugliflozin</w:t>
            </w:r>
            <w:proofErr w:type="spellEnd"/>
            <w:r w:rsidRPr="00B4190D">
              <w:rPr>
                <w:rFonts w:ascii="Arial" w:hAnsi="Arial" w:cs="Arial"/>
              </w:rPr>
              <w:t xml:space="preserve"> with 1 g metformin fixed dose combinations (FDC), for the treatment of T2DM on a cost-minimisation basis to dapagliflozin and </w:t>
            </w:r>
            <w:proofErr w:type="spellStart"/>
            <w:r w:rsidRPr="00B4190D">
              <w:rPr>
                <w:rFonts w:ascii="Arial" w:hAnsi="Arial" w:cs="Arial"/>
              </w:rPr>
              <w:t>empagliflozin</w:t>
            </w:r>
            <w:proofErr w:type="spellEnd"/>
            <w:r w:rsidRPr="00B4190D">
              <w:rPr>
                <w:rFonts w:ascii="Arial" w:hAnsi="Arial" w:cs="Arial"/>
              </w:rPr>
              <w:t>.</w:t>
            </w:r>
          </w:p>
          <w:p w:rsidR="00B4190D" w:rsidRPr="00B4190D" w:rsidRDefault="00B4190D" w:rsidP="00040BE7">
            <w:pPr>
              <w:widowControl w:val="0"/>
              <w:jc w:val="both"/>
              <w:rPr>
                <w:rFonts w:ascii="Arial" w:hAnsi="Arial" w:cs="Arial"/>
              </w:rPr>
            </w:pPr>
          </w:p>
          <w:p w:rsidR="009C30F6" w:rsidRPr="003D7E12" w:rsidRDefault="009C30F6" w:rsidP="00040BE7">
            <w:pPr>
              <w:widowControl w:val="0"/>
              <w:jc w:val="both"/>
              <w:rPr>
                <w:rFonts w:ascii="Arial" w:hAnsi="Arial" w:cs="Arial"/>
              </w:rPr>
            </w:pPr>
            <w:r w:rsidRPr="009C30F6">
              <w:rPr>
                <w:rFonts w:ascii="Arial" w:hAnsi="Arial" w:cs="Arial"/>
                <w:bCs/>
              </w:rPr>
              <w:t xml:space="preserve">The PBAC considered that the evidence presented in the submission supported a claim of non-inferior efficacy and safety for </w:t>
            </w:r>
            <w:proofErr w:type="spellStart"/>
            <w:r w:rsidRPr="009C30F6">
              <w:rPr>
                <w:rFonts w:ascii="Arial" w:hAnsi="Arial" w:cs="Arial"/>
                <w:bCs/>
              </w:rPr>
              <w:t>ertugliflozin</w:t>
            </w:r>
            <w:proofErr w:type="spellEnd"/>
            <w:r w:rsidRPr="009C30F6">
              <w:rPr>
                <w:rFonts w:ascii="Arial" w:hAnsi="Arial" w:cs="Arial"/>
                <w:bCs/>
              </w:rPr>
              <w:t xml:space="preserve"> compared to </w:t>
            </w:r>
            <w:r w:rsidRPr="009C30F6">
              <w:rPr>
                <w:rFonts w:ascii="Arial" w:hAnsi="Arial" w:cs="Arial"/>
              </w:rPr>
              <w:t xml:space="preserve">dapagliflozin or </w:t>
            </w:r>
            <w:proofErr w:type="spellStart"/>
            <w:r w:rsidRPr="009C30F6">
              <w:rPr>
                <w:rFonts w:ascii="Arial" w:hAnsi="Arial" w:cs="Arial"/>
              </w:rPr>
              <w:t>empagliflozin</w:t>
            </w:r>
            <w:proofErr w:type="spellEnd"/>
            <w:r w:rsidRPr="009C30F6">
              <w:rPr>
                <w:rFonts w:ascii="Arial" w:hAnsi="Arial" w:cs="Arial"/>
              </w:rPr>
              <w:t xml:space="preserve">. </w:t>
            </w:r>
            <w:r w:rsidR="00B4190D" w:rsidRPr="00B4190D">
              <w:rPr>
                <w:rFonts w:ascii="Arial" w:hAnsi="Arial" w:cs="Arial"/>
              </w:rPr>
              <w:t xml:space="preserve">The equi-effective doses are </w:t>
            </w:r>
            <w:proofErr w:type="spellStart"/>
            <w:r w:rsidR="00B4190D" w:rsidRPr="00B4190D">
              <w:rPr>
                <w:rFonts w:ascii="Arial" w:hAnsi="Arial" w:cs="Arial"/>
              </w:rPr>
              <w:t>ertugliflozin</w:t>
            </w:r>
            <w:proofErr w:type="spellEnd"/>
            <w:r w:rsidR="00B4190D" w:rsidRPr="00B4190D">
              <w:rPr>
                <w:rFonts w:ascii="Arial" w:hAnsi="Arial" w:cs="Arial"/>
              </w:rPr>
              <w:t xml:space="preserve"> 5 mg (once daily) and dapagliflozin 10 mg or </w:t>
            </w:r>
            <w:proofErr w:type="spellStart"/>
            <w:r w:rsidR="00B4190D" w:rsidRPr="00B4190D">
              <w:rPr>
                <w:rFonts w:ascii="Arial" w:hAnsi="Arial" w:cs="Arial"/>
              </w:rPr>
              <w:t>empagliflozin</w:t>
            </w:r>
            <w:proofErr w:type="spellEnd"/>
            <w:r w:rsidR="00B4190D" w:rsidRPr="00B4190D">
              <w:rPr>
                <w:rFonts w:ascii="Arial" w:hAnsi="Arial" w:cs="Arial"/>
              </w:rPr>
              <w:t xml:space="preserve"> 10 mg or 25 mg (once daily). The equi-effective doses for the FDC were considered to be equivalent to the same dose of individual components taken concomitantly.</w:t>
            </w:r>
          </w:p>
        </w:tc>
      </w:tr>
      <w:tr w:rsidR="00EE654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782949" w:rsidRDefault="00782949" w:rsidP="002A324A">
            <w:pPr>
              <w:rPr>
                <w:rFonts w:ascii="Arial" w:hAnsi="Arial" w:cs="Arial"/>
                <w:color w:val="000000"/>
              </w:rPr>
            </w:pPr>
            <w:r w:rsidRPr="007F7D95">
              <w:rPr>
                <w:rFonts w:ascii="Arial" w:hAnsi="Arial" w:cs="Arial"/>
                <w:color w:val="000000"/>
              </w:rPr>
              <w:lastRenderedPageBreak/>
              <w:t>ETANERCEPT</w:t>
            </w:r>
            <w:r w:rsidRPr="007F7D95">
              <w:rPr>
                <w:rFonts w:ascii="Arial" w:hAnsi="Arial" w:cs="Arial"/>
                <w:color w:val="000000"/>
              </w:rPr>
              <w:br/>
            </w:r>
            <w:r w:rsidRPr="007F7D95">
              <w:rPr>
                <w:rFonts w:ascii="Arial" w:hAnsi="Arial" w:cs="Arial"/>
                <w:color w:val="000000"/>
              </w:rPr>
              <w:br/>
              <w:t>Injection 50 mg in 1 mL single use auto-injector, 4</w:t>
            </w:r>
            <w:r w:rsidRPr="007F7D95">
              <w:rPr>
                <w:rFonts w:ascii="Arial" w:hAnsi="Arial" w:cs="Arial"/>
                <w:color w:val="000000"/>
              </w:rPr>
              <w:br/>
              <w:t>Injection 50 mg in 1 mL single use pre-filled syringes, 4</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Erelzi</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 xml:space="preserve">Sandoz Pty Ltd </w:t>
            </w:r>
          </w:p>
          <w:p w:rsidR="00782949" w:rsidRDefault="00782949" w:rsidP="002A324A">
            <w:pPr>
              <w:rPr>
                <w:rFonts w:ascii="Arial" w:hAnsi="Arial" w:cs="Arial"/>
                <w:color w:val="000000"/>
              </w:rPr>
            </w:pPr>
          </w:p>
          <w:p w:rsidR="000C2059" w:rsidRDefault="00782949" w:rsidP="00B02534">
            <w:pPr>
              <w:rPr>
                <w:rFonts w:ascii="Arial" w:hAnsi="Arial" w:cs="Arial"/>
                <w:color w:val="000000"/>
              </w:rPr>
            </w:pPr>
            <w:r>
              <w:rPr>
                <w:rFonts w:ascii="Arial" w:hAnsi="Arial" w:cs="Arial"/>
                <w:color w:val="000000"/>
              </w:rPr>
              <w:t>New listing</w:t>
            </w:r>
          </w:p>
          <w:p w:rsidR="00EE6547" w:rsidRPr="003D7E12" w:rsidRDefault="00782949" w:rsidP="00B02534">
            <w:pPr>
              <w:rPr>
                <w:rFonts w:ascii="Arial" w:hAnsi="Arial" w:cs="Arial"/>
                <w:b/>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3D7E12" w:rsidRDefault="00782949" w:rsidP="00263F7F">
            <w:pPr>
              <w:rPr>
                <w:rFonts w:ascii="Arial" w:hAnsi="Arial" w:cs="Arial"/>
              </w:rPr>
            </w:pPr>
            <w:r w:rsidRPr="007F7D95">
              <w:rPr>
                <w:rFonts w:ascii="Arial" w:hAnsi="Arial" w:cs="Arial"/>
                <w:color w:val="000000"/>
              </w:rPr>
              <w:t>Rheumatoid arthritis (RA), psoriatic arthritis (</w:t>
            </w:r>
            <w:proofErr w:type="spellStart"/>
            <w:r w:rsidRPr="007F7D95">
              <w:rPr>
                <w:rFonts w:ascii="Arial" w:hAnsi="Arial" w:cs="Arial"/>
                <w:color w:val="000000"/>
              </w:rPr>
              <w:t>PsA</w:t>
            </w:r>
            <w:proofErr w:type="spellEnd"/>
            <w:r w:rsidRPr="007F7D95">
              <w:rPr>
                <w:rFonts w:ascii="Arial" w:hAnsi="Arial" w:cs="Arial"/>
                <w:color w:val="000000"/>
              </w:rPr>
              <w:t>), plaque psoriasis, ankylosing spondylitis, juvenile idiopathic arthritis (JIA), paediatric plaque psoriasis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E6547" w:rsidRPr="00782949" w:rsidRDefault="00782949" w:rsidP="00782949">
            <w:pPr>
              <w:pStyle w:val="ListParagraph"/>
              <w:spacing w:after="120"/>
              <w:ind w:left="0"/>
              <w:contextualSpacing w:val="0"/>
              <w:rPr>
                <w:rFonts w:ascii="Arial" w:hAnsi="Arial" w:cs="Arial"/>
                <w:sz w:val="20"/>
                <w:szCs w:val="20"/>
              </w:rPr>
            </w:pPr>
            <w:r w:rsidRPr="00782949">
              <w:rPr>
                <w:rFonts w:ascii="Arial" w:hAnsi="Arial" w:cs="Arial"/>
                <w:color w:val="000000"/>
                <w:sz w:val="20"/>
                <w:szCs w:val="20"/>
              </w:rPr>
              <w:t>To request an Authority Required listing for the same indications as the reference biologic.</w:t>
            </w:r>
          </w:p>
        </w:tc>
        <w:tc>
          <w:tcPr>
            <w:tcW w:w="7192" w:type="dxa"/>
            <w:gridSpan w:val="2"/>
            <w:tcBorders>
              <w:top w:val="single" w:sz="4" w:space="0" w:color="auto"/>
              <w:left w:val="single" w:sz="4" w:space="0" w:color="auto"/>
              <w:bottom w:val="single" w:sz="4" w:space="0" w:color="auto"/>
              <w:right w:val="single" w:sz="4" w:space="0" w:color="auto"/>
            </w:tcBorders>
          </w:tcPr>
          <w:p w:rsidR="00FD1227" w:rsidRDefault="00FD1227" w:rsidP="00BF1F45">
            <w:pPr>
              <w:rPr>
                <w:rFonts w:ascii="Arial" w:hAnsi="Arial" w:cs="Arial"/>
                <w:color w:val="000000"/>
              </w:rPr>
            </w:pPr>
            <w:r>
              <w:rPr>
                <w:rFonts w:ascii="Arial" w:hAnsi="Arial" w:cs="Arial"/>
                <w:color w:val="000000"/>
              </w:rPr>
              <w:t xml:space="preserve">The PBAC recommended the listing of the </w:t>
            </w:r>
            <w:proofErr w:type="spellStart"/>
            <w:r>
              <w:rPr>
                <w:rFonts w:ascii="Arial" w:hAnsi="Arial" w:cs="Arial"/>
                <w:color w:val="000000"/>
              </w:rPr>
              <w:t>Erelzi</w:t>
            </w:r>
            <w:proofErr w:type="spellEnd"/>
            <w:r>
              <w:rPr>
                <w:rFonts w:ascii="Arial" w:hAnsi="Arial" w:cs="Arial"/>
                <w:color w:val="000000"/>
              </w:rPr>
              <w:t xml:space="preserve"> brand of etanercept for the same indications as the reference brand Enbrel, including juvenile idiopathic arthritis (JIA) and juvenile plaque psoriasis (JPP). In making this recommendation, the PBAC noted the TGA Advisory Committee for Medicines (ACM) has declared </w:t>
            </w:r>
            <w:proofErr w:type="spellStart"/>
            <w:r>
              <w:rPr>
                <w:rFonts w:ascii="Arial" w:hAnsi="Arial" w:cs="Arial"/>
                <w:color w:val="000000"/>
              </w:rPr>
              <w:t>Erelzi</w:t>
            </w:r>
            <w:proofErr w:type="spellEnd"/>
            <w:r>
              <w:rPr>
                <w:rFonts w:ascii="Arial" w:hAnsi="Arial" w:cs="Arial"/>
                <w:color w:val="000000"/>
              </w:rPr>
              <w:t xml:space="preserve"> to be a biosimilar of the reference brand, Enbrel.  </w:t>
            </w:r>
            <w:r>
              <w:rPr>
                <w:rFonts w:ascii="Arial" w:hAnsi="Arial" w:cs="Arial"/>
                <w:color w:val="000000"/>
              </w:rPr>
              <w:br/>
              <w:t xml:space="preserve">The PBAC advised the Minister that, under Section 101(4AACD) of the National Health Act, 1953 the </w:t>
            </w:r>
            <w:proofErr w:type="spellStart"/>
            <w:r>
              <w:rPr>
                <w:rFonts w:ascii="Arial" w:hAnsi="Arial" w:cs="Arial"/>
                <w:color w:val="000000"/>
              </w:rPr>
              <w:t>Erelzi</w:t>
            </w:r>
            <w:proofErr w:type="spellEnd"/>
            <w:r>
              <w:rPr>
                <w:rFonts w:ascii="Arial" w:hAnsi="Arial" w:cs="Arial"/>
                <w:color w:val="000000"/>
              </w:rPr>
              <w:t>, Brenzys and Enbrel brands of etanercept could be marked as equivalent (‘a’ flagged) in the Schedule of Pharmaceutical Benefits.</w:t>
            </w:r>
          </w:p>
          <w:p w:rsidR="00FD1227" w:rsidRDefault="00FD1227" w:rsidP="00BF1F45">
            <w:pPr>
              <w:rPr>
                <w:rFonts w:ascii="Arial" w:hAnsi="Arial" w:cs="Arial"/>
                <w:color w:val="000000"/>
              </w:rPr>
            </w:pPr>
            <w:r>
              <w:rPr>
                <w:rFonts w:ascii="Arial" w:hAnsi="Arial" w:cs="Arial"/>
                <w:color w:val="000000"/>
              </w:rPr>
              <w:br/>
              <w:t xml:space="preserve">The PBAC considered it was appropriate for biosimilar uptake drivers to be applied to this brand of etanercept and the listings for </w:t>
            </w:r>
            <w:proofErr w:type="spellStart"/>
            <w:r>
              <w:rPr>
                <w:rFonts w:ascii="Arial" w:hAnsi="Arial" w:cs="Arial"/>
                <w:color w:val="000000"/>
              </w:rPr>
              <w:t>Erelzi</w:t>
            </w:r>
            <w:proofErr w:type="spellEnd"/>
            <w:r>
              <w:rPr>
                <w:rFonts w:ascii="Arial" w:hAnsi="Arial" w:cs="Arial"/>
                <w:color w:val="000000"/>
              </w:rPr>
              <w:t xml:space="preserve"> should align with the current listings for the Brenzys brand of etanercept for the adult indications (rheumatoid arthritis, ankylosing spondylitis, psoriatic arthritis and plaque psoriasis), and include a streamlined authority listing for subsequent continuing prescribing and include a note in the restriction regarding biosimilar uptake.  </w:t>
            </w:r>
          </w:p>
          <w:p w:rsidR="00EE6547" w:rsidRPr="00040BE7" w:rsidRDefault="00FD1227" w:rsidP="00BF1F45">
            <w:pPr>
              <w:rPr>
                <w:rFonts w:ascii="Arial" w:hAnsi="Arial" w:cs="Arial"/>
                <w:color w:val="000000"/>
              </w:rPr>
            </w:pPr>
            <w:r>
              <w:rPr>
                <w:rFonts w:ascii="Arial" w:hAnsi="Arial" w:cs="Arial"/>
                <w:color w:val="000000"/>
              </w:rPr>
              <w:t xml:space="preserve">               </w:t>
            </w:r>
            <w:r>
              <w:rPr>
                <w:rFonts w:ascii="Arial" w:hAnsi="Arial" w:cs="Arial"/>
                <w:color w:val="000000"/>
              </w:rPr>
              <w:br/>
              <w:t xml:space="preserve">With regards to the juvenile indications (JIA and JPP), the PBAC noted the Brenzys brand was not listed for these indications and no biosimilars are PBS listed for these indications. The PBAC noted the </w:t>
            </w:r>
            <w:proofErr w:type="spellStart"/>
            <w:r>
              <w:rPr>
                <w:rFonts w:ascii="Arial" w:hAnsi="Arial" w:cs="Arial"/>
                <w:color w:val="000000"/>
              </w:rPr>
              <w:t>Erelzi</w:t>
            </w:r>
            <w:proofErr w:type="spellEnd"/>
            <w:r>
              <w:rPr>
                <w:rFonts w:ascii="Arial" w:hAnsi="Arial" w:cs="Arial"/>
                <w:color w:val="000000"/>
              </w:rPr>
              <w:t xml:space="preserve"> brand was TGA registered for these indications and recommended that similar to the adult indications, the restrictions for JIA and JPP be remodelled to facilitate the application of biosimilar uptake drivers to these </w:t>
            </w:r>
            <w:proofErr w:type="spellStart"/>
            <w:r>
              <w:rPr>
                <w:rFonts w:ascii="Arial" w:hAnsi="Arial" w:cs="Arial"/>
                <w:color w:val="000000"/>
              </w:rPr>
              <w:t>Erelzi</w:t>
            </w:r>
            <w:proofErr w:type="spellEnd"/>
            <w:r>
              <w:rPr>
                <w:rFonts w:ascii="Arial" w:hAnsi="Arial" w:cs="Arial"/>
                <w:color w:val="000000"/>
              </w:rPr>
              <w:t xml:space="preserve"> listings.</w:t>
            </w:r>
          </w:p>
        </w:tc>
      </w:tr>
      <w:tr w:rsidR="00B02534"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Default="00B02534" w:rsidP="002A324A">
            <w:pPr>
              <w:rPr>
                <w:rFonts w:ascii="Arial" w:hAnsi="Arial" w:cs="Arial"/>
                <w:color w:val="000000"/>
              </w:rPr>
            </w:pPr>
            <w:r w:rsidRPr="007F7D95">
              <w:rPr>
                <w:rFonts w:ascii="Arial" w:hAnsi="Arial" w:cs="Arial"/>
                <w:color w:val="000000"/>
              </w:rPr>
              <w:t>EVOLOCUMAB</w:t>
            </w:r>
            <w:r w:rsidRPr="007F7D95">
              <w:rPr>
                <w:rFonts w:ascii="Arial" w:hAnsi="Arial" w:cs="Arial"/>
                <w:color w:val="000000"/>
              </w:rPr>
              <w:br/>
            </w:r>
            <w:r w:rsidRPr="007F7D95">
              <w:rPr>
                <w:rFonts w:ascii="Arial" w:hAnsi="Arial" w:cs="Arial"/>
                <w:color w:val="000000"/>
              </w:rPr>
              <w:br/>
              <w:t>Injection 420 mg in 3.5 mL single use pre-filled cartridge</w:t>
            </w:r>
            <w:r w:rsidRPr="007F7D95">
              <w:rPr>
                <w:rFonts w:ascii="Arial" w:hAnsi="Arial" w:cs="Arial"/>
                <w:color w:val="000000"/>
              </w:rPr>
              <w:br/>
              <w:t>Injection 140 mg in 1 mL single use pre-filled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Repatha</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Amgen Australia Pty Limited</w:t>
            </w:r>
          </w:p>
          <w:p w:rsidR="00B02534" w:rsidRDefault="00B02534" w:rsidP="002A324A">
            <w:pPr>
              <w:rPr>
                <w:rFonts w:ascii="Arial" w:hAnsi="Arial" w:cs="Arial"/>
                <w:color w:val="000000"/>
              </w:rPr>
            </w:pPr>
          </w:p>
          <w:p w:rsidR="000C2059" w:rsidRDefault="00B02534" w:rsidP="00B02534">
            <w:pPr>
              <w:rPr>
                <w:rFonts w:ascii="Arial" w:hAnsi="Arial" w:cs="Arial"/>
                <w:color w:val="000000"/>
              </w:rPr>
            </w:pPr>
            <w:r>
              <w:rPr>
                <w:rFonts w:ascii="Arial" w:hAnsi="Arial" w:cs="Arial"/>
                <w:color w:val="000000"/>
              </w:rPr>
              <w:t xml:space="preserve">Change to listing </w:t>
            </w:r>
          </w:p>
          <w:p w:rsidR="00B02534" w:rsidRPr="003D7E12" w:rsidRDefault="00B02534" w:rsidP="00B02534">
            <w:pPr>
              <w:rPr>
                <w:rFonts w:ascii="Arial" w:hAnsi="Arial" w:cs="Arial"/>
                <w:b/>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Pr="007F7D95" w:rsidRDefault="00B02534" w:rsidP="00596D7F">
            <w:pPr>
              <w:rPr>
                <w:rFonts w:ascii="Arial" w:hAnsi="Arial" w:cs="Arial"/>
                <w:color w:val="000000"/>
              </w:rPr>
            </w:pPr>
            <w:r w:rsidRPr="007F7D95">
              <w:rPr>
                <w:rFonts w:ascii="Arial" w:hAnsi="Arial" w:cs="Arial"/>
                <w:color w:val="000000"/>
              </w:rPr>
              <w:t xml:space="preserve">Familial </w:t>
            </w:r>
            <w:proofErr w:type="spellStart"/>
            <w:r w:rsidRPr="007F7D95">
              <w:rPr>
                <w:rFonts w:ascii="Arial" w:hAnsi="Arial" w:cs="Arial"/>
                <w:color w:val="000000"/>
              </w:rPr>
              <w:t>hypercholesterolaemia</w:t>
            </w:r>
            <w:proofErr w:type="spellEnd"/>
            <w:r w:rsidRPr="007F7D95">
              <w:rPr>
                <w:rFonts w:ascii="Arial" w:hAnsi="Arial" w:cs="Arial"/>
                <w:color w:val="000000"/>
              </w:rPr>
              <w:t xml:space="preserve"> (FH)</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Pr="007F7D95" w:rsidRDefault="00B02534" w:rsidP="00596D7F">
            <w:pPr>
              <w:rPr>
                <w:rFonts w:ascii="Arial" w:hAnsi="Arial" w:cs="Arial"/>
                <w:color w:val="000000"/>
              </w:rPr>
            </w:pPr>
            <w:r w:rsidRPr="007F7D95">
              <w:rPr>
                <w:rFonts w:ascii="Arial" w:hAnsi="Arial" w:cs="Arial"/>
                <w:color w:val="000000"/>
              </w:rPr>
              <w:t xml:space="preserve">Resubmission to request an Authority Required listing for treatment of patients with FH who have </w:t>
            </w:r>
            <w:r>
              <w:rPr>
                <w:rFonts w:ascii="Arial" w:hAnsi="Arial" w:cs="Arial"/>
                <w:color w:val="000000"/>
              </w:rPr>
              <w:t>either very high LDL-c or symptomatic</w:t>
            </w:r>
            <w:r w:rsidRPr="007F7D95">
              <w:rPr>
                <w:rFonts w:ascii="Arial" w:hAnsi="Arial" w:cs="Arial"/>
                <w:color w:val="000000"/>
              </w:rPr>
              <w:t xml:space="preserve"> atherosclerotic cardiovascular disease (ASCVD). </w:t>
            </w:r>
          </w:p>
        </w:tc>
        <w:tc>
          <w:tcPr>
            <w:tcW w:w="7192" w:type="dxa"/>
            <w:gridSpan w:val="2"/>
            <w:tcBorders>
              <w:top w:val="single" w:sz="4" w:space="0" w:color="auto"/>
              <w:left w:val="single" w:sz="4" w:space="0" w:color="auto"/>
              <w:bottom w:val="single" w:sz="4" w:space="0" w:color="auto"/>
              <w:right w:val="single" w:sz="4" w:space="0" w:color="auto"/>
            </w:tcBorders>
          </w:tcPr>
          <w:p w:rsidR="0003033D" w:rsidRPr="000712A9" w:rsidRDefault="00430096" w:rsidP="00BF1F45">
            <w:pPr>
              <w:rPr>
                <w:rFonts w:ascii="Arial" w:hAnsi="Arial" w:cs="Arial"/>
                <w:color w:val="000000"/>
              </w:rPr>
            </w:pPr>
            <w:r>
              <w:rPr>
                <w:rFonts w:ascii="Arial" w:hAnsi="Arial" w:cs="Arial"/>
                <w:color w:val="000000"/>
              </w:rPr>
              <w:t xml:space="preserve">The PBAC recommended extending the PBS listing for </w:t>
            </w:r>
            <w:proofErr w:type="spellStart"/>
            <w:r>
              <w:rPr>
                <w:rFonts w:ascii="Arial" w:hAnsi="Arial" w:cs="Arial"/>
                <w:color w:val="000000"/>
              </w:rPr>
              <w:t>evolocumab</w:t>
            </w:r>
            <w:proofErr w:type="spellEnd"/>
            <w:r>
              <w:rPr>
                <w:rFonts w:ascii="Arial" w:hAnsi="Arial" w:cs="Arial"/>
                <w:color w:val="000000"/>
              </w:rPr>
              <w:t xml:space="preserve"> for patients with Familial </w:t>
            </w:r>
            <w:proofErr w:type="spellStart"/>
            <w:r>
              <w:rPr>
                <w:rFonts w:ascii="Arial" w:hAnsi="Arial" w:cs="Arial"/>
                <w:color w:val="000000"/>
              </w:rPr>
              <w:t>Hypercholesterolaemia</w:t>
            </w:r>
            <w:proofErr w:type="spellEnd"/>
            <w:r>
              <w:rPr>
                <w:rFonts w:ascii="Arial" w:hAnsi="Arial" w:cs="Arial"/>
                <w:color w:val="000000"/>
              </w:rPr>
              <w:t xml:space="preserve"> (FH)</w:t>
            </w:r>
            <w:r w:rsidR="0003033D">
              <w:rPr>
                <w:rFonts w:ascii="Arial" w:hAnsi="Arial" w:cs="Arial"/>
                <w:color w:val="000000"/>
              </w:rPr>
              <w:t xml:space="preserve"> to include </w:t>
            </w:r>
            <w:r w:rsidR="0003033D" w:rsidRPr="0003033D">
              <w:rPr>
                <w:rFonts w:ascii="Arial" w:hAnsi="Arial" w:cs="Arial"/>
                <w:color w:val="000000"/>
              </w:rPr>
              <w:t>patients with heterozygous FH, under certain conditions</w:t>
            </w:r>
            <w:r w:rsidR="0003033D">
              <w:rPr>
                <w:rFonts w:ascii="Arial" w:hAnsi="Arial" w:cs="Arial"/>
                <w:color w:val="000000"/>
              </w:rPr>
              <w:t>.</w:t>
            </w:r>
            <w:r>
              <w:rPr>
                <w:rFonts w:ascii="Arial" w:hAnsi="Arial" w:cs="Arial"/>
                <w:color w:val="000000"/>
              </w:rPr>
              <w:t xml:space="preserve"> </w:t>
            </w:r>
            <w:r w:rsidR="0003033D" w:rsidRPr="0003033D">
              <w:rPr>
                <w:rFonts w:ascii="Arial" w:hAnsi="Arial" w:cs="Arial"/>
                <w:color w:val="000000"/>
              </w:rPr>
              <w:t xml:space="preserve">The PBAC accepted that both the heterozygous and homozygous FH populations are high risk, and that the use of </w:t>
            </w:r>
            <w:proofErr w:type="spellStart"/>
            <w:r w:rsidR="0003033D" w:rsidRPr="0003033D">
              <w:rPr>
                <w:rFonts w:ascii="Arial" w:hAnsi="Arial" w:cs="Arial"/>
                <w:color w:val="000000"/>
              </w:rPr>
              <w:t>evolocumab</w:t>
            </w:r>
            <w:proofErr w:type="spellEnd"/>
            <w:r w:rsidR="0003033D" w:rsidRPr="0003033D">
              <w:rPr>
                <w:rFonts w:ascii="Arial" w:hAnsi="Arial" w:cs="Arial"/>
                <w:color w:val="000000"/>
              </w:rPr>
              <w:t xml:space="preserve"> could be extended to include the heterozygous population as it would be an effective and safe therapy following failed treatment with statins and ezetimibe.</w:t>
            </w:r>
            <w:r w:rsidR="0003033D">
              <w:rPr>
                <w:rFonts w:ascii="Arial" w:hAnsi="Arial" w:cs="Arial"/>
                <w:color w:val="000000"/>
              </w:rPr>
              <w:t xml:space="preserve"> The PBAC considered that the revised economic model, </w:t>
            </w:r>
            <w:r w:rsidR="0003033D" w:rsidRPr="0003033D">
              <w:rPr>
                <w:rFonts w:ascii="Arial" w:hAnsi="Arial" w:cs="Arial"/>
                <w:color w:val="000000"/>
              </w:rPr>
              <w:t xml:space="preserve">reduced price </w:t>
            </w:r>
            <w:r w:rsidR="0003033D">
              <w:rPr>
                <w:rFonts w:ascii="Arial" w:hAnsi="Arial" w:cs="Arial"/>
                <w:color w:val="000000"/>
              </w:rPr>
              <w:t xml:space="preserve">and other arrangements </w:t>
            </w:r>
            <w:r w:rsidR="0003033D" w:rsidRPr="0003033D">
              <w:rPr>
                <w:rFonts w:ascii="Arial" w:hAnsi="Arial" w:cs="Arial"/>
                <w:color w:val="000000"/>
              </w:rPr>
              <w:t>proposed</w:t>
            </w:r>
            <w:r w:rsidR="0003033D">
              <w:rPr>
                <w:rFonts w:ascii="Arial" w:hAnsi="Arial" w:cs="Arial"/>
                <w:color w:val="000000"/>
              </w:rPr>
              <w:t xml:space="preserve"> in the resubmission</w:t>
            </w:r>
            <w:r w:rsidR="0003033D" w:rsidRPr="0003033D">
              <w:rPr>
                <w:rFonts w:ascii="Arial" w:hAnsi="Arial" w:cs="Arial"/>
                <w:color w:val="000000"/>
              </w:rPr>
              <w:t xml:space="preserve"> addressed </w:t>
            </w:r>
            <w:r w:rsidR="0003033D">
              <w:rPr>
                <w:rFonts w:ascii="Arial" w:hAnsi="Arial" w:cs="Arial"/>
                <w:color w:val="000000"/>
              </w:rPr>
              <w:t xml:space="preserve">the </w:t>
            </w:r>
            <w:r w:rsidR="0003033D" w:rsidRPr="0003033D">
              <w:rPr>
                <w:rFonts w:ascii="Arial" w:hAnsi="Arial" w:cs="Arial"/>
                <w:color w:val="000000"/>
              </w:rPr>
              <w:t>outstanding issues raised by the PBAC from the November 2017 submission</w:t>
            </w:r>
            <w:r>
              <w:rPr>
                <w:rFonts w:ascii="Arial" w:hAnsi="Arial" w:cs="Arial"/>
                <w:color w:val="000000"/>
              </w:rPr>
              <w:t xml:space="preserve">. </w:t>
            </w:r>
          </w:p>
        </w:tc>
      </w:tr>
      <w:tr w:rsidR="00B02534"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Default="00B02534" w:rsidP="00596D7F">
            <w:pPr>
              <w:rPr>
                <w:rFonts w:ascii="Arial" w:hAnsi="Arial" w:cs="Arial"/>
                <w:color w:val="000000"/>
              </w:rPr>
            </w:pPr>
            <w:r>
              <w:rPr>
                <w:rFonts w:ascii="Arial" w:hAnsi="Arial" w:cs="Arial"/>
                <w:color w:val="000000"/>
              </w:rPr>
              <w:lastRenderedPageBreak/>
              <w:t>FOLLITROPIN ALFA</w:t>
            </w:r>
            <w:r>
              <w:rPr>
                <w:rFonts w:ascii="Arial" w:hAnsi="Arial" w:cs="Arial"/>
                <w:color w:val="000000"/>
              </w:rPr>
              <w:br/>
            </w:r>
            <w:r>
              <w:rPr>
                <w:rFonts w:ascii="Arial" w:hAnsi="Arial" w:cs="Arial"/>
                <w:color w:val="000000"/>
              </w:rPr>
              <w:br/>
            </w:r>
            <w:r w:rsidRPr="007F7D95">
              <w:rPr>
                <w:rFonts w:ascii="Arial" w:hAnsi="Arial" w:cs="Arial"/>
                <w:color w:val="000000"/>
              </w:rPr>
              <w:t>Injection 75 I</w:t>
            </w:r>
            <w:r>
              <w:rPr>
                <w:rFonts w:ascii="Arial" w:hAnsi="Arial" w:cs="Arial"/>
                <w:color w:val="000000"/>
              </w:rPr>
              <w:t>.U. in 0.125 mL pre-filled pen</w:t>
            </w:r>
            <w:r>
              <w:rPr>
                <w:rFonts w:ascii="Arial" w:hAnsi="Arial" w:cs="Arial"/>
                <w:color w:val="000000"/>
              </w:rPr>
              <w:br/>
            </w:r>
            <w:r w:rsidRPr="007F7D95">
              <w:rPr>
                <w:rFonts w:ascii="Arial" w:hAnsi="Arial" w:cs="Arial"/>
                <w:color w:val="000000"/>
              </w:rPr>
              <w:t xml:space="preserve">Injection 150 </w:t>
            </w:r>
            <w:r>
              <w:rPr>
                <w:rFonts w:ascii="Arial" w:hAnsi="Arial" w:cs="Arial"/>
                <w:color w:val="000000"/>
              </w:rPr>
              <w:t>I.U. in 0.25 mL pre-filled pen</w:t>
            </w:r>
            <w:r>
              <w:rPr>
                <w:rFonts w:ascii="Arial" w:hAnsi="Arial" w:cs="Arial"/>
                <w:color w:val="000000"/>
              </w:rPr>
              <w:br/>
            </w:r>
            <w:r w:rsidRPr="007F7D95">
              <w:rPr>
                <w:rFonts w:ascii="Arial" w:hAnsi="Arial" w:cs="Arial"/>
                <w:color w:val="000000"/>
              </w:rPr>
              <w:t>Injection 225 I.U. in 0.375 mL pre-filled pen</w:t>
            </w:r>
            <w:r w:rsidRPr="007F7D95">
              <w:rPr>
                <w:rFonts w:ascii="Arial" w:hAnsi="Arial" w:cs="Arial"/>
                <w:color w:val="000000"/>
              </w:rPr>
              <w:br/>
              <w:t>Injection 300 I.U. in 0.5 mL pre-filled pen</w:t>
            </w:r>
            <w:r w:rsidRPr="007F7D95">
              <w:rPr>
                <w:rFonts w:ascii="Arial" w:hAnsi="Arial" w:cs="Arial"/>
                <w:color w:val="000000"/>
              </w:rPr>
              <w:br/>
              <w:t>Injection 450 I.U. in 0.75 mL pre-filled pen</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Bemfola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Gedeon</w:t>
            </w:r>
            <w:proofErr w:type="spellEnd"/>
            <w:r w:rsidRPr="007F7D95">
              <w:rPr>
                <w:rFonts w:ascii="Arial" w:hAnsi="Arial" w:cs="Arial"/>
                <w:color w:val="000000"/>
              </w:rPr>
              <w:t xml:space="preserve"> Richter Australia Pty Ltd</w:t>
            </w:r>
          </w:p>
          <w:p w:rsidR="00B02534" w:rsidRDefault="00B02534" w:rsidP="00596D7F">
            <w:pPr>
              <w:rPr>
                <w:rFonts w:ascii="Arial" w:hAnsi="Arial" w:cs="Arial"/>
                <w:color w:val="000000"/>
              </w:rPr>
            </w:pPr>
          </w:p>
          <w:p w:rsidR="000C2059" w:rsidRDefault="00B02534" w:rsidP="00B02534">
            <w:pPr>
              <w:rPr>
                <w:rFonts w:ascii="Arial" w:hAnsi="Arial" w:cs="Arial"/>
                <w:color w:val="000000"/>
              </w:rPr>
            </w:pPr>
            <w:r w:rsidRPr="007F7D95">
              <w:rPr>
                <w:rFonts w:ascii="Arial" w:hAnsi="Arial" w:cs="Arial"/>
                <w:color w:val="000000"/>
              </w:rPr>
              <w:t>Change to listing</w:t>
            </w:r>
            <w:r>
              <w:rPr>
                <w:rFonts w:ascii="Arial" w:hAnsi="Arial" w:cs="Arial"/>
                <w:color w:val="000000"/>
              </w:rPr>
              <w:t xml:space="preserve"> </w:t>
            </w:r>
          </w:p>
          <w:p w:rsidR="00B02534" w:rsidRPr="007F7D95" w:rsidRDefault="00B02534" w:rsidP="00B02534">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Pr="007F7D95" w:rsidRDefault="00B02534" w:rsidP="00596D7F">
            <w:pPr>
              <w:rPr>
                <w:rFonts w:ascii="Arial" w:hAnsi="Arial" w:cs="Arial"/>
                <w:color w:val="000000"/>
              </w:rPr>
            </w:pPr>
            <w:r w:rsidRPr="007F7D95">
              <w:rPr>
                <w:rFonts w:ascii="Arial" w:hAnsi="Arial" w:cs="Arial"/>
                <w:color w:val="000000"/>
              </w:rPr>
              <w:t>Assisted Reproductive Technology (ART);</w:t>
            </w:r>
            <w:r w:rsidRPr="007F7D95">
              <w:rPr>
                <w:rFonts w:ascii="Arial" w:hAnsi="Arial" w:cs="Arial"/>
                <w:color w:val="000000"/>
              </w:rPr>
              <w:br/>
            </w:r>
            <w:proofErr w:type="spellStart"/>
            <w:r w:rsidRPr="007F7D95">
              <w:rPr>
                <w:rFonts w:ascii="Arial" w:hAnsi="Arial" w:cs="Arial"/>
                <w:color w:val="000000"/>
              </w:rPr>
              <w:t>Anovulatory</w:t>
            </w:r>
            <w:proofErr w:type="spellEnd"/>
            <w:r w:rsidRPr="007F7D95">
              <w:rPr>
                <w:rFonts w:ascii="Arial" w:hAnsi="Arial" w:cs="Arial"/>
                <w:color w:val="000000"/>
              </w:rPr>
              <w:t xml:space="preserve"> infertility;</w:t>
            </w:r>
            <w:r w:rsidRPr="007F7D95">
              <w:rPr>
                <w:rFonts w:ascii="Arial" w:hAnsi="Arial" w:cs="Arial"/>
                <w:color w:val="000000"/>
              </w:rPr>
              <w:br/>
              <w:t xml:space="preserve">Infertility due to </w:t>
            </w:r>
            <w:proofErr w:type="spellStart"/>
            <w:r w:rsidRPr="007F7D95">
              <w:rPr>
                <w:rFonts w:ascii="Arial" w:hAnsi="Arial" w:cs="Arial"/>
                <w:color w:val="000000"/>
              </w:rPr>
              <w:t>hypogonadotrophic</w:t>
            </w:r>
            <w:proofErr w:type="spellEnd"/>
            <w:r w:rsidRPr="007F7D95">
              <w:rPr>
                <w:rFonts w:ascii="Arial" w:hAnsi="Arial" w:cs="Arial"/>
                <w:color w:val="000000"/>
              </w:rPr>
              <w:t xml:space="preserve"> hypogonadism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Pr="007F7D95" w:rsidRDefault="00B02534" w:rsidP="00596D7F">
            <w:pPr>
              <w:rPr>
                <w:rFonts w:ascii="Arial" w:hAnsi="Arial" w:cs="Arial"/>
                <w:color w:val="000000"/>
              </w:rPr>
            </w:pPr>
            <w:r w:rsidRPr="007F7D95">
              <w:rPr>
                <w:rFonts w:ascii="Arial" w:hAnsi="Arial" w:cs="Arial"/>
                <w:color w:val="000000"/>
              </w:rPr>
              <w:t xml:space="preserve">To request that the current listings of </w:t>
            </w:r>
            <w:proofErr w:type="spellStart"/>
            <w:r w:rsidRPr="007F7D95">
              <w:rPr>
                <w:rFonts w:ascii="Arial" w:hAnsi="Arial" w:cs="Arial"/>
                <w:color w:val="000000"/>
              </w:rPr>
              <w:t>Bemfola</w:t>
            </w:r>
            <w:proofErr w:type="spellEnd"/>
            <w:r w:rsidRPr="007F7D95">
              <w:rPr>
                <w:rFonts w:ascii="Arial" w:hAnsi="Arial" w:cs="Arial"/>
                <w:color w:val="000000"/>
              </w:rPr>
              <w:t xml:space="preserve"> be changed to a Restricted Benefit (for the Section 100 IVF listings), and to include a NOTE encouraging prescribing for treatment-naïve patients.</w:t>
            </w:r>
          </w:p>
        </w:tc>
        <w:tc>
          <w:tcPr>
            <w:tcW w:w="7192" w:type="dxa"/>
            <w:gridSpan w:val="2"/>
            <w:tcBorders>
              <w:top w:val="single" w:sz="4" w:space="0" w:color="auto"/>
              <w:left w:val="single" w:sz="4" w:space="0" w:color="auto"/>
              <w:bottom w:val="single" w:sz="4" w:space="0" w:color="auto"/>
              <w:right w:val="single" w:sz="4" w:space="0" w:color="auto"/>
            </w:tcBorders>
          </w:tcPr>
          <w:p w:rsidR="008D3D8C" w:rsidRDefault="008D3D8C" w:rsidP="00B4190D">
            <w:pPr>
              <w:jc w:val="both"/>
              <w:rPr>
                <w:rFonts w:ascii="Arial" w:hAnsi="Arial" w:cs="Arial"/>
                <w:color w:val="000000"/>
              </w:rPr>
            </w:pPr>
            <w:r w:rsidRPr="008D3D8C">
              <w:rPr>
                <w:rFonts w:ascii="Arial" w:hAnsi="Arial" w:cs="Arial"/>
                <w:bCs/>
                <w:color w:val="000000"/>
              </w:rPr>
              <w:t xml:space="preserve">The PBAC recommended the addition of an administrative advice to the PBS listings for all </w:t>
            </w:r>
            <w:proofErr w:type="spellStart"/>
            <w:r w:rsidRPr="008D3D8C">
              <w:rPr>
                <w:rFonts w:ascii="Arial" w:hAnsi="Arial" w:cs="Arial"/>
                <w:bCs/>
                <w:color w:val="000000"/>
              </w:rPr>
              <w:t>Gonal</w:t>
            </w:r>
            <w:proofErr w:type="spellEnd"/>
            <w:r w:rsidRPr="008D3D8C">
              <w:rPr>
                <w:rFonts w:ascii="Arial" w:hAnsi="Arial" w:cs="Arial"/>
                <w:bCs/>
                <w:color w:val="000000"/>
              </w:rPr>
              <w:t>-f</w:t>
            </w:r>
            <w:r w:rsidRPr="008D3D8C">
              <w:rPr>
                <w:rFonts w:ascii="Arial" w:hAnsi="Arial" w:cs="Arial"/>
                <w:color w:val="000000"/>
              </w:rPr>
              <w:t>® items to encourage prescribing of biosimilar brands</w:t>
            </w:r>
            <w:r w:rsidRPr="008D3D8C">
              <w:rPr>
                <w:rFonts w:ascii="Arial" w:hAnsi="Arial" w:cs="Arial"/>
                <w:bCs/>
                <w:color w:val="000000"/>
              </w:rPr>
              <w:t xml:space="preserve"> for treatment naïve patients</w:t>
            </w:r>
          </w:p>
          <w:p w:rsidR="008D3D8C" w:rsidRDefault="008D3D8C" w:rsidP="00B4190D">
            <w:pPr>
              <w:jc w:val="both"/>
              <w:rPr>
                <w:rFonts w:ascii="Arial" w:hAnsi="Arial" w:cs="Arial"/>
                <w:color w:val="000000"/>
              </w:rPr>
            </w:pPr>
          </w:p>
          <w:p w:rsidR="00B4190D" w:rsidRDefault="00B4190D" w:rsidP="00B4190D">
            <w:pPr>
              <w:jc w:val="both"/>
              <w:rPr>
                <w:rFonts w:ascii="Arial" w:hAnsi="Arial" w:cs="Arial"/>
                <w:color w:val="000000"/>
              </w:rPr>
            </w:pPr>
            <w:r w:rsidRPr="00B4190D">
              <w:rPr>
                <w:rFonts w:ascii="Arial" w:hAnsi="Arial" w:cs="Arial"/>
                <w:color w:val="000000"/>
              </w:rPr>
              <w:t xml:space="preserve">The PBAC did not recommend lowering the category of prescribing authority for </w:t>
            </w:r>
            <w:proofErr w:type="spellStart"/>
            <w:r w:rsidRPr="00B4190D">
              <w:rPr>
                <w:rFonts w:ascii="Arial" w:hAnsi="Arial" w:cs="Arial"/>
                <w:color w:val="000000"/>
              </w:rPr>
              <w:t>Bemfola</w:t>
            </w:r>
            <w:proofErr w:type="spellEnd"/>
            <w:r w:rsidRPr="00B4190D">
              <w:rPr>
                <w:rFonts w:ascii="Arial" w:hAnsi="Arial" w:cs="Arial"/>
                <w:color w:val="000000"/>
              </w:rPr>
              <w:t xml:space="preserve">®. In deciding not to recommend a change to the current Authority Required (STREAMLINED) category of prescribing authority for </w:t>
            </w:r>
            <w:proofErr w:type="spellStart"/>
            <w:r w:rsidRPr="00B4190D">
              <w:rPr>
                <w:rFonts w:ascii="Arial" w:hAnsi="Arial" w:cs="Arial"/>
                <w:color w:val="000000"/>
              </w:rPr>
              <w:t>Bemfola</w:t>
            </w:r>
            <w:proofErr w:type="spellEnd"/>
            <w:r w:rsidRPr="00B4190D">
              <w:rPr>
                <w:rFonts w:ascii="Arial" w:hAnsi="Arial" w:cs="Arial"/>
                <w:color w:val="000000"/>
              </w:rPr>
              <w:t>® for Assisted Reproductive Technology, the PBAC considered;</w:t>
            </w:r>
          </w:p>
          <w:p w:rsidR="00812579" w:rsidRPr="00B4190D" w:rsidRDefault="00812579" w:rsidP="00B4190D">
            <w:pPr>
              <w:jc w:val="both"/>
              <w:rPr>
                <w:rFonts w:ascii="Arial" w:hAnsi="Arial" w:cs="Arial"/>
                <w:color w:val="000000"/>
              </w:rPr>
            </w:pPr>
          </w:p>
          <w:p w:rsidR="00B4190D" w:rsidRPr="00B4190D" w:rsidRDefault="00B4190D" w:rsidP="00B4190D">
            <w:pPr>
              <w:pStyle w:val="ListParagraph"/>
              <w:numPr>
                <w:ilvl w:val="0"/>
                <w:numId w:val="37"/>
              </w:numPr>
              <w:jc w:val="both"/>
              <w:rPr>
                <w:rFonts w:ascii="Arial" w:hAnsi="Arial" w:cs="Arial"/>
                <w:color w:val="000000"/>
                <w:sz w:val="20"/>
                <w:szCs w:val="20"/>
              </w:rPr>
            </w:pPr>
            <w:r w:rsidRPr="00B4190D">
              <w:rPr>
                <w:rFonts w:ascii="Arial" w:hAnsi="Arial" w:cs="Arial"/>
                <w:color w:val="000000"/>
                <w:sz w:val="20"/>
                <w:szCs w:val="20"/>
              </w:rPr>
              <w:t>The potential for prescriber confusion surrounding Restricted Benefit listings for other infertility indications, which have differing maximum quantities and number of repeats;</w:t>
            </w:r>
          </w:p>
          <w:p w:rsidR="00B4190D" w:rsidRPr="00B4190D" w:rsidRDefault="00B4190D" w:rsidP="00B4190D">
            <w:pPr>
              <w:pStyle w:val="ListParagraph"/>
              <w:numPr>
                <w:ilvl w:val="0"/>
                <w:numId w:val="37"/>
              </w:numPr>
              <w:jc w:val="both"/>
              <w:rPr>
                <w:rFonts w:ascii="Arial" w:hAnsi="Arial" w:cs="Arial"/>
                <w:color w:val="000000"/>
                <w:sz w:val="20"/>
                <w:szCs w:val="20"/>
              </w:rPr>
            </w:pPr>
            <w:r w:rsidRPr="00B4190D">
              <w:rPr>
                <w:rFonts w:ascii="Arial" w:hAnsi="Arial" w:cs="Arial"/>
                <w:color w:val="000000"/>
                <w:sz w:val="20"/>
                <w:szCs w:val="20"/>
              </w:rPr>
              <w:t xml:space="preserve">Changing the prescribing authority to Restricted Benefit would be inconsistent with other </w:t>
            </w:r>
            <w:proofErr w:type="spellStart"/>
            <w:r w:rsidRPr="00B4190D">
              <w:rPr>
                <w:rFonts w:ascii="Arial" w:hAnsi="Arial" w:cs="Arial"/>
                <w:color w:val="000000"/>
                <w:sz w:val="20"/>
                <w:szCs w:val="20"/>
              </w:rPr>
              <w:t>follitropins</w:t>
            </w:r>
            <w:proofErr w:type="spellEnd"/>
            <w:r w:rsidRPr="00B4190D">
              <w:rPr>
                <w:rFonts w:ascii="Arial" w:hAnsi="Arial" w:cs="Arial"/>
                <w:color w:val="000000"/>
                <w:sz w:val="20"/>
                <w:szCs w:val="20"/>
              </w:rPr>
              <w:t xml:space="preserve"> currently listed as Authority Required in the Section 100 IVF Program for Assisted Reproductive Technology; and</w:t>
            </w:r>
          </w:p>
          <w:p w:rsidR="00B4190D" w:rsidRPr="00B4190D" w:rsidRDefault="00B4190D" w:rsidP="00B4190D">
            <w:pPr>
              <w:pStyle w:val="ListParagraph"/>
              <w:numPr>
                <w:ilvl w:val="0"/>
                <w:numId w:val="37"/>
              </w:numPr>
              <w:jc w:val="both"/>
              <w:rPr>
                <w:rFonts w:ascii="Arial" w:hAnsi="Arial" w:cs="Arial"/>
                <w:color w:val="000000"/>
                <w:sz w:val="20"/>
                <w:szCs w:val="20"/>
              </w:rPr>
            </w:pPr>
            <w:r w:rsidRPr="00B4190D">
              <w:rPr>
                <w:rFonts w:ascii="Arial" w:hAnsi="Arial" w:cs="Arial"/>
                <w:color w:val="000000"/>
                <w:sz w:val="20"/>
                <w:szCs w:val="20"/>
              </w:rPr>
              <w:t xml:space="preserve">No apparent benefit in terms of driving uptake of </w:t>
            </w:r>
            <w:proofErr w:type="spellStart"/>
            <w:r w:rsidRPr="00B4190D">
              <w:rPr>
                <w:rFonts w:ascii="Arial" w:hAnsi="Arial" w:cs="Arial"/>
                <w:color w:val="000000"/>
                <w:sz w:val="20"/>
                <w:szCs w:val="20"/>
              </w:rPr>
              <w:t>Bemfola</w:t>
            </w:r>
            <w:proofErr w:type="spellEnd"/>
            <w:r w:rsidRPr="00B4190D">
              <w:rPr>
                <w:rFonts w:ascii="Arial" w:hAnsi="Arial" w:cs="Arial"/>
                <w:color w:val="000000"/>
                <w:sz w:val="20"/>
                <w:szCs w:val="20"/>
              </w:rPr>
              <w:t xml:space="preserve">®, given the current category of prescribing authority is STREAMLINED </w:t>
            </w:r>
          </w:p>
          <w:p w:rsidR="00B02534" w:rsidRPr="003D7E12" w:rsidRDefault="00B02534" w:rsidP="000A16D0">
            <w:pPr>
              <w:widowControl w:val="0"/>
              <w:jc w:val="both"/>
              <w:rPr>
                <w:rFonts w:ascii="Arial" w:hAnsi="Arial" w:cs="Arial"/>
              </w:rPr>
            </w:pPr>
          </w:p>
        </w:tc>
      </w:tr>
      <w:tr w:rsidR="00B02534"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Default="00B02534" w:rsidP="00B02534">
            <w:pPr>
              <w:rPr>
                <w:rFonts w:ascii="Arial" w:hAnsi="Arial" w:cs="Arial"/>
                <w:color w:val="000000"/>
              </w:rPr>
            </w:pPr>
            <w:r>
              <w:rPr>
                <w:rFonts w:ascii="Arial" w:hAnsi="Arial" w:cs="Arial"/>
                <w:color w:val="000000"/>
              </w:rPr>
              <w:t>HYDRO</w:t>
            </w:r>
            <w:r w:rsidRPr="007F7D95">
              <w:rPr>
                <w:rFonts w:ascii="Arial" w:hAnsi="Arial" w:cs="Arial"/>
                <w:color w:val="000000"/>
              </w:rPr>
              <w:t>MORPHONE</w:t>
            </w:r>
            <w:r w:rsidRPr="007F7D95">
              <w:rPr>
                <w:rFonts w:ascii="Arial" w:hAnsi="Arial" w:cs="Arial"/>
                <w:color w:val="000000"/>
              </w:rPr>
              <w:br/>
            </w:r>
            <w:r w:rsidRPr="007F7D95">
              <w:rPr>
                <w:rFonts w:ascii="Arial" w:hAnsi="Arial" w:cs="Arial"/>
                <w:color w:val="000000"/>
              </w:rPr>
              <w:br/>
              <w:t>Oral liquid containing hydromorphone hydrochloride 1 mg per mL, 200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Dilaudid</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Mundipharma</w:t>
            </w:r>
            <w:proofErr w:type="spellEnd"/>
            <w:r w:rsidRPr="007F7D95">
              <w:rPr>
                <w:rFonts w:ascii="Arial" w:hAnsi="Arial" w:cs="Arial"/>
                <w:color w:val="000000"/>
              </w:rPr>
              <w:t xml:space="preserve"> Pty Ltd</w:t>
            </w:r>
          </w:p>
          <w:p w:rsidR="00B02534" w:rsidRDefault="00B02534" w:rsidP="00B02534">
            <w:pPr>
              <w:rPr>
                <w:rFonts w:ascii="Arial" w:hAnsi="Arial" w:cs="Arial"/>
                <w:color w:val="000000"/>
              </w:rPr>
            </w:pPr>
          </w:p>
          <w:p w:rsidR="00B02534" w:rsidRPr="007F7D95" w:rsidRDefault="00B02534" w:rsidP="00B02534">
            <w:pPr>
              <w:rPr>
                <w:rFonts w:ascii="Arial" w:hAnsi="Arial" w:cs="Arial"/>
                <w:color w:val="000000"/>
              </w:rPr>
            </w:pPr>
            <w:r>
              <w:rPr>
                <w:rFonts w:ascii="Arial" w:hAnsi="Arial" w:cs="Arial"/>
                <w:color w:val="000000"/>
              </w:rPr>
              <w:t xml:space="preserve">New listing </w:t>
            </w: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Pr="007F7D95" w:rsidRDefault="00B02534" w:rsidP="00B02534">
            <w:pPr>
              <w:rPr>
                <w:rFonts w:ascii="Arial" w:hAnsi="Arial" w:cs="Arial"/>
                <w:color w:val="000000"/>
              </w:rPr>
            </w:pPr>
            <w:r w:rsidRPr="007F7D95">
              <w:rPr>
                <w:rFonts w:ascii="Arial" w:hAnsi="Arial" w:cs="Arial"/>
                <w:color w:val="000000"/>
              </w:rPr>
              <w:t>Severe disabling pain</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02534" w:rsidRPr="007F7D95" w:rsidRDefault="00B02534" w:rsidP="00596D7F">
            <w:pPr>
              <w:rPr>
                <w:rFonts w:ascii="Arial" w:hAnsi="Arial" w:cs="Arial"/>
                <w:color w:val="000000"/>
              </w:rPr>
            </w:pPr>
            <w:r w:rsidRPr="007F7D95">
              <w:rPr>
                <w:rFonts w:ascii="Arial" w:hAnsi="Arial" w:cs="Arial"/>
                <w:color w:val="000000"/>
              </w:rPr>
              <w:t>To request a Restricted Benefit listing for the treatment of severe disabling pain.</w:t>
            </w:r>
          </w:p>
        </w:tc>
        <w:tc>
          <w:tcPr>
            <w:tcW w:w="7192" w:type="dxa"/>
            <w:gridSpan w:val="2"/>
            <w:tcBorders>
              <w:top w:val="single" w:sz="4" w:space="0" w:color="auto"/>
              <w:left w:val="single" w:sz="4" w:space="0" w:color="auto"/>
              <w:bottom w:val="single" w:sz="4" w:space="0" w:color="auto"/>
              <w:right w:val="single" w:sz="4" w:space="0" w:color="auto"/>
            </w:tcBorders>
          </w:tcPr>
          <w:p w:rsidR="00CB26E4" w:rsidRDefault="00CB26E4" w:rsidP="00CB26E4">
            <w:pPr>
              <w:jc w:val="both"/>
              <w:rPr>
                <w:rFonts w:ascii="Arial" w:hAnsi="Arial" w:cs="Arial"/>
                <w:color w:val="000000"/>
              </w:rPr>
            </w:pPr>
            <w:r>
              <w:rPr>
                <w:rFonts w:ascii="Arial" w:hAnsi="Arial" w:cs="Arial"/>
                <w:color w:val="000000"/>
              </w:rPr>
              <w:t xml:space="preserve">The PBAC recommended the listing of a 200 mL PET bottle replacement, containing hydromorphone hydrochloride, for the currently listed 473 mL glass bottle </w:t>
            </w:r>
            <w:proofErr w:type="spellStart"/>
            <w:r>
              <w:rPr>
                <w:rFonts w:ascii="Arial" w:hAnsi="Arial" w:cs="Arial"/>
                <w:color w:val="000000"/>
              </w:rPr>
              <w:t>Dilaudid</w:t>
            </w:r>
            <w:proofErr w:type="spellEnd"/>
            <w:r>
              <w:rPr>
                <w:rFonts w:ascii="Arial" w:hAnsi="Arial" w:cs="Arial"/>
                <w:color w:val="000000"/>
              </w:rPr>
              <w:t xml:space="preserve">® Oral Liquid presentation indicated for use in severe disabling pain. The PBAC considered the listing of a 200 mL presentation of </w:t>
            </w:r>
            <w:proofErr w:type="spellStart"/>
            <w:r>
              <w:rPr>
                <w:rFonts w:ascii="Arial" w:hAnsi="Arial" w:cs="Arial"/>
                <w:color w:val="000000"/>
              </w:rPr>
              <w:t>Dilaudid</w:t>
            </w:r>
            <w:proofErr w:type="spellEnd"/>
            <w:r>
              <w:rPr>
                <w:rFonts w:ascii="Arial" w:hAnsi="Arial" w:cs="Arial"/>
                <w:color w:val="000000"/>
              </w:rPr>
              <w:t>® Oral Liquid to be appropriate. The PBAC noted that a reduction in the volume of opioid available in the c</w:t>
            </w:r>
            <w:r w:rsidR="00BC5BC7">
              <w:rPr>
                <w:rFonts w:ascii="Arial" w:hAnsi="Arial" w:cs="Arial"/>
                <w:color w:val="000000"/>
              </w:rPr>
              <w:t>o</w:t>
            </w:r>
            <w:r>
              <w:rPr>
                <w:rFonts w:ascii="Arial" w:hAnsi="Arial" w:cs="Arial"/>
                <w:color w:val="000000"/>
              </w:rPr>
              <w:t xml:space="preserve">mmunity at any one time may be a positive outcome from a quality use of medicines perspective. </w:t>
            </w:r>
          </w:p>
          <w:p w:rsidR="00B02534" w:rsidRDefault="00B02534" w:rsidP="000A16D0">
            <w:pPr>
              <w:widowControl w:val="0"/>
              <w:jc w:val="both"/>
              <w:rPr>
                <w:rFonts w:ascii="Arial" w:hAnsi="Arial" w:cs="Arial"/>
              </w:rPr>
            </w:pPr>
          </w:p>
          <w:p w:rsidR="00BC5BC7" w:rsidRPr="003D7E12" w:rsidRDefault="00BC5BC7" w:rsidP="000A16D0">
            <w:pPr>
              <w:widowControl w:val="0"/>
              <w:jc w:val="both"/>
              <w:rPr>
                <w:rFonts w:ascii="Arial" w:hAnsi="Arial" w:cs="Arial"/>
              </w:rPr>
            </w:pPr>
          </w:p>
        </w:tc>
      </w:tr>
      <w:tr w:rsidR="00DD4B3B" w:rsidRPr="003D7E12" w:rsidTr="00822A44">
        <w:trPr>
          <w:cantSplit/>
          <w:trHeight w:val="1458"/>
        </w:trPr>
        <w:tc>
          <w:tcPr>
            <w:tcW w:w="3118" w:type="dxa"/>
            <w:vMerge w:val="restart"/>
            <w:tcBorders>
              <w:top w:val="single" w:sz="4" w:space="0" w:color="auto"/>
              <w:left w:val="single" w:sz="4" w:space="0" w:color="auto"/>
              <w:right w:val="single" w:sz="4" w:space="0" w:color="auto"/>
            </w:tcBorders>
            <w:tcMar>
              <w:top w:w="28" w:type="dxa"/>
              <w:bottom w:w="28" w:type="dxa"/>
            </w:tcMar>
          </w:tcPr>
          <w:p w:rsidR="00DD4B3B" w:rsidRDefault="00DD4B3B" w:rsidP="00596D7F">
            <w:pPr>
              <w:rPr>
                <w:rFonts w:ascii="Arial" w:hAnsi="Arial" w:cs="Arial"/>
                <w:color w:val="000000"/>
              </w:rPr>
            </w:pPr>
            <w:r w:rsidRPr="007F7D95">
              <w:rPr>
                <w:rFonts w:ascii="Arial" w:hAnsi="Arial" w:cs="Arial"/>
                <w:color w:val="000000"/>
              </w:rPr>
              <w:lastRenderedPageBreak/>
              <w:t>IBRUTINIB</w:t>
            </w:r>
            <w:r w:rsidRPr="007F7D95">
              <w:rPr>
                <w:rFonts w:ascii="Arial" w:hAnsi="Arial" w:cs="Arial"/>
                <w:color w:val="000000"/>
              </w:rPr>
              <w:br/>
            </w:r>
            <w:r w:rsidRPr="007F7D95">
              <w:rPr>
                <w:rFonts w:ascii="Arial" w:hAnsi="Arial" w:cs="Arial"/>
                <w:color w:val="000000"/>
              </w:rPr>
              <w:br/>
              <w:t xml:space="preserve">Capsule 140 mg </w:t>
            </w:r>
            <w:r w:rsidRPr="007F7D95">
              <w:rPr>
                <w:rFonts w:ascii="Arial" w:hAnsi="Arial" w:cs="Arial"/>
                <w:color w:val="000000"/>
              </w:rPr>
              <w:br/>
            </w:r>
            <w:r w:rsidRPr="007F7D95">
              <w:rPr>
                <w:rFonts w:ascii="Arial" w:hAnsi="Arial" w:cs="Arial"/>
                <w:color w:val="000000"/>
              </w:rPr>
              <w:br/>
              <w:t>Imbruvica®</w:t>
            </w:r>
            <w:r w:rsidRPr="007F7D95">
              <w:rPr>
                <w:rFonts w:ascii="Arial" w:hAnsi="Arial" w:cs="Arial"/>
                <w:color w:val="000000"/>
              </w:rPr>
              <w:br/>
            </w:r>
            <w:r w:rsidRPr="007F7D95">
              <w:rPr>
                <w:rFonts w:ascii="Arial" w:hAnsi="Arial" w:cs="Arial"/>
                <w:color w:val="000000"/>
              </w:rPr>
              <w:br/>
              <w:t>Janssen-Cilag Pty Ltd</w:t>
            </w:r>
          </w:p>
          <w:p w:rsidR="00DD4B3B" w:rsidRDefault="00DD4B3B" w:rsidP="00596D7F">
            <w:pPr>
              <w:rPr>
                <w:rFonts w:ascii="Arial" w:hAnsi="Arial" w:cs="Arial"/>
                <w:color w:val="000000"/>
              </w:rPr>
            </w:pPr>
          </w:p>
          <w:p w:rsidR="000C2059" w:rsidRDefault="00DD4B3B" w:rsidP="00B028CB">
            <w:pPr>
              <w:rPr>
                <w:rFonts w:ascii="Arial" w:hAnsi="Arial" w:cs="Arial"/>
                <w:color w:val="000000"/>
              </w:rPr>
            </w:pPr>
            <w:r w:rsidRPr="007F7D95">
              <w:rPr>
                <w:rFonts w:ascii="Arial" w:hAnsi="Arial" w:cs="Arial"/>
                <w:color w:val="000000"/>
              </w:rPr>
              <w:t>Change to listing</w:t>
            </w:r>
          </w:p>
          <w:p w:rsidR="00DD4B3B" w:rsidRPr="007F7D95" w:rsidRDefault="00DD4B3B" w:rsidP="00B028CB">
            <w:pPr>
              <w:rPr>
                <w:rFonts w:ascii="Arial" w:hAnsi="Arial" w:cs="Arial"/>
                <w:color w:val="000000"/>
              </w:rPr>
            </w:pPr>
            <w:r w:rsidRPr="007F7D95">
              <w:rPr>
                <w:rFonts w:ascii="Arial" w:hAnsi="Arial" w:cs="Arial"/>
                <w:color w:val="000000"/>
              </w:rPr>
              <w:t>(Minor Submission)</w:t>
            </w:r>
          </w:p>
        </w:tc>
        <w:tc>
          <w:tcPr>
            <w:tcW w:w="2262" w:type="dxa"/>
            <w:vMerge w:val="restart"/>
            <w:tcBorders>
              <w:top w:val="single" w:sz="4" w:space="0" w:color="auto"/>
              <w:left w:val="single" w:sz="4" w:space="0" w:color="auto"/>
              <w:right w:val="single" w:sz="4" w:space="0" w:color="auto"/>
            </w:tcBorders>
            <w:tcMar>
              <w:top w:w="28" w:type="dxa"/>
              <w:bottom w:w="28" w:type="dxa"/>
            </w:tcMar>
          </w:tcPr>
          <w:p w:rsidR="00DD4B3B" w:rsidRPr="007F7D95" w:rsidRDefault="00DD4B3B" w:rsidP="00596D7F">
            <w:pPr>
              <w:rPr>
                <w:rFonts w:ascii="Arial" w:hAnsi="Arial" w:cs="Arial"/>
                <w:color w:val="000000"/>
              </w:rPr>
            </w:pPr>
            <w:r w:rsidRPr="007F7D95">
              <w:rPr>
                <w:rFonts w:ascii="Arial" w:hAnsi="Arial" w:cs="Arial"/>
                <w:color w:val="000000"/>
              </w:rPr>
              <w:t>Chronic lymphocytic leukaemia (CLL)/small lymphocytic lymphoma (SLL)</w:t>
            </w:r>
            <w:r>
              <w:rPr>
                <w:rFonts w:ascii="Arial" w:hAnsi="Arial" w:cs="Arial"/>
                <w:color w:val="000000"/>
              </w:rPr>
              <w:t xml:space="preserve"> </w:t>
            </w:r>
            <w:r w:rsidRPr="007F7D95">
              <w:rPr>
                <w:rFonts w:ascii="Arial" w:hAnsi="Arial" w:cs="Arial"/>
                <w:color w:val="000000"/>
              </w:rPr>
              <w:t>and relapsed or refractory mantle cell lymphoma</w:t>
            </w:r>
            <w:r>
              <w:rPr>
                <w:rFonts w:ascii="Arial" w:hAnsi="Arial" w:cs="Arial"/>
                <w:color w:val="000000"/>
              </w:rPr>
              <w:t xml:space="preserve"> (MCL)</w:t>
            </w:r>
          </w:p>
        </w:tc>
        <w:tc>
          <w:tcPr>
            <w:tcW w:w="2987" w:type="dxa"/>
            <w:tcBorders>
              <w:top w:val="single" w:sz="4" w:space="0" w:color="auto"/>
              <w:left w:val="single" w:sz="4" w:space="0" w:color="auto"/>
              <w:right w:val="single" w:sz="4" w:space="0" w:color="auto"/>
            </w:tcBorders>
            <w:tcMar>
              <w:top w:w="28" w:type="dxa"/>
              <w:bottom w:w="28" w:type="dxa"/>
            </w:tcMar>
          </w:tcPr>
          <w:p w:rsidR="00DD4B3B" w:rsidRPr="007F7D95" w:rsidRDefault="00DD4B3B" w:rsidP="00596D7F">
            <w:pPr>
              <w:rPr>
                <w:rFonts w:ascii="Arial" w:hAnsi="Arial" w:cs="Arial"/>
                <w:color w:val="000000"/>
              </w:rPr>
            </w:pPr>
            <w:r w:rsidRPr="007F7D95">
              <w:rPr>
                <w:rFonts w:ascii="Arial" w:hAnsi="Arial" w:cs="Arial"/>
                <w:color w:val="000000"/>
              </w:rPr>
              <w:t xml:space="preserve">Resubmission to request an Authority Required listing for the first line treatment of patients with CLL or SLL who meet certain criteria and relapsed or refractory </w:t>
            </w:r>
            <w:r>
              <w:rPr>
                <w:rFonts w:ascii="Arial" w:hAnsi="Arial" w:cs="Arial"/>
                <w:color w:val="000000"/>
              </w:rPr>
              <w:t>MCL</w:t>
            </w:r>
            <w:r w:rsidRPr="007F7D95">
              <w:rPr>
                <w:rFonts w:ascii="Arial" w:hAnsi="Arial" w:cs="Arial"/>
                <w:color w:val="000000"/>
              </w:rPr>
              <w:t>.</w:t>
            </w:r>
          </w:p>
        </w:tc>
        <w:tc>
          <w:tcPr>
            <w:tcW w:w="7192" w:type="dxa"/>
            <w:gridSpan w:val="2"/>
            <w:vMerge w:val="restart"/>
            <w:tcBorders>
              <w:top w:val="single" w:sz="4" w:space="0" w:color="auto"/>
              <w:left w:val="single" w:sz="4" w:space="0" w:color="auto"/>
              <w:right w:val="single" w:sz="4" w:space="0" w:color="auto"/>
            </w:tcBorders>
          </w:tcPr>
          <w:p w:rsidR="00DD4B3B" w:rsidRPr="000712A9" w:rsidRDefault="00DD4B3B" w:rsidP="00BF1F45">
            <w:pPr>
              <w:rPr>
                <w:rFonts w:ascii="Arial" w:hAnsi="Arial" w:cs="Arial"/>
                <w:color w:val="000000"/>
              </w:rPr>
            </w:pPr>
            <w:r>
              <w:rPr>
                <w:rFonts w:ascii="Arial" w:hAnsi="Arial" w:cs="Arial"/>
                <w:color w:val="000000"/>
              </w:rPr>
              <w:t xml:space="preserve">The ibrutinib submission requested listing for two conditions: relapsed or refractory mantle cell lymphoma; and first-line treatment of chronic lymphocytic leukaemia (CLL) or small lymphocytic lymphoma (SLL). A single submission was made as a combined risk sharing arrangement (RSA) was proposed to cover both indications.  </w:t>
            </w:r>
          </w:p>
        </w:tc>
      </w:tr>
      <w:tr w:rsidR="00DD4B3B" w:rsidRPr="003D7E12" w:rsidTr="00040BE7">
        <w:trPr>
          <w:cantSplit/>
          <w:trHeight w:val="230"/>
        </w:trPr>
        <w:tc>
          <w:tcPr>
            <w:tcW w:w="3118" w:type="dxa"/>
            <w:vMerge/>
            <w:tcBorders>
              <w:top w:val="single" w:sz="4" w:space="0" w:color="auto"/>
              <w:left w:val="single" w:sz="4" w:space="0" w:color="auto"/>
              <w:right w:val="single" w:sz="4" w:space="0" w:color="auto"/>
            </w:tcBorders>
            <w:tcMar>
              <w:top w:w="28" w:type="dxa"/>
              <w:bottom w:w="28" w:type="dxa"/>
            </w:tcMar>
          </w:tcPr>
          <w:p w:rsidR="00DD4B3B" w:rsidRPr="007F7D95" w:rsidRDefault="00DD4B3B" w:rsidP="00596D7F">
            <w:pPr>
              <w:rPr>
                <w:rFonts w:ascii="Arial" w:hAnsi="Arial" w:cs="Arial"/>
                <w:color w:val="000000"/>
              </w:rPr>
            </w:pPr>
          </w:p>
        </w:tc>
        <w:tc>
          <w:tcPr>
            <w:tcW w:w="2262" w:type="dxa"/>
            <w:vMerge/>
            <w:tcBorders>
              <w:top w:val="single" w:sz="4" w:space="0" w:color="auto"/>
              <w:left w:val="single" w:sz="4" w:space="0" w:color="auto"/>
              <w:right w:val="single" w:sz="4" w:space="0" w:color="auto"/>
            </w:tcBorders>
            <w:tcMar>
              <w:top w:w="28" w:type="dxa"/>
              <w:bottom w:w="28" w:type="dxa"/>
            </w:tcMar>
          </w:tcPr>
          <w:p w:rsidR="00DD4B3B" w:rsidRPr="007F7D95" w:rsidRDefault="00DD4B3B" w:rsidP="00596D7F">
            <w:pPr>
              <w:rPr>
                <w:rFonts w:ascii="Arial" w:hAnsi="Arial" w:cs="Arial"/>
                <w:color w:val="000000"/>
              </w:rPr>
            </w:pPr>
          </w:p>
        </w:tc>
        <w:tc>
          <w:tcPr>
            <w:tcW w:w="2987" w:type="dxa"/>
            <w:vMerge w:val="restart"/>
            <w:tcBorders>
              <w:top w:val="single" w:sz="4" w:space="0" w:color="auto"/>
              <w:left w:val="single" w:sz="4" w:space="0" w:color="auto"/>
              <w:right w:val="single" w:sz="4" w:space="0" w:color="auto"/>
            </w:tcBorders>
            <w:tcMar>
              <w:top w:w="28" w:type="dxa"/>
              <w:bottom w:w="28" w:type="dxa"/>
            </w:tcMar>
          </w:tcPr>
          <w:p w:rsidR="00DD4B3B" w:rsidRPr="00DD4B3B" w:rsidRDefault="00DD4B3B" w:rsidP="00DD4B3B">
            <w:pPr>
              <w:rPr>
                <w:rFonts w:ascii="Arial" w:hAnsi="Arial" w:cs="Arial"/>
                <w:bCs/>
                <w:color w:val="000000"/>
              </w:rPr>
            </w:pPr>
          </w:p>
          <w:p w:rsidR="00DD4B3B" w:rsidRPr="00DD4B3B" w:rsidRDefault="00DD4B3B" w:rsidP="00DD4B3B">
            <w:pPr>
              <w:rPr>
                <w:rFonts w:ascii="Arial" w:hAnsi="Arial" w:cs="Arial"/>
                <w:b/>
                <w:bCs/>
                <w:color w:val="000000"/>
              </w:rPr>
            </w:pPr>
            <w:r w:rsidRPr="00DD4B3B">
              <w:rPr>
                <w:rFonts w:ascii="Arial" w:hAnsi="Arial" w:cs="Arial"/>
                <w:b/>
                <w:bCs/>
                <w:color w:val="000000"/>
              </w:rPr>
              <w:t>Current PBS listing</w:t>
            </w:r>
          </w:p>
          <w:p w:rsidR="00DD4B3B" w:rsidRPr="00040BE7" w:rsidRDefault="00DD4B3B" w:rsidP="00596D7F">
            <w:pPr>
              <w:rPr>
                <w:rFonts w:ascii="Arial" w:hAnsi="Arial" w:cs="Arial"/>
                <w:bCs/>
                <w:color w:val="000000"/>
                <w:u w:val="single"/>
              </w:rPr>
            </w:pPr>
            <w:r w:rsidRPr="00DD4B3B">
              <w:rPr>
                <w:rFonts w:ascii="Arial" w:hAnsi="Arial" w:cs="Arial"/>
                <w:bCs/>
                <w:color w:val="000000"/>
              </w:rPr>
              <w:t>Relapsed/refractory chronic lymphocytic leukaemia (CLL) or small lymphocytic lymphoma (SLL)</w:t>
            </w:r>
          </w:p>
        </w:tc>
        <w:tc>
          <w:tcPr>
            <w:tcW w:w="7192" w:type="dxa"/>
            <w:gridSpan w:val="2"/>
            <w:vMerge/>
            <w:tcBorders>
              <w:left w:val="single" w:sz="4" w:space="0" w:color="auto"/>
              <w:bottom w:val="single" w:sz="4" w:space="0" w:color="auto"/>
              <w:right w:val="single" w:sz="4" w:space="0" w:color="auto"/>
            </w:tcBorders>
          </w:tcPr>
          <w:p w:rsidR="00DD4B3B" w:rsidRDefault="00DD4B3B" w:rsidP="00BF1F45">
            <w:pPr>
              <w:rPr>
                <w:rFonts w:ascii="Arial" w:hAnsi="Arial" w:cs="Arial"/>
                <w:color w:val="000000"/>
              </w:rPr>
            </w:pPr>
          </w:p>
        </w:tc>
      </w:tr>
      <w:tr w:rsidR="00576CCE" w:rsidRPr="003D7E12" w:rsidTr="000712A9">
        <w:trPr>
          <w:cantSplit/>
          <w:trHeight w:val="2445"/>
        </w:trPr>
        <w:tc>
          <w:tcPr>
            <w:tcW w:w="3118"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262"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987"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7192" w:type="dxa"/>
            <w:gridSpan w:val="2"/>
            <w:tcBorders>
              <w:top w:val="single" w:sz="4" w:space="0" w:color="auto"/>
              <w:left w:val="single" w:sz="4" w:space="0" w:color="auto"/>
              <w:bottom w:val="single" w:sz="4" w:space="0" w:color="auto"/>
              <w:right w:val="single" w:sz="4" w:space="0" w:color="auto"/>
            </w:tcBorders>
          </w:tcPr>
          <w:p w:rsidR="00576CCE" w:rsidRDefault="00576CCE" w:rsidP="00BF1F45">
            <w:pPr>
              <w:rPr>
                <w:rFonts w:ascii="Arial" w:hAnsi="Arial" w:cs="Arial"/>
                <w:color w:val="000000"/>
              </w:rPr>
            </w:pPr>
            <w:r w:rsidRPr="00576CCE">
              <w:rPr>
                <w:rFonts w:ascii="Arial" w:hAnsi="Arial" w:cs="Arial"/>
                <w:b/>
                <w:color w:val="000000"/>
              </w:rPr>
              <w:t>Mantle cell lymphoma</w:t>
            </w:r>
            <w:r w:rsidR="00BC5BC7">
              <w:rPr>
                <w:rFonts w:ascii="Arial" w:hAnsi="Arial" w:cs="Arial"/>
                <w:b/>
                <w:color w:val="000000"/>
              </w:rPr>
              <w:t xml:space="preserve"> (recommended</w:t>
            </w:r>
            <w:proofErr w:type="gramStart"/>
            <w:r w:rsidR="00BC5BC7">
              <w:rPr>
                <w:rFonts w:ascii="Arial" w:hAnsi="Arial" w:cs="Arial"/>
                <w:b/>
                <w:color w:val="000000"/>
              </w:rPr>
              <w:t>)</w:t>
            </w:r>
            <w:proofErr w:type="gramEnd"/>
            <w:r>
              <w:rPr>
                <w:rFonts w:ascii="Arial" w:hAnsi="Arial" w:cs="Arial"/>
                <w:color w:val="000000"/>
              </w:rPr>
              <w:br/>
              <w:t>The PBAC recommended extending the PBS-listing of ibrutinib as an Authority Required benefit to include the treatment of patients with relapsed/refractory mantle cell lymphoma. The PBAC considered that the cost-effectiveness of ibrutinib in relapsed/refractory mantle cell lymphoma was acceptable at the price applied in the economic model. The recommendation reflected the high clinical need in a condition that affects a small number of patients.</w:t>
            </w:r>
          </w:p>
        </w:tc>
      </w:tr>
      <w:tr w:rsidR="00576CCE" w:rsidRPr="003D7E12" w:rsidTr="00596D7F">
        <w:trPr>
          <w:cantSplit/>
          <w:trHeight w:val="2298"/>
        </w:trPr>
        <w:tc>
          <w:tcPr>
            <w:tcW w:w="3118"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262"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987"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7192" w:type="dxa"/>
            <w:gridSpan w:val="2"/>
            <w:tcBorders>
              <w:top w:val="single" w:sz="4" w:space="0" w:color="auto"/>
              <w:left w:val="single" w:sz="4" w:space="0" w:color="auto"/>
              <w:bottom w:val="single" w:sz="4" w:space="0" w:color="auto"/>
              <w:right w:val="single" w:sz="4" w:space="0" w:color="auto"/>
            </w:tcBorders>
          </w:tcPr>
          <w:p w:rsidR="00576CCE" w:rsidRPr="00576CCE" w:rsidRDefault="00576CCE" w:rsidP="00BF1F45">
            <w:pPr>
              <w:rPr>
                <w:rFonts w:ascii="Arial" w:hAnsi="Arial" w:cs="Arial"/>
                <w:b/>
                <w:color w:val="000000"/>
              </w:rPr>
            </w:pPr>
            <w:r w:rsidRPr="00576CCE">
              <w:rPr>
                <w:rFonts w:ascii="Arial" w:hAnsi="Arial" w:cs="Arial"/>
                <w:b/>
                <w:color w:val="000000"/>
              </w:rPr>
              <w:t>First-line chronic lymphocytic leukaemia (CLL) or small lymphocytic lymphoma (SLL)</w:t>
            </w:r>
            <w:r w:rsidR="00BC5BC7">
              <w:rPr>
                <w:rFonts w:ascii="Arial" w:hAnsi="Arial" w:cs="Arial"/>
                <w:b/>
                <w:color w:val="000000"/>
              </w:rPr>
              <w:t xml:space="preserve"> (Not Recommended)</w:t>
            </w:r>
          </w:p>
          <w:p w:rsidR="00576CCE" w:rsidRDefault="00576CCE" w:rsidP="00BF1F45">
            <w:pPr>
              <w:rPr>
                <w:rFonts w:ascii="Arial" w:hAnsi="Arial" w:cs="Arial"/>
                <w:color w:val="000000"/>
              </w:rPr>
            </w:pPr>
            <w:r w:rsidRPr="00576CCE">
              <w:rPr>
                <w:rFonts w:ascii="Arial" w:hAnsi="Arial" w:cs="Arial"/>
                <w:color w:val="000000"/>
              </w:rPr>
              <w:t>The PBAC did not recommend the listing of ibrutinib for the treatment of first-line CLL/SLL on the basis of (</w:t>
            </w:r>
            <w:proofErr w:type="spellStart"/>
            <w:r w:rsidRPr="00576CCE">
              <w:rPr>
                <w:rFonts w:ascii="Arial" w:hAnsi="Arial" w:cs="Arial"/>
                <w:color w:val="000000"/>
              </w:rPr>
              <w:t>i</w:t>
            </w:r>
            <w:proofErr w:type="spellEnd"/>
            <w:r w:rsidRPr="00576CCE">
              <w:rPr>
                <w:rFonts w:ascii="Arial" w:hAnsi="Arial" w:cs="Arial"/>
                <w:color w:val="000000"/>
              </w:rPr>
              <w:t>) uncertain cost-effectiveness given the pricing arrangements proposed and (ii) overestimated financial estimates. The PBAC noted that the cost of ibrutinib used in the economic model, and thus the ICER, relied on RSA rebates. The PBAC considered it was unlikely that the RSA rebates would be achieved and therefore it was unlikely that acceptable cost effectiveness would be realised, as the utilisation underpinning the RSA was significantly overestimated. This was because the patient numbers, uptake rate and compliance rate were overestimated.</w:t>
            </w:r>
          </w:p>
          <w:p w:rsidR="00576CCE" w:rsidRPr="00576CCE" w:rsidRDefault="00576CCE" w:rsidP="00BF1F45">
            <w:pPr>
              <w:rPr>
                <w:rFonts w:ascii="Arial" w:hAnsi="Arial" w:cs="Arial"/>
                <w:color w:val="000000"/>
              </w:rPr>
            </w:pPr>
          </w:p>
          <w:p w:rsidR="00576CCE" w:rsidRDefault="00576CCE" w:rsidP="00BF1F45">
            <w:pPr>
              <w:rPr>
                <w:rFonts w:ascii="Arial" w:hAnsi="Arial" w:cs="Arial"/>
                <w:color w:val="000000"/>
              </w:rPr>
            </w:pPr>
            <w:r w:rsidRPr="00576CCE">
              <w:rPr>
                <w:rFonts w:ascii="Arial" w:hAnsi="Arial" w:cs="Arial"/>
                <w:color w:val="000000"/>
              </w:rPr>
              <w:t>The PBAC noted that updated clinical data for progression free survival were available but had not been incorporated into the economic model. The PBAC considered that this would be informative given the economic model’s reliance on progression free survival and extrapolated data, and the considerably longer duration of follow-up available with the new data.</w:t>
            </w:r>
          </w:p>
          <w:p w:rsidR="00576CCE" w:rsidRDefault="00576CCE" w:rsidP="00BF1F45">
            <w:pPr>
              <w:rPr>
                <w:rFonts w:ascii="Arial" w:hAnsi="Arial" w:cs="Arial"/>
                <w:color w:val="000000"/>
              </w:rPr>
            </w:pPr>
          </w:p>
          <w:p w:rsidR="00576CCE" w:rsidRDefault="00BC5BC7" w:rsidP="00BF1F45">
            <w:pPr>
              <w:rPr>
                <w:rFonts w:ascii="Arial" w:hAnsi="Arial" w:cs="Arial"/>
                <w:color w:val="000000"/>
              </w:rPr>
            </w:pPr>
            <w:r>
              <w:rPr>
                <w:rFonts w:ascii="Arial" w:hAnsi="Arial" w:cs="Arial"/>
                <w:color w:val="000000"/>
              </w:rPr>
              <w:t>For the first-line CLL or SLL aspects of the resubmission</w:t>
            </w:r>
            <w:r w:rsidR="00CC1536">
              <w:rPr>
                <w:rFonts w:ascii="Arial" w:hAnsi="Arial" w:cs="Arial"/>
                <w:color w:val="000000"/>
              </w:rPr>
              <w:t>:</w:t>
            </w:r>
          </w:p>
        </w:tc>
      </w:tr>
      <w:tr w:rsidR="00576CCE" w:rsidRPr="003D7E12" w:rsidTr="00596D7F">
        <w:trPr>
          <w:cantSplit/>
          <w:trHeight w:val="573"/>
        </w:trPr>
        <w:tc>
          <w:tcPr>
            <w:tcW w:w="3118"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262"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987"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3596" w:type="dxa"/>
            <w:tcBorders>
              <w:top w:val="single" w:sz="4" w:space="0" w:color="auto"/>
              <w:left w:val="single" w:sz="4" w:space="0" w:color="auto"/>
              <w:bottom w:val="single" w:sz="4" w:space="0" w:color="auto"/>
              <w:right w:val="single" w:sz="4" w:space="0" w:color="auto"/>
            </w:tcBorders>
          </w:tcPr>
          <w:p w:rsidR="00576CCE" w:rsidRPr="00DF3FE7" w:rsidRDefault="00576CCE" w:rsidP="00596D7F">
            <w:pPr>
              <w:rPr>
                <w:rFonts w:ascii="Arial" w:hAnsi="Arial" w:cs="Arial"/>
                <w:bCs/>
                <w:snapToGrid w:val="0"/>
              </w:rPr>
            </w:pPr>
            <w:r w:rsidRPr="00DF3FE7">
              <w:rPr>
                <w:rFonts w:ascii="Arial" w:hAnsi="Arial" w:cs="Arial"/>
                <w:bCs/>
                <w:snapToGrid w:val="0"/>
              </w:rPr>
              <w:t xml:space="preserve">Comparator: rituximab plus chlorambucil </w:t>
            </w:r>
          </w:p>
        </w:tc>
        <w:tc>
          <w:tcPr>
            <w:tcW w:w="3596" w:type="dxa"/>
            <w:tcBorders>
              <w:top w:val="single" w:sz="4" w:space="0" w:color="auto"/>
              <w:left w:val="single" w:sz="4" w:space="0" w:color="auto"/>
              <w:bottom w:val="single" w:sz="4" w:space="0" w:color="auto"/>
              <w:right w:val="single" w:sz="4" w:space="0" w:color="auto"/>
            </w:tcBorders>
          </w:tcPr>
          <w:p w:rsidR="00576CCE" w:rsidRPr="00DF3FE7" w:rsidRDefault="00576CCE" w:rsidP="00596D7F">
            <w:pPr>
              <w:rPr>
                <w:rFonts w:ascii="Arial" w:hAnsi="Arial" w:cs="Arial"/>
                <w:bCs/>
                <w:snapToGrid w:val="0"/>
              </w:rPr>
            </w:pPr>
            <w:r w:rsidRPr="00DF3FE7">
              <w:rPr>
                <w:rFonts w:ascii="Arial" w:hAnsi="Arial" w:cs="Arial"/>
                <w:bCs/>
                <w:snapToGrid w:val="0"/>
              </w:rPr>
              <w:t>Accepted.</w:t>
            </w:r>
          </w:p>
        </w:tc>
      </w:tr>
      <w:tr w:rsidR="00576CCE" w:rsidRPr="003D7E12" w:rsidTr="00596D7F">
        <w:trPr>
          <w:cantSplit/>
          <w:trHeight w:val="573"/>
        </w:trPr>
        <w:tc>
          <w:tcPr>
            <w:tcW w:w="3118"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262"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987"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3596" w:type="dxa"/>
            <w:tcBorders>
              <w:top w:val="single" w:sz="4" w:space="0" w:color="auto"/>
              <w:left w:val="single" w:sz="4" w:space="0" w:color="auto"/>
              <w:bottom w:val="single" w:sz="4" w:space="0" w:color="auto"/>
              <w:right w:val="single" w:sz="4" w:space="0" w:color="auto"/>
            </w:tcBorders>
          </w:tcPr>
          <w:p w:rsidR="00576CCE" w:rsidRPr="00DF3FE7" w:rsidRDefault="00576CCE" w:rsidP="00040BE7">
            <w:pPr>
              <w:jc w:val="both"/>
              <w:rPr>
                <w:rFonts w:ascii="Arial" w:hAnsi="Arial" w:cs="Arial"/>
                <w:bCs/>
                <w:snapToGrid w:val="0"/>
              </w:rPr>
            </w:pPr>
            <w:r w:rsidRPr="00DF3FE7">
              <w:rPr>
                <w:rFonts w:ascii="Arial" w:hAnsi="Arial" w:cs="Arial"/>
                <w:bCs/>
                <w:snapToGrid w:val="0"/>
              </w:rPr>
              <w:t xml:space="preserve">Clinical claim: Superior comparative efficacy and non-inferior safety compared with rituximab plus chlorambucil. </w:t>
            </w:r>
          </w:p>
        </w:tc>
        <w:tc>
          <w:tcPr>
            <w:tcW w:w="3596" w:type="dxa"/>
            <w:tcBorders>
              <w:top w:val="single" w:sz="4" w:space="0" w:color="auto"/>
              <w:left w:val="single" w:sz="4" w:space="0" w:color="auto"/>
              <w:bottom w:val="single" w:sz="4" w:space="0" w:color="auto"/>
              <w:right w:val="single" w:sz="4" w:space="0" w:color="auto"/>
            </w:tcBorders>
          </w:tcPr>
          <w:p w:rsidR="00576CCE" w:rsidRPr="00DF3FE7" w:rsidRDefault="00576CCE" w:rsidP="00040BE7">
            <w:pPr>
              <w:jc w:val="both"/>
              <w:rPr>
                <w:rFonts w:ascii="Arial" w:hAnsi="Arial" w:cs="Arial"/>
                <w:bCs/>
                <w:snapToGrid w:val="0"/>
              </w:rPr>
            </w:pPr>
            <w:r w:rsidRPr="00DF3FE7">
              <w:rPr>
                <w:rFonts w:ascii="Arial" w:hAnsi="Arial" w:cs="Arial"/>
                <w:bCs/>
                <w:snapToGrid w:val="0"/>
              </w:rPr>
              <w:t>Accepted. However the PBAC noted that emerging data suggest that there is an increased risk of atrial fibrillation associated with ibrutinib.</w:t>
            </w:r>
          </w:p>
        </w:tc>
      </w:tr>
      <w:tr w:rsidR="00576CCE" w:rsidRPr="003D7E12" w:rsidTr="00596D7F">
        <w:trPr>
          <w:cantSplit/>
          <w:trHeight w:val="573"/>
        </w:trPr>
        <w:tc>
          <w:tcPr>
            <w:tcW w:w="3118"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262"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2987" w:type="dxa"/>
            <w:vMerge/>
            <w:tcBorders>
              <w:left w:val="single" w:sz="4" w:space="0" w:color="auto"/>
              <w:right w:val="single" w:sz="4" w:space="0" w:color="auto"/>
            </w:tcBorders>
            <w:tcMar>
              <w:top w:w="28" w:type="dxa"/>
              <w:bottom w:w="28" w:type="dxa"/>
            </w:tcMar>
          </w:tcPr>
          <w:p w:rsidR="00576CCE" w:rsidRPr="007F7D95" w:rsidRDefault="00576CCE" w:rsidP="00596D7F">
            <w:pPr>
              <w:rPr>
                <w:rFonts w:ascii="Arial" w:hAnsi="Arial" w:cs="Arial"/>
                <w:color w:val="000000"/>
              </w:rPr>
            </w:pPr>
          </w:p>
        </w:tc>
        <w:tc>
          <w:tcPr>
            <w:tcW w:w="3596" w:type="dxa"/>
            <w:tcBorders>
              <w:top w:val="single" w:sz="4" w:space="0" w:color="auto"/>
              <w:left w:val="single" w:sz="4" w:space="0" w:color="auto"/>
              <w:bottom w:val="single" w:sz="4" w:space="0" w:color="auto"/>
              <w:right w:val="single" w:sz="4" w:space="0" w:color="auto"/>
            </w:tcBorders>
          </w:tcPr>
          <w:p w:rsidR="00576CCE" w:rsidRPr="00DF3FE7" w:rsidRDefault="001E6A0E" w:rsidP="00040BE7">
            <w:pPr>
              <w:jc w:val="both"/>
              <w:rPr>
                <w:rFonts w:ascii="Arial" w:hAnsi="Arial" w:cs="Arial"/>
                <w:bCs/>
                <w:snapToGrid w:val="0"/>
              </w:rPr>
            </w:pPr>
            <w:r>
              <w:rPr>
                <w:rFonts w:ascii="Arial" w:hAnsi="Arial" w:cs="Arial"/>
                <w:bCs/>
                <w:snapToGrid w:val="0"/>
              </w:rPr>
              <w:t>Economic claim: C</w:t>
            </w:r>
            <w:r w:rsidR="00576CCE" w:rsidRPr="00DF3FE7">
              <w:rPr>
                <w:rFonts w:ascii="Arial" w:hAnsi="Arial" w:cs="Arial"/>
                <w:bCs/>
                <w:snapToGrid w:val="0"/>
              </w:rPr>
              <w:t>ost-utility analysis compared with rituximab plus chlorambucil</w:t>
            </w:r>
          </w:p>
        </w:tc>
        <w:tc>
          <w:tcPr>
            <w:tcW w:w="3596" w:type="dxa"/>
            <w:tcBorders>
              <w:top w:val="single" w:sz="4" w:space="0" w:color="auto"/>
              <w:left w:val="single" w:sz="4" w:space="0" w:color="auto"/>
              <w:bottom w:val="single" w:sz="4" w:space="0" w:color="auto"/>
              <w:right w:val="single" w:sz="4" w:space="0" w:color="auto"/>
            </w:tcBorders>
          </w:tcPr>
          <w:p w:rsidR="00576CCE" w:rsidRPr="00DF3FE7" w:rsidRDefault="00576CCE" w:rsidP="00040BE7">
            <w:pPr>
              <w:jc w:val="both"/>
              <w:rPr>
                <w:rFonts w:ascii="Arial" w:hAnsi="Arial" w:cs="Arial"/>
                <w:bCs/>
                <w:snapToGrid w:val="0"/>
              </w:rPr>
            </w:pPr>
            <w:r w:rsidRPr="00DF3FE7">
              <w:rPr>
                <w:rFonts w:ascii="Arial" w:hAnsi="Arial" w:cs="Arial"/>
                <w:bCs/>
                <w:snapToGrid w:val="0"/>
              </w:rPr>
              <w:t>Not accepted</w:t>
            </w:r>
            <w:r>
              <w:rPr>
                <w:rFonts w:ascii="Arial" w:hAnsi="Arial" w:cs="Arial"/>
                <w:bCs/>
                <w:snapToGrid w:val="0"/>
              </w:rPr>
              <w:t>, as outlined above</w:t>
            </w:r>
            <w:r w:rsidRPr="00DF3FE7">
              <w:rPr>
                <w:rFonts w:ascii="Arial" w:hAnsi="Arial" w:cs="Arial"/>
                <w:bCs/>
                <w:snapToGrid w:val="0"/>
              </w:rPr>
              <w:t xml:space="preserve">. </w:t>
            </w:r>
          </w:p>
        </w:tc>
      </w:tr>
      <w:tr w:rsidR="00822A44" w:rsidRPr="003D7E12" w:rsidTr="00631DA4">
        <w:trPr>
          <w:cantSplit/>
          <w:trHeight w:val="573"/>
        </w:trPr>
        <w:tc>
          <w:tcPr>
            <w:tcW w:w="3118" w:type="dxa"/>
            <w:vMerge/>
            <w:tcBorders>
              <w:left w:val="single" w:sz="4" w:space="0" w:color="auto"/>
              <w:bottom w:val="single" w:sz="4" w:space="0" w:color="auto"/>
              <w:right w:val="single" w:sz="4" w:space="0" w:color="auto"/>
            </w:tcBorders>
            <w:tcMar>
              <w:top w:w="28" w:type="dxa"/>
              <w:bottom w:w="28" w:type="dxa"/>
            </w:tcMar>
          </w:tcPr>
          <w:p w:rsidR="00822A44" w:rsidRPr="007F7D95" w:rsidRDefault="00822A44" w:rsidP="00596D7F">
            <w:pPr>
              <w:rPr>
                <w:rFonts w:ascii="Arial" w:hAnsi="Arial" w:cs="Arial"/>
                <w:color w:val="000000"/>
              </w:rPr>
            </w:pPr>
          </w:p>
        </w:tc>
        <w:tc>
          <w:tcPr>
            <w:tcW w:w="2262" w:type="dxa"/>
            <w:vMerge/>
            <w:tcBorders>
              <w:left w:val="single" w:sz="4" w:space="0" w:color="auto"/>
              <w:bottom w:val="single" w:sz="4" w:space="0" w:color="auto"/>
              <w:right w:val="single" w:sz="4" w:space="0" w:color="auto"/>
            </w:tcBorders>
            <w:tcMar>
              <w:top w:w="28" w:type="dxa"/>
              <w:bottom w:w="28" w:type="dxa"/>
            </w:tcMar>
          </w:tcPr>
          <w:p w:rsidR="00822A44" w:rsidRPr="007F7D95" w:rsidRDefault="00822A44" w:rsidP="00596D7F">
            <w:pPr>
              <w:rPr>
                <w:rFonts w:ascii="Arial" w:hAnsi="Arial" w:cs="Arial"/>
                <w:color w:val="000000"/>
              </w:rPr>
            </w:pPr>
          </w:p>
        </w:tc>
        <w:tc>
          <w:tcPr>
            <w:tcW w:w="2987" w:type="dxa"/>
            <w:vMerge/>
            <w:tcBorders>
              <w:left w:val="single" w:sz="4" w:space="0" w:color="auto"/>
              <w:bottom w:val="single" w:sz="4" w:space="0" w:color="auto"/>
              <w:right w:val="single" w:sz="4" w:space="0" w:color="auto"/>
            </w:tcBorders>
            <w:tcMar>
              <w:top w:w="28" w:type="dxa"/>
              <w:bottom w:w="28" w:type="dxa"/>
            </w:tcMar>
          </w:tcPr>
          <w:p w:rsidR="00822A44" w:rsidRPr="007F7D95" w:rsidRDefault="00822A44" w:rsidP="00596D7F">
            <w:pPr>
              <w:rPr>
                <w:rFonts w:ascii="Arial" w:hAnsi="Arial" w:cs="Arial"/>
                <w:color w:val="000000"/>
              </w:rPr>
            </w:pPr>
          </w:p>
        </w:tc>
        <w:tc>
          <w:tcPr>
            <w:tcW w:w="7192" w:type="dxa"/>
            <w:gridSpan w:val="2"/>
            <w:tcBorders>
              <w:top w:val="single" w:sz="4" w:space="0" w:color="auto"/>
              <w:left w:val="single" w:sz="4" w:space="0" w:color="auto"/>
              <w:bottom w:val="single" w:sz="4" w:space="0" w:color="auto"/>
              <w:right w:val="single" w:sz="4" w:space="0" w:color="auto"/>
            </w:tcBorders>
            <w:shd w:val="clear" w:color="auto" w:fill="auto"/>
          </w:tcPr>
          <w:p w:rsidR="00822A44" w:rsidRPr="00576CCE" w:rsidRDefault="00822A44" w:rsidP="00040BE7">
            <w:pPr>
              <w:jc w:val="both"/>
              <w:rPr>
                <w:rFonts w:ascii="Arial" w:hAnsi="Arial" w:cs="Arial"/>
                <w:b/>
                <w:color w:val="000000"/>
              </w:rPr>
            </w:pPr>
            <w:r w:rsidRPr="00DF3FE7">
              <w:rPr>
                <w:rFonts w:ascii="Arial" w:hAnsi="Arial" w:cs="Arial"/>
                <w:bCs/>
                <w:snapToGrid w:val="0"/>
              </w:rPr>
              <w:t>Sponsor’s comments:</w:t>
            </w:r>
            <w:r w:rsidR="006D4B56" w:rsidRPr="006D4B56">
              <w:rPr>
                <w:rFonts w:ascii="Arial" w:hAnsi="Arial" w:cs="Arial"/>
                <w:bCs/>
                <w:snapToGrid w:val="0"/>
              </w:rPr>
              <w:t xml:space="preserve"> Janssen is disappointed with the outcome for ibrutinib in first line CLL and are currently assessing our position.</w:t>
            </w:r>
          </w:p>
        </w:tc>
      </w:tr>
      <w:tr w:rsidR="0010734D" w:rsidRPr="003D7E12" w:rsidTr="00040BE7">
        <w:trPr>
          <w:cantSplit/>
          <w:trHeight w:val="5887"/>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0734D" w:rsidRDefault="0010734D" w:rsidP="00A10E2A">
            <w:pPr>
              <w:rPr>
                <w:rFonts w:ascii="Arial" w:hAnsi="Arial" w:cs="Arial"/>
              </w:rPr>
            </w:pPr>
            <w:r w:rsidRPr="00A10E2A">
              <w:rPr>
                <w:rFonts w:ascii="Arial" w:hAnsi="Arial" w:cs="Arial"/>
              </w:rPr>
              <w:lastRenderedPageBreak/>
              <w:t>INACTIVATED INFLUENZA VACCINE (SURFACE ANTIGEN), ADJUVANTED</w:t>
            </w:r>
          </w:p>
          <w:p w:rsidR="0010734D" w:rsidRDefault="0010734D" w:rsidP="00A10E2A">
            <w:pPr>
              <w:rPr>
                <w:rFonts w:ascii="Arial" w:hAnsi="Arial" w:cs="Arial"/>
              </w:rPr>
            </w:pPr>
          </w:p>
          <w:p w:rsidR="0010734D" w:rsidRDefault="0010734D" w:rsidP="0010734D">
            <w:pPr>
              <w:rPr>
                <w:rFonts w:ascii="Arial" w:hAnsi="Arial" w:cs="Arial"/>
              </w:rPr>
            </w:pPr>
            <w:r>
              <w:rPr>
                <w:rFonts w:ascii="Arial" w:hAnsi="Arial" w:cs="Arial"/>
                <w:color w:val="000000"/>
              </w:rPr>
              <w:t>Injection 0.5 mL in pre-filled syringe</w:t>
            </w:r>
            <w:r w:rsidRPr="0010734D">
              <w:rPr>
                <w:rFonts w:ascii="Arial" w:hAnsi="Arial" w:cs="Arial"/>
              </w:rPr>
              <w:t xml:space="preserve"> </w:t>
            </w:r>
          </w:p>
          <w:p w:rsidR="0010734D" w:rsidRDefault="0010734D" w:rsidP="0010734D">
            <w:pPr>
              <w:rPr>
                <w:rFonts w:ascii="Arial" w:hAnsi="Arial" w:cs="Arial"/>
              </w:rPr>
            </w:pPr>
          </w:p>
          <w:p w:rsidR="0010734D" w:rsidRDefault="0010734D" w:rsidP="0010734D">
            <w:pPr>
              <w:rPr>
                <w:rFonts w:ascii="Arial" w:hAnsi="Arial" w:cs="Arial"/>
              </w:rPr>
            </w:pPr>
            <w:proofErr w:type="spellStart"/>
            <w:r>
              <w:rPr>
                <w:rFonts w:ascii="Arial" w:hAnsi="Arial" w:cs="Arial"/>
              </w:rPr>
              <w:t>Fluad</w:t>
            </w:r>
            <w:proofErr w:type="spellEnd"/>
            <w:r>
              <w:rPr>
                <w:rFonts w:ascii="Arial" w:hAnsi="Arial" w:cs="Arial"/>
                <w:color w:val="000000"/>
              </w:rPr>
              <w:t>®</w:t>
            </w:r>
          </w:p>
          <w:p w:rsidR="0010734D" w:rsidRDefault="0010734D" w:rsidP="0010734D">
            <w:pPr>
              <w:rPr>
                <w:rFonts w:ascii="Arial" w:hAnsi="Arial" w:cs="Arial"/>
              </w:rPr>
            </w:pPr>
          </w:p>
          <w:p w:rsidR="0010734D" w:rsidRPr="0010734D" w:rsidRDefault="0010734D" w:rsidP="0010734D">
            <w:pPr>
              <w:rPr>
                <w:rFonts w:ascii="Arial" w:hAnsi="Arial" w:cs="Arial"/>
              </w:rPr>
            </w:pPr>
            <w:proofErr w:type="spellStart"/>
            <w:r w:rsidRPr="0010734D">
              <w:rPr>
                <w:rFonts w:ascii="Arial" w:hAnsi="Arial" w:cs="Arial"/>
              </w:rPr>
              <w:t>Seqirus</w:t>
            </w:r>
            <w:proofErr w:type="spellEnd"/>
            <w:r w:rsidRPr="0010734D">
              <w:rPr>
                <w:rFonts w:ascii="Arial" w:hAnsi="Arial" w:cs="Arial"/>
              </w:rPr>
              <w:t xml:space="preserve"> (Australia) Pty Ltd</w:t>
            </w:r>
          </w:p>
          <w:p w:rsidR="0010734D" w:rsidRDefault="0010734D" w:rsidP="00A10E2A">
            <w:pPr>
              <w:rPr>
                <w:rFonts w:ascii="Arial" w:hAnsi="Arial" w:cs="Arial"/>
              </w:rPr>
            </w:pPr>
          </w:p>
          <w:p w:rsidR="000C2059" w:rsidRDefault="0010734D" w:rsidP="00A10E2A">
            <w:pPr>
              <w:rPr>
                <w:rFonts w:ascii="Arial" w:hAnsi="Arial" w:cs="Arial"/>
                <w:color w:val="000000"/>
              </w:rPr>
            </w:pPr>
            <w:r>
              <w:rPr>
                <w:rFonts w:ascii="Arial" w:hAnsi="Arial" w:cs="Arial"/>
                <w:color w:val="000000"/>
              </w:rPr>
              <w:t xml:space="preserve">New listing </w:t>
            </w:r>
          </w:p>
          <w:p w:rsidR="0010734D" w:rsidRDefault="000C2059" w:rsidP="00A10E2A">
            <w:pPr>
              <w:rPr>
                <w:rFonts w:ascii="Arial" w:hAnsi="Arial" w:cs="Arial"/>
                <w:color w:val="000000"/>
              </w:rPr>
            </w:pPr>
            <w:r>
              <w:rPr>
                <w:rFonts w:ascii="Arial" w:hAnsi="Arial" w:cs="Arial"/>
                <w:color w:val="000000"/>
              </w:rPr>
              <w:t>(</w:t>
            </w:r>
            <w:r w:rsidR="0010734D" w:rsidRPr="007F7D95">
              <w:rPr>
                <w:rFonts w:ascii="Arial" w:hAnsi="Arial" w:cs="Arial"/>
                <w:color w:val="000000"/>
              </w:rPr>
              <w:t>Minor Submission)</w:t>
            </w: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Pr="00A10E2A" w:rsidRDefault="00C3169D" w:rsidP="00A10E2A">
            <w:pPr>
              <w:rPr>
                <w:rFonts w:ascii="Arial" w:hAnsi="Arial" w:cs="Arial"/>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10734D" w:rsidRPr="00A10E2A" w:rsidRDefault="0010734D" w:rsidP="00A10E2A">
            <w:pPr>
              <w:rPr>
                <w:rFonts w:ascii="Arial" w:hAnsi="Arial" w:cs="Arial"/>
              </w:rPr>
            </w:pPr>
            <w:r w:rsidRPr="00A10E2A">
              <w:rPr>
                <w:rFonts w:ascii="Arial" w:hAnsi="Arial" w:cs="Arial"/>
              </w:rPr>
              <w:t>Prevention of seasonal influenza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10734D" w:rsidRDefault="0010734D" w:rsidP="0010734D">
            <w:pPr>
              <w:rPr>
                <w:rFonts w:ascii="Arial" w:hAnsi="Arial" w:cs="Arial"/>
              </w:rPr>
            </w:pPr>
            <w:r>
              <w:rPr>
                <w:rFonts w:ascii="Arial" w:hAnsi="Arial" w:cs="Arial"/>
              </w:rPr>
              <w:t xml:space="preserve">To request National Immunisation Program (NIP) listing for the prevention of seasonal influenza in patients aged 65 years and over. </w:t>
            </w:r>
          </w:p>
        </w:tc>
        <w:tc>
          <w:tcPr>
            <w:tcW w:w="7192" w:type="dxa"/>
            <w:gridSpan w:val="2"/>
            <w:tcBorders>
              <w:top w:val="single" w:sz="4" w:space="0" w:color="auto"/>
              <w:left w:val="single" w:sz="4" w:space="0" w:color="auto"/>
              <w:bottom w:val="single" w:sz="4" w:space="0" w:color="auto"/>
              <w:right w:val="single" w:sz="4" w:space="0" w:color="auto"/>
            </w:tcBorders>
          </w:tcPr>
          <w:p w:rsidR="00C3169D" w:rsidRDefault="00C3169D" w:rsidP="00040BE7">
            <w:pPr>
              <w:jc w:val="both"/>
              <w:rPr>
                <w:rFonts w:ascii="Arial" w:hAnsi="Arial" w:cs="Arial"/>
                <w:color w:val="000000"/>
              </w:rPr>
            </w:pPr>
            <w:r>
              <w:rPr>
                <w:rFonts w:ascii="Arial" w:hAnsi="Arial" w:cs="Arial"/>
                <w:color w:val="000000"/>
              </w:rPr>
              <w:t xml:space="preserve">The PBAC recommended that inactivated trivalent influenza vaccine (surface antigen), </w:t>
            </w:r>
            <w:proofErr w:type="spellStart"/>
            <w:r>
              <w:rPr>
                <w:rFonts w:ascii="Arial" w:hAnsi="Arial" w:cs="Arial"/>
                <w:color w:val="000000"/>
              </w:rPr>
              <w:t>adjuvanted</w:t>
            </w:r>
            <w:proofErr w:type="spellEnd"/>
            <w:r>
              <w:rPr>
                <w:rFonts w:ascii="Arial" w:hAnsi="Arial" w:cs="Arial"/>
                <w:color w:val="000000"/>
              </w:rPr>
              <w:t xml:space="preserve"> (</w:t>
            </w:r>
            <w:proofErr w:type="spellStart"/>
            <w:r>
              <w:rPr>
                <w:rFonts w:ascii="Arial" w:hAnsi="Arial" w:cs="Arial"/>
                <w:color w:val="000000"/>
              </w:rPr>
              <w:t>aTIV</w:t>
            </w:r>
            <w:proofErr w:type="spellEnd"/>
            <w:r>
              <w:rPr>
                <w:rFonts w:ascii="Arial" w:hAnsi="Arial" w:cs="Arial"/>
                <w:color w:val="000000"/>
              </w:rPr>
              <w:t xml:space="preserve">) vaccine be a designated vaccine for the purposes of the </w:t>
            </w:r>
            <w:r w:rsidRPr="00975950">
              <w:rPr>
                <w:rFonts w:ascii="Arial" w:hAnsi="Arial" w:cs="Arial"/>
                <w:i/>
                <w:color w:val="000000"/>
              </w:rPr>
              <w:t>National Health Act 1953</w:t>
            </w:r>
            <w:r>
              <w:rPr>
                <w:rFonts w:ascii="Arial" w:hAnsi="Arial" w:cs="Arial"/>
                <w:color w:val="000000"/>
              </w:rPr>
              <w:t xml:space="preserve"> for active immunisation against influenza in adults aged ≥65 years of age.</w:t>
            </w:r>
          </w:p>
          <w:p w:rsidR="00C3169D" w:rsidRDefault="00C3169D" w:rsidP="00040BE7">
            <w:pPr>
              <w:jc w:val="both"/>
              <w:rPr>
                <w:rFonts w:ascii="Arial" w:hAnsi="Arial" w:cs="Arial"/>
                <w:color w:val="000000"/>
              </w:rPr>
            </w:pPr>
            <w:r>
              <w:rPr>
                <w:rFonts w:ascii="Arial" w:hAnsi="Arial" w:cs="Arial"/>
                <w:color w:val="000000"/>
              </w:rPr>
              <w:br/>
              <w:t xml:space="preserve">The PBAC considered that the </w:t>
            </w:r>
            <w:proofErr w:type="spellStart"/>
            <w:r>
              <w:rPr>
                <w:rFonts w:ascii="Arial" w:hAnsi="Arial" w:cs="Arial"/>
                <w:color w:val="000000"/>
              </w:rPr>
              <w:t>aTIV</w:t>
            </w:r>
            <w:proofErr w:type="spellEnd"/>
            <w:r>
              <w:rPr>
                <w:rFonts w:ascii="Arial" w:hAnsi="Arial" w:cs="Arial"/>
                <w:color w:val="000000"/>
              </w:rPr>
              <w:t xml:space="preserve"> vaccine would be acceptably cost-effective if subsidised on a cost-minimisation basis with the currently NIP listed </w:t>
            </w:r>
            <w:proofErr w:type="spellStart"/>
            <w:r>
              <w:rPr>
                <w:rFonts w:ascii="Arial" w:hAnsi="Arial" w:cs="Arial"/>
                <w:color w:val="000000"/>
              </w:rPr>
              <w:t>quadrivalent</w:t>
            </w:r>
            <w:proofErr w:type="spellEnd"/>
            <w:r>
              <w:rPr>
                <w:rFonts w:ascii="Arial" w:hAnsi="Arial" w:cs="Arial"/>
                <w:color w:val="000000"/>
              </w:rPr>
              <w:t xml:space="preserve"> inactivated vaccines (QIV) for those aged ≥65.</w:t>
            </w:r>
          </w:p>
          <w:p w:rsidR="00C3169D" w:rsidRDefault="00C3169D" w:rsidP="00040BE7">
            <w:pPr>
              <w:jc w:val="both"/>
              <w:rPr>
                <w:rFonts w:ascii="Arial" w:hAnsi="Arial" w:cs="Arial"/>
                <w:color w:val="000000"/>
              </w:rPr>
            </w:pPr>
            <w:r>
              <w:rPr>
                <w:rFonts w:ascii="Arial" w:hAnsi="Arial" w:cs="Arial"/>
                <w:color w:val="000000"/>
              </w:rPr>
              <w:br/>
              <w:t xml:space="preserve">The PBAC agreed with the Australian Technical Advisory Group on Immunisation (ATAGI) that there is sufficient evidence indicating </w:t>
            </w:r>
            <w:proofErr w:type="spellStart"/>
            <w:r>
              <w:rPr>
                <w:rFonts w:ascii="Arial" w:hAnsi="Arial" w:cs="Arial"/>
                <w:color w:val="000000"/>
              </w:rPr>
              <w:t>aTIV</w:t>
            </w:r>
            <w:proofErr w:type="spellEnd"/>
            <w:r>
              <w:rPr>
                <w:rFonts w:ascii="Arial" w:hAnsi="Arial" w:cs="Arial"/>
                <w:color w:val="000000"/>
              </w:rPr>
              <w:t xml:space="preserve"> is superior in effectiveness to non-</w:t>
            </w:r>
            <w:proofErr w:type="spellStart"/>
            <w:r>
              <w:rPr>
                <w:rFonts w:ascii="Arial" w:hAnsi="Arial" w:cs="Arial"/>
                <w:color w:val="000000"/>
              </w:rPr>
              <w:t>adjuvanted</w:t>
            </w:r>
            <w:proofErr w:type="spellEnd"/>
            <w:r>
              <w:rPr>
                <w:rFonts w:ascii="Arial" w:hAnsi="Arial" w:cs="Arial"/>
                <w:color w:val="000000"/>
              </w:rPr>
              <w:t xml:space="preserve"> trivalent inactivated vaccine (TIV) in some scenarios, particularly in seasons dominated by influenza A/H3 disease which accounts for a substantial burden in this age group.</w:t>
            </w:r>
          </w:p>
          <w:p w:rsidR="00C3169D" w:rsidRDefault="00C3169D" w:rsidP="00040BE7">
            <w:pPr>
              <w:jc w:val="both"/>
              <w:rPr>
                <w:rFonts w:ascii="Arial" w:hAnsi="Arial" w:cs="Arial"/>
                <w:color w:val="000000"/>
              </w:rPr>
            </w:pPr>
            <w:r>
              <w:rPr>
                <w:rFonts w:ascii="Arial" w:hAnsi="Arial" w:cs="Arial"/>
                <w:color w:val="000000"/>
              </w:rPr>
              <w:br/>
              <w:t xml:space="preserve">The PBAC also agreed with the ATAGI that the potential additional protection afforded by </w:t>
            </w:r>
            <w:proofErr w:type="spellStart"/>
            <w:r>
              <w:rPr>
                <w:rFonts w:ascii="Arial" w:hAnsi="Arial" w:cs="Arial"/>
                <w:color w:val="000000"/>
              </w:rPr>
              <w:t>aTIV</w:t>
            </w:r>
            <w:proofErr w:type="spellEnd"/>
            <w:r>
              <w:rPr>
                <w:rFonts w:ascii="Arial" w:hAnsi="Arial" w:cs="Arial"/>
                <w:color w:val="000000"/>
              </w:rPr>
              <w:t xml:space="preserve"> against the strains included in the vaccine is substantial enough to offset, if not outweigh, the potential loss of protection against the alternative B lineage not in the QIV vaccine, in most years, for adults aged ≥65 years.</w:t>
            </w:r>
          </w:p>
          <w:p w:rsidR="00CC1536" w:rsidRPr="00366D6E" w:rsidRDefault="00C3169D" w:rsidP="00040BE7">
            <w:pPr>
              <w:jc w:val="both"/>
              <w:rPr>
                <w:rFonts w:ascii="Arial" w:hAnsi="Arial" w:cs="Arial"/>
                <w:color w:val="000000"/>
              </w:rPr>
            </w:pPr>
            <w:r>
              <w:rPr>
                <w:rFonts w:ascii="Arial" w:hAnsi="Arial" w:cs="Arial"/>
                <w:color w:val="000000"/>
              </w:rPr>
              <w:br/>
              <w:t xml:space="preserve">The PBAC noted that the submission had be made on a cost-minimisation basis to the current standard of care (QIV) in response to liaison with the company from the Chief Medical Officer to contribute to the Government’s response to public health concerns around the 2018 influenza season. </w:t>
            </w:r>
          </w:p>
        </w:tc>
      </w:tr>
      <w:tr w:rsidR="0010734D" w:rsidRPr="003D7E12" w:rsidTr="00040BE7">
        <w:trPr>
          <w:cantSplit/>
          <w:trHeight w:val="5461"/>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0734D" w:rsidRDefault="0010734D" w:rsidP="00A10E2A">
            <w:pPr>
              <w:rPr>
                <w:rFonts w:ascii="Arial" w:hAnsi="Arial" w:cs="Arial"/>
              </w:rPr>
            </w:pPr>
            <w:r w:rsidRPr="00A10E2A">
              <w:rPr>
                <w:rFonts w:ascii="Arial" w:hAnsi="Arial" w:cs="Arial"/>
              </w:rPr>
              <w:lastRenderedPageBreak/>
              <w:t>INACTIVATED TRIVALENT INFLUENZA VACCINE (SPLIT VIRION)</w:t>
            </w:r>
          </w:p>
          <w:p w:rsidR="0010734D" w:rsidRDefault="0010734D" w:rsidP="0010734D">
            <w:pPr>
              <w:rPr>
                <w:rFonts w:ascii="Arial" w:hAnsi="Arial" w:cs="Arial"/>
              </w:rPr>
            </w:pPr>
          </w:p>
          <w:p w:rsidR="0010734D" w:rsidRDefault="0010734D" w:rsidP="0010734D">
            <w:pPr>
              <w:rPr>
                <w:rFonts w:ascii="Arial" w:hAnsi="Arial" w:cs="Arial"/>
              </w:rPr>
            </w:pPr>
            <w:r>
              <w:rPr>
                <w:rFonts w:ascii="Arial" w:hAnsi="Arial" w:cs="Arial"/>
                <w:color w:val="000000"/>
              </w:rPr>
              <w:t>Injection 0.5 mL in pre-filled syringe</w:t>
            </w:r>
          </w:p>
          <w:p w:rsidR="0010734D" w:rsidRDefault="0010734D" w:rsidP="0010734D">
            <w:pPr>
              <w:rPr>
                <w:rFonts w:ascii="Arial" w:hAnsi="Arial" w:cs="Arial"/>
              </w:rPr>
            </w:pPr>
          </w:p>
          <w:p w:rsidR="0010734D" w:rsidRDefault="0010734D" w:rsidP="0010734D">
            <w:pPr>
              <w:rPr>
                <w:rFonts w:ascii="Arial" w:hAnsi="Arial" w:cs="Arial"/>
              </w:rPr>
            </w:pPr>
            <w:proofErr w:type="spellStart"/>
            <w:r>
              <w:rPr>
                <w:rFonts w:ascii="Arial" w:hAnsi="Arial" w:cs="Arial"/>
              </w:rPr>
              <w:t>Fluzone</w:t>
            </w:r>
            <w:proofErr w:type="spellEnd"/>
            <w:r>
              <w:rPr>
                <w:rFonts w:ascii="Arial" w:hAnsi="Arial" w:cs="Arial"/>
              </w:rPr>
              <w:t>® High-Dose</w:t>
            </w:r>
          </w:p>
          <w:p w:rsidR="0010734D" w:rsidRDefault="0010734D" w:rsidP="0010734D">
            <w:pPr>
              <w:rPr>
                <w:rFonts w:ascii="Arial" w:hAnsi="Arial" w:cs="Arial"/>
              </w:rPr>
            </w:pPr>
          </w:p>
          <w:p w:rsidR="0010734D" w:rsidRPr="0010734D" w:rsidRDefault="0010734D" w:rsidP="0010734D">
            <w:pPr>
              <w:rPr>
                <w:rFonts w:ascii="Arial" w:hAnsi="Arial" w:cs="Arial"/>
              </w:rPr>
            </w:pPr>
            <w:proofErr w:type="spellStart"/>
            <w:r w:rsidRPr="0010734D">
              <w:rPr>
                <w:rFonts w:ascii="Arial" w:hAnsi="Arial" w:cs="Arial"/>
              </w:rPr>
              <w:t>Sanofi-aventis</w:t>
            </w:r>
            <w:proofErr w:type="spellEnd"/>
            <w:r w:rsidRPr="0010734D">
              <w:rPr>
                <w:rFonts w:ascii="Arial" w:hAnsi="Arial" w:cs="Arial"/>
              </w:rPr>
              <w:t xml:space="preserve"> Australia Pty Ltd</w:t>
            </w:r>
          </w:p>
          <w:p w:rsidR="0010734D" w:rsidRDefault="0010734D" w:rsidP="00A10E2A">
            <w:pPr>
              <w:rPr>
                <w:rFonts w:ascii="Arial" w:hAnsi="Arial" w:cs="Arial"/>
              </w:rPr>
            </w:pPr>
          </w:p>
          <w:p w:rsidR="000C2059" w:rsidRDefault="0010734D" w:rsidP="00A10E2A">
            <w:pPr>
              <w:rPr>
                <w:rFonts w:ascii="Arial" w:hAnsi="Arial" w:cs="Arial"/>
                <w:color w:val="000000"/>
              </w:rPr>
            </w:pPr>
            <w:r>
              <w:rPr>
                <w:rFonts w:ascii="Arial" w:hAnsi="Arial" w:cs="Arial"/>
                <w:color w:val="000000"/>
              </w:rPr>
              <w:t>New listing</w:t>
            </w:r>
          </w:p>
          <w:p w:rsidR="0010734D" w:rsidRDefault="0010734D" w:rsidP="00A10E2A">
            <w:pPr>
              <w:rPr>
                <w:rFonts w:ascii="Arial" w:hAnsi="Arial" w:cs="Arial"/>
                <w:color w:val="000000"/>
              </w:rPr>
            </w:pPr>
            <w:r w:rsidRPr="007F7D95">
              <w:rPr>
                <w:rFonts w:ascii="Arial" w:hAnsi="Arial" w:cs="Arial"/>
                <w:color w:val="000000"/>
              </w:rPr>
              <w:t>(Minor Submission)</w:t>
            </w: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Default="00C3169D" w:rsidP="00A10E2A">
            <w:pPr>
              <w:rPr>
                <w:rFonts w:ascii="Arial" w:hAnsi="Arial" w:cs="Arial"/>
                <w:color w:val="000000"/>
              </w:rPr>
            </w:pPr>
          </w:p>
          <w:p w:rsidR="00C3169D" w:rsidRPr="00A10E2A" w:rsidRDefault="00C3169D" w:rsidP="00A10E2A">
            <w:pPr>
              <w:rPr>
                <w:rFonts w:ascii="Arial" w:hAnsi="Arial" w:cs="Arial"/>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10734D" w:rsidRPr="00A10E2A" w:rsidRDefault="0010734D" w:rsidP="00A10E2A">
            <w:pPr>
              <w:rPr>
                <w:rFonts w:ascii="Arial" w:hAnsi="Arial" w:cs="Arial"/>
              </w:rPr>
            </w:pPr>
            <w:r w:rsidRPr="00A10E2A">
              <w:rPr>
                <w:rFonts w:ascii="Arial" w:hAnsi="Arial" w:cs="Arial"/>
              </w:rPr>
              <w:t>Prevention of seasonal influenza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10734D" w:rsidRDefault="0010734D" w:rsidP="0010734D">
            <w:pPr>
              <w:rPr>
                <w:rFonts w:ascii="Arial" w:hAnsi="Arial" w:cs="Arial"/>
              </w:rPr>
            </w:pPr>
            <w:r>
              <w:rPr>
                <w:rFonts w:ascii="Arial" w:hAnsi="Arial" w:cs="Arial"/>
              </w:rPr>
              <w:t xml:space="preserve">To request National Immunisation Program (NIP) listing for the prevention of seasonal influenza in patients aged 65 years and over. </w:t>
            </w:r>
          </w:p>
        </w:tc>
        <w:tc>
          <w:tcPr>
            <w:tcW w:w="7192" w:type="dxa"/>
            <w:gridSpan w:val="2"/>
            <w:tcBorders>
              <w:top w:val="single" w:sz="4" w:space="0" w:color="auto"/>
              <w:left w:val="single" w:sz="4" w:space="0" w:color="auto"/>
              <w:bottom w:val="single" w:sz="4" w:space="0" w:color="auto"/>
              <w:right w:val="single" w:sz="4" w:space="0" w:color="auto"/>
            </w:tcBorders>
          </w:tcPr>
          <w:p w:rsidR="00C3169D" w:rsidRDefault="00C3169D" w:rsidP="00040BE7">
            <w:pPr>
              <w:jc w:val="both"/>
              <w:rPr>
                <w:rFonts w:ascii="Arial" w:hAnsi="Arial" w:cs="Arial"/>
                <w:color w:val="000000"/>
              </w:rPr>
            </w:pPr>
            <w:r>
              <w:rPr>
                <w:rFonts w:ascii="Arial" w:hAnsi="Arial" w:cs="Arial"/>
                <w:color w:val="000000"/>
              </w:rPr>
              <w:t xml:space="preserve">The PBAC recommended that inactivated trivalent influenza vaccine (TIV-HD) be a designated vaccine for the purposes of the </w:t>
            </w:r>
            <w:r w:rsidRPr="00975950">
              <w:rPr>
                <w:rFonts w:ascii="Arial" w:hAnsi="Arial" w:cs="Arial"/>
                <w:i/>
                <w:color w:val="000000"/>
              </w:rPr>
              <w:t>National Health Act 1953</w:t>
            </w:r>
            <w:r>
              <w:rPr>
                <w:rFonts w:ascii="Arial" w:hAnsi="Arial" w:cs="Arial"/>
                <w:color w:val="000000"/>
              </w:rPr>
              <w:t xml:space="preserve"> for active immunisation against influenza in adults aged ≥65 years.</w:t>
            </w:r>
          </w:p>
          <w:p w:rsidR="00C3169D" w:rsidRDefault="00C3169D" w:rsidP="00040BE7">
            <w:pPr>
              <w:jc w:val="both"/>
              <w:rPr>
                <w:rFonts w:ascii="Arial" w:hAnsi="Arial" w:cs="Arial"/>
                <w:color w:val="000000"/>
              </w:rPr>
            </w:pPr>
            <w:r>
              <w:rPr>
                <w:rFonts w:ascii="Arial" w:hAnsi="Arial" w:cs="Arial"/>
                <w:color w:val="000000"/>
              </w:rPr>
              <w:br/>
              <w:t xml:space="preserve">The PBAC considered that the TIV-HD vaccine would be acceptably cost-effective if subsidised on a cost-minimisation basis with the currently NIP listed </w:t>
            </w:r>
            <w:proofErr w:type="spellStart"/>
            <w:r>
              <w:rPr>
                <w:rFonts w:ascii="Arial" w:hAnsi="Arial" w:cs="Arial"/>
                <w:color w:val="000000"/>
              </w:rPr>
              <w:t>quadrivalent</w:t>
            </w:r>
            <w:proofErr w:type="spellEnd"/>
            <w:r>
              <w:rPr>
                <w:rFonts w:ascii="Arial" w:hAnsi="Arial" w:cs="Arial"/>
                <w:color w:val="000000"/>
              </w:rPr>
              <w:t xml:space="preserve"> inactivated vaccines (QIV) for those aged ≥65.</w:t>
            </w:r>
          </w:p>
          <w:p w:rsidR="00C3169D" w:rsidRDefault="00C3169D" w:rsidP="00040BE7">
            <w:pPr>
              <w:jc w:val="both"/>
              <w:rPr>
                <w:rFonts w:ascii="Arial" w:hAnsi="Arial" w:cs="Arial"/>
                <w:color w:val="000000"/>
              </w:rPr>
            </w:pPr>
            <w:r>
              <w:rPr>
                <w:rFonts w:ascii="Arial" w:hAnsi="Arial" w:cs="Arial"/>
                <w:color w:val="000000"/>
              </w:rPr>
              <w:br/>
              <w:t>The PBAC agreed with the Australian Technical Advisory Group on Immunisation (ATAGI) that there was sufficient evidence indicating TIV-HD is superior in effectiveness to a standard-dose trivalent inactivated vaccine (TIV-SD) against vaccine-matched influenza strains. The PBAC also agreed with the ATAGI that the additional protection against vaccine-matched strains included in the TIV-HD vaccine is substantial enough to offset, if not outweigh, the potential loss of protection against the alternative B lineage not in the vaccine, in most years, for adults aged ≥65 years.</w:t>
            </w:r>
          </w:p>
          <w:p w:rsidR="00CC1536" w:rsidRPr="00366D6E" w:rsidRDefault="00C3169D" w:rsidP="00040BE7">
            <w:pPr>
              <w:jc w:val="both"/>
              <w:rPr>
                <w:rFonts w:ascii="Arial" w:hAnsi="Arial" w:cs="Arial"/>
                <w:color w:val="000000"/>
              </w:rPr>
            </w:pPr>
            <w:r>
              <w:rPr>
                <w:rFonts w:ascii="Arial" w:hAnsi="Arial" w:cs="Arial"/>
                <w:color w:val="000000"/>
              </w:rPr>
              <w:br/>
              <w:t xml:space="preserve">The PBAC noted that the submission had be made on a cost-minimisation basis to the current standard of care (QIV) in response to liaison with the company from the Chief Medical Officer to contribute to the Government’s response to public health concerns around the 2018 influenza season. The PBAC noted the sponsor’s advice that it intended make a further submission for a cost-effectiveness claim. </w:t>
            </w:r>
          </w:p>
        </w:tc>
      </w:tr>
      <w:tr w:rsidR="00B028CB"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Default="00B028CB" w:rsidP="00596D7F">
            <w:pPr>
              <w:rPr>
                <w:rFonts w:ascii="Arial" w:hAnsi="Arial" w:cs="Arial"/>
                <w:color w:val="000000"/>
              </w:rPr>
            </w:pPr>
            <w:r w:rsidRPr="007F7D95">
              <w:rPr>
                <w:rFonts w:ascii="Arial" w:hAnsi="Arial" w:cs="Arial"/>
                <w:color w:val="000000"/>
              </w:rPr>
              <w:lastRenderedPageBreak/>
              <w:t>INSULIN DEGLUDEC WITH INSULIN ASPART</w:t>
            </w:r>
            <w:r w:rsidRPr="007F7D95">
              <w:rPr>
                <w:rFonts w:ascii="Arial" w:hAnsi="Arial" w:cs="Arial"/>
                <w:color w:val="000000"/>
              </w:rPr>
              <w:br/>
            </w:r>
            <w:r w:rsidRPr="007F7D95">
              <w:rPr>
                <w:rFonts w:ascii="Arial" w:hAnsi="Arial" w:cs="Arial"/>
                <w:color w:val="000000"/>
              </w:rPr>
              <w:br/>
              <w:t>Injections, cartridges, 70 units-30 units per mL, 3 mL, 5</w:t>
            </w:r>
            <w:r w:rsidRPr="007F7D95">
              <w:rPr>
                <w:rFonts w:ascii="Arial" w:hAnsi="Arial" w:cs="Arial"/>
                <w:color w:val="000000"/>
              </w:rPr>
              <w:br/>
              <w:t>Injections, pre-filled pen, 70 units-30 units per mL, 3 mL, 5</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Ryzodeg</w:t>
            </w:r>
            <w:proofErr w:type="spellEnd"/>
            <w:r w:rsidRPr="007F7D95">
              <w:rPr>
                <w:rFonts w:ascii="Arial" w:hAnsi="Arial" w:cs="Arial"/>
                <w:color w:val="000000"/>
              </w:rPr>
              <w:t xml:space="preserve"> FlexTouch®</w:t>
            </w:r>
            <w:r w:rsidRPr="007F7D95">
              <w:rPr>
                <w:rFonts w:ascii="Arial" w:hAnsi="Arial" w:cs="Arial"/>
                <w:color w:val="000000"/>
              </w:rPr>
              <w:br/>
            </w:r>
            <w:proofErr w:type="spellStart"/>
            <w:r w:rsidRPr="007F7D95">
              <w:rPr>
                <w:rFonts w:ascii="Arial" w:hAnsi="Arial" w:cs="Arial"/>
                <w:color w:val="000000"/>
              </w:rPr>
              <w:t>Ryzodeg</w:t>
            </w:r>
            <w:proofErr w:type="spellEnd"/>
            <w:r w:rsidRPr="007F7D95">
              <w:rPr>
                <w:rFonts w:ascii="Arial" w:hAnsi="Arial" w:cs="Arial"/>
                <w:color w:val="000000"/>
              </w:rPr>
              <w:t xml:space="preserve"> </w:t>
            </w:r>
            <w:proofErr w:type="spellStart"/>
            <w:r w:rsidRPr="007F7D95">
              <w:rPr>
                <w:rFonts w:ascii="Arial" w:hAnsi="Arial" w:cs="Arial"/>
                <w:color w:val="000000"/>
              </w:rPr>
              <w:t>Penfill</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Novo Nordisk Pharmaceuticals Pty Ltd</w:t>
            </w:r>
          </w:p>
          <w:p w:rsidR="00B028CB" w:rsidRDefault="00B028CB" w:rsidP="00596D7F">
            <w:pPr>
              <w:rPr>
                <w:rFonts w:ascii="Arial" w:hAnsi="Arial" w:cs="Arial"/>
                <w:color w:val="000000"/>
              </w:rPr>
            </w:pPr>
          </w:p>
          <w:p w:rsidR="000C2059" w:rsidRDefault="00B028CB" w:rsidP="00B028CB">
            <w:pPr>
              <w:rPr>
                <w:rFonts w:ascii="Arial" w:hAnsi="Arial" w:cs="Arial"/>
                <w:color w:val="000000"/>
              </w:rPr>
            </w:pPr>
            <w:r>
              <w:rPr>
                <w:rFonts w:ascii="Arial" w:hAnsi="Arial" w:cs="Arial"/>
                <w:color w:val="000000"/>
              </w:rPr>
              <w:t>New listing</w:t>
            </w:r>
          </w:p>
          <w:p w:rsidR="00B028CB" w:rsidRPr="007F7D95" w:rsidRDefault="00B028CB" w:rsidP="00B028CB">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Pr="007F7D95" w:rsidRDefault="00B028CB" w:rsidP="00596D7F">
            <w:pPr>
              <w:rPr>
                <w:rFonts w:ascii="Arial" w:hAnsi="Arial" w:cs="Arial"/>
                <w:color w:val="000000"/>
              </w:rPr>
            </w:pPr>
            <w:r w:rsidRPr="007F7D95">
              <w:rPr>
                <w:rFonts w:ascii="Arial" w:hAnsi="Arial" w:cs="Arial"/>
                <w:color w:val="000000"/>
              </w:rPr>
              <w:t>Diabetes mellitus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Pr="007F7D95" w:rsidRDefault="00B028CB" w:rsidP="00596D7F">
            <w:pPr>
              <w:rPr>
                <w:rFonts w:ascii="Arial" w:hAnsi="Arial" w:cs="Arial"/>
                <w:color w:val="000000"/>
              </w:rPr>
            </w:pPr>
            <w:r w:rsidRPr="007F7D95">
              <w:rPr>
                <w:rFonts w:ascii="Arial" w:hAnsi="Arial" w:cs="Arial"/>
                <w:color w:val="000000"/>
              </w:rPr>
              <w:t>Resubmission to request an unrestricted listing to improve glycaemic control in adult patients with diabetes mellitus where basal and prandial insulin treatment is necessary.</w:t>
            </w:r>
          </w:p>
        </w:tc>
        <w:tc>
          <w:tcPr>
            <w:tcW w:w="7192" w:type="dxa"/>
            <w:gridSpan w:val="2"/>
            <w:tcBorders>
              <w:top w:val="single" w:sz="4" w:space="0" w:color="auto"/>
              <w:left w:val="single" w:sz="4" w:space="0" w:color="auto"/>
              <w:bottom w:val="single" w:sz="4" w:space="0" w:color="auto"/>
              <w:right w:val="single" w:sz="4" w:space="0" w:color="auto"/>
            </w:tcBorders>
          </w:tcPr>
          <w:p w:rsidR="00812579" w:rsidRDefault="00812579" w:rsidP="00BF1F45">
            <w:pPr>
              <w:rPr>
                <w:rFonts w:ascii="Arial" w:hAnsi="Arial" w:cs="Arial"/>
                <w:color w:val="000000"/>
              </w:rPr>
            </w:pPr>
            <w:r>
              <w:rPr>
                <w:rFonts w:ascii="Arial" w:hAnsi="Arial" w:cs="Arial"/>
                <w:color w:val="000000"/>
              </w:rPr>
              <w:t xml:space="preserve">The PBAC recommended the unrestricted listing of insulin </w:t>
            </w:r>
            <w:proofErr w:type="spellStart"/>
            <w:r>
              <w:rPr>
                <w:rFonts w:ascii="Arial" w:hAnsi="Arial" w:cs="Arial"/>
                <w:color w:val="000000"/>
              </w:rPr>
              <w:t>degludec</w:t>
            </w:r>
            <w:proofErr w:type="spellEnd"/>
            <w:r>
              <w:rPr>
                <w:rFonts w:ascii="Arial" w:hAnsi="Arial" w:cs="Arial"/>
                <w:color w:val="000000"/>
              </w:rPr>
              <w:t xml:space="preserve"> with insulin </w:t>
            </w:r>
            <w:proofErr w:type="spellStart"/>
            <w:r>
              <w:rPr>
                <w:rFonts w:ascii="Arial" w:hAnsi="Arial" w:cs="Arial"/>
                <w:color w:val="000000"/>
              </w:rPr>
              <w:t>aspart</w:t>
            </w:r>
            <w:proofErr w:type="spellEnd"/>
            <w:r>
              <w:rPr>
                <w:rFonts w:ascii="Arial" w:hAnsi="Arial" w:cs="Arial"/>
                <w:color w:val="000000"/>
              </w:rPr>
              <w:t xml:space="preserve"> (</w:t>
            </w:r>
            <w:proofErr w:type="spellStart"/>
            <w:r>
              <w:rPr>
                <w:rFonts w:ascii="Arial" w:hAnsi="Arial" w:cs="Arial"/>
                <w:color w:val="000000"/>
              </w:rPr>
              <w:t>IDegAsp</w:t>
            </w:r>
            <w:proofErr w:type="spellEnd"/>
            <w:r>
              <w:rPr>
                <w:rFonts w:ascii="Arial" w:hAnsi="Arial" w:cs="Arial"/>
                <w:color w:val="000000"/>
              </w:rPr>
              <w:t xml:space="preserve">) for treatment of adult patients with diabetes mellitus where insulin treatment is necessary. The PBAC accepted biphasic insulin </w:t>
            </w:r>
            <w:proofErr w:type="spellStart"/>
            <w:r>
              <w:rPr>
                <w:rFonts w:ascii="Arial" w:hAnsi="Arial" w:cs="Arial"/>
                <w:color w:val="000000"/>
              </w:rPr>
              <w:t>aspart</w:t>
            </w:r>
            <w:proofErr w:type="spellEnd"/>
            <w:r>
              <w:rPr>
                <w:rFonts w:ascii="Arial" w:hAnsi="Arial" w:cs="Arial"/>
                <w:color w:val="000000"/>
              </w:rPr>
              <w:t xml:space="preserve"> (</w:t>
            </w:r>
            <w:proofErr w:type="spellStart"/>
            <w:r>
              <w:rPr>
                <w:rFonts w:ascii="Arial" w:hAnsi="Arial" w:cs="Arial"/>
                <w:color w:val="000000"/>
              </w:rPr>
              <w:t>BIAsp</w:t>
            </w:r>
            <w:proofErr w:type="spellEnd"/>
            <w:r>
              <w:rPr>
                <w:rFonts w:ascii="Arial" w:hAnsi="Arial" w:cs="Arial"/>
                <w:color w:val="000000"/>
              </w:rPr>
              <w:t xml:space="preserve"> 30) as the appropriate comparator for </w:t>
            </w:r>
            <w:proofErr w:type="spellStart"/>
            <w:r>
              <w:rPr>
                <w:rFonts w:ascii="Arial" w:hAnsi="Arial" w:cs="Arial"/>
                <w:color w:val="000000"/>
              </w:rPr>
              <w:t>IDegAsp</w:t>
            </w:r>
            <w:proofErr w:type="spellEnd"/>
            <w:r>
              <w:rPr>
                <w:rFonts w:ascii="Arial" w:hAnsi="Arial" w:cs="Arial"/>
                <w:color w:val="000000"/>
              </w:rPr>
              <w:t xml:space="preserve"> in type 1 (T1) and type 2 diabetes mellitus (T2DM) populations. The PBAC reaffirmed that the claim of non-inferior comparative effectiveness was reasonably supported by the data. The PBAC considered that it was appropriate that no benefit claim for reduced hypoglycaemia was made in the modelled cost-minimisation analysis in the resubmission. The PBAC considered that the remaining uncertainties were addressed by the reduction in price for </w:t>
            </w:r>
            <w:proofErr w:type="spellStart"/>
            <w:r>
              <w:rPr>
                <w:rFonts w:ascii="Arial" w:hAnsi="Arial" w:cs="Arial"/>
                <w:color w:val="000000"/>
              </w:rPr>
              <w:t>IDegAsp</w:t>
            </w:r>
            <w:proofErr w:type="spellEnd"/>
            <w:r>
              <w:rPr>
                <w:rFonts w:ascii="Arial" w:hAnsi="Arial" w:cs="Arial"/>
                <w:color w:val="000000"/>
              </w:rPr>
              <w:t xml:space="preserve"> in the resubmission. </w:t>
            </w:r>
          </w:p>
          <w:p w:rsidR="00B028CB" w:rsidRPr="00F869F3" w:rsidRDefault="00B028CB" w:rsidP="00BF1F45">
            <w:pPr>
              <w:pStyle w:val="ListParagraph"/>
              <w:spacing w:before="120" w:after="160"/>
              <w:ind w:left="0"/>
              <w:contextualSpacing w:val="0"/>
              <w:rPr>
                <w:rFonts w:ascii="Arial" w:hAnsi="Arial" w:cs="Arial"/>
                <w:sz w:val="20"/>
                <w:szCs w:val="20"/>
              </w:rPr>
            </w:pPr>
          </w:p>
        </w:tc>
      </w:tr>
      <w:tr w:rsidR="00B028CB"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Default="00B028CB" w:rsidP="00596D7F">
            <w:pPr>
              <w:rPr>
                <w:rFonts w:ascii="Arial" w:hAnsi="Arial" w:cs="Arial"/>
                <w:color w:val="000000"/>
              </w:rPr>
            </w:pPr>
            <w:r>
              <w:rPr>
                <w:rFonts w:ascii="Arial" w:hAnsi="Arial" w:cs="Arial"/>
                <w:color w:val="000000"/>
              </w:rPr>
              <w:t>MENINGOCOCCAL POLYSACCHARIDE SEROGROUPS A, C, W-135 AND Y CONJUGATE VACCINE</w:t>
            </w:r>
            <w:r>
              <w:rPr>
                <w:rFonts w:ascii="Arial" w:hAnsi="Arial" w:cs="Arial"/>
                <w:color w:val="000000"/>
              </w:rPr>
              <w:br/>
            </w:r>
            <w:r>
              <w:rPr>
                <w:rFonts w:ascii="Arial" w:hAnsi="Arial" w:cs="Arial"/>
                <w:color w:val="000000"/>
              </w:rPr>
              <w:br/>
              <w:t>Injection 0.5 mL in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Nimenrix</w:t>
            </w:r>
            <w:proofErr w:type="spellEnd"/>
            <w:r>
              <w:rPr>
                <w:rFonts w:ascii="Arial" w:hAnsi="Arial" w:cs="Arial"/>
                <w:color w:val="000000"/>
              </w:rPr>
              <w:t>®</w:t>
            </w:r>
            <w:r>
              <w:rPr>
                <w:rFonts w:ascii="Arial" w:hAnsi="Arial" w:cs="Arial"/>
                <w:color w:val="000000"/>
              </w:rPr>
              <w:br/>
            </w:r>
            <w:r>
              <w:rPr>
                <w:rFonts w:ascii="Arial" w:hAnsi="Arial" w:cs="Arial"/>
                <w:color w:val="000000"/>
              </w:rPr>
              <w:br/>
              <w:t>Pfizer Australia Pty Ltd</w:t>
            </w:r>
          </w:p>
          <w:p w:rsidR="00B028CB" w:rsidRDefault="00B028CB" w:rsidP="00596D7F">
            <w:pPr>
              <w:rPr>
                <w:rFonts w:ascii="Arial" w:hAnsi="Arial" w:cs="Arial"/>
                <w:color w:val="000000"/>
              </w:rPr>
            </w:pPr>
          </w:p>
          <w:p w:rsidR="000C2059" w:rsidRDefault="00B028CB" w:rsidP="00B028CB">
            <w:pPr>
              <w:rPr>
                <w:rFonts w:ascii="Arial" w:hAnsi="Arial" w:cs="Arial"/>
                <w:color w:val="000000"/>
              </w:rPr>
            </w:pPr>
            <w:r>
              <w:rPr>
                <w:rFonts w:ascii="Arial" w:hAnsi="Arial" w:cs="Arial"/>
                <w:color w:val="000000"/>
              </w:rPr>
              <w:t xml:space="preserve">New listing </w:t>
            </w:r>
          </w:p>
          <w:p w:rsidR="00B028CB" w:rsidRDefault="00B028CB" w:rsidP="00B028CB">
            <w:pPr>
              <w:rPr>
                <w:rFonts w:ascii="Arial" w:hAnsi="Arial" w:cs="Arial"/>
                <w:color w:val="000000"/>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Default="00B028CB" w:rsidP="00596D7F">
            <w:pPr>
              <w:rPr>
                <w:rFonts w:ascii="Arial" w:hAnsi="Arial" w:cs="Arial"/>
                <w:color w:val="000000"/>
              </w:rPr>
            </w:pPr>
            <w:r>
              <w:rPr>
                <w:rFonts w:ascii="Arial" w:hAnsi="Arial" w:cs="Arial"/>
                <w:color w:val="000000"/>
              </w:rPr>
              <w:t>Meningococcal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Default="00B028CB" w:rsidP="00596D7F">
            <w:pPr>
              <w:rPr>
                <w:rFonts w:ascii="Arial" w:hAnsi="Arial" w:cs="Arial"/>
                <w:color w:val="000000"/>
              </w:rPr>
            </w:pPr>
            <w:r>
              <w:rPr>
                <w:rFonts w:ascii="Arial" w:hAnsi="Arial" w:cs="Arial"/>
                <w:color w:val="000000"/>
              </w:rPr>
              <w:t>To request listing on the National Immunisation Program (NIP) for the active immunisation of infants.</w:t>
            </w:r>
          </w:p>
        </w:tc>
        <w:tc>
          <w:tcPr>
            <w:tcW w:w="7192" w:type="dxa"/>
            <w:gridSpan w:val="2"/>
            <w:tcBorders>
              <w:top w:val="single" w:sz="4" w:space="0" w:color="auto"/>
              <w:left w:val="single" w:sz="4" w:space="0" w:color="auto"/>
              <w:bottom w:val="single" w:sz="4" w:space="0" w:color="auto"/>
              <w:right w:val="single" w:sz="4" w:space="0" w:color="auto"/>
            </w:tcBorders>
          </w:tcPr>
          <w:p w:rsidR="00975950" w:rsidRPr="003D7E12" w:rsidRDefault="00C3169D" w:rsidP="00BF1F45">
            <w:pPr>
              <w:widowControl w:val="0"/>
              <w:rPr>
                <w:rFonts w:ascii="Arial" w:hAnsi="Arial" w:cs="Arial"/>
              </w:rPr>
            </w:pPr>
            <w:r w:rsidRPr="00C3169D">
              <w:rPr>
                <w:rFonts w:ascii="Arial" w:hAnsi="Arial" w:cs="Arial"/>
              </w:rPr>
              <w:t>The PBAC recommended that meningococcal polysaccharide serogroups A, C, W135 and Y conjugate vaccine (</w:t>
            </w:r>
            <w:proofErr w:type="spellStart"/>
            <w:r w:rsidRPr="00C3169D">
              <w:rPr>
                <w:rFonts w:ascii="Arial" w:hAnsi="Arial" w:cs="Arial"/>
              </w:rPr>
              <w:t>MenACWY</w:t>
            </w:r>
            <w:proofErr w:type="spellEnd"/>
            <w:r w:rsidRPr="00C3169D">
              <w:rPr>
                <w:rFonts w:ascii="Arial" w:hAnsi="Arial" w:cs="Arial"/>
              </w:rPr>
              <w:t xml:space="preserve">-TT) vaccine be a designated vaccine for the purposes of the </w:t>
            </w:r>
            <w:r w:rsidRPr="00975950">
              <w:rPr>
                <w:rFonts w:ascii="Arial" w:hAnsi="Arial" w:cs="Arial"/>
                <w:i/>
              </w:rPr>
              <w:t>National Health Act 1953</w:t>
            </w:r>
            <w:r w:rsidRPr="00C3169D">
              <w:rPr>
                <w:rFonts w:ascii="Arial" w:hAnsi="Arial" w:cs="Arial"/>
              </w:rPr>
              <w:t xml:space="preserve"> for the prevention of invasive meningococcal disease (IMD) caused by Neisseria </w:t>
            </w:r>
            <w:proofErr w:type="spellStart"/>
            <w:r w:rsidRPr="00C3169D">
              <w:rPr>
                <w:rFonts w:ascii="Arial" w:hAnsi="Arial" w:cs="Arial"/>
              </w:rPr>
              <w:t>meningitidis</w:t>
            </w:r>
            <w:proofErr w:type="spellEnd"/>
            <w:r w:rsidRPr="00C3169D">
              <w:rPr>
                <w:rFonts w:ascii="Arial" w:hAnsi="Arial" w:cs="Arial"/>
              </w:rPr>
              <w:t xml:space="preserve"> serogroups A, C, W135, and Y (</w:t>
            </w:r>
            <w:proofErr w:type="spellStart"/>
            <w:r w:rsidRPr="00C3169D">
              <w:rPr>
                <w:rFonts w:ascii="Arial" w:hAnsi="Arial" w:cs="Arial"/>
              </w:rPr>
              <w:t>MenA</w:t>
            </w:r>
            <w:proofErr w:type="spellEnd"/>
            <w:r w:rsidRPr="00C3169D">
              <w:rPr>
                <w:rFonts w:ascii="Arial" w:hAnsi="Arial" w:cs="Arial"/>
              </w:rPr>
              <w:t xml:space="preserve">, </w:t>
            </w:r>
            <w:proofErr w:type="spellStart"/>
            <w:r w:rsidRPr="00C3169D">
              <w:rPr>
                <w:rFonts w:ascii="Arial" w:hAnsi="Arial" w:cs="Arial"/>
              </w:rPr>
              <w:t>MenC</w:t>
            </w:r>
            <w:proofErr w:type="spellEnd"/>
            <w:r w:rsidRPr="00C3169D">
              <w:rPr>
                <w:rFonts w:ascii="Arial" w:hAnsi="Arial" w:cs="Arial"/>
              </w:rPr>
              <w:t xml:space="preserve">, MenW135 and </w:t>
            </w:r>
            <w:proofErr w:type="spellStart"/>
            <w:r w:rsidRPr="00C3169D">
              <w:rPr>
                <w:rFonts w:ascii="Arial" w:hAnsi="Arial" w:cs="Arial"/>
              </w:rPr>
              <w:t>MenY</w:t>
            </w:r>
            <w:proofErr w:type="spellEnd"/>
            <w:r w:rsidRPr="00C3169D">
              <w:rPr>
                <w:rFonts w:ascii="Arial" w:hAnsi="Arial" w:cs="Arial"/>
              </w:rPr>
              <w:t>, respectively) in infants.</w:t>
            </w:r>
            <w:r w:rsidRPr="00C3169D">
              <w:rPr>
                <w:rFonts w:ascii="Arial" w:hAnsi="Arial" w:cs="Arial"/>
              </w:rPr>
              <w:br/>
            </w:r>
            <w:r w:rsidRPr="00C3169D">
              <w:rPr>
                <w:rFonts w:ascii="Arial" w:hAnsi="Arial" w:cs="Arial"/>
              </w:rPr>
              <w:br/>
              <w:t xml:space="preserve">In line with the Australian Technical Advisory Group on Immunisation (ATAGI) advice, the PBAC recommended that the administration of the </w:t>
            </w:r>
            <w:proofErr w:type="spellStart"/>
            <w:r w:rsidRPr="00C3169D">
              <w:rPr>
                <w:rFonts w:ascii="Arial" w:hAnsi="Arial" w:cs="Arial"/>
              </w:rPr>
              <w:t>MenACWY</w:t>
            </w:r>
            <w:proofErr w:type="spellEnd"/>
            <w:r w:rsidRPr="00C3169D">
              <w:rPr>
                <w:rFonts w:ascii="Arial" w:hAnsi="Arial" w:cs="Arial"/>
              </w:rPr>
              <w:t xml:space="preserve">-TT vaccine occur at around 12 months of age and further that administration of the haemophilus </w:t>
            </w:r>
            <w:proofErr w:type="spellStart"/>
            <w:r w:rsidRPr="00C3169D">
              <w:rPr>
                <w:rFonts w:ascii="Arial" w:hAnsi="Arial" w:cs="Arial"/>
              </w:rPr>
              <w:t>influenzae</w:t>
            </w:r>
            <w:proofErr w:type="spellEnd"/>
            <w:r w:rsidRPr="00C3169D">
              <w:rPr>
                <w:rFonts w:ascii="Arial" w:hAnsi="Arial" w:cs="Arial"/>
              </w:rPr>
              <w:t xml:space="preserve"> Type B (</w:t>
            </w:r>
            <w:proofErr w:type="spellStart"/>
            <w:r w:rsidRPr="00C3169D">
              <w:rPr>
                <w:rFonts w:ascii="Arial" w:hAnsi="Arial" w:cs="Arial"/>
              </w:rPr>
              <w:t>hib</w:t>
            </w:r>
            <w:proofErr w:type="spellEnd"/>
            <w:r w:rsidRPr="00C3169D">
              <w:rPr>
                <w:rFonts w:ascii="Arial" w:hAnsi="Arial" w:cs="Arial"/>
              </w:rPr>
              <w:t xml:space="preserve">) containing vaccine be moved to around 18 months of age. </w:t>
            </w:r>
            <w:r w:rsidRPr="00C3169D">
              <w:rPr>
                <w:rFonts w:ascii="Arial" w:hAnsi="Arial" w:cs="Arial"/>
              </w:rPr>
              <w:br/>
            </w:r>
            <w:r w:rsidRPr="00C3169D">
              <w:rPr>
                <w:rFonts w:ascii="Arial" w:hAnsi="Arial" w:cs="Arial"/>
              </w:rPr>
              <w:br/>
              <w:t xml:space="preserve">The PBAC considered the </w:t>
            </w:r>
            <w:proofErr w:type="spellStart"/>
            <w:r w:rsidRPr="00C3169D">
              <w:rPr>
                <w:rFonts w:ascii="Arial" w:hAnsi="Arial" w:cs="Arial"/>
              </w:rPr>
              <w:t>MenACWY</w:t>
            </w:r>
            <w:proofErr w:type="spellEnd"/>
            <w:r w:rsidRPr="00C3169D">
              <w:rPr>
                <w:rFonts w:ascii="Arial" w:hAnsi="Arial" w:cs="Arial"/>
              </w:rPr>
              <w:t xml:space="preserve">-TT vaccine would be acceptably cost-effective if subsidised on a cost-minimisation basis with the </w:t>
            </w:r>
            <w:proofErr w:type="spellStart"/>
            <w:r w:rsidRPr="00C3169D">
              <w:rPr>
                <w:rFonts w:ascii="Arial" w:hAnsi="Arial" w:cs="Arial"/>
              </w:rPr>
              <w:t>MenC</w:t>
            </w:r>
            <w:proofErr w:type="spellEnd"/>
            <w:r w:rsidRPr="00C3169D">
              <w:rPr>
                <w:rFonts w:ascii="Arial" w:hAnsi="Arial" w:cs="Arial"/>
              </w:rPr>
              <w:t xml:space="preserve"> component of the Hib-</w:t>
            </w:r>
            <w:proofErr w:type="spellStart"/>
            <w:r w:rsidRPr="00C3169D">
              <w:rPr>
                <w:rFonts w:ascii="Arial" w:hAnsi="Arial" w:cs="Arial"/>
              </w:rPr>
              <w:t>MenC</w:t>
            </w:r>
            <w:proofErr w:type="spellEnd"/>
            <w:r w:rsidRPr="00C3169D">
              <w:rPr>
                <w:rFonts w:ascii="Arial" w:hAnsi="Arial" w:cs="Arial"/>
              </w:rPr>
              <w:t xml:space="preserve"> vaccine (</w:t>
            </w:r>
            <w:proofErr w:type="spellStart"/>
            <w:r w:rsidRPr="00C3169D">
              <w:rPr>
                <w:rFonts w:ascii="Arial" w:hAnsi="Arial" w:cs="Arial"/>
              </w:rPr>
              <w:t>Menitorix</w:t>
            </w:r>
            <w:proofErr w:type="spellEnd"/>
            <w:r w:rsidRPr="00C3169D">
              <w:rPr>
                <w:rFonts w:ascii="Arial" w:hAnsi="Arial" w:cs="Arial"/>
              </w:rPr>
              <w:t xml:space="preserve">). </w:t>
            </w:r>
          </w:p>
          <w:p w:rsidR="003A42F4" w:rsidRPr="003D7E12" w:rsidRDefault="003A42F4" w:rsidP="00BF1F45">
            <w:pPr>
              <w:widowControl w:val="0"/>
              <w:rPr>
                <w:rFonts w:ascii="Arial" w:hAnsi="Arial" w:cs="Arial"/>
              </w:rPr>
            </w:pPr>
          </w:p>
        </w:tc>
      </w:tr>
      <w:tr w:rsidR="00A10E2A" w:rsidRPr="003D7E12" w:rsidTr="003C1FC9">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A10E2A" w:rsidRDefault="00A10E2A" w:rsidP="00596D7F">
            <w:pPr>
              <w:rPr>
                <w:rFonts w:ascii="Arial" w:hAnsi="Arial" w:cs="Arial"/>
                <w:color w:val="000000"/>
              </w:rPr>
            </w:pPr>
            <w:r>
              <w:rPr>
                <w:rFonts w:ascii="Arial" w:hAnsi="Arial" w:cs="Arial"/>
                <w:color w:val="000000"/>
              </w:rPr>
              <w:lastRenderedPageBreak/>
              <w:t>MENINGOCOCCAL POLYSACCHARIDE SEROGROUPS A, C, W-135 AND Y CONJUGATE VACCINE</w:t>
            </w:r>
            <w:r>
              <w:rPr>
                <w:rFonts w:ascii="Arial" w:hAnsi="Arial" w:cs="Arial"/>
                <w:color w:val="000000"/>
              </w:rPr>
              <w:br/>
            </w:r>
            <w:r>
              <w:rPr>
                <w:rFonts w:ascii="Arial" w:hAnsi="Arial" w:cs="Arial"/>
                <w:color w:val="000000"/>
              </w:rPr>
              <w:br/>
              <w:t>Injection 0.5 mL in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Nimenrix</w:t>
            </w:r>
            <w:proofErr w:type="spellEnd"/>
            <w:r>
              <w:rPr>
                <w:rFonts w:ascii="Arial" w:hAnsi="Arial" w:cs="Arial"/>
                <w:color w:val="000000"/>
              </w:rPr>
              <w:t>®</w:t>
            </w:r>
            <w:r>
              <w:rPr>
                <w:rFonts w:ascii="Arial" w:hAnsi="Arial" w:cs="Arial"/>
                <w:color w:val="000000"/>
              </w:rPr>
              <w:br/>
            </w:r>
            <w:r>
              <w:rPr>
                <w:rFonts w:ascii="Arial" w:hAnsi="Arial" w:cs="Arial"/>
                <w:color w:val="000000"/>
              </w:rPr>
              <w:br/>
              <w:t>Pfizer Australia Pty Ltd</w:t>
            </w:r>
          </w:p>
          <w:p w:rsidR="00A10E2A" w:rsidRDefault="00A10E2A" w:rsidP="00596D7F">
            <w:pPr>
              <w:rPr>
                <w:rFonts w:ascii="Arial" w:hAnsi="Arial" w:cs="Arial"/>
                <w:color w:val="000000"/>
              </w:rPr>
            </w:pPr>
          </w:p>
          <w:p w:rsidR="000C2059" w:rsidRDefault="00A10E2A" w:rsidP="00596D7F">
            <w:pPr>
              <w:rPr>
                <w:rFonts w:ascii="Arial" w:hAnsi="Arial" w:cs="Arial"/>
                <w:color w:val="000000"/>
              </w:rPr>
            </w:pPr>
            <w:r>
              <w:rPr>
                <w:rFonts w:ascii="Arial" w:hAnsi="Arial" w:cs="Arial"/>
                <w:color w:val="000000"/>
              </w:rPr>
              <w:t xml:space="preserve">New listing </w:t>
            </w:r>
          </w:p>
          <w:p w:rsidR="00A10E2A" w:rsidRDefault="00A10E2A" w:rsidP="00596D7F">
            <w:pPr>
              <w:rPr>
                <w:rFonts w:ascii="Arial" w:hAnsi="Arial" w:cs="Arial"/>
                <w:color w:val="000000"/>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A10E2A" w:rsidRDefault="00A10E2A" w:rsidP="00596D7F">
            <w:pPr>
              <w:rPr>
                <w:rFonts w:ascii="Arial" w:hAnsi="Arial" w:cs="Arial"/>
                <w:color w:val="000000"/>
              </w:rPr>
            </w:pPr>
            <w:r>
              <w:rPr>
                <w:rFonts w:ascii="Arial" w:hAnsi="Arial" w:cs="Arial"/>
                <w:color w:val="000000"/>
              </w:rPr>
              <w:t>Meningococcal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A10E2A" w:rsidRPr="00FC07F8" w:rsidRDefault="00A10E2A" w:rsidP="00FC07F8">
            <w:pPr>
              <w:pStyle w:val="ListParagraph"/>
              <w:spacing w:after="120"/>
              <w:ind w:left="0"/>
              <w:contextualSpacing w:val="0"/>
              <w:rPr>
                <w:rFonts w:ascii="Arial" w:hAnsi="Arial" w:cs="Arial"/>
                <w:sz w:val="20"/>
                <w:szCs w:val="20"/>
              </w:rPr>
            </w:pPr>
            <w:r w:rsidRPr="00FC07F8">
              <w:rPr>
                <w:rFonts w:ascii="Arial" w:hAnsi="Arial" w:cs="Arial"/>
                <w:color w:val="000000"/>
                <w:sz w:val="20"/>
                <w:szCs w:val="20"/>
              </w:rPr>
              <w:t>To request listing on the National Immunisation Program (NIP) for the immunisation of adolescents in Year 10 and a catch-up program for adolescents aged up to 19 years administered via a school or GP-based catch up program.</w:t>
            </w:r>
          </w:p>
        </w:tc>
        <w:tc>
          <w:tcPr>
            <w:tcW w:w="7192" w:type="dxa"/>
            <w:gridSpan w:val="2"/>
            <w:tcBorders>
              <w:top w:val="single" w:sz="4" w:space="0" w:color="auto"/>
              <w:left w:val="single" w:sz="4" w:space="0" w:color="auto"/>
              <w:bottom w:val="single" w:sz="4" w:space="0" w:color="auto"/>
              <w:right w:val="single" w:sz="4" w:space="0" w:color="auto"/>
            </w:tcBorders>
            <w:shd w:val="clear" w:color="auto" w:fill="auto"/>
          </w:tcPr>
          <w:p w:rsidR="003C1FC9" w:rsidRPr="00192247" w:rsidRDefault="003C1FC9" w:rsidP="00BF1F45">
            <w:pPr>
              <w:rPr>
                <w:rFonts w:ascii="Arial" w:hAnsi="Arial" w:cs="Arial"/>
                <w:color w:val="000000"/>
              </w:rPr>
            </w:pPr>
            <w:r w:rsidRPr="00192247">
              <w:rPr>
                <w:rFonts w:ascii="Arial" w:hAnsi="Arial" w:cs="Arial"/>
                <w:color w:val="000000"/>
              </w:rPr>
              <w:t>The PBAC recommended that meningococcal polysaccharide serogroups A, C, W135 and Y conjugate vaccine (</w:t>
            </w:r>
            <w:proofErr w:type="spellStart"/>
            <w:r w:rsidRPr="00192247">
              <w:rPr>
                <w:rFonts w:ascii="Arial" w:hAnsi="Arial" w:cs="Arial"/>
                <w:color w:val="000000"/>
              </w:rPr>
              <w:t>MenACWY</w:t>
            </w:r>
            <w:proofErr w:type="spellEnd"/>
            <w:r w:rsidRPr="00192247">
              <w:rPr>
                <w:rFonts w:ascii="Arial" w:hAnsi="Arial" w:cs="Arial"/>
                <w:color w:val="000000"/>
              </w:rPr>
              <w:t xml:space="preserve">-TT) be a designated vaccine for the purposes of the </w:t>
            </w:r>
            <w:r w:rsidRPr="00975950">
              <w:rPr>
                <w:rFonts w:ascii="Arial" w:hAnsi="Arial" w:cs="Arial"/>
                <w:i/>
                <w:color w:val="000000"/>
              </w:rPr>
              <w:t>National Health Act 1953</w:t>
            </w:r>
            <w:r w:rsidRPr="00192247">
              <w:rPr>
                <w:rFonts w:ascii="Arial" w:hAnsi="Arial" w:cs="Arial"/>
                <w:color w:val="000000"/>
              </w:rPr>
              <w:t xml:space="preserve"> for the prevention of invasive meningococcal disease (IMD) caused by Neisseria </w:t>
            </w:r>
            <w:proofErr w:type="spellStart"/>
            <w:r w:rsidRPr="00192247">
              <w:rPr>
                <w:rFonts w:ascii="Arial" w:hAnsi="Arial" w:cs="Arial"/>
                <w:color w:val="000000"/>
              </w:rPr>
              <w:t>meningitidis</w:t>
            </w:r>
            <w:proofErr w:type="spellEnd"/>
            <w:r w:rsidRPr="00192247">
              <w:rPr>
                <w:rFonts w:ascii="Arial" w:hAnsi="Arial" w:cs="Arial"/>
                <w:color w:val="000000"/>
              </w:rPr>
              <w:t xml:space="preserve"> serogroups A, C, W135, and Y (</w:t>
            </w:r>
            <w:proofErr w:type="spellStart"/>
            <w:r w:rsidRPr="00192247">
              <w:rPr>
                <w:rFonts w:ascii="Arial" w:hAnsi="Arial" w:cs="Arial"/>
                <w:color w:val="000000"/>
              </w:rPr>
              <w:t>MenA</w:t>
            </w:r>
            <w:proofErr w:type="spellEnd"/>
            <w:r w:rsidRPr="00192247">
              <w:rPr>
                <w:rFonts w:ascii="Arial" w:hAnsi="Arial" w:cs="Arial"/>
                <w:color w:val="000000"/>
              </w:rPr>
              <w:t xml:space="preserve">, </w:t>
            </w:r>
            <w:proofErr w:type="spellStart"/>
            <w:r w:rsidRPr="00192247">
              <w:rPr>
                <w:rFonts w:ascii="Arial" w:hAnsi="Arial" w:cs="Arial"/>
                <w:color w:val="000000"/>
              </w:rPr>
              <w:t>MenC</w:t>
            </w:r>
            <w:proofErr w:type="spellEnd"/>
            <w:r w:rsidRPr="00192247">
              <w:rPr>
                <w:rFonts w:ascii="Arial" w:hAnsi="Arial" w:cs="Arial"/>
                <w:color w:val="000000"/>
              </w:rPr>
              <w:t xml:space="preserve">, MenW135 and </w:t>
            </w:r>
            <w:proofErr w:type="spellStart"/>
            <w:r w:rsidRPr="00192247">
              <w:rPr>
                <w:rFonts w:ascii="Arial" w:hAnsi="Arial" w:cs="Arial"/>
                <w:color w:val="000000"/>
              </w:rPr>
              <w:t>MenY</w:t>
            </w:r>
            <w:proofErr w:type="spellEnd"/>
            <w:r w:rsidRPr="00192247">
              <w:rPr>
                <w:rFonts w:ascii="Arial" w:hAnsi="Arial" w:cs="Arial"/>
                <w:color w:val="000000"/>
              </w:rPr>
              <w:t xml:space="preserve">, respectively) in adolescents as part of a school based immunisation program for year 10 students (aged 14-16) and via a catch-up program for adolescents aged up to 19 years old. </w:t>
            </w:r>
          </w:p>
          <w:p w:rsidR="003C1FC9" w:rsidRPr="00192247" w:rsidRDefault="003C1FC9" w:rsidP="00BF1F45">
            <w:pPr>
              <w:rPr>
                <w:rFonts w:ascii="Arial" w:hAnsi="Arial" w:cs="Arial"/>
                <w:color w:val="000000"/>
              </w:rPr>
            </w:pPr>
            <w:r w:rsidRPr="00192247">
              <w:rPr>
                <w:rFonts w:ascii="Arial" w:hAnsi="Arial" w:cs="Arial"/>
                <w:color w:val="000000"/>
              </w:rPr>
              <w:br/>
              <w:t xml:space="preserve">The PBAC noted the limitations of the available clinical evidence including the use of single-arms of randomised trials which do not take into account rates of natural immunity, as well as the lack of studies measuring nasopharyngeal meningococcal carriage rates to assess the potential for herd immunity. The PBAC considered that the clinical claim of superior efficacy compared with no vaccine was reasonable. However, the PBAC noted the impact of vaccination on the population incidence of IMD was highly uncertain. The PBAC considered that overall, the </w:t>
            </w:r>
            <w:proofErr w:type="spellStart"/>
            <w:r w:rsidRPr="00192247">
              <w:rPr>
                <w:rFonts w:ascii="Arial" w:hAnsi="Arial" w:cs="Arial"/>
                <w:color w:val="000000"/>
              </w:rPr>
              <w:t>MenACWY</w:t>
            </w:r>
            <w:proofErr w:type="spellEnd"/>
            <w:r w:rsidRPr="00192247">
              <w:rPr>
                <w:rFonts w:ascii="Arial" w:hAnsi="Arial" w:cs="Arial"/>
                <w:color w:val="000000"/>
              </w:rPr>
              <w:t>-TT vaccine had a reasonable safety profile and whilst inferior to the comparator of no vaccine, the adverse events were generally mild or moderate.</w:t>
            </w:r>
          </w:p>
          <w:p w:rsidR="003C1FC9" w:rsidRPr="00192247" w:rsidRDefault="003C1FC9" w:rsidP="00BF1F45">
            <w:pPr>
              <w:rPr>
                <w:rFonts w:ascii="Arial" w:hAnsi="Arial" w:cs="Arial"/>
                <w:color w:val="000000"/>
              </w:rPr>
            </w:pPr>
            <w:r w:rsidRPr="00192247">
              <w:rPr>
                <w:rFonts w:ascii="Arial" w:hAnsi="Arial" w:cs="Arial"/>
                <w:color w:val="000000"/>
              </w:rPr>
              <w:br/>
              <w:t xml:space="preserve">The PBAC considered the cost-effectiveness of the </w:t>
            </w:r>
            <w:proofErr w:type="spellStart"/>
            <w:r w:rsidRPr="00192247">
              <w:rPr>
                <w:rFonts w:ascii="Arial" w:hAnsi="Arial" w:cs="Arial"/>
                <w:color w:val="000000"/>
              </w:rPr>
              <w:t>MenACWY</w:t>
            </w:r>
            <w:proofErr w:type="spellEnd"/>
            <w:r w:rsidRPr="00192247">
              <w:rPr>
                <w:rFonts w:ascii="Arial" w:hAnsi="Arial" w:cs="Arial"/>
                <w:color w:val="000000"/>
              </w:rPr>
              <w:t xml:space="preserve">-TT vaccine to be uncertain given the requirement to translate serological outcomes to clinical outcomes of avoidance of invasive meningococcal disease and associated deaths, and that the assumed extent of herd immunity was a key driver of the result. The PBAC recommended the NIP listing of the </w:t>
            </w:r>
            <w:proofErr w:type="spellStart"/>
            <w:r w:rsidRPr="00192247">
              <w:rPr>
                <w:rFonts w:ascii="Arial" w:hAnsi="Arial" w:cs="Arial"/>
                <w:color w:val="000000"/>
              </w:rPr>
              <w:t>MenACWY</w:t>
            </w:r>
            <w:proofErr w:type="spellEnd"/>
            <w:r w:rsidRPr="00192247">
              <w:rPr>
                <w:rFonts w:ascii="Arial" w:hAnsi="Arial" w:cs="Arial"/>
                <w:color w:val="000000"/>
              </w:rPr>
              <w:t>-TT vaccine contingent upon a price reduction such that the incremental cost-effectiveness ratio is less than $15,000 per quality adjusted life year gained.</w:t>
            </w:r>
          </w:p>
          <w:p w:rsidR="00A10E2A" w:rsidRPr="00192247" w:rsidRDefault="00A10E2A" w:rsidP="00BF1F45">
            <w:pPr>
              <w:pStyle w:val="ListParagraph"/>
              <w:spacing w:before="240" w:after="160"/>
              <w:ind w:left="0"/>
              <w:contextualSpacing w:val="0"/>
              <w:rPr>
                <w:rFonts w:ascii="Arial" w:eastAsia="Calibri" w:hAnsi="Arial" w:cs="Arial"/>
                <w:sz w:val="20"/>
                <w:szCs w:val="20"/>
              </w:rPr>
            </w:pPr>
          </w:p>
        </w:tc>
      </w:tr>
      <w:tr w:rsidR="002F3992" w:rsidRPr="002F399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AD471B" w:rsidRPr="002F3992" w:rsidRDefault="00AD471B" w:rsidP="00596D7F">
            <w:pPr>
              <w:rPr>
                <w:rFonts w:ascii="Arial" w:hAnsi="Arial" w:cs="Arial"/>
              </w:rPr>
            </w:pPr>
            <w:r w:rsidRPr="002F3992">
              <w:rPr>
                <w:rFonts w:ascii="Arial" w:hAnsi="Arial" w:cs="Arial"/>
              </w:rPr>
              <w:lastRenderedPageBreak/>
              <w:t>NICOTINE</w:t>
            </w:r>
            <w:r w:rsidRPr="002F3992">
              <w:rPr>
                <w:rFonts w:ascii="Arial" w:hAnsi="Arial" w:cs="Arial"/>
              </w:rPr>
              <w:br/>
            </w:r>
            <w:r w:rsidRPr="002F3992">
              <w:rPr>
                <w:rFonts w:ascii="Arial" w:hAnsi="Arial" w:cs="Arial"/>
              </w:rPr>
              <w:br/>
              <w:t>Gum 2 mg</w:t>
            </w:r>
            <w:r w:rsidRPr="002F3992">
              <w:rPr>
                <w:rFonts w:ascii="Arial" w:hAnsi="Arial" w:cs="Arial"/>
              </w:rPr>
              <w:br/>
              <w:t>Gum 4 mg</w:t>
            </w:r>
            <w:r w:rsidRPr="002F3992">
              <w:rPr>
                <w:rFonts w:ascii="Arial" w:hAnsi="Arial" w:cs="Arial"/>
              </w:rPr>
              <w:br/>
              <w:t>Lozenge 2 mg</w:t>
            </w:r>
            <w:r w:rsidRPr="002F3992">
              <w:rPr>
                <w:rFonts w:ascii="Arial" w:hAnsi="Arial" w:cs="Arial"/>
              </w:rPr>
              <w:br/>
              <w:t>Lozenge 4 mg</w:t>
            </w:r>
            <w:r w:rsidRPr="002F3992">
              <w:rPr>
                <w:rFonts w:ascii="Arial" w:hAnsi="Arial" w:cs="Arial"/>
              </w:rPr>
              <w:br/>
            </w:r>
            <w:r w:rsidRPr="002F3992">
              <w:rPr>
                <w:rFonts w:ascii="Arial" w:hAnsi="Arial" w:cs="Arial"/>
              </w:rPr>
              <w:br/>
            </w:r>
            <w:proofErr w:type="spellStart"/>
            <w:r w:rsidRPr="002F3992">
              <w:rPr>
                <w:rFonts w:ascii="Arial" w:hAnsi="Arial" w:cs="Arial"/>
              </w:rPr>
              <w:t>Nicotinell</w:t>
            </w:r>
            <w:proofErr w:type="spellEnd"/>
            <w:r w:rsidRPr="002F3992">
              <w:rPr>
                <w:rFonts w:ascii="Arial" w:hAnsi="Arial" w:cs="Arial"/>
              </w:rPr>
              <w:t xml:space="preserve"> Chewing gum®</w:t>
            </w:r>
            <w:r w:rsidRPr="002F3992">
              <w:rPr>
                <w:rFonts w:ascii="Arial" w:hAnsi="Arial" w:cs="Arial"/>
              </w:rPr>
              <w:br/>
            </w:r>
            <w:proofErr w:type="spellStart"/>
            <w:r w:rsidRPr="002F3992">
              <w:rPr>
                <w:rFonts w:ascii="Arial" w:hAnsi="Arial" w:cs="Arial"/>
              </w:rPr>
              <w:t>Nicotinell</w:t>
            </w:r>
            <w:proofErr w:type="spellEnd"/>
            <w:r w:rsidRPr="002F3992">
              <w:rPr>
                <w:rFonts w:ascii="Arial" w:hAnsi="Arial" w:cs="Arial"/>
              </w:rPr>
              <w:t xml:space="preserve"> lozenge®</w:t>
            </w:r>
            <w:r w:rsidRPr="002F3992">
              <w:rPr>
                <w:rFonts w:ascii="Arial" w:hAnsi="Arial" w:cs="Arial"/>
              </w:rPr>
              <w:br/>
            </w:r>
            <w:r w:rsidRPr="002F3992">
              <w:rPr>
                <w:rFonts w:ascii="Arial" w:hAnsi="Arial" w:cs="Arial"/>
              </w:rPr>
              <w:br/>
              <w:t>Orion Laboratories Pty Ltd T/A Perrigo Australia</w:t>
            </w:r>
          </w:p>
          <w:p w:rsidR="00AD471B" w:rsidRPr="002F3992" w:rsidRDefault="00AD471B" w:rsidP="00596D7F">
            <w:pPr>
              <w:rPr>
                <w:rFonts w:ascii="Arial" w:hAnsi="Arial" w:cs="Arial"/>
              </w:rPr>
            </w:pPr>
          </w:p>
          <w:p w:rsidR="000C2059" w:rsidRPr="002F3992" w:rsidRDefault="00AD471B" w:rsidP="00AD471B">
            <w:pPr>
              <w:rPr>
                <w:rFonts w:ascii="Arial" w:hAnsi="Arial" w:cs="Arial"/>
              </w:rPr>
            </w:pPr>
            <w:r w:rsidRPr="002F3992">
              <w:rPr>
                <w:rFonts w:ascii="Arial" w:hAnsi="Arial" w:cs="Arial"/>
              </w:rPr>
              <w:t xml:space="preserve">New listing </w:t>
            </w:r>
          </w:p>
          <w:p w:rsidR="00AD471B" w:rsidRPr="002F3992" w:rsidRDefault="000C2059" w:rsidP="00AD471B">
            <w:pPr>
              <w:rPr>
                <w:rFonts w:ascii="Arial" w:hAnsi="Arial" w:cs="Arial"/>
              </w:rPr>
            </w:pPr>
            <w:r w:rsidRPr="002F3992">
              <w:rPr>
                <w:rFonts w:ascii="Arial" w:hAnsi="Arial" w:cs="Arial"/>
              </w:rPr>
              <w:t>(</w:t>
            </w:r>
            <w:r w:rsidR="00AD471B" w:rsidRPr="002F3992">
              <w:rPr>
                <w:rFonts w:ascii="Arial" w:hAnsi="Arial" w:cs="Arial"/>
              </w:rPr>
              <w:t>Other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AD471B" w:rsidRPr="002F3992" w:rsidRDefault="00AD471B" w:rsidP="00596D7F">
            <w:pPr>
              <w:rPr>
                <w:rFonts w:ascii="Arial" w:hAnsi="Arial" w:cs="Arial"/>
              </w:rPr>
            </w:pPr>
            <w:r w:rsidRPr="002F3992">
              <w:rPr>
                <w:rFonts w:ascii="Arial" w:hAnsi="Arial" w:cs="Arial"/>
              </w:rPr>
              <w:t>Nicotine dependence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AD471B" w:rsidRPr="002F3992" w:rsidRDefault="00AD471B" w:rsidP="00331277">
            <w:pPr>
              <w:rPr>
                <w:rFonts w:ascii="Arial" w:hAnsi="Arial" w:cs="Arial"/>
              </w:rPr>
            </w:pPr>
            <w:r w:rsidRPr="002F3992">
              <w:rPr>
                <w:rFonts w:ascii="Arial" w:hAnsi="Arial" w:cs="Arial"/>
              </w:rPr>
              <w:t xml:space="preserve">To request a Restricted </w:t>
            </w:r>
            <w:proofErr w:type="gramStart"/>
            <w:r w:rsidRPr="002F3992">
              <w:rPr>
                <w:rFonts w:ascii="Arial" w:hAnsi="Arial" w:cs="Arial"/>
              </w:rPr>
              <w:t>Benefit</w:t>
            </w:r>
            <w:r w:rsidR="00331277" w:rsidRPr="002F3992">
              <w:rPr>
                <w:rFonts w:ascii="Arial" w:hAnsi="Arial" w:cs="Arial"/>
              </w:rPr>
              <w:t xml:space="preserve"> </w:t>
            </w:r>
            <w:r w:rsidRPr="002F3992">
              <w:rPr>
                <w:rFonts w:ascii="Arial" w:hAnsi="Arial" w:cs="Arial"/>
              </w:rPr>
              <w:t>listing</w:t>
            </w:r>
            <w:proofErr w:type="gramEnd"/>
            <w:r w:rsidRPr="002F3992">
              <w:rPr>
                <w:rFonts w:ascii="Arial" w:hAnsi="Arial" w:cs="Arial"/>
              </w:rPr>
              <w:t xml:space="preserve"> for nicotine chewing gum and lozenges to aid smoking cessation in patients with nicotine dependence.</w:t>
            </w:r>
          </w:p>
        </w:tc>
        <w:tc>
          <w:tcPr>
            <w:tcW w:w="7192" w:type="dxa"/>
            <w:gridSpan w:val="2"/>
            <w:tcBorders>
              <w:top w:val="single" w:sz="4" w:space="0" w:color="auto"/>
              <w:left w:val="single" w:sz="4" w:space="0" w:color="auto"/>
              <w:bottom w:val="single" w:sz="4" w:space="0" w:color="auto"/>
              <w:right w:val="single" w:sz="4" w:space="0" w:color="auto"/>
            </w:tcBorders>
          </w:tcPr>
          <w:p w:rsidR="00455653" w:rsidRDefault="00455653" w:rsidP="00455653">
            <w:pPr>
              <w:spacing w:after="60"/>
              <w:rPr>
                <w:rFonts w:ascii="Arial" w:hAnsi="Arial" w:cs="Arial"/>
              </w:rPr>
            </w:pPr>
            <w:r w:rsidRPr="002F3992">
              <w:rPr>
                <w:rFonts w:ascii="Arial" w:hAnsi="Arial" w:cs="Arial"/>
              </w:rPr>
              <w:t xml:space="preserve">The PBAC recommended the listing of nicotine gum and lozenge, as monotherapies on the PBS as a restricted benefit for treating nicotine dependence in cigarette smokers who wish to quit and enter into a behavioural support program. The PBAC had previously accepted the submission’s overall claim of non-inferiority in terms of comparative efficacy and safety for nicotine gum and lozenges compared with nicotine patches in July 2017, but deferred its decision at that time due to uncertainty in the estimation of equi-effective doses against the comparator, nicotine patches. The PBAC considered that the revised approach taken by the submission to calculate the equi-effective doses suitably addressed this uncertainty. </w:t>
            </w:r>
          </w:p>
          <w:p w:rsidR="00455653" w:rsidRDefault="00455653" w:rsidP="00455653">
            <w:pPr>
              <w:spacing w:after="60"/>
              <w:rPr>
                <w:rFonts w:ascii="Arial" w:hAnsi="Arial" w:cs="Arial"/>
              </w:rPr>
            </w:pPr>
            <w:r w:rsidRPr="002F3992">
              <w:rPr>
                <w:rFonts w:ascii="Arial" w:hAnsi="Arial" w:cs="Arial"/>
              </w:rPr>
              <w:t xml:space="preserve">In its July 2017 consideration the PBAC noted that the efficacy of nicotine lozenges and gum significantly improved when used in combination with nicotine patches, but that no evidence was provided in the submission about the cost-effectiveness of combination treatment. </w:t>
            </w:r>
            <w:r>
              <w:rPr>
                <w:rFonts w:ascii="Arial" w:hAnsi="Arial" w:cs="Arial"/>
              </w:rPr>
              <w:t>However</w:t>
            </w:r>
            <w:r w:rsidRPr="002F3992" w:rsidDel="004056A1">
              <w:rPr>
                <w:rFonts w:ascii="Arial" w:hAnsi="Arial" w:cs="Arial"/>
              </w:rPr>
              <w:t xml:space="preserve"> </w:t>
            </w:r>
            <w:r w:rsidRPr="002F3992">
              <w:rPr>
                <w:rFonts w:ascii="Arial" w:hAnsi="Arial" w:cs="Arial"/>
              </w:rPr>
              <w:t xml:space="preserve">the PBAC considered that further clinical evidence and utilisation estimates were warranted before the comparative efficacy and cost-effectiveness of combination use could be appropriately determined by the Committee. </w:t>
            </w:r>
          </w:p>
          <w:p w:rsidR="003A42F4" w:rsidRPr="002F3992" w:rsidRDefault="00455653" w:rsidP="00455653">
            <w:pPr>
              <w:rPr>
                <w:rFonts w:ascii="Arial" w:hAnsi="Arial" w:cs="Arial"/>
              </w:rPr>
            </w:pPr>
            <w:r w:rsidRPr="0094161B">
              <w:rPr>
                <w:rFonts w:ascii="Arial" w:hAnsi="Arial" w:cs="Arial"/>
              </w:rPr>
              <w:t xml:space="preserve">The PBAC acknowledged that </w:t>
            </w:r>
            <w:r>
              <w:rPr>
                <w:rFonts w:ascii="Arial" w:hAnsi="Arial" w:cs="Arial"/>
              </w:rPr>
              <w:t xml:space="preserve">its recommendation for </w:t>
            </w:r>
            <w:r w:rsidRPr="0094161B">
              <w:rPr>
                <w:rFonts w:ascii="Arial" w:hAnsi="Arial" w:cs="Arial"/>
              </w:rPr>
              <w:t xml:space="preserve">the </w:t>
            </w:r>
            <w:r>
              <w:rPr>
                <w:rFonts w:ascii="Arial" w:hAnsi="Arial" w:cs="Arial"/>
              </w:rPr>
              <w:t>listing</w:t>
            </w:r>
            <w:r w:rsidRPr="0094161B">
              <w:rPr>
                <w:rFonts w:ascii="Arial" w:hAnsi="Arial" w:cs="Arial"/>
              </w:rPr>
              <w:t xml:space="preserve"> of nicotine gum and lozenges as monotherapies (as is the case for nicotine patches subsidised through the PBS) is not consistent with </w:t>
            </w:r>
            <w:r>
              <w:rPr>
                <w:rFonts w:ascii="Arial" w:hAnsi="Arial" w:cs="Arial"/>
              </w:rPr>
              <w:t>the latest clinical guidelines</w:t>
            </w:r>
            <w:r>
              <w:rPr>
                <w:rFonts w:ascii="Arial" w:hAnsi="Arial" w:cs="Arial"/>
              </w:rPr>
              <w:t xml:space="preserve">, </w:t>
            </w:r>
            <w:r w:rsidRPr="0094161B">
              <w:rPr>
                <w:rFonts w:ascii="Arial" w:hAnsi="Arial" w:cs="Arial"/>
              </w:rPr>
              <w:t>which</w:t>
            </w:r>
            <w:r w:rsidRPr="0094161B">
              <w:rPr>
                <w:rFonts w:ascii="Arial" w:hAnsi="Arial" w:cs="Arial"/>
              </w:rPr>
              <w:t xml:space="preserve"> encourage health professionals to consider recommending the use of combination </w:t>
            </w:r>
            <w:r>
              <w:rPr>
                <w:rFonts w:ascii="Arial" w:hAnsi="Arial" w:cs="Arial"/>
              </w:rPr>
              <w:t>nicotine replacement therapy</w:t>
            </w:r>
            <w:r w:rsidRPr="0094161B">
              <w:rPr>
                <w:rFonts w:ascii="Arial" w:hAnsi="Arial" w:cs="Arial"/>
              </w:rPr>
              <w:t xml:space="preserve">. </w:t>
            </w:r>
            <w:r>
              <w:rPr>
                <w:rFonts w:ascii="Arial" w:hAnsi="Arial" w:cs="Arial"/>
              </w:rPr>
              <w:t>The</w:t>
            </w:r>
            <w:r w:rsidRPr="0094161B">
              <w:rPr>
                <w:rFonts w:ascii="Arial" w:hAnsi="Arial" w:cs="Arial"/>
              </w:rPr>
              <w:t xml:space="preserve"> PBAC reiterated </w:t>
            </w:r>
            <w:bookmarkStart w:id="0" w:name="_GoBack"/>
            <w:bookmarkEnd w:id="0"/>
            <w:r w:rsidRPr="0094161B">
              <w:rPr>
                <w:rFonts w:ascii="Arial" w:hAnsi="Arial" w:cs="Arial"/>
              </w:rPr>
              <w:t>that in the absence of evidence about the cost-effectiveness of combination treatment it is not possible to further an assessment of combination treatment at the present time in the context of this submission</w:t>
            </w:r>
            <w:r>
              <w:rPr>
                <w:rFonts w:ascii="Arial" w:hAnsi="Arial" w:cs="Arial"/>
              </w:rPr>
              <w:t>. However t</w:t>
            </w:r>
            <w:r w:rsidRPr="002F3992">
              <w:rPr>
                <w:rFonts w:ascii="Arial" w:hAnsi="Arial" w:cs="Arial"/>
              </w:rPr>
              <w:t>he PBAC considered that a broader review of PBS-subsidised nicotine dependence treatments in the context of the current clinical guidelines would be informative to whether current subsidy arrangements could better achieve the intended purpose of supporting smoking cessation.</w:t>
            </w:r>
          </w:p>
        </w:tc>
      </w:tr>
      <w:tr w:rsidR="0033127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sidRPr="007F7D95">
              <w:rPr>
                <w:rFonts w:ascii="Arial" w:hAnsi="Arial" w:cs="Arial"/>
                <w:color w:val="000000"/>
              </w:rPr>
              <w:lastRenderedPageBreak/>
              <w:t>NIVOLUMAB</w:t>
            </w:r>
            <w:r w:rsidRPr="007F7D95">
              <w:rPr>
                <w:rFonts w:ascii="Arial" w:hAnsi="Arial" w:cs="Arial"/>
                <w:color w:val="000000"/>
              </w:rPr>
              <w:br/>
            </w:r>
            <w:r w:rsidRPr="007F7D95">
              <w:rPr>
                <w:rFonts w:ascii="Arial" w:hAnsi="Arial" w:cs="Arial"/>
                <w:color w:val="000000"/>
              </w:rPr>
              <w:br/>
              <w:t>Injection concentrate for I.V. infusion 40 mg in 4 mL</w:t>
            </w:r>
            <w:r w:rsidRPr="007F7D95">
              <w:rPr>
                <w:rFonts w:ascii="Arial" w:hAnsi="Arial" w:cs="Arial"/>
                <w:color w:val="000000"/>
              </w:rPr>
              <w:br/>
              <w:t>Injection concentrate for I.V. infusion 100 mg in 10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Opdivo</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Bristol-Myers Squibb Australia Pty Ltd</w:t>
            </w:r>
          </w:p>
          <w:p w:rsidR="00331277" w:rsidRDefault="00331277" w:rsidP="00596D7F">
            <w:pPr>
              <w:rPr>
                <w:rFonts w:ascii="Arial" w:hAnsi="Arial" w:cs="Arial"/>
                <w:color w:val="000000"/>
              </w:rPr>
            </w:pPr>
          </w:p>
          <w:p w:rsidR="000C2059" w:rsidRDefault="00331277" w:rsidP="00596D7F">
            <w:pPr>
              <w:rPr>
                <w:rFonts w:ascii="Arial" w:hAnsi="Arial" w:cs="Arial"/>
                <w:color w:val="000000"/>
              </w:rPr>
            </w:pPr>
            <w:r>
              <w:rPr>
                <w:rFonts w:ascii="Arial" w:hAnsi="Arial" w:cs="Arial"/>
                <w:color w:val="000000"/>
              </w:rPr>
              <w:t>Change to listing</w:t>
            </w:r>
          </w:p>
          <w:p w:rsidR="00331277" w:rsidRPr="007F7D95" w:rsidRDefault="00331277"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Squamous cell carcinoma for the head and neck (SCCHN)</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Resubmission to request a Section 100 (Efficient Funding of Chemotherapy) Authority Required (STREAMLINED) listing for the treatment of patients with squamous cell carcinoma of the head and neck (SCCHN) who progress within 6 months following platinum-based therapy.</w:t>
            </w:r>
          </w:p>
        </w:tc>
        <w:tc>
          <w:tcPr>
            <w:tcW w:w="7192" w:type="dxa"/>
            <w:gridSpan w:val="2"/>
            <w:tcBorders>
              <w:top w:val="single" w:sz="4" w:space="0" w:color="auto"/>
              <w:left w:val="single" w:sz="4" w:space="0" w:color="auto"/>
              <w:bottom w:val="single" w:sz="4" w:space="0" w:color="auto"/>
              <w:right w:val="single" w:sz="4" w:space="0" w:color="auto"/>
            </w:tcBorders>
          </w:tcPr>
          <w:p w:rsidR="00975950" w:rsidRPr="00F879AD" w:rsidRDefault="00F879AD" w:rsidP="00BF1F45">
            <w:pPr>
              <w:rPr>
                <w:rFonts w:ascii="Arial" w:hAnsi="Arial" w:cs="Arial"/>
                <w:color w:val="000000"/>
              </w:rPr>
            </w:pPr>
            <w:r>
              <w:rPr>
                <w:rFonts w:ascii="Arial" w:hAnsi="Arial" w:cs="Arial"/>
                <w:color w:val="000000"/>
              </w:rPr>
              <w:t>The PBAC recommended the Section 100 (Efficient Funding of Chemotherapy - Public and Private Hospital) Authority Required (STREAMLINED) listing of nivolumab for the treatment of squamous cell carcinoma of the head and neck. In making this recommendation, the PBAC considered the high unmet clinical need in an aggressive and debilitating malignancy and advised that nivolumab treatment resulted in modest yet meaningful clinical benefit for some patients.</w:t>
            </w:r>
          </w:p>
          <w:p w:rsidR="003A42F4" w:rsidRPr="00F879AD" w:rsidRDefault="003A42F4" w:rsidP="00BF1F45">
            <w:pPr>
              <w:rPr>
                <w:rFonts w:ascii="Arial" w:hAnsi="Arial" w:cs="Arial"/>
                <w:color w:val="000000"/>
              </w:rPr>
            </w:pPr>
          </w:p>
        </w:tc>
      </w:tr>
      <w:tr w:rsidR="00331277" w:rsidRPr="003D7E12" w:rsidTr="00DE1FFD">
        <w:trPr>
          <w:cantSplit/>
          <w:trHeight w:val="49"/>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sidRPr="007F7D95">
              <w:rPr>
                <w:rFonts w:ascii="Arial" w:hAnsi="Arial" w:cs="Arial"/>
                <w:color w:val="000000"/>
              </w:rPr>
              <w:t>NUSINERSEN</w:t>
            </w:r>
            <w:r w:rsidRPr="007F7D95">
              <w:rPr>
                <w:rFonts w:ascii="Arial" w:hAnsi="Arial" w:cs="Arial"/>
                <w:color w:val="000000"/>
              </w:rPr>
              <w:br/>
            </w:r>
            <w:r w:rsidRPr="007F7D95">
              <w:rPr>
                <w:rFonts w:ascii="Arial" w:hAnsi="Arial" w:cs="Arial"/>
                <w:color w:val="000000"/>
              </w:rPr>
              <w:br/>
              <w:t>Solution for injection 12 mg in 5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Spinraza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Biogen Australia Pty Ltd</w:t>
            </w:r>
          </w:p>
          <w:p w:rsidR="00331277" w:rsidRDefault="00331277" w:rsidP="00596D7F">
            <w:pPr>
              <w:rPr>
                <w:rFonts w:ascii="Arial" w:hAnsi="Arial" w:cs="Arial"/>
                <w:color w:val="000000"/>
              </w:rPr>
            </w:pPr>
          </w:p>
          <w:p w:rsidR="000C2059" w:rsidRDefault="00331277" w:rsidP="00331277">
            <w:pPr>
              <w:rPr>
                <w:rFonts w:ascii="Arial" w:hAnsi="Arial" w:cs="Arial"/>
                <w:color w:val="000000"/>
              </w:rPr>
            </w:pPr>
            <w:r w:rsidRPr="007F7D95">
              <w:rPr>
                <w:rFonts w:ascii="Arial" w:hAnsi="Arial" w:cs="Arial"/>
                <w:color w:val="000000"/>
              </w:rPr>
              <w:t>New listing</w:t>
            </w:r>
            <w:r>
              <w:rPr>
                <w:rFonts w:ascii="Arial" w:hAnsi="Arial" w:cs="Arial"/>
                <w:color w:val="000000"/>
              </w:rPr>
              <w:t xml:space="preserve"> </w:t>
            </w:r>
          </w:p>
          <w:p w:rsidR="00331277" w:rsidRPr="007F7D95" w:rsidRDefault="00331277" w:rsidP="00331277">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Treatment of infantile-onset (Type I) spinal muscular atrophy (SMA)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To request a Section 100 (Highly Specialised Drugs Program) Authority Required listing for the treatment of Type I SMA.</w:t>
            </w:r>
          </w:p>
        </w:tc>
        <w:tc>
          <w:tcPr>
            <w:tcW w:w="7192" w:type="dxa"/>
            <w:gridSpan w:val="2"/>
            <w:tcBorders>
              <w:top w:val="single" w:sz="4" w:space="0" w:color="auto"/>
              <w:left w:val="single" w:sz="4" w:space="0" w:color="auto"/>
              <w:bottom w:val="single" w:sz="4" w:space="0" w:color="auto"/>
              <w:right w:val="single" w:sz="4" w:space="0" w:color="auto"/>
            </w:tcBorders>
          </w:tcPr>
          <w:p w:rsidR="00975950" w:rsidRPr="00F879AD" w:rsidRDefault="00F879AD" w:rsidP="00BF1F45">
            <w:pPr>
              <w:rPr>
                <w:rFonts w:ascii="Arial" w:hAnsi="Arial" w:cs="Arial"/>
                <w:color w:val="000000"/>
              </w:rPr>
            </w:pPr>
            <w:r>
              <w:rPr>
                <w:rFonts w:ascii="Arial" w:hAnsi="Arial" w:cs="Arial"/>
                <w:color w:val="000000"/>
              </w:rPr>
              <w:t xml:space="preserve">The PBAC recommended the Section 100 (Highly Specialised Drugs Program) listing of </w:t>
            </w:r>
            <w:proofErr w:type="spellStart"/>
            <w:r>
              <w:rPr>
                <w:rFonts w:ascii="Arial" w:hAnsi="Arial" w:cs="Arial"/>
                <w:color w:val="000000"/>
              </w:rPr>
              <w:t>nusinersen</w:t>
            </w:r>
            <w:proofErr w:type="spellEnd"/>
            <w:r>
              <w:rPr>
                <w:rFonts w:ascii="Arial" w:hAnsi="Arial" w:cs="Arial"/>
                <w:color w:val="000000"/>
              </w:rPr>
              <w:t xml:space="preserve"> for the treatment of </w:t>
            </w:r>
            <w:r w:rsidR="00B61E64">
              <w:rPr>
                <w:rFonts w:ascii="Arial" w:hAnsi="Arial" w:cs="Arial"/>
                <w:color w:val="000000"/>
              </w:rPr>
              <w:t xml:space="preserve">Type I, II and </w:t>
            </w:r>
            <w:proofErr w:type="spellStart"/>
            <w:r w:rsidR="00B61E64">
              <w:rPr>
                <w:rFonts w:ascii="Arial" w:hAnsi="Arial" w:cs="Arial"/>
                <w:color w:val="000000"/>
              </w:rPr>
              <w:t>IIIa</w:t>
            </w:r>
            <w:proofErr w:type="spellEnd"/>
            <w:r w:rsidR="00B61E64">
              <w:rPr>
                <w:rFonts w:ascii="Arial" w:hAnsi="Arial" w:cs="Arial"/>
                <w:color w:val="000000"/>
              </w:rPr>
              <w:t xml:space="preserve"> </w:t>
            </w:r>
            <w:r>
              <w:rPr>
                <w:rFonts w:ascii="Arial" w:hAnsi="Arial" w:cs="Arial"/>
                <w:color w:val="000000"/>
              </w:rPr>
              <w:t xml:space="preserve">spinal muscular atrophy (SMA) in patients 18 years of age or under at initiation of treatment, who had onset of signs and symptoms consistent with SMA prior to 3 years of age. The PBAC reaffirmed the high clinical need for new treatments for SMA and considered that based on the information presented at the </w:t>
            </w:r>
            <w:proofErr w:type="spellStart"/>
            <w:r>
              <w:rPr>
                <w:rFonts w:ascii="Arial" w:hAnsi="Arial" w:cs="Arial"/>
                <w:color w:val="000000"/>
              </w:rPr>
              <w:t>nusinersen</w:t>
            </w:r>
            <w:proofErr w:type="spellEnd"/>
            <w:r>
              <w:rPr>
                <w:rFonts w:ascii="Arial" w:hAnsi="Arial" w:cs="Arial"/>
                <w:color w:val="000000"/>
              </w:rPr>
              <w:t xml:space="preserve"> stakeholder meeting, paediatric patients with symptom onset before the age of 3 years are those in highest need of treatment due to the severity of their condition. The PBAC considered that the economic analyses presented in the submission were more informative of the cost-effectiveness of treatment with </w:t>
            </w:r>
            <w:proofErr w:type="spellStart"/>
            <w:r>
              <w:rPr>
                <w:rFonts w:ascii="Arial" w:hAnsi="Arial" w:cs="Arial"/>
                <w:color w:val="000000"/>
              </w:rPr>
              <w:t>nusinersen</w:t>
            </w:r>
            <w:proofErr w:type="spellEnd"/>
            <w:r>
              <w:rPr>
                <w:rFonts w:ascii="Arial" w:hAnsi="Arial" w:cs="Arial"/>
                <w:color w:val="000000"/>
              </w:rPr>
              <w:t xml:space="preserve"> for SMA compared with the analyses presented in November 2017. The PBAC considered that while the price reduction proposed was substantial, it did not fully address the PBAC’s concerns regarding the uncertainty of the extent and durability of treatment effect. The PBAC advised that further negotiations with the sponsor would be required to </w:t>
            </w:r>
            <w:r w:rsidR="00B61E64">
              <w:rPr>
                <w:rFonts w:ascii="Arial" w:hAnsi="Arial" w:cs="Arial"/>
                <w:color w:val="000000"/>
              </w:rPr>
              <w:t>for a cost-effective listing to proceed</w:t>
            </w:r>
            <w:r>
              <w:rPr>
                <w:rFonts w:ascii="Arial" w:hAnsi="Arial" w:cs="Arial"/>
                <w:color w:val="000000"/>
              </w:rPr>
              <w:t xml:space="preserve">. </w:t>
            </w:r>
          </w:p>
          <w:p w:rsidR="00B61E64" w:rsidRPr="00F879AD" w:rsidRDefault="00B61E64" w:rsidP="00BF1F45">
            <w:pPr>
              <w:rPr>
                <w:rFonts w:ascii="Arial" w:hAnsi="Arial" w:cs="Arial"/>
                <w:color w:val="000000"/>
              </w:rPr>
            </w:pPr>
          </w:p>
        </w:tc>
      </w:tr>
      <w:tr w:rsidR="0033127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Pr>
                <w:rFonts w:ascii="Arial" w:hAnsi="Arial" w:cs="Arial"/>
                <w:color w:val="000000"/>
              </w:rPr>
              <w:lastRenderedPageBreak/>
              <w:t>OLAPARIB</w:t>
            </w:r>
            <w:r>
              <w:rPr>
                <w:rFonts w:ascii="Arial" w:hAnsi="Arial" w:cs="Arial"/>
                <w:color w:val="000000"/>
              </w:rPr>
              <w:br/>
            </w:r>
            <w:r>
              <w:rPr>
                <w:rFonts w:ascii="Arial" w:hAnsi="Arial" w:cs="Arial"/>
                <w:color w:val="000000"/>
              </w:rPr>
              <w:br/>
              <w:t>Tablet 100 mg</w:t>
            </w:r>
            <w:r>
              <w:rPr>
                <w:rFonts w:ascii="Arial" w:hAnsi="Arial" w:cs="Arial"/>
                <w:color w:val="000000"/>
              </w:rPr>
              <w:br/>
              <w:t>Tablet 150 mg</w:t>
            </w:r>
            <w:r>
              <w:rPr>
                <w:rFonts w:ascii="Arial" w:hAnsi="Arial" w:cs="Arial"/>
                <w:color w:val="000000"/>
              </w:rPr>
              <w:br/>
            </w:r>
            <w:r>
              <w:rPr>
                <w:rFonts w:ascii="Arial" w:hAnsi="Arial" w:cs="Arial"/>
                <w:color w:val="000000"/>
              </w:rPr>
              <w:br/>
            </w:r>
            <w:proofErr w:type="spellStart"/>
            <w:r>
              <w:rPr>
                <w:rFonts w:ascii="Arial" w:hAnsi="Arial" w:cs="Arial"/>
                <w:color w:val="000000"/>
              </w:rPr>
              <w:t>Lynparza</w:t>
            </w:r>
            <w:proofErr w:type="spellEnd"/>
            <w:r>
              <w:rPr>
                <w:rFonts w:ascii="Arial" w:hAnsi="Arial" w:cs="Arial"/>
                <w:color w:val="000000"/>
              </w:rPr>
              <w:t>®</w:t>
            </w:r>
            <w:r>
              <w:rPr>
                <w:rFonts w:ascii="Arial" w:hAnsi="Arial" w:cs="Arial"/>
                <w:color w:val="000000"/>
              </w:rPr>
              <w:br/>
            </w:r>
            <w:r>
              <w:rPr>
                <w:rFonts w:ascii="Arial" w:hAnsi="Arial" w:cs="Arial"/>
                <w:color w:val="000000"/>
              </w:rPr>
              <w:br/>
              <w:t>AstraZeneca Pty Ltd</w:t>
            </w:r>
          </w:p>
          <w:p w:rsidR="00331277" w:rsidRDefault="00331277" w:rsidP="00331277">
            <w:pPr>
              <w:rPr>
                <w:rFonts w:ascii="Arial" w:hAnsi="Arial" w:cs="Arial"/>
                <w:color w:val="000000"/>
              </w:rPr>
            </w:pPr>
          </w:p>
          <w:p w:rsidR="000C2059" w:rsidRDefault="00331277" w:rsidP="00331277">
            <w:pPr>
              <w:rPr>
                <w:rFonts w:ascii="Arial" w:hAnsi="Arial" w:cs="Arial"/>
                <w:color w:val="000000"/>
              </w:rPr>
            </w:pPr>
            <w:r>
              <w:rPr>
                <w:rFonts w:ascii="Arial" w:hAnsi="Arial" w:cs="Arial"/>
                <w:color w:val="000000"/>
              </w:rPr>
              <w:t xml:space="preserve">New listing </w:t>
            </w:r>
          </w:p>
          <w:p w:rsidR="00331277" w:rsidRDefault="000C2059" w:rsidP="00331277">
            <w:pPr>
              <w:rPr>
                <w:rFonts w:ascii="Arial" w:hAnsi="Arial" w:cs="Arial"/>
                <w:color w:val="000000"/>
              </w:rPr>
            </w:pPr>
            <w:r>
              <w:rPr>
                <w:rFonts w:ascii="Arial" w:hAnsi="Arial" w:cs="Arial"/>
                <w:color w:val="000000"/>
              </w:rPr>
              <w:t>(</w:t>
            </w:r>
            <w:r w:rsidR="00331277">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Pr>
                <w:rFonts w:ascii="Arial" w:hAnsi="Arial" w:cs="Arial"/>
                <w:color w:val="000000"/>
              </w:rPr>
              <w:t>High-grade serous ovarian, fallopian tube and primary peritoneal cancer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Pr>
                <w:rFonts w:ascii="Arial" w:hAnsi="Arial" w:cs="Arial"/>
                <w:color w:val="000000"/>
              </w:rPr>
              <w:t>To request an Authority Required listing for the treatment of high-grade serious ovarian, fallopian tube and primary peritoneal cancer.</w:t>
            </w:r>
          </w:p>
        </w:tc>
        <w:tc>
          <w:tcPr>
            <w:tcW w:w="7192" w:type="dxa"/>
            <w:gridSpan w:val="2"/>
            <w:tcBorders>
              <w:top w:val="single" w:sz="4" w:space="0" w:color="auto"/>
              <w:left w:val="single" w:sz="4" w:space="0" w:color="auto"/>
              <w:bottom w:val="single" w:sz="4" w:space="0" w:color="auto"/>
              <w:right w:val="single" w:sz="4" w:space="0" w:color="auto"/>
            </w:tcBorders>
          </w:tcPr>
          <w:p w:rsidR="0093318C" w:rsidRPr="00F879AD" w:rsidRDefault="00F879AD" w:rsidP="00BF1F45">
            <w:pPr>
              <w:rPr>
                <w:rFonts w:ascii="Arial" w:hAnsi="Arial" w:cs="Arial"/>
                <w:color w:val="000000"/>
              </w:rPr>
            </w:pPr>
            <w:r>
              <w:rPr>
                <w:rFonts w:ascii="Arial" w:hAnsi="Arial" w:cs="Arial"/>
                <w:color w:val="000000"/>
              </w:rPr>
              <w:t xml:space="preserve">The PBAC recommended the Authority Required (General Schedule) listing of a new tablet form of </w:t>
            </w:r>
            <w:proofErr w:type="spellStart"/>
            <w:r>
              <w:rPr>
                <w:rFonts w:ascii="Arial" w:hAnsi="Arial" w:cs="Arial"/>
                <w:color w:val="000000"/>
              </w:rPr>
              <w:t>olaparib</w:t>
            </w:r>
            <w:proofErr w:type="spellEnd"/>
            <w:r>
              <w:rPr>
                <w:rFonts w:ascii="Arial" w:hAnsi="Arial" w:cs="Arial"/>
                <w:color w:val="000000"/>
              </w:rPr>
              <w:t xml:space="preserve"> for the treatment of recurrent platinum-sensitive high grade serous ovarian, fallopian tube and primary peritoneal cancers with documented germline class 4 or 5 BRCA 1 or BRCA2 gene mutation, on a cost-minimisation basis to </w:t>
            </w:r>
            <w:proofErr w:type="spellStart"/>
            <w:r>
              <w:rPr>
                <w:rFonts w:ascii="Arial" w:hAnsi="Arial" w:cs="Arial"/>
                <w:color w:val="000000"/>
              </w:rPr>
              <w:t>olaparib</w:t>
            </w:r>
            <w:proofErr w:type="spellEnd"/>
            <w:r>
              <w:rPr>
                <w:rFonts w:ascii="Arial" w:hAnsi="Arial" w:cs="Arial"/>
                <w:color w:val="000000"/>
              </w:rPr>
              <w:t xml:space="preserve"> capsules. In making this recommendation, the PBAC noted that the sponsor intended to withdraw the capsule form of this medicine from the market and acknowledged that the new form represented a reduced pill burden for patients. The PBAC advised that a reduction in price would be required for the listing to be cost neutral to the Commonwealth at the equi-effective doses recommended by the Committee. </w:t>
            </w:r>
          </w:p>
          <w:p w:rsidR="00B61E64" w:rsidRPr="00F879AD" w:rsidRDefault="00B61E64" w:rsidP="00BF1F45">
            <w:pPr>
              <w:rPr>
                <w:rFonts w:ascii="Arial" w:hAnsi="Arial" w:cs="Arial"/>
                <w:color w:val="000000"/>
              </w:rPr>
            </w:pPr>
          </w:p>
        </w:tc>
      </w:tr>
      <w:tr w:rsidR="00331277"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Pr>
                <w:rFonts w:ascii="Arial" w:hAnsi="Arial" w:cs="Arial"/>
                <w:color w:val="000000"/>
              </w:rPr>
              <w:t>OMALIZUMAB</w:t>
            </w:r>
          </w:p>
          <w:p w:rsidR="00331277" w:rsidRDefault="00331277" w:rsidP="00596D7F">
            <w:pPr>
              <w:rPr>
                <w:rFonts w:ascii="Arial" w:hAnsi="Arial" w:cs="Arial"/>
                <w:color w:val="000000"/>
              </w:rPr>
            </w:pPr>
            <w:r w:rsidRPr="007F7D95">
              <w:rPr>
                <w:rFonts w:ascii="Arial" w:hAnsi="Arial" w:cs="Arial"/>
                <w:color w:val="000000"/>
              </w:rPr>
              <w:br/>
              <w:t>Injection 150 mg in 1 mL single dose pre-filled syringe</w:t>
            </w:r>
            <w:r w:rsidRPr="007F7D95">
              <w:rPr>
                <w:rFonts w:ascii="Arial" w:hAnsi="Arial" w:cs="Arial"/>
                <w:color w:val="000000"/>
              </w:rPr>
              <w:br/>
            </w:r>
            <w:r w:rsidRPr="007F7D95">
              <w:rPr>
                <w:rFonts w:ascii="Arial" w:hAnsi="Arial" w:cs="Arial"/>
                <w:color w:val="000000"/>
              </w:rPr>
              <w:br/>
              <w:t>Xolair®</w:t>
            </w:r>
            <w:r w:rsidRPr="007F7D95">
              <w:rPr>
                <w:rFonts w:ascii="Arial" w:hAnsi="Arial" w:cs="Arial"/>
                <w:color w:val="000000"/>
              </w:rPr>
              <w:br/>
            </w:r>
            <w:r w:rsidRPr="007F7D95">
              <w:rPr>
                <w:rFonts w:ascii="Arial" w:hAnsi="Arial" w:cs="Arial"/>
                <w:color w:val="000000"/>
              </w:rPr>
              <w:br/>
              <w:t xml:space="preserve">Novartis Pharmaceuticals Australia Pty Ltd </w:t>
            </w:r>
          </w:p>
          <w:p w:rsidR="00331277" w:rsidRDefault="00331277" w:rsidP="00596D7F">
            <w:pPr>
              <w:rPr>
                <w:rFonts w:ascii="Arial" w:hAnsi="Arial" w:cs="Arial"/>
                <w:color w:val="000000"/>
              </w:rPr>
            </w:pPr>
          </w:p>
          <w:p w:rsidR="000C2059" w:rsidRDefault="00331277" w:rsidP="00331277">
            <w:pPr>
              <w:rPr>
                <w:rFonts w:ascii="Arial" w:hAnsi="Arial" w:cs="Arial"/>
                <w:color w:val="000000"/>
              </w:rPr>
            </w:pPr>
            <w:r w:rsidRPr="007F7D95">
              <w:rPr>
                <w:rFonts w:ascii="Arial" w:hAnsi="Arial" w:cs="Arial"/>
                <w:color w:val="000000"/>
              </w:rPr>
              <w:t>Change to listing</w:t>
            </w:r>
            <w:r>
              <w:rPr>
                <w:rFonts w:ascii="Arial" w:hAnsi="Arial" w:cs="Arial"/>
                <w:color w:val="000000"/>
              </w:rPr>
              <w:t xml:space="preserve"> </w:t>
            </w:r>
          </w:p>
          <w:p w:rsidR="00331277" w:rsidRPr="007F7D95" w:rsidRDefault="00331277" w:rsidP="00331277">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 xml:space="preserve">Severe chronic spontaneous </w:t>
            </w:r>
            <w:proofErr w:type="spellStart"/>
            <w:r w:rsidRPr="007F7D95">
              <w:rPr>
                <w:rFonts w:ascii="Arial" w:hAnsi="Arial" w:cs="Arial"/>
                <w:color w:val="000000"/>
              </w:rPr>
              <w:t>urticaria</w:t>
            </w:r>
            <w:proofErr w:type="spellEnd"/>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 xml:space="preserve">To request a General Schedule Authority Required listing for the treatment of severe chronic spontaneous </w:t>
            </w:r>
            <w:proofErr w:type="spellStart"/>
            <w:r w:rsidRPr="007F7D95">
              <w:rPr>
                <w:rFonts w:ascii="Arial" w:hAnsi="Arial" w:cs="Arial"/>
                <w:color w:val="000000"/>
              </w:rPr>
              <w:t>urticaria</w:t>
            </w:r>
            <w:proofErr w:type="spellEnd"/>
            <w:r w:rsidRPr="007F7D95">
              <w:rPr>
                <w:rFonts w:ascii="Arial" w:hAnsi="Arial" w:cs="Arial"/>
                <w:color w:val="000000"/>
              </w:rPr>
              <w:t xml:space="preserve"> in addition to the current Section 100 (Highly Specialised Drug) listing. </w:t>
            </w:r>
          </w:p>
        </w:tc>
        <w:tc>
          <w:tcPr>
            <w:tcW w:w="7192" w:type="dxa"/>
            <w:gridSpan w:val="2"/>
            <w:tcBorders>
              <w:top w:val="single" w:sz="4" w:space="0" w:color="auto"/>
              <w:left w:val="single" w:sz="4" w:space="0" w:color="auto"/>
              <w:bottom w:val="single" w:sz="4" w:space="0" w:color="auto"/>
              <w:right w:val="single" w:sz="4" w:space="0" w:color="auto"/>
            </w:tcBorders>
          </w:tcPr>
          <w:p w:rsidR="0093318C" w:rsidRPr="009A3E52" w:rsidRDefault="00B4190D" w:rsidP="00BF1F45">
            <w:pPr>
              <w:rPr>
                <w:rFonts w:ascii="Arial" w:hAnsi="Arial" w:cs="Arial"/>
                <w:color w:val="000000"/>
                <w:sz w:val="24"/>
                <w:szCs w:val="24"/>
              </w:rPr>
            </w:pPr>
            <w:r w:rsidRPr="00CF75B0">
              <w:rPr>
                <w:rFonts w:ascii="Arial" w:hAnsi="Arial" w:cs="Arial"/>
                <w:color w:val="000000"/>
              </w:rPr>
              <w:t xml:space="preserve">The PBAC recommended a Section 85 (S85) Authority Required (Written) and Authority Required (Telephone) listing of </w:t>
            </w:r>
            <w:proofErr w:type="spellStart"/>
            <w:r w:rsidRPr="00CF75B0">
              <w:rPr>
                <w:rFonts w:ascii="Arial" w:hAnsi="Arial" w:cs="Arial"/>
                <w:color w:val="000000"/>
              </w:rPr>
              <w:t>omalizumab</w:t>
            </w:r>
            <w:proofErr w:type="spellEnd"/>
            <w:r w:rsidRPr="00CF75B0">
              <w:rPr>
                <w:rFonts w:ascii="Arial" w:hAnsi="Arial" w:cs="Arial"/>
                <w:color w:val="000000"/>
              </w:rPr>
              <w:t xml:space="preserve"> for the initial and continuing treatment respectively, for patients with severe chronic spontaneous </w:t>
            </w:r>
            <w:proofErr w:type="spellStart"/>
            <w:r w:rsidRPr="00CF75B0">
              <w:rPr>
                <w:rFonts w:ascii="Arial" w:hAnsi="Arial" w:cs="Arial"/>
                <w:color w:val="000000"/>
              </w:rPr>
              <w:t>urticaria</w:t>
            </w:r>
            <w:proofErr w:type="spellEnd"/>
            <w:r w:rsidRPr="00CF75B0">
              <w:rPr>
                <w:rFonts w:ascii="Arial" w:hAnsi="Arial" w:cs="Arial"/>
                <w:color w:val="000000"/>
              </w:rPr>
              <w:t xml:space="preserve"> (CSU), in addition to the existing Section 100 Highly Specialised Drugs (S100 HSD) Authority Required listings for CSU. In making this recommendation, the PBAC noted that it would improve access for patients whose initial consultation is with a non-hospital affiliated physician who cannot prescribe </w:t>
            </w:r>
            <w:proofErr w:type="spellStart"/>
            <w:r w:rsidRPr="00CF75B0">
              <w:rPr>
                <w:rFonts w:ascii="Arial" w:hAnsi="Arial" w:cs="Arial"/>
                <w:color w:val="000000"/>
              </w:rPr>
              <w:t>omalizumab</w:t>
            </w:r>
            <w:proofErr w:type="spellEnd"/>
            <w:r w:rsidRPr="00CF75B0">
              <w:rPr>
                <w:rFonts w:ascii="Arial" w:hAnsi="Arial" w:cs="Arial"/>
                <w:color w:val="000000"/>
              </w:rPr>
              <w:t xml:space="preserve"> under S100, but would be able to do so under S85. The PBAC advised that the sponsor </w:t>
            </w:r>
            <w:r w:rsidR="00B61E64">
              <w:rPr>
                <w:rFonts w:ascii="Arial" w:hAnsi="Arial" w:cs="Arial"/>
                <w:color w:val="000000"/>
              </w:rPr>
              <w:t>would need to</w:t>
            </w:r>
            <w:r w:rsidR="00B61E64" w:rsidRPr="00CF75B0">
              <w:rPr>
                <w:rFonts w:ascii="Arial" w:hAnsi="Arial" w:cs="Arial"/>
                <w:color w:val="000000"/>
              </w:rPr>
              <w:t xml:space="preserve"> </w:t>
            </w:r>
            <w:r w:rsidRPr="00CF75B0">
              <w:rPr>
                <w:rFonts w:ascii="Arial" w:hAnsi="Arial" w:cs="Arial"/>
                <w:color w:val="000000"/>
              </w:rPr>
              <w:t xml:space="preserve">reduce the ex-manufacturer price of </w:t>
            </w:r>
            <w:proofErr w:type="spellStart"/>
            <w:r w:rsidRPr="00CF75B0">
              <w:rPr>
                <w:rFonts w:ascii="Arial" w:hAnsi="Arial" w:cs="Arial"/>
                <w:color w:val="000000"/>
              </w:rPr>
              <w:t>omalizumab</w:t>
            </w:r>
            <w:proofErr w:type="spellEnd"/>
            <w:r w:rsidRPr="00CF75B0">
              <w:rPr>
                <w:rFonts w:ascii="Arial" w:hAnsi="Arial" w:cs="Arial"/>
                <w:color w:val="000000"/>
              </w:rPr>
              <w:t xml:space="preserve"> to ensure that the impact to government would remain cost neutral for the dual S85 and S100 listings.</w:t>
            </w:r>
          </w:p>
          <w:p w:rsidR="00B61E64" w:rsidRPr="009A3E52" w:rsidRDefault="00B61E64" w:rsidP="00BF1F45">
            <w:pPr>
              <w:rPr>
                <w:rFonts w:ascii="Arial" w:hAnsi="Arial" w:cs="Arial"/>
                <w:color w:val="000000"/>
                <w:sz w:val="24"/>
                <w:szCs w:val="24"/>
              </w:rPr>
            </w:pPr>
          </w:p>
          <w:p w:rsidR="00331277" w:rsidRPr="00CF75B0" w:rsidRDefault="00331277" w:rsidP="00BF1F45">
            <w:pPr>
              <w:rPr>
                <w:rFonts w:ascii="Arial" w:hAnsi="Arial" w:cs="Arial"/>
                <w:b/>
              </w:rPr>
            </w:pPr>
          </w:p>
        </w:tc>
      </w:tr>
      <w:tr w:rsidR="00331277" w:rsidRPr="003D7E12" w:rsidTr="00594F59">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Default="00331277" w:rsidP="00596D7F">
            <w:pPr>
              <w:rPr>
                <w:rFonts w:ascii="Arial" w:hAnsi="Arial" w:cs="Arial"/>
                <w:color w:val="000000"/>
              </w:rPr>
            </w:pPr>
            <w:r w:rsidRPr="007F7D95">
              <w:rPr>
                <w:rFonts w:ascii="Arial" w:hAnsi="Arial" w:cs="Arial"/>
                <w:color w:val="000000"/>
              </w:rPr>
              <w:lastRenderedPageBreak/>
              <w:t>PALBOCICLIB</w:t>
            </w:r>
            <w:r w:rsidRPr="007F7D95">
              <w:rPr>
                <w:rFonts w:ascii="Arial" w:hAnsi="Arial" w:cs="Arial"/>
                <w:color w:val="000000"/>
              </w:rPr>
              <w:br/>
            </w:r>
            <w:r w:rsidRPr="007F7D95">
              <w:rPr>
                <w:rFonts w:ascii="Arial" w:hAnsi="Arial" w:cs="Arial"/>
                <w:color w:val="000000"/>
              </w:rPr>
              <w:br/>
              <w:t>Capsule 75 mg</w:t>
            </w:r>
            <w:r w:rsidRPr="007F7D95">
              <w:rPr>
                <w:rFonts w:ascii="Arial" w:hAnsi="Arial" w:cs="Arial"/>
                <w:color w:val="000000"/>
              </w:rPr>
              <w:br/>
              <w:t xml:space="preserve">Capsule 100 mg </w:t>
            </w:r>
            <w:r w:rsidRPr="007F7D95">
              <w:rPr>
                <w:rFonts w:ascii="Arial" w:hAnsi="Arial" w:cs="Arial"/>
                <w:color w:val="000000"/>
              </w:rPr>
              <w:br/>
              <w:t>Capsule 125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Ibrance</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Pfizer Australia Pty Ltd</w:t>
            </w:r>
          </w:p>
          <w:p w:rsidR="00EB662B" w:rsidRDefault="00EB662B" w:rsidP="00596D7F">
            <w:pPr>
              <w:rPr>
                <w:rFonts w:ascii="Arial" w:hAnsi="Arial" w:cs="Arial"/>
                <w:color w:val="000000"/>
              </w:rPr>
            </w:pPr>
          </w:p>
          <w:p w:rsidR="000C2059" w:rsidRDefault="00EB662B" w:rsidP="00EB662B">
            <w:pPr>
              <w:rPr>
                <w:rFonts w:ascii="Arial" w:hAnsi="Arial" w:cs="Arial"/>
                <w:color w:val="000000"/>
              </w:rPr>
            </w:pPr>
            <w:r w:rsidRPr="007F7D95">
              <w:rPr>
                <w:rFonts w:ascii="Arial" w:hAnsi="Arial" w:cs="Arial"/>
                <w:color w:val="000000"/>
              </w:rPr>
              <w:t>New listing</w:t>
            </w:r>
            <w:r>
              <w:rPr>
                <w:rFonts w:ascii="Arial" w:hAnsi="Arial" w:cs="Arial"/>
                <w:color w:val="000000"/>
              </w:rPr>
              <w:t xml:space="preserve"> </w:t>
            </w:r>
          </w:p>
          <w:p w:rsidR="00EB662B" w:rsidRPr="007F7D95" w:rsidRDefault="00EB662B" w:rsidP="00EB662B">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Hormone receptor-positive (HR+), human epidermal growth factor receptor-2 negative (HER2-) advanced or metastatic breast cancer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31277" w:rsidRPr="007F7D95" w:rsidRDefault="00331277" w:rsidP="00596D7F">
            <w:pPr>
              <w:rPr>
                <w:rFonts w:ascii="Arial" w:hAnsi="Arial" w:cs="Arial"/>
                <w:color w:val="000000"/>
              </w:rPr>
            </w:pPr>
            <w:r w:rsidRPr="007F7D95">
              <w:rPr>
                <w:rFonts w:ascii="Arial" w:hAnsi="Arial" w:cs="Arial"/>
                <w:color w:val="000000"/>
              </w:rPr>
              <w:t>Resubmission to request an Authority Required listing as initial endocrine-based therapy in patients with HR+, HER2- locally advanced, inoperable or metastatic breast cancer in combination with a non-steroidal aromatase inhibitor.</w:t>
            </w:r>
          </w:p>
        </w:tc>
        <w:tc>
          <w:tcPr>
            <w:tcW w:w="7192" w:type="dxa"/>
            <w:gridSpan w:val="2"/>
            <w:tcBorders>
              <w:top w:val="single" w:sz="4" w:space="0" w:color="auto"/>
              <w:left w:val="single" w:sz="4" w:space="0" w:color="auto"/>
              <w:bottom w:val="single" w:sz="4" w:space="0" w:color="auto"/>
              <w:right w:val="single" w:sz="4" w:space="0" w:color="auto"/>
            </w:tcBorders>
            <w:shd w:val="clear" w:color="auto" w:fill="auto"/>
          </w:tcPr>
          <w:p w:rsidR="00E05BE1" w:rsidRDefault="00E05BE1" w:rsidP="00BF1F45">
            <w:pPr>
              <w:widowControl w:val="0"/>
              <w:spacing w:after="120"/>
              <w:rPr>
                <w:rFonts w:ascii="Arial" w:hAnsi="Arial" w:cs="Arial"/>
                <w:bCs/>
                <w:snapToGrid w:val="0"/>
                <w:lang w:val="en-GB"/>
              </w:rPr>
            </w:pPr>
            <w:r w:rsidRPr="00E05BE1">
              <w:rPr>
                <w:rFonts w:ascii="Arial" w:hAnsi="Arial" w:cs="Arial"/>
                <w:bCs/>
                <w:snapToGrid w:val="0"/>
                <w:lang w:val="en-GB"/>
              </w:rPr>
              <w:t xml:space="preserve">The PBAC recommended the listing of </w:t>
            </w:r>
            <w:proofErr w:type="spellStart"/>
            <w:r w:rsidRPr="00E05BE1">
              <w:rPr>
                <w:rFonts w:ascii="Arial" w:hAnsi="Arial" w:cs="Arial"/>
                <w:bCs/>
                <w:snapToGrid w:val="0"/>
                <w:lang w:val="en-GB"/>
              </w:rPr>
              <w:t>palbociclib</w:t>
            </w:r>
            <w:proofErr w:type="spellEnd"/>
            <w:r w:rsidRPr="00E05BE1">
              <w:rPr>
                <w:rFonts w:ascii="Arial" w:hAnsi="Arial" w:cs="Arial"/>
                <w:bCs/>
                <w:snapToGrid w:val="0"/>
                <w:lang w:val="en-GB"/>
              </w:rPr>
              <w:t xml:space="preserve"> in combination with a non-steroidal aromatase inhibitor </w:t>
            </w:r>
            <w:r w:rsidR="00F25D20">
              <w:rPr>
                <w:rFonts w:ascii="Arial" w:hAnsi="Arial" w:cs="Arial"/>
                <w:bCs/>
                <w:snapToGrid w:val="0"/>
                <w:lang w:val="en-GB"/>
              </w:rPr>
              <w:t xml:space="preserve">(NSAI) </w:t>
            </w:r>
            <w:r w:rsidRPr="00E05BE1">
              <w:rPr>
                <w:rFonts w:ascii="Arial" w:hAnsi="Arial" w:cs="Arial"/>
                <w:bCs/>
                <w:snapToGrid w:val="0"/>
                <w:lang w:val="en-GB"/>
              </w:rPr>
              <w:t>(</w:t>
            </w:r>
            <w:proofErr w:type="spellStart"/>
            <w:r w:rsidRPr="00E05BE1">
              <w:rPr>
                <w:rFonts w:ascii="Arial" w:hAnsi="Arial" w:cs="Arial"/>
                <w:bCs/>
                <w:snapToGrid w:val="0"/>
                <w:lang w:val="en-GB"/>
              </w:rPr>
              <w:t>letrozole</w:t>
            </w:r>
            <w:proofErr w:type="spellEnd"/>
            <w:r w:rsidRPr="00E05BE1">
              <w:rPr>
                <w:rFonts w:ascii="Arial" w:hAnsi="Arial" w:cs="Arial"/>
                <w:bCs/>
                <w:snapToGrid w:val="0"/>
                <w:lang w:val="en-GB"/>
              </w:rPr>
              <w:t xml:space="preserve"> or </w:t>
            </w:r>
            <w:proofErr w:type="spellStart"/>
            <w:r w:rsidRPr="00E05BE1">
              <w:rPr>
                <w:rFonts w:ascii="Arial" w:hAnsi="Arial" w:cs="Arial"/>
                <w:bCs/>
                <w:snapToGrid w:val="0"/>
                <w:lang w:val="en-GB"/>
              </w:rPr>
              <w:t>anastrazole</w:t>
            </w:r>
            <w:proofErr w:type="spellEnd"/>
            <w:r w:rsidRPr="00E05BE1">
              <w:rPr>
                <w:rFonts w:ascii="Arial" w:hAnsi="Arial" w:cs="Arial"/>
                <w:bCs/>
                <w:snapToGrid w:val="0"/>
                <w:lang w:val="en-GB"/>
              </w:rPr>
              <w:t xml:space="preserve">) as initial endocrine-based therapy in patients with hormone receptor (HR)-positive, human epidermal growth factor receptor 2 (HER2)-negative locally advanced inoperable or metastatic breast cancer. The PBAC was satisfied that for some patients, </w:t>
            </w:r>
            <w:proofErr w:type="spellStart"/>
            <w:r w:rsidRPr="00E05BE1">
              <w:rPr>
                <w:rFonts w:ascii="Arial" w:hAnsi="Arial" w:cs="Arial"/>
                <w:bCs/>
                <w:snapToGrid w:val="0"/>
                <w:lang w:val="en-GB"/>
              </w:rPr>
              <w:t>palbociclib</w:t>
            </w:r>
            <w:proofErr w:type="spellEnd"/>
            <w:r w:rsidRPr="00E05BE1">
              <w:rPr>
                <w:rFonts w:ascii="Arial" w:hAnsi="Arial" w:cs="Arial"/>
                <w:bCs/>
                <w:snapToGrid w:val="0"/>
                <w:lang w:val="en-GB"/>
              </w:rPr>
              <w:t xml:space="preserve"> in combination with an NSAI provides additional progression free survival compared with an NSAI alone, though its effect on overall survival is unknown. </w:t>
            </w:r>
            <w:r w:rsidRPr="00E05BE1">
              <w:rPr>
                <w:rFonts w:ascii="Arial" w:hAnsi="Arial" w:cs="Arial"/>
                <w:bCs/>
                <w:lang w:val="en-GB"/>
              </w:rPr>
              <w:t xml:space="preserve">The PBAC noted that if overall survival was not improved by treatment with </w:t>
            </w:r>
            <w:proofErr w:type="spellStart"/>
            <w:r w:rsidRPr="00E05BE1">
              <w:rPr>
                <w:rFonts w:ascii="Arial" w:hAnsi="Arial" w:cs="Arial"/>
                <w:bCs/>
                <w:lang w:val="en-GB"/>
              </w:rPr>
              <w:t>palbociclib</w:t>
            </w:r>
            <w:proofErr w:type="spellEnd"/>
            <w:r w:rsidRPr="00E05BE1">
              <w:rPr>
                <w:rFonts w:ascii="Arial" w:hAnsi="Arial" w:cs="Arial"/>
                <w:bCs/>
                <w:lang w:val="en-GB"/>
              </w:rPr>
              <w:t xml:space="preserve"> then the observed gain in progression free survival would be at the expense of a reduced time spent in the post-progression state. </w:t>
            </w:r>
            <w:r w:rsidRPr="00E05BE1">
              <w:rPr>
                <w:rFonts w:ascii="Arial" w:hAnsi="Arial" w:cs="Arial"/>
                <w:bCs/>
                <w:snapToGrid w:val="0"/>
                <w:lang w:val="en-GB"/>
              </w:rPr>
              <w:t xml:space="preserve">In this context, the modelled cost-effectiveness was considered uncertain, but the Committee considered that the modelled cost effectiveness of </w:t>
            </w:r>
            <w:proofErr w:type="spellStart"/>
            <w:r w:rsidRPr="00E05BE1">
              <w:rPr>
                <w:rFonts w:ascii="Arial" w:hAnsi="Arial" w:cs="Arial"/>
                <w:bCs/>
                <w:snapToGrid w:val="0"/>
                <w:lang w:val="en-GB"/>
              </w:rPr>
              <w:t>palbociclib</w:t>
            </w:r>
            <w:proofErr w:type="spellEnd"/>
            <w:r w:rsidRPr="00E05BE1">
              <w:rPr>
                <w:rFonts w:ascii="Arial" w:hAnsi="Arial" w:cs="Arial"/>
                <w:bCs/>
                <w:snapToGrid w:val="0"/>
                <w:lang w:val="en-GB"/>
              </w:rPr>
              <w:t xml:space="preserve"> could be brought into an acceptable range with a reduced effective price</w:t>
            </w:r>
            <w:r w:rsidR="00F25D20">
              <w:rPr>
                <w:rFonts w:ascii="Arial" w:hAnsi="Arial" w:cs="Arial"/>
                <w:bCs/>
                <w:snapToGrid w:val="0"/>
                <w:lang w:val="en-GB"/>
              </w:rPr>
              <w:t xml:space="preserve"> </w:t>
            </w:r>
            <w:r w:rsidR="001106F2">
              <w:rPr>
                <w:rFonts w:ascii="Arial" w:hAnsi="Arial" w:cs="Arial"/>
                <w:bCs/>
                <w:snapToGrid w:val="0"/>
                <w:lang w:val="en-GB"/>
              </w:rPr>
              <w:t>in conjunction with</w:t>
            </w:r>
            <w:r w:rsidRPr="00E05BE1">
              <w:rPr>
                <w:rFonts w:ascii="Arial" w:hAnsi="Arial" w:cs="Arial"/>
                <w:bCs/>
                <w:snapToGrid w:val="0"/>
                <w:lang w:val="en-GB"/>
              </w:rPr>
              <w:t xml:space="preserve"> financial caps.</w:t>
            </w:r>
          </w:p>
          <w:p w:rsidR="00E05BE1" w:rsidRPr="00E05BE1" w:rsidRDefault="00E05BE1" w:rsidP="00BF1F45">
            <w:pPr>
              <w:widowControl w:val="0"/>
              <w:spacing w:after="120"/>
              <w:rPr>
                <w:rFonts w:ascii="Arial" w:hAnsi="Arial" w:cs="Arial"/>
                <w:bCs/>
                <w:snapToGrid w:val="0"/>
                <w:lang w:val="en-GB"/>
              </w:rPr>
            </w:pPr>
          </w:p>
          <w:p w:rsidR="001106F2" w:rsidRPr="00E05BE1" w:rsidRDefault="00E05BE1" w:rsidP="00BF1F45">
            <w:pPr>
              <w:widowControl w:val="0"/>
              <w:spacing w:after="120"/>
              <w:rPr>
                <w:rFonts w:asciiTheme="minorHAnsi" w:hAnsiTheme="minorHAnsi" w:cs="Arial"/>
                <w:bCs/>
                <w:snapToGrid w:val="0"/>
                <w:lang w:val="en-GB"/>
              </w:rPr>
            </w:pPr>
            <w:r w:rsidRPr="00E05BE1">
              <w:rPr>
                <w:rFonts w:ascii="Arial" w:hAnsi="Arial" w:cs="Arial"/>
                <w:bCs/>
                <w:snapToGrid w:val="0"/>
                <w:lang w:val="en-GB"/>
              </w:rPr>
              <w:t xml:space="preserve">The PBAC considered </w:t>
            </w:r>
            <w:proofErr w:type="spellStart"/>
            <w:r w:rsidRPr="00E05BE1">
              <w:rPr>
                <w:rFonts w:ascii="Arial" w:hAnsi="Arial" w:cs="Arial"/>
                <w:bCs/>
                <w:snapToGrid w:val="0"/>
                <w:lang w:val="en-GB"/>
              </w:rPr>
              <w:t>ribociclib</w:t>
            </w:r>
            <w:proofErr w:type="spellEnd"/>
            <w:r w:rsidRPr="00E05BE1">
              <w:rPr>
                <w:rFonts w:ascii="Arial" w:hAnsi="Arial" w:cs="Arial"/>
                <w:bCs/>
                <w:snapToGrid w:val="0"/>
                <w:lang w:val="en-GB"/>
              </w:rPr>
              <w:t xml:space="preserve"> an appropriate near market comparator. </w:t>
            </w:r>
            <w:r w:rsidRPr="00E05BE1">
              <w:rPr>
                <w:rFonts w:ascii="Arial" w:hAnsi="Arial" w:cs="Arial"/>
              </w:rPr>
              <w:t xml:space="preserve">The PBAC noted that there are limited data to support the clinical claim for </w:t>
            </w:r>
            <w:proofErr w:type="spellStart"/>
            <w:r w:rsidRPr="00E05BE1">
              <w:rPr>
                <w:rFonts w:ascii="Arial" w:hAnsi="Arial" w:cs="Arial"/>
              </w:rPr>
              <w:t>palbociclib</w:t>
            </w:r>
            <w:proofErr w:type="spellEnd"/>
            <w:r w:rsidRPr="00E05BE1">
              <w:rPr>
                <w:rFonts w:ascii="Arial" w:hAnsi="Arial" w:cs="Arial"/>
              </w:rPr>
              <w:t xml:space="preserve"> compared with </w:t>
            </w:r>
            <w:proofErr w:type="spellStart"/>
            <w:r w:rsidRPr="00E05BE1">
              <w:rPr>
                <w:rFonts w:ascii="Arial" w:hAnsi="Arial" w:cs="Arial"/>
              </w:rPr>
              <w:t>ribociclib</w:t>
            </w:r>
            <w:proofErr w:type="spellEnd"/>
            <w:r w:rsidRPr="00E05BE1">
              <w:rPr>
                <w:rFonts w:ascii="Arial" w:hAnsi="Arial" w:cs="Arial"/>
              </w:rPr>
              <w:t xml:space="preserve"> but considered that the claim of non-inferior clinical effectiveness and safety appears reasonable.</w:t>
            </w:r>
          </w:p>
        </w:tc>
      </w:tr>
      <w:tr w:rsidR="00B028CB"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B662B" w:rsidRPr="00EB662B" w:rsidRDefault="00EB662B" w:rsidP="00EB662B">
            <w:pPr>
              <w:rPr>
                <w:rFonts w:ascii="Arial" w:hAnsi="Arial" w:cs="Arial"/>
                <w:color w:val="000000"/>
              </w:rPr>
            </w:pPr>
            <w:r w:rsidRPr="00EB662B">
              <w:rPr>
                <w:rFonts w:ascii="Arial" w:hAnsi="Arial" w:cs="Arial"/>
                <w:color w:val="000000"/>
              </w:rPr>
              <w:t>PEGFILGRASTIM</w:t>
            </w:r>
          </w:p>
          <w:p w:rsidR="00EB662B" w:rsidRDefault="00EB662B" w:rsidP="00EB662B">
            <w:pPr>
              <w:rPr>
                <w:rFonts w:ascii="Arial" w:hAnsi="Arial" w:cs="Arial"/>
                <w:color w:val="000000"/>
              </w:rPr>
            </w:pPr>
          </w:p>
          <w:p w:rsidR="00EB662B" w:rsidRDefault="00EB662B" w:rsidP="00EB662B">
            <w:pPr>
              <w:rPr>
                <w:rFonts w:ascii="Arial" w:hAnsi="Arial" w:cs="Arial"/>
                <w:color w:val="000000"/>
              </w:rPr>
            </w:pPr>
            <w:r>
              <w:rPr>
                <w:rFonts w:ascii="Arial" w:hAnsi="Arial" w:cs="Arial"/>
                <w:color w:val="000000"/>
              </w:rPr>
              <w:t>Injection 6 mg in 0.6 mL single use pre-filled syringe</w:t>
            </w:r>
          </w:p>
          <w:p w:rsidR="00EB662B" w:rsidRDefault="00EB662B" w:rsidP="00EB662B">
            <w:pPr>
              <w:rPr>
                <w:rFonts w:ascii="Arial" w:hAnsi="Arial" w:cs="Arial"/>
                <w:color w:val="000000"/>
              </w:rPr>
            </w:pPr>
          </w:p>
          <w:p w:rsidR="00EB662B" w:rsidRDefault="00EB662B" w:rsidP="00EB662B">
            <w:pPr>
              <w:rPr>
                <w:rFonts w:ascii="Arial" w:hAnsi="Arial" w:cs="Arial"/>
                <w:color w:val="000000"/>
              </w:rPr>
            </w:pPr>
            <w:proofErr w:type="spellStart"/>
            <w:r>
              <w:rPr>
                <w:rFonts w:ascii="Arial" w:hAnsi="Arial" w:cs="Arial"/>
                <w:color w:val="000000"/>
              </w:rPr>
              <w:t>Neulasta</w:t>
            </w:r>
            <w:proofErr w:type="spellEnd"/>
            <w:r>
              <w:rPr>
                <w:rFonts w:ascii="Arial" w:hAnsi="Arial" w:cs="Arial"/>
                <w:color w:val="000000"/>
              </w:rPr>
              <w:t>®</w:t>
            </w:r>
          </w:p>
          <w:p w:rsidR="00EB662B" w:rsidRDefault="00EB662B" w:rsidP="00EB662B">
            <w:pPr>
              <w:rPr>
                <w:rFonts w:ascii="Arial" w:hAnsi="Arial" w:cs="Arial"/>
                <w:color w:val="000000"/>
              </w:rPr>
            </w:pPr>
          </w:p>
          <w:p w:rsidR="00EB662B" w:rsidRDefault="00EB662B" w:rsidP="00EB662B">
            <w:pPr>
              <w:rPr>
                <w:rFonts w:ascii="Arial" w:hAnsi="Arial" w:cs="Arial"/>
                <w:color w:val="000000"/>
              </w:rPr>
            </w:pPr>
            <w:r>
              <w:rPr>
                <w:rFonts w:ascii="Arial" w:hAnsi="Arial" w:cs="Arial"/>
                <w:color w:val="000000"/>
              </w:rPr>
              <w:t>Amgen Australia Pty Ltd</w:t>
            </w:r>
          </w:p>
          <w:p w:rsidR="00B028CB" w:rsidRDefault="00B028CB" w:rsidP="00E95E3D">
            <w:pPr>
              <w:rPr>
                <w:rFonts w:ascii="Arial" w:hAnsi="Arial" w:cs="Arial"/>
              </w:rPr>
            </w:pPr>
          </w:p>
          <w:p w:rsidR="000C2059" w:rsidRDefault="00EB662B" w:rsidP="00E95E3D">
            <w:pPr>
              <w:rPr>
                <w:rFonts w:ascii="Arial" w:hAnsi="Arial" w:cs="Arial"/>
              </w:rPr>
            </w:pPr>
            <w:r>
              <w:rPr>
                <w:rFonts w:ascii="Arial" w:hAnsi="Arial" w:cs="Arial"/>
              </w:rPr>
              <w:t xml:space="preserve">Change to listing </w:t>
            </w:r>
          </w:p>
          <w:p w:rsidR="00EB662B" w:rsidRPr="003D7E12" w:rsidRDefault="00EB662B" w:rsidP="00E95E3D">
            <w:pPr>
              <w:rPr>
                <w:rFonts w:ascii="Arial" w:hAnsi="Arial" w:cs="Arial"/>
              </w:rPr>
            </w:pPr>
            <w:r>
              <w:rPr>
                <w:rFonts w:ascii="Arial" w:hAnsi="Arial" w:cs="Arial"/>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B662B" w:rsidRPr="00EB662B" w:rsidRDefault="00EB662B" w:rsidP="00EB662B">
            <w:pPr>
              <w:rPr>
                <w:rFonts w:ascii="Arial" w:hAnsi="Arial" w:cs="Arial"/>
                <w:color w:val="000000"/>
              </w:rPr>
            </w:pPr>
            <w:r w:rsidRPr="00EB662B">
              <w:rPr>
                <w:rFonts w:ascii="Arial" w:hAnsi="Arial" w:cs="Arial"/>
                <w:color w:val="000000"/>
              </w:rPr>
              <w:t>Prophylaxis of chemotherapy induced neutropenia</w:t>
            </w:r>
          </w:p>
          <w:p w:rsidR="00B028CB" w:rsidRPr="003D7E12" w:rsidRDefault="00B028CB" w:rsidP="00445DCE">
            <w:pPr>
              <w:rPr>
                <w:rFonts w:ascii="Arial" w:hAnsi="Arial" w:cs="Arial"/>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028CB" w:rsidRPr="003D7E12" w:rsidRDefault="00EB662B" w:rsidP="00EB662B">
            <w:pPr>
              <w:rPr>
                <w:rFonts w:ascii="Arial" w:hAnsi="Arial" w:cs="Arial"/>
                <w:color w:val="000000"/>
              </w:rPr>
            </w:pPr>
            <w:r>
              <w:rPr>
                <w:rFonts w:ascii="Arial" w:hAnsi="Arial" w:cs="Arial"/>
                <w:color w:val="000000"/>
              </w:rPr>
              <w:t>To request a Section 100 (Highly Specialised Drug) Authority Required listing for the treatment of patients for primary prophylaxis of chemotherapy induced neutropenia in patients with early stage breast cancer in patients receiving docetaxel and cyclophosphamide based chemotherapy.</w:t>
            </w:r>
          </w:p>
        </w:tc>
        <w:tc>
          <w:tcPr>
            <w:tcW w:w="7192" w:type="dxa"/>
            <w:gridSpan w:val="2"/>
            <w:tcBorders>
              <w:top w:val="single" w:sz="4" w:space="0" w:color="auto"/>
              <w:left w:val="single" w:sz="4" w:space="0" w:color="auto"/>
              <w:bottom w:val="single" w:sz="4" w:space="0" w:color="auto"/>
              <w:right w:val="single" w:sz="4" w:space="0" w:color="auto"/>
            </w:tcBorders>
          </w:tcPr>
          <w:p w:rsidR="00AD5AE4" w:rsidRPr="00192F90" w:rsidRDefault="00AD5AE4" w:rsidP="00BF1F45">
            <w:pPr>
              <w:rPr>
                <w:rFonts w:ascii="Arial" w:hAnsi="Arial" w:cs="Arial"/>
                <w:color w:val="000000"/>
              </w:rPr>
            </w:pPr>
            <w:r w:rsidRPr="00192F90">
              <w:rPr>
                <w:rFonts w:ascii="Arial" w:hAnsi="Arial" w:cs="Arial"/>
                <w:color w:val="000000"/>
              </w:rPr>
              <w:t xml:space="preserve">The PBAC recommended the expanded listing of </w:t>
            </w:r>
            <w:proofErr w:type="spellStart"/>
            <w:r w:rsidRPr="00192F90">
              <w:rPr>
                <w:rFonts w:ascii="Arial" w:hAnsi="Arial" w:cs="Arial"/>
                <w:color w:val="000000"/>
              </w:rPr>
              <w:t>pegfilgrastim</w:t>
            </w:r>
            <w:proofErr w:type="spellEnd"/>
            <w:r w:rsidRPr="00192F90">
              <w:rPr>
                <w:rFonts w:ascii="Arial" w:hAnsi="Arial" w:cs="Arial"/>
                <w:color w:val="000000"/>
              </w:rPr>
              <w:t>, on the basis that it should be available only under special arra</w:t>
            </w:r>
            <w:r w:rsidR="0081245B">
              <w:rPr>
                <w:rFonts w:ascii="Arial" w:hAnsi="Arial" w:cs="Arial"/>
                <w:color w:val="000000"/>
              </w:rPr>
              <w:t>n</w:t>
            </w:r>
            <w:r w:rsidRPr="00192F90">
              <w:rPr>
                <w:rFonts w:ascii="Arial" w:hAnsi="Arial" w:cs="Arial"/>
                <w:color w:val="000000"/>
              </w:rPr>
              <w:t>gements under Section 100 (Highly Specialised Drugs Program – Public and Private Hospitals) for patients receiving chemotherapy treatment with the intention of achieving a cure or substantial remission, as primary prophylaxis where the chemotherapy treatment carries a risk of febrile neutropenia (FN) or prolonged severe neutropenia greater than 20%, and as secondary prophylaxis for patients who have had an episode of FN or prolonged severe neutropenia.</w:t>
            </w:r>
          </w:p>
          <w:p w:rsidR="00AD5AE4" w:rsidRPr="00192F90" w:rsidRDefault="00AD5AE4" w:rsidP="00BF1F45">
            <w:pPr>
              <w:rPr>
                <w:rFonts w:ascii="Arial" w:hAnsi="Arial" w:cs="Arial"/>
                <w:color w:val="000000"/>
              </w:rPr>
            </w:pPr>
          </w:p>
          <w:p w:rsidR="00AD5AE4" w:rsidRPr="00192F90" w:rsidRDefault="00AD5AE4" w:rsidP="00BF1F45">
            <w:pPr>
              <w:rPr>
                <w:rFonts w:ascii="Arial" w:hAnsi="Arial" w:cs="Arial"/>
                <w:color w:val="000000"/>
              </w:rPr>
            </w:pPr>
            <w:r w:rsidRPr="00192F90">
              <w:rPr>
                <w:rFonts w:ascii="Arial" w:hAnsi="Arial" w:cs="Arial"/>
                <w:color w:val="000000"/>
              </w:rPr>
              <w:t xml:space="preserve">The PBAC advised that the restriction changes could also be applied to </w:t>
            </w:r>
            <w:proofErr w:type="spellStart"/>
            <w:r w:rsidRPr="00192F90">
              <w:rPr>
                <w:rFonts w:ascii="Arial" w:hAnsi="Arial" w:cs="Arial"/>
                <w:color w:val="000000"/>
              </w:rPr>
              <w:t>filgrastim</w:t>
            </w:r>
            <w:proofErr w:type="spellEnd"/>
            <w:r w:rsidRPr="00192F90">
              <w:rPr>
                <w:rFonts w:ascii="Arial" w:hAnsi="Arial" w:cs="Arial"/>
                <w:color w:val="000000"/>
              </w:rPr>
              <w:t xml:space="preserve"> and </w:t>
            </w:r>
            <w:proofErr w:type="spellStart"/>
            <w:r w:rsidRPr="00192F90">
              <w:rPr>
                <w:rFonts w:ascii="Arial" w:hAnsi="Arial" w:cs="Arial"/>
                <w:color w:val="000000"/>
              </w:rPr>
              <w:t>lipegfilgrastim</w:t>
            </w:r>
            <w:proofErr w:type="spellEnd"/>
            <w:r w:rsidRPr="00192F90">
              <w:rPr>
                <w:rFonts w:ascii="Arial" w:hAnsi="Arial" w:cs="Arial"/>
                <w:color w:val="000000"/>
              </w:rPr>
              <w:t xml:space="preserve">, pending agreement from the relevant sponsors to the expanded listing and associated pricing consequences.  </w:t>
            </w:r>
          </w:p>
          <w:p w:rsidR="001106F2" w:rsidRPr="00873467" w:rsidRDefault="001106F2" w:rsidP="00BF1F45">
            <w:pPr>
              <w:rPr>
                <w:rFonts w:ascii="Arial" w:hAnsi="Arial" w:cs="Arial"/>
              </w:rPr>
            </w:pPr>
          </w:p>
        </w:tc>
      </w:tr>
      <w:tr w:rsidR="00FA319F"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Default="00FA319F" w:rsidP="00596D7F">
            <w:pPr>
              <w:rPr>
                <w:rFonts w:ascii="Arial" w:hAnsi="Arial" w:cs="Arial"/>
                <w:color w:val="000000"/>
              </w:rPr>
            </w:pPr>
            <w:r w:rsidRPr="007F7D95">
              <w:rPr>
                <w:rFonts w:ascii="Arial" w:hAnsi="Arial" w:cs="Arial"/>
                <w:color w:val="000000"/>
              </w:rPr>
              <w:lastRenderedPageBreak/>
              <w:t>PEMBROLIZUMAB</w:t>
            </w:r>
            <w:r w:rsidRPr="007F7D95">
              <w:rPr>
                <w:rFonts w:ascii="Arial" w:hAnsi="Arial" w:cs="Arial"/>
                <w:color w:val="000000"/>
              </w:rPr>
              <w:br/>
            </w:r>
            <w:r w:rsidRPr="007F7D95">
              <w:rPr>
                <w:rFonts w:ascii="Arial" w:hAnsi="Arial" w:cs="Arial"/>
                <w:color w:val="000000"/>
              </w:rPr>
              <w:br/>
              <w:t>Powder for injection 50 mg</w:t>
            </w:r>
            <w:r w:rsidRPr="007F7D95">
              <w:rPr>
                <w:rFonts w:ascii="Arial" w:hAnsi="Arial" w:cs="Arial"/>
                <w:color w:val="000000"/>
              </w:rPr>
              <w:br/>
              <w:t>Solution concentrate for I.V. infusion 100 mg in 4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Keytruda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Merck, Sharp and Dohme (Australia) Pty Limited</w:t>
            </w:r>
          </w:p>
          <w:p w:rsidR="00FA319F" w:rsidRDefault="00FA319F" w:rsidP="00596D7F">
            <w:pPr>
              <w:rPr>
                <w:rFonts w:ascii="Arial" w:hAnsi="Arial" w:cs="Arial"/>
                <w:color w:val="000000"/>
              </w:rPr>
            </w:pPr>
          </w:p>
          <w:p w:rsidR="000C2059" w:rsidRDefault="00FA319F" w:rsidP="00FA319F">
            <w:pPr>
              <w:rPr>
                <w:rFonts w:ascii="Arial" w:hAnsi="Arial" w:cs="Arial"/>
                <w:color w:val="000000"/>
              </w:rPr>
            </w:pPr>
            <w:r w:rsidRPr="007F7D95">
              <w:rPr>
                <w:rFonts w:ascii="Arial" w:hAnsi="Arial" w:cs="Arial"/>
                <w:color w:val="000000"/>
              </w:rPr>
              <w:t>Change to listing</w:t>
            </w:r>
            <w:r>
              <w:rPr>
                <w:rFonts w:ascii="Arial" w:hAnsi="Arial" w:cs="Arial"/>
                <w:color w:val="000000"/>
              </w:rPr>
              <w:t xml:space="preserve"> </w:t>
            </w:r>
          </w:p>
          <w:p w:rsidR="00FA319F" w:rsidRPr="007F7D95" w:rsidRDefault="00FA319F" w:rsidP="00FA319F">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Melanoma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 xml:space="preserve">To request </w:t>
            </w:r>
            <w:r>
              <w:rPr>
                <w:rFonts w:ascii="Arial" w:hAnsi="Arial" w:cs="Arial"/>
                <w:color w:val="000000"/>
              </w:rPr>
              <w:t xml:space="preserve">a change to the dosing regimen </w:t>
            </w:r>
            <w:r w:rsidRPr="007F7D95">
              <w:rPr>
                <w:rFonts w:ascii="Arial" w:hAnsi="Arial" w:cs="Arial"/>
                <w:color w:val="000000"/>
              </w:rPr>
              <w:t>to a fixed dose, from weight-based dosing, with a new maximum amount.</w:t>
            </w:r>
          </w:p>
        </w:tc>
        <w:tc>
          <w:tcPr>
            <w:tcW w:w="7192" w:type="dxa"/>
            <w:gridSpan w:val="2"/>
            <w:tcBorders>
              <w:top w:val="single" w:sz="4" w:space="0" w:color="auto"/>
              <w:left w:val="single" w:sz="4" w:space="0" w:color="auto"/>
              <w:bottom w:val="single" w:sz="4" w:space="0" w:color="auto"/>
              <w:right w:val="single" w:sz="4" w:space="0" w:color="auto"/>
            </w:tcBorders>
          </w:tcPr>
          <w:p w:rsidR="003C6C8F" w:rsidRPr="003C6C8F" w:rsidRDefault="003C6C8F" w:rsidP="00BF1F45">
            <w:pPr>
              <w:rPr>
                <w:rFonts w:ascii="Arial" w:eastAsia="Calibri" w:hAnsi="Arial" w:cs="Arial"/>
                <w:lang w:eastAsia="en-US"/>
              </w:rPr>
            </w:pPr>
            <w:r w:rsidRPr="003C6C8F">
              <w:rPr>
                <w:rFonts w:ascii="Arial" w:eastAsia="Calibri" w:hAnsi="Arial" w:cs="Arial"/>
                <w:lang w:eastAsia="en-US"/>
              </w:rPr>
              <w:t xml:space="preserve">The PBAC recommended an amendment to the existing PBS restrictions for the treatment of unresectable Stage III or Stage IV malignant melanoma, to allow </w:t>
            </w:r>
            <w:proofErr w:type="gramStart"/>
            <w:r w:rsidRPr="003C6C8F">
              <w:rPr>
                <w:rFonts w:ascii="Arial" w:eastAsia="Calibri" w:hAnsi="Arial" w:cs="Arial"/>
                <w:lang w:eastAsia="en-US"/>
              </w:rPr>
              <w:t>either a</w:t>
            </w:r>
            <w:proofErr w:type="gramEnd"/>
            <w:r w:rsidRPr="003C6C8F">
              <w:rPr>
                <w:rFonts w:ascii="Arial" w:eastAsia="Calibri" w:hAnsi="Arial" w:cs="Arial"/>
                <w:lang w:eastAsia="en-US"/>
              </w:rPr>
              <w:t xml:space="preserve"> weight-based dose of 2 mg/kg or a fixed dose of 200 mg, every three weeks. The PBAC recommended that the maximum amount be adjusted to 200 mg. </w:t>
            </w:r>
          </w:p>
          <w:p w:rsidR="003C6C8F" w:rsidRPr="003C6C8F" w:rsidRDefault="003C6C8F" w:rsidP="00BF1F45">
            <w:pPr>
              <w:rPr>
                <w:rFonts w:ascii="Calibri" w:eastAsia="Calibri" w:hAnsi="Calibri"/>
              </w:rPr>
            </w:pPr>
          </w:p>
          <w:p w:rsidR="003C6C8F" w:rsidRPr="003C6C8F" w:rsidRDefault="003C6C8F" w:rsidP="00BF1F45">
            <w:pPr>
              <w:rPr>
                <w:rFonts w:ascii="Arial" w:eastAsia="Calibri" w:hAnsi="Arial" w:cs="Arial"/>
              </w:rPr>
            </w:pPr>
            <w:r w:rsidRPr="003C6C8F">
              <w:rPr>
                <w:rFonts w:ascii="Arial" w:eastAsia="Calibri" w:hAnsi="Arial" w:cs="Arial"/>
              </w:rPr>
              <w:t xml:space="preserve">The PBAC noted that the sponsor requested a change in dosing from being weight based to </w:t>
            </w:r>
            <w:proofErr w:type="gramStart"/>
            <w:r w:rsidRPr="003C6C8F">
              <w:rPr>
                <w:rFonts w:ascii="Arial" w:eastAsia="Calibri" w:hAnsi="Arial" w:cs="Arial"/>
              </w:rPr>
              <w:t>fixed</w:t>
            </w:r>
            <w:proofErr w:type="gramEnd"/>
            <w:r w:rsidRPr="003C6C8F">
              <w:rPr>
                <w:rFonts w:ascii="Arial" w:eastAsia="Calibri" w:hAnsi="Arial" w:cs="Arial"/>
              </w:rPr>
              <w:t>. The PBAC considered that the change in dosing has the effect of wasting on average 25% of the drug because the fixed dosing results in a higher administered dose without any additional patient benefit. For this reason, the PBAC concluded that a change from the weight-based to fixed dose regimen would not be cost-effective on a per-patient basis, as currently the mean dose of pembrolizumab is significantly less than 200 mg. However, the PBAC noted that there is currently a relevant risk sharing arrangement in place. The PBAC therefore advised that subsequent annual expenditure caps for this melanoma-based Deed of Agreement should be negotiated with the sponsor for pembrolizumab based on the weight-based dosing regimen, to ensure that the PBS listing remains acceptably cost-effective.</w:t>
            </w:r>
          </w:p>
          <w:p w:rsidR="001106F2" w:rsidRPr="00CB26E4" w:rsidRDefault="001106F2" w:rsidP="00BF1F45">
            <w:pPr>
              <w:rPr>
                <w:rFonts w:ascii="Arial" w:hAnsi="Arial" w:cs="Arial"/>
                <w:color w:val="000000"/>
              </w:rPr>
            </w:pPr>
          </w:p>
        </w:tc>
      </w:tr>
      <w:tr w:rsidR="00FA319F"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Default="00FA319F" w:rsidP="00596D7F">
            <w:pPr>
              <w:rPr>
                <w:rFonts w:ascii="Arial" w:hAnsi="Arial" w:cs="Arial"/>
                <w:color w:val="000000"/>
              </w:rPr>
            </w:pPr>
            <w:r w:rsidRPr="007F7D95">
              <w:rPr>
                <w:rFonts w:ascii="Arial" w:hAnsi="Arial" w:cs="Arial"/>
                <w:color w:val="000000"/>
              </w:rPr>
              <w:t>PERFLUOROHEXYLOCTANE</w:t>
            </w:r>
            <w:r w:rsidRPr="007F7D95">
              <w:rPr>
                <w:rFonts w:ascii="Arial" w:hAnsi="Arial" w:cs="Arial"/>
                <w:color w:val="000000"/>
              </w:rPr>
              <w:br/>
            </w:r>
            <w:r w:rsidRPr="007F7D95">
              <w:rPr>
                <w:rFonts w:ascii="Arial" w:hAnsi="Arial" w:cs="Arial"/>
                <w:color w:val="000000"/>
              </w:rPr>
              <w:br/>
              <w:t xml:space="preserve">Eye drops containing </w:t>
            </w:r>
            <w:proofErr w:type="spellStart"/>
            <w:r w:rsidRPr="007F7D95">
              <w:rPr>
                <w:rFonts w:ascii="Arial" w:hAnsi="Arial" w:cs="Arial"/>
                <w:color w:val="000000"/>
              </w:rPr>
              <w:t>perfluorohexyloctane</w:t>
            </w:r>
            <w:proofErr w:type="spellEnd"/>
            <w:r w:rsidRPr="007F7D95">
              <w:rPr>
                <w:rFonts w:ascii="Arial" w:hAnsi="Arial" w:cs="Arial"/>
                <w:color w:val="000000"/>
              </w:rPr>
              <w:t>, 3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NovaTears</w:t>
            </w:r>
            <w:proofErr w:type="spellEnd"/>
            <w:r w:rsidRPr="007F7D95">
              <w:rPr>
                <w:rFonts w:ascii="Arial" w:hAnsi="Arial" w:cs="Arial"/>
                <w:color w:val="000000"/>
              </w:rPr>
              <w:t xml:space="preserve">® </w:t>
            </w:r>
            <w:r w:rsidRPr="007F7D95">
              <w:rPr>
                <w:rFonts w:ascii="Arial" w:hAnsi="Arial" w:cs="Arial"/>
                <w:color w:val="000000"/>
              </w:rPr>
              <w:br/>
            </w:r>
            <w:r w:rsidRPr="007F7D95">
              <w:rPr>
                <w:rFonts w:ascii="Arial" w:hAnsi="Arial" w:cs="Arial"/>
                <w:color w:val="000000"/>
              </w:rPr>
              <w:br/>
              <w:t>AFT Pharmaceuticals Pty Ltd</w:t>
            </w:r>
          </w:p>
          <w:p w:rsidR="00FA319F" w:rsidRDefault="00FA319F" w:rsidP="00596D7F">
            <w:pPr>
              <w:rPr>
                <w:rFonts w:ascii="Arial" w:hAnsi="Arial" w:cs="Arial"/>
                <w:color w:val="000000"/>
              </w:rPr>
            </w:pPr>
          </w:p>
          <w:p w:rsidR="000C2059" w:rsidRDefault="00FA319F" w:rsidP="00FA319F">
            <w:pPr>
              <w:rPr>
                <w:rFonts w:ascii="Arial" w:hAnsi="Arial" w:cs="Arial"/>
                <w:color w:val="000000"/>
              </w:rPr>
            </w:pPr>
            <w:r w:rsidRPr="007F7D95">
              <w:rPr>
                <w:rFonts w:ascii="Arial" w:hAnsi="Arial" w:cs="Arial"/>
                <w:color w:val="000000"/>
              </w:rPr>
              <w:t xml:space="preserve">New listing </w:t>
            </w:r>
          </w:p>
          <w:p w:rsidR="00FA319F" w:rsidRPr="007F7D95" w:rsidRDefault="000C2059" w:rsidP="00FA319F">
            <w:pPr>
              <w:rPr>
                <w:rFonts w:ascii="Arial" w:hAnsi="Arial" w:cs="Arial"/>
                <w:color w:val="000000"/>
              </w:rPr>
            </w:pPr>
            <w:r>
              <w:rPr>
                <w:rFonts w:ascii="Arial" w:hAnsi="Arial" w:cs="Arial"/>
                <w:color w:val="000000"/>
              </w:rPr>
              <w:t>(</w:t>
            </w:r>
            <w:r w:rsidR="00FA319F"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Severe dry eye syndrome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To request an Authority Required (STREAMLINED) listing for the treatment of severe dry eye syndrome.</w:t>
            </w:r>
          </w:p>
        </w:tc>
        <w:tc>
          <w:tcPr>
            <w:tcW w:w="7192" w:type="dxa"/>
            <w:gridSpan w:val="2"/>
            <w:tcBorders>
              <w:top w:val="single" w:sz="4" w:space="0" w:color="auto"/>
              <w:left w:val="single" w:sz="4" w:space="0" w:color="auto"/>
              <w:bottom w:val="single" w:sz="4" w:space="0" w:color="auto"/>
              <w:right w:val="single" w:sz="4" w:space="0" w:color="auto"/>
            </w:tcBorders>
          </w:tcPr>
          <w:p w:rsidR="00B4190D" w:rsidRPr="00CF75B0" w:rsidRDefault="00B4190D" w:rsidP="00040BE7">
            <w:pPr>
              <w:jc w:val="both"/>
              <w:rPr>
                <w:rFonts w:ascii="Arial" w:hAnsi="Arial" w:cs="Arial"/>
                <w:color w:val="000000"/>
                <w:sz w:val="24"/>
                <w:szCs w:val="24"/>
              </w:rPr>
            </w:pPr>
            <w:r w:rsidRPr="00CF75B0">
              <w:rPr>
                <w:rFonts w:ascii="Arial" w:hAnsi="Arial" w:cs="Arial"/>
                <w:color w:val="000000"/>
              </w:rPr>
              <w:t xml:space="preserve">The PBAC recommended a General Schedule and an Optometric Schedule Authority Required (STREAMLINED) listing of </w:t>
            </w:r>
            <w:proofErr w:type="spellStart"/>
            <w:r w:rsidRPr="00CF75B0">
              <w:rPr>
                <w:rFonts w:ascii="Arial" w:hAnsi="Arial" w:cs="Arial"/>
                <w:color w:val="000000"/>
              </w:rPr>
              <w:t>perfluorohexyloctane</w:t>
            </w:r>
            <w:proofErr w:type="spellEnd"/>
            <w:r w:rsidRPr="00CF75B0">
              <w:rPr>
                <w:rFonts w:ascii="Arial" w:hAnsi="Arial" w:cs="Arial"/>
                <w:color w:val="000000"/>
              </w:rPr>
              <w:t xml:space="preserve"> for the treatment of severe dry</w:t>
            </w:r>
            <w:r w:rsidRPr="00CF75B0">
              <w:rPr>
                <w:rFonts w:ascii="Arial" w:hAnsi="Arial" w:cs="Arial"/>
                <w:color w:val="000000"/>
              </w:rPr>
              <w:noBreakHyphen/>
              <w:t xml:space="preserve">eye syndrome in patients who are sensitive to preservatives in multi-dose eye drops. </w:t>
            </w:r>
          </w:p>
          <w:p w:rsidR="00BA0E93" w:rsidRPr="00CF75B0" w:rsidRDefault="00BA0E93" w:rsidP="00040BE7">
            <w:pPr>
              <w:jc w:val="both"/>
              <w:rPr>
                <w:rFonts w:ascii="Arial" w:hAnsi="Arial" w:cs="Arial"/>
                <w:lang w:eastAsia="en-US"/>
              </w:rPr>
            </w:pPr>
          </w:p>
        </w:tc>
      </w:tr>
      <w:tr w:rsidR="00FA319F" w:rsidRPr="003D7E12" w:rsidTr="00DE1FFD">
        <w:trPr>
          <w:cantSplit/>
          <w:trHeight w:val="1209"/>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Default="00FA319F" w:rsidP="00596D7F">
            <w:pPr>
              <w:rPr>
                <w:rFonts w:ascii="Arial" w:hAnsi="Arial" w:cs="Arial"/>
                <w:color w:val="000000"/>
              </w:rPr>
            </w:pPr>
            <w:r w:rsidRPr="007F7D95">
              <w:rPr>
                <w:rFonts w:ascii="Arial" w:hAnsi="Arial" w:cs="Arial"/>
                <w:color w:val="000000"/>
              </w:rPr>
              <w:lastRenderedPageBreak/>
              <w:t>PIRFENIDONE</w:t>
            </w:r>
            <w:r w:rsidRPr="007F7D95">
              <w:rPr>
                <w:rFonts w:ascii="Arial" w:hAnsi="Arial" w:cs="Arial"/>
                <w:color w:val="000000"/>
              </w:rPr>
              <w:br/>
            </w:r>
            <w:r w:rsidRPr="007F7D95">
              <w:rPr>
                <w:rFonts w:ascii="Arial" w:hAnsi="Arial" w:cs="Arial"/>
                <w:color w:val="000000"/>
              </w:rPr>
              <w:br/>
              <w:t>Tablet 267 mg</w:t>
            </w:r>
            <w:r w:rsidRPr="007F7D95">
              <w:rPr>
                <w:rFonts w:ascii="Arial" w:hAnsi="Arial" w:cs="Arial"/>
                <w:color w:val="000000"/>
              </w:rPr>
              <w:br/>
              <w:t xml:space="preserve">Tablet 801 mg </w:t>
            </w:r>
            <w:r w:rsidRPr="007F7D95">
              <w:rPr>
                <w:rFonts w:ascii="Arial" w:hAnsi="Arial" w:cs="Arial"/>
                <w:color w:val="000000"/>
              </w:rPr>
              <w:br/>
            </w:r>
            <w:r w:rsidRPr="007F7D95">
              <w:rPr>
                <w:rFonts w:ascii="Arial" w:hAnsi="Arial" w:cs="Arial"/>
                <w:color w:val="000000"/>
              </w:rPr>
              <w:br/>
              <w:t>Esbriet®</w:t>
            </w:r>
            <w:r w:rsidRPr="007F7D95">
              <w:rPr>
                <w:rFonts w:ascii="Arial" w:hAnsi="Arial" w:cs="Arial"/>
                <w:color w:val="000000"/>
              </w:rPr>
              <w:br/>
            </w:r>
            <w:r w:rsidRPr="007F7D95">
              <w:rPr>
                <w:rFonts w:ascii="Arial" w:hAnsi="Arial" w:cs="Arial"/>
                <w:color w:val="000000"/>
              </w:rPr>
              <w:br/>
              <w:t xml:space="preserve">Roche Products Pty Ltd </w:t>
            </w:r>
          </w:p>
          <w:p w:rsidR="00FA319F" w:rsidRDefault="00FA319F" w:rsidP="00596D7F">
            <w:pPr>
              <w:rPr>
                <w:rFonts w:ascii="Arial" w:hAnsi="Arial" w:cs="Arial"/>
                <w:color w:val="000000"/>
              </w:rPr>
            </w:pPr>
          </w:p>
          <w:p w:rsidR="000C2059" w:rsidRDefault="00FA319F" w:rsidP="00FA319F">
            <w:pPr>
              <w:rPr>
                <w:rFonts w:ascii="Arial" w:hAnsi="Arial" w:cs="Arial"/>
                <w:color w:val="000000"/>
              </w:rPr>
            </w:pPr>
            <w:r w:rsidRPr="007F7D95">
              <w:rPr>
                <w:rFonts w:ascii="Arial" w:hAnsi="Arial" w:cs="Arial"/>
                <w:color w:val="000000"/>
              </w:rPr>
              <w:t>New listing</w:t>
            </w:r>
            <w:r>
              <w:rPr>
                <w:rFonts w:ascii="Arial" w:hAnsi="Arial" w:cs="Arial"/>
                <w:color w:val="000000"/>
              </w:rPr>
              <w:t xml:space="preserve"> </w:t>
            </w:r>
          </w:p>
          <w:p w:rsidR="00FA319F" w:rsidRPr="007F7D95" w:rsidRDefault="00FA319F" w:rsidP="00FA319F">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Idiopathic pulmonary fibrosis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 xml:space="preserve">To request an Authority Required listing for two new forms of </w:t>
            </w:r>
            <w:proofErr w:type="spellStart"/>
            <w:r w:rsidRPr="007F7D95">
              <w:rPr>
                <w:rFonts w:ascii="Arial" w:hAnsi="Arial" w:cs="Arial"/>
                <w:color w:val="000000"/>
              </w:rPr>
              <w:t>pirfenidone</w:t>
            </w:r>
            <w:proofErr w:type="spellEnd"/>
            <w:r w:rsidRPr="007F7D95">
              <w:rPr>
                <w:rFonts w:ascii="Arial" w:hAnsi="Arial" w:cs="Arial"/>
                <w:color w:val="000000"/>
              </w:rPr>
              <w:t>.</w:t>
            </w:r>
          </w:p>
        </w:tc>
        <w:tc>
          <w:tcPr>
            <w:tcW w:w="7192" w:type="dxa"/>
            <w:gridSpan w:val="2"/>
            <w:tcBorders>
              <w:top w:val="single" w:sz="4" w:space="0" w:color="auto"/>
              <w:left w:val="single" w:sz="4" w:space="0" w:color="auto"/>
              <w:bottom w:val="single" w:sz="4" w:space="0" w:color="auto"/>
              <w:right w:val="single" w:sz="4" w:space="0" w:color="auto"/>
            </w:tcBorders>
          </w:tcPr>
          <w:p w:rsidR="00B4190D" w:rsidRPr="00CF75B0" w:rsidRDefault="00B4190D" w:rsidP="00B4190D">
            <w:pPr>
              <w:jc w:val="both"/>
              <w:rPr>
                <w:rFonts w:ascii="Arial" w:hAnsi="Arial" w:cs="Arial"/>
                <w:color w:val="000000"/>
                <w:sz w:val="24"/>
                <w:szCs w:val="24"/>
              </w:rPr>
            </w:pPr>
            <w:r w:rsidRPr="00CF75B0">
              <w:rPr>
                <w:rFonts w:ascii="Arial" w:hAnsi="Arial" w:cs="Arial"/>
                <w:color w:val="000000"/>
              </w:rPr>
              <w:t xml:space="preserve">The PBAC recommended the listing of </w:t>
            </w:r>
            <w:proofErr w:type="spellStart"/>
            <w:r w:rsidRPr="00CF75B0">
              <w:rPr>
                <w:rFonts w:ascii="Arial" w:hAnsi="Arial" w:cs="Arial"/>
                <w:color w:val="000000"/>
              </w:rPr>
              <w:t>pirfenidone</w:t>
            </w:r>
            <w:proofErr w:type="spellEnd"/>
            <w:r w:rsidRPr="00CF75B0">
              <w:rPr>
                <w:rFonts w:ascii="Arial" w:hAnsi="Arial" w:cs="Arial"/>
                <w:color w:val="000000"/>
              </w:rPr>
              <w:t xml:space="preserve"> as an Authority Required benefit for the treatment of idiopathic pulmonary fibrosis, as a 267 mg tablet and as </w:t>
            </w:r>
            <w:proofErr w:type="gramStart"/>
            <w:r w:rsidRPr="00CF75B0">
              <w:rPr>
                <w:rFonts w:ascii="Arial" w:hAnsi="Arial" w:cs="Arial"/>
                <w:color w:val="000000"/>
              </w:rPr>
              <w:t>a</w:t>
            </w:r>
            <w:proofErr w:type="gramEnd"/>
            <w:r w:rsidRPr="00CF75B0">
              <w:rPr>
                <w:rFonts w:ascii="Arial" w:hAnsi="Arial" w:cs="Arial"/>
                <w:color w:val="000000"/>
              </w:rPr>
              <w:t xml:space="preserve"> 801 mg tablet for continuing treatment only. The PBAC considered that the listing of the 801 mg tablet could potentially reduce the pill burden for some patients. </w:t>
            </w:r>
          </w:p>
          <w:p w:rsidR="00BA0E93" w:rsidRPr="00CF75B0" w:rsidRDefault="00BA0E93" w:rsidP="000A16D0">
            <w:pPr>
              <w:jc w:val="both"/>
              <w:rPr>
                <w:rFonts w:ascii="Arial" w:hAnsi="Arial" w:cs="Arial"/>
                <w:bCs/>
                <w:snapToGrid w:val="0"/>
              </w:rPr>
            </w:pPr>
          </w:p>
        </w:tc>
      </w:tr>
      <w:tr w:rsidR="00FA319F"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Default="00FA319F" w:rsidP="00596D7F">
            <w:pPr>
              <w:rPr>
                <w:rFonts w:ascii="Arial" w:hAnsi="Arial" w:cs="Arial"/>
                <w:color w:val="000000"/>
              </w:rPr>
            </w:pPr>
            <w:r w:rsidRPr="007F7D95">
              <w:rPr>
                <w:rFonts w:ascii="Arial" w:hAnsi="Arial" w:cs="Arial"/>
                <w:color w:val="000000"/>
              </w:rPr>
              <w:lastRenderedPageBreak/>
              <w:t>PNEUMOCOCCAL CONJUGATE VACCINE, 13 VALENT</w:t>
            </w:r>
            <w:r w:rsidRPr="007F7D95">
              <w:rPr>
                <w:rFonts w:ascii="Arial" w:hAnsi="Arial" w:cs="Arial"/>
                <w:color w:val="000000"/>
              </w:rPr>
              <w:br/>
            </w:r>
            <w:r w:rsidRPr="007F7D95">
              <w:rPr>
                <w:rFonts w:ascii="Arial" w:hAnsi="Arial" w:cs="Arial"/>
                <w:color w:val="000000"/>
              </w:rPr>
              <w:br/>
              <w:t>Injection 0.5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Prevenar</w:t>
            </w:r>
            <w:proofErr w:type="spellEnd"/>
            <w:r w:rsidRPr="007F7D95">
              <w:rPr>
                <w:rFonts w:ascii="Arial" w:hAnsi="Arial" w:cs="Arial"/>
                <w:color w:val="000000"/>
              </w:rPr>
              <w:t xml:space="preserve"> 13®</w:t>
            </w:r>
            <w:r w:rsidRPr="007F7D95">
              <w:rPr>
                <w:rFonts w:ascii="Arial" w:hAnsi="Arial" w:cs="Arial"/>
                <w:color w:val="000000"/>
              </w:rPr>
              <w:br/>
            </w:r>
            <w:r w:rsidRPr="007F7D95">
              <w:rPr>
                <w:rFonts w:ascii="Arial" w:hAnsi="Arial" w:cs="Arial"/>
                <w:color w:val="000000"/>
              </w:rPr>
              <w:br/>
              <w:t>Pfizer Australia Pty Ltd</w:t>
            </w:r>
          </w:p>
          <w:p w:rsidR="00FA319F" w:rsidRDefault="00FA319F" w:rsidP="00596D7F">
            <w:pPr>
              <w:rPr>
                <w:rFonts w:ascii="Arial" w:hAnsi="Arial" w:cs="Arial"/>
                <w:color w:val="000000"/>
              </w:rPr>
            </w:pPr>
          </w:p>
          <w:p w:rsidR="000C2059" w:rsidRDefault="00FA319F" w:rsidP="00FA319F">
            <w:pPr>
              <w:rPr>
                <w:rFonts w:ascii="Arial" w:hAnsi="Arial" w:cs="Arial"/>
                <w:color w:val="000000"/>
              </w:rPr>
            </w:pPr>
            <w:r w:rsidRPr="007F7D95">
              <w:rPr>
                <w:rFonts w:ascii="Arial" w:hAnsi="Arial" w:cs="Arial"/>
                <w:color w:val="000000"/>
              </w:rPr>
              <w:t>Change to listing</w:t>
            </w:r>
          </w:p>
          <w:p w:rsidR="00FA319F" w:rsidRPr="007F7D95" w:rsidRDefault="00FA319F" w:rsidP="00FA319F">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Prevention of pneumococcal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To request a change to the National Immunisation Program (NIP) infant schedule for 13-valent pneumococcal vaccine from a 3+0 to a 2+1 schedule.</w:t>
            </w:r>
          </w:p>
        </w:tc>
        <w:tc>
          <w:tcPr>
            <w:tcW w:w="7192" w:type="dxa"/>
            <w:gridSpan w:val="2"/>
            <w:tcBorders>
              <w:top w:val="single" w:sz="4" w:space="0" w:color="auto"/>
              <w:left w:val="single" w:sz="4" w:space="0" w:color="auto"/>
              <w:bottom w:val="single" w:sz="4" w:space="0" w:color="auto"/>
              <w:right w:val="single" w:sz="4" w:space="0" w:color="auto"/>
            </w:tcBorders>
          </w:tcPr>
          <w:p w:rsidR="00597084" w:rsidRDefault="00614179" w:rsidP="00040BE7">
            <w:pPr>
              <w:jc w:val="both"/>
              <w:rPr>
                <w:rFonts w:ascii="Arial" w:hAnsi="Arial" w:cs="Arial"/>
                <w:color w:val="000000"/>
              </w:rPr>
            </w:pPr>
            <w:r w:rsidRPr="00597084">
              <w:rPr>
                <w:rFonts w:ascii="Arial" w:hAnsi="Arial" w:cs="Arial"/>
                <w:color w:val="000000"/>
              </w:rPr>
              <w:t xml:space="preserve">The PBAC recommended that the circumstances of listing </w:t>
            </w:r>
            <w:r w:rsidR="00EA52B4">
              <w:rPr>
                <w:rFonts w:ascii="Arial" w:hAnsi="Arial" w:cs="Arial"/>
                <w:color w:val="000000"/>
              </w:rPr>
              <w:t>as</w:t>
            </w:r>
            <w:r w:rsidR="00EA52B4" w:rsidRPr="00EA52B4">
              <w:rPr>
                <w:rFonts w:ascii="Arial" w:hAnsi="Arial" w:cs="Arial"/>
                <w:color w:val="000000"/>
              </w:rPr>
              <w:t xml:space="preserve"> designated vaccine for the purposes </w:t>
            </w:r>
            <w:r w:rsidR="00EA52B4">
              <w:rPr>
                <w:rFonts w:ascii="Arial" w:hAnsi="Arial" w:cs="Arial"/>
                <w:color w:val="000000"/>
              </w:rPr>
              <w:t xml:space="preserve">of </w:t>
            </w:r>
            <w:r w:rsidR="00EA52B4" w:rsidRPr="00EA52B4">
              <w:rPr>
                <w:rFonts w:ascii="Arial" w:hAnsi="Arial" w:cs="Arial"/>
                <w:color w:val="000000"/>
              </w:rPr>
              <w:t xml:space="preserve">the </w:t>
            </w:r>
            <w:r w:rsidR="00EA52B4" w:rsidRPr="00EA52B4">
              <w:rPr>
                <w:rFonts w:ascii="Arial" w:hAnsi="Arial" w:cs="Arial"/>
                <w:i/>
                <w:color w:val="000000"/>
              </w:rPr>
              <w:t>National Health Act 1953</w:t>
            </w:r>
            <w:r w:rsidR="00EA52B4">
              <w:rPr>
                <w:rFonts w:ascii="Arial" w:hAnsi="Arial" w:cs="Arial"/>
                <w:i/>
                <w:color w:val="000000"/>
              </w:rPr>
              <w:t xml:space="preserve"> </w:t>
            </w:r>
            <w:r w:rsidR="00C86B1F">
              <w:rPr>
                <w:rFonts w:ascii="Arial" w:hAnsi="Arial" w:cs="Arial"/>
                <w:color w:val="000000"/>
              </w:rPr>
              <w:t>of</w:t>
            </w:r>
            <w:r w:rsidR="00C86B1F" w:rsidRPr="00597084">
              <w:rPr>
                <w:rFonts w:ascii="Arial" w:hAnsi="Arial" w:cs="Arial"/>
                <w:color w:val="000000"/>
              </w:rPr>
              <w:t xml:space="preserve"> </w:t>
            </w:r>
            <w:r w:rsidR="00C86B1F" w:rsidRPr="00C86B1F">
              <w:rPr>
                <w:rFonts w:ascii="Arial" w:hAnsi="Arial" w:cs="Arial"/>
                <w:color w:val="000000"/>
              </w:rPr>
              <w:t xml:space="preserve">13-valent pneumococcal vaccine </w:t>
            </w:r>
            <w:r w:rsidR="00C86B1F">
              <w:rPr>
                <w:rFonts w:ascii="Arial" w:hAnsi="Arial" w:cs="Arial"/>
                <w:color w:val="000000"/>
              </w:rPr>
              <w:t>(</w:t>
            </w:r>
            <w:r w:rsidRPr="00597084">
              <w:rPr>
                <w:rFonts w:ascii="Arial" w:hAnsi="Arial" w:cs="Arial"/>
                <w:color w:val="000000"/>
              </w:rPr>
              <w:t>13vPCV</w:t>
            </w:r>
            <w:r w:rsidR="00C86B1F">
              <w:rPr>
                <w:rFonts w:ascii="Arial" w:hAnsi="Arial" w:cs="Arial"/>
                <w:color w:val="000000"/>
              </w:rPr>
              <w:t>)</w:t>
            </w:r>
            <w:r w:rsidR="00EA52B4" w:rsidRPr="00EA52B4">
              <w:rPr>
                <w:rFonts w:ascii="Arial" w:hAnsi="Arial" w:cs="Arial"/>
                <w:color w:val="000000"/>
              </w:rPr>
              <w:t xml:space="preserve"> </w:t>
            </w:r>
            <w:r w:rsidRPr="00597084">
              <w:rPr>
                <w:rFonts w:ascii="Arial" w:hAnsi="Arial" w:cs="Arial"/>
                <w:color w:val="000000"/>
              </w:rPr>
              <w:t>for the prevention of pneumococcal disease should change such that:</w:t>
            </w:r>
          </w:p>
          <w:p w:rsidR="00597084" w:rsidRPr="00597084" w:rsidRDefault="00597084" w:rsidP="00040BE7">
            <w:pPr>
              <w:jc w:val="both"/>
              <w:rPr>
                <w:rFonts w:ascii="Arial" w:hAnsi="Arial" w:cs="Arial"/>
                <w:color w:val="000000"/>
              </w:rPr>
            </w:pPr>
          </w:p>
          <w:p w:rsidR="00597084" w:rsidRPr="00597084" w:rsidRDefault="00597084" w:rsidP="00040BE7">
            <w:pPr>
              <w:pStyle w:val="ListParagraph"/>
              <w:numPr>
                <w:ilvl w:val="0"/>
                <w:numId w:val="38"/>
              </w:numPr>
              <w:jc w:val="both"/>
              <w:rPr>
                <w:rFonts w:ascii="Arial" w:hAnsi="Arial" w:cs="Arial"/>
                <w:sz w:val="20"/>
                <w:szCs w:val="20"/>
                <w:lang w:eastAsia="en-US"/>
              </w:rPr>
            </w:pPr>
            <w:r w:rsidRPr="00597084">
              <w:rPr>
                <w:rFonts w:ascii="Arial" w:hAnsi="Arial" w:cs="Arial"/>
                <w:sz w:val="20"/>
                <w:szCs w:val="20"/>
                <w:lang w:eastAsia="en-US"/>
              </w:rPr>
              <w:t>The general dosing schedule move from a ‘3+0’ to a ‘2+1’ schedule with doses provid</w:t>
            </w:r>
            <w:r w:rsidR="00187990">
              <w:rPr>
                <w:rFonts w:ascii="Arial" w:hAnsi="Arial" w:cs="Arial"/>
                <w:sz w:val="20"/>
                <w:szCs w:val="20"/>
                <w:lang w:eastAsia="en-US"/>
              </w:rPr>
              <w:t>ed to children at around 2 and 4</w:t>
            </w:r>
            <w:r w:rsidRPr="00597084">
              <w:rPr>
                <w:rFonts w:ascii="Arial" w:hAnsi="Arial" w:cs="Arial"/>
                <w:sz w:val="20"/>
                <w:szCs w:val="20"/>
                <w:lang w:eastAsia="en-US"/>
              </w:rPr>
              <w:t xml:space="preserve"> months of age with a booster in the second year of life.</w:t>
            </w:r>
          </w:p>
          <w:p w:rsidR="00597084" w:rsidRPr="00597084" w:rsidRDefault="00597084" w:rsidP="00040BE7">
            <w:pPr>
              <w:jc w:val="both"/>
              <w:rPr>
                <w:rFonts w:ascii="Arial" w:hAnsi="Arial" w:cs="Arial"/>
                <w:lang w:eastAsia="en-US"/>
              </w:rPr>
            </w:pPr>
          </w:p>
          <w:p w:rsidR="00597084" w:rsidRPr="00597084" w:rsidRDefault="00597084" w:rsidP="00040BE7">
            <w:pPr>
              <w:numPr>
                <w:ilvl w:val="0"/>
                <w:numId w:val="38"/>
              </w:numPr>
              <w:contextualSpacing/>
              <w:jc w:val="both"/>
              <w:rPr>
                <w:rFonts w:ascii="Arial" w:hAnsi="Arial" w:cs="Arial"/>
                <w:lang w:eastAsia="en-US"/>
              </w:rPr>
            </w:pPr>
            <w:r w:rsidRPr="00597084">
              <w:rPr>
                <w:rFonts w:ascii="Arial" w:hAnsi="Arial" w:cs="Arial"/>
                <w:lang w:eastAsia="en-US"/>
              </w:rPr>
              <w:t xml:space="preserve">For children in at risk conditions, the additional dose </w:t>
            </w:r>
            <w:proofErr w:type="gramStart"/>
            <w:r w:rsidRPr="00597084">
              <w:rPr>
                <w:rFonts w:ascii="Arial" w:hAnsi="Arial" w:cs="Arial"/>
                <w:lang w:eastAsia="en-US"/>
              </w:rPr>
              <w:t>be</w:t>
            </w:r>
            <w:proofErr w:type="gramEnd"/>
            <w:r w:rsidRPr="00597084">
              <w:rPr>
                <w:rFonts w:ascii="Arial" w:hAnsi="Arial" w:cs="Arial"/>
                <w:lang w:eastAsia="en-US"/>
              </w:rPr>
              <w:t xml:space="preserve"> provided at 6 months of age to adjust for the booster dose now to be given in the second year of life.</w:t>
            </w:r>
          </w:p>
          <w:p w:rsidR="00597084" w:rsidRPr="00597084" w:rsidRDefault="00597084" w:rsidP="00040BE7">
            <w:pPr>
              <w:jc w:val="both"/>
              <w:rPr>
                <w:rFonts w:ascii="Arial" w:hAnsi="Arial" w:cs="Arial"/>
                <w:lang w:eastAsia="en-US"/>
              </w:rPr>
            </w:pPr>
          </w:p>
          <w:p w:rsidR="00597084" w:rsidRPr="00597084" w:rsidRDefault="00597084" w:rsidP="00040BE7">
            <w:pPr>
              <w:numPr>
                <w:ilvl w:val="0"/>
                <w:numId w:val="38"/>
              </w:numPr>
              <w:contextualSpacing/>
              <w:jc w:val="both"/>
              <w:rPr>
                <w:rFonts w:ascii="Arial" w:hAnsi="Arial" w:cs="Arial"/>
                <w:lang w:eastAsia="en-US"/>
              </w:rPr>
            </w:pPr>
            <w:r w:rsidRPr="00597084">
              <w:rPr>
                <w:rFonts w:ascii="Arial" w:hAnsi="Arial" w:cs="Arial"/>
                <w:lang w:eastAsia="en-US"/>
              </w:rPr>
              <w:t xml:space="preserve">For Aboriginal and Torres Strait Islander children in at risk areas, the additional dose </w:t>
            </w:r>
            <w:proofErr w:type="gramStart"/>
            <w:r w:rsidRPr="00597084">
              <w:rPr>
                <w:rFonts w:ascii="Arial" w:hAnsi="Arial" w:cs="Arial"/>
                <w:lang w:eastAsia="en-US"/>
              </w:rPr>
              <w:t>be</w:t>
            </w:r>
            <w:proofErr w:type="gramEnd"/>
            <w:r w:rsidRPr="00597084">
              <w:rPr>
                <w:rFonts w:ascii="Arial" w:hAnsi="Arial" w:cs="Arial"/>
                <w:lang w:eastAsia="en-US"/>
              </w:rPr>
              <w:t xml:space="preserve"> provided at 6 months of age to adjust for the booster dose now to be given in the second year of life.</w:t>
            </w:r>
          </w:p>
          <w:p w:rsidR="00597084" w:rsidRPr="00597084" w:rsidRDefault="00597084" w:rsidP="00040BE7">
            <w:pPr>
              <w:jc w:val="both"/>
              <w:rPr>
                <w:rFonts w:ascii="Arial" w:hAnsi="Arial" w:cs="Arial"/>
                <w:lang w:eastAsia="en-US"/>
              </w:rPr>
            </w:pPr>
          </w:p>
          <w:p w:rsidR="00597084" w:rsidRPr="00597084" w:rsidRDefault="00597084" w:rsidP="00040BE7">
            <w:pPr>
              <w:numPr>
                <w:ilvl w:val="0"/>
                <w:numId w:val="38"/>
              </w:numPr>
              <w:contextualSpacing/>
              <w:jc w:val="both"/>
              <w:rPr>
                <w:rFonts w:ascii="Arial" w:hAnsi="Arial" w:cs="Arial"/>
                <w:lang w:eastAsia="en-US"/>
              </w:rPr>
            </w:pPr>
            <w:r w:rsidRPr="00597084">
              <w:rPr>
                <w:rFonts w:ascii="Arial" w:hAnsi="Arial" w:cs="Arial"/>
                <w:lang w:eastAsia="en-US"/>
              </w:rPr>
              <w:t>That the catch-up program allow for children who have received 3 previous doses of 13vPCV &lt;12 months of age and present prior to 12 months of age to receive 1 further dose of 13vPCV in their second year of life with a minimum interval of 2 months after the previous dose of 13vPCV.</w:t>
            </w:r>
          </w:p>
          <w:p w:rsidR="00614179" w:rsidRDefault="00614179" w:rsidP="00040BE7">
            <w:pPr>
              <w:jc w:val="both"/>
              <w:rPr>
                <w:rFonts w:ascii="Arial" w:hAnsi="Arial" w:cs="Arial"/>
                <w:color w:val="000000"/>
              </w:rPr>
            </w:pPr>
          </w:p>
          <w:p w:rsidR="00C86B1F" w:rsidRDefault="00EA52B4" w:rsidP="00040BE7">
            <w:pPr>
              <w:jc w:val="both"/>
              <w:rPr>
                <w:rFonts w:ascii="Arial" w:hAnsi="Arial" w:cs="Arial"/>
                <w:color w:val="000000"/>
              </w:rPr>
            </w:pPr>
            <w:r w:rsidRPr="00EA52B4">
              <w:rPr>
                <w:rFonts w:ascii="Arial" w:hAnsi="Arial" w:cs="Arial"/>
                <w:color w:val="000000"/>
              </w:rPr>
              <w:t xml:space="preserve">The PBAC accepted </w:t>
            </w:r>
            <w:r>
              <w:rPr>
                <w:rFonts w:ascii="Arial" w:hAnsi="Arial" w:cs="Arial"/>
                <w:color w:val="000000"/>
              </w:rPr>
              <w:t xml:space="preserve">the advice of the </w:t>
            </w:r>
            <w:r w:rsidR="00C86B1F" w:rsidRPr="00C86B1F">
              <w:rPr>
                <w:rFonts w:ascii="Arial" w:hAnsi="Arial" w:cs="Arial"/>
                <w:color w:val="000000"/>
              </w:rPr>
              <w:t xml:space="preserve">Australian Technical Advisory Group on Immunisation </w:t>
            </w:r>
            <w:r w:rsidR="00C86B1F">
              <w:rPr>
                <w:rFonts w:ascii="Arial" w:hAnsi="Arial" w:cs="Arial"/>
                <w:color w:val="000000"/>
              </w:rPr>
              <w:t>(</w:t>
            </w:r>
            <w:r>
              <w:rPr>
                <w:rFonts w:ascii="Arial" w:hAnsi="Arial" w:cs="Arial"/>
                <w:color w:val="000000"/>
              </w:rPr>
              <w:t>ATAGI</w:t>
            </w:r>
            <w:r w:rsidR="00C86B1F">
              <w:rPr>
                <w:rFonts w:ascii="Arial" w:hAnsi="Arial" w:cs="Arial"/>
                <w:color w:val="000000"/>
              </w:rPr>
              <w:t>)</w:t>
            </w:r>
            <w:r w:rsidRPr="00EA52B4">
              <w:rPr>
                <w:rFonts w:ascii="Arial" w:hAnsi="Arial" w:cs="Arial"/>
                <w:color w:val="000000"/>
              </w:rPr>
              <w:t xml:space="preserve"> regarding the effectiveness of the change to the dosing schedule</w:t>
            </w:r>
            <w:r w:rsidR="00C86B1F">
              <w:rPr>
                <w:rFonts w:ascii="Arial" w:hAnsi="Arial" w:cs="Arial"/>
                <w:color w:val="000000"/>
              </w:rPr>
              <w:t>, noting that overall the proposed dossing schedule was of superior effectiveness and non-inferior in terms of comparative safety when compared to the existing dosing schedule.</w:t>
            </w:r>
          </w:p>
          <w:p w:rsidR="00C86B1F" w:rsidRDefault="00C86B1F" w:rsidP="00040BE7">
            <w:pPr>
              <w:jc w:val="both"/>
              <w:rPr>
                <w:rFonts w:ascii="Arial" w:hAnsi="Arial" w:cs="Arial"/>
                <w:color w:val="000000"/>
              </w:rPr>
            </w:pPr>
          </w:p>
          <w:p w:rsidR="0093318C" w:rsidRPr="00614179" w:rsidRDefault="00614179" w:rsidP="00040BE7">
            <w:pPr>
              <w:jc w:val="both"/>
              <w:rPr>
                <w:rFonts w:ascii="Arial" w:hAnsi="Arial" w:cs="Arial"/>
                <w:color w:val="000000"/>
              </w:rPr>
            </w:pPr>
            <w:r w:rsidRPr="00614179">
              <w:rPr>
                <w:rFonts w:ascii="Arial" w:hAnsi="Arial" w:cs="Arial"/>
                <w:color w:val="000000"/>
              </w:rPr>
              <w:t>The PBAC considered that the change to dosing schedule of the 13vPCV was cost neutral, and may present a small cost saving, to the NIP as the number of doses provided would not change.</w:t>
            </w:r>
          </w:p>
          <w:p w:rsidR="00C86B1F" w:rsidRPr="00614179" w:rsidRDefault="00C86B1F" w:rsidP="00040BE7">
            <w:pPr>
              <w:jc w:val="both"/>
              <w:rPr>
                <w:rFonts w:ascii="Arial" w:hAnsi="Arial" w:cs="Arial"/>
                <w:color w:val="000000"/>
              </w:rPr>
            </w:pPr>
          </w:p>
        </w:tc>
      </w:tr>
      <w:tr w:rsidR="00FA319F"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Default="00FA319F" w:rsidP="00596D7F">
            <w:pPr>
              <w:rPr>
                <w:rFonts w:ascii="Arial" w:hAnsi="Arial" w:cs="Arial"/>
                <w:color w:val="000000"/>
              </w:rPr>
            </w:pPr>
            <w:r w:rsidRPr="007F7D95">
              <w:rPr>
                <w:rFonts w:ascii="Arial" w:hAnsi="Arial" w:cs="Arial"/>
                <w:color w:val="000000"/>
              </w:rPr>
              <w:lastRenderedPageBreak/>
              <w:t>PROTEIN HYDROLYSATE FORMULA WITH MEDIUM CHAIN TRIGLYCERIDES</w:t>
            </w:r>
            <w:r w:rsidRPr="007F7D95">
              <w:rPr>
                <w:rFonts w:ascii="Arial" w:hAnsi="Arial" w:cs="Arial"/>
                <w:color w:val="000000"/>
              </w:rPr>
              <w:br/>
            </w:r>
            <w:r w:rsidRPr="007F7D95">
              <w:rPr>
                <w:rFonts w:ascii="Arial" w:hAnsi="Arial" w:cs="Arial"/>
                <w:color w:val="000000"/>
              </w:rPr>
              <w:br/>
              <w:t>Oral powder 450 g (</w:t>
            </w:r>
            <w:proofErr w:type="spellStart"/>
            <w:r w:rsidRPr="007F7D95">
              <w:rPr>
                <w:rFonts w:ascii="Arial" w:hAnsi="Arial" w:cs="Arial"/>
                <w:color w:val="000000"/>
              </w:rPr>
              <w:t>Aptamil</w:t>
            </w:r>
            <w:proofErr w:type="spellEnd"/>
            <w:r w:rsidRPr="007F7D95">
              <w:rPr>
                <w:rFonts w:ascii="Arial" w:hAnsi="Arial" w:cs="Arial"/>
                <w:color w:val="000000"/>
              </w:rPr>
              <w:t xml:space="preserve"> Gold+ </w:t>
            </w:r>
            <w:proofErr w:type="spellStart"/>
            <w:r w:rsidRPr="007F7D95">
              <w:rPr>
                <w:rFonts w:ascii="Arial" w:hAnsi="Arial" w:cs="Arial"/>
                <w:color w:val="000000"/>
              </w:rPr>
              <w:t>Pepti</w:t>
            </w:r>
            <w:proofErr w:type="spellEnd"/>
            <w:r w:rsidRPr="007F7D95">
              <w:rPr>
                <w:rFonts w:ascii="Arial" w:hAnsi="Arial" w:cs="Arial"/>
                <w:color w:val="000000"/>
              </w:rPr>
              <w:t>-Junior)</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Aptamil</w:t>
            </w:r>
            <w:proofErr w:type="spellEnd"/>
            <w:r w:rsidRPr="007F7D95">
              <w:rPr>
                <w:rFonts w:ascii="Arial" w:hAnsi="Arial" w:cs="Arial"/>
                <w:color w:val="000000"/>
              </w:rPr>
              <w:t xml:space="preserve"> Gold+ </w:t>
            </w:r>
            <w:proofErr w:type="spellStart"/>
            <w:r w:rsidRPr="007F7D95">
              <w:rPr>
                <w:rFonts w:ascii="Arial" w:hAnsi="Arial" w:cs="Arial"/>
                <w:color w:val="000000"/>
              </w:rPr>
              <w:t>Pepti</w:t>
            </w:r>
            <w:proofErr w:type="spellEnd"/>
            <w:r w:rsidRPr="007F7D95">
              <w:rPr>
                <w:rFonts w:ascii="Arial" w:hAnsi="Arial" w:cs="Arial"/>
                <w:color w:val="000000"/>
              </w:rPr>
              <w:t>-Junior®</w:t>
            </w:r>
            <w:r w:rsidRPr="007F7D95">
              <w:rPr>
                <w:rFonts w:ascii="Arial" w:hAnsi="Arial" w:cs="Arial"/>
                <w:color w:val="000000"/>
              </w:rPr>
              <w:br/>
            </w:r>
            <w:r w:rsidRPr="007F7D95">
              <w:rPr>
                <w:rFonts w:ascii="Arial" w:hAnsi="Arial" w:cs="Arial"/>
                <w:color w:val="000000"/>
              </w:rPr>
              <w:br/>
              <w:t xml:space="preserve">Danone </w:t>
            </w:r>
            <w:proofErr w:type="spellStart"/>
            <w:r w:rsidRPr="007F7D95">
              <w:rPr>
                <w:rFonts w:ascii="Arial" w:hAnsi="Arial" w:cs="Arial"/>
                <w:color w:val="000000"/>
              </w:rPr>
              <w:t>Nutricia</w:t>
            </w:r>
            <w:proofErr w:type="spellEnd"/>
          </w:p>
          <w:p w:rsidR="00FA319F" w:rsidRDefault="00FA319F" w:rsidP="00596D7F">
            <w:pPr>
              <w:rPr>
                <w:rFonts w:ascii="Arial" w:hAnsi="Arial" w:cs="Arial"/>
                <w:color w:val="000000"/>
              </w:rPr>
            </w:pPr>
          </w:p>
          <w:p w:rsidR="000C2059" w:rsidRDefault="00FA319F" w:rsidP="00FA319F">
            <w:pPr>
              <w:rPr>
                <w:rFonts w:ascii="Arial" w:hAnsi="Arial" w:cs="Arial"/>
                <w:color w:val="000000"/>
              </w:rPr>
            </w:pPr>
            <w:r w:rsidRPr="007F7D95">
              <w:rPr>
                <w:rFonts w:ascii="Arial" w:hAnsi="Arial" w:cs="Arial"/>
                <w:color w:val="000000"/>
              </w:rPr>
              <w:t>Change to listing</w:t>
            </w:r>
            <w:r>
              <w:rPr>
                <w:rFonts w:ascii="Arial" w:hAnsi="Arial" w:cs="Arial"/>
                <w:color w:val="000000"/>
              </w:rPr>
              <w:t xml:space="preserve"> </w:t>
            </w:r>
          </w:p>
          <w:p w:rsidR="00FA319F" w:rsidRPr="007F7D95" w:rsidRDefault="00FA319F" w:rsidP="00FA319F">
            <w:pPr>
              <w:rPr>
                <w:rFonts w:ascii="Arial" w:hAnsi="Arial" w:cs="Arial"/>
                <w:color w:val="000000"/>
              </w:rPr>
            </w:pPr>
            <w:r w:rsidRPr="007F7D95">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Cow's milk protein enteropathy and intolerance to soy protein;</w:t>
            </w:r>
            <w:r w:rsidRPr="007F7D95">
              <w:rPr>
                <w:rFonts w:ascii="Arial" w:hAnsi="Arial" w:cs="Arial"/>
                <w:color w:val="000000"/>
              </w:rPr>
              <w:br/>
              <w:t>Proven combined immunoglobulin E (IgE) mediated allergy to cows' milk protein and soy protein;</w:t>
            </w:r>
            <w:r w:rsidRPr="007F7D95">
              <w:rPr>
                <w:rFonts w:ascii="Arial" w:hAnsi="Arial" w:cs="Arial"/>
                <w:color w:val="000000"/>
              </w:rPr>
              <w:br/>
              <w:t>Biliary atresia;</w:t>
            </w:r>
            <w:r w:rsidRPr="007F7D95">
              <w:rPr>
                <w:rFonts w:ascii="Arial" w:hAnsi="Arial" w:cs="Arial"/>
                <w:color w:val="000000"/>
              </w:rPr>
              <w:br/>
              <w:t>Chronic liver failure with fat malabsorption;</w:t>
            </w:r>
            <w:r w:rsidRPr="007F7D95">
              <w:rPr>
                <w:rFonts w:ascii="Arial" w:hAnsi="Arial" w:cs="Arial"/>
                <w:color w:val="000000"/>
              </w:rPr>
              <w:br/>
            </w:r>
            <w:proofErr w:type="spellStart"/>
            <w:r w:rsidRPr="007F7D95">
              <w:rPr>
                <w:rFonts w:ascii="Arial" w:hAnsi="Arial" w:cs="Arial"/>
                <w:color w:val="000000"/>
              </w:rPr>
              <w:t>Chylous</w:t>
            </w:r>
            <w:proofErr w:type="spellEnd"/>
            <w:r w:rsidRPr="007F7D95">
              <w:rPr>
                <w:rFonts w:ascii="Arial" w:hAnsi="Arial" w:cs="Arial"/>
                <w:color w:val="000000"/>
              </w:rPr>
              <w:t xml:space="preserve"> ascites;</w:t>
            </w:r>
            <w:r w:rsidRPr="007F7D95">
              <w:rPr>
                <w:rFonts w:ascii="Arial" w:hAnsi="Arial" w:cs="Arial"/>
                <w:color w:val="000000"/>
              </w:rPr>
              <w:br/>
              <w:t>Cystic fibrosis;</w:t>
            </w:r>
            <w:r w:rsidRPr="007F7D95">
              <w:rPr>
                <w:rFonts w:ascii="Arial" w:hAnsi="Arial" w:cs="Arial"/>
                <w:color w:val="000000"/>
              </w:rPr>
              <w:br/>
            </w:r>
            <w:proofErr w:type="spellStart"/>
            <w:r w:rsidRPr="007F7D95">
              <w:rPr>
                <w:rFonts w:ascii="Arial" w:hAnsi="Arial" w:cs="Arial"/>
                <w:color w:val="000000"/>
              </w:rPr>
              <w:t>Enterokinase</w:t>
            </w:r>
            <w:proofErr w:type="spellEnd"/>
            <w:r w:rsidRPr="007F7D95">
              <w:rPr>
                <w:rFonts w:ascii="Arial" w:hAnsi="Arial" w:cs="Arial"/>
                <w:color w:val="000000"/>
              </w:rPr>
              <w:t xml:space="preserve"> deficiency;</w:t>
            </w:r>
            <w:r w:rsidRPr="007F7D95">
              <w:rPr>
                <w:rFonts w:ascii="Arial" w:hAnsi="Arial" w:cs="Arial"/>
                <w:color w:val="000000"/>
              </w:rPr>
              <w:br/>
              <w:t>Proven fat malabsorption;</w:t>
            </w:r>
            <w:r w:rsidRPr="007F7D95">
              <w:rPr>
                <w:rFonts w:ascii="Arial" w:hAnsi="Arial" w:cs="Arial"/>
                <w:color w:val="000000"/>
              </w:rPr>
              <w:br/>
              <w:t>Severe diarrhoea of greater than 2 weeks duration;</w:t>
            </w:r>
            <w:r w:rsidRPr="007F7D95">
              <w:rPr>
                <w:rFonts w:ascii="Arial" w:hAnsi="Arial" w:cs="Arial"/>
                <w:color w:val="000000"/>
              </w:rPr>
              <w:br/>
              <w:t>Severe intestinal malabsorption including short bowel syndrome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FA319F" w:rsidRPr="007F7D95" w:rsidRDefault="00FA319F" w:rsidP="00596D7F">
            <w:pPr>
              <w:rPr>
                <w:rFonts w:ascii="Arial" w:hAnsi="Arial" w:cs="Arial"/>
                <w:color w:val="000000"/>
              </w:rPr>
            </w:pPr>
            <w:r w:rsidRPr="007F7D95">
              <w:rPr>
                <w:rFonts w:ascii="Arial" w:hAnsi="Arial" w:cs="Arial"/>
                <w:color w:val="000000"/>
              </w:rPr>
              <w:t xml:space="preserve">To request changes to the Authority Required (STREAMLINED) listing of </w:t>
            </w:r>
            <w:proofErr w:type="spellStart"/>
            <w:r w:rsidRPr="007F7D95">
              <w:rPr>
                <w:rFonts w:ascii="Arial" w:hAnsi="Arial" w:cs="Arial"/>
                <w:color w:val="000000"/>
              </w:rPr>
              <w:t>Aptamil</w:t>
            </w:r>
            <w:proofErr w:type="spellEnd"/>
            <w:r w:rsidRPr="007F7D95">
              <w:rPr>
                <w:rFonts w:ascii="Arial" w:hAnsi="Arial" w:cs="Arial"/>
                <w:color w:val="000000"/>
              </w:rPr>
              <w:t xml:space="preserve"> Gold+ </w:t>
            </w:r>
            <w:proofErr w:type="spellStart"/>
            <w:r w:rsidRPr="007F7D95">
              <w:rPr>
                <w:rFonts w:ascii="Arial" w:hAnsi="Arial" w:cs="Arial"/>
                <w:color w:val="000000"/>
              </w:rPr>
              <w:t>Pepti</w:t>
            </w:r>
            <w:proofErr w:type="spellEnd"/>
            <w:r w:rsidRPr="007F7D95">
              <w:rPr>
                <w:rFonts w:ascii="Arial" w:hAnsi="Arial" w:cs="Arial"/>
                <w:color w:val="000000"/>
              </w:rPr>
              <w:t>-Junior including nutritional content.</w:t>
            </w:r>
          </w:p>
        </w:tc>
        <w:tc>
          <w:tcPr>
            <w:tcW w:w="7192" w:type="dxa"/>
            <w:gridSpan w:val="2"/>
            <w:tcBorders>
              <w:top w:val="single" w:sz="4" w:space="0" w:color="auto"/>
              <w:left w:val="single" w:sz="4" w:space="0" w:color="auto"/>
              <w:bottom w:val="single" w:sz="4" w:space="0" w:color="auto"/>
              <w:right w:val="single" w:sz="4" w:space="0" w:color="auto"/>
            </w:tcBorders>
          </w:tcPr>
          <w:p w:rsidR="00B4190D" w:rsidRPr="00CF75B0" w:rsidRDefault="00B4190D" w:rsidP="00B4190D">
            <w:pPr>
              <w:jc w:val="both"/>
              <w:rPr>
                <w:rFonts w:ascii="Arial" w:hAnsi="Arial" w:cs="Arial"/>
                <w:color w:val="000000"/>
                <w:sz w:val="24"/>
                <w:szCs w:val="24"/>
              </w:rPr>
            </w:pPr>
            <w:r w:rsidRPr="00CF75B0">
              <w:rPr>
                <w:rFonts w:ascii="Arial" w:hAnsi="Arial" w:cs="Arial"/>
                <w:color w:val="000000"/>
              </w:rPr>
              <w:t>The PBAC recommended the continued listing of protein hydrolysate formula with medium chain triglycerides (</w:t>
            </w:r>
            <w:proofErr w:type="spellStart"/>
            <w:r w:rsidRPr="00CF75B0">
              <w:rPr>
                <w:rFonts w:ascii="Arial" w:hAnsi="Arial" w:cs="Arial"/>
                <w:color w:val="000000"/>
              </w:rPr>
              <w:t>Aptamil</w:t>
            </w:r>
            <w:proofErr w:type="spellEnd"/>
            <w:r w:rsidRPr="00CF75B0">
              <w:rPr>
                <w:rFonts w:ascii="Arial" w:hAnsi="Arial" w:cs="Arial"/>
                <w:color w:val="000000"/>
              </w:rPr>
              <w:t xml:space="preserve"> Gold + </w:t>
            </w:r>
            <w:proofErr w:type="spellStart"/>
            <w:r w:rsidRPr="00CF75B0">
              <w:rPr>
                <w:rFonts w:ascii="Arial" w:hAnsi="Arial" w:cs="Arial"/>
                <w:color w:val="000000"/>
              </w:rPr>
              <w:t>Pepti</w:t>
            </w:r>
            <w:proofErr w:type="spellEnd"/>
            <w:r w:rsidRPr="00CF75B0">
              <w:rPr>
                <w:rFonts w:ascii="Arial" w:hAnsi="Arial" w:cs="Arial"/>
                <w:color w:val="000000"/>
              </w:rPr>
              <w:t>-Junior) with the change in nutritional profile, including changes in fat, minerals and vitamins. The PBAC noted that the Nutritional Product Working Party supported this recommendation.</w:t>
            </w:r>
          </w:p>
          <w:p w:rsidR="002F3AD1" w:rsidRPr="003D7E12" w:rsidRDefault="002F3AD1" w:rsidP="000A16D0">
            <w:pPr>
              <w:widowControl w:val="0"/>
              <w:jc w:val="both"/>
              <w:rPr>
                <w:rFonts w:ascii="Arial" w:hAnsi="Arial" w:cs="Arial"/>
              </w:rPr>
            </w:pPr>
          </w:p>
        </w:tc>
      </w:tr>
      <w:tr w:rsidR="00980D79"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lastRenderedPageBreak/>
              <w:t>RAMUCIRUMAB</w:t>
            </w:r>
            <w:r>
              <w:rPr>
                <w:rFonts w:ascii="Arial" w:hAnsi="Arial" w:cs="Arial"/>
                <w:color w:val="000000"/>
              </w:rPr>
              <w:br/>
            </w:r>
            <w:r>
              <w:rPr>
                <w:rFonts w:ascii="Arial" w:hAnsi="Arial" w:cs="Arial"/>
                <w:color w:val="000000"/>
              </w:rPr>
              <w:br/>
              <w:t>Injection concentrate for I.V. infusion 100 mg in 10 mL</w:t>
            </w:r>
            <w:r>
              <w:rPr>
                <w:rFonts w:ascii="Arial" w:hAnsi="Arial" w:cs="Arial"/>
                <w:color w:val="000000"/>
              </w:rPr>
              <w:br/>
              <w:t>Injection concentrate for I.V. infusion 500 mg in 50 mL</w:t>
            </w:r>
            <w:r>
              <w:rPr>
                <w:rFonts w:ascii="Arial" w:hAnsi="Arial" w:cs="Arial"/>
                <w:color w:val="000000"/>
              </w:rPr>
              <w:br/>
            </w:r>
            <w:r>
              <w:rPr>
                <w:rFonts w:ascii="Arial" w:hAnsi="Arial" w:cs="Arial"/>
                <w:color w:val="000000"/>
              </w:rPr>
              <w:br/>
            </w:r>
            <w:r>
              <w:rPr>
                <w:rFonts w:ascii="Arial" w:hAnsi="Arial" w:cs="Arial"/>
                <w:color w:val="000000"/>
              </w:rPr>
              <w:br/>
            </w:r>
            <w:proofErr w:type="spellStart"/>
            <w:r>
              <w:rPr>
                <w:rFonts w:ascii="Arial" w:hAnsi="Arial" w:cs="Arial"/>
                <w:color w:val="000000"/>
              </w:rPr>
              <w:t>Cyramza</w:t>
            </w:r>
            <w:proofErr w:type="spellEnd"/>
            <w:r>
              <w:rPr>
                <w:rFonts w:ascii="Arial" w:hAnsi="Arial" w:cs="Arial"/>
                <w:color w:val="000000"/>
              </w:rPr>
              <w:t>®</w:t>
            </w:r>
            <w:r>
              <w:rPr>
                <w:rFonts w:ascii="Arial" w:hAnsi="Arial" w:cs="Arial"/>
                <w:color w:val="000000"/>
              </w:rPr>
              <w:br/>
            </w:r>
            <w:r>
              <w:rPr>
                <w:rFonts w:ascii="Arial" w:hAnsi="Arial" w:cs="Arial"/>
                <w:color w:val="000000"/>
              </w:rPr>
              <w:br/>
              <w:t>Eli Lilly Australia Pty Ltd</w:t>
            </w:r>
          </w:p>
          <w:p w:rsidR="00980D79" w:rsidRDefault="00980D79" w:rsidP="00596D7F">
            <w:pPr>
              <w:rPr>
                <w:rFonts w:ascii="Arial" w:hAnsi="Arial" w:cs="Arial"/>
                <w:color w:val="000000"/>
              </w:rPr>
            </w:pPr>
          </w:p>
          <w:p w:rsidR="000C2059" w:rsidRDefault="00980D79" w:rsidP="00596D7F">
            <w:pPr>
              <w:rPr>
                <w:rFonts w:ascii="Arial" w:hAnsi="Arial" w:cs="Arial"/>
                <w:color w:val="000000"/>
              </w:rPr>
            </w:pPr>
            <w:r>
              <w:rPr>
                <w:rFonts w:ascii="Arial" w:hAnsi="Arial" w:cs="Arial"/>
                <w:color w:val="000000"/>
              </w:rPr>
              <w:t xml:space="preserve">New listing </w:t>
            </w:r>
          </w:p>
          <w:p w:rsidR="00980D79" w:rsidRDefault="00980D79" w:rsidP="00596D7F">
            <w:pPr>
              <w:rPr>
                <w:rFonts w:ascii="Arial" w:hAnsi="Arial" w:cs="Arial"/>
                <w:color w:val="000000"/>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Advanced gastric or gastro-oesophageal junction adenocarcinomas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 xml:space="preserve">To request a Section 100 (Efficient Funding of Chemotherapy) listing for the treatment of patients with advanced or metastatic, gastric or gastro-oesophageal junction adenocarcinoma in with disease progression, in combination with paclitaxel after prior platinum and </w:t>
            </w:r>
            <w:proofErr w:type="spellStart"/>
            <w:r>
              <w:rPr>
                <w:rFonts w:ascii="Arial" w:hAnsi="Arial" w:cs="Arial"/>
                <w:color w:val="000000"/>
              </w:rPr>
              <w:t>fluoropyrimidine</w:t>
            </w:r>
            <w:proofErr w:type="spellEnd"/>
            <w:r>
              <w:rPr>
                <w:rFonts w:ascii="Arial" w:hAnsi="Arial" w:cs="Arial"/>
                <w:color w:val="000000"/>
              </w:rPr>
              <w:t xml:space="preserve"> chemotherapy.</w:t>
            </w:r>
          </w:p>
        </w:tc>
        <w:tc>
          <w:tcPr>
            <w:tcW w:w="7192" w:type="dxa"/>
            <w:gridSpan w:val="2"/>
            <w:tcBorders>
              <w:top w:val="single" w:sz="4" w:space="0" w:color="auto"/>
              <w:left w:val="single" w:sz="4" w:space="0" w:color="auto"/>
              <w:bottom w:val="single" w:sz="4" w:space="0" w:color="auto"/>
              <w:right w:val="single" w:sz="4" w:space="0" w:color="auto"/>
            </w:tcBorders>
          </w:tcPr>
          <w:p w:rsidR="0093318C" w:rsidRPr="00925ECD" w:rsidRDefault="00CB6D5D" w:rsidP="00BF1F45">
            <w:pPr>
              <w:rPr>
                <w:rFonts w:ascii="Arial" w:hAnsi="Arial" w:cs="Arial"/>
                <w:color w:val="000000"/>
              </w:rPr>
            </w:pPr>
            <w:r>
              <w:rPr>
                <w:rFonts w:ascii="Arial" w:hAnsi="Arial" w:cs="Arial"/>
                <w:color w:val="000000"/>
              </w:rPr>
              <w:t xml:space="preserve">The PBAC recommended the Authority Required (STREAMLINED) listing of </w:t>
            </w:r>
            <w:proofErr w:type="spellStart"/>
            <w:r>
              <w:rPr>
                <w:rFonts w:ascii="Arial" w:hAnsi="Arial" w:cs="Arial"/>
                <w:color w:val="000000"/>
              </w:rPr>
              <w:t>ramucirumab</w:t>
            </w:r>
            <w:proofErr w:type="spellEnd"/>
            <w:r>
              <w:rPr>
                <w:rFonts w:ascii="Arial" w:hAnsi="Arial" w:cs="Arial"/>
                <w:color w:val="000000"/>
              </w:rPr>
              <w:t xml:space="preserve"> for the treatment of gastric or gastro-oesophageal junction (G/GEJ) adenocarcinoma. In making this recommendation, the PBAC noted that G/GEJ adenocarcinoma is a highly aggressive cancer with poor response to chemotherapy. </w:t>
            </w:r>
            <w:r>
              <w:rPr>
                <w:rFonts w:ascii="Arial" w:hAnsi="Arial" w:cs="Arial"/>
                <w:color w:val="000000"/>
              </w:rPr>
              <w:br/>
            </w:r>
            <w:r>
              <w:rPr>
                <w:rFonts w:ascii="Arial" w:hAnsi="Arial" w:cs="Arial"/>
                <w:color w:val="000000"/>
              </w:rPr>
              <w:br/>
              <w:t xml:space="preserve">The PBAC considered that while the submission’s claim of superior comparative effectiveness over paclitaxel monotherapy was acceptable, the survival improvement in the RAINBOW trial was modest, the claim of non-inferior comparative safety was not reasonable, noting the significantly higher incidence of Grade 3 adverse events in the </w:t>
            </w:r>
            <w:proofErr w:type="spellStart"/>
            <w:r>
              <w:rPr>
                <w:rFonts w:ascii="Arial" w:hAnsi="Arial" w:cs="Arial"/>
                <w:color w:val="000000"/>
              </w:rPr>
              <w:t>ramucirumab</w:t>
            </w:r>
            <w:proofErr w:type="spellEnd"/>
            <w:r>
              <w:rPr>
                <w:rFonts w:ascii="Arial" w:hAnsi="Arial" w:cs="Arial"/>
                <w:color w:val="000000"/>
              </w:rPr>
              <w:t xml:space="preserve"> with paclitaxel arm, due to the cumulative effect of longer paclitaxel exposure and known anti-angiogenic effects of </w:t>
            </w:r>
            <w:proofErr w:type="spellStart"/>
            <w:r>
              <w:rPr>
                <w:rFonts w:ascii="Arial" w:hAnsi="Arial" w:cs="Arial"/>
                <w:color w:val="000000"/>
              </w:rPr>
              <w:t>ramucirumab</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The PBAC considered that the economic model presented an incremental cost-effectiveness ratio that was unacceptably high and optimistic, and included inappropriate assumptions about the rates of hospitalisations in the post-progression health state. As such, the PBAC recommended the PBS listing of </w:t>
            </w:r>
            <w:proofErr w:type="spellStart"/>
            <w:r>
              <w:rPr>
                <w:rFonts w:ascii="Arial" w:hAnsi="Arial" w:cs="Arial"/>
                <w:color w:val="000000"/>
              </w:rPr>
              <w:t>ramucirumab</w:t>
            </w:r>
            <w:proofErr w:type="spellEnd"/>
            <w:r>
              <w:rPr>
                <w:rFonts w:ascii="Arial" w:hAnsi="Arial" w:cs="Arial"/>
                <w:color w:val="000000"/>
              </w:rPr>
              <w:t xml:space="preserve"> with a substantial price reduction for it to be cost-effective in the proposed PBS population.</w:t>
            </w:r>
          </w:p>
          <w:p w:rsidR="00596D7F" w:rsidRPr="00925ECD" w:rsidRDefault="00596D7F" w:rsidP="00BF1F45">
            <w:pPr>
              <w:rPr>
                <w:rFonts w:ascii="Arial" w:hAnsi="Arial" w:cs="Arial"/>
                <w:color w:val="000000"/>
              </w:rPr>
            </w:pPr>
          </w:p>
        </w:tc>
      </w:tr>
      <w:tr w:rsidR="00980D79"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RANIBIZUMAB</w:t>
            </w:r>
            <w:r>
              <w:rPr>
                <w:rFonts w:ascii="Arial" w:hAnsi="Arial" w:cs="Arial"/>
                <w:color w:val="000000"/>
              </w:rPr>
              <w:br/>
            </w:r>
            <w:r>
              <w:rPr>
                <w:rFonts w:ascii="Arial" w:hAnsi="Arial" w:cs="Arial"/>
                <w:color w:val="000000"/>
              </w:rPr>
              <w:br/>
              <w:t>Solution for intravitreal injection 1.65 mg in 0.165 mL pre-filled syringe</w:t>
            </w:r>
            <w:r>
              <w:rPr>
                <w:rFonts w:ascii="Arial" w:hAnsi="Arial" w:cs="Arial"/>
                <w:color w:val="000000"/>
              </w:rPr>
              <w:br/>
              <w:t>Solution for intravitr</w:t>
            </w:r>
            <w:r w:rsidR="009A3E52">
              <w:rPr>
                <w:rFonts w:ascii="Arial" w:hAnsi="Arial" w:cs="Arial"/>
                <w:color w:val="000000"/>
              </w:rPr>
              <w:t>eal injection 2.3 mg in 0.23 mL</w:t>
            </w:r>
            <w:r>
              <w:rPr>
                <w:rFonts w:ascii="Arial" w:hAnsi="Arial" w:cs="Arial"/>
                <w:color w:val="000000"/>
              </w:rPr>
              <w:br/>
            </w:r>
            <w:r>
              <w:rPr>
                <w:rFonts w:ascii="Arial" w:hAnsi="Arial" w:cs="Arial"/>
                <w:color w:val="000000"/>
              </w:rPr>
              <w:br/>
            </w:r>
            <w:proofErr w:type="spellStart"/>
            <w:r>
              <w:rPr>
                <w:rFonts w:ascii="Arial" w:hAnsi="Arial" w:cs="Arial"/>
                <w:color w:val="000000"/>
              </w:rPr>
              <w:t>Lucentis</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r>
            <w:proofErr w:type="spellStart"/>
            <w:r>
              <w:rPr>
                <w:rFonts w:ascii="Arial" w:hAnsi="Arial" w:cs="Arial"/>
                <w:color w:val="000000"/>
              </w:rPr>
              <w:t>Norvartis</w:t>
            </w:r>
            <w:proofErr w:type="spellEnd"/>
            <w:r>
              <w:rPr>
                <w:rFonts w:ascii="Arial" w:hAnsi="Arial" w:cs="Arial"/>
                <w:color w:val="000000"/>
              </w:rPr>
              <w:t xml:space="preserve"> Pharmaceuticals Australia Pty Ltd</w:t>
            </w:r>
          </w:p>
          <w:p w:rsidR="00980D79" w:rsidRDefault="00980D79" w:rsidP="00596D7F">
            <w:pPr>
              <w:rPr>
                <w:rFonts w:ascii="Arial" w:hAnsi="Arial" w:cs="Arial"/>
                <w:color w:val="000000"/>
              </w:rPr>
            </w:pPr>
          </w:p>
          <w:p w:rsidR="000C2059" w:rsidRDefault="00980D79" w:rsidP="00596D7F">
            <w:pPr>
              <w:rPr>
                <w:rFonts w:ascii="Arial" w:hAnsi="Arial" w:cs="Arial"/>
                <w:color w:val="000000"/>
              </w:rPr>
            </w:pPr>
            <w:r>
              <w:rPr>
                <w:rFonts w:ascii="Arial" w:hAnsi="Arial" w:cs="Arial"/>
                <w:color w:val="000000"/>
              </w:rPr>
              <w:t xml:space="preserve">Change to listing </w:t>
            </w:r>
          </w:p>
          <w:p w:rsidR="00980D79" w:rsidRDefault="00980D79" w:rsidP="00596D7F">
            <w:pPr>
              <w:rPr>
                <w:rFonts w:ascii="Arial" w:hAnsi="Arial" w:cs="Arial"/>
                <w:color w:val="000000"/>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 xml:space="preserve">Visual impairment due choroidal neovascularisation (CNV) </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To request an Authority Required listing for the treatment of patients with rare choroidal neovascularisation CNV secondary to pathologic myopia.</w:t>
            </w:r>
          </w:p>
        </w:tc>
        <w:tc>
          <w:tcPr>
            <w:tcW w:w="7192" w:type="dxa"/>
            <w:gridSpan w:val="2"/>
            <w:tcBorders>
              <w:top w:val="single" w:sz="4" w:space="0" w:color="auto"/>
              <w:left w:val="single" w:sz="4" w:space="0" w:color="auto"/>
              <w:bottom w:val="single" w:sz="4" w:space="0" w:color="auto"/>
              <w:right w:val="single" w:sz="4" w:space="0" w:color="auto"/>
            </w:tcBorders>
          </w:tcPr>
          <w:p w:rsidR="00B4190D" w:rsidRPr="00CF75B0" w:rsidRDefault="00B4190D" w:rsidP="00BF1F45">
            <w:pPr>
              <w:rPr>
                <w:rFonts w:ascii="Arial" w:hAnsi="Arial" w:cs="Arial"/>
                <w:color w:val="000000"/>
              </w:rPr>
            </w:pPr>
            <w:r w:rsidRPr="00CF75B0">
              <w:rPr>
                <w:rFonts w:ascii="Arial" w:hAnsi="Arial" w:cs="Arial"/>
                <w:color w:val="000000"/>
              </w:rPr>
              <w:t xml:space="preserve">The PBAC recommended extending the listing of </w:t>
            </w:r>
            <w:proofErr w:type="spellStart"/>
            <w:r w:rsidRPr="00CF75B0">
              <w:rPr>
                <w:rFonts w:ascii="Arial" w:hAnsi="Arial" w:cs="Arial"/>
                <w:color w:val="000000"/>
              </w:rPr>
              <w:t>ranibizumab</w:t>
            </w:r>
            <w:proofErr w:type="spellEnd"/>
            <w:r w:rsidRPr="00CF75B0">
              <w:rPr>
                <w:rFonts w:ascii="Arial" w:hAnsi="Arial" w:cs="Arial"/>
                <w:color w:val="000000"/>
              </w:rPr>
              <w:t xml:space="preserve"> as an Authority Required benefit to include treatment of </w:t>
            </w:r>
            <w:proofErr w:type="spellStart"/>
            <w:r w:rsidRPr="00CF75B0">
              <w:rPr>
                <w:rFonts w:ascii="Arial" w:hAnsi="Arial" w:cs="Arial"/>
                <w:color w:val="000000"/>
              </w:rPr>
              <w:t>subfoveal</w:t>
            </w:r>
            <w:proofErr w:type="spellEnd"/>
            <w:r w:rsidRPr="00CF75B0">
              <w:rPr>
                <w:rFonts w:ascii="Arial" w:hAnsi="Arial" w:cs="Arial"/>
                <w:color w:val="000000"/>
              </w:rPr>
              <w:t xml:space="preserve"> choroidal neovascularisation (CNV) secondary to pathologic myopia (PM). The PBAC considered that the nominated comparator of </w:t>
            </w:r>
            <w:proofErr w:type="spellStart"/>
            <w:r w:rsidRPr="00CF75B0">
              <w:rPr>
                <w:rFonts w:ascii="Arial" w:hAnsi="Arial" w:cs="Arial"/>
                <w:color w:val="000000"/>
              </w:rPr>
              <w:t>verteporfin</w:t>
            </w:r>
            <w:proofErr w:type="spellEnd"/>
            <w:r w:rsidRPr="00CF75B0">
              <w:rPr>
                <w:rFonts w:ascii="Arial" w:hAnsi="Arial" w:cs="Arial"/>
                <w:color w:val="000000"/>
              </w:rPr>
              <w:t xml:space="preserve"> photodynamic therapy was not appropriate to assess the cost-effectiveness of </w:t>
            </w:r>
            <w:proofErr w:type="spellStart"/>
            <w:r w:rsidRPr="00CF75B0">
              <w:rPr>
                <w:rFonts w:ascii="Arial" w:hAnsi="Arial" w:cs="Arial"/>
                <w:color w:val="000000"/>
              </w:rPr>
              <w:t>ranibizumab</w:t>
            </w:r>
            <w:proofErr w:type="spellEnd"/>
            <w:r w:rsidRPr="00CF75B0">
              <w:rPr>
                <w:rFonts w:ascii="Arial" w:hAnsi="Arial" w:cs="Arial"/>
                <w:color w:val="000000"/>
              </w:rPr>
              <w:t xml:space="preserve"> for this condition. However, on the basis of a modelled analysis of </w:t>
            </w:r>
            <w:proofErr w:type="spellStart"/>
            <w:r w:rsidRPr="00CF75B0">
              <w:rPr>
                <w:rFonts w:ascii="Arial" w:hAnsi="Arial" w:cs="Arial"/>
                <w:color w:val="000000"/>
              </w:rPr>
              <w:t>ranibizumab</w:t>
            </w:r>
            <w:proofErr w:type="spellEnd"/>
            <w:r w:rsidRPr="00CF75B0">
              <w:rPr>
                <w:rFonts w:ascii="Arial" w:hAnsi="Arial" w:cs="Arial"/>
                <w:color w:val="000000"/>
              </w:rPr>
              <w:t xml:space="preserve"> compared with sham injection (no treatment) with a wide range of scenario and sensitivity analyses, the PBAC considered that </w:t>
            </w:r>
            <w:proofErr w:type="spellStart"/>
            <w:r w:rsidRPr="00CF75B0">
              <w:rPr>
                <w:rFonts w:ascii="Arial" w:hAnsi="Arial" w:cs="Arial"/>
                <w:color w:val="000000"/>
              </w:rPr>
              <w:t>ranibizumab</w:t>
            </w:r>
            <w:proofErr w:type="spellEnd"/>
            <w:r w:rsidRPr="00CF75B0">
              <w:rPr>
                <w:rFonts w:ascii="Arial" w:hAnsi="Arial" w:cs="Arial"/>
                <w:color w:val="000000"/>
              </w:rPr>
              <w:t xml:space="preserve"> for the treatment of this condition was acceptably cost-effective.</w:t>
            </w:r>
          </w:p>
          <w:p w:rsidR="00596D7F" w:rsidRPr="003D7E12" w:rsidRDefault="00596D7F" w:rsidP="00040BE7">
            <w:pPr>
              <w:widowControl w:val="0"/>
              <w:jc w:val="both"/>
              <w:rPr>
                <w:rFonts w:ascii="Arial" w:hAnsi="Arial" w:cs="Arial"/>
              </w:rPr>
            </w:pPr>
          </w:p>
        </w:tc>
      </w:tr>
      <w:tr w:rsidR="00980D79"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lastRenderedPageBreak/>
              <w:t>RANIBIZUMAB</w:t>
            </w:r>
            <w:r>
              <w:rPr>
                <w:rFonts w:ascii="Arial" w:hAnsi="Arial" w:cs="Arial"/>
                <w:color w:val="000000"/>
              </w:rPr>
              <w:br/>
            </w:r>
            <w:r>
              <w:rPr>
                <w:rFonts w:ascii="Arial" w:hAnsi="Arial" w:cs="Arial"/>
                <w:color w:val="000000"/>
              </w:rPr>
              <w:br/>
              <w:t>Solution for intravitreal injection 1.65 mg in 0.165 mL pre-filled syringe</w:t>
            </w:r>
            <w:r>
              <w:rPr>
                <w:rFonts w:ascii="Arial" w:hAnsi="Arial" w:cs="Arial"/>
                <w:color w:val="000000"/>
              </w:rPr>
              <w:br/>
              <w:t>Solution for intravitre</w:t>
            </w:r>
            <w:r w:rsidR="003E3168">
              <w:rPr>
                <w:rFonts w:ascii="Arial" w:hAnsi="Arial" w:cs="Arial"/>
                <w:color w:val="000000"/>
              </w:rPr>
              <w:t>al injection 2.3 mg in 0.23 mL</w:t>
            </w:r>
            <w:r w:rsidR="003E3168">
              <w:rPr>
                <w:rFonts w:ascii="Arial" w:hAnsi="Arial" w:cs="Arial"/>
                <w:color w:val="000000"/>
              </w:rPr>
              <w:br/>
            </w:r>
            <w:r>
              <w:rPr>
                <w:rFonts w:ascii="Arial" w:hAnsi="Arial" w:cs="Arial"/>
                <w:color w:val="000000"/>
              </w:rPr>
              <w:br/>
            </w:r>
            <w:proofErr w:type="spellStart"/>
            <w:r>
              <w:rPr>
                <w:rFonts w:ascii="Arial" w:hAnsi="Arial" w:cs="Arial"/>
                <w:color w:val="000000"/>
              </w:rPr>
              <w:t>Lucentis</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r>
            <w:proofErr w:type="spellStart"/>
            <w:r>
              <w:rPr>
                <w:rFonts w:ascii="Arial" w:hAnsi="Arial" w:cs="Arial"/>
                <w:color w:val="000000"/>
              </w:rPr>
              <w:t>Norvartis</w:t>
            </w:r>
            <w:proofErr w:type="spellEnd"/>
            <w:r>
              <w:rPr>
                <w:rFonts w:ascii="Arial" w:hAnsi="Arial" w:cs="Arial"/>
                <w:color w:val="000000"/>
              </w:rPr>
              <w:t xml:space="preserve"> Pharmaceuticals Australia Pty Ltd</w:t>
            </w:r>
          </w:p>
          <w:p w:rsidR="00980D79" w:rsidRDefault="00980D79" w:rsidP="00596D7F">
            <w:pPr>
              <w:rPr>
                <w:rFonts w:ascii="Arial" w:hAnsi="Arial" w:cs="Arial"/>
                <w:color w:val="000000"/>
              </w:rPr>
            </w:pPr>
          </w:p>
          <w:p w:rsidR="000C2059" w:rsidRDefault="00980D79" w:rsidP="00596D7F">
            <w:pPr>
              <w:rPr>
                <w:rFonts w:ascii="Arial" w:hAnsi="Arial" w:cs="Arial"/>
                <w:color w:val="000000"/>
              </w:rPr>
            </w:pPr>
            <w:r>
              <w:rPr>
                <w:rFonts w:ascii="Arial" w:hAnsi="Arial" w:cs="Arial"/>
                <w:color w:val="000000"/>
              </w:rPr>
              <w:t xml:space="preserve">Change to listing </w:t>
            </w:r>
          </w:p>
          <w:p w:rsidR="00980D79" w:rsidRDefault="00980D79" w:rsidP="00596D7F">
            <w:pPr>
              <w:rPr>
                <w:rFonts w:ascii="Arial" w:hAnsi="Arial" w:cs="Arial"/>
                <w:color w:val="000000"/>
              </w:rPr>
            </w:pPr>
            <w:r>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Visual impairment due to  choroidal neovascularisation (CNV)</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Pr>
                <w:rFonts w:ascii="Arial" w:hAnsi="Arial" w:cs="Arial"/>
                <w:color w:val="000000"/>
              </w:rPr>
              <w:t>To request an Authority Required listing for the treatment of patients with visual impairment due to rare CNV.</w:t>
            </w:r>
          </w:p>
        </w:tc>
        <w:tc>
          <w:tcPr>
            <w:tcW w:w="7192" w:type="dxa"/>
            <w:gridSpan w:val="2"/>
            <w:tcBorders>
              <w:top w:val="single" w:sz="4" w:space="0" w:color="auto"/>
              <w:left w:val="single" w:sz="4" w:space="0" w:color="auto"/>
              <w:bottom w:val="single" w:sz="4" w:space="0" w:color="auto"/>
              <w:right w:val="single" w:sz="4" w:space="0" w:color="auto"/>
            </w:tcBorders>
          </w:tcPr>
          <w:p w:rsidR="0093318C" w:rsidRPr="003D7E12" w:rsidRDefault="00B4190D" w:rsidP="0093318C">
            <w:pPr>
              <w:widowControl w:val="0"/>
              <w:jc w:val="both"/>
              <w:rPr>
                <w:rFonts w:ascii="Arial" w:hAnsi="Arial" w:cs="Arial"/>
              </w:rPr>
            </w:pPr>
            <w:r w:rsidRPr="00B4190D">
              <w:rPr>
                <w:rFonts w:ascii="Arial" w:hAnsi="Arial" w:cs="Arial"/>
              </w:rPr>
              <w:t xml:space="preserve">The PBAC recommended extending the listing of </w:t>
            </w:r>
            <w:proofErr w:type="spellStart"/>
            <w:r w:rsidRPr="00B4190D">
              <w:rPr>
                <w:rFonts w:ascii="Arial" w:hAnsi="Arial" w:cs="Arial"/>
              </w:rPr>
              <w:t>ranibizumab</w:t>
            </w:r>
            <w:proofErr w:type="spellEnd"/>
            <w:r w:rsidRPr="00B4190D">
              <w:rPr>
                <w:rFonts w:ascii="Arial" w:hAnsi="Arial" w:cs="Arial"/>
              </w:rPr>
              <w:t xml:space="preserve"> as an Authority Required benefit to include treatment of </w:t>
            </w:r>
            <w:proofErr w:type="spellStart"/>
            <w:r w:rsidRPr="00B4190D">
              <w:rPr>
                <w:rFonts w:ascii="Arial" w:hAnsi="Arial" w:cs="Arial"/>
              </w:rPr>
              <w:t>subfoveal</w:t>
            </w:r>
            <w:proofErr w:type="spellEnd"/>
            <w:r w:rsidRPr="00B4190D">
              <w:rPr>
                <w:rFonts w:ascii="Arial" w:hAnsi="Arial" w:cs="Arial"/>
              </w:rPr>
              <w:t xml:space="preserve"> choroidal neovascularisation (CNV) due to rare causes. In making this recommendation, the PBAC considered that </w:t>
            </w:r>
            <w:proofErr w:type="spellStart"/>
            <w:r w:rsidRPr="00B4190D">
              <w:rPr>
                <w:rFonts w:ascii="Arial" w:hAnsi="Arial" w:cs="Arial"/>
              </w:rPr>
              <w:t>ranibizumab</w:t>
            </w:r>
            <w:proofErr w:type="spellEnd"/>
            <w:r w:rsidRPr="00B4190D">
              <w:rPr>
                <w:rFonts w:ascii="Arial" w:hAnsi="Arial" w:cs="Arial"/>
              </w:rPr>
              <w:t xml:space="preserve"> provides, for some patients, a significant improvement in efficacy compared with no active treatment. On the basis of a modelled analysis of </w:t>
            </w:r>
            <w:proofErr w:type="spellStart"/>
            <w:r w:rsidRPr="00B4190D">
              <w:rPr>
                <w:rFonts w:ascii="Arial" w:hAnsi="Arial" w:cs="Arial"/>
              </w:rPr>
              <w:t>ranibizumab</w:t>
            </w:r>
            <w:proofErr w:type="spellEnd"/>
            <w:r w:rsidRPr="00B4190D">
              <w:rPr>
                <w:rFonts w:ascii="Arial" w:hAnsi="Arial" w:cs="Arial"/>
              </w:rPr>
              <w:t xml:space="preserve"> compared with sham injection (no treatment) with a wide range of scenario and sensitivity analyses, the PBAC considered that </w:t>
            </w:r>
            <w:proofErr w:type="spellStart"/>
            <w:r w:rsidRPr="00B4190D">
              <w:rPr>
                <w:rFonts w:ascii="Arial" w:hAnsi="Arial" w:cs="Arial"/>
              </w:rPr>
              <w:t>ranibizumab</w:t>
            </w:r>
            <w:proofErr w:type="spellEnd"/>
            <w:r w:rsidRPr="00B4190D">
              <w:rPr>
                <w:rFonts w:ascii="Arial" w:hAnsi="Arial" w:cs="Arial"/>
              </w:rPr>
              <w:t xml:space="preserve"> for the treatment of this condition was acceptably cost-effective.</w:t>
            </w:r>
          </w:p>
          <w:p w:rsidR="00596D7F" w:rsidRPr="003D7E12" w:rsidRDefault="00596D7F" w:rsidP="000A16D0">
            <w:pPr>
              <w:widowControl w:val="0"/>
              <w:jc w:val="both"/>
              <w:rPr>
                <w:rFonts w:ascii="Arial" w:hAnsi="Arial" w:cs="Arial"/>
              </w:rPr>
            </w:pPr>
          </w:p>
        </w:tc>
      </w:tr>
      <w:tr w:rsidR="00980D79"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107B" w:rsidRDefault="00980D79" w:rsidP="00596D7F">
            <w:pPr>
              <w:rPr>
                <w:rFonts w:ascii="Arial" w:hAnsi="Arial" w:cs="Arial"/>
                <w:color w:val="000000"/>
              </w:rPr>
            </w:pPr>
            <w:r w:rsidRPr="007F7D95">
              <w:rPr>
                <w:rFonts w:ascii="Arial" w:hAnsi="Arial" w:cs="Arial"/>
                <w:color w:val="000000"/>
              </w:rPr>
              <w:t>RANOLAZINE</w:t>
            </w:r>
            <w:r w:rsidRPr="007F7D95">
              <w:rPr>
                <w:rFonts w:ascii="Arial" w:hAnsi="Arial" w:cs="Arial"/>
                <w:color w:val="000000"/>
              </w:rPr>
              <w:br/>
            </w:r>
            <w:r w:rsidRPr="007F7D95">
              <w:rPr>
                <w:rFonts w:ascii="Arial" w:hAnsi="Arial" w:cs="Arial"/>
                <w:color w:val="000000"/>
              </w:rPr>
              <w:br/>
              <w:t xml:space="preserve">Tablet (modified release) </w:t>
            </w:r>
          </w:p>
          <w:p w:rsidR="00F5107B" w:rsidRDefault="00980D79" w:rsidP="00596D7F">
            <w:pPr>
              <w:rPr>
                <w:rFonts w:ascii="Arial" w:hAnsi="Arial" w:cs="Arial"/>
                <w:color w:val="000000"/>
              </w:rPr>
            </w:pPr>
            <w:r w:rsidRPr="007F7D95">
              <w:rPr>
                <w:rFonts w:ascii="Arial" w:hAnsi="Arial" w:cs="Arial"/>
                <w:color w:val="000000"/>
              </w:rPr>
              <w:t>375 mg</w:t>
            </w:r>
            <w:r w:rsidRPr="007F7D95">
              <w:rPr>
                <w:rFonts w:ascii="Arial" w:hAnsi="Arial" w:cs="Arial"/>
                <w:color w:val="000000"/>
              </w:rPr>
              <w:br/>
              <w:t xml:space="preserve">Tablet (modified release) </w:t>
            </w:r>
          </w:p>
          <w:p w:rsidR="00F5107B" w:rsidRDefault="00980D79" w:rsidP="00596D7F">
            <w:pPr>
              <w:rPr>
                <w:rFonts w:ascii="Arial" w:hAnsi="Arial" w:cs="Arial"/>
                <w:color w:val="000000"/>
              </w:rPr>
            </w:pPr>
            <w:r w:rsidRPr="007F7D95">
              <w:rPr>
                <w:rFonts w:ascii="Arial" w:hAnsi="Arial" w:cs="Arial"/>
                <w:color w:val="000000"/>
              </w:rPr>
              <w:t>500 mg</w:t>
            </w:r>
            <w:r w:rsidRPr="007F7D95">
              <w:rPr>
                <w:rFonts w:ascii="Arial" w:hAnsi="Arial" w:cs="Arial"/>
                <w:color w:val="000000"/>
              </w:rPr>
              <w:br/>
              <w:t xml:space="preserve">Tablet (modified release) </w:t>
            </w:r>
          </w:p>
          <w:p w:rsidR="00980D79" w:rsidRDefault="00980D79" w:rsidP="00596D7F">
            <w:pPr>
              <w:rPr>
                <w:rFonts w:ascii="Arial" w:hAnsi="Arial" w:cs="Arial"/>
                <w:color w:val="000000"/>
              </w:rPr>
            </w:pPr>
            <w:r w:rsidRPr="007F7D95">
              <w:rPr>
                <w:rFonts w:ascii="Arial" w:hAnsi="Arial" w:cs="Arial"/>
                <w:color w:val="000000"/>
              </w:rPr>
              <w:t>750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Ranexa</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 xml:space="preserve">A. </w:t>
            </w:r>
            <w:proofErr w:type="spellStart"/>
            <w:r w:rsidRPr="007F7D95">
              <w:rPr>
                <w:rFonts w:ascii="Arial" w:hAnsi="Arial" w:cs="Arial"/>
                <w:color w:val="000000"/>
              </w:rPr>
              <w:t>Menarini</w:t>
            </w:r>
            <w:proofErr w:type="spellEnd"/>
            <w:r w:rsidRPr="007F7D95">
              <w:rPr>
                <w:rFonts w:ascii="Arial" w:hAnsi="Arial" w:cs="Arial"/>
                <w:color w:val="000000"/>
              </w:rPr>
              <w:t xml:space="preserve"> Australia Pty Ltd</w:t>
            </w:r>
          </w:p>
          <w:p w:rsidR="00980D79" w:rsidRDefault="00980D79" w:rsidP="00596D7F">
            <w:pPr>
              <w:rPr>
                <w:rFonts w:ascii="Arial" w:hAnsi="Arial" w:cs="Arial"/>
                <w:color w:val="000000"/>
              </w:rPr>
            </w:pPr>
          </w:p>
          <w:p w:rsidR="000C2059" w:rsidRDefault="00980D79" w:rsidP="00596D7F">
            <w:pPr>
              <w:rPr>
                <w:rFonts w:ascii="Arial" w:hAnsi="Arial" w:cs="Arial"/>
                <w:color w:val="000000"/>
              </w:rPr>
            </w:pPr>
            <w:r>
              <w:rPr>
                <w:rFonts w:ascii="Arial" w:hAnsi="Arial" w:cs="Arial"/>
                <w:color w:val="000000"/>
              </w:rPr>
              <w:t>New listing</w:t>
            </w:r>
          </w:p>
          <w:p w:rsidR="00980D79" w:rsidRPr="007F7D95" w:rsidRDefault="00980D79"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Pr="007F7D95" w:rsidRDefault="00980D79" w:rsidP="00596D7F">
            <w:pPr>
              <w:rPr>
                <w:rFonts w:ascii="Arial" w:hAnsi="Arial" w:cs="Arial"/>
                <w:color w:val="000000"/>
              </w:rPr>
            </w:pPr>
            <w:r w:rsidRPr="007F7D95">
              <w:rPr>
                <w:rFonts w:ascii="Arial" w:hAnsi="Arial" w:cs="Arial"/>
                <w:color w:val="000000"/>
              </w:rPr>
              <w:t>Stable angina pectoris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Pr="007F7D95" w:rsidRDefault="00980D79" w:rsidP="00596D7F">
            <w:pPr>
              <w:rPr>
                <w:rFonts w:ascii="Arial" w:hAnsi="Arial" w:cs="Arial"/>
                <w:color w:val="000000"/>
              </w:rPr>
            </w:pPr>
            <w:r w:rsidRPr="007F7D95">
              <w:rPr>
                <w:rFonts w:ascii="Arial" w:hAnsi="Arial" w:cs="Arial"/>
                <w:color w:val="000000"/>
              </w:rPr>
              <w:t>Resubmission to request an Authority Required listing as an add-on therapy for the symptomatic treatment of stable angina pectoris.</w:t>
            </w:r>
          </w:p>
        </w:tc>
        <w:tc>
          <w:tcPr>
            <w:tcW w:w="7192" w:type="dxa"/>
            <w:gridSpan w:val="2"/>
            <w:tcBorders>
              <w:top w:val="single" w:sz="4" w:space="0" w:color="auto"/>
              <w:left w:val="single" w:sz="4" w:space="0" w:color="auto"/>
              <w:bottom w:val="single" w:sz="4" w:space="0" w:color="auto"/>
              <w:right w:val="single" w:sz="4" w:space="0" w:color="auto"/>
            </w:tcBorders>
          </w:tcPr>
          <w:p w:rsidR="00B4190D" w:rsidRPr="00CF75B0" w:rsidRDefault="00B4190D" w:rsidP="00B4190D">
            <w:pPr>
              <w:jc w:val="both"/>
              <w:rPr>
                <w:rFonts w:ascii="Arial" w:hAnsi="Arial" w:cs="Arial"/>
                <w:color w:val="000000"/>
                <w:sz w:val="24"/>
                <w:szCs w:val="24"/>
              </w:rPr>
            </w:pPr>
            <w:r w:rsidRPr="00CF75B0">
              <w:rPr>
                <w:rFonts w:ascii="Arial" w:hAnsi="Arial" w:cs="Arial"/>
                <w:color w:val="000000"/>
              </w:rPr>
              <w:t xml:space="preserve">The PBAC recommended the Section 85 Authority Required (Telephone) listing of </w:t>
            </w:r>
            <w:proofErr w:type="spellStart"/>
            <w:r w:rsidRPr="00CF75B0">
              <w:rPr>
                <w:rFonts w:ascii="Arial" w:hAnsi="Arial" w:cs="Arial"/>
                <w:color w:val="000000"/>
              </w:rPr>
              <w:t>ranolazine</w:t>
            </w:r>
            <w:proofErr w:type="spellEnd"/>
            <w:r w:rsidRPr="00CF75B0">
              <w:rPr>
                <w:rFonts w:ascii="Arial" w:hAnsi="Arial" w:cs="Arial"/>
                <w:color w:val="000000"/>
              </w:rPr>
              <w:t xml:space="preserve">. The Committee is satisfied that </w:t>
            </w:r>
            <w:proofErr w:type="spellStart"/>
            <w:r w:rsidRPr="00CF75B0">
              <w:rPr>
                <w:rFonts w:ascii="Arial" w:hAnsi="Arial" w:cs="Arial"/>
                <w:color w:val="000000"/>
              </w:rPr>
              <w:t>ranolazine</w:t>
            </w:r>
            <w:proofErr w:type="spellEnd"/>
            <w:r w:rsidRPr="00CF75B0">
              <w:rPr>
                <w:rFonts w:ascii="Arial" w:hAnsi="Arial" w:cs="Arial"/>
                <w:color w:val="000000"/>
              </w:rPr>
              <w:t xml:space="preserve"> provides, for some patients, a significant improvement in efficacy over placebo. The PBAC acknowledged the unmet clinical need in patients with stable angina whose symptoms are not controlled satisfactorily by the maximum tolerated doses of a beta-blocker or a calcium channel blocker, where revascularisation is not an option and haemodynamic concerns limit other anti-</w:t>
            </w:r>
            <w:proofErr w:type="spellStart"/>
            <w:r w:rsidRPr="00CF75B0">
              <w:rPr>
                <w:rFonts w:ascii="Arial" w:hAnsi="Arial" w:cs="Arial"/>
                <w:color w:val="000000"/>
              </w:rPr>
              <w:t>anginal</w:t>
            </w:r>
            <w:proofErr w:type="spellEnd"/>
            <w:r w:rsidRPr="00CF75B0">
              <w:rPr>
                <w:rFonts w:ascii="Arial" w:hAnsi="Arial" w:cs="Arial"/>
                <w:color w:val="000000"/>
              </w:rPr>
              <w:t xml:space="preserve"> treatment options. However, the PBAC was concerned that given the symptomatic nature of the condition and the broader TGA indication, that there was a high risk of leakage of using PBS-subsidised </w:t>
            </w:r>
            <w:proofErr w:type="spellStart"/>
            <w:r w:rsidRPr="00CF75B0">
              <w:rPr>
                <w:rFonts w:ascii="Arial" w:hAnsi="Arial" w:cs="Arial"/>
                <w:color w:val="000000"/>
              </w:rPr>
              <w:t>ranolazine</w:t>
            </w:r>
            <w:proofErr w:type="spellEnd"/>
            <w:r w:rsidRPr="00CF75B0">
              <w:rPr>
                <w:rFonts w:ascii="Arial" w:hAnsi="Arial" w:cs="Arial"/>
                <w:color w:val="000000"/>
              </w:rPr>
              <w:t xml:space="preserve"> outside of the PBS eligibility criteria. Therefore, the PBAC advised that a risk sharing arrangement was necessary to mitigate the financial risk to government. </w:t>
            </w:r>
          </w:p>
          <w:p w:rsidR="00596D7F" w:rsidRPr="003D7E12" w:rsidRDefault="00596D7F" w:rsidP="000A16D0">
            <w:pPr>
              <w:widowControl w:val="0"/>
              <w:jc w:val="both"/>
              <w:rPr>
                <w:rFonts w:ascii="Arial" w:hAnsi="Arial" w:cs="Arial"/>
              </w:rPr>
            </w:pPr>
          </w:p>
        </w:tc>
      </w:tr>
      <w:tr w:rsidR="00BC1D74" w:rsidRPr="003D7E12" w:rsidTr="008F010C">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BC1D74" w:rsidRDefault="00BC1D74" w:rsidP="00596D7F">
            <w:pPr>
              <w:rPr>
                <w:rFonts w:ascii="Arial" w:hAnsi="Arial" w:cs="Arial"/>
                <w:color w:val="000000"/>
              </w:rPr>
            </w:pPr>
            <w:r w:rsidRPr="007F7D95">
              <w:rPr>
                <w:rFonts w:ascii="Arial" w:hAnsi="Arial" w:cs="Arial"/>
                <w:color w:val="000000"/>
              </w:rPr>
              <w:lastRenderedPageBreak/>
              <w:t>RIBOCICLIB</w:t>
            </w:r>
            <w:r w:rsidRPr="007F7D95">
              <w:rPr>
                <w:rFonts w:ascii="Arial" w:hAnsi="Arial" w:cs="Arial"/>
                <w:color w:val="000000"/>
              </w:rPr>
              <w:br/>
            </w:r>
            <w:r w:rsidRPr="007F7D95">
              <w:rPr>
                <w:rFonts w:ascii="Arial" w:hAnsi="Arial" w:cs="Arial"/>
                <w:color w:val="000000"/>
              </w:rPr>
              <w:br/>
              <w:t>Tablet 200 mg</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Kisqali</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Novartis Pharmaceuticals Australia Pty Ltd</w:t>
            </w:r>
          </w:p>
          <w:p w:rsidR="00BC1D74" w:rsidRDefault="00BC1D74" w:rsidP="00596D7F">
            <w:pPr>
              <w:rPr>
                <w:rFonts w:ascii="Arial" w:hAnsi="Arial" w:cs="Arial"/>
                <w:color w:val="000000"/>
              </w:rPr>
            </w:pPr>
          </w:p>
          <w:p w:rsidR="000C2059" w:rsidRDefault="00BC1D74" w:rsidP="00596D7F">
            <w:pPr>
              <w:rPr>
                <w:rFonts w:ascii="Arial" w:hAnsi="Arial" w:cs="Arial"/>
                <w:color w:val="000000"/>
              </w:rPr>
            </w:pPr>
            <w:r>
              <w:rPr>
                <w:rFonts w:ascii="Arial" w:hAnsi="Arial" w:cs="Arial"/>
                <w:color w:val="000000"/>
              </w:rPr>
              <w:t xml:space="preserve">New listing </w:t>
            </w:r>
          </w:p>
          <w:p w:rsidR="00BC1D74" w:rsidRPr="007F7D95" w:rsidRDefault="00BC1D74"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BC1D74" w:rsidRPr="007F7D95" w:rsidRDefault="00BC1D74" w:rsidP="00596D7F">
            <w:pPr>
              <w:rPr>
                <w:rFonts w:ascii="Arial" w:hAnsi="Arial" w:cs="Arial"/>
                <w:color w:val="000000"/>
              </w:rPr>
            </w:pPr>
            <w:r w:rsidRPr="007F7D95">
              <w:rPr>
                <w:rFonts w:ascii="Arial" w:hAnsi="Arial" w:cs="Arial"/>
                <w:color w:val="000000"/>
              </w:rPr>
              <w:t>Hormone receptor-positive (HR+), human epidermal growth factor receptor-2 negative (HER2-) advanced or metastatic breast cancer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BC1D74" w:rsidRPr="007F7D95" w:rsidRDefault="00BC1D74" w:rsidP="00596D7F">
            <w:pPr>
              <w:rPr>
                <w:rFonts w:ascii="Arial" w:hAnsi="Arial" w:cs="Arial"/>
                <w:color w:val="000000"/>
              </w:rPr>
            </w:pPr>
            <w:r w:rsidRPr="007F7D95">
              <w:rPr>
                <w:rFonts w:ascii="Arial" w:hAnsi="Arial" w:cs="Arial"/>
                <w:color w:val="000000"/>
              </w:rPr>
              <w:t>Resubmission to request an Authority Required listing as initial endocrine-based therapy in patients with HR+, HER2- locally advanced, inoperable or metastatic breast cancer in combination with a non-steroidal aromatase inhibitor, who are not premenopausal.</w:t>
            </w:r>
          </w:p>
        </w:tc>
        <w:tc>
          <w:tcPr>
            <w:tcW w:w="7192" w:type="dxa"/>
            <w:gridSpan w:val="2"/>
            <w:tcBorders>
              <w:top w:val="single" w:sz="4" w:space="0" w:color="auto"/>
              <w:left w:val="single" w:sz="4" w:space="0" w:color="auto"/>
              <w:bottom w:val="single" w:sz="4" w:space="0" w:color="auto"/>
              <w:right w:val="single" w:sz="4" w:space="0" w:color="auto"/>
            </w:tcBorders>
            <w:shd w:val="clear" w:color="auto" w:fill="auto"/>
          </w:tcPr>
          <w:p w:rsidR="008F010C" w:rsidRPr="008F010C" w:rsidRDefault="008F010C" w:rsidP="008F010C">
            <w:pPr>
              <w:widowControl w:val="0"/>
              <w:jc w:val="both"/>
              <w:rPr>
                <w:rFonts w:ascii="Arial" w:hAnsi="Arial" w:cs="Arial"/>
              </w:rPr>
            </w:pPr>
            <w:r w:rsidRPr="008F010C">
              <w:rPr>
                <w:rFonts w:ascii="Arial" w:hAnsi="Arial" w:cs="Arial"/>
              </w:rPr>
              <w:t xml:space="preserve">The PBAC recommended the listing of </w:t>
            </w:r>
            <w:proofErr w:type="spellStart"/>
            <w:r w:rsidRPr="008F010C">
              <w:rPr>
                <w:rFonts w:ascii="Arial" w:hAnsi="Arial" w:cs="Arial"/>
              </w:rPr>
              <w:t>ribociclib</w:t>
            </w:r>
            <w:proofErr w:type="spellEnd"/>
            <w:r w:rsidRPr="008F010C">
              <w:rPr>
                <w:rFonts w:ascii="Arial" w:hAnsi="Arial" w:cs="Arial"/>
              </w:rPr>
              <w:t xml:space="preserve"> in combination with a non-steroidal aromatase inhibitor </w:t>
            </w:r>
            <w:r w:rsidR="001106F2">
              <w:rPr>
                <w:rFonts w:ascii="Arial" w:hAnsi="Arial" w:cs="Arial"/>
              </w:rPr>
              <w:t xml:space="preserve">(NSAI) </w:t>
            </w:r>
            <w:r w:rsidRPr="008F010C">
              <w:rPr>
                <w:rFonts w:ascii="Arial" w:hAnsi="Arial" w:cs="Arial"/>
              </w:rPr>
              <w:t>(</w:t>
            </w:r>
            <w:proofErr w:type="spellStart"/>
            <w:r w:rsidRPr="008F010C">
              <w:rPr>
                <w:rFonts w:ascii="Arial" w:hAnsi="Arial" w:cs="Arial"/>
              </w:rPr>
              <w:t>letrozole</w:t>
            </w:r>
            <w:proofErr w:type="spellEnd"/>
            <w:r w:rsidRPr="008F010C">
              <w:rPr>
                <w:rFonts w:ascii="Arial" w:hAnsi="Arial" w:cs="Arial"/>
              </w:rPr>
              <w:t xml:space="preserve"> or </w:t>
            </w:r>
            <w:proofErr w:type="spellStart"/>
            <w:r w:rsidRPr="008F010C">
              <w:rPr>
                <w:rFonts w:ascii="Arial" w:hAnsi="Arial" w:cs="Arial"/>
              </w:rPr>
              <w:t>anastrazole</w:t>
            </w:r>
            <w:proofErr w:type="spellEnd"/>
            <w:r w:rsidRPr="008F010C">
              <w:rPr>
                <w:rFonts w:ascii="Arial" w:hAnsi="Arial" w:cs="Arial"/>
              </w:rPr>
              <w:t xml:space="preserve">) as initial endocrine-based therapy in patients with hormone receptor (HR)-positive, human epidermal growth factor receptor 2 (HER2)-negative locally advanced inoperable or metastatic breast cancer. The PBAC considered that for some patients, </w:t>
            </w:r>
            <w:proofErr w:type="spellStart"/>
            <w:r w:rsidRPr="008F010C">
              <w:rPr>
                <w:rFonts w:ascii="Arial" w:hAnsi="Arial" w:cs="Arial"/>
              </w:rPr>
              <w:t>ribociclib</w:t>
            </w:r>
            <w:proofErr w:type="spellEnd"/>
            <w:r w:rsidRPr="008F010C">
              <w:rPr>
                <w:rFonts w:ascii="Arial" w:hAnsi="Arial" w:cs="Arial"/>
              </w:rPr>
              <w:t xml:space="preserve"> in combination with an NSAI provides additional progression free survival, though its effect on overall survival is unknown. The PBAC noted that if overall survival was not improved by treatment with </w:t>
            </w:r>
            <w:proofErr w:type="spellStart"/>
            <w:r w:rsidRPr="008F010C">
              <w:rPr>
                <w:rFonts w:ascii="Arial" w:hAnsi="Arial" w:cs="Arial"/>
              </w:rPr>
              <w:t>ribociclib</w:t>
            </w:r>
            <w:proofErr w:type="spellEnd"/>
            <w:r w:rsidRPr="008F010C">
              <w:rPr>
                <w:rFonts w:ascii="Arial" w:hAnsi="Arial" w:cs="Arial"/>
              </w:rPr>
              <w:t xml:space="preserve"> then the observed gain in progression free survival would be at the expense of a reduced time spent in the post-progression state. The PBAC considered that the modelled cost-effectiveness was highly uncertain, but the Committee considered that the cost effectiveness of </w:t>
            </w:r>
            <w:proofErr w:type="spellStart"/>
            <w:r w:rsidRPr="008F010C">
              <w:rPr>
                <w:rFonts w:ascii="Arial" w:hAnsi="Arial" w:cs="Arial"/>
              </w:rPr>
              <w:t>ribociclib</w:t>
            </w:r>
            <w:proofErr w:type="spellEnd"/>
            <w:r w:rsidRPr="008F010C">
              <w:rPr>
                <w:rFonts w:ascii="Arial" w:hAnsi="Arial" w:cs="Arial"/>
              </w:rPr>
              <w:t xml:space="preserve"> could be brought into an acceptable range with a reduced effective price in conjunction with financial caps.</w:t>
            </w:r>
          </w:p>
          <w:p w:rsidR="008F010C" w:rsidRPr="008F010C" w:rsidRDefault="008F010C" w:rsidP="008F010C">
            <w:pPr>
              <w:widowControl w:val="0"/>
              <w:jc w:val="both"/>
              <w:rPr>
                <w:rFonts w:ascii="Arial" w:hAnsi="Arial" w:cs="Arial"/>
              </w:rPr>
            </w:pPr>
          </w:p>
          <w:p w:rsidR="0093318C" w:rsidRPr="003D7E12" w:rsidRDefault="008F010C" w:rsidP="0093318C">
            <w:pPr>
              <w:widowControl w:val="0"/>
              <w:jc w:val="both"/>
              <w:rPr>
                <w:rFonts w:ascii="Arial" w:hAnsi="Arial" w:cs="Arial"/>
              </w:rPr>
            </w:pPr>
            <w:r w:rsidRPr="008F010C">
              <w:rPr>
                <w:rFonts w:ascii="Arial" w:hAnsi="Arial" w:cs="Arial"/>
              </w:rPr>
              <w:t xml:space="preserve">The PBAC considered </w:t>
            </w:r>
            <w:proofErr w:type="spellStart"/>
            <w:r w:rsidRPr="008F010C">
              <w:rPr>
                <w:rFonts w:ascii="Arial" w:hAnsi="Arial" w:cs="Arial"/>
              </w:rPr>
              <w:t>palbociclib</w:t>
            </w:r>
            <w:proofErr w:type="spellEnd"/>
            <w:r w:rsidRPr="008F010C">
              <w:rPr>
                <w:rFonts w:ascii="Arial" w:hAnsi="Arial" w:cs="Arial"/>
              </w:rPr>
              <w:t xml:space="preserve"> an appropriate near market comparator. The PBAC noted that there are limited data to support the clinical claim for </w:t>
            </w:r>
            <w:proofErr w:type="spellStart"/>
            <w:r w:rsidRPr="008F010C">
              <w:rPr>
                <w:rFonts w:ascii="Arial" w:hAnsi="Arial" w:cs="Arial"/>
              </w:rPr>
              <w:t>ribociclib</w:t>
            </w:r>
            <w:proofErr w:type="spellEnd"/>
            <w:r w:rsidRPr="008F010C">
              <w:rPr>
                <w:rFonts w:ascii="Arial" w:hAnsi="Arial" w:cs="Arial"/>
              </w:rPr>
              <w:t xml:space="preserve"> compared with </w:t>
            </w:r>
            <w:proofErr w:type="spellStart"/>
            <w:r w:rsidRPr="008F010C">
              <w:rPr>
                <w:rFonts w:ascii="Arial" w:hAnsi="Arial" w:cs="Arial"/>
              </w:rPr>
              <w:t>palbociclib</w:t>
            </w:r>
            <w:proofErr w:type="spellEnd"/>
            <w:r w:rsidRPr="008F010C">
              <w:rPr>
                <w:rFonts w:ascii="Arial" w:hAnsi="Arial" w:cs="Arial"/>
              </w:rPr>
              <w:t xml:space="preserve"> but considered that the claim of non-inferior clinical effectiveness and safety appears reasonable.</w:t>
            </w:r>
          </w:p>
          <w:p w:rsidR="001106F2" w:rsidRPr="003D7E12" w:rsidRDefault="001106F2" w:rsidP="008F010C">
            <w:pPr>
              <w:widowControl w:val="0"/>
              <w:jc w:val="both"/>
              <w:rPr>
                <w:rFonts w:ascii="Arial" w:hAnsi="Arial" w:cs="Arial"/>
              </w:rPr>
            </w:pPr>
          </w:p>
        </w:tc>
      </w:tr>
      <w:tr w:rsidR="00980D79" w:rsidRPr="003D7E12" w:rsidTr="00986F04">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F5107B" w:rsidRDefault="00980D79" w:rsidP="00596D7F">
            <w:pPr>
              <w:rPr>
                <w:rFonts w:ascii="Arial" w:hAnsi="Arial" w:cs="Arial"/>
                <w:color w:val="000000"/>
              </w:rPr>
            </w:pPr>
            <w:r w:rsidRPr="007F7D95">
              <w:rPr>
                <w:rFonts w:ascii="Arial" w:hAnsi="Arial" w:cs="Arial"/>
                <w:color w:val="000000"/>
              </w:rPr>
              <w:lastRenderedPageBreak/>
              <w:t>RITUXIMAB</w:t>
            </w:r>
            <w:r w:rsidRPr="007F7D95">
              <w:rPr>
                <w:rFonts w:ascii="Arial" w:hAnsi="Arial" w:cs="Arial"/>
                <w:color w:val="000000"/>
              </w:rPr>
              <w:br/>
            </w:r>
            <w:r w:rsidRPr="007F7D95">
              <w:rPr>
                <w:rFonts w:ascii="Arial" w:hAnsi="Arial" w:cs="Arial"/>
                <w:color w:val="000000"/>
              </w:rPr>
              <w:br/>
              <w:t xml:space="preserve">Solution for I.V. infusion </w:t>
            </w:r>
          </w:p>
          <w:p w:rsidR="00F5107B" w:rsidRDefault="00980D79" w:rsidP="00596D7F">
            <w:pPr>
              <w:rPr>
                <w:rFonts w:ascii="Arial" w:hAnsi="Arial" w:cs="Arial"/>
                <w:color w:val="000000"/>
              </w:rPr>
            </w:pPr>
            <w:r w:rsidRPr="007F7D95">
              <w:rPr>
                <w:rFonts w:ascii="Arial" w:hAnsi="Arial" w:cs="Arial"/>
                <w:color w:val="000000"/>
              </w:rPr>
              <w:t>100 mg in 10 mL</w:t>
            </w:r>
            <w:r w:rsidRPr="007F7D95">
              <w:rPr>
                <w:rFonts w:ascii="Arial" w:hAnsi="Arial" w:cs="Arial"/>
                <w:color w:val="000000"/>
              </w:rPr>
              <w:br/>
              <w:t xml:space="preserve">Solution for I.V. infusion </w:t>
            </w:r>
          </w:p>
          <w:p w:rsidR="00980D79" w:rsidRDefault="00980D79" w:rsidP="00596D7F">
            <w:pPr>
              <w:rPr>
                <w:rFonts w:ascii="Arial" w:hAnsi="Arial" w:cs="Arial"/>
                <w:color w:val="000000"/>
              </w:rPr>
            </w:pPr>
            <w:r w:rsidRPr="007F7D95">
              <w:rPr>
                <w:rFonts w:ascii="Arial" w:hAnsi="Arial" w:cs="Arial"/>
                <w:color w:val="000000"/>
              </w:rPr>
              <w:t>500 mg in 50 mL</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Riximyo</w:t>
            </w:r>
            <w:proofErr w:type="spellEnd"/>
            <w:r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t>Sandoz Pty Ltd</w:t>
            </w:r>
          </w:p>
          <w:p w:rsidR="00980D79" w:rsidRDefault="00980D79" w:rsidP="00596D7F">
            <w:pPr>
              <w:rPr>
                <w:rFonts w:ascii="Arial" w:hAnsi="Arial" w:cs="Arial"/>
                <w:color w:val="000000"/>
              </w:rPr>
            </w:pPr>
          </w:p>
          <w:p w:rsidR="000C2059" w:rsidRDefault="00980D79" w:rsidP="00596D7F">
            <w:pPr>
              <w:rPr>
                <w:rFonts w:ascii="Arial" w:hAnsi="Arial" w:cs="Arial"/>
                <w:color w:val="000000"/>
              </w:rPr>
            </w:pPr>
            <w:r>
              <w:rPr>
                <w:rFonts w:ascii="Arial" w:hAnsi="Arial" w:cs="Arial"/>
                <w:color w:val="000000"/>
              </w:rPr>
              <w:t xml:space="preserve">New listing </w:t>
            </w:r>
          </w:p>
          <w:p w:rsidR="00980D79" w:rsidRPr="007F7D95" w:rsidRDefault="00980D79"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E76BA" w:rsidRDefault="00980D79" w:rsidP="00596D7F">
            <w:pPr>
              <w:rPr>
                <w:rFonts w:ascii="Arial" w:hAnsi="Arial" w:cs="Arial"/>
                <w:color w:val="000000"/>
              </w:rPr>
            </w:pPr>
            <w:r w:rsidRPr="007F7D95">
              <w:rPr>
                <w:rFonts w:ascii="Arial" w:hAnsi="Arial" w:cs="Arial"/>
                <w:color w:val="000000"/>
              </w:rPr>
              <w:t>CD20 positive follicular B-cell non-Hodgkin's lymphoma</w:t>
            </w:r>
            <w:r>
              <w:rPr>
                <w:rFonts w:ascii="Arial" w:hAnsi="Arial" w:cs="Arial"/>
                <w:color w:val="000000"/>
              </w:rPr>
              <w:t>;</w:t>
            </w:r>
            <w:r w:rsidRPr="007F7D95">
              <w:rPr>
                <w:rFonts w:ascii="Arial" w:hAnsi="Arial" w:cs="Arial"/>
                <w:color w:val="000000"/>
              </w:rPr>
              <w:br/>
            </w:r>
            <w:r w:rsidR="003E76BA" w:rsidRPr="007F7D95">
              <w:rPr>
                <w:rFonts w:ascii="Arial" w:hAnsi="Arial" w:cs="Arial"/>
                <w:color w:val="000000"/>
              </w:rPr>
              <w:t>CD20 positive non-Hodgkin's lymphoma</w:t>
            </w:r>
            <w:r w:rsidR="003E76BA">
              <w:rPr>
                <w:rFonts w:ascii="Arial" w:hAnsi="Arial" w:cs="Arial"/>
                <w:color w:val="000000"/>
              </w:rPr>
              <w:t>;</w:t>
            </w:r>
            <w:r w:rsidR="003E76BA" w:rsidRPr="007F7D95">
              <w:rPr>
                <w:rFonts w:ascii="Arial" w:hAnsi="Arial" w:cs="Arial"/>
                <w:color w:val="000000"/>
              </w:rPr>
              <w:br/>
              <w:t>Low-grade B-cell non-Hodgkin's lymphoma</w:t>
            </w:r>
            <w:r w:rsidR="003E76BA">
              <w:rPr>
                <w:rFonts w:ascii="Arial" w:hAnsi="Arial" w:cs="Arial"/>
                <w:color w:val="000000"/>
              </w:rPr>
              <w:t>;</w:t>
            </w:r>
            <w:r w:rsidR="003E76BA" w:rsidRPr="007F7D95">
              <w:rPr>
                <w:rFonts w:ascii="Arial" w:hAnsi="Arial" w:cs="Arial"/>
                <w:color w:val="000000"/>
              </w:rPr>
              <w:t xml:space="preserve"> </w:t>
            </w:r>
            <w:r w:rsidRPr="007F7D95">
              <w:rPr>
                <w:rFonts w:ascii="Arial" w:hAnsi="Arial" w:cs="Arial"/>
                <w:color w:val="000000"/>
              </w:rPr>
              <w:t>Severe active granulomatosis with polyangiitis (</w:t>
            </w:r>
            <w:proofErr w:type="spellStart"/>
            <w:r w:rsidRPr="007F7D95">
              <w:rPr>
                <w:rFonts w:ascii="Arial" w:hAnsi="Arial" w:cs="Arial"/>
                <w:color w:val="000000"/>
              </w:rPr>
              <w:t>Wegeners</w:t>
            </w:r>
            <w:proofErr w:type="spellEnd"/>
            <w:r w:rsidRPr="007F7D95">
              <w:rPr>
                <w:rFonts w:ascii="Arial" w:hAnsi="Arial" w:cs="Arial"/>
                <w:color w:val="000000"/>
              </w:rPr>
              <w:t xml:space="preserve"> granulomatosis)</w:t>
            </w:r>
            <w:r w:rsidR="0093318C">
              <w:rPr>
                <w:rFonts w:ascii="Arial" w:hAnsi="Arial" w:cs="Arial"/>
                <w:color w:val="000000"/>
              </w:rPr>
              <w:t>(GPA)</w:t>
            </w:r>
            <w:r>
              <w:rPr>
                <w:rFonts w:ascii="Arial" w:hAnsi="Arial" w:cs="Arial"/>
                <w:color w:val="000000"/>
              </w:rPr>
              <w:t>;</w:t>
            </w:r>
          </w:p>
          <w:p w:rsidR="00980D79" w:rsidRPr="007F7D95" w:rsidRDefault="003E76BA" w:rsidP="003E76BA">
            <w:pPr>
              <w:rPr>
                <w:rFonts w:ascii="Arial" w:hAnsi="Arial" w:cs="Arial"/>
                <w:color w:val="000000"/>
              </w:rPr>
            </w:pPr>
            <w:r w:rsidRPr="003E76BA">
              <w:rPr>
                <w:rFonts w:ascii="Arial" w:hAnsi="Arial" w:cs="Arial"/>
                <w:color w:val="000000"/>
              </w:rPr>
              <w:t>Microscopic polyangiitis (MPA)</w:t>
            </w:r>
            <w:proofErr w:type="gramStart"/>
            <w:r>
              <w:rPr>
                <w:rFonts w:ascii="Arial" w:hAnsi="Arial" w:cs="Arial"/>
                <w:color w:val="000000"/>
              </w:rPr>
              <w:t>;</w:t>
            </w:r>
            <w:proofErr w:type="gramEnd"/>
            <w:r w:rsidR="00980D79" w:rsidRPr="007F7D95">
              <w:rPr>
                <w:rFonts w:ascii="Arial" w:hAnsi="Arial" w:cs="Arial"/>
                <w:color w:val="000000"/>
              </w:rPr>
              <w:br/>
              <w:t>Chronic lymphocytic leukaemia</w:t>
            </w:r>
            <w:r w:rsidR="00980D79">
              <w:rPr>
                <w:rFonts w:ascii="Arial" w:hAnsi="Arial" w:cs="Arial"/>
                <w:color w:val="000000"/>
              </w:rPr>
              <w:t>;</w:t>
            </w:r>
            <w:r w:rsidR="00980D79" w:rsidRPr="007F7D95">
              <w:rPr>
                <w:rFonts w:ascii="Arial" w:hAnsi="Arial" w:cs="Arial"/>
                <w:color w:val="000000"/>
              </w:rPr>
              <w:br/>
              <w:t>Severe active rheumatoid arthritis</w:t>
            </w:r>
            <w:r w:rsidR="0093318C">
              <w:rPr>
                <w:rFonts w:ascii="Arial" w:hAnsi="Arial" w:cs="Arial"/>
                <w:color w:val="000000"/>
              </w:rPr>
              <w:t xml:space="preserve"> (RA).</w:t>
            </w:r>
            <w:r w:rsidR="00980D79" w:rsidRPr="007F7D95">
              <w:rPr>
                <w:rFonts w:ascii="Arial" w:hAnsi="Arial" w:cs="Arial"/>
                <w:color w:val="000000"/>
              </w:rPr>
              <w:t xml:space="preserve"> </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Pr="007F7D95" w:rsidRDefault="00980D79" w:rsidP="00596D7F">
            <w:pPr>
              <w:rPr>
                <w:rFonts w:ascii="Arial" w:hAnsi="Arial" w:cs="Arial"/>
                <w:color w:val="000000"/>
              </w:rPr>
            </w:pPr>
            <w:r>
              <w:rPr>
                <w:rFonts w:ascii="Arial" w:hAnsi="Arial" w:cs="Arial"/>
                <w:color w:val="000000"/>
              </w:rPr>
              <w:t xml:space="preserve">To request a Section </w:t>
            </w:r>
            <w:r w:rsidRPr="007F7D95">
              <w:rPr>
                <w:rFonts w:ascii="Arial" w:hAnsi="Arial" w:cs="Arial"/>
                <w:color w:val="000000"/>
              </w:rPr>
              <w:t>100 (Efficient Funding of Chemotherapy) Authority Required (STREAMLINED) and S</w:t>
            </w:r>
            <w:r>
              <w:rPr>
                <w:rFonts w:ascii="Arial" w:hAnsi="Arial" w:cs="Arial"/>
                <w:color w:val="000000"/>
              </w:rPr>
              <w:t xml:space="preserve">ection </w:t>
            </w:r>
            <w:r w:rsidRPr="007F7D95">
              <w:rPr>
                <w:rFonts w:ascii="Arial" w:hAnsi="Arial" w:cs="Arial"/>
                <w:color w:val="000000"/>
              </w:rPr>
              <w:t xml:space="preserve">100 Authority Required (Highly Specialised Drug) listings for the same indications as the reference biologic. </w:t>
            </w:r>
          </w:p>
        </w:tc>
        <w:tc>
          <w:tcPr>
            <w:tcW w:w="7192" w:type="dxa"/>
            <w:gridSpan w:val="2"/>
            <w:tcBorders>
              <w:top w:val="single" w:sz="4" w:space="0" w:color="auto"/>
              <w:left w:val="single" w:sz="4" w:space="0" w:color="auto"/>
              <w:bottom w:val="single" w:sz="4" w:space="0" w:color="auto"/>
              <w:right w:val="single" w:sz="4" w:space="0" w:color="auto"/>
            </w:tcBorders>
            <w:shd w:val="clear" w:color="auto" w:fill="auto"/>
          </w:tcPr>
          <w:p w:rsidR="00A44BF0" w:rsidRDefault="00986F04" w:rsidP="00986F04">
            <w:pPr>
              <w:widowControl w:val="0"/>
              <w:jc w:val="both"/>
              <w:rPr>
                <w:rFonts w:ascii="Arial" w:hAnsi="Arial" w:cs="Arial"/>
              </w:rPr>
            </w:pPr>
            <w:r w:rsidRPr="00986F04">
              <w:rPr>
                <w:rFonts w:ascii="Arial" w:hAnsi="Arial" w:cs="Arial"/>
              </w:rPr>
              <w:t>The PBAC recommended the listing of a biosimilar brand of rituximab (</w:t>
            </w:r>
            <w:proofErr w:type="spellStart"/>
            <w:r w:rsidRPr="00986F04">
              <w:rPr>
                <w:rFonts w:ascii="Arial" w:hAnsi="Arial" w:cs="Arial"/>
              </w:rPr>
              <w:t>Riximyo</w:t>
            </w:r>
            <w:proofErr w:type="spellEnd"/>
            <w:r w:rsidRPr="00986F04">
              <w:rPr>
                <w:rFonts w:ascii="Arial" w:hAnsi="Arial" w:cs="Arial"/>
              </w:rPr>
              <w:t>®) for the same oncology and autoimmune indications as the IV infusion reference brand of rituximab (</w:t>
            </w:r>
            <w:proofErr w:type="spellStart"/>
            <w:r w:rsidRPr="00986F04">
              <w:rPr>
                <w:rFonts w:ascii="Arial" w:hAnsi="Arial" w:cs="Arial"/>
              </w:rPr>
              <w:t>MabThera</w:t>
            </w:r>
            <w:proofErr w:type="spellEnd"/>
            <w:r w:rsidRPr="00986F04">
              <w:rPr>
                <w:rFonts w:ascii="Arial" w:hAnsi="Arial" w:cs="Arial"/>
              </w:rPr>
              <w:t xml:space="preserve">®), under the S100 Efficient Funding of Chemotherapy and Highly Specialised Drug programs. The PBAC recommended that the </w:t>
            </w:r>
            <w:proofErr w:type="spellStart"/>
            <w:r w:rsidRPr="00986F04">
              <w:rPr>
                <w:rFonts w:ascii="Arial" w:hAnsi="Arial" w:cs="Arial"/>
              </w:rPr>
              <w:t>Riximyo</w:t>
            </w:r>
            <w:proofErr w:type="spellEnd"/>
            <w:r w:rsidRPr="00986F04">
              <w:rPr>
                <w:rFonts w:ascii="Arial" w:hAnsi="Arial" w:cs="Arial"/>
              </w:rPr>
              <w:t xml:space="preserve"> and </w:t>
            </w:r>
            <w:proofErr w:type="spellStart"/>
            <w:r w:rsidRPr="00986F04">
              <w:rPr>
                <w:rFonts w:ascii="Arial" w:hAnsi="Arial" w:cs="Arial"/>
              </w:rPr>
              <w:t>Mabthera</w:t>
            </w:r>
            <w:proofErr w:type="spellEnd"/>
            <w:r w:rsidRPr="00986F04">
              <w:rPr>
                <w:rFonts w:ascii="Arial" w:hAnsi="Arial" w:cs="Arial"/>
              </w:rPr>
              <w:t xml:space="preserve"> brands of rituximab could be marked as equivalent (‘a’ flagged) in the Schedule of Pharmaceutical Benefits. </w:t>
            </w:r>
          </w:p>
          <w:p w:rsidR="00A44BF0" w:rsidRDefault="00A44BF0" w:rsidP="00986F04">
            <w:pPr>
              <w:widowControl w:val="0"/>
              <w:jc w:val="both"/>
              <w:rPr>
                <w:rFonts w:ascii="Arial" w:hAnsi="Arial" w:cs="Arial"/>
              </w:rPr>
            </w:pPr>
          </w:p>
          <w:p w:rsidR="00A44BF0" w:rsidRDefault="00986F04" w:rsidP="00986F04">
            <w:pPr>
              <w:widowControl w:val="0"/>
              <w:jc w:val="both"/>
              <w:rPr>
                <w:rFonts w:ascii="Arial" w:hAnsi="Arial" w:cs="Arial"/>
              </w:rPr>
            </w:pPr>
            <w:r w:rsidRPr="00986F04">
              <w:rPr>
                <w:rFonts w:ascii="Arial" w:hAnsi="Arial" w:cs="Arial"/>
              </w:rPr>
              <w:t>The PBAC advised that there are no clinical or other concerns about appropriate use of medicines, if the policy decision were made to apply the biosimilar uptake measures agreed as part of the strategic agreement with Medicines Australia to rituximab, provided certain recommendations are followed</w:t>
            </w:r>
            <w:r w:rsidR="00A44BF0">
              <w:rPr>
                <w:rFonts w:ascii="Arial" w:hAnsi="Arial" w:cs="Arial"/>
              </w:rPr>
              <w:t>:</w:t>
            </w:r>
            <w:r w:rsidR="00596D7F">
              <w:rPr>
                <w:rFonts w:ascii="Arial" w:hAnsi="Arial" w:cs="Arial"/>
              </w:rPr>
              <w:t xml:space="preserve"> </w:t>
            </w:r>
          </w:p>
          <w:p w:rsidR="00A44BF0" w:rsidRPr="00512475" w:rsidRDefault="00986F04" w:rsidP="00512475">
            <w:pPr>
              <w:pStyle w:val="ListParagraph"/>
              <w:widowControl w:val="0"/>
              <w:numPr>
                <w:ilvl w:val="0"/>
                <w:numId w:val="40"/>
              </w:numPr>
              <w:ind w:left="280" w:hanging="280"/>
              <w:jc w:val="both"/>
              <w:rPr>
                <w:rFonts w:ascii="Arial" w:hAnsi="Arial" w:cs="Arial"/>
              </w:rPr>
            </w:pPr>
            <w:r w:rsidRPr="00512475">
              <w:rPr>
                <w:rFonts w:ascii="Arial" w:hAnsi="Arial" w:cs="Arial"/>
                <w:sz w:val="20"/>
                <w:szCs w:val="20"/>
              </w:rPr>
              <w:t>The PBAC deemed it reasonable to lower the authority level of the GPA/MPA and RA indications from a written authority to Authority Required (STREAMLINED) at the re-induction phase for GPA/MPA and at the subsequent continuing phase for RA.</w:t>
            </w:r>
            <w:r w:rsidR="00596D7F" w:rsidRPr="00512475">
              <w:rPr>
                <w:rFonts w:ascii="Arial" w:hAnsi="Arial" w:cs="Arial"/>
                <w:sz w:val="20"/>
                <w:szCs w:val="20"/>
              </w:rPr>
              <w:t xml:space="preserve"> </w:t>
            </w:r>
          </w:p>
          <w:p w:rsidR="00A44BF0" w:rsidRPr="00512475" w:rsidRDefault="00986F04" w:rsidP="00512475">
            <w:pPr>
              <w:pStyle w:val="ListParagraph"/>
              <w:widowControl w:val="0"/>
              <w:numPr>
                <w:ilvl w:val="0"/>
                <w:numId w:val="40"/>
              </w:numPr>
              <w:ind w:left="280" w:hanging="280"/>
              <w:jc w:val="both"/>
              <w:rPr>
                <w:rFonts w:ascii="Arial" w:hAnsi="Arial" w:cs="Arial"/>
              </w:rPr>
            </w:pPr>
            <w:r w:rsidRPr="00512475">
              <w:rPr>
                <w:rFonts w:ascii="Arial" w:hAnsi="Arial" w:cs="Arial"/>
                <w:sz w:val="20"/>
                <w:szCs w:val="20"/>
              </w:rPr>
              <w:t>The PBAC advised against lowering the benefit level of the oncology indications from a Streamlined Authority to a Restricted Benefit, as it is expected that this would have minimal effect on prescribing behaviours and may inadvertently lead to an increase in prescribing beyond the current restrictions.</w:t>
            </w:r>
          </w:p>
          <w:p w:rsidR="00A44BF0" w:rsidRDefault="00A44BF0" w:rsidP="00986F04">
            <w:pPr>
              <w:widowControl w:val="0"/>
              <w:jc w:val="both"/>
              <w:rPr>
                <w:rFonts w:ascii="Arial" w:hAnsi="Arial" w:cs="Arial"/>
              </w:rPr>
            </w:pPr>
          </w:p>
          <w:p w:rsidR="00512475" w:rsidRPr="003D7E12" w:rsidRDefault="00986F04" w:rsidP="00512475">
            <w:pPr>
              <w:widowControl w:val="0"/>
              <w:jc w:val="both"/>
              <w:rPr>
                <w:rFonts w:ascii="Arial" w:hAnsi="Arial" w:cs="Arial"/>
              </w:rPr>
            </w:pPr>
            <w:r w:rsidRPr="00986F04">
              <w:rPr>
                <w:rFonts w:ascii="Arial" w:hAnsi="Arial" w:cs="Arial"/>
              </w:rPr>
              <w:t>The PBAC recommended the addition of a note encouraging prescribing of the biosimilar brand to treatment naïve patients, would be appropriate for all indications.</w:t>
            </w:r>
          </w:p>
          <w:p w:rsidR="00A44BF0" w:rsidRPr="003D7E12" w:rsidRDefault="00A44BF0" w:rsidP="00986F04">
            <w:pPr>
              <w:widowControl w:val="0"/>
              <w:jc w:val="both"/>
              <w:rPr>
                <w:rFonts w:ascii="Arial" w:hAnsi="Arial" w:cs="Arial"/>
              </w:rPr>
            </w:pPr>
          </w:p>
        </w:tc>
      </w:tr>
      <w:tr w:rsidR="00980D79"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Default="00980D79" w:rsidP="00596D7F">
            <w:pPr>
              <w:rPr>
                <w:rFonts w:ascii="Arial" w:hAnsi="Arial" w:cs="Arial"/>
                <w:color w:val="000000"/>
              </w:rPr>
            </w:pPr>
            <w:r w:rsidRPr="007F7D95">
              <w:rPr>
                <w:rFonts w:ascii="Arial" w:hAnsi="Arial" w:cs="Arial"/>
                <w:color w:val="000000"/>
              </w:rPr>
              <w:lastRenderedPageBreak/>
              <w:t>TRIGLYCERIDES, LONG CHAIN WITH GLUCOSE PO</w:t>
            </w:r>
            <w:r w:rsidR="00430096">
              <w:rPr>
                <w:rFonts w:ascii="Arial" w:hAnsi="Arial" w:cs="Arial"/>
                <w:color w:val="000000"/>
              </w:rPr>
              <w:t xml:space="preserve">LYMER </w:t>
            </w:r>
            <w:r w:rsidR="00430096">
              <w:rPr>
                <w:rFonts w:ascii="Arial" w:hAnsi="Arial" w:cs="Arial"/>
                <w:color w:val="000000"/>
              </w:rPr>
              <w:br/>
            </w:r>
            <w:r w:rsidR="00430096">
              <w:rPr>
                <w:rFonts w:ascii="Arial" w:hAnsi="Arial" w:cs="Arial"/>
                <w:color w:val="000000"/>
              </w:rPr>
              <w:br/>
              <w:t>Oral liquid 250 mL</w:t>
            </w:r>
            <w:r w:rsidR="00CF4D0F">
              <w:rPr>
                <w:rFonts w:ascii="Arial" w:hAnsi="Arial" w:cs="Arial"/>
                <w:color w:val="000000"/>
              </w:rPr>
              <w:t>, 18</w:t>
            </w:r>
            <w:r w:rsidR="00430096">
              <w:rPr>
                <w:rFonts w:ascii="Arial" w:hAnsi="Arial" w:cs="Arial"/>
                <w:color w:val="000000"/>
              </w:rPr>
              <w:t xml:space="preserve"> </w:t>
            </w:r>
            <w:r w:rsidR="00430096">
              <w:rPr>
                <w:rFonts w:ascii="Arial" w:hAnsi="Arial" w:cs="Arial"/>
                <w:color w:val="000000"/>
              </w:rPr>
              <w:br/>
              <w:t>Oral liquid 1 L</w:t>
            </w:r>
            <w:r w:rsidR="00CF4D0F">
              <w:rPr>
                <w:rFonts w:ascii="Arial" w:hAnsi="Arial" w:cs="Arial"/>
                <w:color w:val="000000"/>
              </w:rPr>
              <w:t>, 6</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ProZero</w:t>
            </w:r>
            <w:proofErr w:type="spellEnd"/>
            <w:r w:rsidR="00430096" w:rsidRPr="007F7D95">
              <w:rPr>
                <w:rFonts w:ascii="Arial" w:hAnsi="Arial" w:cs="Arial"/>
                <w:color w:val="000000"/>
              </w:rPr>
              <w:t>®</w:t>
            </w:r>
            <w:r w:rsidRPr="007F7D95">
              <w:rPr>
                <w:rFonts w:ascii="Arial" w:hAnsi="Arial" w:cs="Arial"/>
                <w:color w:val="000000"/>
              </w:rPr>
              <w:br/>
            </w:r>
            <w:r w:rsidRPr="007F7D95">
              <w:rPr>
                <w:rFonts w:ascii="Arial" w:hAnsi="Arial" w:cs="Arial"/>
                <w:color w:val="000000"/>
              </w:rPr>
              <w:br/>
            </w:r>
            <w:proofErr w:type="spellStart"/>
            <w:r w:rsidRPr="007F7D95">
              <w:rPr>
                <w:rFonts w:ascii="Arial" w:hAnsi="Arial" w:cs="Arial"/>
                <w:color w:val="000000"/>
              </w:rPr>
              <w:t>Vitaflo</w:t>
            </w:r>
            <w:proofErr w:type="spellEnd"/>
            <w:r w:rsidRPr="007F7D95">
              <w:rPr>
                <w:rFonts w:ascii="Arial" w:hAnsi="Arial" w:cs="Arial"/>
                <w:color w:val="000000"/>
              </w:rPr>
              <w:t xml:space="preserve"> Australia Pty Ltd</w:t>
            </w:r>
          </w:p>
          <w:p w:rsidR="00980D79" w:rsidRDefault="00980D79" w:rsidP="00596D7F">
            <w:pPr>
              <w:rPr>
                <w:rFonts w:ascii="Arial" w:hAnsi="Arial" w:cs="Arial"/>
                <w:color w:val="000000"/>
              </w:rPr>
            </w:pPr>
          </w:p>
          <w:p w:rsidR="000C2059" w:rsidRDefault="00980D79" w:rsidP="00596D7F">
            <w:pPr>
              <w:rPr>
                <w:rFonts w:ascii="Arial" w:hAnsi="Arial" w:cs="Arial"/>
                <w:color w:val="000000"/>
              </w:rPr>
            </w:pPr>
            <w:r>
              <w:rPr>
                <w:rFonts w:ascii="Arial" w:hAnsi="Arial" w:cs="Arial"/>
                <w:color w:val="000000"/>
              </w:rPr>
              <w:t xml:space="preserve">Change to listing </w:t>
            </w:r>
          </w:p>
          <w:p w:rsidR="00980D79" w:rsidRPr="007F7D95" w:rsidRDefault="00980D79" w:rsidP="00596D7F">
            <w:pPr>
              <w:rPr>
                <w:rFonts w:ascii="Arial" w:hAnsi="Arial" w:cs="Arial"/>
                <w:color w:val="000000"/>
              </w:rPr>
            </w:pPr>
            <w:r>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Pr="007F7D95" w:rsidRDefault="00980D79" w:rsidP="00596D7F">
            <w:pPr>
              <w:rPr>
                <w:rFonts w:ascii="Arial" w:hAnsi="Arial" w:cs="Arial"/>
                <w:color w:val="000000"/>
              </w:rPr>
            </w:pPr>
            <w:r w:rsidRPr="007F7D95">
              <w:rPr>
                <w:rFonts w:ascii="Arial" w:hAnsi="Arial" w:cs="Arial"/>
                <w:color w:val="000000"/>
              </w:rPr>
              <w:t>Proven inborn errors of protein metabolism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80D79" w:rsidRPr="007F7D95" w:rsidRDefault="00980D79" w:rsidP="00596D7F">
            <w:pPr>
              <w:rPr>
                <w:rFonts w:ascii="Arial" w:hAnsi="Arial" w:cs="Arial"/>
                <w:color w:val="000000"/>
              </w:rPr>
            </w:pPr>
            <w:r w:rsidRPr="007F7D95">
              <w:rPr>
                <w:rFonts w:ascii="Arial" w:hAnsi="Arial" w:cs="Arial"/>
                <w:color w:val="000000"/>
              </w:rPr>
              <w:t xml:space="preserve">To request changes to the Restricted Benefit listing of </w:t>
            </w:r>
            <w:proofErr w:type="spellStart"/>
            <w:r w:rsidRPr="007F7D95">
              <w:rPr>
                <w:rFonts w:ascii="Arial" w:hAnsi="Arial" w:cs="Arial"/>
                <w:color w:val="000000"/>
              </w:rPr>
              <w:t>ProZero</w:t>
            </w:r>
            <w:proofErr w:type="spellEnd"/>
            <w:r w:rsidRPr="007F7D95">
              <w:rPr>
                <w:rFonts w:ascii="Arial" w:hAnsi="Arial" w:cs="Arial"/>
                <w:color w:val="000000"/>
              </w:rPr>
              <w:t xml:space="preserve"> including nutritional content.</w:t>
            </w:r>
          </w:p>
        </w:tc>
        <w:tc>
          <w:tcPr>
            <w:tcW w:w="7192" w:type="dxa"/>
            <w:gridSpan w:val="2"/>
            <w:tcBorders>
              <w:top w:val="single" w:sz="4" w:space="0" w:color="auto"/>
              <w:left w:val="single" w:sz="4" w:space="0" w:color="auto"/>
              <w:bottom w:val="single" w:sz="4" w:space="0" w:color="auto"/>
              <w:right w:val="single" w:sz="4" w:space="0" w:color="auto"/>
            </w:tcBorders>
          </w:tcPr>
          <w:p w:rsidR="00980D79" w:rsidRDefault="00B7311E" w:rsidP="000A16D0">
            <w:pPr>
              <w:widowControl w:val="0"/>
              <w:jc w:val="both"/>
              <w:rPr>
                <w:rFonts w:ascii="Arial" w:hAnsi="Arial" w:cs="Arial"/>
              </w:rPr>
            </w:pPr>
            <w:r w:rsidRPr="00B7311E">
              <w:rPr>
                <w:rFonts w:ascii="Arial" w:hAnsi="Arial" w:cs="Arial"/>
              </w:rPr>
              <w:t xml:space="preserve">The PBAC noted the change to the formulation processed by the Secretariat and noted the listing of </w:t>
            </w:r>
            <w:proofErr w:type="spellStart"/>
            <w:r w:rsidRPr="00B7311E">
              <w:rPr>
                <w:rFonts w:ascii="Arial" w:hAnsi="Arial" w:cs="Arial"/>
              </w:rPr>
              <w:t>ProZero</w:t>
            </w:r>
            <w:proofErr w:type="spellEnd"/>
            <w:r w:rsidRPr="00B7311E">
              <w:rPr>
                <w:rFonts w:ascii="Arial" w:hAnsi="Arial" w:cs="Arial"/>
              </w:rPr>
              <w:t xml:space="preserve"> would not be altered by this change.</w:t>
            </w:r>
          </w:p>
          <w:p w:rsidR="00A44BF0" w:rsidRDefault="00A44BF0" w:rsidP="000A16D0">
            <w:pPr>
              <w:widowControl w:val="0"/>
              <w:jc w:val="both"/>
              <w:rPr>
                <w:rFonts w:ascii="Arial" w:hAnsi="Arial" w:cs="Arial"/>
              </w:rPr>
            </w:pPr>
          </w:p>
          <w:p w:rsidR="00A44BF0" w:rsidRPr="003D7E12" w:rsidRDefault="00A44BF0" w:rsidP="000A16D0">
            <w:pPr>
              <w:widowControl w:val="0"/>
              <w:jc w:val="both"/>
              <w:rPr>
                <w:rFonts w:ascii="Arial" w:hAnsi="Arial" w:cs="Arial"/>
              </w:rPr>
            </w:pPr>
          </w:p>
        </w:tc>
      </w:tr>
    </w:tbl>
    <w:p w:rsidR="00E066EF" w:rsidRPr="009147E0" w:rsidRDefault="00E066EF" w:rsidP="00450BC1">
      <w:pPr>
        <w:tabs>
          <w:tab w:val="left" w:pos="5210"/>
        </w:tabs>
        <w:rPr>
          <w:rFonts w:ascii="Arial" w:hAnsi="Arial" w:cs="Arial"/>
          <w:lang w:val="en-US"/>
        </w:rPr>
      </w:pPr>
    </w:p>
    <w:p w:rsidR="003D7E12" w:rsidRPr="009147E0" w:rsidRDefault="003D7E12">
      <w:pPr>
        <w:tabs>
          <w:tab w:val="left" w:pos="5210"/>
        </w:tabs>
        <w:rPr>
          <w:rFonts w:ascii="Arial" w:hAnsi="Arial" w:cs="Arial"/>
          <w:lang w:val="en-US"/>
        </w:rPr>
      </w:pPr>
    </w:p>
    <w:sectPr w:rsidR="003D7E12" w:rsidRPr="009147E0" w:rsidSect="00812D71">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7F" w:rsidRDefault="00596D7F">
      <w:r>
        <w:separator/>
      </w:r>
    </w:p>
  </w:endnote>
  <w:endnote w:type="continuationSeparator" w:id="0">
    <w:p w:rsidR="00596D7F" w:rsidRDefault="005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F" w:rsidRDefault="00596D7F"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938">
      <w:rPr>
        <w:rStyle w:val="PageNumber"/>
        <w:noProof/>
      </w:rPr>
      <w:t>26</w:t>
    </w:r>
    <w:r>
      <w:rPr>
        <w:rStyle w:val="PageNumber"/>
      </w:rPr>
      <w:fldChar w:fldCharType="end"/>
    </w:r>
  </w:p>
  <w:p w:rsidR="00596D7F" w:rsidRDefault="00596D7F"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F" w:rsidRPr="00CE0CBC" w:rsidRDefault="00596D7F"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455653">
      <w:rPr>
        <w:rStyle w:val="PageNumber"/>
        <w:rFonts w:ascii="Arial" w:hAnsi="Arial" w:cs="Arial"/>
        <w:noProof/>
      </w:rPr>
      <w:t>15</w:t>
    </w:r>
    <w:r w:rsidRPr="00CE0CBC">
      <w:rPr>
        <w:rStyle w:val="PageNumber"/>
        <w:rFonts w:ascii="Arial" w:hAnsi="Arial" w:cs="Arial"/>
      </w:rPr>
      <w:fldChar w:fldCharType="end"/>
    </w:r>
  </w:p>
  <w:p w:rsidR="00596D7F" w:rsidRDefault="00596D7F"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7F" w:rsidRDefault="00596D7F">
      <w:r>
        <w:separator/>
      </w:r>
    </w:p>
  </w:footnote>
  <w:footnote w:type="continuationSeparator" w:id="0">
    <w:p w:rsidR="00596D7F" w:rsidRDefault="00596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F" w:rsidRDefault="00596D7F" w:rsidP="007D408D">
    <w:pPr>
      <w:pStyle w:val="Header"/>
      <w:jc w:val="center"/>
      <w:rPr>
        <w:rFonts w:ascii="Arial" w:hAnsi="Arial" w:cs="Arial"/>
        <w:b/>
        <w:snapToGrid w:val="0"/>
        <w:lang w:eastAsia="en-US"/>
      </w:rPr>
    </w:pPr>
    <w:r>
      <w:rPr>
        <w:rFonts w:ascii="Arial" w:hAnsi="Arial" w:cs="Arial"/>
        <w:b/>
        <w:snapToGrid w:val="0"/>
        <w:lang w:eastAsia="en-US"/>
      </w:rPr>
      <w:t>MARCH 2018 PBAC MEETING – POSITIVE RECOMMENDATIONS</w:t>
    </w:r>
  </w:p>
  <w:p w:rsidR="00596D7F" w:rsidRDefault="00596D7F"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8">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5"/>
  </w:num>
  <w:num w:numId="3">
    <w:abstractNumId w:val="34"/>
  </w:num>
  <w:num w:numId="4">
    <w:abstractNumId w:val="24"/>
  </w:num>
  <w:num w:numId="5">
    <w:abstractNumId w:val="20"/>
  </w:num>
  <w:num w:numId="6">
    <w:abstractNumId w:val="8"/>
  </w:num>
  <w:num w:numId="7">
    <w:abstractNumId w:val="3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39"/>
  </w:num>
  <w:num w:numId="12">
    <w:abstractNumId w:val="38"/>
  </w:num>
  <w:num w:numId="13">
    <w:abstractNumId w:val="9"/>
  </w:num>
  <w:num w:numId="14">
    <w:abstractNumId w:val="27"/>
  </w:num>
  <w:num w:numId="15">
    <w:abstractNumId w:val="12"/>
  </w:num>
  <w:num w:numId="16">
    <w:abstractNumId w:val="29"/>
  </w:num>
  <w:num w:numId="17">
    <w:abstractNumId w:val="2"/>
  </w:num>
  <w:num w:numId="18">
    <w:abstractNumId w:val="3"/>
  </w:num>
  <w:num w:numId="19">
    <w:abstractNumId w:val="13"/>
  </w:num>
  <w:num w:numId="20">
    <w:abstractNumId w:val="32"/>
  </w:num>
  <w:num w:numId="21">
    <w:abstractNumId w:val="26"/>
  </w:num>
  <w:num w:numId="22">
    <w:abstractNumId w:val="31"/>
  </w:num>
  <w:num w:numId="23">
    <w:abstractNumId w:val="1"/>
  </w:num>
  <w:num w:numId="24">
    <w:abstractNumId w:val="6"/>
  </w:num>
  <w:num w:numId="25">
    <w:abstractNumId w:val="28"/>
  </w:num>
  <w:num w:numId="26">
    <w:abstractNumId w:val="37"/>
  </w:num>
  <w:num w:numId="27">
    <w:abstractNumId w:val="17"/>
  </w:num>
  <w:num w:numId="28">
    <w:abstractNumId w:val="4"/>
  </w:num>
  <w:num w:numId="29">
    <w:abstractNumId w:val="11"/>
  </w:num>
  <w:num w:numId="30">
    <w:abstractNumId w:val="14"/>
  </w:num>
  <w:num w:numId="31">
    <w:abstractNumId w:val="23"/>
  </w:num>
  <w:num w:numId="32">
    <w:abstractNumId w:val="22"/>
  </w:num>
  <w:num w:numId="33">
    <w:abstractNumId w:val="30"/>
  </w:num>
  <w:num w:numId="34">
    <w:abstractNumId w:val="25"/>
  </w:num>
  <w:num w:numId="35">
    <w:abstractNumId w:val="19"/>
  </w:num>
  <w:num w:numId="36">
    <w:abstractNumId w:val="15"/>
  </w:num>
  <w:num w:numId="37">
    <w:abstractNumId w:val="16"/>
  </w:num>
  <w:num w:numId="38">
    <w:abstractNumId w:val="33"/>
  </w:num>
  <w:num w:numId="39">
    <w:abstractNumId w:val="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6BA"/>
    <w:rsid w:val="00023817"/>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6A0E"/>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735C"/>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66D6E"/>
    <w:rsid w:val="00370449"/>
    <w:rsid w:val="00370CFC"/>
    <w:rsid w:val="00370EE0"/>
    <w:rsid w:val="003713B0"/>
    <w:rsid w:val="00371B3D"/>
    <w:rsid w:val="00372F44"/>
    <w:rsid w:val="00374783"/>
    <w:rsid w:val="003750B5"/>
    <w:rsid w:val="00375135"/>
    <w:rsid w:val="00375F6A"/>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FF"/>
    <w:rsid w:val="003A23AD"/>
    <w:rsid w:val="003A2BB7"/>
    <w:rsid w:val="003A312D"/>
    <w:rsid w:val="003A42F4"/>
    <w:rsid w:val="003A42FF"/>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2EFB"/>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3143"/>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51FF"/>
    <w:rsid w:val="007F5557"/>
    <w:rsid w:val="007F5CD4"/>
    <w:rsid w:val="007F61E2"/>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31F"/>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2534"/>
    <w:rsid w:val="00B028CB"/>
    <w:rsid w:val="00B0432F"/>
    <w:rsid w:val="00B043ED"/>
    <w:rsid w:val="00B054FF"/>
    <w:rsid w:val="00B05CB6"/>
    <w:rsid w:val="00B0633F"/>
    <w:rsid w:val="00B070A0"/>
    <w:rsid w:val="00B07CC0"/>
    <w:rsid w:val="00B07D53"/>
    <w:rsid w:val="00B102F5"/>
    <w:rsid w:val="00B103BE"/>
    <w:rsid w:val="00B103E9"/>
    <w:rsid w:val="00B10C24"/>
    <w:rsid w:val="00B113BB"/>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E64"/>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1D74"/>
    <w:rsid w:val="00BC2214"/>
    <w:rsid w:val="00BC2825"/>
    <w:rsid w:val="00BC2E96"/>
    <w:rsid w:val="00BC365F"/>
    <w:rsid w:val="00BC406F"/>
    <w:rsid w:val="00BC4C88"/>
    <w:rsid w:val="00BC4F84"/>
    <w:rsid w:val="00BC59CA"/>
    <w:rsid w:val="00BC5BC7"/>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BDD"/>
    <w:rsid w:val="00BE21E3"/>
    <w:rsid w:val="00BE305B"/>
    <w:rsid w:val="00BE62B2"/>
    <w:rsid w:val="00BE6350"/>
    <w:rsid w:val="00BE6C24"/>
    <w:rsid w:val="00BE7287"/>
    <w:rsid w:val="00BE7C93"/>
    <w:rsid w:val="00BF0362"/>
    <w:rsid w:val="00BF0479"/>
    <w:rsid w:val="00BF0D73"/>
    <w:rsid w:val="00BF1D23"/>
    <w:rsid w:val="00BF1F45"/>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2C9"/>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6B1F"/>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5843"/>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4B3B"/>
    <w:rsid w:val="00DD6998"/>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D0C"/>
    <w:rsid w:val="00EA7F0B"/>
    <w:rsid w:val="00EB09C2"/>
    <w:rsid w:val="00EB0CCF"/>
    <w:rsid w:val="00EB114C"/>
    <w:rsid w:val="00EB18C0"/>
    <w:rsid w:val="00EB20F4"/>
    <w:rsid w:val="00EB2490"/>
    <w:rsid w:val="00EB3F05"/>
    <w:rsid w:val="00EB43BA"/>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C8"/>
    <w:rsid w:val="00FA54B2"/>
    <w:rsid w:val="00FA5812"/>
    <w:rsid w:val="00FA59CD"/>
    <w:rsid w:val="00FA7990"/>
    <w:rsid w:val="00FB07FC"/>
    <w:rsid w:val="00FB1180"/>
    <w:rsid w:val="00FB174F"/>
    <w:rsid w:val="00FB1FEB"/>
    <w:rsid w:val="00FB28DA"/>
    <w:rsid w:val="00FB35B5"/>
    <w:rsid w:val="00FB4250"/>
    <w:rsid w:val="00FB42B4"/>
    <w:rsid w:val="00FB5638"/>
    <w:rsid w:val="00FB59AB"/>
    <w:rsid w:val="00FB5A8D"/>
    <w:rsid w:val="00FB6627"/>
    <w:rsid w:val="00FB6721"/>
    <w:rsid w:val="00FB7318"/>
    <w:rsid w:val="00FB77DE"/>
    <w:rsid w:val="00FC0251"/>
    <w:rsid w:val="00FC07F8"/>
    <w:rsid w:val="00FC1102"/>
    <w:rsid w:val="00FC16AD"/>
    <w:rsid w:val="00FC1F94"/>
    <w:rsid w:val="00FC2E23"/>
    <w:rsid w:val="00FC3241"/>
    <w:rsid w:val="00FC3649"/>
    <w:rsid w:val="00FC3BB3"/>
    <w:rsid w:val="00FC3ED9"/>
    <w:rsid w:val="00FC54D5"/>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F401-7D3D-4422-A01B-5B058842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27</Pages>
  <Words>7636</Words>
  <Characters>44646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REDDY, Kamini</cp:lastModifiedBy>
  <cp:revision>50</cp:revision>
  <cp:lastPrinted>2018-04-23T03:21:00Z</cp:lastPrinted>
  <dcterms:created xsi:type="dcterms:W3CDTF">2017-04-11T02:19:00Z</dcterms:created>
  <dcterms:modified xsi:type="dcterms:W3CDTF">2018-04-27T00:58:00Z</dcterms:modified>
</cp:coreProperties>
</file>