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3261"/>
        <w:gridCol w:w="6947"/>
      </w:tblGrid>
      <w:tr w:rsidR="00126104" w:rsidRPr="003E19A4" w:rsidTr="00482313">
        <w:trPr>
          <w:tblHeader/>
        </w:trPr>
        <w:tc>
          <w:tcPr>
            <w:tcW w:w="2977" w:type="dxa"/>
            <w:tcMar>
              <w:top w:w="28" w:type="dxa"/>
              <w:bottom w:w="28" w:type="dxa"/>
            </w:tcMar>
          </w:tcPr>
          <w:p w:rsidR="00126104" w:rsidRPr="003E19A4" w:rsidRDefault="00126104" w:rsidP="008870CB">
            <w:pPr>
              <w:widowControl w:val="0"/>
              <w:jc w:val="center"/>
              <w:rPr>
                <w:rFonts w:ascii="Arial" w:hAnsi="Arial" w:cs="Arial"/>
                <w:b/>
              </w:rPr>
            </w:pPr>
            <w:r w:rsidRPr="003E19A4">
              <w:rPr>
                <w:rFonts w:ascii="Arial" w:hAnsi="Arial" w:cs="Arial"/>
                <w:b/>
              </w:rPr>
              <w:t>DRUG NAME, FORM(S), STRENGTH(S), SPONSOR, TYPE OF SUBMISSION</w:t>
            </w:r>
          </w:p>
          <w:p w:rsidR="00126104" w:rsidRPr="003E19A4" w:rsidRDefault="00126104" w:rsidP="008870CB">
            <w:pPr>
              <w:widowControl w:val="0"/>
              <w:jc w:val="center"/>
              <w:rPr>
                <w:rFonts w:ascii="Arial" w:hAnsi="Arial" w:cs="Arial"/>
                <w:b/>
              </w:rPr>
            </w:pPr>
          </w:p>
        </w:tc>
        <w:tc>
          <w:tcPr>
            <w:tcW w:w="2126" w:type="dxa"/>
            <w:tcMar>
              <w:top w:w="28" w:type="dxa"/>
              <w:bottom w:w="28" w:type="dxa"/>
            </w:tcMar>
          </w:tcPr>
          <w:p w:rsidR="00126104" w:rsidRPr="003E19A4" w:rsidRDefault="00126104" w:rsidP="008870CB">
            <w:pPr>
              <w:widowControl w:val="0"/>
              <w:jc w:val="center"/>
              <w:rPr>
                <w:rFonts w:ascii="Arial" w:hAnsi="Arial" w:cs="Arial"/>
                <w:b/>
                <w:snapToGrid w:val="0"/>
                <w:lang w:eastAsia="en-US"/>
              </w:rPr>
            </w:pPr>
            <w:r w:rsidRPr="003E19A4">
              <w:rPr>
                <w:rFonts w:ascii="Arial" w:hAnsi="Arial" w:cs="Arial"/>
                <w:b/>
                <w:snapToGrid w:val="0"/>
                <w:lang w:eastAsia="en-US"/>
              </w:rPr>
              <w:t>DRUG TYPE AND USE</w:t>
            </w:r>
          </w:p>
          <w:p w:rsidR="00126104" w:rsidRPr="003E19A4" w:rsidRDefault="00126104" w:rsidP="008870CB">
            <w:pPr>
              <w:widowControl w:val="0"/>
              <w:jc w:val="center"/>
              <w:rPr>
                <w:rFonts w:ascii="Arial" w:hAnsi="Arial" w:cs="Arial"/>
                <w:b/>
                <w:snapToGrid w:val="0"/>
                <w:lang w:eastAsia="en-US"/>
              </w:rPr>
            </w:pPr>
          </w:p>
        </w:tc>
        <w:tc>
          <w:tcPr>
            <w:tcW w:w="3261" w:type="dxa"/>
            <w:tcMar>
              <w:top w:w="28" w:type="dxa"/>
              <w:bottom w:w="28" w:type="dxa"/>
            </w:tcMar>
          </w:tcPr>
          <w:p w:rsidR="00126104" w:rsidRPr="003E19A4" w:rsidRDefault="00126104" w:rsidP="008870CB">
            <w:pPr>
              <w:widowControl w:val="0"/>
              <w:jc w:val="center"/>
              <w:rPr>
                <w:rFonts w:ascii="Arial" w:hAnsi="Arial" w:cs="Arial"/>
                <w:b/>
                <w:snapToGrid w:val="0"/>
                <w:lang w:eastAsia="en-US"/>
              </w:rPr>
            </w:pPr>
            <w:r w:rsidRPr="003E19A4">
              <w:rPr>
                <w:rFonts w:ascii="Arial" w:hAnsi="Arial" w:cs="Arial"/>
                <w:b/>
                <w:snapToGrid w:val="0"/>
                <w:lang w:eastAsia="en-US"/>
              </w:rPr>
              <w:t>LISTING REQUESTED BY SPONSOR / PURPOSE OF SUBMISSION</w:t>
            </w:r>
          </w:p>
        </w:tc>
        <w:tc>
          <w:tcPr>
            <w:tcW w:w="6947" w:type="dxa"/>
          </w:tcPr>
          <w:p w:rsidR="00126104" w:rsidRPr="003E19A4" w:rsidRDefault="00126104" w:rsidP="008870CB">
            <w:pPr>
              <w:pStyle w:val="Header"/>
              <w:jc w:val="center"/>
              <w:rPr>
                <w:rFonts w:ascii="Arial" w:hAnsi="Arial" w:cs="Arial"/>
                <w:b/>
                <w:snapToGrid w:val="0"/>
                <w:lang w:eastAsia="en-US"/>
              </w:rPr>
            </w:pPr>
            <w:r w:rsidRPr="003E19A4">
              <w:rPr>
                <w:rFonts w:ascii="Arial" w:hAnsi="Arial" w:cs="Arial"/>
                <w:b/>
                <w:snapToGrid w:val="0"/>
                <w:lang w:eastAsia="en-US"/>
              </w:rPr>
              <w:t>PBAC OUTCOME</w:t>
            </w:r>
          </w:p>
        </w:tc>
      </w:tr>
      <w:tr w:rsidR="00E4794A" w:rsidRPr="003E19A4" w:rsidTr="00482313">
        <w:trPr>
          <w:trHeight w:val="2910"/>
        </w:trPr>
        <w:tc>
          <w:tcPr>
            <w:tcW w:w="2977" w:type="dxa"/>
            <w:tcMar>
              <w:top w:w="28" w:type="dxa"/>
              <w:bottom w:w="28" w:type="dxa"/>
            </w:tcMar>
          </w:tcPr>
          <w:p w:rsidR="00E4794A" w:rsidRPr="00F77BEE" w:rsidRDefault="00E4794A" w:rsidP="00D40E79">
            <w:pPr>
              <w:rPr>
                <w:rFonts w:ascii="Arial" w:hAnsi="Arial" w:cs="Arial"/>
              </w:rPr>
            </w:pPr>
            <w:r w:rsidRPr="00F77BEE">
              <w:rPr>
                <w:rFonts w:ascii="Arial" w:hAnsi="Arial" w:cs="Arial"/>
              </w:rPr>
              <w:t>BORTEZOMIB</w:t>
            </w:r>
          </w:p>
          <w:p w:rsidR="00E4794A" w:rsidRPr="00F77BEE" w:rsidRDefault="00E4794A" w:rsidP="00D40E79">
            <w:pPr>
              <w:rPr>
                <w:rFonts w:ascii="Arial" w:hAnsi="Arial" w:cs="Arial"/>
              </w:rPr>
            </w:pPr>
          </w:p>
          <w:p w:rsidR="00E4794A" w:rsidRPr="00F77BEE" w:rsidRDefault="00E4794A" w:rsidP="00D40E79">
            <w:pPr>
              <w:rPr>
                <w:rFonts w:ascii="Arial" w:hAnsi="Arial" w:cs="Arial"/>
              </w:rPr>
            </w:pPr>
            <w:r w:rsidRPr="00F77BEE">
              <w:rPr>
                <w:rFonts w:ascii="Arial" w:hAnsi="Arial" w:cs="Arial"/>
              </w:rPr>
              <w:t>Injection 1 mg in 1 vial</w:t>
            </w:r>
          </w:p>
          <w:p w:rsidR="00E4794A" w:rsidRPr="00F77BEE" w:rsidRDefault="00E4794A" w:rsidP="00D40E79">
            <w:pPr>
              <w:rPr>
                <w:rFonts w:ascii="Arial" w:hAnsi="Arial" w:cs="Arial"/>
              </w:rPr>
            </w:pPr>
            <w:r w:rsidRPr="00F77BEE">
              <w:rPr>
                <w:rFonts w:ascii="Arial" w:hAnsi="Arial" w:cs="Arial"/>
              </w:rPr>
              <w:t>Injection 3 mg in 1 vial</w:t>
            </w:r>
          </w:p>
          <w:p w:rsidR="00E4794A" w:rsidRPr="00F77BEE" w:rsidRDefault="00E4794A" w:rsidP="00D40E79">
            <w:pPr>
              <w:rPr>
                <w:rFonts w:ascii="Arial" w:hAnsi="Arial" w:cs="Arial"/>
              </w:rPr>
            </w:pPr>
            <w:r w:rsidRPr="00F77BEE">
              <w:rPr>
                <w:rFonts w:ascii="Arial" w:hAnsi="Arial" w:cs="Arial"/>
              </w:rPr>
              <w:t>Injection 3.5 mg in  1 vial</w:t>
            </w:r>
          </w:p>
          <w:p w:rsidR="00E4794A" w:rsidRPr="00F77BEE" w:rsidRDefault="00E4794A" w:rsidP="00D40E79">
            <w:pPr>
              <w:rPr>
                <w:rFonts w:ascii="Arial" w:hAnsi="Arial" w:cs="Arial"/>
              </w:rPr>
            </w:pPr>
          </w:p>
          <w:p w:rsidR="00E4794A" w:rsidRPr="00F77BEE" w:rsidRDefault="00E4794A" w:rsidP="00D40E79">
            <w:pPr>
              <w:rPr>
                <w:rFonts w:ascii="Arial" w:hAnsi="Arial" w:cs="Arial"/>
              </w:rPr>
            </w:pPr>
            <w:proofErr w:type="spellStart"/>
            <w:r w:rsidRPr="00F77BEE">
              <w:rPr>
                <w:rFonts w:ascii="Arial" w:hAnsi="Arial" w:cs="Arial"/>
              </w:rPr>
              <w:t>Velcade</w:t>
            </w:r>
            <w:proofErr w:type="spellEnd"/>
            <w:r w:rsidRPr="00F77BEE">
              <w:rPr>
                <w:rFonts w:ascii="Arial" w:hAnsi="Arial" w:cs="Arial"/>
              </w:rPr>
              <w:t>®</w:t>
            </w:r>
          </w:p>
          <w:p w:rsidR="00E4794A" w:rsidRPr="00F77BEE" w:rsidRDefault="00E4794A" w:rsidP="00D40E79">
            <w:pPr>
              <w:rPr>
                <w:rFonts w:ascii="Arial" w:hAnsi="Arial" w:cs="Arial"/>
              </w:rPr>
            </w:pPr>
          </w:p>
          <w:p w:rsidR="00E4794A" w:rsidRPr="00F77BEE" w:rsidRDefault="00E4794A" w:rsidP="00D40E79">
            <w:pPr>
              <w:rPr>
                <w:rFonts w:ascii="Arial" w:hAnsi="Arial" w:cs="Arial"/>
              </w:rPr>
            </w:pPr>
            <w:r w:rsidRPr="00F77BEE">
              <w:rPr>
                <w:rFonts w:ascii="Arial" w:hAnsi="Arial" w:cs="Arial"/>
              </w:rPr>
              <w:t>Janssen-Cilag Pty Ltd</w:t>
            </w:r>
          </w:p>
          <w:p w:rsidR="00E4794A" w:rsidRPr="00F77BEE" w:rsidRDefault="00E4794A" w:rsidP="00D40E79">
            <w:pPr>
              <w:rPr>
                <w:rFonts w:ascii="Arial" w:hAnsi="Arial" w:cs="Arial"/>
              </w:rPr>
            </w:pPr>
          </w:p>
          <w:p w:rsidR="00E4794A" w:rsidRPr="00F77BEE" w:rsidRDefault="00E4794A" w:rsidP="002826D6">
            <w:pPr>
              <w:rPr>
                <w:rFonts w:ascii="Arial" w:hAnsi="Arial" w:cs="Arial"/>
              </w:rPr>
            </w:pPr>
            <w:r w:rsidRPr="00F77BEE">
              <w:rPr>
                <w:rFonts w:ascii="Arial" w:hAnsi="Arial" w:cs="Arial"/>
              </w:rPr>
              <w:t>(Departmental discussion paper)</w:t>
            </w:r>
          </w:p>
        </w:tc>
        <w:tc>
          <w:tcPr>
            <w:tcW w:w="2126" w:type="dxa"/>
          </w:tcPr>
          <w:p w:rsidR="00E4794A" w:rsidRPr="00F77BEE" w:rsidRDefault="00E4794A" w:rsidP="00D40E79">
            <w:pPr>
              <w:rPr>
                <w:rFonts w:ascii="Arial" w:hAnsi="Arial" w:cs="Arial"/>
                <w:color w:val="000000"/>
              </w:rPr>
            </w:pPr>
            <w:r w:rsidRPr="00F77BEE">
              <w:rPr>
                <w:rFonts w:ascii="Arial" w:hAnsi="Arial" w:cs="Arial"/>
                <w:color w:val="000000"/>
              </w:rPr>
              <w:t>Multiple myeloma</w:t>
            </w:r>
          </w:p>
        </w:tc>
        <w:tc>
          <w:tcPr>
            <w:tcW w:w="3261" w:type="dxa"/>
            <w:tcMar>
              <w:top w:w="28" w:type="dxa"/>
              <w:bottom w:w="28" w:type="dxa"/>
            </w:tcMar>
          </w:tcPr>
          <w:p w:rsidR="00E4794A" w:rsidRPr="00F77BEE" w:rsidRDefault="00E4794A" w:rsidP="00D40E79">
            <w:pPr>
              <w:pStyle w:val="Default"/>
              <w:rPr>
                <w:rFonts w:ascii="Arial" w:hAnsi="Arial" w:cs="Arial"/>
                <w:sz w:val="20"/>
                <w:szCs w:val="20"/>
              </w:rPr>
            </w:pPr>
            <w:r w:rsidRPr="00F77BEE">
              <w:rPr>
                <w:rFonts w:ascii="Arial" w:hAnsi="Arial" w:cs="Arial"/>
                <w:sz w:val="20"/>
                <w:szCs w:val="20"/>
              </w:rPr>
              <w:t>The Department sought PBAC approval to streamline the current written Authorities for bortezomib for all its multiple myeloma (MM) PBS restrictions.</w:t>
            </w:r>
          </w:p>
          <w:p w:rsidR="00E4794A" w:rsidRPr="00F77BEE" w:rsidRDefault="00E4794A" w:rsidP="00D40E79">
            <w:pPr>
              <w:pStyle w:val="Default"/>
              <w:rPr>
                <w:rFonts w:ascii="Arial" w:hAnsi="Arial" w:cs="Arial"/>
                <w:sz w:val="20"/>
                <w:szCs w:val="20"/>
              </w:rPr>
            </w:pPr>
          </w:p>
        </w:tc>
        <w:tc>
          <w:tcPr>
            <w:tcW w:w="6947" w:type="dxa"/>
            <w:shd w:val="clear" w:color="auto" w:fill="auto"/>
          </w:tcPr>
          <w:p w:rsidR="00E4794A" w:rsidRPr="00F77BEE" w:rsidRDefault="00E4794A" w:rsidP="00623190">
            <w:pPr>
              <w:jc w:val="both"/>
              <w:rPr>
                <w:rFonts w:ascii="Arial" w:hAnsi="Arial" w:cs="Arial"/>
                <w:color w:val="000000"/>
              </w:rPr>
            </w:pPr>
            <w:r w:rsidRPr="00F77BEE">
              <w:rPr>
                <w:rFonts w:ascii="Arial" w:hAnsi="Arial" w:cs="Arial"/>
                <w:color w:val="000000"/>
              </w:rPr>
              <w:t xml:space="preserve">The PBAC supported a proposal from the Department to streamline the current written Authorities for bortezomib for all its multiple myeloma (MM) PBS restrictions. The PBAC considered the change should be subject to monitoring of use for inappropriate increases in use outside the restrictions. In making this decision, the PBAC considered this to be the first step in providing easier access to a proven effective MM therapy, noting there will be an upcoming stakeholder meeting for MM which will provide the PBAC with input from key stakeholders about the discrepancies between current PBS listings and treatment guidelines, and the barriers to availability of combination therapies on the PBS. </w:t>
            </w:r>
          </w:p>
        </w:tc>
      </w:tr>
      <w:tr w:rsidR="00E4794A" w:rsidRPr="003E19A4" w:rsidTr="00F87016">
        <w:trPr>
          <w:cantSplit/>
          <w:trHeight w:val="925"/>
        </w:trPr>
        <w:tc>
          <w:tcPr>
            <w:tcW w:w="2977" w:type="dxa"/>
            <w:tcMar>
              <w:top w:w="28" w:type="dxa"/>
              <w:bottom w:w="28" w:type="dxa"/>
            </w:tcMar>
          </w:tcPr>
          <w:p w:rsidR="00E4794A" w:rsidRPr="00F77BEE" w:rsidRDefault="00E4794A" w:rsidP="009E0308">
            <w:pPr>
              <w:rPr>
                <w:rFonts w:ascii="Arial" w:hAnsi="Arial" w:cs="Arial"/>
              </w:rPr>
            </w:pPr>
            <w:r w:rsidRPr="00F77BEE">
              <w:rPr>
                <w:rFonts w:ascii="Arial" w:hAnsi="Arial" w:cs="Arial"/>
              </w:rPr>
              <w:lastRenderedPageBreak/>
              <w:t>BUDESONIDE WITH EFORMOTEROL</w:t>
            </w:r>
          </w:p>
          <w:p w:rsidR="00E4794A" w:rsidRPr="00F77BEE" w:rsidRDefault="00E4794A" w:rsidP="009E0308">
            <w:pPr>
              <w:rPr>
                <w:rFonts w:ascii="Arial" w:hAnsi="Arial" w:cs="Arial"/>
              </w:rPr>
            </w:pPr>
          </w:p>
          <w:p w:rsidR="00E4794A" w:rsidRPr="00F77BEE" w:rsidRDefault="00E4794A" w:rsidP="009E0308">
            <w:pPr>
              <w:rPr>
                <w:rFonts w:ascii="Arial" w:hAnsi="Arial" w:cs="Arial"/>
                <w:color w:val="000000"/>
              </w:rPr>
            </w:pPr>
            <w:r w:rsidRPr="00F77BEE">
              <w:rPr>
                <w:rFonts w:ascii="Arial" w:hAnsi="Arial" w:cs="Arial"/>
                <w:color w:val="000000"/>
              </w:rPr>
              <w:t>Powder for oral inhalation in breath actuated device containing budesonide 200 micrograms with eformoterol fumarate dihydrate 6 micrograms per dose, 120 doses</w:t>
            </w:r>
            <w:r w:rsidRPr="00F77BEE">
              <w:rPr>
                <w:rFonts w:ascii="Arial" w:hAnsi="Arial" w:cs="Arial"/>
                <w:color w:val="000000"/>
              </w:rPr>
              <w:br/>
              <w:t>Powder for oral inhalation in breath actuated device containing budesonide 400 micrograms with eformoterol fumarate dihydrate 12 micrograms per dose, 120 doses</w:t>
            </w:r>
            <w:r w:rsidRPr="00F77BEE">
              <w:rPr>
                <w:rFonts w:ascii="Arial" w:hAnsi="Arial" w:cs="Arial"/>
                <w:color w:val="000000"/>
              </w:rPr>
              <w:br/>
            </w:r>
            <w:r w:rsidRPr="00F77BEE">
              <w:rPr>
                <w:rFonts w:ascii="Arial" w:hAnsi="Arial" w:cs="Arial"/>
                <w:color w:val="000000"/>
              </w:rPr>
              <w:br/>
              <w:t>DuoResp® Spiromax®</w:t>
            </w:r>
            <w:r w:rsidRPr="00F77BEE">
              <w:rPr>
                <w:rFonts w:ascii="Arial" w:hAnsi="Arial" w:cs="Arial"/>
                <w:color w:val="000000"/>
              </w:rPr>
              <w:br/>
            </w:r>
            <w:r w:rsidRPr="00F77BEE">
              <w:rPr>
                <w:rFonts w:ascii="Arial" w:hAnsi="Arial" w:cs="Arial"/>
                <w:color w:val="000000"/>
              </w:rPr>
              <w:br/>
              <w:t>Teva Pharma Australia Pty Limited</w:t>
            </w:r>
          </w:p>
          <w:p w:rsidR="00E4794A" w:rsidRPr="00F77BEE" w:rsidRDefault="00E4794A" w:rsidP="009E0308">
            <w:pPr>
              <w:rPr>
                <w:rFonts w:ascii="Arial" w:hAnsi="Arial" w:cs="Arial"/>
                <w:color w:val="000000"/>
              </w:rPr>
            </w:pPr>
          </w:p>
          <w:p w:rsidR="00E4794A" w:rsidRPr="00F77BEE" w:rsidRDefault="00E4794A" w:rsidP="009E0308">
            <w:pPr>
              <w:rPr>
                <w:rFonts w:ascii="Arial" w:hAnsi="Arial" w:cs="Arial"/>
                <w:color w:val="000000"/>
              </w:rPr>
            </w:pPr>
            <w:r w:rsidRPr="00F77BEE">
              <w:rPr>
                <w:rFonts w:ascii="Arial" w:hAnsi="Arial" w:cs="Arial"/>
                <w:color w:val="000000"/>
              </w:rPr>
              <w:t xml:space="preserve">Change to listing </w:t>
            </w:r>
          </w:p>
          <w:p w:rsidR="00E4794A" w:rsidRPr="00F77BEE" w:rsidRDefault="00E4794A" w:rsidP="009E0308">
            <w:pPr>
              <w:rPr>
                <w:rFonts w:ascii="Arial" w:hAnsi="Arial" w:cs="Arial"/>
                <w:b/>
              </w:rPr>
            </w:pPr>
            <w:r w:rsidRPr="00F77BEE">
              <w:rPr>
                <w:rFonts w:ascii="Arial" w:hAnsi="Arial" w:cs="Arial"/>
                <w:color w:val="000000"/>
              </w:rPr>
              <w:t>(Other Submission)</w:t>
            </w:r>
          </w:p>
        </w:tc>
        <w:tc>
          <w:tcPr>
            <w:tcW w:w="2126" w:type="dxa"/>
          </w:tcPr>
          <w:p w:rsidR="00E4794A" w:rsidRPr="00F77BEE" w:rsidRDefault="00E4794A" w:rsidP="009E0308">
            <w:pPr>
              <w:rPr>
                <w:rFonts w:ascii="Arial" w:hAnsi="Arial" w:cs="Arial"/>
              </w:rPr>
            </w:pPr>
            <w:r w:rsidRPr="00F77BEE">
              <w:rPr>
                <w:rFonts w:ascii="Arial" w:hAnsi="Arial" w:cs="Arial"/>
                <w:color w:val="000000"/>
              </w:rPr>
              <w:t>Asthma and chronic obstructive pulmonary disease (COPD)</w:t>
            </w:r>
          </w:p>
        </w:tc>
        <w:tc>
          <w:tcPr>
            <w:tcW w:w="3261" w:type="dxa"/>
            <w:tcMar>
              <w:top w:w="28" w:type="dxa"/>
              <w:bottom w:w="28" w:type="dxa"/>
            </w:tcMar>
          </w:tcPr>
          <w:p w:rsidR="00E4794A" w:rsidRPr="00F77BEE" w:rsidRDefault="00F5287D" w:rsidP="009E0308">
            <w:pPr>
              <w:pStyle w:val="ListParagraph"/>
              <w:spacing w:after="120"/>
              <w:ind w:left="0"/>
              <w:contextualSpacing w:val="0"/>
              <w:rPr>
                <w:rFonts w:ascii="Arial" w:hAnsi="Arial" w:cs="Arial"/>
                <w:sz w:val="20"/>
                <w:szCs w:val="20"/>
              </w:rPr>
            </w:pPr>
            <w:r w:rsidRPr="00F77BEE">
              <w:rPr>
                <w:rFonts w:ascii="Arial" w:hAnsi="Arial" w:cs="Arial"/>
                <w:sz w:val="20"/>
                <w:szCs w:val="20"/>
              </w:rPr>
              <w:t>The Minister requested the PBAC to review the advice previously provided regarding the brand equivalence (‘a’ flag) of DuoResp Spiromax to Symbicort brands.</w:t>
            </w:r>
          </w:p>
        </w:tc>
        <w:tc>
          <w:tcPr>
            <w:tcW w:w="6947" w:type="dxa"/>
            <w:shd w:val="clear" w:color="auto" w:fill="auto"/>
          </w:tcPr>
          <w:p w:rsidR="00E4794A" w:rsidRDefault="00E4794A" w:rsidP="00F87016">
            <w:pPr>
              <w:rPr>
                <w:rFonts w:ascii="Arial" w:hAnsi="Arial" w:cs="Arial"/>
                <w:color w:val="000000"/>
              </w:rPr>
            </w:pPr>
            <w:r w:rsidRPr="00F77BEE">
              <w:rPr>
                <w:rFonts w:ascii="Arial" w:hAnsi="Arial" w:cs="Arial"/>
                <w:color w:val="000000"/>
              </w:rPr>
              <w:t xml:space="preserve">The PBAC re-affirmed its November 2017 PBAC meeting recommendation to list a new brand of budesonide with formoterol (DuoResp® Spiromax®) sponsored by Teva Pharma Australia for the treatment of asthma and COPD. In addition, the PBAC re-affirmed its advice to the Minister that DuoResp® Spiromax® can be ‘a’ flagged against the corresponding strengths of the Symbicort® Turbuhaler® sponsored by AstraZeneca.  </w:t>
            </w:r>
          </w:p>
          <w:p w:rsidR="00623190" w:rsidRPr="00F77BEE" w:rsidRDefault="00623190" w:rsidP="00F87016">
            <w:pPr>
              <w:rPr>
                <w:rFonts w:ascii="Arial" w:hAnsi="Arial" w:cs="Arial"/>
                <w:color w:val="000000"/>
              </w:rPr>
            </w:pPr>
          </w:p>
          <w:p w:rsidR="00E4794A" w:rsidRDefault="00E4794A" w:rsidP="00F87016">
            <w:pPr>
              <w:rPr>
                <w:rFonts w:ascii="Arial" w:hAnsi="Arial" w:cs="Arial"/>
                <w:color w:val="000000"/>
              </w:rPr>
            </w:pPr>
            <w:r w:rsidRPr="00F77BEE">
              <w:rPr>
                <w:rFonts w:ascii="Arial" w:hAnsi="Arial" w:cs="Arial"/>
                <w:color w:val="000000"/>
              </w:rPr>
              <w:t xml:space="preserve">The PBAC noted that DuoResp Spiromax, if PBS listed by the Minister as recommended by the PBAC, would be available in a different device to Symbicort Turbuhaler, would be indicated for use in patients 18 years of age and over, </w:t>
            </w:r>
            <w:r w:rsidR="00AD0797" w:rsidRPr="00F77BEE">
              <w:rPr>
                <w:rFonts w:ascii="Arial" w:hAnsi="Arial" w:cs="Arial"/>
                <w:color w:val="000000"/>
              </w:rPr>
              <w:t xml:space="preserve">and would not be available in </w:t>
            </w:r>
            <w:proofErr w:type="gramStart"/>
            <w:r w:rsidR="00AD0797" w:rsidRPr="00F77BEE">
              <w:rPr>
                <w:rFonts w:ascii="Arial" w:hAnsi="Arial" w:cs="Arial"/>
                <w:color w:val="000000"/>
              </w:rPr>
              <w:t xml:space="preserve">a </w:t>
            </w:r>
            <w:r w:rsidRPr="00F77BEE">
              <w:rPr>
                <w:rFonts w:ascii="Arial" w:hAnsi="Arial" w:cs="Arial"/>
                <w:color w:val="000000"/>
              </w:rPr>
              <w:t>100</w:t>
            </w:r>
            <w:proofErr w:type="gramEnd"/>
            <w:r w:rsidRPr="00F77BEE">
              <w:rPr>
                <w:rFonts w:ascii="Arial" w:hAnsi="Arial" w:cs="Arial"/>
                <w:color w:val="000000"/>
              </w:rPr>
              <w:t>/6 strength. The PBAC considered that the data available supporting the clinical non-inferiority of DuoResp Spiromax to Symbicort Turbuhaler, the ease of use of the DuoResp Spiromax device and the small proportion of use of the 100/6 strength of Symbicort Turbuhaler, together with the clear specification of the different age restrictions in the PBS Schedule, supported making DuoResp Spiromax substitutable for equivalent strengths of Symbicort Turbuhaler.</w:t>
            </w:r>
          </w:p>
          <w:p w:rsidR="00623190" w:rsidRPr="00F77BEE" w:rsidRDefault="00623190" w:rsidP="00F87016">
            <w:pPr>
              <w:rPr>
                <w:rFonts w:ascii="Arial" w:hAnsi="Arial" w:cs="Arial"/>
                <w:color w:val="000000"/>
              </w:rPr>
            </w:pPr>
          </w:p>
          <w:p w:rsidR="00E4794A" w:rsidRDefault="00E4794A" w:rsidP="00F87016">
            <w:pPr>
              <w:rPr>
                <w:rFonts w:ascii="Arial" w:hAnsi="Arial" w:cs="Arial"/>
                <w:color w:val="000000"/>
              </w:rPr>
            </w:pPr>
            <w:r w:rsidRPr="00F77BEE">
              <w:rPr>
                <w:rFonts w:ascii="Arial" w:hAnsi="Arial" w:cs="Arial"/>
                <w:color w:val="000000"/>
              </w:rPr>
              <w:t>The PBAC noted the ability for prescribers and pharmacists to substitute generic brands for originator brands is an important part of encouraging use of generics in the marketplace and adds to the sustainability of the PBS.</w:t>
            </w:r>
          </w:p>
          <w:p w:rsidR="00623190" w:rsidRPr="00F77BEE" w:rsidRDefault="00623190" w:rsidP="00F87016">
            <w:pPr>
              <w:rPr>
                <w:rFonts w:ascii="Arial" w:hAnsi="Arial" w:cs="Arial"/>
                <w:color w:val="000000"/>
              </w:rPr>
            </w:pPr>
          </w:p>
          <w:p w:rsidR="00E4794A" w:rsidRDefault="00E4794A" w:rsidP="00F87016">
            <w:pPr>
              <w:rPr>
                <w:rFonts w:ascii="Arial" w:hAnsi="Arial" w:cs="Arial"/>
                <w:color w:val="000000"/>
              </w:rPr>
            </w:pPr>
            <w:r w:rsidRPr="00F77BEE">
              <w:rPr>
                <w:rFonts w:ascii="Arial" w:hAnsi="Arial" w:cs="Arial"/>
                <w:color w:val="000000"/>
              </w:rPr>
              <w:t>The PBAC noted for any individual prescription, a prescriber may choose to not permit brand substitution by indicating ‘substitution not permitted’ on the prescription. Likewise, when substitution is permitted, a patient may nominate which ‘a’ flagged brand they wish to receive from the pharmacist, except when State or Territory Law prohibits substitution (e.g. for Schedule 8 drugs of dependence). The substitution process allows for patient and prescriber choice and is not automatic.</w:t>
            </w:r>
          </w:p>
          <w:p w:rsidR="00623190" w:rsidRPr="00F77BEE" w:rsidRDefault="00623190" w:rsidP="00F87016">
            <w:pPr>
              <w:rPr>
                <w:rFonts w:ascii="Arial" w:hAnsi="Arial" w:cs="Arial"/>
                <w:color w:val="000000"/>
              </w:rPr>
            </w:pPr>
          </w:p>
          <w:p w:rsidR="00E4794A" w:rsidRDefault="00E4794A" w:rsidP="00F87016">
            <w:pPr>
              <w:rPr>
                <w:rFonts w:ascii="Arial" w:hAnsi="Arial" w:cs="Arial"/>
                <w:color w:val="000000"/>
              </w:rPr>
            </w:pPr>
            <w:r w:rsidRPr="00F77BEE">
              <w:rPr>
                <w:rFonts w:ascii="Arial" w:hAnsi="Arial" w:cs="Arial"/>
                <w:color w:val="000000"/>
              </w:rPr>
              <w:t>The PBAC re-iterated that it considered that any differences in DuoResp Spiromax and Symbicort Turbuhaler devices could be safely managed by health care professionals in the course of regular patient education and counselling that is provided on the use of devices.</w:t>
            </w:r>
          </w:p>
          <w:p w:rsidR="00623190" w:rsidRPr="00F77BEE" w:rsidRDefault="00623190" w:rsidP="00F87016">
            <w:pPr>
              <w:rPr>
                <w:rFonts w:ascii="Arial" w:hAnsi="Arial" w:cs="Arial"/>
                <w:color w:val="000000"/>
              </w:rPr>
            </w:pPr>
          </w:p>
          <w:p w:rsidR="005B1D29" w:rsidRPr="00F77BEE" w:rsidRDefault="00E4794A" w:rsidP="00F87016">
            <w:pPr>
              <w:rPr>
                <w:rFonts w:ascii="Arial" w:hAnsi="Arial" w:cs="Arial"/>
                <w:color w:val="000000"/>
              </w:rPr>
            </w:pPr>
            <w:r w:rsidRPr="00F77BEE">
              <w:rPr>
                <w:rFonts w:ascii="Arial" w:hAnsi="Arial" w:cs="Arial"/>
                <w:color w:val="000000"/>
              </w:rPr>
              <w:t>The PBAC considered that the training of health care professionals and consumers outlined by Teva in its submissions to the PBAC demonstrated the commitment of the sponsor to ensuring appropriate training and education is provided. The PBAC reflected on the National Medicines Policy which requires a shared responsibility across health care professionals, industry and the reimbursement agency to ensure appropriate Quality Use of Medicines measures are taken.</w:t>
            </w:r>
          </w:p>
        </w:tc>
      </w:tr>
      <w:tr w:rsidR="00E4794A" w:rsidRPr="003E19A4" w:rsidTr="00482313">
        <w:trPr>
          <w:trHeight w:val="1209"/>
        </w:trPr>
        <w:tc>
          <w:tcPr>
            <w:tcW w:w="2977" w:type="dxa"/>
            <w:tcMar>
              <w:top w:w="28" w:type="dxa"/>
              <w:bottom w:w="28" w:type="dxa"/>
            </w:tcMar>
          </w:tcPr>
          <w:p w:rsidR="00E4794A" w:rsidRPr="00F77BEE" w:rsidRDefault="002A3BB3" w:rsidP="00977DD3">
            <w:pPr>
              <w:rPr>
                <w:rFonts w:ascii="Arial" w:hAnsi="Arial" w:cs="Arial"/>
                <w:color w:val="000000"/>
              </w:rPr>
            </w:pPr>
            <w:r w:rsidRPr="00F77BEE">
              <w:rPr>
                <w:rFonts w:ascii="Arial" w:hAnsi="Arial" w:cs="Arial"/>
                <w:color w:val="000000"/>
              </w:rPr>
              <w:lastRenderedPageBreak/>
              <w:t>B</w:t>
            </w:r>
            <w:r w:rsidR="00E4794A" w:rsidRPr="00F77BEE">
              <w:rPr>
                <w:rFonts w:ascii="Arial" w:hAnsi="Arial" w:cs="Arial"/>
                <w:color w:val="000000"/>
              </w:rPr>
              <w:t>iosimilar medicines</w:t>
            </w:r>
          </w:p>
          <w:p w:rsidR="00977DD3" w:rsidRPr="00F77BEE" w:rsidRDefault="00977DD3" w:rsidP="00977DD3">
            <w:pPr>
              <w:rPr>
                <w:rFonts w:ascii="Arial" w:hAnsi="Arial" w:cs="Arial"/>
                <w:color w:val="000000"/>
              </w:rPr>
            </w:pPr>
          </w:p>
          <w:p w:rsidR="00977DD3" w:rsidRPr="00F77BEE" w:rsidRDefault="00977DD3" w:rsidP="002A3BB3">
            <w:pPr>
              <w:rPr>
                <w:rFonts w:ascii="Arial" w:hAnsi="Arial" w:cs="Arial"/>
              </w:rPr>
            </w:pPr>
            <w:r w:rsidRPr="00F77BEE">
              <w:rPr>
                <w:rFonts w:ascii="Arial" w:hAnsi="Arial" w:cs="Arial"/>
                <w:color w:val="000000"/>
              </w:rPr>
              <w:t>(</w:t>
            </w:r>
            <w:r w:rsidR="002A3BB3" w:rsidRPr="00F77BEE">
              <w:rPr>
                <w:rFonts w:ascii="Arial" w:hAnsi="Arial" w:cs="Arial"/>
                <w:color w:val="000000"/>
              </w:rPr>
              <w:t xml:space="preserve">PBAC </w:t>
            </w:r>
            <w:r w:rsidR="005B1D29" w:rsidRPr="00F77BEE">
              <w:rPr>
                <w:rFonts w:ascii="Arial" w:hAnsi="Arial" w:cs="Arial"/>
                <w:color w:val="000000"/>
              </w:rPr>
              <w:t>m</w:t>
            </w:r>
            <w:r w:rsidR="002A3BB3" w:rsidRPr="00F77BEE">
              <w:rPr>
                <w:rFonts w:ascii="Arial" w:hAnsi="Arial" w:cs="Arial"/>
                <w:color w:val="000000"/>
              </w:rPr>
              <w:t>atter</w:t>
            </w:r>
            <w:r w:rsidRPr="00F77BEE">
              <w:rPr>
                <w:rFonts w:ascii="Arial" w:hAnsi="Arial" w:cs="Arial"/>
                <w:color w:val="000000"/>
              </w:rPr>
              <w:t>)</w:t>
            </w:r>
          </w:p>
        </w:tc>
        <w:tc>
          <w:tcPr>
            <w:tcW w:w="2126" w:type="dxa"/>
          </w:tcPr>
          <w:p w:rsidR="00E4794A" w:rsidRPr="00F77BEE" w:rsidRDefault="002A3BB3" w:rsidP="002E6071">
            <w:pPr>
              <w:rPr>
                <w:rFonts w:ascii="Arial" w:hAnsi="Arial" w:cs="Arial"/>
                <w:color w:val="000000"/>
              </w:rPr>
            </w:pPr>
            <w:r w:rsidRPr="00F77BEE">
              <w:rPr>
                <w:rFonts w:ascii="Arial" w:hAnsi="Arial" w:cs="Arial"/>
                <w:color w:val="000000"/>
              </w:rPr>
              <w:t>Biosimilar medicines</w:t>
            </w:r>
          </w:p>
          <w:p w:rsidR="00E4794A" w:rsidRPr="00F77BEE" w:rsidRDefault="00E4794A" w:rsidP="002E6071">
            <w:pPr>
              <w:rPr>
                <w:rFonts w:ascii="Arial" w:hAnsi="Arial" w:cs="Arial"/>
                <w:color w:val="000000"/>
              </w:rPr>
            </w:pPr>
            <w:r w:rsidRPr="00F77BEE">
              <w:rPr>
                <w:rFonts w:ascii="Arial" w:hAnsi="Arial" w:cs="Arial"/>
                <w:color w:val="000000"/>
              </w:rPr>
              <w:t>(multiple uses)</w:t>
            </w:r>
          </w:p>
        </w:tc>
        <w:tc>
          <w:tcPr>
            <w:tcW w:w="3261" w:type="dxa"/>
            <w:tcMar>
              <w:top w:w="28" w:type="dxa"/>
              <w:bottom w:w="28" w:type="dxa"/>
            </w:tcMar>
          </w:tcPr>
          <w:p w:rsidR="002A3BB3" w:rsidRPr="00F77BEE" w:rsidRDefault="002A3BB3" w:rsidP="002A3BB3">
            <w:pPr>
              <w:rPr>
                <w:rFonts w:ascii="Arial" w:hAnsi="Arial" w:cs="Arial"/>
                <w:color w:val="000000"/>
              </w:rPr>
            </w:pPr>
            <w:r w:rsidRPr="00F77BEE">
              <w:rPr>
                <w:rFonts w:ascii="Arial" w:hAnsi="Arial" w:cs="Arial"/>
                <w:color w:val="000000"/>
              </w:rPr>
              <w:t>Considering brand equivalence/substitution for biosimilar medicines</w:t>
            </w:r>
          </w:p>
          <w:p w:rsidR="00E4794A" w:rsidRPr="00F77BEE" w:rsidRDefault="00E4794A" w:rsidP="002E6071">
            <w:pPr>
              <w:pStyle w:val="Default"/>
              <w:rPr>
                <w:rFonts w:ascii="Arial" w:hAnsi="Arial" w:cs="Arial"/>
                <w:sz w:val="20"/>
                <w:szCs w:val="20"/>
              </w:rPr>
            </w:pPr>
          </w:p>
        </w:tc>
        <w:tc>
          <w:tcPr>
            <w:tcW w:w="6947" w:type="dxa"/>
            <w:shd w:val="clear" w:color="auto" w:fill="auto"/>
          </w:tcPr>
          <w:p w:rsidR="00977DD3" w:rsidRDefault="00E4794A" w:rsidP="00756AEF">
            <w:pPr>
              <w:jc w:val="both"/>
              <w:rPr>
                <w:rFonts w:ascii="Arial" w:hAnsi="Arial" w:cs="Arial"/>
              </w:rPr>
            </w:pPr>
            <w:r w:rsidRPr="00F77BEE">
              <w:rPr>
                <w:rFonts w:ascii="Arial" w:hAnsi="Arial" w:cs="Arial"/>
              </w:rPr>
              <w:t>The PBAC advised that the following revised considerations will be used to inform advice regarding brand equivalence (‘a’ flagging) of biosi</w:t>
            </w:r>
            <w:r w:rsidR="008F3E39">
              <w:rPr>
                <w:rFonts w:ascii="Arial" w:hAnsi="Arial" w:cs="Arial"/>
              </w:rPr>
              <w:t>milars with the reference brand:</w:t>
            </w:r>
          </w:p>
          <w:p w:rsidR="008F3E39" w:rsidRPr="00F77BEE" w:rsidRDefault="008F3E39" w:rsidP="00756AEF">
            <w:pPr>
              <w:jc w:val="both"/>
              <w:rPr>
                <w:rFonts w:ascii="Arial" w:hAnsi="Arial" w:cs="Arial"/>
              </w:rPr>
            </w:pPr>
          </w:p>
          <w:p w:rsidR="00977DD3" w:rsidRPr="00F77BEE" w:rsidRDefault="00E4794A" w:rsidP="00756AEF">
            <w:pPr>
              <w:pStyle w:val="ListParagraph"/>
              <w:numPr>
                <w:ilvl w:val="0"/>
                <w:numId w:val="49"/>
              </w:numPr>
              <w:jc w:val="both"/>
              <w:rPr>
                <w:rFonts w:ascii="Arial" w:hAnsi="Arial" w:cs="Arial"/>
                <w:sz w:val="20"/>
                <w:szCs w:val="20"/>
              </w:rPr>
            </w:pPr>
            <w:r w:rsidRPr="00F77BEE">
              <w:rPr>
                <w:rFonts w:ascii="Arial" w:hAnsi="Arial" w:cs="Arial"/>
                <w:sz w:val="20"/>
                <w:szCs w:val="20"/>
              </w:rPr>
              <w:t>The Therapeutic Goods Administration (TGA) has determined that the product is a biosimilar of the reference medicine as evidenced by ARTG registration documentation;</w:t>
            </w:r>
          </w:p>
          <w:p w:rsidR="00977DD3" w:rsidRPr="00F77BEE" w:rsidRDefault="00977DD3" w:rsidP="00756AEF">
            <w:pPr>
              <w:pStyle w:val="ListParagraph"/>
              <w:numPr>
                <w:ilvl w:val="0"/>
                <w:numId w:val="49"/>
              </w:numPr>
              <w:jc w:val="both"/>
              <w:rPr>
                <w:rFonts w:ascii="Arial" w:hAnsi="Arial" w:cs="Arial"/>
                <w:sz w:val="20"/>
                <w:szCs w:val="20"/>
              </w:rPr>
            </w:pPr>
            <w:r w:rsidRPr="00F77BEE">
              <w:rPr>
                <w:rFonts w:ascii="Arial" w:hAnsi="Arial" w:cs="Arial"/>
                <w:sz w:val="20"/>
                <w:szCs w:val="20"/>
              </w:rPr>
              <w:t>Availability of supportive data relating to the effects of switching between the reference product and the biosimilar product/s; and</w:t>
            </w:r>
          </w:p>
          <w:p w:rsidR="00977DD3" w:rsidRDefault="00977DD3" w:rsidP="00756AEF">
            <w:pPr>
              <w:pStyle w:val="ListParagraph"/>
              <w:numPr>
                <w:ilvl w:val="0"/>
                <w:numId w:val="49"/>
              </w:numPr>
              <w:jc w:val="both"/>
              <w:rPr>
                <w:rFonts w:ascii="Arial" w:hAnsi="Arial" w:cs="Arial"/>
                <w:sz w:val="20"/>
                <w:szCs w:val="20"/>
              </w:rPr>
            </w:pPr>
            <w:r w:rsidRPr="00F77BEE">
              <w:rPr>
                <w:rFonts w:ascii="Arial" w:hAnsi="Arial" w:cs="Arial"/>
                <w:sz w:val="20"/>
                <w:szCs w:val="20"/>
              </w:rPr>
              <w:t>Practical considerations relating to substitution by the pharmacist at the point of dispensing. This includes strength of formulation, number of units per pack and maximum quantities between the brands, which may make substitution at the pharmacy level difficult from a practical perspective.</w:t>
            </w:r>
          </w:p>
          <w:p w:rsidR="00DA683F" w:rsidRPr="00F77BEE" w:rsidRDefault="00DA683F" w:rsidP="00DA683F">
            <w:pPr>
              <w:pStyle w:val="ListParagraph"/>
              <w:jc w:val="both"/>
              <w:rPr>
                <w:rFonts w:ascii="Arial" w:hAnsi="Arial" w:cs="Arial"/>
                <w:sz w:val="20"/>
                <w:szCs w:val="20"/>
              </w:rPr>
            </w:pPr>
          </w:p>
          <w:p w:rsidR="00977DD3" w:rsidRPr="00DA683F" w:rsidRDefault="00E4794A" w:rsidP="00DA683F">
            <w:pPr>
              <w:jc w:val="both"/>
              <w:rPr>
                <w:rFonts w:ascii="Arial" w:hAnsi="Arial" w:cs="Arial"/>
              </w:rPr>
            </w:pPr>
            <w:r w:rsidRPr="00DA683F">
              <w:rPr>
                <w:rFonts w:ascii="Arial" w:hAnsi="Arial" w:cs="Arial"/>
              </w:rPr>
              <w:t>The PBAC considered that the information regarding biosimilars has evolved significantly over the last 3 years. The PBAC acknowledged that according to the biosimilar regulatory pathway guidelines, TGA cannot make a determination of biosimilarity if concerning evidence exists relating to differences in efficacy or safety between the biosimilar and the reference medicines. The PBAC noted that the TGA determination of biosimilarity relies on the totality of the evid</w:t>
            </w:r>
            <w:r w:rsidR="00977DD3" w:rsidRPr="00DA683F">
              <w:rPr>
                <w:rFonts w:ascii="Arial" w:hAnsi="Arial" w:cs="Arial"/>
              </w:rPr>
              <w:t>ence supporting the biosimilar.</w:t>
            </w:r>
          </w:p>
          <w:p w:rsidR="00977DD3" w:rsidRPr="00F77BEE" w:rsidRDefault="00977DD3" w:rsidP="00756AEF">
            <w:pPr>
              <w:pStyle w:val="ListParagraph"/>
              <w:jc w:val="both"/>
              <w:rPr>
                <w:rFonts w:ascii="Arial" w:hAnsi="Arial" w:cs="Arial"/>
                <w:sz w:val="20"/>
                <w:szCs w:val="20"/>
              </w:rPr>
            </w:pPr>
          </w:p>
          <w:p w:rsidR="005B1D29" w:rsidRPr="00F77BEE" w:rsidRDefault="00D61CC5" w:rsidP="00D61CC5">
            <w:pPr>
              <w:jc w:val="both"/>
              <w:rPr>
                <w:rFonts w:ascii="Arial" w:hAnsi="Arial" w:cs="Arial"/>
              </w:rPr>
            </w:pPr>
            <w:r w:rsidRPr="00F77BEE">
              <w:rPr>
                <w:rFonts w:ascii="Arial" w:hAnsi="Arial" w:cs="Arial"/>
              </w:rPr>
              <w:t xml:space="preserve">The PBAC was also of the view that based on the revised considerations, TGA-PBAC parallel processing should not be made available for proposed biosimilar medicines (i.e. yet to be determined by the TGA). </w:t>
            </w:r>
            <w:r w:rsidRPr="00CC5819">
              <w:rPr>
                <w:rFonts w:ascii="Arial" w:hAnsi="Arial" w:cs="Arial"/>
              </w:rPr>
              <w:t>The PBAC noted that the parallel process arrangement</w:t>
            </w:r>
            <w:r>
              <w:rPr>
                <w:rFonts w:ascii="Arial" w:hAnsi="Arial" w:cs="Arial"/>
              </w:rPr>
              <w:t>s</w:t>
            </w:r>
            <w:r w:rsidRPr="00CC5819">
              <w:rPr>
                <w:rFonts w:ascii="Arial" w:hAnsi="Arial" w:cs="Arial"/>
              </w:rPr>
              <w:t xml:space="preserve"> w</w:t>
            </w:r>
            <w:r>
              <w:rPr>
                <w:rFonts w:ascii="Arial" w:hAnsi="Arial" w:cs="Arial"/>
              </w:rPr>
              <w:t>ere</w:t>
            </w:r>
            <w:r w:rsidRPr="00CC5819">
              <w:rPr>
                <w:rFonts w:ascii="Arial" w:hAnsi="Arial" w:cs="Arial"/>
              </w:rPr>
              <w:t xml:space="preserve"> originally established within an agreement with Medicines Australia, </w:t>
            </w:r>
            <w:r>
              <w:rPr>
                <w:rFonts w:ascii="Arial" w:hAnsi="Arial" w:cs="Arial"/>
              </w:rPr>
              <w:t>who would be consulted on the implementation of th</w:t>
            </w:r>
            <w:bookmarkStart w:id="0" w:name="_GoBack"/>
            <w:bookmarkEnd w:id="0"/>
            <w:r>
              <w:rPr>
                <w:rFonts w:ascii="Arial" w:hAnsi="Arial" w:cs="Arial"/>
              </w:rPr>
              <w:t>ese changes to the parallel processing arrangements</w:t>
            </w:r>
            <w:r w:rsidRPr="00CC5819">
              <w:rPr>
                <w:rFonts w:ascii="Arial" w:hAnsi="Arial" w:cs="Arial"/>
              </w:rPr>
              <w:t xml:space="preserve">. </w:t>
            </w:r>
          </w:p>
        </w:tc>
      </w:tr>
      <w:tr w:rsidR="00E4794A" w:rsidRPr="003E19A4" w:rsidTr="00F87016">
        <w:trPr>
          <w:cantSplit/>
          <w:trHeight w:val="1209"/>
        </w:trPr>
        <w:tc>
          <w:tcPr>
            <w:tcW w:w="2977" w:type="dxa"/>
            <w:shd w:val="clear" w:color="auto" w:fill="auto"/>
            <w:tcMar>
              <w:top w:w="28" w:type="dxa"/>
              <w:bottom w:w="28" w:type="dxa"/>
            </w:tcMar>
          </w:tcPr>
          <w:p w:rsidR="00E4794A" w:rsidRPr="00F77BEE" w:rsidRDefault="00E4794A" w:rsidP="00D40E79">
            <w:pPr>
              <w:rPr>
                <w:rFonts w:ascii="Arial" w:hAnsi="Arial" w:cs="Arial"/>
              </w:rPr>
            </w:pPr>
            <w:r w:rsidRPr="00F77BEE">
              <w:rPr>
                <w:rFonts w:ascii="Arial" w:hAnsi="Arial" w:cs="Arial"/>
              </w:rPr>
              <w:lastRenderedPageBreak/>
              <w:t>Matters relating to PBS Review</w:t>
            </w:r>
          </w:p>
          <w:p w:rsidR="00E4794A" w:rsidRPr="00F77BEE" w:rsidRDefault="00E4794A" w:rsidP="00D40E79">
            <w:pPr>
              <w:rPr>
                <w:rFonts w:ascii="Arial" w:hAnsi="Arial" w:cs="Arial"/>
              </w:rPr>
            </w:pPr>
          </w:p>
          <w:p w:rsidR="00E4794A" w:rsidRPr="00F77BEE" w:rsidRDefault="00E4794A" w:rsidP="00D40E79">
            <w:pPr>
              <w:rPr>
                <w:rFonts w:ascii="Arial" w:hAnsi="Arial" w:cs="Arial"/>
                <w:color w:val="000000"/>
              </w:rPr>
            </w:pPr>
            <w:r w:rsidRPr="00F77BEE">
              <w:rPr>
                <w:rFonts w:ascii="Arial" w:hAnsi="Arial" w:cs="Arial"/>
              </w:rPr>
              <w:t>(DUSC Analysis)</w:t>
            </w:r>
          </w:p>
        </w:tc>
        <w:tc>
          <w:tcPr>
            <w:tcW w:w="2126" w:type="dxa"/>
            <w:shd w:val="clear" w:color="auto" w:fill="auto"/>
          </w:tcPr>
          <w:p w:rsidR="00E4794A" w:rsidRPr="00F77BEE" w:rsidRDefault="00E4794A" w:rsidP="00C81EE9">
            <w:pPr>
              <w:rPr>
                <w:rFonts w:ascii="Arial" w:hAnsi="Arial" w:cs="Arial"/>
                <w:color w:val="000000"/>
              </w:rPr>
            </w:pPr>
            <w:r w:rsidRPr="00F77BEE">
              <w:rPr>
                <w:rFonts w:ascii="Arial" w:hAnsi="Arial" w:cs="Arial"/>
                <w:color w:val="000000"/>
              </w:rPr>
              <w:t>Prescriber bag medicines</w:t>
            </w:r>
          </w:p>
          <w:p w:rsidR="00E4794A" w:rsidRPr="00F77BEE" w:rsidRDefault="00E4794A" w:rsidP="00C81EE9">
            <w:pPr>
              <w:rPr>
                <w:rFonts w:ascii="Arial" w:hAnsi="Arial" w:cs="Arial"/>
                <w:color w:val="000000"/>
              </w:rPr>
            </w:pPr>
          </w:p>
          <w:p w:rsidR="00E4794A" w:rsidRPr="00F77BEE" w:rsidRDefault="00E4794A" w:rsidP="00C81EE9">
            <w:pPr>
              <w:pStyle w:val="Default"/>
              <w:rPr>
                <w:rFonts w:ascii="Arial" w:hAnsi="Arial" w:cs="Arial"/>
                <w:sz w:val="20"/>
                <w:szCs w:val="20"/>
              </w:rPr>
            </w:pPr>
            <w:r w:rsidRPr="00F77BEE">
              <w:rPr>
                <w:rFonts w:ascii="Arial" w:hAnsi="Arial" w:cs="Arial"/>
                <w:sz w:val="20"/>
                <w:szCs w:val="20"/>
              </w:rPr>
              <w:t xml:space="preserve">Drugs used for emergencies </w:t>
            </w:r>
          </w:p>
          <w:p w:rsidR="00E4794A" w:rsidRPr="00F77BEE" w:rsidRDefault="00E4794A" w:rsidP="00D40E79">
            <w:pPr>
              <w:rPr>
                <w:rFonts w:ascii="Arial" w:hAnsi="Arial" w:cs="Arial"/>
                <w:color w:val="000000"/>
              </w:rPr>
            </w:pPr>
          </w:p>
        </w:tc>
        <w:tc>
          <w:tcPr>
            <w:tcW w:w="3261" w:type="dxa"/>
            <w:shd w:val="clear" w:color="auto" w:fill="auto"/>
            <w:tcMar>
              <w:top w:w="28" w:type="dxa"/>
              <w:bottom w:w="28" w:type="dxa"/>
            </w:tcMar>
          </w:tcPr>
          <w:p w:rsidR="00E4794A" w:rsidRPr="00F77BEE" w:rsidRDefault="00E4794A" w:rsidP="00D40E79">
            <w:pPr>
              <w:rPr>
                <w:rFonts w:ascii="Arial" w:hAnsi="Arial" w:cs="Arial"/>
                <w:color w:val="000000"/>
              </w:rPr>
            </w:pPr>
            <w:r w:rsidRPr="00F77BEE">
              <w:rPr>
                <w:rFonts w:ascii="Arial" w:hAnsi="Arial" w:cs="Arial"/>
              </w:rPr>
              <w:t>To review currently listed drugs and consider requests to add new drugs and prescriber types.</w:t>
            </w:r>
          </w:p>
        </w:tc>
        <w:tc>
          <w:tcPr>
            <w:tcW w:w="6947" w:type="dxa"/>
            <w:shd w:val="clear" w:color="auto" w:fill="auto"/>
          </w:tcPr>
          <w:p w:rsidR="003D56EB" w:rsidRDefault="003D56EB" w:rsidP="003D56EB">
            <w:pPr>
              <w:tabs>
                <w:tab w:val="left" w:pos="7404"/>
              </w:tabs>
              <w:jc w:val="both"/>
              <w:rPr>
                <w:rFonts w:ascii="Arial" w:hAnsi="Arial" w:cs="Arial"/>
              </w:rPr>
            </w:pPr>
            <w:r>
              <w:rPr>
                <w:rFonts w:ascii="Arial" w:hAnsi="Arial" w:cs="Arial"/>
              </w:rPr>
              <w:t>The PBAC considered a report reviewing the utilisation of the Prescriber Bag Section (also referred to as the Emergency Drug Supply list). The PBAC had no specific concerns about use of medicines on this list by medical practitioners and nurse practitioners.</w:t>
            </w:r>
          </w:p>
          <w:p w:rsidR="003D56EB" w:rsidRDefault="003D56EB" w:rsidP="003D56EB">
            <w:pPr>
              <w:jc w:val="both"/>
              <w:rPr>
                <w:rFonts w:ascii="Arial" w:hAnsi="Arial" w:cs="Arial"/>
              </w:rPr>
            </w:pPr>
          </w:p>
          <w:p w:rsidR="003D56EB" w:rsidRDefault="003D56EB" w:rsidP="003D56EB">
            <w:pPr>
              <w:jc w:val="both"/>
              <w:rPr>
                <w:rFonts w:ascii="Arial" w:hAnsi="Arial" w:cs="Arial"/>
              </w:rPr>
            </w:pPr>
            <w:r>
              <w:rPr>
                <w:rFonts w:ascii="Arial" w:hAnsi="Arial" w:cs="Arial"/>
              </w:rPr>
              <w:t>PBAC re-iterated the purpose of the Prescriber Bag is to reduce presentations at hospital emergency departments or urgent treatment immediately prior to or during transport to a hospital emergency department.</w:t>
            </w:r>
          </w:p>
          <w:p w:rsidR="003D56EB" w:rsidRDefault="003D56EB" w:rsidP="003D56EB">
            <w:pPr>
              <w:jc w:val="both"/>
              <w:rPr>
                <w:rFonts w:ascii="Arial" w:hAnsi="Arial" w:cs="Arial"/>
              </w:rPr>
            </w:pPr>
          </w:p>
          <w:p w:rsidR="003D56EB" w:rsidRDefault="003D56EB" w:rsidP="003D56EB">
            <w:pPr>
              <w:jc w:val="both"/>
              <w:rPr>
                <w:rFonts w:ascii="Arial" w:hAnsi="Arial" w:cs="Arial"/>
              </w:rPr>
            </w:pPr>
            <w:r>
              <w:rPr>
                <w:rFonts w:ascii="Arial" w:hAnsi="Arial" w:cs="Arial"/>
              </w:rPr>
              <w:t>The PBAC considered correspondence from the Australian College of Midwives requesting access to the Prescriber Bag. The PBAC requested that the Department seek further clarification in relation to the request.</w:t>
            </w:r>
          </w:p>
          <w:p w:rsidR="003D56EB" w:rsidRDefault="003D56EB" w:rsidP="003D56EB">
            <w:pPr>
              <w:jc w:val="both"/>
              <w:rPr>
                <w:rFonts w:ascii="Arial" w:hAnsi="Arial" w:cs="Arial"/>
              </w:rPr>
            </w:pPr>
          </w:p>
          <w:p w:rsidR="00DD60FC" w:rsidRPr="00F77BEE" w:rsidRDefault="003D56EB" w:rsidP="003D56EB">
            <w:pPr>
              <w:jc w:val="both"/>
              <w:rPr>
                <w:rFonts w:ascii="Arial" w:hAnsi="Arial" w:cs="Arial"/>
              </w:rPr>
            </w:pPr>
            <w:r>
              <w:rPr>
                <w:rFonts w:ascii="Arial" w:hAnsi="Arial" w:cs="Arial"/>
              </w:rPr>
              <w:t>The PBAC noted that correspondence with pharmaceutical companies in relation to requested changes from earlier reviews of the Prescriber Bag are in train.</w:t>
            </w:r>
          </w:p>
        </w:tc>
      </w:tr>
      <w:tr w:rsidR="00E4794A" w:rsidRPr="003E19A4" w:rsidTr="00F87016">
        <w:trPr>
          <w:cantSplit/>
          <w:trHeight w:val="1209"/>
        </w:trPr>
        <w:tc>
          <w:tcPr>
            <w:tcW w:w="2977" w:type="dxa"/>
            <w:tcMar>
              <w:top w:w="28" w:type="dxa"/>
              <w:bottom w:w="28" w:type="dxa"/>
            </w:tcMar>
          </w:tcPr>
          <w:p w:rsidR="00E4794A" w:rsidRPr="00F77BEE" w:rsidRDefault="00E4794A" w:rsidP="00E83FF4">
            <w:pPr>
              <w:rPr>
                <w:rFonts w:ascii="Arial" w:hAnsi="Arial" w:cs="Arial"/>
              </w:rPr>
            </w:pPr>
            <w:r w:rsidRPr="00F77BEE">
              <w:rPr>
                <w:rFonts w:ascii="Arial" w:hAnsi="Arial" w:cs="Arial"/>
              </w:rPr>
              <w:lastRenderedPageBreak/>
              <w:t>Matters relating to PBS review:</w:t>
            </w:r>
          </w:p>
          <w:p w:rsidR="00E4794A" w:rsidRPr="00F77BEE" w:rsidRDefault="00E4794A" w:rsidP="00E83FF4">
            <w:pPr>
              <w:rPr>
                <w:rFonts w:ascii="Arial" w:hAnsi="Arial" w:cs="Arial"/>
              </w:rPr>
            </w:pPr>
            <w:r w:rsidRPr="00F77BEE">
              <w:rPr>
                <w:rFonts w:ascii="Arial" w:hAnsi="Arial" w:cs="Arial"/>
              </w:rPr>
              <w:br/>
              <w:t>Salbutamol</w:t>
            </w:r>
            <w:r w:rsidRPr="00F77BEE">
              <w:rPr>
                <w:rFonts w:ascii="Arial" w:hAnsi="Arial" w:cs="Arial"/>
              </w:rPr>
              <w:br/>
              <w:t xml:space="preserve">Terbutaline </w:t>
            </w:r>
            <w:r w:rsidRPr="00F77BEE">
              <w:rPr>
                <w:rFonts w:ascii="Arial" w:hAnsi="Arial" w:cs="Arial"/>
              </w:rPr>
              <w:br/>
              <w:t xml:space="preserve">Ipratropium </w:t>
            </w:r>
            <w:r w:rsidRPr="00F77BEE">
              <w:rPr>
                <w:rFonts w:ascii="Arial" w:hAnsi="Arial" w:cs="Arial"/>
              </w:rPr>
              <w:br/>
              <w:t xml:space="preserve">Beclomethasone </w:t>
            </w:r>
            <w:r w:rsidRPr="00F77BEE">
              <w:rPr>
                <w:rFonts w:ascii="Arial" w:hAnsi="Arial" w:cs="Arial"/>
              </w:rPr>
              <w:br/>
              <w:t xml:space="preserve">Fluticasone </w:t>
            </w:r>
            <w:r w:rsidRPr="00F77BEE">
              <w:rPr>
                <w:rFonts w:ascii="Arial" w:hAnsi="Arial" w:cs="Arial"/>
              </w:rPr>
              <w:br/>
              <w:t xml:space="preserve">Budesonide </w:t>
            </w:r>
            <w:r w:rsidRPr="00F77BEE">
              <w:rPr>
                <w:rFonts w:ascii="Arial" w:hAnsi="Arial" w:cs="Arial"/>
              </w:rPr>
              <w:br/>
            </w:r>
            <w:proofErr w:type="spellStart"/>
            <w:r w:rsidRPr="00F77BEE">
              <w:rPr>
                <w:rFonts w:ascii="Arial" w:hAnsi="Arial" w:cs="Arial"/>
              </w:rPr>
              <w:t>Ciclesonide</w:t>
            </w:r>
            <w:proofErr w:type="spellEnd"/>
            <w:r w:rsidRPr="00F77BEE">
              <w:rPr>
                <w:rFonts w:ascii="Arial" w:hAnsi="Arial" w:cs="Arial"/>
              </w:rPr>
              <w:t xml:space="preserve"> </w:t>
            </w:r>
            <w:r w:rsidRPr="00F77BEE">
              <w:rPr>
                <w:rFonts w:ascii="Arial" w:hAnsi="Arial" w:cs="Arial"/>
              </w:rPr>
              <w:br/>
              <w:t xml:space="preserve">Sodium </w:t>
            </w:r>
            <w:proofErr w:type="spellStart"/>
            <w:r w:rsidRPr="00F77BEE">
              <w:rPr>
                <w:rFonts w:ascii="Arial" w:hAnsi="Arial" w:cs="Arial"/>
              </w:rPr>
              <w:t>cromoglycate</w:t>
            </w:r>
            <w:proofErr w:type="spellEnd"/>
            <w:r w:rsidRPr="00F77BEE">
              <w:rPr>
                <w:rFonts w:ascii="Arial" w:hAnsi="Arial" w:cs="Arial"/>
              </w:rPr>
              <w:t xml:space="preserve"> </w:t>
            </w:r>
            <w:r w:rsidRPr="00F77BEE">
              <w:rPr>
                <w:rFonts w:ascii="Arial" w:hAnsi="Arial" w:cs="Arial"/>
              </w:rPr>
              <w:br/>
            </w:r>
            <w:proofErr w:type="spellStart"/>
            <w:r w:rsidRPr="00F77BEE">
              <w:rPr>
                <w:rFonts w:ascii="Arial" w:hAnsi="Arial" w:cs="Arial"/>
              </w:rPr>
              <w:t>Nedocromil</w:t>
            </w:r>
            <w:proofErr w:type="spellEnd"/>
            <w:r w:rsidRPr="00F77BEE">
              <w:rPr>
                <w:rFonts w:ascii="Arial" w:hAnsi="Arial" w:cs="Arial"/>
              </w:rPr>
              <w:t xml:space="preserve"> sodium </w:t>
            </w:r>
            <w:r w:rsidRPr="00F77BEE">
              <w:rPr>
                <w:rFonts w:ascii="Arial" w:hAnsi="Arial" w:cs="Arial"/>
              </w:rPr>
              <w:br/>
            </w:r>
            <w:proofErr w:type="spellStart"/>
            <w:r w:rsidRPr="00F77BEE">
              <w:rPr>
                <w:rFonts w:ascii="Arial" w:hAnsi="Arial" w:cs="Arial"/>
              </w:rPr>
              <w:t>Montelukast</w:t>
            </w:r>
            <w:proofErr w:type="spellEnd"/>
            <w:r w:rsidRPr="00F77BEE">
              <w:rPr>
                <w:rFonts w:ascii="Arial" w:hAnsi="Arial" w:cs="Arial"/>
              </w:rPr>
              <w:t xml:space="preserve"> </w:t>
            </w:r>
            <w:r w:rsidRPr="00F77BEE">
              <w:rPr>
                <w:rFonts w:ascii="Arial" w:hAnsi="Arial" w:cs="Arial"/>
              </w:rPr>
              <w:br/>
              <w:t xml:space="preserve">Salmeterol </w:t>
            </w:r>
            <w:r w:rsidRPr="00F77BEE">
              <w:rPr>
                <w:rFonts w:ascii="Arial" w:hAnsi="Arial" w:cs="Arial"/>
              </w:rPr>
              <w:br/>
              <w:t xml:space="preserve">Eformoterol </w:t>
            </w:r>
            <w:r w:rsidRPr="00F77BEE">
              <w:rPr>
                <w:rFonts w:ascii="Arial" w:hAnsi="Arial" w:cs="Arial"/>
              </w:rPr>
              <w:br/>
              <w:t>Fluticasone with Salmeterol</w:t>
            </w:r>
            <w:r w:rsidRPr="00F77BEE">
              <w:rPr>
                <w:rFonts w:ascii="Arial" w:hAnsi="Arial" w:cs="Arial"/>
              </w:rPr>
              <w:br/>
              <w:t xml:space="preserve">Fluticasone with Eformoterol </w:t>
            </w:r>
            <w:r w:rsidRPr="00F77BEE">
              <w:rPr>
                <w:rFonts w:ascii="Arial" w:hAnsi="Arial" w:cs="Arial"/>
              </w:rPr>
              <w:br/>
              <w:t xml:space="preserve">Fluticasone with </w:t>
            </w:r>
            <w:proofErr w:type="spellStart"/>
            <w:r w:rsidRPr="00F77BEE">
              <w:rPr>
                <w:rFonts w:ascii="Arial" w:hAnsi="Arial" w:cs="Arial"/>
              </w:rPr>
              <w:t>Vilanterol</w:t>
            </w:r>
            <w:proofErr w:type="spellEnd"/>
            <w:r w:rsidRPr="00F77BEE">
              <w:rPr>
                <w:rFonts w:ascii="Arial" w:hAnsi="Arial" w:cs="Arial"/>
              </w:rPr>
              <w:t xml:space="preserve"> </w:t>
            </w:r>
            <w:r w:rsidRPr="00F77BEE">
              <w:rPr>
                <w:rFonts w:ascii="Arial" w:hAnsi="Arial" w:cs="Arial"/>
              </w:rPr>
              <w:br/>
              <w:t xml:space="preserve">Budesonide with Eformoterol </w:t>
            </w:r>
            <w:r w:rsidRPr="00F77BEE">
              <w:rPr>
                <w:rFonts w:ascii="Arial" w:hAnsi="Arial" w:cs="Arial"/>
              </w:rPr>
              <w:br/>
              <w:t>Oral glucocorticoids, plain</w:t>
            </w:r>
          </w:p>
          <w:p w:rsidR="00E4794A" w:rsidRPr="00F77BEE" w:rsidRDefault="00E4794A" w:rsidP="00E83FF4">
            <w:pPr>
              <w:rPr>
                <w:rFonts w:ascii="Arial" w:hAnsi="Arial" w:cs="Arial"/>
              </w:rPr>
            </w:pPr>
          </w:p>
          <w:p w:rsidR="00E4794A" w:rsidRPr="00F77BEE" w:rsidRDefault="00E4794A" w:rsidP="00AF7963">
            <w:pPr>
              <w:rPr>
                <w:rFonts w:ascii="Arial" w:hAnsi="Arial" w:cs="Arial"/>
                <w:color w:val="000000"/>
              </w:rPr>
            </w:pPr>
            <w:r w:rsidRPr="00F77BEE">
              <w:rPr>
                <w:rFonts w:ascii="Arial" w:hAnsi="Arial" w:cs="Arial"/>
                <w:color w:val="000000"/>
              </w:rPr>
              <w:t>(All listed brands)</w:t>
            </w:r>
          </w:p>
          <w:p w:rsidR="00E4794A" w:rsidRPr="00F77BEE" w:rsidRDefault="00E4794A" w:rsidP="00E83FF4">
            <w:pPr>
              <w:rPr>
                <w:rFonts w:ascii="Arial" w:hAnsi="Arial" w:cs="Arial"/>
              </w:rPr>
            </w:pPr>
          </w:p>
          <w:p w:rsidR="00E4794A" w:rsidRPr="00F77BEE" w:rsidRDefault="00A66FFC" w:rsidP="00623190">
            <w:pPr>
              <w:rPr>
                <w:rFonts w:ascii="Arial" w:hAnsi="Arial" w:cs="Arial"/>
              </w:rPr>
            </w:pPr>
            <w:r w:rsidRPr="00F77BEE">
              <w:rPr>
                <w:rFonts w:ascii="Arial" w:hAnsi="Arial" w:cs="Arial"/>
              </w:rPr>
              <w:t>(</w:t>
            </w:r>
            <w:r w:rsidR="00522A63" w:rsidRPr="00F77BEE">
              <w:rPr>
                <w:rFonts w:ascii="Arial" w:hAnsi="Arial" w:cs="Arial"/>
              </w:rPr>
              <w:t>Evaluation of the 2014 post-market review of PBS medicines used to treat asthma in children</w:t>
            </w:r>
            <w:r w:rsidRPr="00F77BEE">
              <w:rPr>
                <w:rFonts w:ascii="Arial" w:hAnsi="Arial" w:cs="Arial"/>
              </w:rPr>
              <w:t>)</w:t>
            </w:r>
          </w:p>
        </w:tc>
        <w:tc>
          <w:tcPr>
            <w:tcW w:w="2126" w:type="dxa"/>
          </w:tcPr>
          <w:p w:rsidR="00E4794A" w:rsidRPr="00F77BEE" w:rsidRDefault="00E4794A" w:rsidP="002E6071">
            <w:pPr>
              <w:rPr>
                <w:rFonts w:ascii="Arial" w:hAnsi="Arial" w:cs="Arial"/>
                <w:color w:val="000000"/>
              </w:rPr>
            </w:pPr>
            <w:r w:rsidRPr="00F77BEE">
              <w:rPr>
                <w:rFonts w:ascii="Arial" w:hAnsi="Arial" w:cs="Arial"/>
                <w:color w:val="000000"/>
              </w:rPr>
              <w:t>Asthma</w:t>
            </w:r>
          </w:p>
        </w:tc>
        <w:tc>
          <w:tcPr>
            <w:tcW w:w="3261" w:type="dxa"/>
            <w:tcMar>
              <w:top w:w="28" w:type="dxa"/>
              <w:bottom w:w="28" w:type="dxa"/>
            </w:tcMar>
          </w:tcPr>
          <w:p w:rsidR="00E4794A" w:rsidRPr="00F77BEE" w:rsidRDefault="00E4794A" w:rsidP="002E6071">
            <w:pPr>
              <w:pStyle w:val="Default"/>
              <w:rPr>
                <w:rFonts w:ascii="Arial" w:hAnsi="Arial" w:cs="Arial"/>
                <w:sz w:val="20"/>
                <w:szCs w:val="20"/>
              </w:rPr>
            </w:pPr>
            <w:r w:rsidRPr="00F77BEE">
              <w:rPr>
                <w:rFonts w:ascii="Arial" w:hAnsi="Arial" w:cs="Arial"/>
                <w:sz w:val="20"/>
                <w:szCs w:val="20"/>
              </w:rPr>
              <w:t>To consider the findings from the evaluation of the 2014 Post market review of PBS medicines used to treat asthma in children.</w:t>
            </w:r>
          </w:p>
        </w:tc>
        <w:tc>
          <w:tcPr>
            <w:tcW w:w="6947" w:type="dxa"/>
            <w:shd w:val="clear" w:color="auto" w:fill="auto"/>
          </w:tcPr>
          <w:p w:rsidR="00E4794A" w:rsidRDefault="00D04EF3" w:rsidP="00623190">
            <w:pPr>
              <w:jc w:val="both"/>
              <w:rPr>
                <w:rFonts w:ascii="Arial" w:hAnsi="Arial" w:cs="Arial"/>
                <w:color w:val="000000"/>
              </w:rPr>
            </w:pPr>
            <w:r w:rsidRPr="00F77BEE">
              <w:rPr>
                <w:rFonts w:ascii="Arial" w:hAnsi="Arial" w:cs="Arial"/>
                <w:color w:val="000000"/>
              </w:rPr>
              <w:t xml:space="preserve">The </w:t>
            </w:r>
            <w:r w:rsidR="00E4794A" w:rsidRPr="00F77BEE">
              <w:rPr>
                <w:rFonts w:ascii="Arial" w:hAnsi="Arial" w:cs="Arial"/>
                <w:color w:val="000000"/>
              </w:rPr>
              <w:t>PBAC considered the evaluation report conducted three years following the 2014 Post-market review of Pharmaceutical Benefits Scheme medicines used to treat asthma in children. The PBAC accepted the 2017 evaluation report, which included more recent utilisation and clinical evidence.</w:t>
            </w:r>
          </w:p>
          <w:p w:rsidR="00623190" w:rsidRPr="00F77BEE" w:rsidRDefault="00623190" w:rsidP="00623190">
            <w:pPr>
              <w:jc w:val="both"/>
              <w:rPr>
                <w:rFonts w:ascii="Arial" w:hAnsi="Arial" w:cs="Arial"/>
                <w:color w:val="000000"/>
              </w:rPr>
            </w:pPr>
          </w:p>
          <w:p w:rsidR="00E4794A" w:rsidRDefault="00D04EF3" w:rsidP="00623190">
            <w:pPr>
              <w:jc w:val="both"/>
              <w:rPr>
                <w:rFonts w:ascii="Arial" w:hAnsi="Arial" w:cs="Arial"/>
                <w:color w:val="000000"/>
              </w:rPr>
            </w:pPr>
            <w:r w:rsidRPr="00F77BEE">
              <w:rPr>
                <w:rFonts w:ascii="Arial" w:hAnsi="Arial" w:cs="Arial"/>
                <w:color w:val="000000"/>
              </w:rPr>
              <w:t xml:space="preserve">The </w:t>
            </w:r>
            <w:r w:rsidR="00E4794A" w:rsidRPr="00F77BEE">
              <w:rPr>
                <w:rFonts w:ascii="Arial" w:hAnsi="Arial" w:cs="Arial"/>
                <w:color w:val="000000"/>
              </w:rPr>
              <w:t xml:space="preserve">PBAC noted that while there was some reduction in the percentage of children initiating treatment with a </w:t>
            </w:r>
            <w:r w:rsidRPr="00F77BEE">
              <w:rPr>
                <w:rFonts w:ascii="Arial" w:hAnsi="Arial" w:cs="Arial"/>
                <w:color w:val="000000"/>
              </w:rPr>
              <w:t>fixed dose combination (</w:t>
            </w:r>
            <w:r w:rsidR="00E4794A" w:rsidRPr="00F77BEE">
              <w:rPr>
                <w:rFonts w:ascii="Arial" w:hAnsi="Arial" w:cs="Arial"/>
                <w:color w:val="000000"/>
              </w:rPr>
              <w:t>FDC</w:t>
            </w:r>
            <w:r w:rsidRPr="00F77BEE">
              <w:rPr>
                <w:rFonts w:ascii="Arial" w:hAnsi="Arial" w:cs="Arial"/>
                <w:color w:val="000000"/>
              </w:rPr>
              <w:t>)</w:t>
            </w:r>
            <w:r w:rsidR="00E4794A" w:rsidRPr="00F77BEE">
              <w:rPr>
                <w:rFonts w:ascii="Arial" w:hAnsi="Arial" w:cs="Arial"/>
                <w:color w:val="000000"/>
              </w:rPr>
              <w:t xml:space="preserve"> of </w:t>
            </w:r>
            <w:r w:rsidRPr="00F77BEE">
              <w:rPr>
                <w:rFonts w:ascii="Arial" w:hAnsi="Arial" w:cs="Arial"/>
                <w:color w:val="000000"/>
              </w:rPr>
              <w:t>inhaled corticosteroid (</w:t>
            </w:r>
            <w:r w:rsidR="00E4794A" w:rsidRPr="00F77BEE">
              <w:rPr>
                <w:rFonts w:ascii="Arial" w:hAnsi="Arial" w:cs="Arial"/>
                <w:color w:val="000000"/>
              </w:rPr>
              <w:t>ICS</w:t>
            </w:r>
            <w:r w:rsidRPr="00F77BEE">
              <w:rPr>
                <w:rFonts w:ascii="Arial" w:hAnsi="Arial" w:cs="Arial"/>
                <w:color w:val="000000"/>
              </w:rPr>
              <w:t>)</w:t>
            </w:r>
            <w:r w:rsidR="00E4794A" w:rsidRPr="00F77BEE">
              <w:rPr>
                <w:rFonts w:ascii="Arial" w:hAnsi="Arial" w:cs="Arial"/>
                <w:color w:val="000000"/>
              </w:rPr>
              <w:t>/</w:t>
            </w:r>
            <w:r w:rsidRPr="00F77BEE">
              <w:rPr>
                <w:rFonts w:ascii="Arial" w:hAnsi="Arial" w:cs="Arial"/>
                <w:color w:val="000000"/>
              </w:rPr>
              <w:t>Long-acting β adrenoceptor agonists (</w:t>
            </w:r>
            <w:r w:rsidR="00E4794A" w:rsidRPr="00F77BEE">
              <w:rPr>
                <w:rFonts w:ascii="Arial" w:hAnsi="Arial" w:cs="Arial"/>
                <w:color w:val="000000"/>
              </w:rPr>
              <w:t>LABA</w:t>
            </w:r>
            <w:r w:rsidRPr="00F77BEE">
              <w:rPr>
                <w:rFonts w:ascii="Arial" w:hAnsi="Arial" w:cs="Arial"/>
                <w:color w:val="000000"/>
              </w:rPr>
              <w:t>)</w:t>
            </w:r>
            <w:r w:rsidR="00E4794A" w:rsidRPr="00F77BEE">
              <w:rPr>
                <w:rFonts w:ascii="Arial" w:hAnsi="Arial" w:cs="Arial"/>
                <w:color w:val="000000"/>
              </w:rPr>
              <w:t>, the proportion of use outside clinical guidelines continued to be unacceptably high. They also considered that the systematic review of comparative clinical effectiveness showed there was no apparent clinical benefit associated with the use of ICS/LABA versus ICS alone in children.</w:t>
            </w:r>
          </w:p>
          <w:p w:rsidR="00623190" w:rsidRPr="00F77BEE" w:rsidRDefault="00623190" w:rsidP="00623190">
            <w:pPr>
              <w:jc w:val="both"/>
              <w:rPr>
                <w:rFonts w:ascii="Arial" w:hAnsi="Arial" w:cs="Arial"/>
                <w:color w:val="000000"/>
              </w:rPr>
            </w:pPr>
          </w:p>
          <w:p w:rsidR="00E4794A" w:rsidRPr="00F77BEE" w:rsidRDefault="00D04EF3" w:rsidP="00623190">
            <w:pPr>
              <w:jc w:val="both"/>
              <w:rPr>
                <w:rFonts w:ascii="Arial" w:hAnsi="Arial" w:cs="Arial"/>
                <w:color w:val="000000"/>
              </w:rPr>
            </w:pPr>
            <w:r w:rsidRPr="00F77BEE">
              <w:rPr>
                <w:rFonts w:ascii="Arial" w:hAnsi="Arial" w:cs="Arial"/>
                <w:color w:val="000000"/>
              </w:rPr>
              <w:t xml:space="preserve">The </w:t>
            </w:r>
            <w:r w:rsidR="00E4794A" w:rsidRPr="00F77BEE">
              <w:rPr>
                <w:rFonts w:ascii="Arial" w:hAnsi="Arial" w:cs="Arial"/>
                <w:color w:val="000000"/>
              </w:rPr>
              <w:t xml:space="preserve">PBAC recommended that all ICS/LABA listings be changed to Authority Required (Streamlined) to encourage prescribers to consider first line treatment with ICS alone. </w:t>
            </w:r>
            <w:r w:rsidRPr="00F77BEE">
              <w:rPr>
                <w:rFonts w:ascii="Arial" w:hAnsi="Arial" w:cs="Arial"/>
                <w:color w:val="000000"/>
              </w:rPr>
              <w:t xml:space="preserve">Noting that the </w:t>
            </w:r>
            <w:r w:rsidR="00E4794A" w:rsidRPr="00F77BEE">
              <w:rPr>
                <w:rFonts w:ascii="Arial" w:hAnsi="Arial" w:cs="Arial"/>
                <w:color w:val="000000"/>
              </w:rPr>
              <w:t xml:space="preserve">report also confirmed that 95% of ICS/LABA prescriptions are written by </w:t>
            </w:r>
            <w:r w:rsidRPr="00F77BEE">
              <w:rPr>
                <w:rFonts w:ascii="Arial" w:hAnsi="Arial" w:cs="Arial"/>
                <w:color w:val="000000"/>
              </w:rPr>
              <w:t>General Practitioners</w:t>
            </w:r>
            <w:r w:rsidR="00E4794A" w:rsidRPr="00F77BEE">
              <w:rPr>
                <w:rFonts w:ascii="Arial" w:hAnsi="Arial" w:cs="Arial"/>
                <w:color w:val="000000"/>
              </w:rPr>
              <w:t>, the</w:t>
            </w:r>
            <w:r w:rsidRPr="00F77BEE">
              <w:rPr>
                <w:rFonts w:ascii="Arial" w:hAnsi="Arial" w:cs="Arial"/>
                <w:color w:val="000000"/>
              </w:rPr>
              <w:t xml:space="preserve"> PBAC recommended that the</w:t>
            </w:r>
            <w:r w:rsidR="00E4794A" w:rsidRPr="00F77BEE">
              <w:rPr>
                <w:rFonts w:ascii="Arial" w:hAnsi="Arial" w:cs="Arial"/>
                <w:color w:val="000000"/>
              </w:rPr>
              <w:t xml:space="preserve"> evaluation report be forwarded to the Royal Australian College of General Practitioners, the Australian College of Rural and Remote Medicine and NPS MedicineWise to inform educational programs for </w:t>
            </w:r>
            <w:r w:rsidRPr="00F77BEE">
              <w:rPr>
                <w:rFonts w:ascii="Arial" w:hAnsi="Arial" w:cs="Arial"/>
                <w:color w:val="000000"/>
              </w:rPr>
              <w:t>General Practitioners</w:t>
            </w:r>
            <w:r w:rsidR="00E4794A" w:rsidRPr="00F77BEE">
              <w:rPr>
                <w:rFonts w:ascii="Arial" w:hAnsi="Arial" w:cs="Arial"/>
                <w:color w:val="000000"/>
              </w:rPr>
              <w:t xml:space="preserve"> on the rationale for the restriction changes.  </w:t>
            </w:r>
          </w:p>
          <w:p w:rsidR="00E4794A" w:rsidRPr="00F77BEE" w:rsidRDefault="00E4794A" w:rsidP="00623190">
            <w:pPr>
              <w:ind w:left="284"/>
              <w:jc w:val="both"/>
              <w:rPr>
                <w:rFonts w:ascii="Arial" w:hAnsi="Arial" w:cs="Arial"/>
                <w:color w:val="000000"/>
              </w:rPr>
            </w:pPr>
          </w:p>
        </w:tc>
      </w:tr>
      <w:tr w:rsidR="00E4794A" w:rsidRPr="003E19A4" w:rsidTr="00F87016">
        <w:trPr>
          <w:cantSplit/>
          <w:trHeight w:val="1209"/>
        </w:trPr>
        <w:tc>
          <w:tcPr>
            <w:tcW w:w="2977" w:type="dxa"/>
            <w:tcMar>
              <w:top w:w="28" w:type="dxa"/>
              <w:bottom w:w="28" w:type="dxa"/>
            </w:tcMar>
          </w:tcPr>
          <w:p w:rsidR="00E4794A" w:rsidRPr="00F77BEE" w:rsidRDefault="00E4794A" w:rsidP="002E6071">
            <w:pPr>
              <w:pStyle w:val="Default"/>
              <w:rPr>
                <w:rFonts w:ascii="Arial" w:hAnsi="Arial" w:cs="Arial"/>
                <w:sz w:val="20"/>
                <w:szCs w:val="20"/>
              </w:rPr>
            </w:pPr>
            <w:r w:rsidRPr="00F77BEE">
              <w:rPr>
                <w:rFonts w:ascii="Arial" w:hAnsi="Arial" w:cs="Arial"/>
                <w:sz w:val="20"/>
                <w:szCs w:val="20"/>
              </w:rPr>
              <w:lastRenderedPageBreak/>
              <w:t>Matters relating to PBS review:</w:t>
            </w:r>
          </w:p>
          <w:p w:rsidR="00E4794A" w:rsidRPr="00F77BEE" w:rsidRDefault="00E4794A" w:rsidP="002E6071">
            <w:pPr>
              <w:pStyle w:val="Default"/>
              <w:rPr>
                <w:rFonts w:ascii="Arial" w:hAnsi="Arial" w:cs="Arial"/>
                <w:sz w:val="20"/>
                <w:szCs w:val="20"/>
              </w:rPr>
            </w:pPr>
          </w:p>
          <w:p w:rsidR="00E4794A" w:rsidRPr="00F77BEE" w:rsidRDefault="00E4794A" w:rsidP="002E6071">
            <w:pPr>
              <w:pStyle w:val="Default"/>
              <w:rPr>
                <w:rFonts w:ascii="Arial" w:hAnsi="Arial" w:cs="Arial"/>
                <w:sz w:val="20"/>
                <w:szCs w:val="20"/>
              </w:rPr>
            </w:pPr>
            <w:r w:rsidRPr="00F77BEE">
              <w:rPr>
                <w:rFonts w:ascii="Arial" w:hAnsi="Arial" w:cs="Arial"/>
                <w:sz w:val="20"/>
                <w:szCs w:val="20"/>
              </w:rPr>
              <w:t>FLUCONAZOLE</w:t>
            </w:r>
          </w:p>
          <w:p w:rsidR="00A66FFC" w:rsidRPr="00F77BEE" w:rsidRDefault="00E4794A" w:rsidP="009044A6">
            <w:pPr>
              <w:pStyle w:val="Default"/>
              <w:rPr>
                <w:rFonts w:ascii="Arial" w:hAnsi="Arial" w:cs="Arial"/>
                <w:sz w:val="20"/>
                <w:szCs w:val="20"/>
              </w:rPr>
            </w:pPr>
            <w:proofErr w:type="spellStart"/>
            <w:r w:rsidRPr="00F77BEE">
              <w:rPr>
                <w:rFonts w:ascii="Arial" w:hAnsi="Arial" w:cs="Arial"/>
                <w:sz w:val="20"/>
                <w:szCs w:val="20"/>
              </w:rPr>
              <w:t>Diflucan</w:t>
            </w:r>
            <w:proofErr w:type="spellEnd"/>
            <w:r w:rsidRPr="00F77BEE">
              <w:rPr>
                <w:rFonts w:ascii="Arial" w:hAnsi="Arial" w:cs="Arial"/>
                <w:sz w:val="20"/>
                <w:szCs w:val="20"/>
              </w:rPr>
              <w:t xml:space="preserve">®, </w:t>
            </w:r>
          </w:p>
          <w:p w:rsidR="00E4794A" w:rsidRPr="00F77BEE" w:rsidRDefault="00E4794A" w:rsidP="009044A6">
            <w:pPr>
              <w:pStyle w:val="Default"/>
              <w:rPr>
                <w:rFonts w:ascii="Arial" w:hAnsi="Arial" w:cs="Arial"/>
                <w:sz w:val="20"/>
                <w:szCs w:val="20"/>
              </w:rPr>
            </w:pPr>
            <w:r w:rsidRPr="00F77BEE">
              <w:rPr>
                <w:rFonts w:ascii="Arial" w:hAnsi="Arial" w:cs="Arial"/>
                <w:sz w:val="20"/>
                <w:szCs w:val="20"/>
              </w:rPr>
              <w:t>Pfizer Australia Pty Ltd;</w:t>
            </w:r>
          </w:p>
          <w:p w:rsidR="00E4794A" w:rsidRPr="00F77BEE" w:rsidRDefault="00E4794A" w:rsidP="009044A6">
            <w:pPr>
              <w:pStyle w:val="Default"/>
              <w:rPr>
                <w:rFonts w:ascii="Arial" w:hAnsi="Arial" w:cs="Arial"/>
                <w:sz w:val="20"/>
                <w:szCs w:val="20"/>
              </w:rPr>
            </w:pPr>
            <w:proofErr w:type="spellStart"/>
            <w:r w:rsidRPr="00F77BEE">
              <w:rPr>
                <w:rFonts w:ascii="Arial" w:hAnsi="Arial" w:cs="Arial"/>
                <w:sz w:val="20"/>
                <w:szCs w:val="20"/>
              </w:rPr>
              <w:t>Dizole</w:t>
            </w:r>
            <w:proofErr w:type="spellEnd"/>
            <w:r w:rsidRPr="00F77BEE">
              <w:rPr>
                <w:rFonts w:ascii="Arial" w:hAnsi="Arial" w:cs="Arial"/>
                <w:sz w:val="20"/>
                <w:szCs w:val="20"/>
              </w:rPr>
              <w:t xml:space="preserve">®, Fluconazole </w:t>
            </w:r>
            <w:proofErr w:type="spellStart"/>
            <w:r w:rsidRPr="00F77BEE">
              <w:rPr>
                <w:rFonts w:ascii="Arial" w:hAnsi="Arial" w:cs="Arial"/>
                <w:sz w:val="20"/>
                <w:szCs w:val="20"/>
              </w:rPr>
              <w:t>Alphapharm</w:t>
            </w:r>
            <w:proofErr w:type="spellEnd"/>
            <w:r w:rsidRPr="00F77BEE">
              <w:rPr>
                <w:rFonts w:ascii="Arial" w:hAnsi="Arial" w:cs="Arial"/>
                <w:sz w:val="20"/>
                <w:szCs w:val="20"/>
              </w:rPr>
              <w:t>®,</w:t>
            </w:r>
          </w:p>
          <w:p w:rsidR="00E4794A" w:rsidRPr="00F77BEE" w:rsidRDefault="00E4794A" w:rsidP="009044A6">
            <w:pPr>
              <w:pStyle w:val="Default"/>
              <w:rPr>
                <w:rFonts w:ascii="Arial" w:hAnsi="Arial" w:cs="Arial"/>
                <w:sz w:val="20"/>
                <w:szCs w:val="20"/>
              </w:rPr>
            </w:pPr>
            <w:proofErr w:type="spellStart"/>
            <w:r w:rsidRPr="00F77BEE">
              <w:rPr>
                <w:rFonts w:ascii="Arial" w:hAnsi="Arial" w:cs="Arial"/>
                <w:sz w:val="20"/>
                <w:szCs w:val="20"/>
              </w:rPr>
              <w:t>Alphapharm</w:t>
            </w:r>
            <w:proofErr w:type="spellEnd"/>
            <w:r w:rsidRPr="00F77BEE">
              <w:rPr>
                <w:rFonts w:ascii="Arial" w:hAnsi="Arial" w:cs="Arial"/>
                <w:sz w:val="20"/>
                <w:szCs w:val="20"/>
              </w:rPr>
              <w:t xml:space="preserve"> Pty Ltd;</w:t>
            </w:r>
          </w:p>
          <w:p w:rsidR="00A66FFC" w:rsidRPr="00F77BEE" w:rsidRDefault="00E4794A" w:rsidP="009044A6">
            <w:pPr>
              <w:pStyle w:val="Default"/>
              <w:rPr>
                <w:rFonts w:ascii="Arial" w:hAnsi="Arial" w:cs="Arial"/>
                <w:sz w:val="20"/>
                <w:szCs w:val="20"/>
              </w:rPr>
            </w:pPr>
            <w:r w:rsidRPr="00F77BEE">
              <w:rPr>
                <w:rFonts w:ascii="Arial" w:hAnsi="Arial" w:cs="Arial"/>
                <w:sz w:val="20"/>
                <w:szCs w:val="20"/>
              </w:rPr>
              <w:t xml:space="preserve">Fluconazole-Sandoz®, </w:t>
            </w:r>
          </w:p>
          <w:p w:rsidR="00E4794A" w:rsidRPr="00F77BEE" w:rsidRDefault="00E4794A" w:rsidP="009044A6">
            <w:pPr>
              <w:pStyle w:val="Default"/>
              <w:rPr>
                <w:rFonts w:ascii="Arial" w:hAnsi="Arial" w:cs="Arial"/>
                <w:sz w:val="20"/>
                <w:szCs w:val="20"/>
              </w:rPr>
            </w:pPr>
            <w:r w:rsidRPr="00F77BEE">
              <w:rPr>
                <w:rFonts w:ascii="Arial" w:hAnsi="Arial" w:cs="Arial"/>
                <w:sz w:val="20"/>
                <w:szCs w:val="20"/>
              </w:rPr>
              <w:t>Sandoz Pty Ltd;</w:t>
            </w:r>
          </w:p>
          <w:p w:rsidR="00A66FFC" w:rsidRPr="00F77BEE" w:rsidRDefault="00E4794A" w:rsidP="009044A6">
            <w:pPr>
              <w:pStyle w:val="Default"/>
              <w:rPr>
                <w:rFonts w:ascii="Arial" w:hAnsi="Arial" w:cs="Arial"/>
                <w:sz w:val="20"/>
                <w:szCs w:val="20"/>
              </w:rPr>
            </w:pPr>
            <w:proofErr w:type="spellStart"/>
            <w:r w:rsidRPr="00F77BEE">
              <w:rPr>
                <w:rFonts w:ascii="Arial" w:hAnsi="Arial" w:cs="Arial"/>
                <w:sz w:val="20"/>
                <w:szCs w:val="20"/>
              </w:rPr>
              <w:t>Ozole</w:t>
            </w:r>
            <w:proofErr w:type="spellEnd"/>
            <w:r w:rsidRPr="00F77BEE">
              <w:rPr>
                <w:rFonts w:ascii="Arial" w:hAnsi="Arial" w:cs="Arial"/>
                <w:sz w:val="20"/>
                <w:szCs w:val="20"/>
              </w:rPr>
              <w:t xml:space="preserve">®, </w:t>
            </w:r>
          </w:p>
          <w:p w:rsidR="00E4794A" w:rsidRPr="00F77BEE" w:rsidRDefault="00E4794A" w:rsidP="009044A6">
            <w:pPr>
              <w:pStyle w:val="Default"/>
              <w:rPr>
                <w:rFonts w:ascii="Arial" w:hAnsi="Arial" w:cs="Arial"/>
                <w:sz w:val="20"/>
                <w:szCs w:val="20"/>
              </w:rPr>
            </w:pPr>
            <w:r w:rsidRPr="00F77BEE">
              <w:rPr>
                <w:rFonts w:ascii="Arial" w:hAnsi="Arial" w:cs="Arial"/>
                <w:sz w:val="20"/>
                <w:szCs w:val="20"/>
              </w:rPr>
              <w:t>Sun Pharma ANZ Pty Ltd;</w:t>
            </w:r>
          </w:p>
          <w:p w:rsidR="00A66FFC" w:rsidRPr="00F77BEE" w:rsidRDefault="00E4794A" w:rsidP="009044A6">
            <w:pPr>
              <w:pStyle w:val="Default"/>
              <w:rPr>
                <w:rFonts w:ascii="Arial" w:hAnsi="Arial" w:cs="Arial"/>
                <w:sz w:val="20"/>
                <w:szCs w:val="20"/>
              </w:rPr>
            </w:pPr>
            <w:r w:rsidRPr="00F77BEE">
              <w:rPr>
                <w:rFonts w:ascii="Arial" w:hAnsi="Arial" w:cs="Arial"/>
                <w:sz w:val="20"/>
                <w:szCs w:val="20"/>
              </w:rPr>
              <w:t xml:space="preserve">APO-fluconazole®, </w:t>
            </w:r>
          </w:p>
          <w:p w:rsidR="00E4794A" w:rsidRPr="00F77BEE" w:rsidRDefault="00E4794A" w:rsidP="009044A6">
            <w:pPr>
              <w:pStyle w:val="Default"/>
              <w:rPr>
                <w:rFonts w:ascii="Arial" w:hAnsi="Arial" w:cs="Arial"/>
                <w:sz w:val="20"/>
                <w:szCs w:val="20"/>
              </w:rPr>
            </w:pPr>
            <w:r w:rsidRPr="00F77BEE">
              <w:rPr>
                <w:rFonts w:ascii="Arial" w:hAnsi="Arial" w:cs="Arial"/>
                <w:sz w:val="20"/>
                <w:szCs w:val="20"/>
              </w:rPr>
              <w:t>Apotex Pty Ltd;</w:t>
            </w:r>
          </w:p>
          <w:p w:rsidR="00A66FFC" w:rsidRPr="00F77BEE" w:rsidRDefault="00E4794A" w:rsidP="009044A6">
            <w:pPr>
              <w:rPr>
                <w:rFonts w:ascii="Arial" w:hAnsi="Arial" w:cs="Arial"/>
              </w:rPr>
            </w:pPr>
            <w:proofErr w:type="spellStart"/>
            <w:r w:rsidRPr="00F77BEE">
              <w:rPr>
                <w:rFonts w:ascii="Arial" w:hAnsi="Arial" w:cs="Arial"/>
              </w:rPr>
              <w:t>Fluzole</w:t>
            </w:r>
            <w:proofErr w:type="spellEnd"/>
            <w:r w:rsidRPr="00F77BEE">
              <w:rPr>
                <w:rFonts w:ascii="Arial" w:hAnsi="Arial" w:cs="Arial"/>
              </w:rPr>
              <w:t xml:space="preserve">®, </w:t>
            </w:r>
          </w:p>
          <w:p w:rsidR="00E4794A" w:rsidRPr="00F77BEE" w:rsidRDefault="00E4794A" w:rsidP="009044A6">
            <w:pPr>
              <w:rPr>
                <w:rFonts w:ascii="Arial" w:hAnsi="Arial" w:cs="Arial"/>
              </w:rPr>
            </w:pPr>
            <w:r w:rsidRPr="00F77BEE">
              <w:rPr>
                <w:rFonts w:ascii="Arial" w:hAnsi="Arial" w:cs="Arial"/>
              </w:rPr>
              <w:t>Arrow Pharma Pty Ltd</w:t>
            </w:r>
          </w:p>
          <w:p w:rsidR="00E4794A" w:rsidRPr="00F77BEE" w:rsidRDefault="00E4794A" w:rsidP="009044A6">
            <w:pPr>
              <w:rPr>
                <w:rFonts w:ascii="Arial" w:hAnsi="Arial" w:cs="Arial"/>
              </w:rPr>
            </w:pPr>
          </w:p>
          <w:p w:rsidR="00E4794A" w:rsidRPr="00F77BEE" w:rsidRDefault="00E4794A" w:rsidP="009044A6">
            <w:pPr>
              <w:pStyle w:val="Default"/>
              <w:rPr>
                <w:rFonts w:ascii="Arial" w:hAnsi="Arial" w:cs="Arial"/>
                <w:sz w:val="20"/>
                <w:szCs w:val="20"/>
              </w:rPr>
            </w:pPr>
            <w:r w:rsidRPr="00F77BEE">
              <w:rPr>
                <w:rFonts w:ascii="Arial" w:hAnsi="Arial" w:cs="Arial"/>
                <w:sz w:val="20"/>
                <w:szCs w:val="20"/>
              </w:rPr>
              <w:t xml:space="preserve">ITRACONAZOLE </w:t>
            </w:r>
          </w:p>
          <w:p w:rsidR="00E4794A" w:rsidRPr="00F77BEE" w:rsidRDefault="00E4794A" w:rsidP="009044A6">
            <w:pPr>
              <w:rPr>
                <w:rFonts w:ascii="Arial" w:hAnsi="Arial" w:cs="Arial"/>
                <w:color w:val="000000"/>
              </w:rPr>
            </w:pPr>
            <w:proofErr w:type="spellStart"/>
            <w:r w:rsidRPr="00F77BEE">
              <w:rPr>
                <w:rFonts w:ascii="Arial" w:hAnsi="Arial" w:cs="Arial"/>
                <w:color w:val="000000"/>
              </w:rPr>
              <w:t>Lozanoc</w:t>
            </w:r>
            <w:proofErr w:type="spellEnd"/>
            <w:r w:rsidRPr="00F77BEE">
              <w:rPr>
                <w:rFonts w:ascii="Arial" w:hAnsi="Arial" w:cs="Arial"/>
                <w:color w:val="000000"/>
              </w:rPr>
              <w:t>®, Mayne Pharma International Pty Ltd;</w:t>
            </w:r>
          </w:p>
          <w:p w:rsidR="00A66FFC" w:rsidRPr="00F77BEE" w:rsidRDefault="00E4794A" w:rsidP="009044A6">
            <w:pPr>
              <w:rPr>
                <w:rFonts w:ascii="Arial" w:hAnsi="Arial" w:cs="Arial"/>
                <w:color w:val="000000"/>
              </w:rPr>
            </w:pPr>
            <w:proofErr w:type="spellStart"/>
            <w:r w:rsidRPr="00F77BEE">
              <w:rPr>
                <w:rFonts w:ascii="Arial" w:hAnsi="Arial" w:cs="Arial"/>
                <w:color w:val="000000"/>
              </w:rPr>
              <w:t>Sporanox</w:t>
            </w:r>
            <w:proofErr w:type="spellEnd"/>
            <w:r w:rsidRPr="00F77BEE">
              <w:rPr>
                <w:rFonts w:ascii="Arial" w:hAnsi="Arial" w:cs="Arial"/>
                <w:color w:val="000000"/>
              </w:rPr>
              <w:t xml:space="preserve">®, </w:t>
            </w:r>
          </w:p>
          <w:p w:rsidR="00E4794A" w:rsidRPr="00F77BEE" w:rsidRDefault="00E4794A" w:rsidP="009044A6">
            <w:pPr>
              <w:rPr>
                <w:rFonts w:ascii="Arial" w:hAnsi="Arial" w:cs="Arial"/>
                <w:color w:val="000000"/>
              </w:rPr>
            </w:pPr>
            <w:r w:rsidRPr="00F77BEE">
              <w:rPr>
                <w:rFonts w:ascii="Arial" w:hAnsi="Arial" w:cs="Arial"/>
                <w:color w:val="000000"/>
              </w:rPr>
              <w:t>Janssen-Cilag Pty Ltd;</w:t>
            </w:r>
          </w:p>
          <w:p w:rsidR="00A66FFC" w:rsidRPr="00F77BEE" w:rsidRDefault="00E4794A" w:rsidP="009044A6">
            <w:pPr>
              <w:rPr>
                <w:rFonts w:ascii="Arial" w:hAnsi="Arial" w:cs="Arial"/>
                <w:color w:val="000000"/>
              </w:rPr>
            </w:pPr>
            <w:r w:rsidRPr="00F77BEE">
              <w:rPr>
                <w:rFonts w:ascii="Arial" w:hAnsi="Arial" w:cs="Arial"/>
                <w:color w:val="000000"/>
              </w:rPr>
              <w:t>APO-</w:t>
            </w:r>
            <w:proofErr w:type="spellStart"/>
            <w:r w:rsidRPr="00F77BEE">
              <w:rPr>
                <w:rFonts w:ascii="Arial" w:hAnsi="Arial" w:cs="Arial"/>
                <w:color w:val="000000"/>
              </w:rPr>
              <w:t>itraconazole</w:t>
            </w:r>
            <w:proofErr w:type="spellEnd"/>
            <w:r w:rsidRPr="00F77BEE">
              <w:rPr>
                <w:rFonts w:ascii="Arial" w:hAnsi="Arial" w:cs="Arial"/>
                <w:color w:val="000000"/>
              </w:rPr>
              <w:t xml:space="preserve">®, </w:t>
            </w:r>
          </w:p>
          <w:p w:rsidR="00E4794A" w:rsidRPr="00F77BEE" w:rsidRDefault="00E4794A" w:rsidP="009044A6">
            <w:pPr>
              <w:rPr>
                <w:rFonts w:ascii="Arial" w:hAnsi="Arial" w:cs="Arial"/>
                <w:color w:val="000000"/>
              </w:rPr>
            </w:pPr>
            <w:r w:rsidRPr="00F77BEE">
              <w:rPr>
                <w:rFonts w:ascii="Arial" w:hAnsi="Arial" w:cs="Arial"/>
                <w:color w:val="000000"/>
              </w:rPr>
              <w:t>Apotex Pty Ltd;</w:t>
            </w:r>
          </w:p>
          <w:p w:rsidR="00A66FFC" w:rsidRPr="00F77BEE" w:rsidRDefault="00E4794A" w:rsidP="009044A6">
            <w:pPr>
              <w:rPr>
                <w:rFonts w:ascii="Arial" w:hAnsi="Arial" w:cs="Arial"/>
                <w:color w:val="000000"/>
              </w:rPr>
            </w:pPr>
            <w:proofErr w:type="spellStart"/>
            <w:r w:rsidRPr="00F77BEE">
              <w:rPr>
                <w:rFonts w:ascii="Arial" w:hAnsi="Arial" w:cs="Arial"/>
                <w:color w:val="000000"/>
              </w:rPr>
              <w:t>Itranox</w:t>
            </w:r>
            <w:proofErr w:type="spellEnd"/>
            <w:r w:rsidRPr="00F77BEE">
              <w:rPr>
                <w:rFonts w:ascii="Arial" w:hAnsi="Arial" w:cs="Arial"/>
                <w:color w:val="000000"/>
              </w:rPr>
              <w:t xml:space="preserve">®, </w:t>
            </w:r>
          </w:p>
          <w:p w:rsidR="00E4794A" w:rsidRPr="00F77BEE" w:rsidRDefault="00E4794A" w:rsidP="009044A6">
            <w:pPr>
              <w:rPr>
                <w:rFonts w:ascii="Arial" w:hAnsi="Arial" w:cs="Arial"/>
                <w:color w:val="000000"/>
              </w:rPr>
            </w:pPr>
            <w:r w:rsidRPr="00F77BEE">
              <w:rPr>
                <w:rFonts w:ascii="Arial" w:hAnsi="Arial" w:cs="Arial"/>
                <w:color w:val="000000"/>
              </w:rPr>
              <w:t xml:space="preserve">Arrow Pharma Pty Ltd; </w:t>
            </w:r>
          </w:p>
          <w:p w:rsidR="00E4794A" w:rsidRPr="00F77BEE" w:rsidRDefault="00E4794A" w:rsidP="009044A6">
            <w:pPr>
              <w:rPr>
                <w:rFonts w:ascii="Arial" w:hAnsi="Arial" w:cs="Arial"/>
                <w:color w:val="000000"/>
              </w:rPr>
            </w:pPr>
            <w:proofErr w:type="spellStart"/>
            <w:r w:rsidRPr="00F77BEE">
              <w:rPr>
                <w:rFonts w:ascii="Arial" w:hAnsi="Arial" w:cs="Arial"/>
                <w:color w:val="000000"/>
              </w:rPr>
              <w:t>Itracap</w:t>
            </w:r>
            <w:proofErr w:type="spellEnd"/>
            <w:r w:rsidRPr="00F77BEE">
              <w:rPr>
                <w:rFonts w:ascii="Arial" w:hAnsi="Arial" w:cs="Arial"/>
                <w:color w:val="000000"/>
              </w:rPr>
              <w:t>®,</w:t>
            </w:r>
          </w:p>
          <w:p w:rsidR="00E4794A" w:rsidRPr="00F77BEE" w:rsidRDefault="00E4794A" w:rsidP="009044A6">
            <w:pPr>
              <w:rPr>
                <w:rFonts w:ascii="Arial" w:hAnsi="Arial" w:cs="Arial"/>
                <w:color w:val="000000"/>
              </w:rPr>
            </w:pPr>
            <w:proofErr w:type="spellStart"/>
            <w:r w:rsidRPr="00F77BEE">
              <w:rPr>
                <w:rFonts w:ascii="Arial" w:hAnsi="Arial" w:cs="Arial"/>
                <w:color w:val="000000"/>
              </w:rPr>
              <w:t>Alphapharm</w:t>
            </w:r>
            <w:proofErr w:type="spellEnd"/>
            <w:r w:rsidRPr="00F77BEE">
              <w:rPr>
                <w:rFonts w:ascii="Arial" w:hAnsi="Arial" w:cs="Arial"/>
                <w:color w:val="000000"/>
              </w:rPr>
              <w:t xml:space="preserve"> Pty Ltd;</w:t>
            </w:r>
          </w:p>
          <w:p w:rsidR="00E4794A" w:rsidRPr="00F77BEE" w:rsidRDefault="00E4794A" w:rsidP="009044A6">
            <w:pPr>
              <w:rPr>
                <w:rFonts w:ascii="Arial" w:hAnsi="Arial" w:cs="Arial"/>
                <w:color w:val="000000"/>
              </w:rPr>
            </w:pPr>
          </w:p>
          <w:p w:rsidR="00E4794A" w:rsidRPr="00F77BEE" w:rsidRDefault="00A66FFC" w:rsidP="009044A6">
            <w:pPr>
              <w:rPr>
                <w:rFonts w:ascii="Arial" w:hAnsi="Arial" w:cs="Arial"/>
                <w:color w:val="000000"/>
              </w:rPr>
            </w:pPr>
            <w:r w:rsidRPr="00F77BEE">
              <w:rPr>
                <w:rFonts w:ascii="Arial" w:hAnsi="Arial" w:cs="Arial"/>
                <w:color w:val="000000"/>
              </w:rPr>
              <w:t>(</w:t>
            </w:r>
            <w:r w:rsidR="00E4794A" w:rsidRPr="00F77BEE">
              <w:rPr>
                <w:rFonts w:ascii="Arial" w:hAnsi="Arial" w:cs="Arial"/>
                <w:color w:val="000000"/>
              </w:rPr>
              <w:t>DUSC Analysis</w:t>
            </w:r>
            <w:r w:rsidRPr="00F77BEE">
              <w:rPr>
                <w:rFonts w:ascii="Arial" w:hAnsi="Arial" w:cs="Arial"/>
                <w:color w:val="000000"/>
              </w:rPr>
              <w:t>)</w:t>
            </w:r>
          </w:p>
        </w:tc>
        <w:tc>
          <w:tcPr>
            <w:tcW w:w="2126" w:type="dxa"/>
          </w:tcPr>
          <w:p w:rsidR="00E4794A" w:rsidRPr="00F77BEE" w:rsidRDefault="00E4794A" w:rsidP="002E6071">
            <w:pPr>
              <w:rPr>
                <w:rFonts w:ascii="Arial" w:hAnsi="Arial" w:cs="Arial"/>
                <w:color w:val="000000"/>
              </w:rPr>
            </w:pPr>
            <w:r w:rsidRPr="00F77BEE">
              <w:rPr>
                <w:rFonts w:ascii="Arial" w:hAnsi="Arial" w:cs="Arial"/>
                <w:color w:val="000000"/>
              </w:rPr>
              <w:t>Antifungals</w:t>
            </w:r>
          </w:p>
        </w:tc>
        <w:tc>
          <w:tcPr>
            <w:tcW w:w="3261" w:type="dxa"/>
            <w:tcMar>
              <w:top w:w="28" w:type="dxa"/>
              <w:bottom w:w="28" w:type="dxa"/>
            </w:tcMar>
          </w:tcPr>
          <w:p w:rsidR="00E4794A" w:rsidRPr="00F77BEE" w:rsidRDefault="00E4794A" w:rsidP="002E6071">
            <w:pPr>
              <w:pStyle w:val="Default"/>
              <w:rPr>
                <w:rFonts w:ascii="Arial" w:hAnsi="Arial" w:cs="Arial"/>
                <w:sz w:val="20"/>
                <w:szCs w:val="20"/>
              </w:rPr>
            </w:pPr>
            <w:r w:rsidRPr="00F77BEE">
              <w:rPr>
                <w:rFonts w:ascii="Arial" w:hAnsi="Arial" w:cs="Arial"/>
                <w:sz w:val="20"/>
                <w:szCs w:val="20"/>
              </w:rPr>
              <w:t xml:space="preserve">To consider options to address the increasing use of PBS subsidised fluconazole and </w:t>
            </w:r>
            <w:proofErr w:type="spellStart"/>
            <w:r w:rsidRPr="00F77BEE">
              <w:rPr>
                <w:rFonts w:ascii="Arial" w:hAnsi="Arial" w:cs="Arial"/>
                <w:sz w:val="20"/>
                <w:szCs w:val="20"/>
              </w:rPr>
              <w:t>itraconazole</w:t>
            </w:r>
            <w:proofErr w:type="spellEnd"/>
            <w:r w:rsidRPr="00F77BEE">
              <w:rPr>
                <w:rFonts w:ascii="Arial" w:hAnsi="Arial" w:cs="Arial"/>
                <w:sz w:val="20"/>
                <w:szCs w:val="20"/>
              </w:rPr>
              <w:t xml:space="preserve"> after they changed from Authority Required (STREAMLINED) to Restricted Benefit listings. </w:t>
            </w:r>
          </w:p>
          <w:p w:rsidR="00E4794A" w:rsidRPr="00F77BEE" w:rsidRDefault="00E4794A" w:rsidP="002E6071">
            <w:pPr>
              <w:rPr>
                <w:rFonts w:ascii="Arial" w:hAnsi="Arial" w:cs="Arial"/>
                <w:color w:val="000000"/>
              </w:rPr>
            </w:pPr>
          </w:p>
        </w:tc>
        <w:tc>
          <w:tcPr>
            <w:tcW w:w="6947" w:type="dxa"/>
            <w:shd w:val="clear" w:color="auto" w:fill="auto"/>
          </w:tcPr>
          <w:p w:rsidR="00E4794A" w:rsidRPr="00F77BEE" w:rsidRDefault="00E4794A" w:rsidP="00977DD3">
            <w:pPr>
              <w:spacing w:after="120"/>
              <w:jc w:val="both"/>
              <w:rPr>
                <w:rFonts w:ascii="Arial" w:hAnsi="Arial" w:cs="Arial"/>
                <w:color w:val="000000"/>
              </w:rPr>
            </w:pPr>
            <w:r w:rsidRPr="00F77BEE">
              <w:rPr>
                <w:rFonts w:ascii="Arial" w:hAnsi="Arial" w:cs="Arial"/>
                <w:color w:val="000000"/>
              </w:rPr>
              <w:t xml:space="preserve">The PBAC noted the increase in the use of fluconazole and </w:t>
            </w:r>
            <w:proofErr w:type="spellStart"/>
            <w:r w:rsidRPr="00F77BEE">
              <w:rPr>
                <w:rFonts w:ascii="Arial" w:hAnsi="Arial" w:cs="Arial"/>
                <w:color w:val="000000"/>
              </w:rPr>
              <w:t>itraconazole</w:t>
            </w:r>
            <w:proofErr w:type="spellEnd"/>
            <w:r w:rsidRPr="00F77BEE">
              <w:rPr>
                <w:rFonts w:ascii="Arial" w:hAnsi="Arial" w:cs="Arial"/>
                <w:color w:val="000000"/>
              </w:rPr>
              <w:t xml:space="preserve"> following the change in the restriction level for these listings to a Restricted Benefit. The PBAC considered that this was likely to have been mostly driven by recommendations in therapeutic guidelines for the use of these drugs to treat acute and chronic </w:t>
            </w:r>
            <w:proofErr w:type="spellStart"/>
            <w:r w:rsidRPr="00F77BEE">
              <w:rPr>
                <w:rFonts w:ascii="Arial" w:hAnsi="Arial" w:cs="Arial"/>
                <w:color w:val="000000"/>
              </w:rPr>
              <w:t>candidal</w:t>
            </w:r>
            <w:proofErr w:type="spellEnd"/>
            <w:r w:rsidRPr="00F77BEE">
              <w:rPr>
                <w:rFonts w:ascii="Arial" w:hAnsi="Arial" w:cs="Arial"/>
                <w:color w:val="000000"/>
              </w:rPr>
              <w:t xml:space="preserve"> </w:t>
            </w:r>
            <w:proofErr w:type="spellStart"/>
            <w:r w:rsidRPr="00F77BEE">
              <w:rPr>
                <w:rFonts w:ascii="Arial" w:hAnsi="Arial" w:cs="Arial"/>
                <w:color w:val="000000"/>
              </w:rPr>
              <w:t>vulvovaginitis</w:t>
            </w:r>
            <w:proofErr w:type="spellEnd"/>
            <w:r w:rsidRPr="00F77BEE">
              <w:rPr>
                <w:rFonts w:ascii="Arial" w:hAnsi="Arial" w:cs="Arial"/>
                <w:color w:val="000000"/>
              </w:rPr>
              <w:t>.</w:t>
            </w:r>
            <w:r w:rsidRPr="00F77BEE">
              <w:rPr>
                <w:rFonts w:ascii="Arial" w:hAnsi="Arial" w:cs="Arial"/>
                <w:color w:val="000000"/>
              </w:rPr>
              <w:br/>
            </w:r>
            <w:r w:rsidRPr="00F77BEE">
              <w:rPr>
                <w:rFonts w:ascii="Arial" w:hAnsi="Arial" w:cs="Arial"/>
                <w:color w:val="000000"/>
              </w:rPr>
              <w:br/>
              <w:t xml:space="preserve">The PBAC recommended reinstating the Authority Required (STREAMLINED) listings for fluconazole and </w:t>
            </w:r>
            <w:proofErr w:type="spellStart"/>
            <w:r w:rsidRPr="00F77BEE">
              <w:rPr>
                <w:rFonts w:ascii="Arial" w:hAnsi="Arial" w:cs="Arial"/>
                <w:color w:val="000000"/>
              </w:rPr>
              <w:t>itraconazole</w:t>
            </w:r>
            <w:proofErr w:type="spellEnd"/>
            <w:r w:rsidRPr="00F77BEE">
              <w:rPr>
                <w:rFonts w:ascii="Arial" w:hAnsi="Arial" w:cs="Arial"/>
                <w:color w:val="000000"/>
              </w:rPr>
              <w:t xml:space="preserve">. The PBAC considered the streamlined authority was necessary because of the potential for these medicines to be used in indications where it has not determined the comparative effectiveness and cost. The PBAC also recommended the addition of a note to the restrictions for oral fluconazole and </w:t>
            </w:r>
            <w:proofErr w:type="spellStart"/>
            <w:r w:rsidRPr="00F77BEE">
              <w:rPr>
                <w:rFonts w:ascii="Arial" w:hAnsi="Arial" w:cs="Arial"/>
                <w:color w:val="000000"/>
              </w:rPr>
              <w:t>itraconazole</w:t>
            </w:r>
            <w:proofErr w:type="spellEnd"/>
            <w:r w:rsidRPr="00F77BEE">
              <w:rPr>
                <w:rFonts w:ascii="Arial" w:hAnsi="Arial" w:cs="Arial"/>
                <w:color w:val="000000"/>
              </w:rPr>
              <w:t xml:space="preserve"> stating that they are not for use in vulvovaginal candida infections.</w:t>
            </w:r>
            <w:r w:rsidRPr="00F77BEE">
              <w:rPr>
                <w:rFonts w:ascii="Arial" w:hAnsi="Arial" w:cs="Arial"/>
                <w:color w:val="000000"/>
              </w:rPr>
              <w:br/>
            </w:r>
            <w:r w:rsidRPr="00F77BEE">
              <w:rPr>
                <w:rFonts w:ascii="Arial" w:hAnsi="Arial" w:cs="Arial"/>
                <w:color w:val="000000"/>
              </w:rPr>
              <w:br/>
              <w:t>The PBAC considered that the provision of compliance and education activities for prescribers about the appropriate use of PBS listed antifungals should be explored.</w:t>
            </w:r>
          </w:p>
          <w:p w:rsidR="00E4794A" w:rsidRPr="00F77BEE" w:rsidRDefault="00E4794A" w:rsidP="00C53ED6">
            <w:pPr>
              <w:spacing w:after="120"/>
              <w:ind w:left="284"/>
              <w:jc w:val="both"/>
              <w:rPr>
                <w:rFonts w:ascii="Arial" w:hAnsi="Arial" w:cs="Arial"/>
                <w:color w:val="000000"/>
              </w:rPr>
            </w:pPr>
          </w:p>
        </w:tc>
      </w:tr>
      <w:tr w:rsidR="00E4794A" w:rsidRPr="003E19A4" w:rsidTr="00F87016">
        <w:trPr>
          <w:cantSplit/>
          <w:trHeight w:val="1209"/>
        </w:trPr>
        <w:tc>
          <w:tcPr>
            <w:tcW w:w="2977" w:type="dxa"/>
            <w:tcMar>
              <w:top w:w="28" w:type="dxa"/>
              <w:bottom w:w="28" w:type="dxa"/>
            </w:tcMar>
          </w:tcPr>
          <w:p w:rsidR="00E4794A" w:rsidRPr="00F77BEE" w:rsidRDefault="00E4794A" w:rsidP="00E83FF4">
            <w:pPr>
              <w:rPr>
                <w:rFonts w:ascii="Arial" w:hAnsi="Arial" w:cs="Arial"/>
                <w:color w:val="000000"/>
              </w:rPr>
            </w:pPr>
            <w:r w:rsidRPr="00F77BEE">
              <w:rPr>
                <w:rFonts w:ascii="Arial" w:hAnsi="Arial" w:cs="Arial"/>
                <w:color w:val="000000"/>
              </w:rPr>
              <w:lastRenderedPageBreak/>
              <w:t>Matters relating to PBS review:</w:t>
            </w:r>
          </w:p>
          <w:p w:rsidR="00E4794A" w:rsidRPr="00F77BEE" w:rsidRDefault="00E4794A" w:rsidP="00E83FF4">
            <w:pPr>
              <w:rPr>
                <w:rFonts w:ascii="Arial" w:hAnsi="Arial" w:cs="Arial"/>
                <w:color w:val="000000"/>
              </w:rPr>
            </w:pPr>
            <w:r w:rsidRPr="00F77BEE">
              <w:rPr>
                <w:rFonts w:ascii="Arial" w:hAnsi="Arial" w:cs="Arial"/>
                <w:color w:val="000000"/>
              </w:rPr>
              <w:br/>
              <w:t>Omeprazole</w:t>
            </w:r>
            <w:r w:rsidRPr="00F77BEE">
              <w:rPr>
                <w:rFonts w:ascii="Arial" w:hAnsi="Arial" w:cs="Arial"/>
                <w:color w:val="000000"/>
              </w:rPr>
              <w:br/>
              <w:t xml:space="preserve">Pantoprazole </w:t>
            </w:r>
            <w:r w:rsidRPr="00F77BEE">
              <w:rPr>
                <w:rFonts w:ascii="Arial" w:hAnsi="Arial" w:cs="Arial"/>
                <w:color w:val="000000"/>
              </w:rPr>
              <w:br/>
              <w:t>Lansoprazole</w:t>
            </w:r>
            <w:r w:rsidRPr="00F77BEE">
              <w:rPr>
                <w:rFonts w:ascii="Arial" w:hAnsi="Arial" w:cs="Arial"/>
                <w:color w:val="000000"/>
              </w:rPr>
              <w:br/>
            </w:r>
            <w:proofErr w:type="spellStart"/>
            <w:r w:rsidRPr="00F77BEE">
              <w:rPr>
                <w:rFonts w:ascii="Arial" w:hAnsi="Arial" w:cs="Arial"/>
                <w:color w:val="000000"/>
              </w:rPr>
              <w:t>Rabeprazole</w:t>
            </w:r>
            <w:proofErr w:type="spellEnd"/>
            <w:r w:rsidRPr="00F77BEE">
              <w:rPr>
                <w:rFonts w:ascii="Arial" w:hAnsi="Arial" w:cs="Arial"/>
                <w:color w:val="000000"/>
              </w:rPr>
              <w:br/>
              <w:t>Esomeprazole</w:t>
            </w:r>
            <w:r w:rsidRPr="00F77BEE">
              <w:rPr>
                <w:rFonts w:ascii="Arial" w:hAnsi="Arial" w:cs="Arial"/>
                <w:color w:val="000000"/>
              </w:rPr>
              <w:br/>
            </w:r>
            <w:proofErr w:type="spellStart"/>
            <w:r w:rsidRPr="00F77BEE">
              <w:rPr>
                <w:rFonts w:ascii="Arial" w:hAnsi="Arial" w:cs="Arial"/>
                <w:color w:val="000000"/>
              </w:rPr>
              <w:t>Esomeprazole</w:t>
            </w:r>
            <w:proofErr w:type="spellEnd"/>
            <w:r w:rsidRPr="00F77BEE">
              <w:rPr>
                <w:rFonts w:ascii="Arial" w:hAnsi="Arial" w:cs="Arial"/>
                <w:color w:val="000000"/>
              </w:rPr>
              <w:t>, clarithromycin &amp; amoxicillin</w:t>
            </w:r>
            <w:r w:rsidRPr="00F77BEE">
              <w:rPr>
                <w:rFonts w:ascii="Arial" w:hAnsi="Arial" w:cs="Arial"/>
                <w:color w:val="000000"/>
              </w:rPr>
              <w:br/>
              <w:t>Omeprazole, amoxicillin &amp; clarithromycin (delisted in 2014)</w:t>
            </w:r>
            <w:r w:rsidRPr="00F77BEE">
              <w:rPr>
                <w:rFonts w:ascii="Arial" w:hAnsi="Arial" w:cs="Arial"/>
                <w:color w:val="000000"/>
              </w:rPr>
              <w:br/>
            </w:r>
            <w:r w:rsidRPr="00F77BEE">
              <w:rPr>
                <w:rFonts w:ascii="Arial" w:hAnsi="Arial" w:cs="Arial"/>
                <w:color w:val="000000"/>
              </w:rPr>
              <w:br/>
              <w:t>(All current and previously listed brands including generic versions)</w:t>
            </w:r>
          </w:p>
          <w:p w:rsidR="00E4794A" w:rsidRPr="00F77BEE" w:rsidRDefault="00E4794A" w:rsidP="00E83FF4">
            <w:pPr>
              <w:rPr>
                <w:rFonts w:ascii="Arial" w:hAnsi="Arial" w:cs="Arial"/>
                <w:color w:val="000000"/>
              </w:rPr>
            </w:pPr>
          </w:p>
          <w:p w:rsidR="00E4794A" w:rsidRPr="00F77BEE" w:rsidRDefault="00A66FFC" w:rsidP="00E83FF4">
            <w:pPr>
              <w:rPr>
                <w:rFonts w:ascii="Arial" w:hAnsi="Arial" w:cs="Arial"/>
                <w:color w:val="000000"/>
              </w:rPr>
            </w:pPr>
            <w:r w:rsidRPr="00F77BEE">
              <w:rPr>
                <w:rFonts w:ascii="Arial" w:hAnsi="Arial" w:cs="Arial"/>
                <w:color w:val="000000"/>
              </w:rPr>
              <w:t>(</w:t>
            </w:r>
            <w:r w:rsidR="00E4794A" w:rsidRPr="00F77BEE">
              <w:rPr>
                <w:rFonts w:ascii="Arial" w:hAnsi="Arial" w:cs="Arial"/>
                <w:color w:val="000000"/>
              </w:rPr>
              <w:t>Post market review report</w:t>
            </w:r>
            <w:r w:rsidRPr="00F77BEE">
              <w:rPr>
                <w:rFonts w:ascii="Arial" w:hAnsi="Arial" w:cs="Arial"/>
                <w:color w:val="000000"/>
              </w:rPr>
              <w:t>)</w:t>
            </w:r>
          </w:p>
        </w:tc>
        <w:tc>
          <w:tcPr>
            <w:tcW w:w="2126" w:type="dxa"/>
          </w:tcPr>
          <w:p w:rsidR="00E4794A" w:rsidRPr="00F77BEE" w:rsidRDefault="00E4794A" w:rsidP="002E6071">
            <w:pPr>
              <w:rPr>
                <w:rFonts w:ascii="Arial" w:hAnsi="Arial" w:cs="Arial"/>
                <w:color w:val="000000"/>
              </w:rPr>
            </w:pPr>
            <w:r w:rsidRPr="00F77BEE">
              <w:rPr>
                <w:rFonts w:ascii="Arial" w:hAnsi="Arial" w:cs="Arial"/>
                <w:color w:val="000000"/>
              </w:rPr>
              <w:t>Gastro-oesophageal reflux disorders (GORD)</w:t>
            </w:r>
          </w:p>
        </w:tc>
        <w:tc>
          <w:tcPr>
            <w:tcW w:w="3261" w:type="dxa"/>
            <w:tcMar>
              <w:top w:w="28" w:type="dxa"/>
              <w:bottom w:w="28" w:type="dxa"/>
            </w:tcMar>
          </w:tcPr>
          <w:p w:rsidR="00E4794A" w:rsidRPr="00F77BEE" w:rsidRDefault="00E4794A" w:rsidP="00906AF0">
            <w:pPr>
              <w:rPr>
                <w:rFonts w:ascii="Arial" w:hAnsi="Arial" w:cs="Arial"/>
                <w:color w:val="000000"/>
              </w:rPr>
            </w:pPr>
            <w:r w:rsidRPr="00F77BEE">
              <w:rPr>
                <w:rFonts w:ascii="Arial" w:hAnsi="Arial" w:cs="Arial"/>
                <w:color w:val="000000"/>
              </w:rPr>
              <w:t>To consider a drug utilisation review of use of PBS listed Proton Pump Inhibitor medicines and review DUSC’s consideration of the findings.</w:t>
            </w:r>
          </w:p>
          <w:p w:rsidR="00E4794A" w:rsidRPr="00F77BEE" w:rsidRDefault="00E4794A" w:rsidP="002E6071">
            <w:pPr>
              <w:pStyle w:val="Default"/>
              <w:rPr>
                <w:rFonts w:ascii="Arial" w:hAnsi="Arial" w:cs="Arial"/>
                <w:sz w:val="20"/>
                <w:szCs w:val="20"/>
              </w:rPr>
            </w:pPr>
          </w:p>
        </w:tc>
        <w:tc>
          <w:tcPr>
            <w:tcW w:w="6947" w:type="dxa"/>
            <w:shd w:val="clear" w:color="auto" w:fill="auto"/>
          </w:tcPr>
          <w:p w:rsidR="002460B3" w:rsidRPr="00F77BEE" w:rsidRDefault="00E4794A" w:rsidP="00DE5D28">
            <w:pPr>
              <w:spacing w:after="120"/>
              <w:jc w:val="both"/>
              <w:rPr>
                <w:rFonts w:ascii="Arial" w:hAnsi="Arial" w:cs="Arial"/>
                <w:color w:val="000000"/>
              </w:rPr>
            </w:pPr>
            <w:r w:rsidRPr="00F77BEE">
              <w:rPr>
                <w:rFonts w:ascii="Arial" w:hAnsi="Arial" w:cs="Arial"/>
                <w:color w:val="000000"/>
              </w:rPr>
              <w:t xml:space="preserve">The PBAC considered the advice from DUSC on the utilisation patterns of Proton Pump Inhibitors (PPIs) used in the management of gastrointestinal acid related disorders. The PBAC agreed that in comparison to the clinical guidelines and considering the prevalence of Gastro-oesophageal reflux disorders (GORD), high dose PPIs appear to be overprescribed in Australia, for excessively long periods of time, particularly amongst older people. </w:t>
            </w:r>
            <w:r w:rsidR="002460B3" w:rsidRPr="00F77BEE">
              <w:rPr>
                <w:rFonts w:ascii="Arial" w:hAnsi="Arial" w:cs="Arial"/>
                <w:color w:val="000000"/>
              </w:rPr>
              <w:t>The PBAC considered that t</w:t>
            </w:r>
            <w:r w:rsidRPr="00F77BEE">
              <w:rPr>
                <w:rFonts w:ascii="Arial" w:hAnsi="Arial" w:cs="Arial"/>
                <w:color w:val="000000"/>
              </w:rPr>
              <w:t>his is not in the best interests of patients and is not without safety concerns. The PBAC were particularly concerned by the large number of high and highest dose prescriptions dispensed (95%) relative to low dose PPIs (5%) across 2013-2016. T</w:t>
            </w:r>
            <w:r w:rsidR="002460B3" w:rsidRPr="00F77BEE">
              <w:rPr>
                <w:rFonts w:ascii="Arial" w:hAnsi="Arial" w:cs="Arial"/>
                <w:color w:val="000000"/>
              </w:rPr>
              <w:t>he PBAC noted that t</w:t>
            </w:r>
            <w:r w:rsidRPr="00F77BEE">
              <w:rPr>
                <w:rFonts w:ascii="Arial" w:hAnsi="Arial" w:cs="Arial"/>
                <w:color w:val="000000"/>
              </w:rPr>
              <w:t>his pattern of utilisation is contributing to the high PBS expenditure on PPIs. The PBAC agreed that changes to the restriction levels and/or number of repeats should be reconsidered along with revision of the wording and terminology of all PPI PBS restrictions at a subsequent meeting.  </w:t>
            </w:r>
          </w:p>
        </w:tc>
      </w:tr>
      <w:tr w:rsidR="00E4794A" w:rsidRPr="003E19A4" w:rsidTr="00482313">
        <w:trPr>
          <w:trHeight w:val="1209"/>
        </w:trPr>
        <w:tc>
          <w:tcPr>
            <w:tcW w:w="2977" w:type="dxa"/>
            <w:tcMar>
              <w:top w:w="28" w:type="dxa"/>
              <w:bottom w:w="28" w:type="dxa"/>
            </w:tcMar>
          </w:tcPr>
          <w:p w:rsidR="00E4794A" w:rsidRPr="00F77BEE" w:rsidRDefault="00E4794A" w:rsidP="00E83FF4">
            <w:pPr>
              <w:rPr>
                <w:rFonts w:ascii="Arial" w:hAnsi="Arial" w:cs="Arial"/>
                <w:color w:val="000000"/>
              </w:rPr>
            </w:pPr>
            <w:r w:rsidRPr="00F77BEE">
              <w:rPr>
                <w:rFonts w:ascii="Arial" w:hAnsi="Arial" w:cs="Arial"/>
                <w:color w:val="000000"/>
              </w:rPr>
              <w:t>Matters relating to post market review of ezetimibe:</w:t>
            </w:r>
          </w:p>
          <w:p w:rsidR="00E4794A" w:rsidRPr="00F77BEE" w:rsidRDefault="00E4794A" w:rsidP="00E83FF4">
            <w:pPr>
              <w:rPr>
                <w:rFonts w:ascii="Arial" w:hAnsi="Arial" w:cs="Arial"/>
                <w:color w:val="000000"/>
              </w:rPr>
            </w:pPr>
          </w:p>
          <w:p w:rsidR="00E4794A" w:rsidRPr="00F77BEE" w:rsidRDefault="00E4794A" w:rsidP="00E83FF4">
            <w:pPr>
              <w:rPr>
                <w:rFonts w:ascii="Arial" w:hAnsi="Arial" w:cs="Arial"/>
                <w:color w:val="000000"/>
              </w:rPr>
            </w:pPr>
            <w:r w:rsidRPr="00F77BEE">
              <w:rPr>
                <w:rFonts w:ascii="Arial" w:hAnsi="Arial" w:cs="Arial"/>
                <w:color w:val="000000"/>
              </w:rPr>
              <w:t>FENOFIBRATE</w:t>
            </w:r>
          </w:p>
          <w:p w:rsidR="00E4794A" w:rsidRPr="00F77BEE" w:rsidRDefault="00E4794A" w:rsidP="00E83FF4">
            <w:pPr>
              <w:rPr>
                <w:rFonts w:ascii="Arial" w:hAnsi="Arial" w:cs="Arial"/>
                <w:color w:val="000000"/>
              </w:rPr>
            </w:pPr>
            <w:r w:rsidRPr="00F77BEE">
              <w:rPr>
                <w:rFonts w:ascii="Arial" w:hAnsi="Arial" w:cs="Arial"/>
                <w:color w:val="000000"/>
              </w:rPr>
              <w:t>Tablet 48 mg, 145 mg</w:t>
            </w:r>
          </w:p>
          <w:p w:rsidR="00E4794A" w:rsidRPr="00F77BEE" w:rsidRDefault="00E4794A" w:rsidP="00463E8A">
            <w:pPr>
              <w:keepNext/>
              <w:jc w:val="both"/>
              <w:rPr>
                <w:rFonts w:ascii="Arial" w:hAnsi="Arial" w:cs="Arial"/>
              </w:rPr>
            </w:pPr>
            <w:proofErr w:type="spellStart"/>
            <w:r w:rsidRPr="00F77BEE">
              <w:rPr>
                <w:rFonts w:ascii="Arial" w:hAnsi="Arial" w:cs="Arial"/>
              </w:rPr>
              <w:t>Lipidil</w:t>
            </w:r>
            <w:proofErr w:type="spellEnd"/>
            <w:r w:rsidRPr="00F77BEE">
              <w:rPr>
                <w:rFonts w:ascii="Arial" w:hAnsi="Arial" w:cs="Arial"/>
              </w:rPr>
              <w:t xml:space="preserve">®, </w:t>
            </w:r>
            <w:r w:rsidRPr="00F77BEE">
              <w:rPr>
                <w:rFonts w:ascii="Arial" w:hAnsi="Arial" w:cs="Arial"/>
                <w:bCs/>
                <w:color w:val="222222"/>
                <w:shd w:val="clear" w:color="auto" w:fill="FFFFFF"/>
              </w:rPr>
              <w:t>Mylan Health Pty Ltd</w:t>
            </w:r>
          </w:p>
          <w:p w:rsidR="00E4794A" w:rsidRPr="00F77BEE" w:rsidRDefault="00E4794A" w:rsidP="00E83FF4">
            <w:pPr>
              <w:rPr>
                <w:rFonts w:ascii="Arial" w:hAnsi="Arial" w:cs="Arial"/>
                <w:color w:val="000000"/>
              </w:rPr>
            </w:pPr>
          </w:p>
          <w:p w:rsidR="00E4794A" w:rsidRPr="00F77BEE" w:rsidRDefault="00E4794A" w:rsidP="00E83FF4">
            <w:pPr>
              <w:rPr>
                <w:rFonts w:ascii="Arial" w:hAnsi="Arial" w:cs="Arial"/>
                <w:color w:val="000000"/>
              </w:rPr>
            </w:pPr>
            <w:r w:rsidRPr="00F77BEE">
              <w:rPr>
                <w:rFonts w:ascii="Arial" w:hAnsi="Arial" w:cs="Arial"/>
                <w:color w:val="000000"/>
              </w:rPr>
              <w:t>GEMFIBROZIL</w:t>
            </w:r>
          </w:p>
          <w:p w:rsidR="00E4794A" w:rsidRPr="00F77BEE" w:rsidRDefault="00E4794A" w:rsidP="00E83FF4">
            <w:pPr>
              <w:rPr>
                <w:rFonts w:ascii="Arial" w:hAnsi="Arial" w:cs="Arial"/>
                <w:color w:val="000000"/>
              </w:rPr>
            </w:pPr>
            <w:r w:rsidRPr="00F77BEE">
              <w:rPr>
                <w:rFonts w:ascii="Arial" w:hAnsi="Arial" w:cs="Arial"/>
                <w:color w:val="000000"/>
              </w:rPr>
              <w:t>Tablet 600 mg</w:t>
            </w:r>
          </w:p>
          <w:p w:rsidR="00A66FFC" w:rsidRPr="00F77BEE" w:rsidRDefault="00E4794A" w:rsidP="00EA1CAD">
            <w:pPr>
              <w:keepNext/>
              <w:jc w:val="both"/>
              <w:rPr>
                <w:rFonts w:ascii="Arial" w:hAnsi="Arial" w:cs="Arial"/>
              </w:rPr>
            </w:pPr>
            <w:proofErr w:type="spellStart"/>
            <w:r w:rsidRPr="00F77BEE">
              <w:rPr>
                <w:rFonts w:ascii="Arial" w:hAnsi="Arial" w:cs="Arial"/>
              </w:rPr>
              <w:t>Ausgem</w:t>
            </w:r>
            <w:proofErr w:type="spellEnd"/>
            <w:r w:rsidRPr="00F77BEE">
              <w:rPr>
                <w:rFonts w:ascii="Arial" w:hAnsi="Arial" w:cs="Arial"/>
              </w:rPr>
              <w:t xml:space="preserve">®, </w:t>
            </w:r>
          </w:p>
          <w:p w:rsidR="00E4794A" w:rsidRPr="00F77BEE" w:rsidRDefault="00E4794A" w:rsidP="00EA1CAD">
            <w:pPr>
              <w:keepNext/>
              <w:jc w:val="both"/>
              <w:rPr>
                <w:rFonts w:ascii="Arial" w:hAnsi="Arial" w:cs="Arial"/>
                <w:bCs/>
                <w:color w:val="222222"/>
                <w:shd w:val="clear" w:color="auto" w:fill="FFFFFF"/>
              </w:rPr>
            </w:pPr>
            <w:r w:rsidRPr="00F77BEE">
              <w:rPr>
                <w:rFonts w:ascii="Arial" w:hAnsi="Arial" w:cs="Arial"/>
                <w:bCs/>
                <w:color w:val="222222"/>
                <w:shd w:val="clear" w:color="auto" w:fill="FFFFFF"/>
              </w:rPr>
              <w:t>Arrow Pharma Pty Ltd;</w:t>
            </w:r>
          </w:p>
          <w:p w:rsidR="00E4794A" w:rsidRPr="00F77BEE" w:rsidRDefault="00E4794A" w:rsidP="005571C1">
            <w:pPr>
              <w:keepNext/>
              <w:jc w:val="both"/>
              <w:rPr>
                <w:rFonts w:ascii="Arial" w:hAnsi="Arial" w:cs="Arial"/>
              </w:rPr>
            </w:pPr>
            <w:proofErr w:type="spellStart"/>
            <w:r w:rsidRPr="00F77BEE">
              <w:rPr>
                <w:rFonts w:ascii="Arial" w:hAnsi="Arial" w:cs="Arial"/>
              </w:rPr>
              <w:t>Lipigem</w:t>
            </w:r>
            <w:proofErr w:type="spellEnd"/>
            <w:r w:rsidRPr="00F77BEE">
              <w:rPr>
                <w:rFonts w:ascii="Arial" w:hAnsi="Arial" w:cs="Arial"/>
              </w:rPr>
              <w:t>®,</w:t>
            </w:r>
            <w:proofErr w:type="spellStart"/>
            <w:r w:rsidRPr="00F77BEE">
              <w:rPr>
                <w:rFonts w:ascii="Arial" w:hAnsi="Arial" w:cs="Arial"/>
                <w:bCs/>
                <w:color w:val="222222"/>
                <w:shd w:val="clear" w:color="auto" w:fill="FFFFFF"/>
              </w:rPr>
              <w:t>Alphapharm</w:t>
            </w:r>
            <w:proofErr w:type="spellEnd"/>
            <w:r w:rsidRPr="00F77BEE">
              <w:rPr>
                <w:rFonts w:ascii="Arial" w:hAnsi="Arial" w:cs="Arial"/>
                <w:bCs/>
                <w:color w:val="222222"/>
                <w:shd w:val="clear" w:color="auto" w:fill="FFFFFF"/>
              </w:rPr>
              <w:t xml:space="preserve"> Pty Ltd </w:t>
            </w:r>
          </w:p>
          <w:p w:rsidR="00E4794A" w:rsidRPr="00F77BEE" w:rsidRDefault="00E4794A" w:rsidP="00EA1CAD">
            <w:pPr>
              <w:keepNext/>
              <w:jc w:val="both"/>
              <w:rPr>
                <w:rFonts w:ascii="Arial" w:hAnsi="Arial" w:cs="Arial"/>
                <w:color w:val="000000"/>
              </w:rPr>
            </w:pPr>
            <w:r w:rsidRPr="00F77BEE">
              <w:rPr>
                <w:rFonts w:ascii="Arial" w:hAnsi="Arial" w:cs="Arial"/>
                <w:b/>
                <w:bCs/>
                <w:color w:val="222222"/>
                <w:shd w:val="clear" w:color="auto" w:fill="FFFFFF"/>
              </w:rPr>
              <w:t> </w:t>
            </w:r>
          </w:p>
          <w:p w:rsidR="00E4794A" w:rsidRPr="00F77BEE" w:rsidRDefault="00E4794A" w:rsidP="00E83FF4">
            <w:pPr>
              <w:rPr>
                <w:rFonts w:ascii="Arial" w:hAnsi="Arial" w:cs="Arial"/>
                <w:color w:val="000000"/>
              </w:rPr>
            </w:pPr>
            <w:r w:rsidRPr="00F77BEE">
              <w:rPr>
                <w:rFonts w:ascii="Arial" w:hAnsi="Arial" w:cs="Arial"/>
                <w:color w:val="000000"/>
              </w:rPr>
              <w:t>AMPLODIPINE WITH ATORVASTATIN</w:t>
            </w:r>
          </w:p>
          <w:p w:rsidR="00E4794A" w:rsidRPr="00F77BEE" w:rsidRDefault="00E4794A" w:rsidP="00E83FF4">
            <w:pPr>
              <w:rPr>
                <w:rFonts w:ascii="Arial" w:hAnsi="Arial" w:cs="Arial"/>
                <w:color w:val="000000"/>
              </w:rPr>
            </w:pPr>
            <w:r w:rsidRPr="00F77BEE">
              <w:rPr>
                <w:rFonts w:ascii="Arial" w:hAnsi="Arial" w:cs="Arial"/>
                <w:color w:val="000000"/>
              </w:rPr>
              <w:t>(Various strengths and multiple brands)</w:t>
            </w:r>
          </w:p>
          <w:p w:rsidR="00E4794A" w:rsidRPr="00F77BEE" w:rsidRDefault="00E4794A" w:rsidP="003E08D8">
            <w:pPr>
              <w:rPr>
                <w:rFonts w:ascii="Arial" w:hAnsi="Arial" w:cs="Arial"/>
                <w:color w:val="000000"/>
              </w:rPr>
            </w:pPr>
          </w:p>
          <w:p w:rsidR="00E4794A" w:rsidRPr="00F77BEE" w:rsidRDefault="00A66FFC" w:rsidP="003E08D8">
            <w:pPr>
              <w:rPr>
                <w:rFonts w:ascii="Arial" w:hAnsi="Arial" w:cs="Arial"/>
                <w:color w:val="000000"/>
              </w:rPr>
            </w:pPr>
            <w:r w:rsidRPr="00F77BEE">
              <w:rPr>
                <w:rFonts w:ascii="Arial" w:hAnsi="Arial" w:cs="Arial"/>
                <w:color w:val="000000"/>
              </w:rPr>
              <w:lastRenderedPageBreak/>
              <w:t>(</w:t>
            </w:r>
            <w:r w:rsidR="00E4794A" w:rsidRPr="00F77BEE">
              <w:rPr>
                <w:rFonts w:ascii="Arial" w:hAnsi="Arial" w:cs="Arial"/>
                <w:color w:val="000000"/>
              </w:rPr>
              <w:t>Post market review report</w:t>
            </w:r>
            <w:r w:rsidRPr="00F77BEE">
              <w:rPr>
                <w:rFonts w:ascii="Arial" w:hAnsi="Arial" w:cs="Arial"/>
                <w:color w:val="000000"/>
              </w:rPr>
              <w:t>)</w:t>
            </w:r>
          </w:p>
        </w:tc>
        <w:tc>
          <w:tcPr>
            <w:tcW w:w="2126" w:type="dxa"/>
          </w:tcPr>
          <w:p w:rsidR="00E4794A" w:rsidRPr="00F77BEE" w:rsidRDefault="00E4794A" w:rsidP="002E6071">
            <w:pPr>
              <w:rPr>
                <w:rFonts w:ascii="Arial" w:hAnsi="Arial" w:cs="Arial"/>
                <w:color w:val="000000"/>
              </w:rPr>
            </w:pPr>
            <w:r w:rsidRPr="00F77BEE">
              <w:rPr>
                <w:rFonts w:ascii="Arial" w:hAnsi="Arial" w:cs="Arial"/>
                <w:color w:val="000000"/>
              </w:rPr>
              <w:lastRenderedPageBreak/>
              <w:t>High cholesterol</w:t>
            </w:r>
          </w:p>
        </w:tc>
        <w:tc>
          <w:tcPr>
            <w:tcW w:w="3261" w:type="dxa"/>
            <w:tcMar>
              <w:top w:w="28" w:type="dxa"/>
              <w:bottom w:w="28" w:type="dxa"/>
            </w:tcMar>
          </w:tcPr>
          <w:p w:rsidR="00E4794A" w:rsidRPr="00F77BEE" w:rsidRDefault="00E4794A" w:rsidP="00FD5A9C">
            <w:pPr>
              <w:rPr>
                <w:rFonts w:ascii="Arial" w:hAnsi="Arial" w:cs="Arial"/>
              </w:rPr>
            </w:pPr>
            <w:r w:rsidRPr="00F77BEE">
              <w:rPr>
                <w:rFonts w:ascii="Arial" w:hAnsi="Arial" w:cs="Arial"/>
              </w:rPr>
              <w:t>To consider the proposed changes to PBS restrictions following the post market review of ezetimibe.</w:t>
            </w:r>
          </w:p>
        </w:tc>
        <w:tc>
          <w:tcPr>
            <w:tcW w:w="6947" w:type="dxa"/>
            <w:shd w:val="clear" w:color="auto" w:fill="auto"/>
          </w:tcPr>
          <w:p w:rsidR="00E4794A" w:rsidRDefault="00E4794A" w:rsidP="00623190">
            <w:pPr>
              <w:ind w:left="34" w:hanging="34"/>
              <w:jc w:val="both"/>
              <w:rPr>
                <w:rFonts w:ascii="Arial" w:hAnsi="Arial" w:cs="Arial"/>
                <w:color w:val="000000"/>
              </w:rPr>
            </w:pPr>
            <w:r w:rsidRPr="00F77BEE">
              <w:rPr>
                <w:rFonts w:ascii="Arial" w:hAnsi="Arial" w:cs="Arial"/>
                <w:color w:val="000000"/>
              </w:rPr>
              <w:t xml:space="preserve">At its July 2017 meeting, the PBAC considered the Post Market Review of ezetimibe, and recommended that the requirement to meet the clinical criteria set out in the General Statement for Lipid-Lowering Drugs (GSLLD) be removed from the Pharmaceutical Benefit Schedule (PBS) and that PBS listed statins be changed to unrestricted benefits. Prior to implementation, the department sought the PBAC’s advice on the flow on effect of this change to </w:t>
            </w:r>
            <w:proofErr w:type="spellStart"/>
            <w:r w:rsidRPr="00F77BEE">
              <w:rPr>
                <w:rFonts w:ascii="Arial" w:hAnsi="Arial" w:cs="Arial"/>
                <w:color w:val="000000"/>
              </w:rPr>
              <w:t>fenofibrate</w:t>
            </w:r>
            <w:proofErr w:type="spellEnd"/>
            <w:r w:rsidRPr="00F77BEE">
              <w:rPr>
                <w:rFonts w:ascii="Arial" w:hAnsi="Arial" w:cs="Arial"/>
                <w:color w:val="000000"/>
              </w:rPr>
              <w:t xml:space="preserve">, gemfibrozil and the amlodipine with atorvastatin fixed dose combination (FDC) restrictions. </w:t>
            </w:r>
          </w:p>
          <w:p w:rsidR="00623190" w:rsidRPr="00F77BEE" w:rsidRDefault="00623190" w:rsidP="00623190">
            <w:pPr>
              <w:ind w:left="34" w:hanging="34"/>
              <w:jc w:val="both"/>
              <w:rPr>
                <w:rFonts w:ascii="Arial" w:hAnsi="Arial" w:cs="Arial"/>
                <w:color w:val="000000"/>
              </w:rPr>
            </w:pPr>
          </w:p>
          <w:p w:rsidR="00E4794A" w:rsidRDefault="00E4794A" w:rsidP="00623190">
            <w:pPr>
              <w:ind w:left="34" w:hanging="34"/>
              <w:jc w:val="both"/>
              <w:rPr>
                <w:rFonts w:ascii="Arial" w:hAnsi="Arial" w:cs="Arial"/>
                <w:color w:val="000000"/>
              </w:rPr>
            </w:pPr>
            <w:r w:rsidRPr="00F77BEE">
              <w:rPr>
                <w:rFonts w:ascii="Arial" w:hAnsi="Arial" w:cs="Arial"/>
                <w:color w:val="000000"/>
              </w:rPr>
              <w:t>The PBAC recommended that the Restricted Benefit</w:t>
            </w:r>
            <w:r w:rsidR="002460B3" w:rsidRPr="00F77BEE">
              <w:rPr>
                <w:rFonts w:ascii="Arial" w:hAnsi="Arial" w:cs="Arial"/>
                <w:color w:val="000000"/>
              </w:rPr>
              <w:t xml:space="preserve"> for</w:t>
            </w:r>
            <w:r w:rsidRPr="00F77BEE">
              <w:rPr>
                <w:rFonts w:ascii="Arial" w:hAnsi="Arial" w:cs="Arial"/>
                <w:color w:val="000000"/>
              </w:rPr>
              <w:t xml:space="preserve"> </w:t>
            </w:r>
            <w:proofErr w:type="spellStart"/>
            <w:r w:rsidRPr="00F77BEE">
              <w:rPr>
                <w:rFonts w:ascii="Arial" w:hAnsi="Arial" w:cs="Arial"/>
                <w:color w:val="000000"/>
              </w:rPr>
              <w:t>fenofibrate</w:t>
            </w:r>
            <w:proofErr w:type="spellEnd"/>
            <w:r w:rsidRPr="00F77BEE">
              <w:rPr>
                <w:rFonts w:ascii="Arial" w:hAnsi="Arial" w:cs="Arial"/>
                <w:color w:val="000000"/>
              </w:rPr>
              <w:t xml:space="preserve"> (48 mg, 60 tablets, 145 mg, 30 tablets, maximum repeats 5) and gemfibrozil tablets (600 mg, 60 tablets, maximum repeats 5) be changed to unrestricted benefits, consistent with the derestriction of statins. The PBAC considered that the clinical place of </w:t>
            </w:r>
            <w:proofErr w:type="spellStart"/>
            <w:r w:rsidRPr="00F77BEE">
              <w:rPr>
                <w:rFonts w:ascii="Arial" w:hAnsi="Arial" w:cs="Arial"/>
                <w:color w:val="000000"/>
              </w:rPr>
              <w:t>fenofibrate</w:t>
            </w:r>
            <w:proofErr w:type="spellEnd"/>
            <w:r w:rsidRPr="00F77BEE">
              <w:rPr>
                <w:rFonts w:ascii="Arial" w:hAnsi="Arial" w:cs="Arial"/>
                <w:color w:val="000000"/>
              </w:rPr>
              <w:t xml:space="preserve"> and gemfibrozil was well established and derestriction was unlikely to result in inappropriate prescribing or changes in prescribing patterns. However, </w:t>
            </w:r>
            <w:r w:rsidR="002460B3" w:rsidRPr="00F77BEE">
              <w:rPr>
                <w:rFonts w:ascii="Arial" w:hAnsi="Arial" w:cs="Arial"/>
                <w:color w:val="000000"/>
              </w:rPr>
              <w:t xml:space="preserve">the PBAC advised that </w:t>
            </w:r>
            <w:r w:rsidRPr="00F77BEE">
              <w:rPr>
                <w:rFonts w:ascii="Arial" w:hAnsi="Arial" w:cs="Arial"/>
                <w:color w:val="000000"/>
              </w:rPr>
              <w:t>utilisation should be monitored.</w:t>
            </w:r>
          </w:p>
          <w:p w:rsidR="00623190" w:rsidRPr="00F77BEE" w:rsidRDefault="00623190" w:rsidP="00623190">
            <w:pPr>
              <w:ind w:left="34" w:hanging="34"/>
              <w:jc w:val="both"/>
              <w:rPr>
                <w:rFonts w:ascii="Arial" w:hAnsi="Arial" w:cs="Arial"/>
                <w:color w:val="000000"/>
              </w:rPr>
            </w:pPr>
          </w:p>
          <w:p w:rsidR="00E4794A" w:rsidRPr="00F77BEE" w:rsidRDefault="00E4794A" w:rsidP="00623190">
            <w:pPr>
              <w:ind w:left="34" w:hanging="34"/>
              <w:jc w:val="both"/>
              <w:rPr>
                <w:rFonts w:ascii="Arial" w:hAnsi="Arial" w:cs="Arial"/>
                <w:color w:val="000000"/>
              </w:rPr>
            </w:pPr>
            <w:r w:rsidRPr="00F77BEE">
              <w:rPr>
                <w:rFonts w:ascii="Arial" w:hAnsi="Arial" w:cs="Arial"/>
                <w:color w:val="000000"/>
              </w:rPr>
              <w:lastRenderedPageBreak/>
              <w:t xml:space="preserve">The PBAC recommended the 12 month repeat prescription restrictions for gemfibrozil and </w:t>
            </w:r>
            <w:proofErr w:type="spellStart"/>
            <w:r w:rsidRPr="00F77BEE">
              <w:rPr>
                <w:rFonts w:ascii="Arial" w:hAnsi="Arial" w:cs="Arial"/>
                <w:color w:val="000000"/>
              </w:rPr>
              <w:t>fenofibrate</w:t>
            </w:r>
            <w:proofErr w:type="spellEnd"/>
            <w:r w:rsidRPr="00F77BEE">
              <w:rPr>
                <w:rFonts w:ascii="Arial" w:hAnsi="Arial" w:cs="Arial"/>
                <w:color w:val="000000"/>
              </w:rPr>
              <w:t xml:space="preserve"> (maximum repeats 11) remain Restricted Benefit with the following PBS indication: “patient must be receiving treatment under a GP Management Plan or Team Care Arrangements where Medicare benefits were or are payable for the preparation of the Plan or coordination of the Arrangements”, for consistency with other medicines including statins available under this measure.</w:t>
            </w:r>
          </w:p>
          <w:p w:rsidR="002460B3" w:rsidRPr="00F77BEE" w:rsidRDefault="00E4794A" w:rsidP="00623190">
            <w:pPr>
              <w:ind w:left="34" w:hanging="34"/>
              <w:jc w:val="both"/>
              <w:rPr>
                <w:rFonts w:ascii="Arial" w:hAnsi="Arial" w:cs="Arial"/>
                <w:color w:val="000000"/>
              </w:rPr>
            </w:pPr>
            <w:r w:rsidRPr="00F77BEE">
              <w:rPr>
                <w:rFonts w:ascii="Arial" w:hAnsi="Arial" w:cs="Arial"/>
                <w:color w:val="000000"/>
              </w:rPr>
              <w:t xml:space="preserve">The PBAC recommended that the Restricted Benefit </w:t>
            </w:r>
            <w:r w:rsidR="002460B3" w:rsidRPr="00F77BEE">
              <w:rPr>
                <w:rFonts w:ascii="Arial" w:hAnsi="Arial" w:cs="Arial"/>
                <w:color w:val="000000"/>
              </w:rPr>
              <w:t xml:space="preserve">for </w:t>
            </w:r>
            <w:r w:rsidRPr="00F77BEE">
              <w:rPr>
                <w:rFonts w:ascii="Arial" w:hAnsi="Arial" w:cs="Arial"/>
                <w:color w:val="000000"/>
              </w:rPr>
              <w:t>amlodipine with atorvastatin FDC be changed to unrestricted benefit for all indications. Both monotherapies are PBS-listed as unrestricted benefits. The</w:t>
            </w:r>
            <w:r w:rsidR="002460B3" w:rsidRPr="00F77BEE">
              <w:rPr>
                <w:rFonts w:ascii="Arial" w:hAnsi="Arial" w:cs="Arial"/>
                <w:color w:val="000000"/>
              </w:rPr>
              <w:t xml:space="preserve"> PBAC noted that the</w:t>
            </w:r>
            <w:r w:rsidRPr="00F77BEE">
              <w:rPr>
                <w:rFonts w:ascii="Arial" w:hAnsi="Arial" w:cs="Arial"/>
                <w:color w:val="000000"/>
              </w:rPr>
              <w:t xml:space="preserve"> FDC has been PBS listed for some time with relatively stable utilisation and </w:t>
            </w:r>
            <w:r w:rsidR="002460B3" w:rsidRPr="00F77BEE">
              <w:rPr>
                <w:rFonts w:ascii="Arial" w:hAnsi="Arial" w:cs="Arial"/>
                <w:color w:val="000000"/>
              </w:rPr>
              <w:t xml:space="preserve">considered that </w:t>
            </w:r>
            <w:r w:rsidRPr="00F77BEE">
              <w:rPr>
                <w:rFonts w:ascii="Arial" w:hAnsi="Arial" w:cs="Arial"/>
                <w:color w:val="000000"/>
              </w:rPr>
              <w:t>the majority of prescribers are familiar with this formulation. T</w:t>
            </w:r>
            <w:r w:rsidR="002460B3" w:rsidRPr="00F77BEE">
              <w:rPr>
                <w:rFonts w:ascii="Arial" w:hAnsi="Arial" w:cs="Arial"/>
                <w:color w:val="000000"/>
              </w:rPr>
              <w:t>he PBAC t</w:t>
            </w:r>
            <w:r w:rsidRPr="00F77BEE">
              <w:rPr>
                <w:rFonts w:ascii="Arial" w:hAnsi="Arial" w:cs="Arial"/>
                <w:color w:val="000000"/>
              </w:rPr>
              <w:t>herefore</w:t>
            </w:r>
            <w:r w:rsidR="002460B3" w:rsidRPr="00F77BEE">
              <w:rPr>
                <w:rFonts w:ascii="Arial" w:hAnsi="Arial" w:cs="Arial"/>
                <w:color w:val="000000"/>
              </w:rPr>
              <w:t xml:space="preserve"> considered that</w:t>
            </w:r>
            <w:r w:rsidRPr="00F77BEE">
              <w:rPr>
                <w:rFonts w:ascii="Arial" w:hAnsi="Arial" w:cs="Arial"/>
                <w:color w:val="000000"/>
              </w:rPr>
              <w:t xml:space="preserve"> the risks associated with moving FDC amlodipine and atorvastatin to an unrestricted benefit listing were low. </w:t>
            </w:r>
          </w:p>
        </w:tc>
      </w:tr>
      <w:tr w:rsidR="00E4794A" w:rsidRPr="003E19A4" w:rsidTr="00F87016">
        <w:trPr>
          <w:trHeight w:val="1209"/>
        </w:trPr>
        <w:tc>
          <w:tcPr>
            <w:tcW w:w="2977" w:type="dxa"/>
            <w:tcMar>
              <w:top w:w="28" w:type="dxa"/>
              <w:bottom w:w="28" w:type="dxa"/>
            </w:tcMar>
          </w:tcPr>
          <w:p w:rsidR="00E4794A" w:rsidRPr="00F77BEE" w:rsidRDefault="00E4794A" w:rsidP="00CB40FF">
            <w:pPr>
              <w:rPr>
                <w:rFonts w:ascii="Arial" w:hAnsi="Arial" w:cs="Arial"/>
                <w:color w:val="000000"/>
              </w:rPr>
            </w:pPr>
            <w:r w:rsidRPr="00F77BEE">
              <w:rPr>
                <w:rFonts w:ascii="Arial" w:hAnsi="Arial" w:cs="Arial"/>
                <w:color w:val="000000"/>
              </w:rPr>
              <w:lastRenderedPageBreak/>
              <w:t>QUETIAPINE</w:t>
            </w:r>
          </w:p>
          <w:p w:rsidR="00E4794A" w:rsidRPr="00F77BEE" w:rsidRDefault="00E4794A" w:rsidP="00CB40FF">
            <w:pPr>
              <w:rPr>
                <w:rFonts w:ascii="Arial" w:hAnsi="Arial" w:cs="Arial"/>
                <w:b/>
              </w:rPr>
            </w:pPr>
          </w:p>
          <w:p w:rsidR="00E4794A" w:rsidRPr="00F77BEE" w:rsidRDefault="00E4794A" w:rsidP="00CB40FF">
            <w:pPr>
              <w:rPr>
                <w:rFonts w:ascii="Arial" w:hAnsi="Arial" w:cs="Arial"/>
              </w:rPr>
            </w:pPr>
            <w:r w:rsidRPr="00F77BEE">
              <w:rPr>
                <w:rFonts w:ascii="Arial" w:hAnsi="Arial" w:cs="Arial"/>
              </w:rPr>
              <w:t>Tablet 25 mg</w:t>
            </w:r>
          </w:p>
          <w:p w:rsidR="00E4794A" w:rsidRPr="00F77BEE" w:rsidRDefault="00E4794A" w:rsidP="00CB40FF">
            <w:pPr>
              <w:jc w:val="center"/>
              <w:rPr>
                <w:rFonts w:ascii="Arial" w:hAnsi="Arial" w:cs="Arial"/>
                <w:b/>
              </w:rPr>
            </w:pPr>
          </w:p>
          <w:p w:rsidR="008F208C" w:rsidRPr="00F77BEE" w:rsidRDefault="00E4794A" w:rsidP="00CB40FF">
            <w:pPr>
              <w:rPr>
                <w:rFonts w:ascii="Arial" w:hAnsi="Arial" w:cs="Arial"/>
                <w:color w:val="000000"/>
              </w:rPr>
            </w:pPr>
            <w:r w:rsidRPr="00F77BEE">
              <w:rPr>
                <w:rFonts w:ascii="Arial" w:hAnsi="Arial" w:cs="Arial"/>
                <w:color w:val="000000"/>
              </w:rPr>
              <w:t xml:space="preserve">(APO-Quetiapine®, </w:t>
            </w:r>
          </w:p>
          <w:p w:rsidR="00E4794A" w:rsidRPr="00F77BEE" w:rsidRDefault="00E4794A" w:rsidP="00CB40FF">
            <w:pPr>
              <w:rPr>
                <w:rFonts w:ascii="Arial" w:hAnsi="Arial" w:cs="Arial"/>
                <w:color w:val="000000"/>
              </w:rPr>
            </w:pPr>
            <w:r w:rsidRPr="00F77BEE">
              <w:rPr>
                <w:rFonts w:ascii="Arial" w:hAnsi="Arial" w:cs="Arial"/>
                <w:color w:val="000000"/>
              </w:rPr>
              <w:t xml:space="preserve">Apotex Pty Ltd); </w:t>
            </w:r>
            <w:r w:rsidRPr="00F77BEE">
              <w:rPr>
                <w:rFonts w:ascii="Arial" w:hAnsi="Arial" w:cs="Arial"/>
                <w:color w:val="000000"/>
              </w:rPr>
              <w:br/>
              <w:t>(</w:t>
            </w:r>
            <w:proofErr w:type="spellStart"/>
            <w:r w:rsidRPr="00F77BEE">
              <w:rPr>
                <w:rFonts w:ascii="Arial" w:hAnsi="Arial" w:cs="Arial"/>
                <w:color w:val="000000"/>
              </w:rPr>
              <w:t>Chemmart</w:t>
            </w:r>
            <w:proofErr w:type="spellEnd"/>
            <w:r w:rsidRPr="00F77BEE">
              <w:rPr>
                <w:rFonts w:ascii="Arial" w:hAnsi="Arial" w:cs="Arial"/>
                <w:color w:val="000000"/>
              </w:rPr>
              <w:t xml:space="preserve"> Quetiapine®, Apotex Pty Ltd);</w:t>
            </w:r>
          </w:p>
          <w:p w:rsidR="008F208C" w:rsidRPr="00F77BEE" w:rsidRDefault="00E4794A" w:rsidP="00CB40FF">
            <w:pPr>
              <w:rPr>
                <w:rFonts w:ascii="Arial" w:hAnsi="Arial" w:cs="Arial"/>
                <w:color w:val="000000"/>
              </w:rPr>
            </w:pPr>
            <w:r w:rsidRPr="00F77BEE">
              <w:rPr>
                <w:rFonts w:ascii="Arial" w:hAnsi="Arial" w:cs="Arial"/>
                <w:color w:val="000000"/>
              </w:rPr>
              <w:t>(</w:t>
            </w:r>
            <w:proofErr w:type="spellStart"/>
            <w:r w:rsidRPr="00F77BEE">
              <w:rPr>
                <w:rFonts w:ascii="Arial" w:hAnsi="Arial" w:cs="Arial"/>
                <w:color w:val="000000"/>
              </w:rPr>
              <w:t>Delucon</w:t>
            </w:r>
            <w:proofErr w:type="spellEnd"/>
            <w:r w:rsidRPr="00F77BEE">
              <w:rPr>
                <w:rFonts w:ascii="Arial" w:hAnsi="Arial" w:cs="Arial"/>
                <w:color w:val="000000"/>
              </w:rPr>
              <w:t xml:space="preserve">®, </w:t>
            </w:r>
          </w:p>
          <w:p w:rsidR="00E4794A" w:rsidRPr="00F77BEE" w:rsidRDefault="00E4794A" w:rsidP="00CB40FF">
            <w:pPr>
              <w:rPr>
                <w:rFonts w:ascii="Arial" w:hAnsi="Arial" w:cs="Arial"/>
                <w:color w:val="000000"/>
              </w:rPr>
            </w:pPr>
            <w:proofErr w:type="spellStart"/>
            <w:r w:rsidRPr="00F77BEE">
              <w:rPr>
                <w:rFonts w:ascii="Arial" w:hAnsi="Arial" w:cs="Arial"/>
                <w:color w:val="000000"/>
              </w:rPr>
              <w:t>Aurobindo</w:t>
            </w:r>
            <w:proofErr w:type="spellEnd"/>
            <w:r w:rsidRPr="00F77BEE">
              <w:rPr>
                <w:rFonts w:ascii="Arial" w:hAnsi="Arial" w:cs="Arial"/>
                <w:color w:val="000000"/>
              </w:rPr>
              <w:t xml:space="preserve"> Pharma Australia Pty Ltd);</w:t>
            </w:r>
            <w:r w:rsidRPr="00F77BEE">
              <w:rPr>
                <w:rFonts w:ascii="Arial" w:hAnsi="Arial" w:cs="Arial"/>
                <w:color w:val="000000"/>
              </w:rPr>
              <w:br/>
              <w:t>(</w:t>
            </w:r>
            <w:proofErr w:type="spellStart"/>
            <w:r w:rsidRPr="00F77BEE">
              <w:rPr>
                <w:rFonts w:ascii="Arial" w:hAnsi="Arial" w:cs="Arial"/>
                <w:color w:val="000000"/>
              </w:rPr>
              <w:t>Kaptan</w:t>
            </w:r>
            <w:proofErr w:type="spellEnd"/>
            <w:r w:rsidRPr="00F77BEE">
              <w:rPr>
                <w:rFonts w:ascii="Arial" w:hAnsi="Arial" w:cs="Arial"/>
                <w:color w:val="000000"/>
              </w:rPr>
              <w:t>®, Eris Pharmaceuticals Australia Pty Ltd);</w:t>
            </w:r>
          </w:p>
          <w:p w:rsidR="00E4794A" w:rsidRPr="00F77BEE" w:rsidRDefault="00E4794A" w:rsidP="00CB40FF">
            <w:pPr>
              <w:rPr>
                <w:rFonts w:ascii="Arial" w:hAnsi="Arial" w:cs="Arial"/>
                <w:color w:val="000000"/>
              </w:rPr>
            </w:pPr>
            <w:r w:rsidRPr="00F77BEE">
              <w:rPr>
                <w:rFonts w:ascii="Arial" w:hAnsi="Arial" w:cs="Arial"/>
                <w:color w:val="000000"/>
              </w:rPr>
              <w:t>(</w:t>
            </w:r>
            <w:proofErr w:type="spellStart"/>
            <w:r w:rsidRPr="00F77BEE">
              <w:rPr>
                <w:rFonts w:ascii="Arial" w:hAnsi="Arial" w:cs="Arial"/>
                <w:color w:val="000000"/>
              </w:rPr>
              <w:t>Pharmacor</w:t>
            </w:r>
            <w:proofErr w:type="spellEnd"/>
            <w:r w:rsidRPr="00F77BEE">
              <w:rPr>
                <w:rFonts w:ascii="Arial" w:hAnsi="Arial" w:cs="Arial"/>
                <w:color w:val="000000"/>
              </w:rPr>
              <w:t xml:space="preserve"> Quetiapine®, </w:t>
            </w:r>
            <w:proofErr w:type="spellStart"/>
            <w:r w:rsidRPr="00F77BEE">
              <w:rPr>
                <w:rFonts w:ascii="Arial" w:hAnsi="Arial" w:cs="Arial"/>
                <w:color w:val="000000"/>
              </w:rPr>
              <w:t>Pharmacor</w:t>
            </w:r>
            <w:proofErr w:type="spellEnd"/>
            <w:r w:rsidRPr="00F77BEE">
              <w:rPr>
                <w:rFonts w:ascii="Arial" w:hAnsi="Arial" w:cs="Arial"/>
                <w:color w:val="000000"/>
              </w:rPr>
              <w:t xml:space="preserve"> Pty Ltd);</w:t>
            </w:r>
            <w:r w:rsidRPr="00F77BEE">
              <w:rPr>
                <w:rFonts w:ascii="Arial" w:hAnsi="Arial" w:cs="Arial"/>
                <w:color w:val="000000"/>
              </w:rPr>
              <w:br/>
              <w:t>(</w:t>
            </w:r>
            <w:proofErr w:type="spellStart"/>
            <w:r w:rsidRPr="00F77BEE">
              <w:rPr>
                <w:rFonts w:ascii="Arial" w:hAnsi="Arial" w:cs="Arial"/>
                <w:color w:val="000000"/>
              </w:rPr>
              <w:t>Quetia</w:t>
            </w:r>
            <w:proofErr w:type="spellEnd"/>
            <w:r w:rsidRPr="00F77BEE">
              <w:rPr>
                <w:rFonts w:ascii="Arial" w:hAnsi="Arial" w:cs="Arial"/>
                <w:color w:val="000000"/>
              </w:rPr>
              <w:t>®, Arrow Pharma Pty Ltd);</w:t>
            </w:r>
            <w:r w:rsidRPr="00F77BEE">
              <w:rPr>
                <w:rFonts w:ascii="Arial" w:hAnsi="Arial" w:cs="Arial"/>
                <w:color w:val="000000"/>
              </w:rPr>
              <w:br/>
              <w:t>(</w:t>
            </w:r>
            <w:proofErr w:type="spellStart"/>
            <w:r w:rsidRPr="00F77BEE">
              <w:rPr>
                <w:rFonts w:ascii="Arial" w:hAnsi="Arial" w:cs="Arial"/>
                <w:color w:val="000000"/>
              </w:rPr>
              <w:t>Quetiaccord</w:t>
            </w:r>
            <w:proofErr w:type="spellEnd"/>
            <w:r w:rsidRPr="00F77BEE">
              <w:rPr>
                <w:rFonts w:ascii="Arial" w:hAnsi="Arial" w:cs="Arial"/>
                <w:color w:val="000000"/>
              </w:rPr>
              <w:t>®, Accord Healthcare Pty Ltd);</w:t>
            </w:r>
            <w:r w:rsidRPr="00F77BEE">
              <w:rPr>
                <w:rFonts w:ascii="Arial" w:hAnsi="Arial" w:cs="Arial"/>
                <w:color w:val="000000"/>
              </w:rPr>
              <w:br/>
              <w:t xml:space="preserve">(Quetiapine Actavis®, Actavis </w:t>
            </w:r>
            <w:r w:rsidRPr="00F77BEE">
              <w:rPr>
                <w:rFonts w:ascii="Arial" w:hAnsi="Arial" w:cs="Arial"/>
                <w:color w:val="000000"/>
              </w:rPr>
              <w:lastRenderedPageBreak/>
              <w:t>Australia Pty Ltd);</w:t>
            </w:r>
            <w:r w:rsidRPr="00F77BEE">
              <w:rPr>
                <w:rFonts w:ascii="Arial" w:hAnsi="Arial" w:cs="Arial"/>
                <w:color w:val="000000"/>
              </w:rPr>
              <w:br/>
              <w:t xml:space="preserve">(Quetiapine AN®, </w:t>
            </w:r>
            <w:proofErr w:type="spellStart"/>
            <w:r w:rsidRPr="00F77BEE">
              <w:rPr>
                <w:rFonts w:ascii="Arial" w:hAnsi="Arial" w:cs="Arial"/>
                <w:color w:val="000000"/>
              </w:rPr>
              <w:t>Amneal</w:t>
            </w:r>
            <w:proofErr w:type="spellEnd"/>
            <w:r w:rsidRPr="00F77BEE">
              <w:rPr>
                <w:rFonts w:ascii="Arial" w:hAnsi="Arial" w:cs="Arial"/>
                <w:color w:val="000000"/>
              </w:rPr>
              <w:t xml:space="preserve"> Pharma Australia Pty Ltd);</w:t>
            </w:r>
            <w:r w:rsidRPr="00F77BEE">
              <w:rPr>
                <w:rFonts w:ascii="Arial" w:hAnsi="Arial" w:cs="Arial"/>
                <w:color w:val="000000"/>
              </w:rPr>
              <w:br/>
              <w:t>(Quetiapine GH®, Generic Health Pty Ltd);</w:t>
            </w:r>
            <w:r w:rsidRPr="00F77BEE">
              <w:rPr>
                <w:rFonts w:ascii="Arial" w:hAnsi="Arial" w:cs="Arial"/>
                <w:color w:val="000000"/>
              </w:rPr>
              <w:br/>
              <w:t xml:space="preserve">(Quetiapine Pfizer®, </w:t>
            </w:r>
            <w:proofErr w:type="spellStart"/>
            <w:r w:rsidRPr="00F77BEE">
              <w:rPr>
                <w:rFonts w:ascii="Arial" w:hAnsi="Arial" w:cs="Arial"/>
                <w:color w:val="000000"/>
              </w:rPr>
              <w:t>Scentia</w:t>
            </w:r>
            <w:proofErr w:type="spellEnd"/>
            <w:r w:rsidRPr="00F77BEE">
              <w:rPr>
                <w:rFonts w:ascii="Arial" w:hAnsi="Arial" w:cs="Arial"/>
                <w:color w:val="000000"/>
              </w:rPr>
              <w:t xml:space="preserve"> Pharmaceuticals Pty Ltd);</w:t>
            </w:r>
            <w:r w:rsidRPr="00F77BEE">
              <w:rPr>
                <w:rFonts w:ascii="Arial" w:hAnsi="Arial" w:cs="Arial"/>
                <w:color w:val="000000"/>
              </w:rPr>
              <w:br/>
              <w:t>(Quetiapine RBX®, Ranbaxy Australia Pty Ltd);</w:t>
            </w:r>
            <w:r w:rsidRPr="00F77BEE">
              <w:rPr>
                <w:rFonts w:ascii="Arial" w:hAnsi="Arial" w:cs="Arial"/>
                <w:color w:val="000000"/>
              </w:rPr>
              <w:br/>
              <w:t>(Quetiapine Sandoz®, Sandoz Pty Ltd);</w:t>
            </w:r>
            <w:r w:rsidRPr="00F77BEE">
              <w:rPr>
                <w:rFonts w:ascii="Arial" w:hAnsi="Arial" w:cs="Arial"/>
                <w:color w:val="000000"/>
              </w:rPr>
              <w:br/>
              <w:t>(Quetiapine-DRLA®, Dr Reddy’s Laboratories Australia Pty Ltd);</w:t>
            </w:r>
            <w:r w:rsidRPr="00F77BEE">
              <w:rPr>
                <w:rFonts w:ascii="Arial" w:hAnsi="Arial" w:cs="Arial"/>
                <w:color w:val="000000"/>
              </w:rPr>
              <w:br/>
              <w:t>(Quetiapine-GA®, Actavis Australia Pty Ltd);</w:t>
            </w:r>
            <w:r w:rsidRPr="00F77BEE">
              <w:rPr>
                <w:rFonts w:ascii="Arial" w:hAnsi="Arial" w:cs="Arial"/>
                <w:color w:val="000000"/>
              </w:rPr>
              <w:br/>
              <w:t>(</w:t>
            </w:r>
            <w:proofErr w:type="spellStart"/>
            <w:r w:rsidRPr="00F77BEE">
              <w:rPr>
                <w:rFonts w:ascii="Arial" w:hAnsi="Arial" w:cs="Arial"/>
                <w:color w:val="000000"/>
              </w:rPr>
              <w:t>Seronia</w:t>
            </w:r>
            <w:proofErr w:type="spellEnd"/>
            <w:r w:rsidRPr="00F77BEE">
              <w:rPr>
                <w:rFonts w:ascii="Arial" w:hAnsi="Arial" w:cs="Arial"/>
                <w:color w:val="000000"/>
              </w:rPr>
              <w:t>®, Arrow Pharma Pty Ltd);</w:t>
            </w:r>
            <w:r w:rsidRPr="00F77BEE">
              <w:rPr>
                <w:rFonts w:ascii="Arial" w:hAnsi="Arial" w:cs="Arial"/>
                <w:color w:val="000000"/>
              </w:rPr>
              <w:br/>
              <w:t>(Seroquel®, AstraZeneca Pty Ltd);</w:t>
            </w:r>
            <w:r w:rsidRPr="00F77BEE">
              <w:rPr>
                <w:rFonts w:ascii="Arial" w:hAnsi="Arial" w:cs="Arial"/>
                <w:color w:val="000000"/>
              </w:rPr>
              <w:br/>
              <w:t>(</w:t>
            </w:r>
            <w:proofErr w:type="spellStart"/>
            <w:r w:rsidRPr="00F77BEE">
              <w:rPr>
                <w:rFonts w:ascii="Arial" w:hAnsi="Arial" w:cs="Arial"/>
                <w:color w:val="000000"/>
              </w:rPr>
              <w:t>Syquet</w:t>
            </w:r>
            <w:proofErr w:type="spellEnd"/>
            <w:r w:rsidRPr="00F77BEE">
              <w:rPr>
                <w:rFonts w:ascii="Arial" w:hAnsi="Arial" w:cs="Arial"/>
                <w:color w:val="000000"/>
              </w:rPr>
              <w:t>®, Accord Healthcare Pty Ltd);</w:t>
            </w:r>
            <w:r w:rsidRPr="00F77BEE">
              <w:rPr>
                <w:rFonts w:ascii="Arial" w:hAnsi="Arial" w:cs="Arial"/>
                <w:color w:val="000000"/>
              </w:rPr>
              <w:br/>
              <w:t xml:space="preserve">(Terry White Chemists </w:t>
            </w:r>
          </w:p>
          <w:p w:rsidR="00E4794A" w:rsidRPr="00F77BEE" w:rsidRDefault="00E4794A" w:rsidP="00CB40FF">
            <w:pPr>
              <w:rPr>
                <w:rFonts w:ascii="Arial" w:hAnsi="Arial" w:cs="Arial"/>
                <w:color w:val="000000"/>
              </w:rPr>
            </w:pPr>
          </w:p>
          <w:p w:rsidR="00E4794A" w:rsidRPr="00F77BEE" w:rsidRDefault="00E4794A" w:rsidP="00CB40FF">
            <w:pPr>
              <w:rPr>
                <w:rFonts w:ascii="Arial" w:hAnsi="Arial" w:cs="Arial"/>
                <w:color w:val="000000"/>
              </w:rPr>
            </w:pPr>
            <w:r w:rsidRPr="00F77BEE">
              <w:rPr>
                <w:rFonts w:ascii="Arial" w:hAnsi="Arial" w:cs="Arial"/>
                <w:color w:val="000000"/>
              </w:rPr>
              <w:t>Quetiapine®, Apotex Pty Ltd)</w:t>
            </w:r>
          </w:p>
          <w:p w:rsidR="00E4794A" w:rsidRPr="00F77BEE" w:rsidRDefault="00E4794A" w:rsidP="00CB40FF">
            <w:pPr>
              <w:rPr>
                <w:rFonts w:ascii="Arial" w:hAnsi="Arial" w:cs="Arial"/>
                <w:b/>
              </w:rPr>
            </w:pPr>
          </w:p>
          <w:p w:rsidR="00E4794A" w:rsidRPr="00F77BEE" w:rsidRDefault="00E4794A" w:rsidP="006A7E12">
            <w:pPr>
              <w:rPr>
                <w:rFonts w:ascii="Arial" w:hAnsi="Arial" w:cs="Arial"/>
              </w:rPr>
            </w:pPr>
            <w:r w:rsidRPr="00F77BEE">
              <w:rPr>
                <w:rFonts w:ascii="Arial" w:hAnsi="Arial" w:cs="Arial"/>
              </w:rPr>
              <w:t>Change to listing (Correspondence)</w:t>
            </w:r>
          </w:p>
        </w:tc>
        <w:tc>
          <w:tcPr>
            <w:tcW w:w="2126" w:type="dxa"/>
          </w:tcPr>
          <w:p w:rsidR="00E4794A" w:rsidRPr="00F77BEE" w:rsidRDefault="00E4794A" w:rsidP="00CB40FF">
            <w:pPr>
              <w:rPr>
                <w:rFonts w:ascii="Arial" w:hAnsi="Arial" w:cs="Arial"/>
                <w:color w:val="000000"/>
              </w:rPr>
            </w:pPr>
            <w:r w:rsidRPr="00F77BEE">
              <w:rPr>
                <w:rFonts w:ascii="Arial" w:hAnsi="Arial" w:cs="Arial"/>
                <w:color w:val="000000"/>
              </w:rPr>
              <w:lastRenderedPageBreak/>
              <w:t>Schizophrenia, acute mania and bipolar I disorder</w:t>
            </w:r>
          </w:p>
          <w:p w:rsidR="00E4794A" w:rsidRPr="00F77BEE" w:rsidRDefault="00E4794A" w:rsidP="00CB40FF">
            <w:pPr>
              <w:rPr>
                <w:rFonts w:ascii="Arial" w:hAnsi="Arial" w:cs="Arial"/>
              </w:rPr>
            </w:pPr>
          </w:p>
        </w:tc>
        <w:tc>
          <w:tcPr>
            <w:tcW w:w="3261" w:type="dxa"/>
            <w:tcMar>
              <w:top w:w="28" w:type="dxa"/>
              <w:bottom w:w="28" w:type="dxa"/>
            </w:tcMar>
          </w:tcPr>
          <w:p w:rsidR="00E4794A" w:rsidRPr="00F77BEE" w:rsidRDefault="00E4794A" w:rsidP="00CB40FF">
            <w:pPr>
              <w:rPr>
                <w:rFonts w:ascii="Arial" w:hAnsi="Arial" w:cs="Arial"/>
                <w:color w:val="000000"/>
              </w:rPr>
            </w:pPr>
            <w:r w:rsidRPr="00F77BEE">
              <w:rPr>
                <w:rFonts w:ascii="Arial" w:hAnsi="Arial" w:cs="Arial"/>
                <w:color w:val="000000"/>
              </w:rPr>
              <w:t xml:space="preserve">The </w:t>
            </w:r>
            <w:r w:rsidR="002460B3" w:rsidRPr="00F77BEE">
              <w:rPr>
                <w:rFonts w:ascii="Arial" w:hAnsi="Arial" w:cs="Arial"/>
                <w:color w:val="000000"/>
              </w:rPr>
              <w:t>Royal Australian and New Zealand College of Psychiatrists (</w:t>
            </w:r>
            <w:r w:rsidRPr="00F77BEE">
              <w:rPr>
                <w:rFonts w:ascii="Arial" w:hAnsi="Arial" w:cs="Arial"/>
                <w:color w:val="000000"/>
              </w:rPr>
              <w:t>RANZCP</w:t>
            </w:r>
            <w:r w:rsidR="002460B3" w:rsidRPr="00F77BEE">
              <w:rPr>
                <w:rFonts w:ascii="Arial" w:hAnsi="Arial" w:cs="Arial"/>
                <w:color w:val="000000"/>
              </w:rPr>
              <w:t>)</w:t>
            </w:r>
            <w:r w:rsidRPr="00F77BEE">
              <w:rPr>
                <w:rFonts w:ascii="Arial" w:hAnsi="Arial" w:cs="Arial"/>
                <w:color w:val="000000"/>
              </w:rPr>
              <w:t xml:space="preserve"> requested that the 25 mg form of the drug quetiapine be made available for maintenance therapy with 5 repeats.</w:t>
            </w:r>
          </w:p>
          <w:p w:rsidR="00E4794A" w:rsidRPr="00F77BEE" w:rsidRDefault="00E4794A" w:rsidP="00CB40FF">
            <w:pPr>
              <w:spacing w:after="120"/>
              <w:rPr>
                <w:rFonts w:ascii="Arial" w:eastAsia="SimSun" w:hAnsi="Arial" w:cs="Arial"/>
              </w:rPr>
            </w:pPr>
          </w:p>
        </w:tc>
        <w:tc>
          <w:tcPr>
            <w:tcW w:w="6947" w:type="dxa"/>
            <w:shd w:val="clear" w:color="auto" w:fill="auto"/>
          </w:tcPr>
          <w:p w:rsidR="00DE5D28" w:rsidRPr="00F77BEE" w:rsidRDefault="00E4794A" w:rsidP="00DE5D28">
            <w:pPr>
              <w:widowControl w:val="0"/>
              <w:jc w:val="both"/>
              <w:rPr>
                <w:rFonts w:ascii="Arial" w:hAnsi="Arial" w:cs="Arial"/>
                <w:color w:val="000000"/>
              </w:rPr>
            </w:pPr>
            <w:r w:rsidRPr="00F77BEE">
              <w:rPr>
                <w:rFonts w:ascii="Arial" w:hAnsi="Arial" w:cs="Arial"/>
                <w:color w:val="000000"/>
              </w:rPr>
              <w:t>PBAC recommended that the current listing for the 25 mg strength quetiapine tablets be changed to allow for up to 5 repeats via Authority Required prescription for maintenance therapy for treatment of acute mania, bipolar 1 disorder and the treatment of schizophrenia.</w:t>
            </w:r>
          </w:p>
          <w:p w:rsidR="002460B3" w:rsidRPr="00F77BEE" w:rsidRDefault="002460B3" w:rsidP="002460B3">
            <w:pPr>
              <w:widowControl w:val="0"/>
              <w:jc w:val="both"/>
              <w:rPr>
                <w:rFonts w:ascii="Arial" w:hAnsi="Arial" w:cs="Arial"/>
                <w:color w:val="000000"/>
              </w:rPr>
            </w:pPr>
          </w:p>
        </w:tc>
      </w:tr>
    </w:tbl>
    <w:p w:rsidR="00640C80" w:rsidRPr="003E19A4" w:rsidRDefault="00640C80" w:rsidP="00E83FF4">
      <w:pPr>
        <w:tabs>
          <w:tab w:val="left" w:pos="5210"/>
        </w:tabs>
        <w:rPr>
          <w:rFonts w:ascii="Arial" w:hAnsi="Arial" w:cs="Arial"/>
          <w:lang w:val="en-US"/>
        </w:rPr>
      </w:pPr>
    </w:p>
    <w:sectPr w:rsidR="00640C80" w:rsidRPr="003E19A4"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D61CC5">
      <w:rPr>
        <w:rStyle w:val="PageNumber"/>
        <w:rFonts w:ascii="Arial" w:hAnsi="Arial" w:cs="Arial"/>
        <w:noProof/>
      </w:rPr>
      <w:t>3</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464947" w:rsidP="0071356F">
    <w:pPr>
      <w:pStyle w:val="Header"/>
      <w:jc w:val="center"/>
      <w:rPr>
        <w:rFonts w:ascii="Arial" w:hAnsi="Arial" w:cs="Arial"/>
        <w:b/>
      </w:rPr>
    </w:pPr>
    <w:r>
      <w:rPr>
        <w:rFonts w:ascii="Arial" w:hAnsi="Arial" w:cs="Arial"/>
        <w:b/>
      </w:rPr>
      <w:t>MARCH</w:t>
    </w:r>
    <w:r w:rsidR="00D350E5">
      <w:rPr>
        <w:rFonts w:ascii="Arial" w:hAnsi="Arial" w:cs="Arial"/>
        <w:b/>
      </w:rPr>
      <w:t xml:space="preserve"> 201</w:t>
    </w:r>
    <w:r>
      <w:rPr>
        <w:rFonts w:ascii="Arial" w:hAnsi="Arial" w:cs="Arial"/>
        <w:b/>
      </w:rPr>
      <w:t>8</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0971D07"/>
    <w:multiLevelType w:val="multilevel"/>
    <w:tmpl w:val="A34C13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Arial"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1C607FF"/>
    <w:multiLevelType w:val="hybridMultilevel"/>
    <w:tmpl w:val="F938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nsid w:val="3BE74414"/>
    <w:multiLevelType w:val="multilevel"/>
    <w:tmpl w:val="F31881A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45D751D"/>
    <w:multiLevelType w:val="hybridMultilevel"/>
    <w:tmpl w:val="A20C5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1">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nsid w:val="5FDC3476"/>
    <w:multiLevelType w:val="hybridMultilevel"/>
    <w:tmpl w:val="83422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1C9156D"/>
    <w:multiLevelType w:val="hybridMultilevel"/>
    <w:tmpl w:val="55949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4E02105"/>
    <w:multiLevelType w:val="multilevel"/>
    <w:tmpl w:val="0D2E11A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564CBC"/>
    <w:multiLevelType w:val="hybridMultilevel"/>
    <w:tmpl w:val="01C6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ABB39AE"/>
    <w:multiLevelType w:val="hybridMultilevel"/>
    <w:tmpl w:val="32148F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5">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FD26FAC"/>
    <w:multiLevelType w:val="hybridMultilevel"/>
    <w:tmpl w:val="EED04ECA"/>
    <w:lvl w:ilvl="0" w:tplc="0C090001">
      <w:start w:val="1"/>
      <w:numFmt w:val="bullet"/>
      <w:lvlText w:val=""/>
      <w:lvlJc w:val="left"/>
      <w:pPr>
        <w:ind w:left="720" w:hanging="360"/>
      </w:pPr>
      <w:rPr>
        <w:rFonts w:ascii="Symbol" w:hAnsi="Symbol" w:hint="default"/>
      </w:rPr>
    </w:lvl>
    <w:lvl w:ilvl="1" w:tplc="BBEC001A">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35"/>
  </w:num>
  <w:num w:numId="4">
    <w:abstractNumId w:val="25"/>
  </w:num>
  <w:num w:numId="5">
    <w:abstractNumId w:val="13"/>
  </w:num>
  <w:num w:numId="6">
    <w:abstractNumId w:val="8"/>
  </w:num>
  <w:num w:numId="7">
    <w:abstractNumId w:val="3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1"/>
  </w:num>
  <w:num w:numId="11">
    <w:abstractNumId w:val="27"/>
  </w:num>
  <w:num w:numId="12">
    <w:abstractNumId w:val="30"/>
  </w:num>
  <w:num w:numId="13">
    <w:abstractNumId w:val="9"/>
  </w:num>
  <w:num w:numId="14">
    <w:abstractNumId w:val="29"/>
  </w:num>
  <w:num w:numId="15">
    <w:abstractNumId w:val="31"/>
  </w:num>
  <w:num w:numId="16">
    <w:abstractNumId w:val="26"/>
  </w:num>
  <w:num w:numId="17">
    <w:abstractNumId w:val="46"/>
  </w:num>
  <w:num w:numId="18">
    <w:abstractNumId w:val="48"/>
  </w:num>
  <w:num w:numId="19">
    <w:abstractNumId w:val="5"/>
  </w:num>
  <w:num w:numId="20">
    <w:abstractNumId w:val="14"/>
  </w:num>
  <w:num w:numId="21">
    <w:abstractNumId w:val="16"/>
  </w:num>
  <w:num w:numId="22">
    <w:abstractNumId w:val="43"/>
  </w:num>
  <w:num w:numId="23">
    <w:abstractNumId w:val="4"/>
  </w:num>
  <w:num w:numId="24">
    <w:abstractNumId w:val="20"/>
  </w:num>
  <w:num w:numId="25">
    <w:abstractNumId w:val="12"/>
  </w:num>
  <w:num w:numId="26">
    <w:abstractNumId w:val="10"/>
  </w:num>
  <w:num w:numId="27">
    <w:abstractNumId w:val="22"/>
  </w:num>
  <w:num w:numId="28">
    <w:abstractNumId w:val="24"/>
  </w:num>
  <w:num w:numId="29">
    <w:abstractNumId w:val="21"/>
  </w:num>
  <w:num w:numId="30">
    <w:abstractNumId w:val="47"/>
  </w:num>
  <w:num w:numId="31">
    <w:abstractNumId w:val="17"/>
  </w:num>
  <w:num w:numId="32">
    <w:abstractNumId w:val="39"/>
  </w:num>
  <w:num w:numId="33">
    <w:abstractNumId w:val="45"/>
  </w:num>
  <w:num w:numId="34">
    <w:abstractNumId w:val="42"/>
  </w:num>
  <w:num w:numId="35">
    <w:abstractNumId w:val="3"/>
  </w:num>
  <w:num w:numId="36">
    <w:abstractNumId w:val="40"/>
  </w:num>
  <w:num w:numId="37">
    <w:abstractNumId w:val="2"/>
  </w:num>
  <w:num w:numId="38">
    <w:abstractNumId w:val="19"/>
  </w:num>
  <w:num w:numId="39">
    <w:abstractNumId w:val="1"/>
  </w:num>
  <w:num w:numId="40">
    <w:abstractNumId w:val="49"/>
  </w:num>
  <w:num w:numId="41">
    <w:abstractNumId w:val="28"/>
  </w:num>
  <w:num w:numId="42">
    <w:abstractNumId w:val="32"/>
  </w:num>
  <w:num w:numId="43">
    <w:abstractNumId w:val="7"/>
  </w:num>
  <w:num w:numId="44">
    <w:abstractNumId w:val="37"/>
  </w:num>
  <w:num w:numId="45">
    <w:abstractNumId w:val="44"/>
  </w:num>
  <w:num w:numId="46">
    <w:abstractNumId w:val="18"/>
  </w:num>
  <w:num w:numId="47">
    <w:abstractNumId w:val="34"/>
  </w:num>
  <w:num w:numId="48">
    <w:abstractNumId w:val="23"/>
  </w:num>
  <w:num w:numId="49">
    <w:abstractNumId w:val="3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276"/>
    <w:rsid w:val="00092523"/>
    <w:rsid w:val="00093960"/>
    <w:rsid w:val="0009470A"/>
    <w:rsid w:val="00095C30"/>
    <w:rsid w:val="00096161"/>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79F"/>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70013"/>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6D6"/>
    <w:rsid w:val="00282CDE"/>
    <w:rsid w:val="00283073"/>
    <w:rsid w:val="0028348A"/>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6522"/>
    <w:rsid w:val="00326E9B"/>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C10"/>
    <w:rsid w:val="006F29B4"/>
    <w:rsid w:val="006F6248"/>
    <w:rsid w:val="006F6D3E"/>
    <w:rsid w:val="006F6DDA"/>
    <w:rsid w:val="006F7041"/>
    <w:rsid w:val="006F7B92"/>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E7"/>
    <w:rsid w:val="007B0810"/>
    <w:rsid w:val="007B104F"/>
    <w:rsid w:val="007B13D2"/>
    <w:rsid w:val="007B1418"/>
    <w:rsid w:val="007B1C29"/>
    <w:rsid w:val="007B2177"/>
    <w:rsid w:val="007B2FF1"/>
    <w:rsid w:val="007B3B84"/>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157B"/>
    <w:rsid w:val="00873845"/>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72D"/>
    <w:rsid w:val="0090518E"/>
    <w:rsid w:val="0090563D"/>
    <w:rsid w:val="00906AF0"/>
    <w:rsid w:val="00906EF4"/>
    <w:rsid w:val="00910287"/>
    <w:rsid w:val="00910AAA"/>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E6"/>
    <w:rsid w:val="00A20573"/>
    <w:rsid w:val="00A207FA"/>
    <w:rsid w:val="00A20C94"/>
    <w:rsid w:val="00A21C4C"/>
    <w:rsid w:val="00A220B7"/>
    <w:rsid w:val="00A22649"/>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FFC"/>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D56"/>
    <w:rsid w:val="00B75CCA"/>
    <w:rsid w:val="00B768A7"/>
    <w:rsid w:val="00B76970"/>
    <w:rsid w:val="00B76F65"/>
    <w:rsid w:val="00B7738B"/>
    <w:rsid w:val="00B77809"/>
    <w:rsid w:val="00B77E9E"/>
    <w:rsid w:val="00B80406"/>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59"/>
    <w:rsid w:val="00BD7902"/>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DDC"/>
    <w:rsid w:val="00C34E1F"/>
    <w:rsid w:val="00C35C70"/>
    <w:rsid w:val="00C35E26"/>
    <w:rsid w:val="00C3626A"/>
    <w:rsid w:val="00C36684"/>
    <w:rsid w:val="00C36F0A"/>
    <w:rsid w:val="00C36F4F"/>
    <w:rsid w:val="00C372CB"/>
    <w:rsid w:val="00C3798E"/>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675A"/>
    <w:rsid w:val="00C76E9D"/>
    <w:rsid w:val="00C816DF"/>
    <w:rsid w:val="00C81EE9"/>
    <w:rsid w:val="00C820EE"/>
    <w:rsid w:val="00C84713"/>
    <w:rsid w:val="00C84758"/>
    <w:rsid w:val="00C853AB"/>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55F7"/>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D9D"/>
    <w:rsid w:val="00E54446"/>
    <w:rsid w:val="00E54704"/>
    <w:rsid w:val="00E55DC8"/>
    <w:rsid w:val="00E567C7"/>
    <w:rsid w:val="00E56821"/>
    <w:rsid w:val="00E569DE"/>
    <w:rsid w:val="00E56F73"/>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1CAD"/>
    <w:rsid w:val="00EA2FC0"/>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016"/>
    <w:rsid w:val="00F87B71"/>
    <w:rsid w:val="00F87EB0"/>
    <w:rsid w:val="00F9052C"/>
    <w:rsid w:val="00F9135D"/>
    <w:rsid w:val="00F91B71"/>
    <w:rsid w:val="00F91BA8"/>
    <w:rsid w:val="00F9260F"/>
    <w:rsid w:val="00F9308E"/>
    <w:rsid w:val="00F93541"/>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FCA8-472C-4718-A16A-BC15315F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2348</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2018-04-12T03:52:00Z</dcterms:created>
  <dcterms:modified xsi:type="dcterms:W3CDTF">2018-04-27T00:53:00Z</dcterms:modified>
</cp:coreProperties>
</file>