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126"/>
        <w:gridCol w:w="1984"/>
        <w:gridCol w:w="3969"/>
        <w:gridCol w:w="5245"/>
      </w:tblGrid>
      <w:tr w:rsidR="0010394D" w:rsidRPr="008D0CCA" w:rsidTr="00F61C70">
        <w:trPr>
          <w:tblHeader/>
        </w:trPr>
        <w:tc>
          <w:tcPr>
            <w:tcW w:w="2127" w:type="dxa"/>
          </w:tcPr>
          <w:p w:rsidR="0010394D" w:rsidRPr="008D0CCA" w:rsidRDefault="001047FA" w:rsidP="001047FA">
            <w:pPr>
              <w:pStyle w:val="Header"/>
              <w:spacing w:after="240"/>
              <w:contextualSpacing/>
              <w:jc w:val="center"/>
              <w:rPr>
                <w:rFonts w:ascii="Arial" w:hAnsi="Arial" w:cs="Arial"/>
                <w:b/>
                <w:snapToGrid w:val="0"/>
                <w:sz w:val="20"/>
                <w:lang w:eastAsia="en-US"/>
              </w:rPr>
            </w:pPr>
            <w:r w:rsidRPr="008D0CCA">
              <w:rPr>
                <w:rFonts w:ascii="Arial" w:hAnsi="Arial" w:cs="Arial"/>
                <w:b/>
                <w:snapToGrid w:val="0"/>
                <w:sz w:val="20"/>
                <w:lang w:eastAsia="en-US"/>
              </w:rPr>
              <w:t>DRUG NAME, FORM(S), STRENGTH(S), SPONSOR, TYPE OF SUBMISSION</w:t>
            </w:r>
          </w:p>
        </w:tc>
        <w:tc>
          <w:tcPr>
            <w:tcW w:w="2126" w:type="dxa"/>
          </w:tcPr>
          <w:p w:rsidR="001047FA" w:rsidRPr="008D0CCA" w:rsidRDefault="001047FA" w:rsidP="001047FA">
            <w:pPr>
              <w:pStyle w:val="Header"/>
              <w:spacing w:after="240"/>
              <w:contextualSpacing/>
              <w:jc w:val="center"/>
              <w:rPr>
                <w:rFonts w:ascii="Arial" w:hAnsi="Arial" w:cs="Arial"/>
                <w:b/>
                <w:snapToGrid w:val="0"/>
                <w:sz w:val="20"/>
                <w:lang w:eastAsia="en-US"/>
              </w:rPr>
            </w:pPr>
            <w:r w:rsidRPr="008D0CCA">
              <w:rPr>
                <w:rFonts w:ascii="Arial" w:hAnsi="Arial" w:cs="Arial"/>
                <w:b/>
                <w:snapToGrid w:val="0"/>
                <w:sz w:val="20"/>
                <w:lang w:eastAsia="en-US"/>
              </w:rPr>
              <w:t>TGA INDICATION</w:t>
            </w:r>
          </w:p>
          <w:p w:rsidR="0010394D" w:rsidRPr="008D0CCA" w:rsidRDefault="0010394D" w:rsidP="001047FA">
            <w:pPr>
              <w:pStyle w:val="Header"/>
              <w:spacing w:after="240"/>
              <w:contextualSpacing/>
              <w:jc w:val="center"/>
              <w:rPr>
                <w:rFonts w:ascii="Arial" w:hAnsi="Arial" w:cs="Arial"/>
                <w:b/>
                <w:snapToGrid w:val="0"/>
                <w:sz w:val="20"/>
                <w:lang w:eastAsia="en-US"/>
              </w:rPr>
            </w:pPr>
          </w:p>
        </w:tc>
        <w:tc>
          <w:tcPr>
            <w:tcW w:w="1984" w:type="dxa"/>
          </w:tcPr>
          <w:p w:rsidR="0010394D" w:rsidRPr="008D0CCA" w:rsidRDefault="001047FA" w:rsidP="001047FA">
            <w:pPr>
              <w:pStyle w:val="Header"/>
              <w:spacing w:after="240"/>
              <w:contextualSpacing/>
              <w:jc w:val="center"/>
              <w:rPr>
                <w:rFonts w:ascii="Arial" w:hAnsi="Arial" w:cs="Arial"/>
                <w:b/>
                <w:snapToGrid w:val="0"/>
                <w:sz w:val="20"/>
                <w:lang w:eastAsia="en-US"/>
              </w:rPr>
            </w:pPr>
            <w:r w:rsidRPr="008D0CCA">
              <w:rPr>
                <w:rFonts w:ascii="Arial" w:hAnsi="Arial" w:cs="Arial"/>
                <w:b/>
                <w:snapToGrid w:val="0"/>
                <w:sz w:val="20"/>
                <w:lang w:eastAsia="en-US"/>
              </w:rPr>
              <w:t>CURRENT PBS LISTING</w:t>
            </w:r>
          </w:p>
        </w:tc>
        <w:tc>
          <w:tcPr>
            <w:tcW w:w="3969" w:type="dxa"/>
            <w:shd w:val="clear" w:color="auto" w:fill="auto"/>
          </w:tcPr>
          <w:p w:rsidR="0010394D" w:rsidRPr="008D0CCA" w:rsidRDefault="001047FA" w:rsidP="001047FA">
            <w:pPr>
              <w:pStyle w:val="Header"/>
              <w:spacing w:after="240"/>
              <w:contextualSpacing/>
              <w:jc w:val="center"/>
              <w:rPr>
                <w:rFonts w:ascii="Arial" w:hAnsi="Arial" w:cs="Arial"/>
                <w:b/>
                <w:snapToGrid w:val="0"/>
                <w:sz w:val="20"/>
                <w:lang w:eastAsia="en-US"/>
              </w:rPr>
            </w:pPr>
            <w:r w:rsidRPr="008D0CCA">
              <w:rPr>
                <w:rFonts w:ascii="Arial" w:hAnsi="Arial" w:cs="Arial"/>
                <w:b/>
                <w:snapToGrid w:val="0"/>
                <w:sz w:val="20"/>
                <w:lang w:eastAsia="en-US"/>
              </w:rPr>
              <w:t>LISTING REQUESTED BY SPONSOR / PURPOSE OF SUBMISSION</w:t>
            </w:r>
          </w:p>
        </w:tc>
        <w:tc>
          <w:tcPr>
            <w:tcW w:w="5245" w:type="dxa"/>
          </w:tcPr>
          <w:p w:rsidR="0010394D" w:rsidRPr="008D0CCA" w:rsidRDefault="0010394D" w:rsidP="001047FA">
            <w:pPr>
              <w:pStyle w:val="Header"/>
              <w:spacing w:after="240"/>
              <w:contextualSpacing/>
              <w:jc w:val="center"/>
              <w:rPr>
                <w:rFonts w:ascii="Arial" w:hAnsi="Arial" w:cs="Arial"/>
                <w:b/>
                <w:snapToGrid w:val="0"/>
                <w:sz w:val="20"/>
                <w:lang w:eastAsia="en-US"/>
              </w:rPr>
            </w:pPr>
            <w:r w:rsidRPr="008D0CCA">
              <w:rPr>
                <w:rFonts w:ascii="Arial" w:hAnsi="Arial" w:cs="Arial"/>
                <w:b/>
                <w:snapToGrid w:val="0"/>
                <w:sz w:val="20"/>
                <w:lang w:eastAsia="en-US"/>
              </w:rPr>
              <w:t xml:space="preserve">PBAC </w:t>
            </w:r>
            <w:r w:rsidR="001047FA" w:rsidRPr="008D0CCA">
              <w:rPr>
                <w:rFonts w:ascii="Arial" w:hAnsi="Arial" w:cs="Arial"/>
                <w:b/>
                <w:snapToGrid w:val="0"/>
                <w:sz w:val="20"/>
                <w:lang w:eastAsia="en-US"/>
              </w:rPr>
              <w:t>OUTCOME</w:t>
            </w:r>
          </w:p>
        </w:tc>
      </w:tr>
      <w:tr w:rsidR="00613975" w:rsidRPr="008D0CCA" w:rsidTr="00F61C70">
        <w:trPr>
          <w:trHeight w:val="435"/>
        </w:trPr>
        <w:tc>
          <w:tcPr>
            <w:tcW w:w="2127" w:type="dxa"/>
            <w:vMerge w:val="restart"/>
          </w:tcPr>
          <w:p w:rsidR="00B31015" w:rsidRPr="008D0CCA" w:rsidRDefault="00B31015" w:rsidP="00B31015">
            <w:pPr>
              <w:rPr>
                <w:rFonts w:ascii="Arial" w:hAnsi="Arial" w:cs="Arial"/>
                <w:color w:val="000000"/>
                <w:sz w:val="20"/>
              </w:rPr>
            </w:pPr>
            <w:r w:rsidRPr="008D0CCA">
              <w:rPr>
                <w:rFonts w:ascii="Arial" w:hAnsi="Arial" w:cs="Arial"/>
                <w:color w:val="000000"/>
                <w:sz w:val="20"/>
              </w:rPr>
              <w:t>CLADRIBINE</w:t>
            </w:r>
          </w:p>
          <w:p w:rsidR="00B31015" w:rsidRPr="008D0CCA" w:rsidRDefault="00B31015" w:rsidP="00B31015">
            <w:pPr>
              <w:rPr>
                <w:rFonts w:ascii="Arial" w:hAnsi="Arial" w:cs="Arial"/>
                <w:color w:val="000000"/>
                <w:sz w:val="20"/>
              </w:rPr>
            </w:pPr>
          </w:p>
          <w:p w:rsidR="00B31015" w:rsidRPr="008D0CCA" w:rsidRDefault="00B31015" w:rsidP="00B31015">
            <w:pPr>
              <w:rPr>
                <w:rFonts w:ascii="Arial" w:hAnsi="Arial" w:cs="Arial"/>
                <w:color w:val="000000"/>
                <w:sz w:val="20"/>
              </w:rPr>
            </w:pPr>
            <w:r w:rsidRPr="008D0CCA">
              <w:rPr>
                <w:rFonts w:ascii="Arial" w:hAnsi="Arial" w:cs="Arial"/>
                <w:color w:val="000000"/>
                <w:sz w:val="20"/>
              </w:rPr>
              <w:t>Tablet 10 mg</w:t>
            </w:r>
          </w:p>
          <w:p w:rsidR="00B31015" w:rsidRPr="008D0CCA" w:rsidRDefault="00B31015" w:rsidP="00B31015">
            <w:pPr>
              <w:rPr>
                <w:rFonts w:ascii="Arial" w:hAnsi="Arial" w:cs="Arial"/>
                <w:color w:val="000000"/>
                <w:sz w:val="20"/>
              </w:rPr>
            </w:pPr>
          </w:p>
          <w:p w:rsidR="00B31015" w:rsidRPr="008D0CCA" w:rsidRDefault="00B31015" w:rsidP="00B31015">
            <w:pPr>
              <w:rPr>
                <w:rFonts w:ascii="Arial" w:hAnsi="Arial" w:cs="Arial"/>
                <w:color w:val="000000"/>
                <w:sz w:val="20"/>
              </w:rPr>
            </w:pPr>
            <w:r w:rsidRPr="008D0CCA">
              <w:rPr>
                <w:rFonts w:ascii="Arial" w:hAnsi="Arial" w:cs="Arial"/>
                <w:color w:val="000000"/>
                <w:sz w:val="20"/>
              </w:rPr>
              <w:t>Mavenclad®</w:t>
            </w:r>
          </w:p>
          <w:p w:rsidR="00B31015" w:rsidRPr="008D0CCA" w:rsidRDefault="00B31015" w:rsidP="00B31015">
            <w:pPr>
              <w:rPr>
                <w:rFonts w:ascii="Arial" w:hAnsi="Arial" w:cs="Arial"/>
                <w:color w:val="000000"/>
                <w:sz w:val="20"/>
              </w:rPr>
            </w:pPr>
          </w:p>
          <w:p w:rsidR="00B31015" w:rsidRPr="008D0CCA" w:rsidRDefault="00B31015" w:rsidP="00B31015">
            <w:pPr>
              <w:contextualSpacing/>
              <w:rPr>
                <w:rFonts w:ascii="Arial" w:hAnsi="Arial" w:cs="Arial"/>
                <w:color w:val="000000"/>
                <w:sz w:val="20"/>
              </w:rPr>
            </w:pPr>
            <w:r w:rsidRPr="008D0CCA">
              <w:rPr>
                <w:rFonts w:ascii="Arial" w:hAnsi="Arial" w:cs="Arial"/>
                <w:color w:val="000000"/>
                <w:sz w:val="20"/>
              </w:rPr>
              <w:t>Merck Serono Australia Pty Ltd</w:t>
            </w:r>
          </w:p>
          <w:p w:rsidR="00B31015" w:rsidRPr="008D0CCA" w:rsidRDefault="00B31015" w:rsidP="00B31015">
            <w:pPr>
              <w:contextualSpacing/>
              <w:rPr>
                <w:rFonts w:ascii="Arial" w:hAnsi="Arial" w:cs="Arial"/>
                <w:color w:val="000000"/>
                <w:sz w:val="20"/>
              </w:rPr>
            </w:pPr>
          </w:p>
          <w:p w:rsidR="00613975" w:rsidRPr="008D0CCA" w:rsidRDefault="00B31015" w:rsidP="00B31015">
            <w:pPr>
              <w:contextualSpacing/>
              <w:rPr>
                <w:rFonts w:ascii="Arial" w:hAnsi="Arial" w:cs="Arial"/>
                <w:sz w:val="20"/>
                <w:highlight w:val="yellow"/>
              </w:rPr>
            </w:pPr>
            <w:r w:rsidRPr="008D0CCA">
              <w:rPr>
                <w:rFonts w:ascii="Arial" w:hAnsi="Arial" w:cs="Arial"/>
                <w:color w:val="000000"/>
                <w:sz w:val="20"/>
              </w:rPr>
              <w:t>New listing</w:t>
            </w:r>
            <w:r w:rsidRPr="008D0CCA">
              <w:rPr>
                <w:rFonts w:ascii="Arial" w:hAnsi="Arial" w:cs="Arial"/>
                <w:color w:val="000000"/>
                <w:sz w:val="20"/>
              </w:rPr>
              <w:br/>
              <w:t>(Major Submission)</w:t>
            </w:r>
            <w:r w:rsidRPr="008D0CCA">
              <w:rPr>
                <w:rFonts w:ascii="Arial" w:hAnsi="Arial" w:cs="Arial"/>
                <w:color w:val="000000"/>
                <w:sz w:val="20"/>
                <w:highlight w:val="yellow"/>
              </w:rPr>
              <w:t xml:space="preserve"> </w:t>
            </w:r>
          </w:p>
        </w:tc>
        <w:tc>
          <w:tcPr>
            <w:tcW w:w="2126" w:type="dxa"/>
            <w:vMerge w:val="restart"/>
          </w:tcPr>
          <w:p w:rsidR="00ED0EFA" w:rsidRPr="008D0CCA" w:rsidRDefault="00ED0EFA" w:rsidP="00ED0EFA">
            <w:pPr>
              <w:rPr>
                <w:rFonts w:ascii="Arial" w:hAnsi="Arial" w:cs="Arial"/>
                <w:sz w:val="20"/>
              </w:rPr>
            </w:pPr>
            <w:r w:rsidRPr="008D0CCA">
              <w:rPr>
                <w:rFonts w:ascii="Arial" w:hAnsi="Arial" w:cs="Arial"/>
                <w:sz w:val="20"/>
              </w:rPr>
              <w:t>At time of PBAC consideration:</w:t>
            </w:r>
          </w:p>
          <w:p w:rsidR="00ED0EFA" w:rsidRPr="008D0CCA" w:rsidRDefault="00ED0EFA" w:rsidP="00ED0EFA">
            <w:pPr>
              <w:rPr>
                <w:rFonts w:ascii="Arial" w:hAnsi="Arial" w:cs="Arial"/>
                <w:sz w:val="20"/>
              </w:rPr>
            </w:pPr>
          </w:p>
          <w:p w:rsidR="00344F7D" w:rsidRDefault="00ED0EFA" w:rsidP="00ED0EFA">
            <w:pPr>
              <w:rPr>
                <w:rFonts w:ascii="Arial" w:hAnsi="Arial" w:cs="Arial"/>
                <w:sz w:val="20"/>
              </w:rPr>
            </w:pPr>
            <w:r w:rsidRPr="008D0CCA">
              <w:rPr>
                <w:rFonts w:ascii="Arial" w:hAnsi="Arial" w:cs="Arial"/>
                <w:sz w:val="20"/>
              </w:rPr>
              <w:t xml:space="preserve">Indication is </w:t>
            </w:r>
            <w:r w:rsidR="00FC0CE0">
              <w:rPr>
                <w:rFonts w:ascii="Arial" w:hAnsi="Arial" w:cs="Arial"/>
                <w:sz w:val="20"/>
              </w:rPr>
              <w:t xml:space="preserve">for </w:t>
            </w:r>
            <w:r w:rsidRPr="008D0CCA">
              <w:rPr>
                <w:rFonts w:ascii="Arial" w:hAnsi="Arial" w:cs="Arial"/>
                <w:sz w:val="20"/>
              </w:rPr>
              <w:t xml:space="preserve">treatment of relapsing-remitting multiple </w:t>
            </w:r>
            <w:r w:rsidR="0063770E" w:rsidRPr="008D0CCA">
              <w:rPr>
                <w:rFonts w:ascii="Arial" w:hAnsi="Arial" w:cs="Arial"/>
                <w:sz w:val="20"/>
              </w:rPr>
              <w:t>sclerosis for</w:t>
            </w:r>
            <w:r w:rsidRPr="008D0CCA">
              <w:rPr>
                <w:rFonts w:ascii="Arial" w:hAnsi="Arial" w:cs="Arial"/>
                <w:sz w:val="20"/>
              </w:rPr>
              <w:t xml:space="preserve"> a maximum duration of two years</w:t>
            </w:r>
            <w:r w:rsidR="00344F7D">
              <w:rPr>
                <w:rFonts w:ascii="Arial" w:hAnsi="Arial" w:cs="Arial"/>
                <w:sz w:val="20"/>
              </w:rPr>
              <w:t>.</w:t>
            </w:r>
          </w:p>
          <w:p w:rsidR="00344F7D" w:rsidRDefault="00344F7D" w:rsidP="00ED0EFA">
            <w:pPr>
              <w:rPr>
                <w:rFonts w:ascii="Arial" w:hAnsi="Arial" w:cs="Arial"/>
                <w:sz w:val="20"/>
              </w:rPr>
            </w:pPr>
          </w:p>
          <w:p w:rsidR="00ED0EFA" w:rsidRPr="00FC0CE0" w:rsidRDefault="00ED0EFA" w:rsidP="00ED0EFA">
            <w:pPr>
              <w:rPr>
                <w:rFonts w:ascii="Arial" w:hAnsi="Arial" w:cs="Arial"/>
                <w:sz w:val="20"/>
              </w:rPr>
            </w:pPr>
            <w:r w:rsidRPr="00FC0CE0">
              <w:rPr>
                <w:rFonts w:ascii="Arial" w:hAnsi="Arial" w:cs="Arial"/>
                <w:sz w:val="20"/>
              </w:rPr>
              <w:t>At time of publication:</w:t>
            </w:r>
          </w:p>
          <w:p w:rsidR="00ED0EFA" w:rsidRPr="00FC0CE0" w:rsidRDefault="00ED0EFA" w:rsidP="00ED0EFA">
            <w:pPr>
              <w:rPr>
                <w:rFonts w:ascii="Arial" w:hAnsi="Arial" w:cs="Arial"/>
                <w:sz w:val="20"/>
              </w:rPr>
            </w:pPr>
          </w:p>
          <w:p w:rsidR="00FC0CE0" w:rsidRPr="00FC0CE0" w:rsidRDefault="00ED0EFA" w:rsidP="00FC0CE0">
            <w:pPr>
              <w:rPr>
                <w:rFonts w:ascii="Arial" w:hAnsi="Arial" w:cs="Arial"/>
                <w:sz w:val="20"/>
              </w:rPr>
            </w:pPr>
            <w:r w:rsidRPr="00FC0CE0">
              <w:rPr>
                <w:rFonts w:ascii="Arial" w:hAnsi="Arial" w:cs="Arial"/>
                <w:sz w:val="20"/>
              </w:rPr>
              <w:t xml:space="preserve">Indication is </w:t>
            </w:r>
            <w:r w:rsidR="00FC0CE0" w:rsidRPr="00FC0CE0">
              <w:rPr>
                <w:rFonts w:ascii="Arial" w:hAnsi="Arial" w:cs="Arial"/>
                <w:sz w:val="20"/>
              </w:rPr>
              <w:t>for the treatment of relapsing-remitting multiple sclerosis (RRMS) to reduce the frequency of clinical relapses and to delay the</w:t>
            </w:r>
            <w:r w:rsidR="0063770E">
              <w:rPr>
                <w:rFonts w:ascii="Arial" w:hAnsi="Arial" w:cs="Arial"/>
                <w:sz w:val="20"/>
              </w:rPr>
              <w:t xml:space="preserve"> </w:t>
            </w:r>
            <w:r w:rsidR="00FC0CE0" w:rsidRPr="00FC0CE0">
              <w:rPr>
                <w:rFonts w:ascii="Arial" w:hAnsi="Arial" w:cs="Arial"/>
                <w:sz w:val="20"/>
              </w:rPr>
              <w:t>progression of physical disability. Following completion of the 2 treatment courses, no further cladribine treatment is required in years 3 and 4.</w:t>
            </w:r>
          </w:p>
          <w:p w:rsidR="002D5215" w:rsidRPr="008D0CCA" w:rsidRDefault="00FC0CE0" w:rsidP="00FC0CE0">
            <w:pPr>
              <w:rPr>
                <w:rFonts w:ascii="Arial" w:hAnsi="Arial" w:cs="Arial"/>
                <w:sz w:val="20"/>
                <w:highlight w:val="yellow"/>
              </w:rPr>
            </w:pPr>
            <w:r w:rsidRPr="00FC0CE0">
              <w:rPr>
                <w:rFonts w:ascii="Arial" w:hAnsi="Arial" w:cs="Arial"/>
                <w:sz w:val="20"/>
              </w:rPr>
              <w:t>Re-initiation of therapy after year 4 has not been studied.</w:t>
            </w:r>
          </w:p>
        </w:tc>
        <w:tc>
          <w:tcPr>
            <w:tcW w:w="1984" w:type="dxa"/>
            <w:vMerge w:val="restart"/>
          </w:tcPr>
          <w:p w:rsidR="002D5215" w:rsidRPr="008D0CCA" w:rsidRDefault="00060BDC" w:rsidP="00A24F2E">
            <w:pPr>
              <w:rPr>
                <w:rFonts w:ascii="Arial" w:hAnsi="Arial" w:cs="Arial"/>
                <w:color w:val="000000"/>
                <w:sz w:val="20"/>
              </w:rPr>
            </w:pPr>
            <w:r w:rsidRPr="008D0CCA">
              <w:rPr>
                <w:rFonts w:ascii="Arial" w:hAnsi="Arial" w:cs="Arial"/>
                <w:color w:val="000000"/>
                <w:sz w:val="20"/>
              </w:rPr>
              <w:t>CLADRIBINE (tablet)</w:t>
            </w:r>
            <w:r w:rsidR="002D5215" w:rsidRPr="008D0CCA">
              <w:rPr>
                <w:rFonts w:ascii="Arial" w:hAnsi="Arial" w:cs="Arial"/>
                <w:color w:val="000000"/>
                <w:sz w:val="20"/>
              </w:rPr>
              <w:t xml:space="preserve"> </w:t>
            </w:r>
            <w:r w:rsidR="002D5215" w:rsidRPr="008D0CCA">
              <w:rPr>
                <w:rFonts w:ascii="Arial" w:hAnsi="Arial" w:cs="Arial"/>
                <w:sz w:val="20"/>
              </w:rPr>
              <w:t>is not currently PBS listed.</w:t>
            </w:r>
          </w:p>
          <w:p w:rsidR="00613975" w:rsidRPr="008D0CCA" w:rsidRDefault="00613975" w:rsidP="00401F5B">
            <w:pPr>
              <w:rPr>
                <w:rFonts w:ascii="Arial" w:hAnsi="Arial" w:cs="Arial"/>
                <w:sz w:val="20"/>
                <w:highlight w:val="yellow"/>
              </w:rPr>
            </w:pPr>
            <w:bookmarkStart w:id="0" w:name="_GoBack"/>
            <w:bookmarkEnd w:id="0"/>
          </w:p>
        </w:tc>
        <w:tc>
          <w:tcPr>
            <w:tcW w:w="3969" w:type="dxa"/>
          </w:tcPr>
          <w:p w:rsidR="00CA0C65" w:rsidRPr="008D0CCA" w:rsidRDefault="00B31015" w:rsidP="00A24F2E">
            <w:pPr>
              <w:keepLines/>
              <w:rPr>
                <w:rFonts w:ascii="Arial" w:hAnsi="Arial" w:cs="Arial"/>
                <w:sz w:val="20"/>
              </w:rPr>
            </w:pPr>
            <w:r w:rsidRPr="008D0CCA">
              <w:rPr>
                <w:rFonts w:ascii="Arial" w:hAnsi="Arial" w:cs="Arial"/>
                <w:sz w:val="20"/>
              </w:rPr>
              <w:t xml:space="preserve">Resubmission to request an Authority Required listing for the treatment of Relapsing-remitting multiple sclerosis (RRMS). </w:t>
            </w:r>
          </w:p>
        </w:tc>
        <w:tc>
          <w:tcPr>
            <w:tcW w:w="5245" w:type="dxa"/>
          </w:tcPr>
          <w:p w:rsidR="00613975" w:rsidRPr="008D0CCA" w:rsidRDefault="00DA337C" w:rsidP="00F61C70">
            <w:pPr>
              <w:pStyle w:val="ListParagraph"/>
              <w:spacing w:after="120"/>
              <w:ind w:left="0"/>
              <w:jc w:val="both"/>
              <w:rPr>
                <w:rFonts w:ascii="Arial" w:hAnsi="Arial" w:cs="Arial"/>
                <w:sz w:val="20"/>
                <w:szCs w:val="20"/>
              </w:rPr>
            </w:pPr>
            <w:r w:rsidRPr="008D0CCA">
              <w:rPr>
                <w:rFonts w:ascii="Arial" w:hAnsi="Arial" w:cs="Arial"/>
                <w:sz w:val="20"/>
                <w:szCs w:val="20"/>
              </w:rPr>
              <w:t xml:space="preserve">The PBAC did not recommend the listing of cladribine for the treatment of relapsing remitting multiple sclerosis (RRMS), on the basis of uncertainty in the non-inferior efficacy claim of cladribine versus fingolimod over two and four years. The PBAC considered there was insufficient clinical evidence to support the time horizon of four years for estimating the equi-effective doses of cladribine and fingolimod. The PBAC also considered that it was unrealistic to assume that patients who receive cladribine and experience disease relapse would not be prescribed another medicine for RRMS before the four-year period or that patients would be 100% persistent to </w:t>
            </w:r>
            <w:r w:rsidR="0063770E" w:rsidRPr="008D0CCA">
              <w:rPr>
                <w:rFonts w:ascii="Arial" w:hAnsi="Arial" w:cs="Arial"/>
                <w:sz w:val="20"/>
                <w:szCs w:val="20"/>
              </w:rPr>
              <w:t>fingolimod</w:t>
            </w:r>
            <w:r w:rsidRPr="008D0CCA">
              <w:rPr>
                <w:rFonts w:ascii="Arial" w:hAnsi="Arial" w:cs="Arial"/>
                <w:sz w:val="20"/>
                <w:szCs w:val="20"/>
              </w:rPr>
              <w:t>. Therefore, the PBAC did not accept two years of cladribine treatment versus four years of fingolimod treatment as the basis for the cost-minimisation analysis proposed by the resubmission. The PBAC noted that there were significant uncertainties in the financial analysis, including the persistence rates assumed by the resubmission. The PBAC further noted that the financial analysis estimated a significant net cost to the PBS, which undermines the first principles of a cost</w:t>
            </w:r>
            <w:r w:rsidR="00B01740" w:rsidRPr="008D0CCA">
              <w:rPr>
                <w:rFonts w:ascii="Arial" w:hAnsi="Arial" w:cs="Arial"/>
                <w:sz w:val="20"/>
                <w:szCs w:val="20"/>
              </w:rPr>
              <w:t>-</w:t>
            </w:r>
            <w:r w:rsidRPr="008D0CCA">
              <w:rPr>
                <w:rFonts w:ascii="Arial" w:hAnsi="Arial" w:cs="Arial"/>
                <w:sz w:val="20"/>
                <w:szCs w:val="20"/>
              </w:rPr>
              <w:t>minimisation analysis.</w:t>
            </w:r>
          </w:p>
        </w:tc>
      </w:tr>
      <w:tr w:rsidR="00613975" w:rsidRPr="008D0CCA" w:rsidTr="00F61C70">
        <w:trPr>
          <w:trHeight w:val="689"/>
        </w:trPr>
        <w:tc>
          <w:tcPr>
            <w:tcW w:w="2127" w:type="dxa"/>
            <w:vMerge/>
          </w:tcPr>
          <w:p w:rsidR="00613975" w:rsidRPr="008D0CCA" w:rsidRDefault="00613975" w:rsidP="00CA0C65">
            <w:pPr>
              <w:rPr>
                <w:rFonts w:ascii="Arial" w:hAnsi="Arial" w:cs="Arial"/>
                <w:sz w:val="20"/>
              </w:rPr>
            </w:pPr>
          </w:p>
        </w:tc>
        <w:tc>
          <w:tcPr>
            <w:tcW w:w="2126" w:type="dxa"/>
            <w:vMerge/>
          </w:tcPr>
          <w:p w:rsidR="00613975" w:rsidRPr="008D0CCA" w:rsidRDefault="00613975" w:rsidP="00CA0C65">
            <w:pPr>
              <w:rPr>
                <w:rFonts w:ascii="Arial" w:hAnsi="Arial" w:cs="Arial"/>
                <w:sz w:val="20"/>
              </w:rPr>
            </w:pPr>
          </w:p>
        </w:tc>
        <w:tc>
          <w:tcPr>
            <w:tcW w:w="1984" w:type="dxa"/>
            <w:vMerge/>
          </w:tcPr>
          <w:p w:rsidR="00613975" w:rsidRPr="008D0CCA" w:rsidRDefault="00613975" w:rsidP="00CA0C65">
            <w:pPr>
              <w:rPr>
                <w:rFonts w:ascii="Arial" w:hAnsi="Arial" w:cs="Arial"/>
                <w:sz w:val="20"/>
              </w:rPr>
            </w:pPr>
          </w:p>
        </w:tc>
        <w:tc>
          <w:tcPr>
            <w:tcW w:w="3969" w:type="dxa"/>
          </w:tcPr>
          <w:p w:rsidR="00613975" w:rsidRPr="008D0CCA" w:rsidRDefault="00613975" w:rsidP="00D40601">
            <w:pPr>
              <w:pStyle w:val="ListBullet"/>
              <w:rPr>
                <w:snapToGrid/>
                <w:lang w:eastAsia="en-AU"/>
              </w:rPr>
            </w:pPr>
            <w:r w:rsidRPr="008D0CCA">
              <w:rPr>
                <w:snapToGrid/>
                <w:lang w:eastAsia="en-AU"/>
              </w:rPr>
              <w:t xml:space="preserve">Comparator:  </w:t>
            </w:r>
            <w:r w:rsidR="00C822F1" w:rsidRPr="008D0CCA">
              <w:rPr>
                <w:snapToGrid/>
                <w:lang w:eastAsia="en-AU"/>
              </w:rPr>
              <w:t>The resubmission nominated fingolimod as the main comparator</w:t>
            </w:r>
          </w:p>
        </w:tc>
        <w:tc>
          <w:tcPr>
            <w:tcW w:w="5245" w:type="dxa"/>
          </w:tcPr>
          <w:p w:rsidR="00CA0C65" w:rsidRPr="008D0CCA" w:rsidRDefault="00C822F1" w:rsidP="00F61C70">
            <w:pPr>
              <w:jc w:val="both"/>
              <w:rPr>
                <w:rFonts w:ascii="Arial" w:hAnsi="Arial" w:cs="Arial"/>
                <w:sz w:val="20"/>
              </w:rPr>
            </w:pPr>
            <w:r w:rsidRPr="008D0CCA">
              <w:rPr>
                <w:rFonts w:ascii="Arial" w:hAnsi="Arial" w:cs="Arial"/>
                <w:sz w:val="20"/>
              </w:rPr>
              <w:t>The PBAC accepted fingolimod as the appro</w:t>
            </w:r>
            <w:r w:rsidR="00B93B4A" w:rsidRPr="008D0CCA">
              <w:rPr>
                <w:rFonts w:ascii="Arial" w:hAnsi="Arial" w:cs="Arial"/>
                <w:sz w:val="20"/>
              </w:rPr>
              <w:t>priate main comparator, however</w:t>
            </w:r>
            <w:r w:rsidRPr="008D0CCA">
              <w:rPr>
                <w:rFonts w:ascii="Arial" w:hAnsi="Arial" w:cs="Arial"/>
                <w:sz w:val="20"/>
              </w:rPr>
              <w:t xml:space="preserve"> considered that cladribine </w:t>
            </w:r>
            <w:r w:rsidR="00403549" w:rsidRPr="008D0CCA">
              <w:rPr>
                <w:rFonts w:ascii="Arial" w:hAnsi="Arial" w:cs="Arial"/>
                <w:sz w:val="20"/>
              </w:rPr>
              <w:t>may</w:t>
            </w:r>
            <w:r w:rsidRPr="008D0CCA">
              <w:rPr>
                <w:rFonts w:ascii="Arial" w:hAnsi="Arial" w:cs="Arial"/>
                <w:sz w:val="20"/>
              </w:rPr>
              <w:t xml:space="preserve"> replace or displace all PBS listed RRMS treatments.</w:t>
            </w:r>
          </w:p>
        </w:tc>
      </w:tr>
      <w:tr w:rsidR="00613975" w:rsidRPr="008D0CCA" w:rsidTr="00F61C70">
        <w:trPr>
          <w:trHeight w:val="433"/>
        </w:trPr>
        <w:tc>
          <w:tcPr>
            <w:tcW w:w="2127" w:type="dxa"/>
            <w:vMerge/>
          </w:tcPr>
          <w:p w:rsidR="00613975" w:rsidRPr="008D0CCA" w:rsidRDefault="00613975" w:rsidP="00CA0C65">
            <w:pPr>
              <w:rPr>
                <w:rFonts w:ascii="Arial" w:hAnsi="Arial" w:cs="Arial"/>
                <w:sz w:val="20"/>
              </w:rPr>
            </w:pPr>
          </w:p>
        </w:tc>
        <w:tc>
          <w:tcPr>
            <w:tcW w:w="2126" w:type="dxa"/>
            <w:vMerge/>
          </w:tcPr>
          <w:p w:rsidR="00613975" w:rsidRPr="008D0CCA" w:rsidRDefault="00613975" w:rsidP="00CA0C65">
            <w:pPr>
              <w:rPr>
                <w:rFonts w:ascii="Arial" w:hAnsi="Arial" w:cs="Arial"/>
                <w:sz w:val="20"/>
              </w:rPr>
            </w:pPr>
          </w:p>
        </w:tc>
        <w:tc>
          <w:tcPr>
            <w:tcW w:w="1984" w:type="dxa"/>
            <w:vMerge/>
          </w:tcPr>
          <w:p w:rsidR="00613975" w:rsidRPr="008D0CCA" w:rsidRDefault="00613975" w:rsidP="00CA0C65">
            <w:pPr>
              <w:rPr>
                <w:rFonts w:ascii="Arial" w:hAnsi="Arial" w:cs="Arial"/>
                <w:sz w:val="20"/>
              </w:rPr>
            </w:pPr>
          </w:p>
        </w:tc>
        <w:tc>
          <w:tcPr>
            <w:tcW w:w="3969" w:type="dxa"/>
          </w:tcPr>
          <w:p w:rsidR="00613975" w:rsidRPr="008D0CCA" w:rsidRDefault="00613975" w:rsidP="00B93B4A">
            <w:pPr>
              <w:rPr>
                <w:rFonts w:ascii="Arial" w:hAnsi="Arial" w:cs="Arial"/>
                <w:sz w:val="20"/>
              </w:rPr>
            </w:pPr>
            <w:r w:rsidRPr="008D0CCA">
              <w:rPr>
                <w:rFonts w:ascii="Arial" w:hAnsi="Arial" w:cs="Arial"/>
                <w:sz w:val="20"/>
              </w:rPr>
              <w:t xml:space="preserve">Clinical claim:  </w:t>
            </w:r>
            <w:r w:rsidR="00C822F1" w:rsidRPr="008D0CCA">
              <w:rPr>
                <w:rFonts w:ascii="Arial" w:hAnsi="Arial" w:cs="Arial"/>
                <w:sz w:val="20"/>
              </w:rPr>
              <w:t>Cladribine is non-inferior in terms of effectiveness and safety compared with fingolimod.</w:t>
            </w:r>
            <w:r w:rsidR="00C822F1" w:rsidRPr="008D0CCA">
              <w:rPr>
                <w:rFonts w:ascii="Arial" w:eastAsia="Calibri" w:hAnsi="Arial" w:cs="Arial"/>
                <w:sz w:val="20"/>
              </w:rPr>
              <w:t xml:space="preserve"> </w:t>
            </w:r>
          </w:p>
        </w:tc>
        <w:tc>
          <w:tcPr>
            <w:tcW w:w="5245" w:type="dxa"/>
          </w:tcPr>
          <w:p w:rsidR="00CA0C65" w:rsidRPr="008D0CCA" w:rsidRDefault="00C822F1" w:rsidP="00F61C70">
            <w:pPr>
              <w:jc w:val="both"/>
              <w:rPr>
                <w:rFonts w:ascii="Arial" w:hAnsi="Arial" w:cs="Arial"/>
                <w:sz w:val="20"/>
              </w:rPr>
            </w:pPr>
            <w:r w:rsidRPr="008D0CCA">
              <w:rPr>
                <w:rFonts w:ascii="Arial" w:hAnsi="Arial" w:cs="Arial"/>
                <w:sz w:val="20"/>
              </w:rPr>
              <w:t xml:space="preserve">The PBAC considered that there was insufficient data to accurately assess the claim of non-inferior </w:t>
            </w:r>
            <w:r w:rsidR="00B93B4A" w:rsidRPr="008D0CCA">
              <w:rPr>
                <w:rFonts w:ascii="Arial" w:hAnsi="Arial" w:cs="Arial"/>
                <w:sz w:val="20"/>
              </w:rPr>
              <w:t xml:space="preserve">efficacy and </w:t>
            </w:r>
            <w:r w:rsidRPr="008D0CCA">
              <w:rPr>
                <w:rFonts w:ascii="Arial" w:hAnsi="Arial" w:cs="Arial"/>
                <w:sz w:val="20"/>
              </w:rPr>
              <w:t>safety of cladribine versus fingolimod.</w:t>
            </w:r>
          </w:p>
        </w:tc>
      </w:tr>
      <w:tr w:rsidR="00613975" w:rsidRPr="008D0CCA" w:rsidTr="00F61C70">
        <w:trPr>
          <w:trHeight w:val="433"/>
        </w:trPr>
        <w:tc>
          <w:tcPr>
            <w:tcW w:w="2127" w:type="dxa"/>
            <w:vMerge/>
          </w:tcPr>
          <w:p w:rsidR="00613975" w:rsidRPr="008D0CCA" w:rsidRDefault="00613975" w:rsidP="00CA0C65">
            <w:pPr>
              <w:rPr>
                <w:rFonts w:ascii="Arial" w:hAnsi="Arial" w:cs="Arial"/>
                <w:sz w:val="20"/>
              </w:rPr>
            </w:pPr>
          </w:p>
        </w:tc>
        <w:tc>
          <w:tcPr>
            <w:tcW w:w="2126" w:type="dxa"/>
            <w:vMerge/>
          </w:tcPr>
          <w:p w:rsidR="00613975" w:rsidRPr="008D0CCA" w:rsidRDefault="00613975" w:rsidP="00CA0C65">
            <w:pPr>
              <w:rPr>
                <w:rFonts w:ascii="Arial" w:hAnsi="Arial" w:cs="Arial"/>
                <w:sz w:val="20"/>
              </w:rPr>
            </w:pPr>
          </w:p>
        </w:tc>
        <w:tc>
          <w:tcPr>
            <w:tcW w:w="1984" w:type="dxa"/>
            <w:vMerge/>
          </w:tcPr>
          <w:p w:rsidR="00613975" w:rsidRPr="008D0CCA" w:rsidRDefault="00613975" w:rsidP="00CA0C65">
            <w:pPr>
              <w:rPr>
                <w:rFonts w:ascii="Arial" w:hAnsi="Arial" w:cs="Arial"/>
                <w:sz w:val="20"/>
              </w:rPr>
            </w:pPr>
          </w:p>
        </w:tc>
        <w:tc>
          <w:tcPr>
            <w:tcW w:w="3969" w:type="dxa"/>
          </w:tcPr>
          <w:p w:rsidR="00613975" w:rsidRPr="008D0CCA" w:rsidRDefault="00613975" w:rsidP="00B93B4A">
            <w:pPr>
              <w:pStyle w:val="ListBullet"/>
            </w:pPr>
            <w:r w:rsidRPr="008D0CCA">
              <w:t>Economic claim:</w:t>
            </w:r>
            <w:r w:rsidR="00B93B4A" w:rsidRPr="008D0CCA">
              <w:t xml:space="preserve"> cost minimisation analysis based on a claim of non-inferiority to fingolimod </w:t>
            </w:r>
          </w:p>
        </w:tc>
        <w:tc>
          <w:tcPr>
            <w:tcW w:w="5245" w:type="dxa"/>
          </w:tcPr>
          <w:p w:rsidR="00B93B4A" w:rsidRPr="008D0CCA" w:rsidRDefault="00B93B4A" w:rsidP="00F61C70">
            <w:pPr>
              <w:jc w:val="both"/>
              <w:rPr>
                <w:rFonts w:ascii="Arial" w:hAnsi="Arial" w:cs="Arial"/>
                <w:sz w:val="20"/>
              </w:rPr>
            </w:pPr>
            <w:r w:rsidRPr="008D0CCA">
              <w:rPr>
                <w:rFonts w:ascii="Arial" w:hAnsi="Arial" w:cs="Arial"/>
                <w:sz w:val="20"/>
              </w:rPr>
              <w:t>The PBAC considered that it was inappropriate to conduct the cost-minimisation analysis based on two years of cladribine treatment versus four years of fingolimod treatment.</w:t>
            </w:r>
          </w:p>
          <w:p w:rsidR="00613975" w:rsidRPr="008D0CCA" w:rsidRDefault="00B93B4A" w:rsidP="00F61C70">
            <w:pPr>
              <w:jc w:val="both"/>
              <w:rPr>
                <w:rFonts w:ascii="Arial" w:hAnsi="Arial" w:cs="Arial"/>
                <w:sz w:val="20"/>
              </w:rPr>
            </w:pPr>
            <w:r w:rsidRPr="008D0CCA">
              <w:rPr>
                <w:rFonts w:ascii="Arial" w:hAnsi="Arial" w:cs="Arial"/>
                <w:sz w:val="20"/>
              </w:rPr>
              <w:t xml:space="preserve">As the PBAC did not accept the claim of non-inferiority of two years of cladribine treatment versus four years of fingolimod treatment, the Committee did not accept this </w:t>
            </w:r>
            <w:r w:rsidRPr="008D0CCA">
              <w:rPr>
                <w:rFonts w:ascii="Arial" w:hAnsi="Arial" w:cs="Arial"/>
                <w:sz w:val="20"/>
              </w:rPr>
              <w:lastRenderedPageBreak/>
              <w:t xml:space="preserve">as the basis for estimating the </w:t>
            </w:r>
            <w:proofErr w:type="spellStart"/>
            <w:r w:rsidRPr="008D0CCA">
              <w:rPr>
                <w:rFonts w:ascii="Arial" w:hAnsi="Arial" w:cs="Arial"/>
                <w:sz w:val="20"/>
              </w:rPr>
              <w:t>equi</w:t>
            </w:r>
            <w:proofErr w:type="spellEnd"/>
            <w:r w:rsidRPr="008D0CCA">
              <w:rPr>
                <w:rFonts w:ascii="Arial" w:hAnsi="Arial" w:cs="Arial"/>
                <w:sz w:val="20"/>
              </w:rPr>
              <w:t xml:space="preserve">-effective doses of </w:t>
            </w:r>
            <w:proofErr w:type="spellStart"/>
            <w:r w:rsidRPr="008D0CCA">
              <w:rPr>
                <w:rFonts w:ascii="Arial" w:hAnsi="Arial" w:cs="Arial"/>
                <w:sz w:val="20"/>
              </w:rPr>
              <w:t>cladribine</w:t>
            </w:r>
            <w:proofErr w:type="spellEnd"/>
            <w:r w:rsidRPr="008D0CCA">
              <w:rPr>
                <w:rFonts w:ascii="Arial" w:hAnsi="Arial" w:cs="Arial"/>
                <w:sz w:val="20"/>
              </w:rPr>
              <w:t xml:space="preserve"> and </w:t>
            </w:r>
            <w:proofErr w:type="spellStart"/>
            <w:r w:rsidRPr="008D0CCA">
              <w:rPr>
                <w:rFonts w:ascii="Arial" w:hAnsi="Arial" w:cs="Arial"/>
                <w:sz w:val="20"/>
              </w:rPr>
              <w:t>fingolimod</w:t>
            </w:r>
            <w:proofErr w:type="spellEnd"/>
            <w:r w:rsidRPr="008D0CCA">
              <w:rPr>
                <w:rFonts w:ascii="Arial" w:hAnsi="Arial" w:cs="Arial"/>
                <w:sz w:val="20"/>
              </w:rPr>
              <w:t>.</w:t>
            </w:r>
          </w:p>
        </w:tc>
      </w:tr>
      <w:tr w:rsidR="00613975" w:rsidRPr="008D0CCA" w:rsidTr="00D40601">
        <w:trPr>
          <w:trHeight w:val="168"/>
        </w:trPr>
        <w:tc>
          <w:tcPr>
            <w:tcW w:w="2127" w:type="dxa"/>
            <w:vMerge/>
          </w:tcPr>
          <w:p w:rsidR="00613975" w:rsidRPr="008D0CCA" w:rsidRDefault="00613975" w:rsidP="00CA0C65">
            <w:pPr>
              <w:rPr>
                <w:rFonts w:ascii="Arial" w:hAnsi="Arial" w:cs="Arial"/>
                <w:sz w:val="20"/>
              </w:rPr>
            </w:pPr>
          </w:p>
        </w:tc>
        <w:tc>
          <w:tcPr>
            <w:tcW w:w="2126" w:type="dxa"/>
            <w:vMerge/>
          </w:tcPr>
          <w:p w:rsidR="00613975" w:rsidRPr="008D0CCA" w:rsidRDefault="00613975" w:rsidP="00CA0C65">
            <w:pPr>
              <w:rPr>
                <w:rFonts w:ascii="Arial" w:hAnsi="Arial" w:cs="Arial"/>
                <w:sz w:val="20"/>
              </w:rPr>
            </w:pPr>
          </w:p>
        </w:tc>
        <w:tc>
          <w:tcPr>
            <w:tcW w:w="1984" w:type="dxa"/>
            <w:vMerge/>
          </w:tcPr>
          <w:p w:rsidR="00613975" w:rsidRPr="008D0CCA" w:rsidRDefault="00613975" w:rsidP="00CA0C65">
            <w:pPr>
              <w:rPr>
                <w:rFonts w:ascii="Arial" w:hAnsi="Arial" w:cs="Arial"/>
                <w:sz w:val="20"/>
              </w:rPr>
            </w:pPr>
          </w:p>
        </w:tc>
        <w:tc>
          <w:tcPr>
            <w:tcW w:w="3969" w:type="dxa"/>
          </w:tcPr>
          <w:p w:rsidR="00613975" w:rsidRPr="008D0CCA" w:rsidRDefault="00613975" w:rsidP="005948E2">
            <w:pPr>
              <w:pStyle w:val="ListBullet"/>
            </w:pPr>
            <w:r w:rsidRPr="008D0CCA">
              <w:t>Sponsor’s comments:</w:t>
            </w:r>
          </w:p>
        </w:tc>
        <w:tc>
          <w:tcPr>
            <w:tcW w:w="5245" w:type="dxa"/>
          </w:tcPr>
          <w:p w:rsidR="0098248A" w:rsidRPr="008D0CCA" w:rsidRDefault="003415EF" w:rsidP="00F61C70">
            <w:pPr>
              <w:jc w:val="both"/>
              <w:rPr>
                <w:rFonts w:ascii="Arial" w:hAnsi="Arial" w:cs="Arial"/>
                <w:sz w:val="20"/>
                <w:highlight w:val="yellow"/>
              </w:rPr>
            </w:pPr>
            <w:r>
              <w:rPr>
                <w:rFonts w:ascii="Arial" w:hAnsi="Arial" w:cs="Arial"/>
                <w:sz w:val="20"/>
              </w:rPr>
              <w:t>The Sponsor had no comment.</w:t>
            </w:r>
          </w:p>
        </w:tc>
      </w:tr>
      <w:tr w:rsidR="007D44F0" w:rsidRPr="008D0CCA" w:rsidTr="00F61C70">
        <w:trPr>
          <w:trHeight w:val="435"/>
        </w:trPr>
        <w:tc>
          <w:tcPr>
            <w:tcW w:w="2127" w:type="dxa"/>
            <w:vMerge w:val="restart"/>
          </w:tcPr>
          <w:p w:rsidR="007D44F0" w:rsidRPr="008D0CCA" w:rsidRDefault="007D44F0" w:rsidP="00B31015">
            <w:pPr>
              <w:rPr>
                <w:rFonts w:ascii="Arial" w:hAnsi="Arial" w:cs="Arial"/>
                <w:color w:val="000000"/>
                <w:sz w:val="20"/>
              </w:rPr>
            </w:pPr>
            <w:r w:rsidRPr="008D0CCA">
              <w:rPr>
                <w:rFonts w:ascii="Arial" w:hAnsi="Arial" w:cs="Arial"/>
                <w:color w:val="000000"/>
                <w:sz w:val="20"/>
              </w:rPr>
              <w:t>IBRUTINIB</w:t>
            </w:r>
          </w:p>
          <w:p w:rsidR="007D44F0" w:rsidRPr="008D0CCA" w:rsidRDefault="007D44F0" w:rsidP="00B31015">
            <w:pPr>
              <w:rPr>
                <w:rFonts w:ascii="Arial" w:hAnsi="Arial" w:cs="Arial"/>
                <w:color w:val="000000"/>
                <w:sz w:val="20"/>
              </w:rPr>
            </w:pPr>
          </w:p>
          <w:p w:rsidR="007D44F0" w:rsidRPr="008D0CCA" w:rsidRDefault="007D44F0" w:rsidP="00B31015">
            <w:pPr>
              <w:rPr>
                <w:rFonts w:ascii="Arial" w:hAnsi="Arial" w:cs="Arial"/>
                <w:color w:val="000000"/>
                <w:sz w:val="20"/>
              </w:rPr>
            </w:pPr>
            <w:r w:rsidRPr="008D0CCA">
              <w:rPr>
                <w:rFonts w:ascii="Arial" w:hAnsi="Arial" w:cs="Arial"/>
                <w:color w:val="000000"/>
                <w:sz w:val="20"/>
              </w:rPr>
              <w:br w:type="page"/>
            </w:r>
            <w:r w:rsidRPr="008D0CCA">
              <w:rPr>
                <w:rFonts w:ascii="Arial" w:hAnsi="Arial" w:cs="Arial"/>
                <w:color w:val="000000"/>
                <w:sz w:val="20"/>
              </w:rPr>
              <w:br w:type="page"/>
              <w:t xml:space="preserve">Capsule 140 mg </w:t>
            </w:r>
          </w:p>
          <w:p w:rsidR="007D44F0" w:rsidRPr="008D0CCA" w:rsidRDefault="007D44F0" w:rsidP="00B31015">
            <w:pPr>
              <w:rPr>
                <w:rFonts w:ascii="Arial" w:hAnsi="Arial" w:cs="Arial"/>
                <w:color w:val="000000"/>
                <w:sz w:val="20"/>
              </w:rPr>
            </w:pPr>
          </w:p>
          <w:p w:rsidR="007D44F0" w:rsidRPr="008D0CCA" w:rsidRDefault="007D44F0" w:rsidP="00B31015">
            <w:pPr>
              <w:rPr>
                <w:rFonts w:ascii="Arial" w:hAnsi="Arial" w:cs="Arial"/>
                <w:color w:val="000000"/>
                <w:sz w:val="20"/>
              </w:rPr>
            </w:pPr>
            <w:r w:rsidRPr="008D0CCA">
              <w:rPr>
                <w:rFonts w:ascii="Arial" w:hAnsi="Arial" w:cs="Arial"/>
                <w:color w:val="000000"/>
                <w:sz w:val="20"/>
              </w:rPr>
              <w:br w:type="page"/>
            </w:r>
            <w:r w:rsidRPr="008D0CCA">
              <w:rPr>
                <w:rFonts w:ascii="Arial" w:hAnsi="Arial" w:cs="Arial"/>
                <w:color w:val="000000"/>
                <w:sz w:val="20"/>
              </w:rPr>
              <w:br w:type="page"/>
              <w:t>Imbruvica®</w:t>
            </w:r>
            <w:r w:rsidRPr="008D0CCA">
              <w:rPr>
                <w:rFonts w:ascii="Arial" w:hAnsi="Arial" w:cs="Arial"/>
                <w:color w:val="000000"/>
                <w:sz w:val="20"/>
              </w:rPr>
              <w:br w:type="page"/>
            </w:r>
            <w:r w:rsidRPr="008D0CCA">
              <w:rPr>
                <w:rFonts w:ascii="Arial" w:hAnsi="Arial" w:cs="Arial"/>
                <w:color w:val="000000"/>
                <w:sz w:val="20"/>
              </w:rPr>
              <w:br w:type="page"/>
            </w:r>
          </w:p>
          <w:p w:rsidR="007D44F0" w:rsidRPr="008D0CCA" w:rsidRDefault="007D44F0" w:rsidP="00B31015">
            <w:pPr>
              <w:rPr>
                <w:rFonts w:ascii="Arial" w:hAnsi="Arial" w:cs="Arial"/>
                <w:color w:val="000000"/>
                <w:sz w:val="20"/>
              </w:rPr>
            </w:pPr>
          </w:p>
          <w:p w:rsidR="007D44F0" w:rsidRPr="008D0CCA" w:rsidRDefault="007D44F0" w:rsidP="00B31015">
            <w:pPr>
              <w:contextualSpacing/>
              <w:rPr>
                <w:rFonts w:ascii="Arial" w:hAnsi="Arial" w:cs="Arial"/>
                <w:sz w:val="20"/>
                <w:highlight w:val="yellow"/>
              </w:rPr>
            </w:pPr>
            <w:r w:rsidRPr="008D0CCA">
              <w:rPr>
                <w:rFonts w:ascii="Arial" w:hAnsi="Arial" w:cs="Arial"/>
                <w:color w:val="000000"/>
                <w:sz w:val="20"/>
              </w:rPr>
              <w:t>Janssen-Cilag Pty Ltd</w:t>
            </w:r>
            <w:r w:rsidRPr="008D0CCA">
              <w:rPr>
                <w:rFonts w:ascii="Arial" w:hAnsi="Arial" w:cs="Arial"/>
                <w:sz w:val="20"/>
                <w:highlight w:val="yellow"/>
              </w:rPr>
              <w:t xml:space="preserve"> </w:t>
            </w:r>
          </w:p>
          <w:p w:rsidR="007D44F0" w:rsidRPr="008D0CCA" w:rsidRDefault="007D44F0" w:rsidP="00B31015">
            <w:pPr>
              <w:contextualSpacing/>
              <w:rPr>
                <w:rFonts w:ascii="Arial" w:hAnsi="Arial" w:cs="Arial"/>
                <w:sz w:val="20"/>
                <w:highlight w:val="yellow"/>
              </w:rPr>
            </w:pPr>
          </w:p>
          <w:p w:rsidR="007D44F0" w:rsidRPr="008D0CCA" w:rsidRDefault="007D44F0" w:rsidP="00B31015">
            <w:pPr>
              <w:rPr>
                <w:rFonts w:ascii="Arial" w:hAnsi="Arial" w:cs="Arial"/>
                <w:color w:val="000000"/>
                <w:sz w:val="20"/>
              </w:rPr>
            </w:pPr>
            <w:r w:rsidRPr="008D0CCA">
              <w:rPr>
                <w:rFonts w:ascii="Arial" w:hAnsi="Arial" w:cs="Arial"/>
                <w:color w:val="000000"/>
                <w:sz w:val="20"/>
              </w:rPr>
              <w:t xml:space="preserve">Change to recommended listing </w:t>
            </w:r>
          </w:p>
          <w:p w:rsidR="007D44F0" w:rsidRPr="008D0CCA" w:rsidRDefault="007D44F0" w:rsidP="00B31015">
            <w:pPr>
              <w:rPr>
                <w:rFonts w:ascii="Arial" w:hAnsi="Arial" w:cs="Arial"/>
                <w:color w:val="000000"/>
                <w:sz w:val="20"/>
              </w:rPr>
            </w:pPr>
            <w:r w:rsidRPr="008D0CCA">
              <w:rPr>
                <w:rFonts w:ascii="Arial" w:hAnsi="Arial" w:cs="Arial"/>
                <w:color w:val="000000"/>
                <w:sz w:val="20"/>
              </w:rPr>
              <w:t>(Major Submission)</w:t>
            </w:r>
          </w:p>
        </w:tc>
        <w:tc>
          <w:tcPr>
            <w:tcW w:w="2126" w:type="dxa"/>
            <w:vMerge w:val="restart"/>
          </w:tcPr>
          <w:p w:rsidR="006E4FBA" w:rsidRPr="008D0CCA" w:rsidRDefault="00060BDC" w:rsidP="006E4FBA">
            <w:pPr>
              <w:rPr>
                <w:rFonts w:ascii="Arial" w:hAnsi="Arial" w:cs="Arial"/>
                <w:sz w:val="20"/>
              </w:rPr>
            </w:pPr>
            <w:r w:rsidRPr="008D0CCA">
              <w:rPr>
                <w:rFonts w:ascii="Arial" w:hAnsi="Arial" w:cs="Arial"/>
                <w:sz w:val="20"/>
              </w:rPr>
              <w:t>I</w:t>
            </w:r>
            <w:r w:rsidR="007D44F0" w:rsidRPr="008D0CCA">
              <w:rPr>
                <w:rFonts w:ascii="Arial" w:hAnsi="Arial" w:cs="Arial"/>
                <w:sz w:val="20"/>
              </w:rPr>
              <w:t xml:space="preserve">ndicated </w:t>
            </w:r>
            <w:r w:rsidR="006E4FBA" w:rsidRPr="008D0CCA">
              <w:rPr>
                <w:rFonts w:ascii="Arial" w:hAnsi="Arial" w:cs="Arial"/>
                <w:sz w:val="20"/>
              </w:rPr>
              <w:t>for  the treatment of:</w:t>
            </w:r>
          </w:p>
          <w:p w:rsidR="006E4FBA" w:rsidRPr="008D0CCA" w:rsidRDefault="006E4FBA" w:rsidP="006E4FBA">
            <w:pPr>
              <w:rPr>
                <w:rFonts w:ascii="Arial" w:hAnsi="Arial" w:cs="Arial"/>
                <w:sz w:val="20"/>
              </w:rPr>
            </w:pPr>
            <w:r w:rsidRPr="008D0CCA">
              <w:rPr>
                <w:rFonts w:ascii="Arial" w:hAnsi="Arial" w:cs="Arial"/>
                <w:sz w:val="20"/>
              </w:rPr>
              <w:t>•patients with mantle cell lymphoma who have received at least one prior therapy.</w:t>
            </w:r>
          </w:p>
          <w:p w:rsidR="006E4FBA" w:rsidRPr="008D0CCA" w:rsidRDefault="006E4FBA" w:rsidP="006E4FBA">
            <w:pPr>
              <w:rPr>
                <w:rFonts w:ascii="Arial" w:hAnsi="Arial" w:cs="Arial"/>
                <w:sz w:val="20"/>
              </w:rPr>
            </w:pPr>
            <w:r w:rsidRPr="008D0CCA">
              <w:rPr>
                <w:rFonts w:ascii="Arial" w:hAnsi="Arial" w:cs="Arial"/>
                <w:sz w:val="20"/>
              </w:rPr>
              <w:t>•adult patients with CLL/SLL who have received at least one prior therapy or adult patients with previously untreated CLL/SLL</w:t>
            </w:r>
          </w:p>
          <w:p w:rsidR="006E4FBA" w:rsidRPr="008D0CCA" w:rsidRDefault="006E4FBA" w:rsidP="006E4FBA">
            <w:pPr>
              <w:rPr>
                <w:rFonts w:ascii="Arial" w:hAnsi="Arial" w:cs="Arial"/>
                <w:sz w:val="20"/>
              </w:rPr>
            </w:pPr>
            <w:r w:rsidRPr="008D0CCA">
              <w:rPr>
                <w:rFonts w:ascii="Arial" w:hAnsi="Arial" w:cs="Arial"/>
                <w:sz w:val="20"/>
              </w:rPr>
              <w:t>•Patients with CLL/SLL with deletion 17p; and</w:t>
            </w:r>
          </w:p>
          <w:p w:rsidR="006E4FBA" w:rsidRPr="008D0CCA" w:rsidRDefault="006E4FBA" w:rsidP="006E4FBA">
            <w:pPr>
              <w:rPr>
                <w:rFonts w:ascii="Arial" w:hAnsi="Arial" w:cs="Arial"/>
                <w:sz w:val="20"/>
                <w:highlight w:val="yellow"/>
              </w:rPr>
            </w:pPr>
            <w:r w:rsidRPr="008D0CCA">
              <w:rPr>
                <w:rFonts w:ascii="Arial" w:hAnsi="Arial" w:cs="Arial"/>
                <w:sz w:val="20"/>
              </w:rPr>
              <w:t>•adult patients with Waldenstrom’s macroglobulinaemia who have received at least one prior therapy, or in first-line treatment for patients unsuitable for chemo-immunotherapy.</w:t>
            </w:r>
          </w:p>
        </w:tc>
        <w:tc>
          <w:tcPr>
            <w:tcW w:w="1984" w:type="dxa"/>
            <w:vMerge w:val="restart"/>
          </w:tcPr>
          <w:p w:rsidR="007D44F0" w:rsidRPr="008D0CCA" w:rsidRDefault="005E4432" w:rsidP="001D2FAD">
            <w:pPr>
              <w:rPr>
                <w:rFonts w:ascii="Arial" w:hAnsi="Arial" w:cs="Arial"/>
                <w:sz w:val="20"/>
                <w:highlight w:val="yellow"/>
              </w:rPr>
            </w:pPr>
            <w:r w:rsidRPr="008D0CCA">
              <w:rPr>
                <w:rFonts w:ascii="Arial" w:hAnsi="Arial" w:cs="Arial"/>
                <w:sz w:val="20"/>
              </w:rPr>
              <w:t>Chronic lymphocytic leukaemia (CLL) or small lymphocytic lymphoma (SLL)</w:t>
            </w:r>
          </w:p>
        </w:tc>
        <w:tc>
          <w:tcPr>
            <w:tcW w:w="3969" w:type="dxa"/>
          </w:tcPr>
          <w:p w:rsidR="007D44F0" w:rsidRPr="008D0CCA" w:rsidRDefault="007D44F0" w:rsidP="001D2FAD">
            <w:pPr>
              <w:keepLines/>
              <w:rPr>
                <w:rFonts w:ascii="Arial" w:hAnsi="Arial" w:cs="Arial"/>
                <w:sz w:val="20"/>
              </w:rPr>
            </w:pPr>
            <w:r w:rsidRPr="008D0CCA">
              <w:rPr>
                <w:rFonts w:ascii="Arial" w:hAnsi="Arial" w:cs="Arial"/>
                <w:sz w:val="20"/>
              </w:rPr>
              <w:t>Resubmission to request an Authority Required listing for treatment of patients with relapsed or refractory mantle cell lymphoma.</w:t>
            </w:r>
          </w:p>
        </w:tc>
        <w:tc>
          <w:tcPr>
            <w:tcW w:w="5245" w:type="dxa"/>
          </w:tcPr>
          <w:p w:rsidR="007D44F0" w:rsidRPr="008D0CCA" w:rsidRDefault="007D44F0" w:rsidP="00F61C70">
            <w:pPr>
              <w:jc w:val="both"/>
              <w:rPr>
                <w:rFonts w:ascii="Arial" w:hAnsi="Arial" w:cs="Arial"/>
                <w:sz w:val="20"/>
                <w:highlight w:val="yellow"/>
              </w:rPr>
            </w:pPr>
            <w:r w:rsidRPr="008D0CCA">
              <w:rPr>
                <w:rFonts w:ascii="Arial" w:hAnsi="Arial" w:cs="Arial"/>
                <w:sz w:val="20"/>
              </w:rPr>
              <w:t xml:space="preserve">The PBAC did not recommend the listing of ibrutinib for mantle cell lymphoma on the basis of an unacceptably high incremental cost </w:t>
            </w:r>
            <w:r w:rsidR="00B01740" w:rsidRPr="008D0CCA">
              <w:rPr>
                <w:rFonts w:ascii="Arial" w:hAnsi="Arial" w:cs="Arial"/>
                <w:sz w:val="20"/>
              </w:rPr>
              <w:t>effectiveness ratio (ICER)</w:t>
            </w:r>
            <w:r w:rsidR="00401F5B" w:rsidRPr="008D0CCA">
              <w:rPr>
                <w:rFonts w:ascii="Arial" w:hAnsi="Arial" w:cs="Arial"/>
                <w:sz w:val="20"/>
              </w:rPr>
              <w:t>.</w:t>
            </w:r>
            <w:r w:rsidRPr="008D0CCA">
              <w:rPr>
                <w:rFonts w:ascii="Arial" w:hAnsi="Arial" w:cs="Arial"/>
                <w:sz w:val="20"/>
              </w:rPr>
              <w:t xml:space="preserve"> Further, the PBAC considered that the financial impact was high and likely overestimated. </w:t>
            </w:r>
          </w:p>
        </w:tc>
      </w:tr>
      <w:tr w:rsidR="007D44F0" w:rsidRPr="008D0CCA" w:rsidTr="00F61C70">
        <w:trPr>
          <w:trHeight w:val="433"/>
        </w:trPr>
        <w:tc>
          <w:tcPr>
            <w:tcW w:w="2127" w:type="dxa"/>
            <w:vMerge/>
          </w:tcPr>
          <w:p w:rsidR="007D44F0" w:rsidRPr="008D0CCA" w:rsidRDefault="007D44F0" w:rsidP="00DA535C">
            <w:pPr>
              <w:rPr>
                <w:rFonts w:ascii="Arial" w:hAnsi="Arial" w:cs="Arial"/>
                <w:sz w:val="20"/>
              </w:rPr>
            </w:pPr>
          </w:p>
        </w:tc>
        <w:tc>
          <w:tcPr>
            <w:tcW w:w="2126" w:type="dxa"/>
            <w:vMerge/>
          </w:tcPr>
          <w:p w:rsidR="007D44F0" w:rsidRPr="008D0CCA" w:rsidRDefault="007D44F0" w:rsidP="00DA535C">
            <w:pPr>
              <w:rPr>
                <w:rFonts w:ascii="Arial" w:hAnsi="Arial" w:cs="Arial"/>
                <w:sz w:val="20"/>
              </w:rPr>
            </w:pPr>
          </w:p>
        </w:tc>
        <w:tc>
          <w:tcPr>
            <w:tcW w:w="1984" w:type="dxa"/>
            <w:vMerge/>
          </w:tcPr>
          <w:p w:rsidR="007D44F0" w:rsidRPr="008D0CCA" w:rsidRDefault="007D44F0" w:rsidP="00DA535C">
            <w:pPr>
              <w:rPr>
                <w:rFonts w:ascii="Arial" w:hAnsi="Arial" w:cs="Arial"/>
                <w:sz w:val="20"/>
              </w:rPr>
            </w:pPr>
          </w:p>
        </w:tc>
        <w:tc>
          <w:tcPr>
            <w:tcW w:w="3969" w:type="dxa"/>
          </w:tcPr>
          <w:p w:rsidR="007D44F0" w:rsidRPr="008D0CCA" w:rsidRDefault="007D44F0" w:rsidP="00DA535C">
            <w:pPr>
              <w:pStyle w:val="ListBullet"/>
            </w:pPr>
            <w:r w:rsidRPr="008D0CCA">
              <w:t>Comparator: rituximab, cyclophosphamide, doxorubicin, vincristine and prednisone (R-CHOP).</w:t>
            </w:r>
          </w:p>
        </w:tc>
        <w:tc>
          <w:tcPr>
            <w:tcW w:w="5245" w:type="dxa"/>
          </w:tcPr>
          <w:p w:rsidR="007D44F0" w:rsidRPr="008D0CCA" w:rsidRDefault="007D44F0" w:rsidP="00F61C70">
            <w:pPr>
              <w:jc w:val="both"/>
              <w:rPr>
                <w:rFonts w:ascii="Arial" w:hAnsi="Arial" w:cs="Arial"/>
                <w:sz w:val="20"/>
                <w:highlight w:val="yellow"/>
              </w:rPr>
            </w:pPr>
            <w:r w:rsidRPr="008D0CCA">
              <w:rPr>
                <w:rFonts w:ascii="Arial" w:hAnsi="Arial" w:cs="Arial"/>
                <w:sz w:val="20"/>
              </w:rPr>
              <w:t>Accepted.</w:t>
            </w:r>
          </w:p>
        </w:tc>
      </w:tr>
      <w:tr w:rsidR="007D44F0" w:rsidRPr="008D0CCA" w:rsidTr="00F61C70">
        <w:trPr>
          <w:trHeight w:val="433"/>
        </w:trPr>
        <w:tc>
          <w:tcPr>
            <w:tcW w:w="2127" w:type="dxa"/>
            <w:vMerge/>
          </w:tcPr>
          <w:p w:rsidR="007D44F0" w:rsidRPr="008D0CCA" w:rsidRDefault="007D44F0" w:rsidP="00DA535C">
            <w:pPr>
              <w:rPr>
                <w:rFonts w:ascii="Arial" w:hAnsi="Arial" w:cs="Arial"/>
                <w:sz w:val="20"/>
              </w:rPr>
            </w:pPr>
          </w:p>
        </w:tc>
        <w:tc>
          <w:tcPr>
            <w:tcW w:w="2126" w:type="dxa"/>
            <w:vMerge/>
          </w:tcPr>
          <w:p w:rsidR="007D44F0" w:rsidRPr="008D0CCA" w:rsidRDefault="007D44F0" w:rsidP="00DA535C">
            <w:pPr>
              <w:rPr>
                <w:rFonts w:ascii="Arial" w:hAnsi="Arial" w:cs="Arial"/>
                <w:sz w:val="20"/>
              </w:rPr>
            </w:pPr>
          </w:p>
        </w:tc>
        <w:tc>
          <w:tcPr>
            <w:tcW w:w="1984" w:type="dxa"/>
            <w:vMerge/>
          </w:tcPr>
          <w:p w:rsidR="007D44F0" w:rsidRPr="008D0CCA" w:rsidRDefault="007D44F0" w:rsidP="00DA535C">
            <w:pPr>
              <w:rPr>
                <w:rFonts w:ascii="Arial" w:hAnsi="Arial" w:cs="Arial"/>
                <w:sz w:val="20"/>
              </w:rPr>
            </w:pPr>
          </w:p>
        </w:tc>
        <w:tc>
          <w:tcPr>
            <w:tcW w:w="3969" w:type="dxa"/>
          </w:tcPr>
          <w:p w:rsidR="007D44F0" w:rsidRPr="008D0CCA" w:rsidRDefault="007D44F0" w:rsidP="00DA535C">
            <w:pPr>
              <w:pStyle w:val="ListBullet"/>
            </w:pPr>
            <w:r w:rsidRPr="008D0CCA">
              <w:t>Clinical claim: Superior comparative efficacy compared with R-CHOP; superior comparative safety compared with patients on active R-CHOP treatment; and inferior comparative safety compared with patients who have completed or discontinued R-CHOP treatment but remained progression free.</w:t>
            </w:r>
          </w:p>
        </w:tc>
        <w:tc>
          <w:tcPr>
            <w:tcW w:w="5245" w:type="dxa"/>
          </w:tcPr>
          <w:p w:rsidR="007D44F0" w:rsidRPr="008D0CCA" w:rsidRDefault="007D44F0" w:rsidP="00F61C70">
            <w:pPr>
              <w:jc w:val="both"/>
              <w:rPr>
                <w:rFonts w:ascii="Arial" w:hAnsi="Arial" w:cs="Arial"/>
                <w:sz w:val="20"/>
              </w:rPr>
            </w:pPr>
            <w:r w:rsidRPr="008D0CCA">
              <w:rPr>
                <w:rFonts w:ascii="Arial" w:hAnsi="Arial" w:cs="Arial"/>
                <w:sz w:val="20"/>
              </w:rPr>
              <w:t xml:space="preserve">The PBAC considered that ibrutinib had superior efficacy compared with R-CHOP, however the magnitude of the benefit remained uncertain due to </w:t>
            </w:r>
            <w:r w:rsidR="00B01740" w:rsidRPr="008D0CCA">
              <w:rPr>
                <w:rFonts w:ascii="Arial" w:hAnsi="Arial" w:cs="Arial"/>
                <w:sz w:val="20"/>
              </w:rPr>
              <w:t xml:space="preserve">the </w:t>
            </w:r>
            <w:r w:rsidRPr="008D0CCA">
              <w:rPr>
                <w:rFonts w:ascii="Arial" w:hAnsi="Arial" w:cs="Arial"/>
                <w:sz w:val="20"/>
              </w:rPr>
              <w:t xml:space="preserve">limitations </w:t>
            </w:r>
            <w:r w:rsidR="009B6BB1" w:rsidRPr="008D0CCA">
              <w:rPr>
                <w:rFonts w:ascii="Arial" w:hAnsi="Arial" w:cs="Arial"/>
                <w:sz w:val="20"/>
              </w:rPr>
              <w:t xml:space="preserve">of </w:t>
            </w:r>
            <w:r w:rsidR="00B01740" w:rsidRPr="008D0CCA">
              <w:rPr>
                <w:rFonts w:ascii="Arial" w:hAnsi="Arial" w:cs="Arial"/>
                <w:sz w:val="20"/>
              </w:rPr>
              <w:t xml:space="preserve">the </w:t>
            </w:r>
            <w:r w:rsidRPr="008D0CCA">
              <w:rPr>
                <w:rFonts w:ascii="Arial" w:hAnsi="Arial" w:cs="Arial"/>
                <w:sz w:val="20"/>
              </w:rPr>
              <w:t>comparison</w:t>
            </w:r>
            <w:r w:rsidR="009B6BB1" w:rsidRPr="008D0CCA">
              <w:rPr>
                <w:rFonts w:ascii="Arial" w:hAnsi="Arial" w:cs="Arial"/>
                <w:sz w:val="20"/>
              </w:rPr>
              <w:t xml:space="preserve"> presented in the submission</w:t>
            </w:r>
            <w:r w:rsidRPr="008D0CCA">
              <w:rPr>
                <w:rFonts w:ascii="Arial" w:hAnsi="Arial" w:cs="Arial"/>
                <w:sz w:val="20"/>
              </w:rPr>
              <w:t xml:space="preserve">. Despite the low quality of the evidence, the PBAC considered that ibrutinib was likely to offer benefit in an area of high clinical need. </w:t>
            </w:r>
          </w:p>
          <w:p w:rsidR="007D44F0" w:rsidRPr="008D0CCA" w:rsidRDefault="007D44F0" w:rsidP="00F61C70">
            <w:pPr>
              <w:jc w:val="both"/>
              <w:rPr>
                <w:rFonts w:ascii="Arial" w:hAnsi="Arial" w:cs="Arial"/>
                <w:sz w:val="20"/>
                <w:highlight w:val="yellow"/>
              </w:rPr>
            </w:pPr>
            <w:r w:rsidRPr="008D0CCA">
              <w:rPr>
                <w:rFonts w:ascii="Arial" w:hAnsi="Arial" w:cs="Arial"/>
                <w:sz w:val="20"/>
              </w:rPr>
              <w:t>The PBAC considered that the safety claim was reasonable.</w:t>
            </w:r>
          </w:p>
        </w:tc>
      </w:tr>
      <w:tr w:rsidR="007D44F0" w:rsidRPr="008D0CCA" w:rsidTr="00F61C70">
        <w:trPr>
          <w:trHeight w:val="433"/>
        </w:trPr>
        <w:tc>
          <w:tcPr>
            <w:tcW w:w="2127" w:type="dxa"/>
            <w:vMerge/>
          </w:tcPr>
          <w:p w:rsidR="007D44F0" w:rsidRPr="008D0CCA" w:rsidRDefault="007D44F0" w:rsidP="00DA535C">
            <w:pPr>
              <w:rPr>
                <w:rFonts w:ascii="Arial" w:hAnsi="Arial" w:cs="Arial"/>
                <w:sz w:val="20"/>
              </w:rPr>
            </w:pPr>
          </w:p>
        </w:tc>
        <w:tc>
          <w:tcPr>
            <w:tcW w:w="2126" w:type="dxa"/>
            <w:vMerge/>
          </w:tcPr>
          <w:p w:rsidR="007D44F0" w:rsidRPr="008D0CCA" w:rsidRDefault="007D44F0" w:rsidP="00DA535C">
            <w:pPr>
              <w:rPr>
                <w:rFonts w:ascii="Arial" w:hAnsi="Arial" w:cs="Arial"/>
                <w:sz w:val="20"/>
              </w:rPr>
            </w:pPr>
          </w:p>
        </w:tc>
        <w:tc>
          <w:tcPr>
            <w:tcW w:w="1984" w:type="dxa"/>
            <w:vMerge/>
          </w:tcPr>
          <w:p w:rsidR="007D44F0" w:rsidRPr="008D0CCA" w:rsidRDefault="007D44F0" w:rsidP="00DA535C">
            <w:pPr>
              <w:rPr>
                <w:rFonts w:ascii="Arial" w:hAnsi="Arial" w:cs="Arial"/>
                <w:sz w:val="20"/>
              </w:rPr>
            </w:pPr>
          </w:p>
        </w:tc>
        <w:tc>
          <w:tcPr>
            <w:tcW w:w="3969" w:type="dxa"/>
          </w:tcPr>
          <w:p w:rsidR="007D44F0" w:rsidRPr="008D0CCA" w:rsidRDefault="007D44F0" w:rsidP="00DA535C">
            <w:pPr>
              <w:pStyle w:val="ListBullet"/>
            </w:pPr>
            <w:r w:rsidRPr="008D0CCA">
              <w:t>Economic claim: cost-utility analysis compared with R-CHOP.</w:t>
            </w:r>
          </w:p>
        </w:tc>
        <w:tc>
          <w:tcPr>
            <w:tcW w:w="5245" w:type="dxa"/>
          </w:tcPr>
          <w:p w:rsidR="007D44F0" w:rsidRPr="008D0CCA" w:rsidRDefault="007D44F0" w:rsidP="00F61C70">
            <w:pPr>
              <w:pStyle w:val="ListParagraph"/>
              <w:ind w:left="0"/>
              <w:jc w:val="both"/>
              <w:rPr>
                <w:rFonts w:ascii="Arial" w:hAnsi="Arial" w:cs="Arial"/>
                <w:sz w:val="20"/>
                <w:szCs w:val="20"/>
                <w:highlight w:val="yellow"/>
              </w:rPr>
            </w:pPr>
            <w:r w:rsidRPr="008D0CCA">
              <w:rPr>
                <w:rFonts w:ascii="Arial" w:hAnsi="Arial" w:cs="Arial"/>
                <w:sz w:val="20"/>
                <w:szCs w:val="20"/>
              </w:rPr>
              <w:t xml:space="preserve">The PBAC noted that the resubmission presented scenario analyses to generate four </w:t>
            </w:r>
            <w:r w:rsidR="009B6BB1" w:rsidRPr="008D0CCA">
              <w:rPr>
                <w:rFonts w:ascii="Arial" w:hAnsi="Arial" w:cs="Arial"/>
                <w:sz w:val="20"/>
                <w:szCs w:val="20"/>
              </w:rPr>
              <w:t>measures of cost-effectiveness</w:t>
            </w:r>
            <w:r w:rsidRPr="008D0CCA">
              <w:rPr>
                <w:rFonts w:ascii="Arial" w:hAnsi="Arial" w:cs="Arial"/>
                <w:sz w:val="20"/>
                <w:szCs w:val="20"/>
              </w:rPr>
              <w:t xml:space="preserve">. The PBAC considered that Scenarios 1 and 3 were overly optimistic as the overall survival curves </w:t>
            </w:r>
            <w:r w:rsidR="00B01740" w:rsidRPr="008D0CCA">
              <w:rPr>
                <w:rFonts w:ascii="Arial" w:hAnsi="Arial" w:cs="Arial"/>
                <w:sz w:val="20"/>
                <w:szCs w:val="20"/>
              </w:rPr>
              <w:t>projected results</w:t>
            </w:r>
            <w:r w:rsidR="009B6BB1" w:rsidRPr="008D0CCA">
              <w:rPr>
                <w:rFonts w:ascii="Arial" w:hAnsi="Arial" w:cs="Arial"/>
                <w:sz w:val="20"/>
                <w:szCs w:val="20"/>
              </w:rPr>
              <w:t xml:space="preserve"> unlikely to be observed in clinic</w:t>
            </w:r>
            <w:r w:rsidR="00B01740" w:rsidRPr="008D0CCA">
              <w:rPr>
                <w:rFonts w:ascii="Arial" w:hAnsi="Arial" w:cs="Arial"/>
                <w:sz w:val="20"/>
                <w:szCs w:val="20"/>
              </w:rPr>
              <w:t>al practice</w:t>
            </w:r>
            <w:r w:rsidRPr="008D0CCA">
              <w:rPr>
                <w:rFonts w:ascii="Arial" w:hAnsi="Arial" w:cs="Arial"/>
                <w:sz w:val="20"/>
                <w:szCs w:val="20"/>
              </w:rPr>
              <w:t>. Scenario 2 was considered uncertain, and likely optimistic, given it was based on adjusted trial results. The PBAC noted that the</w:t>
            </w:r>
            <w:r w:rsidR="00B01740" w:rsidRPr="008D0CCA">
              <w:rPr>
                <w:rFonts w:ascii="Arial" w:hAnsi="Arial" w:cs="Arial"/>
                <w:sz w:val="20"/>
                <w:szCs w:val="20"/>
              </w:rPr>
              <w:t xml:space="preserve"> </w:t>
            </w:r>
            <w:r w:rsidR="008D0CCA" w:rsidRPr="008D0CCA">
              <w:rPr>
                <w:rFonts w:ascii="Arial" w:hAnsi="Arial" w:cs="Arial"/>
                <w:sz w:val="20"/>
                <w:szCs w:val="20"/>
              </w:rPr>
              <w:t>i</w:t>
            </w:r>
            <w:r w:rsidR="00B01740" w:rsidRPr="008D0CCA">
              <w:rPr>
                <w:rFonts w:ascii="Arial" w:hAnsi="Arial" w:cs="Arial"/>
                <w:sz w:val="20"/>
                <w:szCs w:val="20"/>
              </w:rPr>
              <w:t xml:space="preserve">ncremental </w:t>
            </w:r>
            <w:r w:rsidR="008D0CCA" w:rsidRPr="008D0CCA">
              <w:rPr>
                <w:rFonts w:ascii="Arial" w:hAnsi="Arial" w:cs="Arial"/>
                <w:sz w:val="20"/>
                <w:szCs w:val="20"/>
              </w:rPr>
              <w:t>c</w:t>
            </w:r>
            <w:r w:rsidR="00B01740" w:rsidRPr="008D0CCA">
              <w:rPr>
                <w:rFonts w:ascii="Arial" w:hAnsi="Arial" w:cs="Arial"/>
                <w:sz w:val="20"/>
                <w:szCs w:val="20"/>
              </w:rPr>
              <w:t>ost-</w:t>
            </w:r>
            <w:r w:rsidR="008D0CCA" w:rsidRPr="008D0CCA">
              <w:rPr>
                <w:rFonts w:ascii="Arial" w:hAnsi="Arial" w:cs="Arial"/>
                <w:sz w:val="20"/>
                <w:szCs w:val="20"/>
              </w:rPr>
              <w:t>e</w:t>
            </w:r>
            <w:r w:rsidR="00B01740" w:rsidRPr="008D0CCA">
              <w:rPr>
                <w:rFonts w:ascii="Arial" w:hAnsi="Arial" w:cs="Arial"/>
                <w:sz w:val="20"/>
                <w:szCs w:val="20"/>
              </w:rPr>
              <w:t xml:space="preserve">ffectiveness </w:t>
            </w:r>
            <w:r w:rsidR="008D0CCA" w:rsidRPr="008D0CCA">
              <w:rPr>
                <w:rFonts w:ascii="Arial" w:hAnsi="Arial" w:cs="Arial"/>
                <w:sz w:val="20"/>
                <w:szCs w:val="20"/>
              </w:rPr>
              <w:t>r</w:t>
            </w:r>
            <w:r w:rsidR="00B01740" w:rsidRPr="008D0CCA">
              <w:rPr>
                <w:rFonts w:ascii="Arial" w:hAnsi="Arial" w:cs="Arial"/>
                <w:sz w:val="20"/>
                <w:szCs w:val="20"/>
              </w:rPr>
              <w:t>atio (</w:t>
            </w:r>
            <w:r w:rsidRPr="008D0CCA">
              <w:rPr>
                <w:rFonts w:ascii="Arial" w:hAnsi="Arial" w:cs="Arial"/>
                <w:sz w:val="20"/>
                <w:szCs w:val="20"/>
              </w:rPr>
              <w:t>ICER</w:t>
            </w:r>
            <w:r w:rsidR="00B01740" w:rsidRPr="008D0CCA">
              <w:rPr>
                <w:rFonts w:ascii="Arial" w:hAnsi="Arial" w:cs="Arial"/>
                <w:sz w:val="20"/>
                <w:szCs w:val="20"/>
              </w:rPr>
              <w:t>)</w:t>
            </w:r>
            <w:r w:rsidRPr="008D0CCA">
              <w:rPr>
                <w:rFonts w:ascii="Arial" w:hAnsi="Arial" w:cs="Arial"/>
                <w:sz w:val="20"/>
                <w:szCs w:val="20"/>
              </w:rPr>
              <w:t xml:space="preserve"> resulting from Scenario 4 was in the range of $105,000 to $200,000/QALY gained, and considered that this was unacceptably high.</w:t>
            </w:r>
            <w:r w:rsidR="009967A2" w:rsidRPr="008D0CCA">
              <w:rPr>
                <w:rFonts w:ascii="Arial" w:hAnsi="Arial" w:cs="Arial"/>
                <w:sz w:val="20"/>
                <w:szCs w:val="20"/>
              </w:rPr>
              <w:t xml:space="preserve"> However, overall, the PBAC considered that Scenario 4 had addressed many of its previous concerns. </w:t>
            </w:r>
            <w:r w:rsidRPr="008D0CCA">
              <w:rPr>
                <w:rFonts w:ascii="Arial" w:hAnsi="Arial" w:cs="Arial"/>
                <w:sz w:val="20"/>
                <w:szCs w:val="20"/>
              </w:rPr>
              <w:t xml:space="preserve"> </w:t>
            </w:r>
          </w:p>
        </w:tc>
      </w:tr>
      <w:tr w:rsidR="007D44F0" w:rsidRPr="008D0CCA" w:rsidTr="00F61C70">
        <w:trPr>
          <w:trHeight w:val="433"/>
        </w:trPr>
        <w:tc>
          <w:tcPr>
            <w:tcW w:w="2127" w:type="dxa"/>
            <w:vMerge/>
          </w:tcPr>
          <w:p w:rsidR="007D44F0" w:rsidRPr="008D0CCA" w:rsidRDefault="007D44F0" w:rsidP="00DA535C">
            <w:pPr>
              <w:rPr>
                <w:rFonts w:ascii="Arial" w:hAnsi="Arial" w:cs="Arial"/>
                <w:sz w:val="20"/>
              </w:rPr>
            </w:pPr>
          </w:p>
        </w:tc>
        <w:tc>
          <w:tcPr>
            <w:tcW w:w="2126" w:type="dxa"/>
            <w:vMerge/>
          </w:tcPr>
          <w:p w:rsidR="007D44F0" w:rsidRPr="008D0CCA" w:rsidRDefault="007D44F0" w:rsidP="00DA535C">
            <w:pPr>
              <w:rPr>
                <w:rFonts w:ascii="Arial" w:hAnsi="Arial" w:cs="Arial"/>
                <w:sz w:val="20"/>
              </w:rPr>
            </w:pPr>
          </w:p>
        </w:tc>
        <w:tc>
          <w:tcPr>
            <w:tcW w:w="1984" w:type="dxa"/>
            <w:vMerge/>
          </w:tcPr>
          <w:p w:rsidR="007D44F0" w:rsidRPr="008D0CCA" w:rsidRDefault="007D44F0" w:rsidP="00DA535C">
            <w:pPr>
              <w:rPr>
                <w:rFonts w:ascii="Arial" w:hAnsi="Arial" w:cs="Arial"/>
                <w:sz w:val="20"/>
              </w:rPr>
            </w:pPr>
          </w:p>
        </w:tc>
        <w:tc>
          <w:tcPr>
            <w:tcW w:w="3969" w:type="dxa"/>
          </w:tcPr>
          <w:p w:rsidR="007D44F0" w:rsidRPr="008D0CCA" w:rsidRDefault="007D44F0" w:rsidP="001D2FAD">
            <w:pPr>
              <w:pStyle w:val="ListBullet"/>
            </w:pPr>
            <w:r w:rsidRPr="008D0CCA">
              <w:t>Sponsor’s comments:</w:t>
            </w:r>
          </w:p>
          <w:p w:rsidR="007D44F0" w:rsidRPr="008D0CCA" w:rsidRDefault="007D44F0" w:rsidP="00DA535C">
            <w:pPr>
              <w:pStyle w:val="ListBullet"/>
            </w:pPr>
          </w:p>
        </w:tc>
        <w:tc>
          <w:tcPr>
            <w:tcW w:w="5245" w:type="dxa"/>
          </w:tcPr>
          <w:p w:rsidR="007D44F0" w:rsidRPr="008D0CCA" w:rsidRDefault="00926BBF" w:rsidP="00F61C70">
            <w:pPr>
              <w:jc w:val="both"/>
              <w:rPr>
                <w:rFonts w:ascii="Arial" w:hAnsi="Arial" w:cs="Arial"/>
                <w:sz w:val="20"/>
                <w:highlight w:val="yellow"/>
              </w:rPr>
            </w:pPr>
            <w:r w:rsidRPr="00926BBF">
              <w:rPr>
                <w:rFonts w:ascii="Arial" w:hAnsi="Arial" w:cs="Arial"/>
                <w:sz w:val="20"/>
              </w:rPr>
              <w:t>Janssen will continue to work with the PBAC to make ibrutinib available to patients as soon as practical.</w:t>
            </w:r>
          </w:p>
        </w:tc>
      </w:tr>
      <w:tr w:rsidR="00261171" w:rsidRPr="008D0CCA" w:rsidTr="00F61C70">
        <w:trPr>
          <w:trHeight w:val="435"/>
        </w:trPr>
        <w:tc>
          <w:tcPr>
            <w:tcW w:w="2127" w:type="dxa"/>
            <w:vMerge w:val="restart"/>
          </w:tcPr>
          <w:p w:rsidR="00261171" w:rsidRPr="008D0CCA" w:rsidRDefault="00261171" w:rsidP="00DA535C">
            <w:pPr>
              <w:contextualSpacing/>
              <w:rPr>
                <w:rFonts w:ascii="Arial" w:hAnsi="Arial" w:cs="Arial"/>
                <w:sz w:val="20"/>
                <w:highlight w:val="yellow"/>
              </w:rPr>
            </w:pPr>
            <w:r w:rsidRPr="008D0CCA">
              <w:rPr>
                <w:rFonts w:ascii="Arial" w:hAnsi="Arial" w:cs="Arial"/>
                <w:color w:val="000000"/>
                <w:sz w:val="20"/>
              </w:rPr>
              <w:lastRenderedPageBreak/>
              <w:t>MIGALASTAT</w:t>
            </w:r>
            <w:r w:rsidRPr="008D0CCA">
              <w:rPr>
                <w:rFonts w:ascii="Arial" w:hAnsi="Arial" w:cs="Arial"/>
                <w:color w:val="000000"/>
                <w:sz w:val="20"/>
              </w:rPr>
              <w:br/>
            </w:r>
            <w:r w:rsidRPr="008D0CCA">
              <w:rPr>
                <w:rFonts w:ascii="Arial" w:hAnsi="Arial" w:cs="Arial"/>
                <w:color w:val="000000"/>
                <w:sz w:val="20"/>
              </w:rPr>
              <w:br/>
              <w:t>Capsule containing migalastat hydrochloride 150 mg</w:t>
            </w:r>
            <w:r w:rsidRPr="008D0CCA">
              <w:rPr>
                <w:rFonts w:ascii="Arial" w:hAnsi="Arial" w:cs="Arial"/>
                <w:color w:val="000000"/>
                <w:sz w:val="20"/>
              </w:rPr>
              <w:br/>
            </w:r>
            <w:r w:rsidRPr="008D0CCA">
              <w:rPr>
                <w:rFonts w:ascii="Arial" w:hAnsi="Arial" w:cs="Arial"/>
                <w:color w:val="000000"/>
                <w:sz w:val="20"/>
              </w:rPr>
              <w:br/>
              <w:t>Galafold®</w:t>
            </w:r>
            <w:r w:rsidRPr="008D0CCA">
              <w:rPr>
                <w:rFonts w:ascii="Arial" w:hAnsi="Arial" w:cs="Arial"/>
                <w:color w:val="000000"/>
                <w:sz w:val="20"/>
              </w:rPr>
              <w:br/>
            </w:r>
            <w:r w:rsidRPr="008D0CCA">
              <w:rPr>
                <w:rFonts w:ascii="Arial" w:hAnsi="Arial" w:cs="Arial"/>
                <w:color w:val="000000"/>
                <w:sz w:val="20"/>
              </w:rPr>
              <w:br/>
              <w:t>Amicus Therapeutics</w:t>
            </w:r>
            <w:r w:rsidRPr="008D0CCA">
              <w:rPr>
                <w:rFonts w:ascii="Arial" w:hAnsi="Arial" w:cs="Arial"/>
                <w:sz w:val="20"/>
                <w:highlight w:val="yellow"/>
              </w:rPr>
              <w:t xml:space="preserve"> </w:t>
            </w:r>
          </w:p>
          <w:p w:rsidR="00261171" w:rsidRPr="008D0CCA" w:rsidRDefault="00261171" w:rsidP="00DA535C">
            <w:pPr>
              <w:contextualSpacing/>
              <w:rPr>
                <w:rFonts w:ascii="Arial" w:hAnsi="Arial" w:cs="Arial"/>
                <w:sz w:val="20"/>
                <w:highlight w:val="yellow"/>
              </w:rPr>
            </w:pPr>
          </w:p>
          <w:p w:rsidR="00261171" w:rsidRPr="008D0CCA" w:rsidRDefault="00261171" w:rsidP="00DA535C">
            <w:pPr>
              <w:contextualSpacing/>
              <w:rPr>
                <w:rFonts w:ascii="Arial" w:hAnsi="Arial" w:cs="Arial"/>
                <w:sz w:val="20"/>
                <w:highlight w:val="yellow"/>
              </w:rPr>
            </w:pPr>
            <w:r w:rsidRPr="008D0CCA">
              <w:rPr>
                <w:rFonts w:ascii="Arial" w:hAnsi="Arial" w:cs="Arial"/>
                <w:color w:val="000000"/>
                <w:sz w:val="20"/>
              </w:rPr>
              <w:t>New listing</w:t>
            </w:r>
            <w:r w:rsidRPr="008D0CCA">
              <w:rPr>
                <w:rFonts w:ascii="Arial" w:hAnsi="Arial" w:cs="Arial"/>
                <w:color w:val="000000"/>
                <w:sz w:val="20"/>
              </w:rPr>
              <w:br/>
              <w:t>(Minor Submission)</w:t>
            </w:r>
          </w:p>
        </w:tc>
        <w:tc>
          <w:tcPr>
            <w:tcW w:w="2126" w:type="dxa"/>
            <w:vMerge w:val="restart"/>
          </w:tcPr>
          <w:p w:rsidR="00261171" w:rsidRPr="008D0CCA" w:rsidRDefault="00060BDC" w:rsidP="00DA535C">
            <w:pPr>
              <w:rPr>
                <w:rFonts w:ascii="Arial" w:hAnsi="Arial" w:cs="Arial"/>
                <w:sz w:val="20"/>
                <w:highlight w:val="yellow"/>
              </w:rPr>
            </w:pPr>
            <w:r w:rsidRPr="008D0CCA">
              <w:rPr>
                <w:rFonts w:ascii="Arial" w:hAnsi="Arial" w:cs="Arial"/>
                <w:sz w:val="20"/>
              </w:rPr>
              <w:t>I</w:t>
            </w:r>
            <w:r w:rsidR="00261171" w:rsidRPr="008D0CCA">
              <w:rPr>
                <w:rFonts w:ascii="Arial" w:hAnsi="Arial" w:cs="Arial"/>
                <w:sz w:val="20"/>
              </w:rPr>
              <w:t>ndicated for long-term treatment of adult and adolescent patients 16 years and older with a confirmed diagnosis of Fabry disease (α-galactosidase A deficiency) and who have an amenable mutation.</w:t>
            </w:r>
          </w:p>
        </w:tc>
        <w:tc>
          <w:tcPr>
            <w:tcW w:w="1984" w:type="dxa"/>
            <w:vMerge w:val="restart"/>
          </w:tcPr>
          <w:p w:rsidR="00261171" w:rsidRPr="008D0CCA" w:rsidRDefault="002D5215" w:rsidP="00DA535C">
            <w:pPr>
              <w:rPr>
                <w:rFonts w:ascii="Arial" w:hAnsi="Arial" w:cs="Arial"/>
                <w:sz w:val="20"/>
                <w:highlight w:val="yellow"/>
              </w:rPr>
            </w:pPr>
            <w:r w:rsidRPr="008D0CCA">
              <w:rPr>
                <w:rFonts w:ascii="Arial" w:hAnsi="Arial" w:cs="Arial"/>
                <w:sz w:val="20"/>
              </w:rPr>
              <w:t>MIGALASTAT is not currently PBS listed.</w:t>
            </w:r>
          </w:p>
        </w:tc>
        <w:tc>
          <w:tcPr>
            <w:tcW w:w="3969" w:type="dxa"/>
          </w:tcPr>
          <w:p w:rsidR="00261171" w:rsidRPr="008D0CCA" w:rsidRDefault="00261171" w:rsidP="00DA535C">
            <w:pPr>
              <w:keepLines/>
              <w:rPr>
                <w:rFonts w:ascii="Arial" w:hAnsi="Arial" w:cs="Arial"/>
                <w:sz w:val="20"/>
              </w:rPr>
            </w:pPr>
            <w:r w:rsidRPr="008D0CCA">
              <w:rPr>
                <w:rFonts w:ascii="Arial" w:hAnsi="Arial" w:cs="Arial"/>
                <w:color w:val="000000"/>
                <w:sz w:val="20"/>
              </w:rPr>
              <w:t>Resubmission to request a Section 100 (Highly Specialised Drug) Authority Required listing for the treatment of Fabry disease.</w:t>
            </w:r>
          </w:p>
        </w:tc>
        <w:tc>
          <w:tcPr>
            <w:tcW w:w="5245" w:type="dxa"/>
          </w:tcPr>
          <w:p w:rsidR="00261171" w:rsidRPr="008D0CCA" w:rsidRDefault="00261171" w:rsidP="00F61C70">
            <w:pPr>
              <w:jc w:val="both"/>
              <w:rPr>
                <w:rFonts w:ascii="Arial" w:hAnsi="Arial" w:cs="Arial"/>
                <w:sz w:val="20"/>
                <w:highlight w:val="yellow"/>
              </w:rPr>
            </w:pPr>
            <w:r w:rsidRPr="008D0CCA">
              <w:rPr>
                <w:rFonts w:ascii="Arial" w:hAnsi="Arial" w:cs="Arial"/>
                <w:sz w:val="20"/>
              </w:rPr>
              <w:t xml:space="preserve">The PBAC did not recommend the Section 100 (Highly Specialised Drug Program) Authority Required listing of migalastat for the treatment of Fabry disease. In making this decision, the PBAC considered that the submission’s clinical claim of non-inferior comparative effectiveness compared with enzyme replacement therapy (ERT) was uncertain and could not be supported. The PBAC considered that migalastat does provide a clinical benefit in stabilising renal function in patients with Fabry disease.  The PBAC noted and welcomed the input from individuals </w:t>
            </w:r>
            <w:r w:rsidR="00146698" w:rsidRPr="008D0CCA">
              <w:rPr>
                <w:rFonts w:ascii="Arial" w:hAnsi="Arial" w:cs="Arial"/>
                <w:sz w:val="20"/>
              </w:rPr>
              <w:t>and Fabry</w:t>
            </w:r>
            <w:r w:rsidRPr="008D0CCA">
              <w:rPr>
                <w:rFonts w:ascii="Arial" w:hAnsi="Arial" w:cs="Arial"/>
                <w:sz w:val="20"/>
              </w:rPr>
              <w:t xml:space="preserve"> Australia via the Consumer Comments facility on the PBS website.  The comments described the benefits of treatment </w:t>
            </w:r>
            <w:r w:rsidR="00283041" w:rsidRPr="008D0CCA">
              <w:rPr>
                <w:rFonts w:ascii="Arial" w:hAnsi="Arial" w:cs="Arial"/>
                <w:sz w:val="20"/>
              </w:rPr>
              <w:t xml:space="preserve">with migalastat (a tablet) </w:t>
            </w:r>
            <w:r w:rsidRPr="008D0CCA">
              <w:rPr>
                <w:rFonts w:ascii="Arial" w:hAnsi="Arial" w:cs="Arial"/>
                <w:sz w:val="20"/>
              </w:rPr>
              <w:t xml:space="preserve">compared to the current </w:t>
            </w:r>
            <w:r w:rsidR="00283041" w:rsidRPr="008D0CCA">
              <w:rPr>
                <w:rFonts w:ascii="Arial" w:hAnsi="Arial" w:cs="Arial"/>
                <w:sz w:val="20"/>
              </w:rPr>
              <w:t xml:space="preserve">ERTs </w:t>
            </w:r>
            <w:r w:rsidRPr="008D0CCA">
              <w:rPr>
                <w:rFonts w:ascii="Arial" w:hAnsi="Arial" w:cs="Arial"/>
                <w:sz w:val="20"/>
              </w:rPr>
              <w:t>in avoiding the burden of fortnightly intravenous infusion, which would improve people's quality of life.</w:t>
            </w:r>
          </w:p>
        </w:tc>
      </w:tr>
      <w:tr w:rsidR="00261171" w:rsidRPr="008D0CCA" w:rsidTr="00F61C70">
        <w:trPr>
          <w:trHeight w:val="433"/>
        </w:trPr>
        <w:tc>
          <w:tcPr>
            <w:tcW w:w="2127" w:type="dxa"/>
            <w:vMerge/>
          </w:tcPr>
          <w:p w:rsidR="00261171" w:rsidRPr="008D0CCA" w:rsidRDefault="00261171" w:rsidP="00DA535C">
            <w:pPr>
              <w:rPr>
                <w:rFonts w:ascii="Arial" w:hAnsi="Arial" w:cs="Arial"/>
                <w:sz w:val="20"/>
              </w:rPr>
            </w:pPr>
          </w:p>
        </w:tc>
        <w:tc>
          <w:tcPr>
            <w:tcW w:w="2126" w:type="dxa"/>
            <w:vMerge/>
          </w:tcPr>
          <w:p w:rsidR="00261171" w:rsidRPr="008D0CCA" w:rsidRDefault="00261171" w:rsidP="00DA535C">
            <w:pPr>
              <w:rPr>
                <w:rFonts w:ascii="Arial" w:hAnsi="Arial" w:cs="Arial"/>
                <w:sz w:val="20"/>
              </w:rPr>
            </w:pPr>
          </w:p>
        </w:tc>
        <w:tc>
          <w:tcPr>
            <w:tcW w:w="1984" w:type="dxa"/>
            <w:vMerge/>
          </w:tcPr>
          <w:p w:rsidR="00261171" w:rsidRPr="008D0CCA" w:rsidRDefault="00261171" w:rsidP="00DA535C">
            <w:pPr>
              <w:rPr>
                <w:rFonts w:ascii="Arial" w:hAnsi="Arial" w:cs="Arial"/>
                <w:sz w:val="20"/>
              </w:rPr>
            </w:pPr>
          </w:p>
        </w:tc>
        <w:tc>
          <w:tcPr>
            <w:tcW w:w="3969" w:type="dxa"/>
          </w:tcPr>
          <w:p w:rsidR="00261171" w:rsidRPr="008D0CCA" w:rsidRDefault="00261171" w:rsidP="00261171">
            <w:pPr>
              <w:pStyle w:val="ListBullet"/>
            </w:pPr>
            <w:r w:rsidRPr="008D0CCA">
              <w:t>Comparator: agalsidase alfa and agalsidase beta (used in ERT)</w:t>
            </w:r>
          </w:p>
          <w:p w:rsidR="00261171" w:rsidRPr="008D0CCA" w:rsidRDefault="00261171" w:rsidP="00DA535C">
            <w:pPr>
              <w:pStyle w:val="ListBullet"/>
            </w:pPr>
          </w:p>
        </w:tc>
        <w:tc>
          <w:tcPr>
            <w:tcW w:w="5245" w:type="dxa"/>
          </w:tcPr>
          <w:p w:rsidR="00261171" w:rsidRPr="008D0CCA" w:rsidRDefault="00261171" w:rsidP="00F61C70">
            <w:pPr>
              <w:jc w:val="both"/>
              <w:rPr>
                <w:rFonts w:ascii="Arial" w:hAnsi="Arial" w:cs="Arial"/>
                <w:sz w:val="20"/>
                <w:highlight w:val="yellow"/>
              </w:rPr>
            </w:pPr>
            <w:r w:rsidRPr="008D0CCA">
              <w:rPr>
                <w:rFonts w:ascii="Arial" w:hAnsi="Arial" w:cs="Arial"/>
                <w:sz w:val="20"/>
              </w:rPr>
              <w:t>Accepted. However, these two treatments are not listed on the PBS and have not been considered to be cost-effective for listing on the PBS.</w:t>
            </w:r>
          </w:p>
        </w:tc>
      </w:tr>
      <w:tr w:rsidR="00261171" w:rsidRPr="008D0CCA" w:rsidTr="00F61C70">
        <w:trPr>
          <w:trHeight w:val="433"/>
        </w:trPr>
        <w:tc>
          <w:tcPr>
            <w:tcW w:w="2127" w:type="dxa"/>
            <w:vMerge/>
          </w:tcPr>
          <w:p w:rsidR="00261171" w:rsidRPr="008D0CCA" w:rsidRDefault="00261171" w:rsidP="00DA535C">
            <w:pPr>
              <w:rPr>
                <w:rFonts w:ascii="Arial" w:hAnsi="Arial" w:cs="Arial"/>
                <w:sz w:val="20"/>
              </w:rPr>
            </w:pPr>
          </w:p>
        </w:tc>
        <w:tc>
          <w:tcPr>
            <w:tcW w:w="2126" w:type="dxa"/>
            <w:vMerge/>
          </w:tcPr>
          <w:p w:rsidR="00261171" w:rsidRPr="008D0CCA" w:rsidRDefault="00261171" w:rsidP="00DA535C">
            <w:pPr>
              <w:rPr>
                <w:rFonts w:ascii="Arial" w:hAnsi="Arial" w:cs="Arial"/>
                <w:sz w:val="20"/>
              </w:rPr>
            </w:pPr>
          </w:p>
        </w:tc>
        <w:tc>
          <w:tcPr>
            <w:tcW w:w="1984" w:type="dxa"/>
            <w:vMerge/>
          </w:tcPr>
          <w:p w:rsidR="00261171" w:rsidRPr="008D0CCA" w:rsidRDefault="00261171" w:rsidP="00DA535C">
            <w:pPr>
              <w:rPr>
                <w:rFonts w:ascii="Arial" w:hAnsi="Arial" w:cs="Arial"/>
                <w:sz w:val="20"/>
              </w:rPr>
            </w:pPr>
          </w:p>
        </w:tc>
        <w:tc>
          <w:tcPr>
            <w:tcW w:w="3969" w:type="dxa"/>
          </w:tcPr>
          <w:p w:rsidR="00261171" w:rsidRPr="008D0CCA" w:rsidRDefault="00261171" w:rsidP="00261171">
            <w:pPr>
              <w:pStyle w:val="ListBullet"/>
            </w:pPr>
            <w:r w:rsidRPr="008D0CCA">
              <w:t xml:space="preserve">Clinical claim:  </w:t>
            </w:r>
          </w:p>
          <w:p w:rsidR="00261171" w:rsidRPr="008D0CCA" w:rsidRDefault="00146698" w:rsidP="00261171">
            <w:pPr>
              <w:pStyle w:val="ListBullet"/>
              <w:numPr>
                <w:ilvl w:val="0"/>
                <w:numId w:val="13"/>
              </w:numPr>
            </w:pPr>
            <w:r w:rsidRPr="008D0CCA">
              <w:t>Non-inferior</w:t>
            </w:r>
            <w:r w:rsidR="00261171" w:rsidRPr="008D0CCA">
              <w:t xml:space="preserve"> comparative effectiveness of migalastat compared to ERT.</w:t>
            </w:r>
          </w:p>
          <w:p w:rsidR="00261171" w:rsidRPr="008D0CCA" w:rsidRDefault="00146698" w:rsidP="00261171">
            <w:pPr>
              <w:pStyle w:val="ListBullet"/>
              <w:numPr>
                <w:ilvl w:val="0"/>
                <w:numId w:val="13"/>
              </w:numPr>
            </w:pPr>
            <w:r w:rsidRPr="008D0CCA">
              <w:t>Non-inferior</w:t>
            </w:r>
            <w:r w:rsidR="00261171" w:rsidRPr="008D0CCA">
              <w:t xml:space="preserve"> comparative safety of migalastat compared to ERT.</w:t>
            </w:r>
          </w:p>
        </w:tc>
        <w:tc>
          <w:tcPr>
            <w:tcW w:w="5245" w:type="dxa"/>
          </w:tcPr>
          <w:p w:rsidR="00261171" w:rsidRPr="008D0CCA" w:rsidRDefault="00261171" w:rsidP="00F61C70">
            <w:pPr>
              <w:jc w:val="both"/>
              <w:rPr>
                <w:rFonts w:ascii="Arial" w:hAnsi="Arial" w:cs="Arial"/>
                <w:sz w:val="20"/>
              </w:rPr>
            </w:pPr>
            <w:r w:rsidRPr="008D0CCA">
              <w:rPr>
                <w:rFonts w:ascii="Arial" w:hAnsi="Arial" w:cs="Arial"/>
                <w:sz w:val="20"/>
              </w:rPr>
              <w:t>The PBAC did not accept the clinical claim of non-inferior effectiveness compared with the primary comparator of ERT, in either treatment naïve patients or in treatment experienced or switch patients.</w:t>
            </w:r>
          </w:p>
          <w:p w:rsidR="00261171" w:rsidRPr="00F61C70" w:rsidRDefault="00261171" w:rsidP="00F61C70">
            <w:pPr>
              <w:jc w:val="both"/>
              <w:rPr>
                <w:rFonts w:ascii="Arial" w:hAnsi="Arial" w:cs="Arial"/>
                <w:sz w:val="20"/>
              </w:rPr>
            </w:pPr>
            <w:r w:rsidRPr="008D0CCA">
              <w:rPr>
                <w:rFonts w:ascii="Arial" w:hAnsi="Arial" w:cs="Arial"/>
                <w:sz w:val="20"/>
              </w:rPr>
              <w:t xml:space="preserve">The PBAC previously considered that it was reasonable to accept the claim of non-inferior comparative safety of </w:t>
            </w:r>
            <w:proofErr w:type="spellStart"/>
            <w:r w:rsidRPr="008D0CCA">
              <w:rPr>
                <w:rFonts w:ascii="Arial" w:hAnsi="Arial" w:cs="Arial"/>
                <w:sz w:val="20"/>
              </w:rPr>
              <w:t>migalastat</w:t>
            </w:r>
            <w:proofErr w:type="spellEnd"/>
            <w:r w:rsidRPr="008D0CCA">
              <w:rPr>
                <w:rFonts w:ascii="Arial" w:hAnsi="Arial" w:cs="Arial"/>
                <w:sz w:val="20"/>
              </w:rPr>
              <w:t xml:space="preserve"> compared to ERT.</w:t>
            </w:r>
          </w:p>
        </w:tc>
      </w:tr>
      <w:tr w:rsidR="00261171" w:rsidRPr="008D0CCA" w:rsidTr="00F61C70">
        <w:trPr>
          <w:trHeight w:val="433"/>
        </w:trPr>
        <w:tc>
          <w:tcPr>
            <w:tcW w:w="2127" w:type="dxa"/>
            <w:vMerge/>
          </w:tcPr>
          <w:p w:rsidR="00261171" w:rsidRPr="008D0CCA" w:rsidRDefault="00261171" w:rsidP="00DA535C">
            <w:pPr>
              <w:rPr>
                <w:rFonts w:ascii="Arial" w:hAnsi="Arial" w:cs="Arial"/>
                <w:sz w:val="20"/>
              </w:rPr>
            </w:pPr>
          </w:p>
        </w:tc>
        <w:tc>
          <w:tcPr>
            <w:tcW w:w="2126" w:type="dxa"/>
            <w:vMerge/>
          </w:tcPr>
          <w:p w:rsidR="00261171" w:rsidRPr="008D0CCA" w:rsidRDefault="00261171" w:rsidP="00DA535C">
            <w:pPr>
              <w:rPr>
                <w:rFonts w:ascii="Arial" w:hAnsi="Arial" w:cs="Arial"/>
                <w:sz w:val="20"/>
              </w:rPr>
            </w:pPr>
          </w:p>
        </w:tc>
        <w:tc>
          <w:tcPr>
            <w:tcW w:w="1984" w:type="dxa"/>
            <w:vMerge/>
          </w:tcPr>
          <w:p w:rsidR="00261171" w:rsidRPr="008D0CCA" w:rsidRDefault="00261171" w:rsidP="00DA535C">
            <w:pPr>
              <w:rPr>
                <w:rFonts w:ascii="Arial" w:hAnsi="Arial" w:cs="Arial"/>
                <w:sz w:val="20"/>
              </w:rPr>
            </w:pPr>
          </w:p>
        </w:tc>
        <w:tc>
          <w:tcPr>
            <w:tcW w:w="3969" w:type="dxa"/>
          </w:tcPr>
          <w:p w:rsidR="00261171" w:rsidRPr="008D0CCA" w:rsidRDefault="00261171" w:rsidP="00261171">
            <w:pPr>
              <w:pStyle w:val="ListBullet"/>
            </w:pPr>
            <w:r w:rsidRPr="008D0CCA">
              <w:t xml:space="preserve">Economic claim: cost-minimisation analysis compared with ERT. </w:t>
            </w:r>
          </w:p>
          <w:p w:rsidR="00261171" w:rsidRPr="008D0CCA" w:rsidRDefault="00261171" w:rsidP="00DA535C">
            <w:pPr>
              <w:pStyle w:val="ListBullet"/>
            </w:pPr>
          </w:p>
        </w:tc>
        <w:tc>
          <w:tcPr>
            <w:tcW w:w="5245" w:type="dxa"/>
          </w:tcPr>
          <w:p w:rsidR="00261171" w:rsidRPr="008D0CCA" w:rsidRDefault="00261171" w:rsidP="00F61C70">
            <w:pPr>
              <w:jc w:val="both"/>
              <w:rPr>
                <w:rFonts w:ascii="Arial" w:hAnsi="Arial" w:cs="Arial"/>
                <w:sz w:val="20"/>
              </w:rPr>
            </w:pPr>
            <w:r w:rsidRPr="008D0CCA">
              <w:rPr>
                <w:rFonts w:ascii="Arial" w:hAnsi="Arial" w:cs="Arial"/>
                <w:sz w:val="20"/>
              </w:rPr>
              <w:t>Not Accepted. The PBAC did not accept the submission’s clinical claim of non-inferiority versus ERT and therefore the basis for determining the equi-effective doses and the cost-minimisation approach were not accepted.</w:t>
            </w:r>
          </w:p>
          <w:p w:rsidR="00261171" w:rsidRPr="008D0CCA" w:rsidRDefault="00261171" w:rsidP="00F61C70">
            <w:pPr>
              <w:pStyle w:val="ListParagraph"/>
              <w:ind w:left="0"/>
              <w:jc w:val="both"/>
              <w:rPr>
                <w:rFonts w:ascii="Arial" w:hAnsi="Arial" w:cs="Arial"/>
                <w:sz w:val="20"/>
                <w:szCs w:val="20"/>
                <w:highlight w:val="yellow"/>
              </w:rPr>
            </w:pPr>
            <w:r w:rsidRPr="008D0CCA">
              <w:rPr>
                <w:rFonts w:ascii="Arial" w:hAnsi="Arial" w:cs="Arial"/>
                <w:sz w:val="20"/>
                <w:szCs w:val="20"/>
              </w:rPr>
              <w:t>As the submission’s comparators are not listed on the PBS, the sponsor did not present a cost-effectiveness argument for the listing of migalastat on the PBS itself.</w:t>
            </w:r>
          </w:p>
        </w:tc>
      </w:tr>
      <w:tr w:rsidR="00261171" w:rsidRPr="008D0CCA" w:rsidTr="00F61C70">
        <w:trPr>
          <w:trHeight w:val="433"/>
        </w:trPr>
        <w:tc>
          <w:tcPr>
            <w:tcW w:w="2127" w:type="dxa"/>
            <w:vMerge/>
          </w:tcPr>
          <w:p w:rsidR="00261171" w:rsidRPr="008D0CCA" w:rsidRDefault="00261171" w:rsidP="00DA535C">
            <w:pPr>
              <w:rPr>
                <w:rFonts w:ascii="Arial" w:hAnsi="Arial" w:cs="Arial"/>
                <w:sz w:val="20"/>
              </w:rPr>
            </w:pPr>
          </w:p>
        </w:tc>
        <w:tc>
          <w:tcPr>
            <w:tcW w:w="2126" w:type="dxa"/>
            <w:vMerge/>
          </w:tcPr>
          <w:p w:rsidR="00261171" w:rsidRPr="008D0CCA" w:rsidRDefault="00261171" w:rsidP="00DA535C">
            <w:pPr>
              <w:rPr>
                <w:rFonts w:ascii="Arial" w:hAnsi="Arial" w:cs="Arial"/>
                <w:sz w:val="20"/>
              </w:rPr>
            </w:pPr>
          </w:p>
        </w:tc>
        <w:tc>
          <w:tcPr>
            <w:tcW w:w="1984" w:type="dxa"/>
            <w:vMerge/>
          </w:tcPr>
          <w:p w:rsidR="00261171" w:rsidRPr="008D0CCA" w:rsidRDefault="00261171" w:rsidP="00DA535C">
            <w:pPr>
              <w:rPr>
                <w:rFonts w:ascii="Arial" w:hAnsi="Arial" w:cs="Arial"/>
                <w:sz w:val="20"/>
              </w:rPr>
            </w:pPr>
          </w:p>
        </w:tc>
        <w:tc>
          <w:tcPr>
            <w:tcW w:w="3969" w:type="dxa"/>
          </w:tcPr>
          <w:p w:rsidR="00261171" w:rsidRPr="008D0CCA" w:rsidRDefault="00261171" w:rsidP="00DA535C">
            <w:pPr>
              <w:pStyle w:val="ListBullet"/>
            </w:pPr>
            <w:r w:rsidRPr="008D0CCA">
              <w:t>Sponsor’s comments:</w:t>
            </w:r>
          </w:p>
          <w:p w:rsidR="00261171" w:rsidRPr="008D0CCA" w:rsidRDefault="00261171" w:rsidP="00DA535C">
            <w:pPr>
              <w:pStyle w:val="ListBullet"/>
            </w:pPr>
          </w:p>
        </w:tc>
        <w:tc>
          <w:tcPr>
            <w:tcW w:w="5245" w:type="dxa"/>
          </w:tcPr>
          <w:p w:rsidR="00261171" w:rsidRPr="008D0CCA" w:rsidRDefault="009903EF" w:rsidP="00F61C70">
            <w:pPr>
              <w:jc w:val="both"/>
              <w:rPr>
                <w:rFonts w:ascii="Arial" w:hAnsi="Arial" w:cs="Arial"/>
                <w:sz w:val="20"/>
                <w:highlight w:val="yellow"/>
              </w:rPr>
            </w:pPr>
            <w:r w:rsidRPr="009903EF">
              <w:rPr>
                <w:rFonts w:ascii="Arial" w:hAnsi="Arial" w:cs="Arial"/>
                <w:sz w:val="20"/>
              </w:rPr>
              <w:t>Amicus thanks the PBAC for its consideration of migalastat to treat Fabry disease. Based on the Committee’s recognition that migalastat is clinically effective in stabilising renal function in patients with Fabry disease, we look forward to liaising with the Life Saving Drugs Program to ensure that this novel oral therapy is made available to eligible Australian Fabry disease patients.</w:t>
            </w:r>
          </w:p>
        </w:tc>
      </w:tr>
      <w:tr w:rsidR="002D5215" w:rsidRPr="008D0CCA" w:rsidTr="00F61C70">
        <w:trPr>
          <w:trHeight w:val="435"/>
        </w:trPr>
        <w:tc>
          <w:tcPr>
            <w:tcW w:w="2127" w:type="dxa"/>
            <w:vMerge w:val="restart"/>
          </w:tcPr>
          <w:p w:rsidR="002D5215" w:rsidRPr="008D0CCA" w:rsidRDefault="002D5215" w:rsidP="00DA535C">
            <w:pPr>
              <w:contextualSpacing/>
              <w:rPr>
                <w:rFonts w:ascii="Arial" w:hAnsi="Arial" w:cs="Arial"/>
                <w:sz w:val="20"/>
                <w:highlight w:val="yellow"/>
              </w:rPr>
            </w:pPr>
            <w:r w:rsidRPr="008D0CCA">
              <w:rPr>
                <w:rFonts w:ascii="Arial" w:hAnsi="Arial" w:cs="Arial"/>
                <w:color w:val="000000"/>
                <w:sz w:val="20"/>
              </w:rPr>
              <w:t>PALBOCICLIB</w:t>
            </w:r>
            <w:r w:rsidRPr="008D0CCA">
              <w:rPr>
                <w:rFonts w:ascii="Arial" w:hAnsi="Arial" w:cs="Arial"/>
                <w:color w:val="000000"/>
                <w:sz w:val="20"/>
              </w:rPr>
              <w:br/>
            </w:r>
            <w:r w:rsidRPr="008D0CCA">
              <w:rPr>
                <w:rFonts w:ascii="Arial" w:hAnsi="Arial" w:cs="Arial"/>
                <w:color w:val="000000"/>
                <w:sz w:val="20"/>
              </w:rPr>
              <w:br/>
              <w:t>Capsule 75 mg</w:t>
            </w:r>
            <w:r w:rsidRPr="008D0CCA">
              <w:rPr>
                <w:rFonts w:ascii="Arial" w:hAnsi="Arial" w:cs="Arial"/>
                <w:color w:val="000000"/>
                <w:sz w:val="20"/>
              </w:rPr>
              <w:br/>
              <w:t xml:space="preserve">Capsule 100 mg </w:t>
            </w:r>
            <w:r w:rsidRPr="008D0CCA">
              <w:rPr>
                <w:rFonts w:ascii="Arial" w:hAnsi="Arial" w:cs="Arial"/>
                <w:color w:val="000000"/>
                <w:sz w:val="20"/>
              </w:rPr>
              <w:br/>
              <w:t>Capsule 125 mg</w:t>
            </w:r>
            <w:r w:rsidRPr="008D0CCA">
              <w:rPr>
                <w:rFonts w:ascii="Arial" w:hAnsi="Arial" w:cs="Arial"/>
                <w:color w:val="000000"/>
                <w:sz w:val="20"/>
              </w:rPr>
              <w:br/>
            </w:r>
            <w:r w:rsidRPr="008D0CCA">
              <w:rPr>
                <w:rFonts w:ascii="Arial" w:hAnsi="Arial" w:cs="Arial"/>
                <w:color w:val="000000"/>
                <w:sz w:val="20"/>
              </w:rPr>
              <w:br/>
              <w:t xml:space="preserve">Ibrance® </w:t>
            </w:r>
            <w:r w:rsidRPr="008D0CCA">
              <w:rPr>
                <w:rFonts w:ascii="Arial" w:hAnsi="Arial" w:cs="Arial"/>
                <w:color w:val="000000"/>
                <w:sz w:val="20"/>
              </w:rPr>
              <w:br/>
            </w:r>
            <w:r w:rsidRPr="008D0CCA">
              <w:rPr>
                <w:rFonts w:ascii="Arial" w:hAnsi="Arial" w:cs="Arial"/>
                <w:color w:val="000000"/>
                <w:sz w:val="20"/>
              </w:rPr>
              <w:br/>
              <w:t>Pfizer Australia Pty Ltd</w:t>
            </w:r>
            <w:r w:rsidRPr="008D0CCA">
              <w:rPr>
                <w:rFonts w:ascii="Arial" w:hAnsi="Arial" w:cs="Arial"/>
                <w:sz w:val="20"/>
                <w:highlight w:val="yellow"/>
              </w:rPr>
              <w:t xml:space="preserve"> </w:t>
            </w:r>
          </w:p>
          <w:p w:rsidR="002D5215" w:rsidRPr="008D0CCA" w:rsidRDefault="002D5215" w:rsidP="00DA535C">
            <w:pPr>
              <w:contextualSpacing/>
              <w:rPr>
                <w:rFonts w:ascii="Arial" w:hAnsi="Arial" w:cs="Arial"/>
                <w:sz w:val="20"/>
                <w:highlight w:val="yellow"/>
              </w:rPr>
            </w:pPr>
          </w:p>
          <w:p w:rsidR="002D5215" w:rsidRPr="008D0CCA" w:rsidRDefault="002D5215" w:rsidP="00DA535C">
            <w:pPr>
              <w:contextualSpacing/>
              <w:rPr>
                <w:rFonts w:ascii="Arial" w:hAnsi="Arial" w:cs="Arial"/>
                <w:sz w:val="20"/>
                <w:highlight w:val="yellow"/>
              </w:rPr>
            </w:pPr>
            <w:r w:rsidRPr="008D0CCA">
              <w:rPr>
                <w:rFonts w:ascii="Arial" w:hAnsi="Arial" w:cs="Arial"/>
                <w:color w:val="000000"/>
                <w:sz w:val="20"/>
              </w:rPr>
              <w:t>New listing</w:t>
            </w:r>
            <w:r w:rsidRPr="008D0CCA">
              <w:rPr>
                <w:rFonts w:ascii="Arial" w:hAnsi="Arial" w:cs="Arial"/>
                <w:color w:val="000000"/>
                <w:sz w:val="20"/>
              </w:rPr>
              <w:br/>
              <w:t>(Major Submission)</w:t>
            </w:r>
          </w:p>
        </w:tc>
        <w:tc>
          <w:tcPr>
            <w:tcW w:w="2126" w:type="dxa"/>
            <w:vMerge w:val="restart"/>
          </w:tcPr>
          <w:p w:rsidR="00060BDC" w:rsidRPr="008D0CCA" w:rsidRDefault="00060BDC" w:rsidP="00060BDC">
            <w:pPr>
              <w:rPr>
                <w:rFonts w:ascii="Arial" w:hAnsi="Arial" w:cs="Arial"/>
                <w:sz w:val="20"/>
              </w:rPr>
            </w:pPr>
            <w:r w:rsidRPr="008D0CCA">
              <w:rPr>
                <w:rFonts w:ascii="Arial" w:hAnsi="Arial" w:cs="Arial"/>
                <w:sz w:val="20"/>
              </w:rPr>
              <w:t>Indicated for the treatment of hormone receptor (HR)-positive, human epidermal growth factor receptor 2 (HER2)-negative advanced or metastatic breast cancer in combination with:</w:t>
            </w:r>
          </w:p>
          <w:p w:rsidR="00060BDC" w:rsidRPr="008D0CCA" w:rsidRDefault="00060BDC" w:rsidP="00060BDC">
            <w:pPr>
              <w:numPr>
                <w:ilvl w:val="0"/>
                <w:numId w:val="16"/>
              </w:numPr>
              <w:ind w:left="175" w:hanging="142"/>
              <w:rPr>
                <w:rFonts w:ascii="Arial" w:hAnsi="Arial" w:cs="Arial"/>
                <w:sz w:val="20"/>
              </w:rPr>
            </w:pPr>
            <w:r w:rsidRPr="008D0CCA">
              <w:rPr>
                <w:rFonts w:ascii="Arial" w:hAnsi="Arial" w:cs="Arial"/>
                <w:sz w:val="20"/>
              </w:rPr>
              <w:t>an aromatase inhibitor as initial endocrine-based therapy;</w:t>
            </w:r>
          </w:p>
          <w:p w:rsidR="00060BDC" w:rsidRPr="008D0CCA" w:rsidRDefault="00060BDC" w:rsidP="00060BDC">
            <w:pPr>
              <w:numPr>
                <w:ilvl w:val="0"/>
                <w:numId w:val="16"/>
              </w:numPr>
              <w:ind w:left="175" w:hanging="142"/>
              <w:rPr>
                <w:rFonts w:ascii="Arial" w:hAnsi="Arial" w:cs="Arial"/>
                <w:sz w:val="20"/>
              </w:rPr>
            </w:pPr>
            <w:proofErr w:type="gramStart"/>
            <w:r w:rsidRPr="008D0CCA">
              <w:rPr>
                <w:rFonts w:ascii="Arial" w:hAnsi="Arial" w:cs="Arial"/>
                <w:sz w:val="20"/>
              </w:rPr>
              <w:t>fulvestrant</w:t>
            </w:r>
            <w:proofErr w:type="gramEnd"/>
            <w:r w:rsidRPr="008D0CCA">
              <w:rPr>
                <w:rFonts w:ascii="Arial" w:hAnsi="Arial" w:cs="Arial"/>
                <w:sz w:val="20"/>
              </w:rPr>
              <w:t xml:space="preserve"> in patients who have received prior therapy.</w:t>
            </w:r>
          </w:p>
          <w:p w:rsidR="002D5215" w:rsidRPr="008D0CCA" w:rsidRDefault="002D5215" w:rsidP="00DA535C">
            <w:pPr>
              <w:rPr>
                <w:rFonts w:ascii="Arial" w:hAnsi="Arial" w:cs="Arial"/>
                <w:sz w:val="20"/>
                <w:highlight w:val="yellow"/>
              </w:rPr>
            </w:pPr>
          </w:p>
        </w:tc>
        <w:tc>
          <w:tcPr>
            <w:tcW w:w="1984" w:type="dxa"/>
            <w:vMerge w:val="restart"/>
          </w:tcPr>
          <w:p w:rsidR="002D5215" w:rsidRPr="008D0CCA" w:rsidRDefault="002D5215" w:rsidP="007001F5">
            <w:pPr>
              <w:rPr>
                <w:rFonts w:ascii="Arial" w:hAnsi="Arial" w:cs="Arial"/>
                <w:sz w:val="20"/>
                <w:highlight w:val="yellow"/>
              </w:rPr>
            </w:pPr>
            <w:r w:rsidRPr="008D0CCA">
              <w:rPr>
                <w:rFonts w:ascii="Arial" w:hAnsi="Arial" w:cs="Arial"/>
                <w:color w:val="000000"/>
                <w:sz w:val="20"/>
              </w:rPr>
              <w:t xml:space="preserve">PALBOCICLIB </w:t>
            </w:r>
            <w:r w:rsidRPr="008D0CCA">
              <w:rPr>
                <w:rFonts w:ascii="Arial" w:hAnsi="Arial" w:cs="Arial"/>
                <w:sz w:val="20"/>
              </w:rPr>
              <w:t>is not currently PBS listed.</w:t>
            </w:r>
          </w:p>
        </w:tc>
        <w:tc>
          <w:tcPr>
            <w:tcW w:w="3969" w:type="dxa"/>
          </w:tcPr>
          <w:p w:rsidR="002D5215" w:rsidRPr="008D0CCA" w:rsidRDefault="002D5215" w:rsidP="00DA535C">
            <w:pPr>
              <w:rPr>
                <w:rFonts w:ascii="Arial" w:hAnsi="Arial" w:cs="Arial"/>
                <w:sz w:val="20"/>
              </w:rPr>
            </w:pPr>
            <w:r w:rsidRPr="008D0CCA">
              <w:rPr>
                <w:rFonts w:ascii="Arial" w:hAnsi="Arial" w:cs="Arial"/>
                <w:sz w:val="20"/>
              </w:rPr>
              <w:t xml:space="preserve">Resubmission to request an Authority Required listing as initial endocrine-based therapy in patients with </w:t>
            </w:r>
            <w:r w:rsidRPr="008D0CCA">
              <w:rPr>
                <w:rFonts w:ascii="Arial" w:hAnsi="Arial" w:cs="Arial"/>
                <w:color w:val="000000"/>
                <w:sz w:val="20"/>
              </w:rPr>
              <w:t xml:space="preserve">hormone receptor-positive (HR+), human epidermal growth factor receptor-2 negative (HER2-) </w:t>
            </w:r>
            <w:r w:rsidRPr="008D0CCA">
              <w:rPr>
                <w:rFonts w:ascii="Arial" w:hAnsi="Arial" w:cs="Arial"/>
                <w:sz w:val="20"/>
              </w:rPr>
              <w:t>locally advanced, inoperable or metastatic breast cancer in combination with a non-steroidal aromatase inhibitor.</w:t>
            </w:r>
          </w:p>
          <w:p w:rsidR="002D5215" w:rsidRPr="008D0CCA" w:rsidRDefault="002D5215" w:rsidP="00DA535C">
            <w:pPr>
              <w:rPr>
                <w:rFonts w:ascii="Arial" w:hAnsi="Arial" w:cs="Arial"/>
                <w:color w:val="000000"/>
                <w:sz w:val="20"/>
              </w:rPr>
            </w:pPr>
          </w:p>
        </w:tc>
        <w:tc>
          <w:tcPr>
            <w:tcW w:w="5245" w:type="dxa"/>
          </w:tcPr>
          <w:p w:rsidR="002D5215" w:rsidRPr="008D0CCA" w:rsidRDefault="002D5215" w:rsidP="00F61C70">
            <w:pPr>
              <w:jc w:val="both"/>
              <w:rPr>
                <w:rFonts w:ascii="Arial" w:hAnsi="Arial" w:cs="Arial"/>
                <w:sz w:val="20"/>
              </w:rPr>
            </w:pPr>
            <w:r w:rsidRPr="008D0CCA">
              <w:rPr>
                <w:rFonts w:ascii="Arial" w:hAnsi="Arial" w:cs="Arial"/>
                <w:sz w:val="20"/>
              </w:rPr>
              <w:t>The PBAC did not recommend the listing of palbociclib on the PBS as initial endocrine-based therapy for hormone receptor positive (HR+), HER2-negative (HER2–) advanced breast cancer on the basis that:</w:t>
            </w:r>
          </w:p>
          <w:p w:rsidR="002D5215" w:rsidRPr="008D0CCA" w:rsidRDefault="002D5215" w:rsidP="005948E2">
            <w:pPr>
              <w:ind w:left="176" w:hanging="142"/>
              <w:jc w:val="both"/>
              <w:rPr>
                <w:rFonts w:ascii="Arial" w:hAnsi="Arial" w:cs="Arial"/>
                <w:sz w:val="20"/>
              </w:rPr>
            </w:pPr>
            <w:r w:rsidRPr="008D0CCA">
              <w:rPr>
                <w:rFonts w:ascii="Arial" w:hAnsi="Arial" w:cs="Arial"/>
                <w:sz w:val="20"/>
              </w:rPr>
              <w:t>•</w:t>
            </w:r>
            <w:r w:rsidRPr="008D0CCA">
              <w:rPr>
                <w:rFonts w:ascii="Arial" w:hAnsi="Arial" w:cs="Arial"/>
                <w:sz w:val="20"/>
              </w:rPr>
              <w:tab/>
              <w:t>palbociclib had a high and uncertain cost-effectiveness at the price proposed by the sponsor</w:t>
            </w:r>
          </w:p>
          <w:p w:rsidR="002D5215" w:rsidRPr="008D0CCA" w:rsidRDefault="002D5215" w:rsidP="005948E2">
            <w:pPr>
              <w:ind w:left="176" w:hanging="142"/>
              <w:jc w:val="both"/>
              <w:rPr>
                <w:rFonts w:ascii="Arial" w:hAnsi="Arial" w:cs="Arial"/>
                <w:sz w:val="20"/>
              </w:rPr>
            </w:pPr>
            <w:r w:rsidRPr="008D0CCA">
              <w:rPr>
                <w:rFonts w:ascii="Arial" w:hAnsi="Arial" w:cs="Arial"/>
                <w:sz w:val="20"/>
              </w:rPr>
              <w:t>•</w:t>
            </w:r>
            <w:r w:rsidRPr="008D0CCA">
              <w:rPr>
                <w:rFonts w:ascii="Arial" w:hAnsi="Arial" w:cs="Arial"/>
                <w:sz w:val="20"/>
              </w:rPr>
              <w:tab/>
              <w:t>single agent endocrine therapy as first-line therapy is associated with significant clinical benefits in most patients and the addition of palbociclib increases the toxicity of treatment with an uncertain effect on overall survival</w:t>
            </w:r>
          </w:p>
          <w:p w:rsidR="002D5215" w:rsidRPr="008D0CCA" w:rsidRDefault="002D5215" w:rsidP="005948E2">
            <w:pPr>
              <w:ind w:left="176" w:hanging="142"/>
              <w:jc w:val="both"/>
              <w:rPr>
                <w:rFonts w:ascii="Arial" w:hAnsi="Arial" w:cs="Arial"/>
                <w:sz w:val="20"/>
              </w:rPr>
            </w:pPr>
            <w:r w:rsidRPr="008D0CCA">
              <w:rPr>
                <w:rFonts w:ascii="Arial" w:hAnsi="Arial" w:cs="Arial"/>
                <w:sz w:val="20"/>
              </w:rPr>
              <w:t>•</w:t>
            </w:r>
            <w:r w:rsidRPr="008D0CCA">
              <w:rPr>
                <w:rFonts w:ascii="Arial" w:hAnsi="Arial" w:cs="Arial"/>
                <w:sz w:val="20"/>
              </w:rPr>
              <w:tab/>
              <w:t>the likely net cost of listing palbociclib on the PBS would be more than $100 million over the first five years, and as such, there would be a significant opportunity cost to the Commonwealth.</w:t>
            </w:r>
          </w:p>
          <w:p w:rsidR="002D5215" w:rsidRPr="008D0CCA" w:rsidRDefault="002D5215" w:rsidP="00F61C70">
            <w:pPr>
              <w:jc w:val="both"/>
              <w:rPr>
                <w:rFonts w:ascii="Arial" w:hAnsi="Arial" w:cs="Arial"/>
                <w:sz w:val="20"/>
              </w:rPr>
            </w:pPr>
          </w:p>
          <w:p w:rsidR="002D5215" w:rsidRPr="008D0CCA" w:rsidRDefault="002D5215" w:rsidP="00F61C70">
            <w:pPr>
              <w:jc w:val="both"/>
              <w:rPr>
                <w:rFonts w:ascii="Arial" w:hAnsi="Arial" w:cs="Arial"/>
                <w:sz w:val="20"/>
                <w:highlight w:val="yellow"/>
              </w:rPr>
            </w:pPr>
            <w:r w:rsidRPr="008D0CCA">
              <w:rPr>
                <w:rFonts w:ascii="Arial" w:hAnsi="Arial" w:cs="Arial"/>
                <w:sz w:val="20"/>
              </w:rPr>
              <w:t>The PBAC noted that breast cancer is the most common cancer in females and that the majority of patients with advanced breast cancer patients have the HR+ / HER2 negative type. The PBAC welcomed the comments received via the Consumer Comments facility on the PBS website. The PBAC noted the significant public interest in the listing of CDK4/6 inhibitors, such as palbociclib. The consumer comments that were considered by the Committee included the benefits that palbociclib improved quality of life, delayed disease progression and time to chemotherapy but had a very high financial cost to patients.</w:t>
            </w:r>
          </w:p>
        </w:tc>
      </w:tr>
      <w:tr w:rsidR="002D5215" w:rsidRPr="008D0CCA" w:rsidTr="00F61C70">
        <w:trPr>
          <w:trHeight w:val="433"/>
        </w:trPr>
        <w:tc>
          <w:tcPr>
            <w:tcW w:w="2127" w:type="dxa"/>
            <w:vMerge/>
          </w:tcPr>
          <w:p w:rsidR="002D5215" w:rsidRPr="008D0CCA" w:rsidRDefault="002D5215" w:rsidP="00DA535C">
            <w:pPr>
              <w:rPr>
                <w:rFonts w:ascii="Arial" w:hAnsi="Arial" w:cs="Arial"/>
                <w:sz w:val="20"/>
              </w:rPr>
            </w:pPr>
          </w:p>
        </w:tc>
        <w:tc>
          <w:tcPr>
            <w:tcW w:w="2126" w:type="dxa"/>
            <w:vMerge/>
          </w:tcPr>
          <w:p w:rsidR="002D5215" w:rsidRPr="008D0CCA" w:rsidRDefault="002D5215" w:rsidP="00DA535C">
            <w:pPr>
              <w:rPr>
                <w:rFonts w:ascii="Arial" w:hAnsi="Arial" w:cs="Arial"/>
                <w:sz w:val="20"/>
              </w:rPr>
            </w:pPr>
          </w:p>
        </w:tc>
        <w:tc>
          <w:tcPr>
            <w:tcW w:w="1984" w:type="dxa"/>
            <w:vMerge/>
          </w:tcPr>
          <w:p w:rsidR="002D5215" w:rsidRPr="008D0CCA" w:rsidRDefault="002D5215" w:rsidP="00DA535C">
            <w:pPr>
              <w:rPr>
                <w:rFonts w:ascii="Arial" w:hAnsi="Arial" w:cs="Arial"/>
                <w:sz w:val="20"/>
              </w:rPr>
            </w:pPr>
          </w:p>
        </w:tc>
        <w:tc>
          <w:tcPr>
            <w:tcW w:w="3969" w:type="dxa"/>
          </w:tcPr>
          <w:p w:rsidR="002D5215" w:rsidRPr="008D0CCA" w:rsidRDefault="002D5215" w:rsidP="00DA535C">
            <w:pPr>
              <w:pStyle w:val="ListBullet"/>
            </w:pPr>
            <w:r w:rsidRPr="008D0CCA">
              <w:t>Comparator:  NSAI (letrozole or anastrozole) alone</w:t>
            </w:r>
          </w:p>
          <w:p w:rsidR="002D5215" w:rsidRPr="008D0CCA" w:rsidRDefault="002D5215" w:rsidP="00DA535C">
            <w:pPr>
              <w:pStyle w:val="ListBullet"/>
            </w:pPr>
          </w:p>
        </w:tc>
        <w:tc>
          <w:tcPr>
            <w:tcW w:w="5245" w:type="dxa"/>
          </w:tcPr>
          <w:p w:rsidR="002D5215" w:rsidRPr="008D0CCA" w:rsidRDefault="002D5215" w:rsidP="00F61C70">
            <w:pPr>
              <w:jc w:val="both"/>
              <w:rPr>
                <w:rFonts w:ascii="Arial" w:hAnsi="Arial" w:cs="Arial"/>
                <w:sz w:val="20"/>
                <w:highlight w:val="yellow"/>
              </w:rPr>
            </w:pPr>
            <w:r w:rsidRPr="008D0CCA">
              <w:rPr>
                <w:rFonts w:ascii="Arial" w:hAnsi="Arial" w:cs="Arial"/>
                <w:sz w:val="20"/>
              </w:rPr>
              <w:t>The PBAC recalled it previously accepted non-steroidal aromatase inhibitor (NSAI) (letrozole or anastrozole) alone as the main comparator. The major re-submission did not change the comparator. The PBAC considered ribociclib, which was also considered by the Committee for a similar indication at its November 2017 meeting, should have been considered as a near market comparator.</w:t>
            </w:r>
          </w:p>
        </w:tc>
      </w:tr>
      <w:tr w:rsidR="002D5215" w:rsidRPr="008D0CCA" w:rsidTr="00F61C70">
        <w:trPr>
          <w:trHeight w:val="433"/>
        </w:trPr>
        <w:tc>
          <w:tcPr>
            <w:tcW w:w="2127" w:type="dxa"/>
            <w:vMerge/>
          </w:tcPr>
          <w:p w:rsidR="002D5215" w:rsidRPr="008D0CCA" w:rsidRDefault="002D5215" w:rsidP="00DA535C">
            <w:pPr>
              <w:rPr>
                <w:rFonts w:ascii="Arial" w:hAnsi="Arial" w:cs="Arial"/>
                <w:sz w:val="20"/>
              </w:rPr>
            </w:pPr>
          </w:p>
        </w:tc>
        <w:tc>
          <w:tcPr>
            <w:tcW w:w="2126" w:type="dxa"/>
            <w:vMerge/>
          </w:tcPr>
          <w:p w:rsidR="002D5215" w:rsidRPr="008D0CCA" w:rsidRDefault="002D5215" w:rsidP="00DA535C">
            <w:pPr>
              <w:rPr>
                <w:rFonts w:ascii="Arial" w:hAnsi="Arial" w:cs="Arial"/>
                <w:sz w:val="20"/>
              </w:rPr>
            </w:pPr>
          </w:p>
        </w:tc>
        <w:tc>
          <w:tcPr>
            <w:tcW w:w="1984" w:type="dxa"/>
            <w:vMerge/>
          </w:tcPr>
          <w:p w:rsidR="002D5215" w:rsidRPr="008D0CCA" w:rsidRDefault="002D5215" w:rsidP="00DA535C">
            <w:pPr>
              <w:rPr>
                <w:rFonts w:ascii="Arial" w:hAnsi="Arial" w:cs="Arial"/>
                <w:sz w:val="20"/>
              </w:rPr>
            </w:pPr>
          </w:p>
        </w:tc>
        <w:tc>
          <w:tcPr>
            <w:tcW w:w="3969" w:type="dxa"/>
          </w:tcPr>
          <w:p w:rsidR="002D5215" w:rsidRPr="008D0CCA" w:rsidRDefault="002D5215" w:rsidP="00DA535C">
            <w:pPr>
              <w:pStyle w:val="ListBullet"/>
            </w:pPr>
            <w:r w:rsidRPr="008D0CCA">
              <w:t>Clinical claim: Superior efficacy and inferior safety over NSAI alone</w:t>
            </w:r>
          </w:p>
          <w:p w:rsidR="002D5215" w:rsidRPr="008D0CCA" w:rsidRDefault="002D5215" w:rsidP="00DA535C">
            <w:pPr>
              <w:pStyle w:val="ListBullet"/>
            </w:pPr>
          </w:p>
        </w:tc>
        <w:tc>
          <w:tcPr>
            <w:tcW w:w="5245" w:type="dxa"/>
          </w:tcPr>
          <w:p w:rsidR="002D5215" w:rsidRPr="008D0CCA" w:rsidRDefault="002D5215" w:rsidP="00F61C70">
            <w:pPr>
              <w:jc w:val="both"/>
              <w:rPr>
                <w:rFonts w:ascii="Arial" w:hAnsi="Arial" w:cs="Arial"/>
                <w:sz w:val="20"/>
              </w:rPr>
            </w:pPr>
            <w:r w:rsidRPr="008D0CCA">
              <w:rPr>
                <w:rFonts w:ascii="Arial" w:hAnsi="Arial" w:cs="Arial"/>
                <w:sz w:val="20"/>
              </w:rPr>
              <w:t xml:space="preserve">The PBAC considered that the clinical benefit of adding palbociclib to letrozole was uncertain because although the results of the clinical trials (called PALOMA-1 and PALOMA-2, including updated clinical data) presented in the re-submission showed a progression-free survival (PFS) benefit associated with the use of palbociclib, there were no improvements in overall survival nor any improvement in </w:t>
            </w:r>
            <w:r w:rsidR="00D041FE" w:rsidRPr="008D0CCA">
              <w:rPr>
                <w:rFonts w:ascii="Arial" w:hAnsi="Arial" w:cs="Arial"/>
                <w:sz w:val="20"/>
              </w:rPr>
              <w:t>patient’s</w:t>
            </w:r>
            <w:r w:rsidR="00D041FE">
              <w:rPr>
                <w:rFonts w:ascii="Arial" w:hAnsi="Arial" w:cs="Arial"/>
                <w:sz w:val="20"/>
              </w:rPr>
              <w:t xml:space="preserve"> overall</w:t>
            </w:r>
            <w:r w:rsidR="00D041FE" w:rsidRPr="008D0CCA">
              <w:rPr>
                <w:rFonts w:ascii="Arial" w:hAnsi="Arial" w:cs="Arial"/>
                <w:sz w:val="20"/>
              </w:rPr>
              <w:t xml:space="preserve"> quality of life</w:t>
            </w:r>
            <w:r w:rsidR="00D041FE">
              <w:rPr>
                <w:rFonts w:ascii="Arial" w:hAnsi="Arial" w:cs="Arial"/>
                <w:sz w:val="20"/>
              </w:rPr>
              <w:t xml:space="preserve"> score</w:t>
            </w:r>
            <w:r w:rsidRPr="008D0CCA">
              <w:rPr>
                <w:rFonts w:ascii="Arial" w:hAnsi="Arial" w:cs="Arial"/>
                <w:sz w:val="20"/>
              </w:rPr>
              <w:t>. In addition, the PBAC noted that many women with advanced breast cancer are managed effectively on hormone therapy only, and the next line chemotherapies include well-tolerated oral therapies. Therefore the benefit of palbociclib in delaying time to chemotherapy is uncertain, particularly given that palbociclib itself is associated with significant toxicities.</w:t>
            </w:r>
          </w:p>
          <w:p w:rsidR="002D5215" w:rsidRPr="008D0CCA" w:rsidRDefault="002D5215" w:rsidP="00F61C70">
            <w:pPr>
              <w:jc w:val="both"/>
              <w:rPr>
                <w:rFonts w:ascii="Arial" w:hAnsi="Arial" w:cs="Arial"/>
                <w:sz w:val="20"/>
              </w:rPr>
            </w:pPr>
          </w:p>
          <w:p w:rsidR="002D5215" w:rsidRPr="008D0CCA" w:rsidRDefault="002D5215" w:rsidP="00F61C70">
            <w:pPr>
              <w:jc w:val="both"/>
              <w:rPr>
                <w:rFonts w:ascii="Arial" w:hAnsi="Arial" w:cs="Arial"/>
                <w:sz w:val="20"/>
              </w:rPr>
            </w:pPr>
            <w:r w:rsidRPr="008D0CCA">
              <w:rPr>
                <w:rFonts w:ascii="Arial" w:hAnsi="Arial" w:cs="Arial"/>
                <w:sz w:val="20"/>
              </w:rPr>
              <w:t>The PBAC accepted the re-submission’s comparative safety claim that palbociclib was inferior over NSAI alone. The PBAC noted that there appears to be significant toxicity associated with the use of palbociclib, as patients who received palbociclib in the trials reported increased numbers of adverse events compared to those treated with letrozole alone, and that this was particularly important for a therapy that may be taken for a prolonged period.</w:t>
            </w:r>
          </w:p>
          <w:p w:rsidR="002D5215" w:rsidRPr="008D0CCA" w:rsidRDefault="002D5215" w:rsidP="00F61C70">
            <w:pPr>
              <w:jc w:val="both"/>
              <w:rPr>
                <w:rFonts w:ascii="Arial" w:hAnsi="Arial" w:cs="Arial"/>
                <w:sz w:val="20"/>
              </w:rPr>
            </w:pPr>
          </w:p>
          <w:p w:rsidR="002D5215" w:rsidRPr="008D0CCA" w:rsidRDefault="002D5215" w:rsidP="00F61C70">
            <w:pPr>
              <w:jc w:val="both"/>
              <w:rPr>
                <w:rFonts w:ascii="Arial" w:hAnsi="Arial" w:cs="Arial"/>
                <w:sz w:val="20"/>
              </w:rPr>
            </w:pPr>
            <w:r w:rsidRPr="008D0CCA">
              <w:rPr>
                <w:rFonts w:ascii="Arial" w:hAnsi="Arial" w:cs="Arial"/>
                <w:sz w:val="20"/>
              </w:rPr>
              <w:t xml:space="preserve">On the basis of direct evidence presented by the re-submission, for every 100 patients treated with </w:t>
            </w:r>
            <w:r w:rsidRPr="008D0CCA">
              <w:rPr>
                <w:rFonts w:ascii="Arial" w:hAnsi="Arial" w:cs="Arial"/>
                <w:sz w:val="20"/>
              </w:rPr>
              <w:lastRenderedPageBreak/>
              <w:t>palbociclib plus letrozole in comparison with letrozole alone there would be:</w:t>
            </w:r>
          </w:p>
          <w:p w:rsidR="002D5215" w:rsidRPr="008D0CCA" w:rsidRDefault="002D5215" w:rsidP="00F61C70">
            <w:pPr>
              <w:ind w:left="176" w:hanging="142"/>
              <w:jc w:val="both"/>
              <w:rPr>
                <w:rFonts w:ascii="Arial" w:hAnsi="Arial" w:cs="Arial"/>
                <w:sz w:val="20"/>
              </w:rPr>
            </w:pPr>
            <w:r w:rsidRPr="008D0CCA">
              <w:rPr>
                <w:rFonts w:ascii="Arial" w:hAnsi="Arial" w:cs="Arial"/>
                <w:sz w:val="20"/>
              </w:rPr>
              <w:t>•</w:t>
            </w:r>
            <w:r w:rsidRPr="008D0CCA">
              <w:rPr>
                <w:rFonts w:ascii="Arial" w:hAnsi="Arial" w:cs="Arial"/>
                <w:sz w:val="20"/>
              </w:rPr>
              <w:tab/>
              <w:t>Approximately 8 more patients progression-free at 12 months based on PALOMA 1.</w:t>
            </w:r>
          </w:p>
          <w:p w:rsidR="002D5215" w:rsidRPr="008D0CCA" w:rsidRDefault="002D5215" w:rsidP="00F61C70">
            <w:pPr>
              <w:ind w:left="176" w:hanging="142"/>
              <w:jc w:val="both"/>
              <w:rPr>
                <w:rFonts w:ascii="Arial" w:hAnsi="Arial" w:cs="Arial"/>
                <w:sz w:val="20"/>
              </w:rPr>
            </w:pPr>
            <w:r w:rsidRPr="008D0CCA">
              <w:rPr>
                <w:rFonts w:ascii="Arial" w:hAnsi="Arial" w:cs="Arial"/>
                <w:sz w:val="20"/>
              </w:rPr>
              <w:t>•</w:t>
            </w:r>
            <w:r w:rsidRPr="008D0CCA">
              <w:rPr>
                <w:rFonts w:ascii="Arial" w:hAnsi="Arial" w:cs="Arial"/>
                <w:sz w:val="20"/>
              </w:rPr>
              <w:tab/>
              <w:t xml:space="preserve">Approximately 10 more patients at 12 months and 14 more patients at 24 months progression-free based on PALOMA-2. </w:t>
            </w:r>
          </w:p>
          <w:p w:rsidR="002D5215" w:rsidRPr="008D0CCA" w:rsidRDefault="002D5215" w:rsidP="00F61C70">
            <w:pPr>
              <w:ind w:left="176" w:hanging="142"/>
              <w:jc w:val="both"/>
              <w:rPr>
                <w:rFonts w:ascii="Arial" w:hAnsi="Arial" w:cs="Arial"/>
                <w:sz w:val="20"/>
              </w:rPr>
            </w:pPr>
            <w:r w:rsidRPr="008D0CCA">
              <w:rPr>
                <w:rFonts w:ascii="Arial" w:hAnsi="Arial" w:cs="Arial"/>
                <w:sz w:val="20"/>
              </w:rPr>
              <w:t>•</w:t>
            </w:r>
            <w:r w:rsidRPr="008D0CCA">
              <w:rPr>
                <w:rFonts w:ascii="Arial" w:hAnsi="Arial" w:cs="Arial"/>
                <w:sz w:val="20"/>
              </w:rPr>
              <w:tab/>
              <w:t>No improvement in OS, based on PALOMA-1.</w:t>
            </w:r>
          </w:p>
          <w:p w:rsidR="002D5215" w:rsidRPr="008D0CCA" w:rsidRDefault="002D5215" w:rsidP="00F61C70">
            <w:pPr>
              <w:ind w:left="176" w:hanging="142"/>
              <w:jc w:val="both"/>
              <w:rPr>
                <w:rFonts w:ascii="Arial" w:hAnsi="Arial" w:cs="Arial"/>
                <w:sz w:val="20"/>
              </w:rPr>
            </w:pPr>
            <w:r w:rsidRPr="008D0CCA">
              <w:rPr>
                <w:rFonts w:ascii="Arial" w:hAnsi="Arial" w:cs="Arial"/>
                <w:sz w:val="20"/>
              </w:rPr>
              <w:t>•</w:t>
            </w:r>
            <w:r w:rsidRPr="008D0CCA">
              <w:rPr>
                <w:rFonts w:ascii="Arial" w:hAnsi="Arial" w:cs="Arial"/>
                <w:sz w:val="20"/>
              </w:rPr>
              <w:tab/>
              <w:t>Approximately 54 additional patients would experience a grade ≥3 adverse event.</w:t>
            </w:r>
          </w:p>
          <w:p w:rsidR="002D5215" w:rsidRPr="008D0CCA" w:rsidRDefault="002D5215" w:rsidP="00F61C70">
            <w:pPr>
              <w:ind w:left="176" w:hanging="142"/>
              <w:jc w:val="both"/>
              <w:rPr>
                <w:rFonts w:ascii="Arial" w:hAnsi="Arial" w:cs="Arial"/>
                <w:sz w:val="20"/>
              </w:rPr>
            </w:pPr>
            <w:r w:rsidRPr="008D0CCA">
              <w:rPr>
                <w:rFonts w:ascii="Arial" w:hAnsi="Arial" w:cs="Arial"/>
                <w:sz w:val="20"/>
              </w:rPr>
              <w:t>•</w:t>
            </w:r>
            <w:r w:rsidRPr="008D0CCA">
              <w:rPr>
                <w:rFonts w:ascii="Arial" w:hAnsi="Arial" w:cs="Arial"/>
                <w:sz w:val="20"/>
              </w:rPr>
              <w:tab/>
              <w:t>Approximately 54 additional patients would experience grade 3 neutropenia (low count of one type of white blood cell, neutrophils, which carries an increased risk of infection) and 8 additional patients would experience grade 4 neutropenia.</w:t>
            </w:r>
          </w:p>
          <w:p w:rsidR="002D5215" w:rsidRPr="008D0CCA" w:rsidRDefault="002D5215" w:rsidP="00F61C70">
            <w:pPr>
              <w:ind w:left="176" w:hanging="142"/>
              <w:jc w:val="both"/>
              <w:rPr>
                <w:rFonts w:ascii="Arial" w:hAnsi="Arial" w:cs="Arial"/>
                <w:sz w:val="20"/>
              </w:rPr>
            </w:pPr>
            <w:r w:rsidRPr="008D0CCA">
              <w:rPr>
                <w:rFonts w:ascii="Arial" w:hAnsi="Arial" w:cs="Arial"/>
                <w:sz w:val="20"/>
              </w:rPr>
              <w:t>•</w:t>
            </w:r>
            <w:r w:rsidRPr="008D0CCA">
              <w:rPr>
                <w:rFonts w:ascii="Arial" w:hAnsi="Arial" w:cs="Arial"/>
                <w:sz w:val="20"/>
              </w:rPr>
              <w:tab/>
              <w:t>Approximately 2 additional patients would experience febrile neutropenia (development of fever in a patient with neutropenia).</w:t>
            </w:r>
          </w:p>
          <w:p w:rsidR="002D5215" w:rsidRPr="008D0CCA" w:rsidRDefault="002D5215" w:rsidP="00F61C70">
            <w:pPr>
              <w:ind w:left="176" w:hanging="142"/>
              <w:jc w:val="both"/>
              <w:rPr>
                <w:rFonts w:ascii="Arial" w:hAnsi="Arial" w:cs="Arial"/>
                <w:sz w:val="20"/>
              </w:rPr>
            </w:pPr>
            <w:r w:rsidRPr="008D0CCA">
              <w:rPr>
                <w:rFonts w:ascii="Arial" w:hAnsi="Arial" w:cs="Arial"/>
                <w:sz w:val="20"/>
              </w:rPr>
              <w:t>•</w:t>
            </w:r>
            <w:r w:rsidRPr="008D0CCA">
              <w:rPr>
                <w:rFonts w:ascii="Arial" w:hAnsi="Arial" w:cs="Arial"/>
                <w:sz w:val="20"/>
              </w:rPr>
              <w:tab/>
              <w:t>Approximately 42 additional patients would experience leukopenia (low white blood cell count).</w:t>
            </w:r>
          </w:p>
          <w:p w:rsidR="002D5215" w:rsidRPr="008D0CCA" w:rsidRDefault="002D5215" w:rsidP="00F61C70">
            <w:pPr>
              <w:ind w:left="176" w:hanging="142"/>
              <w:jc w:val="both"/>
              <w:rPr>
                <w:rFonts w:ascii="Arial" w:hAnsi="Arial" w:cs="Arial"/>
                <w:sz w:val="20"/>
              </w:rPr>
            </w:pPr>
            <w:r w:rsidRPr="008D0CCA">
              <w:rPr>
                <w:rFonts w:ascii="Arial" w:hAnsi="Arial" w:cs="Arial"/>
                <w:sz w:val="20"/>
              </w:rPr>
              <w:t>•</w:t>
            </w:r>
            <w:r w:rsidRPr="008D0CCA">
              <w:rPr>
                <w:rFonts w:ascii="Arial" w:hAnsi="Arial" w:cs="Arial"/>
                <w:sz w:val="20"/>
              </w:rPr>
              <w:tab/>
              <w:t>Approximately 15 additional patients would experience fatigue.</w:t>
            </w:r>
          </w:p>
          <w:p w:rsidR="002D5215" w:rsidRPr="008D0CCA" w:rsidRDefault="002D5215" w:rsidP="00F61C70">
            <w:pPr>
              <w:ind w:left="176" w:hanging="142"/>
              <w:jc w:val="both"/>
              <w:rPr>
                <w:rFonts w:ascii="Arial" w:hAnsi="Arial" w:cs="Arial"/>
                <w:sz w:val="20"/>
                <w:highlight w:val="yellow"/>
              </w:rPr>
            </w:pPr>
            <w:r w:rsidRPr="008D0CCA">
              <w:rPr>
                <w:rFonts w:ascii="Arial" w:hAnsi="Arial" w:cs="Arial"/>
                <w:sz w:val="20"/>
              </w:rPr>
              <w:t>•</w:t>
            </w:r>
            <w:r w:rsidRPr="008D0CCA">
              <w:rPr>
                <w:rFonts w:ascii="Arial" w:hAnsi="Arial" w:cs="Arial"/>
                <w:sz w:val="20"/>
              </w:rPr>
              <w:tab/>
              <w:t>The increased risk of pulmonary embolism (where an artery in the lungs becomes blocked by a blood clot) was small but observed in both clinical trials.</w:t>
            </w:r>
          </w:p>
        </w:tc>
      </w:tr>
      <w:tr w:rsidR="002D5215" w:rsidRPr="008D0CCA" w:rsidTr="00F61C70">
        <w:trPr>
          <w:trHeight w:val="433"/>
        </w:trPr>
        <w:tc>
          <w:tcPr>
            <w:tcW w:w="2127" w:type="dxa"/>
            <w:vMerge/>
          </w:tcPr>
          <w:p w:rsidR="002D5215" w:rsidRPr="008D0CCA" w:rsidRDefault="002D5215" w:rsidP="00DA535C">
            <w:pPr>
              <w:rPr>
                <w:rFonts w:ascii="Arial" w:hAnsi="Arial" w:cs="Arial"/>
                <w:sz w:val="20"/>
              </w:rPr>
            </w:pPr>
          </w:p>
        </w:tc>
        <w:tc>
          <w:tcPr>
            <w:tcW w:w="2126" w:type="dxa"/>
            <w:vMerge/>
          </w:tcPr>
          <w:p w:rsidR="002D5215" w:rsidRPr="008D0CCA" w:rsidRDefault="002D5215" w:rsidP="00DA535C">
            <w:pPr>
              <w:rPr>
                <w:rFonts w:ascii="Arial" w:hAnsi="Arial" w:cs="Arial"/>
                <w:sz w:val="20"/>
              </w:rPr>
            </w:pPr>
          </w:p>
        </w:tc>
        <w:tc>
          <w:tcPr>
            <w:tcW w:w="1984" w:type="dxa"/>
            <w:vMerge/>
          </w:tcPr>
          <w:p w:rsidR="002D5215" w:rsidRPr="008D0CCA" w:rsidRDefault="002D5215" w:rsidP="00DA535C">
            <w:pPr>
              <w:rPr>
                <w:rFonts w:ascii="Arial" w:hAnsi="Arial" w:cs="Arial"/>
                <w:sz w:val="20"/>
              </w:rPr>
            </w:pPr>
          </w:p>
        </w:tc>
        <w:tc>
          <w:tcPr>
            <w:tcW w:w="3969" w:type="dxa"/>
          </w:tcPr>
          <w:p w:rsidR="002D5215" w:rsidRPr="008D0CCA" w:rsidRDefault="002D5215" w:rsidP="00DA535C">
            <w:pPr>
              <w:pStyle w:val="ListBullet"/>
            </w:pPr>
            <w:r w:rsidRPr="008D0CCA">
              <w:t>Economic claim: Cost-effectiveness and cost-utility analysis</w:t>
            </w:r>
          </w:p>
          <w:p w:rsidR="002D5215" w:rsidRPr="008D0CCA" w:rsidRDefault="002D5215" w:rsidP="00DA535C">
            <w:pPr>
              <w:pStyle w:val="ListBullet"/>
            </w:pPr>
          </w:p>
        </w:tc>
        <w:tc>
          <w:tcPr>
            <w:tcW w:w="5245" w:type="dxa"/>
          </w:tcPr>
          <w:p w:rsidR="002D5215" w:rsidRPr="008D0CCA" w:rsidRDefault="002D5215" w:rsidP="00F61C70">
            <w:pPr>
              <w:jc w:val="both"/>
              <w:rPr>
                <w:rFonts w:ascii="Arial" w:hAnsi="Arial" w:cs="Arial"/>
                <w:sz w:val="20"/>
                <w:highlight w:val="yellow"/>
              </w:rPr>
            </w:pPr>
            <w:r w:rsidRPr="008D0CCA">
              <w:rPr>
                <w:rFonts w:ascii="Arial" w:hAnsi="Arial" w:cs="Arial"/>
                <w:sz w:val="20"/>
              </w:rPr>
              <w:t xml:space="preserve">The PBAC considered the economic model in the re-submission to be unreliable for decision making, because the cost of palbociclib had been underestimated and the claimed outcomes were likely to have been overestimated based on the evidence available in the clinical trials. The PBAC were still of the view that increased cost to the health care system for the potential patient benefit of palbociclib over the treatments currently available in Australia would be substantially greater than the sponsor claimed, and would have an opportunity cost to the funding of other </w:t>
            </w:r>
            <w:r w:rsidRPr="008D0CCA">
              <w:rPr>
                <w:rFonts w:ascii="Arial" w:hAnsi="Arial" w:cs="Arial"/>
                <w:sz w:val="20"/>
              </w:rPr>
              <w:lastRenderedPageBreak/>
              <w:t xml:space="preserve">therapies through the PBS. </w:t>
            </w:r>
          </w:p>
        </w:tc>
      </w:tr>
      <w:tr w:rsidR="002D5215" w:rsidRPr="008D0CCA" w:rsidTr="00F61C70">
        <w:trPr>
          <w:trHeight w:val="433"/>
        </w:trPr>
        <w:tc>
          <w:tcPr>
            <w:tcW w:w="2127" w:type="dxa"/>
            <w:vMerge/>
          </w:tcPr>
          <w:p w:rsidR="002D5215" w:rsidRPr="008D0CCA" w:rsidRDefault="002D5215" w:rsidP="00DA535C">
            <w:pPr>
              <w:rPr>
                <w:rFonts w:ascii="Arial" w:hAnsi="Arial" w:cs="Arial"/>
                <w:sz w:val="20"/>
              </w:rPr>
            </w:pPr>
          </w:p>
        </w:tc>
        <w:tc>
          <w:tcPr>
            <w:tcW w:w="2126" w:type="dxa"/>
            <w:vMerge/>
          </w:tcPr>
          <w:p w:rsidR="002D5215" w:rsidRPr="008D0CCA" w:rsidRDefault="002D5215" w:rsidP="00DA535C">
            <w:pPr>
              <w:rPr>
                <w:rFonts w:ascii="Arial" w:hAnsi="Arial" w:cs="Arial"/>
                <w:sz w:val="20"/>
              </w:rPr>
            </w:pPr>
          </w:p>
        </w:tc>
        <w:tc>
          <w:tcPr>
            <w:tcW w:w="1984" w:type="dxa"/>
            <w:vMerge/>
          </w:tcPr>
          <w:p w:rsidR="002D5215" w:rsidRPr="008D0CCA" w:rsidRDefault="002D5215" w:rsidP="00DA535C">
            <w:pPr>
              <w:rPr>
                <w:rFonts w:ascii="Arial" w:hAnsi="Arial" w:cs="Arial"/>
                <w:sz w:val="20"/>
              </w:rPr>
            </w:pPr>
          </w:p>
        </w:tc>
        <w:tc>
          <w:tcPr>
            <w:tcW w:w="3969" w:type="dxa"/>
          </w:tcPr>
          <w:p w:rsidR="002D5215" w:rsidRPr="008D0CCA" w:rsidRDefault="002D5215" w:rsidP="00DA535C">
            <w:pPr>
              <w:pStyle w:val="ListBullet"/>
            </w:pPr>
            <w:r w:rsidRPr="008D0CCA">
              <w:t>Sponsor’s comments:</w:t>
            </w:r>
          </w:p>
          <w:p w:rsidR="002D5215" w:rsidRPr="008D0CCA" w:rsidRDefault="002D5215" w:rsidP="00DA535C">
            <w:pPr>
              <w:pStyle w:val="ListBullet"/>
            </w:pPr>
          </w:p>
        </w:tc>
        <w:tc>
          <w:tcPr>
            <w:tcW w:w="5245" w:type="dxa"/>
          </w:tcPr>
          <w:p w:rsidR="002D5215" w:rsidRPr="008D0CCA" w:rsidRDefault="00E0664F" w:rsidP="00F61C70">
            <w:pPr>
              <w:jc w:val="both"/>
              <w:rPr>
                <w:rFonts w:ascii="Arial" w:hAnsi="Arial" w:cs="Arial"/>
                <w:sz w:val="20"/>
                <w:highlight w:val="yellow"/>
              </w:rPr>
            </w:pPr>
            <w:r w:rsidRPr="00E0664F">
              <w:rPr>
                <w:rFonts w:ascii="Arial" w:hAnsi="Arial" w:cs="Arial"/>
                <w:sz w:val="20"/>
              </w:rPr>
              <w:t>The Sponsor is committed to working with the PBAC and the Department of Health to make palbociclib available for the treatment of locally advanced and metastatic HR-positive, HER2-negative breast cancer.</w:t>
            </w:r>
          </w:p>
        </w:tc>
      </w:tr>
      <w:tr w:rsidR="002D5215" w:rsidRPr="008D0CCA" w:rsidTr="00F61C70">
        <w:trPr>
          <w:trHeight w:val="435"/>
        </w:trPr>
        <w:tc>
          <w:tcPr>
            <w:tcW w:w="2127" w:type="dxa"/>
            <w:vMerge w:val="restart"/>
          </w:tcPr>
          <w:p w:rsidR="002D5215" w:rsidRPr="008D0CCA" w:rsidRDefault="002D5215" w:rsidP="00DA535C">
            <w:pPr>
              <w:contextualSpacing/>
              <w:rPr>
                <w:rFonts w:ascii="Arial" w:hAnsi="Arial" w:cs="Arial"/>
                <w:sz w:val="20"/>
                <w:highlight w:val="yellow"/>
              </w:rPr>
            </w:pPr>
            <w:r w:rsidRPr="008D0CCA">
              <w:rPr>
                <w:rFonts w:ascii="Arial" w:hAnsi="Arial" w:cs="Arial"/>
                <w:color w:val="000000"/>
                <w:sz w:val="20"/>
              </w:rPr>
              <w:t xml:space="preserve">RIBOCICLIB </w:t>
            </w:r>
            <w:r w:rsidRPr="008D0CCA">
              <w:rPr>
                <w:rFonts w:ascii="Arial" w:hAnsi="Arial" w:cs="Arial"/>
                <w:color w:val="000000"/>
                <w:sz w:val="20"/>
              </w:rPr>
              <w:br/>
            </w:r>
            <w:r w:rsidRPr="008D0CCA">
              <w:rPr>
                <w:rFonts w:ascii="Arial" w:hAnsi="Arial" w:cs="Arial"/>
                <w:color w:val="000000"/>
                <w:sz w:val="20"/>
              </w:rPr>
              <w:br/>
              <w:t>Tablet 200 mg</w:t>
            </w:r>
            <w:r w:rsidRPr="008D0CCA">
              <w:rPr>
                <w:rFonts w:ascii="Arial" w:hAnsi="Arial" w:cs="Arial"/>
                <w:color w:val="000000"/>
                <w:sz w:val="20"/>
              </w:rPr>
              <w:br/>
            </w:r>
            <w:r w:rsidRPr="008D0CCA">
              <w:rPr>
                <w:rFonts w:ascii="Arial" w:hAnsi="Arial" w:cs="Arial"/>
                <w:color w:val="000000"/>
                <w:sz w:val="20"/>
              </w:rPr>
              <w:br/>
              <w:t xml:space="preserve">Kisqali® </w:t>
            </w:r>
            <w:r w:rsidRPr="008D0CCA">
              <w:rPr>
                <w:rFonts w:ascii="Arial" w:hAnsi="Arial" w:cs="Arial"/>
                <w:color w:val="000000"/>
                <w:sz w:val="20"/>
              </w:rPr>
              <w:br/>
            </w:r>
            <w:r w:rsidRPr="008D0CCA">
              <w:rPr>
                <w:rFonts w:ascii="Arial" w:hAnsi="Arial" w:cs="Arial"/>
                <w:color w:val="000000"/>
                <w:sz w:val="20"/>
              </w:rPr>
              <w:br/>
              <w:t>Novartis Pharmaceuticals Australia Pty Ltd</w:t>
            </w:r>
            <w:r w:rsidRPr="008D0CCA">
              <w:rPr>
                <w:rFonts w:ascii="Arial" w:hAnsi="Arial" w:cs="Arial"/>
                <w:sz w:val="20"/>
                <w:highlight w:val="yellow"/>
              </w:rPr>
              <w:t xml:space="preserve"> </w:t>
            </w:r>
          </w:p>
          <w:p w:rsidR="002D5215" w:rsidRPr="008D0CCA" w:rsidRDefault="002D5215" w:rsidP="00DA535C">
            <w:pPr>
              <w:contextualSpacing/>
              <w:rPr>
                <w:rFonts w:ascii="Arial" w:hAnsi="Arial" w:cs="Arial"/>
                <w:sz w:val="20"/>
                <w:highlight w:val="yellow"/>
              </w:rPr>
            </w:pPr>
          </w:p>
          <w:p w:rsidR="002D5215" w:rsidRPr="008D0CCA" w:rsidRDefault="002D5215" w:rsidP="00DA535C">
            <w:pPr>
              <w:contextualSpacing/>
              <w:rPr>
                <w:rFonts w:ascii="Arial" w:hAnsi="Arial" w:cs="Arial"/>
                <w:sz w:val="20"/>
                <w:highlight w:val="yellow"/>
              </w:rPr>
            </w:pPr>
            <w:r w:rsidRPr="008D0CCA">
              <w:rPr>
                <w:rFonts w:ascii="Arial" w:hAnsi="Arial" w:cs="Arial"/>
                <w:color w:val="000000"/>
                <w:sz w:val="20"/>
              </w:rPr>
              <w:t>New listing</w:t>
            </w:r>
            <w:r w:rsidRPr="008D0CCA">
              <w:rPr>
                <w:rFonts w:ascii="Arial" w:hAnsi="Arial" w:cs="Arial"/>
                <w:color w:val="000000"/>
                <w:sz w:val="20"/>
              </w:rPr>
              <w:br/>
              <w:t>(Major Submission</w:t>
            </w:r>
          </w:p>
        </w:tc>
        <w:tc>
          <w:tcPr>
            <w:tcW w:w="2126" w:type="dxa"/>
            <w:vMerge w:val="restart"/>
          </w:tcPr>
          <w:p w:rsidR="002D5215" w:rsidRPr="008D0CCA" w:rsidRDefault="005E7C18" w:rsidP="005E7C18">
            <w:pPr>
              <w:rPr>
                <w:rFonts w:ascii="Arial" w:hAnsi="Arial" w:cs="Arial"/>
                <w:sz w:val="20"/>
                <w:highlight w:val="yellow"/>
              </w:rPr>
            </w:pPr>
            <w:r w:rsidRPr="008D0CCA">
              <w:rPr>
                <w:rFonts w:ascii="Arial" w:hAnsi="Arial" w:cs="Arial"/>
                <w:sz w:val="20"/>
              </w:rPr>
              <w:t>Indicated in combination with an aromatase inhibitor for the treatment of men and postmenopausal women with hormone receptor positive (HR+), human epidermal growth factor receptor 2 negative (HER2-) advanced or metastatic breast cancer, as an initial endocrine-based therapy.</w:t>
            </w:r>
          </w:p>
        </w:tc>
        <w:tc>
          <w:tcPr>
            <w:tcW w:w="1984" w:type="dxa"/>
            <w:vMerge w:val="restart"/>
          </w:tcPr>
          <w:p w:rsidR="002D5215" w:rsidRPr="008D0CCA" w:rsidRDefault="002D5215" w:rsidP="00DA535C">
            <w:pPr>
              <w:rPr>
                <w:rFonts w:ascii="Arial" w:hAnsi="Arial" w:cs="Arial"/>
                <w:sz w:val="20"/>
                <w:highlight w:val="yellow"/>
              </w:rPr>
            </w:pPr>
            <w:r w:rsidRPr="008D0CCA">
              <w:rPr>
                <w:rFonts w:ascii="Arial" w:hAnsi="Arial" w:cs="Arial"/>
                <w:color w:val="000000"/>
                <w:sz w:val="20"/>
              </w:rPr>
              <w:t xml:space="preserve">RIBOCICLIB </w:t>
            </w:r>
            <w:r w:rsidRPr="008D0CCA">
              <w:rPr>
                <w:rFonts w:ascii="Arial" w:hAnsi="Arial" w:cs="Arial"/>
                <w:sz w:val="20"/>
              </w:rPr>
              <w:t>is not currently PBS listed.</w:t>
            </w:r>
          </w:p>
        </w:tc>
        <w:tc>
          <w:tcPr>
            <w:tcW w:w="3969" w:type="dxa"/>
          </w:tcPr>
          <w:p w:rsidR="002D5215" w:rsidRPr="008D0CCA" w:rsidRDefault="002D5215" w:rsidP="00B31015">
            <w:pPr>
              <w:rPr>
                <w:rFonts w:ascii="Arial" w:hAnsi="Arial" w:cs="Arial"/>
                <w:color w:val="000000"/>
                <w:sz w:val="20"/>
              </w:rPr>
            </w:pPr>
            <w:r w:rsidRPr="008D0CCA">
              <w:rPr>
                <w:rFonts w:ascii="Arial" w:hAnsi="Arial" w:cs="Arial"/>
                <w:sz w:val="20"/>
              </w:rPr>
              <w:t xml:space="preserve">Resubmission to request an Authority Required listing as initial endocrine-based therapy in patients with </w:t>
            </w:r>
            <w:r w:rsidRPr="008D0CCA">
              <w:rPr>
                <w:rFonts w:ascii="Arial" w:hAnsi="Arial" w:cs="Arial"/>
                <w:color w:val="000000"/>
                <w:sz w:val="20"/>
              </w:rPr>
              <w:t>Hormone receptor-positive (HR+), human epidermal growth factor receptor-2 negative (HER2-)</w:t>
            </w:r>
            <w:r w:rsidRPr="008D0CCA">
              <w:rPr>
                <w:rFonts w:ascii="Arial" w:hAnsi="Arial" w:cs="Arial"/>
                <w:sz w:val="20"/>
              </w:rPr>
              <w:t xml:space="preserve"> locally advanced, inoperable or metastatic breast cancer in combination with a non-steroidal aromatase inhibitor</w:t>
            </w:r>
            <w:r w:rsidRPr="008D0CCA">
              <w:rPr>
                <w:rFonts w:ascii="Arial" w:hAnsi="Arial" w:cs="Arial"/>
                <w:color w:val="000000"/>
                <w:sz w:val="20"/>
              </w:rPr>
              <w:t>, who are not premenopausal.</w:t>
            </w:r>
          </w:p>
          <w:p w:rsidR="002D5215" w:rsidRPr="008D0CCA" w:rsidRDefault="002D5215" w:rsidP="00DA535C">
            <w:pPr>
              <w:keepLines/>
              <w:rPr>
                <w:rFonts w:ascii="Arial" w:hAnsi="Arial" w:cs="Arial"/>
                <w:sz w:val="20"/>
              </w:rPr>
            </w:pPr>
          </w:p>
        </w:tc>
        <w:tc>
          <w:tcPr>
            <w:tcW w:w="5245" w:type="dxa"/>
          </w:tcPr>
          <w:p w:rsidR="002D5215" w:rsidRPr="008D0CCA" w:rsidRDefault="002D5215" w:rsidP="00F61C70">
            <w:pPr>
              <w:jc w:val="both"/>
              <w:rPr>
                <w:rFonts w:ascii="Arial" w:hAnsi="Arial" w:cs="Arial"/>
                <w:sz w:val="20"/>
              </w:rPr>
            </w:pPr>
            <w:r w:rsidRPr="008D0CCA">
              <w:rPr>
                <w:rFonts w:ascii="Arial" w:hAnsi="Arial" w:cs="Arial"/>
                <w:sz w:val="20"/>
              </w:rPr>
              <w:t>The PBAC did not recommend the listing of ribociclib on the PBS in combination with a non-steroidal aromatase inhibitor (NSAI) for first-line endocrine based treatment of patients with non-premenopausal, hormone receptor positive (HR+) and human epidermal growth factor receptor 2 negative (HER2-) advanced breast cancer on the basis that:</w:t>
            </w:r>
          </w:p>
          <w:p w:rsidR="002D5215" w:rsidRPr="008D0CCA" w:rsidRDefault="002D5215" w:rsidP="00F61C70">
            <w:pPr>
              <w:ind w:left="176" w:hanging="141"/>
              <w:jc w:val="both"/>
              <w:rPr>
                <w:rFonts w:ascii="Arial" w:hAnsi="Arial" w:cs="Arial"/>
                <w:sz w:val="20"/>
              </w:rPr>
            </w:pPr>
            <w:r w:rsidRPr="008D0CCA">
              <w:rPr>
                <w:rFonts w:ascii="Arial" w:hAnsi="Arial" w:cs="Arial"/>
                <w:sz w:val="20"/>
              </w:rPr>
              <w:t>•</w:t>
            </w:r>
            <w:r w:rsidRPr="008D0CCA">
              <w:rPr>
                <w:rFonts w:ascii="Arial" w:hAnsi="Arial" w:cs="Arial"/>
                <w:sz w:val="20"/>
              </w:rPr>
              <w:tab/>
            </w:r>
            <w:proofErr w:type="gramStart"/>
            <w:r w:rsidRPr="008D0CCA">
              <w:rPr>
                <w:rFonts w:ascii="Arial" w:hAnsi="Arial" w:cs="Arial"/>
                <w:sz w:val="20"/>
              </w:rPr>
              <w:t>ribociclib</w:t>
            </w:r>
            <w:proofErr w:type="gramEnd"/>
            <w:r w:rsidRPr="008D0CCA">
              <w:rPr>
                <w:rFonts w:ascii="Arial" w:hAnsi="Arial" w:cs="Arial"/>
                <w:sz w:val="20"/>
              </w:rPr>
              <w:t xml:space="preserve"> had a high and uncertain cost-effectiveness at the price proposed by the sponsor.</w:t>
            </w:r>
          </w:p>
          <w:p w:rsidR="002D5215" w:rsidRPr="008D0CCA" w:rsidRDefault="002D5215" w:rsidP="00F61C70">
            <w:pPr>
              <w:ind w:left="176" w:hanging="141"/>
              <w:jc w:val="both"/>
              <w:rPr>
                <w:rFonts w:ascii="Arial" w:hAnsi="Arial" w:cs="Arial"/>
                <w:sz w:val="20"/>
              </w:rPr>
            </w:pPr>
            <w:r w:rsidRPr="008D0CCA">
              <w:rPr>
                <w:rFonts w:ascii="Arial" w:hAnsi="Arial" w:cs="Arial"/>
                <w:sz w:val="20"/>
              </w:rPr>
              <w:t>•</w:t>
            </w:r>
            <w:r w:rsidRPr="008D0CCA">
              <w:rPr>
                <w:rFonts w:ascii="Arial" w:hAnsi="Arial" w:cs="Arial"/>
                <w:sz w:val="20"/>
              </w:rPr>
              <w:tab/>
              <w:t>single agent endocrine therapy as first-line therapy is associated with significant clinical benefits in most patients and the addition of ribociclib increases the toxicity of treatment with an uncertain effect on overall survival.</w:t>
            </w:r>
          </w:p>
          <w:p w:rsidR="002D5215" w:rsidRPr="008D0CCA" w:rsidRDefault="002D5215" w:rsidP="00F61C70">
            <w:pPr>
              <w:ind w:left="176" w:hanging="141"/>
              <w:jc w:val="both"/>
              <w:rPr>
                <w:rFonts w:ascii="Arial" w:hAnsi="Arial" w:cs="Arial"/>
                <w:sz w:val="20"/>
              </w:rPr>
            </w:pPr>
            <w:r w:rsidRPr="008D0CCA">
              <w:rPr>
                <w:rFonts w:ascii="Arial" w:hAnsi="Arial" w:cs="Arial"/>
                <w:sz w:val="20"/>
              </w:rPr>
              <w:t>•</w:t>
            </w:r>
            <w:r w:rsidRPr="008D0CCA">
              <w:rPr>
                <w:rFonts w:ascii="Arial" w:hAnsi="Arial" w:cs="Arial"/>
                <w:sz w:val="20"/>
              </w:rPr>
              <w:tab/>
              <w:t>the likely net cost of listing ribociclib to the PBS would be more than $100 million over the first five years, and as such, there would be a significant opportunity cost to the Commonwealth.</w:t>
            </w:r>
          </w:p>
          <w:p w:rsidR="002D5215" w:rsidRPr="008D0CCA" w:rsidRDefault="002D5215" w:rsidP="00F61C70">
            <w:pPr>
              <w:jc w:val="both"/>
              <w:rPr>
                <w:rFonts w:ascii="Arial" w:hAnsi="Arial" w:cs="Arial"/>
                <w:sz w:val="20"/>
              </w:rPr>
            </w:pPr>
          </w:p>
          <w:p w:rsidR="002D5215" w:rsidRPr="008D0CCA" w:rsidRDefault="002D5215" w:rsidP="00F61C70">
            <w:pPr>
              <w:jc w:val="both"/>
              <w:rPr>
                <w:rFonts w:ascii="Arial" w:hAnsi="Arial" w:cs="Arial"/>
                <w:sz w:val="20"/>
                <w:highlight w:val="yellow"/>
              </w:rPr>
            </w:pPr>
            <w:r w:rsidRPr="008D0CCA">
              <w:rPr>
                <w:rFonts w:ascii="Arial" w:hAnsi="Arial" w:cs="Arial"/>
                <w:sz w:val="20"/>
              </w:rPr>
              <w:t>The PBAC noted that breast cancer is the most common cancer in females and that the majority of patients with advanced breast cancer patients have the HR+ / HER2 negative type. The PBAC welcomed the comments received via the Consumer Comments facility on the PBS website. The PBAC noted the significant public interest in the listing of CDK4/6 inhibitors, such as ribociclib. The consumer comments that were considered by the Committee included the benefits that ribociclib improved quality of life, dela</w:t>
            </w:r>
            <w:r w:rsidR="00A54D11">
              <w:rPr>
                <w:rFonts w:ascii="Arial" w:hAnsi="Arial" w:cs="Arial"/>
                <w:sz w:val="20"/>
              </w:rPr>
              <w:t>y</w:t>
            </w:r>
            <w:r w:rsidRPr="008D0CCA">
              <w:rPr>
                <w:rFonts w:ascii="Arial" w:hAnsi="Arial" w:cs="Arial"/>
                <w:sz w:val="20"/>
              </w:rPr>
              <w:t xml:space="preserve">ed disease progression and time to chemotherapy but had a very </w:t>
            </w:r>
            <w:r w:rsidRPr="008D0CCA">
              <w:rPr>
                <w:rFonts w:ascii="Arial" w:hAnsi="Arial" w:cs="Arial"/>
                <w:sz w:val="20"/>
              </w:rPr>
              <w:lastRenderedPageBreak/>
              <w:t>high financial cost to patients.</w:t>
            </w:r>
          </w:p>
        </w:tc>
      </w:tr>
      <w:tr w:rsidR="002D5215" w:rsidRPr="008D0CCA" w:rsidTr="00F61C70">
        <w:trPr>
          <w:trHeight w:val="433"/>
        </w:trPr>
        <w:tc>
          <w:tcPr>
            <w:tcW w:w="2127" w:type="dxa"/>
            <w:vMerge/>
          </w:tcPr>
          <w:p w:rsidR="002D5215" w:rsidRPr="008D0CCA" w:rsidRDefault="002D5215" w:rsidP="00DA535C">
            <w:pPr>
              <w:rPr>
                <w:rFonts w:ascii="Arial" w:hAnsi="Arial" w:cs="Arial"/>
                <w:sz w:val="20"/>
              </w:rPr>
            </w:pPr>
          </w:p>
        </w:tc>
        <w:tc>
          <w:tcPr>
            <w:tcW w:w="2126" w:type="dxa"/>
            <w:vMerge/>
          </w:tcPr>
          <w:p w:rsidR="002D5215" w:rsidRPr="008D0CCA" w:rsidRDefault="002D5215" w:rsidP="00DA535C">
            <w:pPr>
              <w:rPr>
                <w:rFonts w:ascii="Arial" w:hAnsi="Arial" w:cs="Arial"/>
                <w:sz w:val="20"/>
              </w:rPr>
            </w:pPr>
          </w:p>
        </w:tc>
        <w:tc>
          <w:tcPr>
            <w:tcW w:w="1984" w:type="dxa"/>
            <w:vMerge/>
          </w:tcPr>
          <w:p w:rsidR="002D5215" w:rsidRPr="008D0CCA" w:rsidRDefault="002D5215" w:rsidP="00DA535C">
            <w:pPr>
              <w:rPr>
                <w:rFonts w:ascii="Arial" w:hAnsi="Arial" w:cs="Arial"/>
                <w:sz w:val="20"/>
              </w:rPr>
            </w:pPr>
          </w:p>
        </w:tc>
        <w:tc>
          <w:tcPr>
            <w:tcW w:w="3969" w:type="dxa"/>
          </w:tcPr>
          <w:p w:rsidR="002D5215" w:rsidRPr="008D0CCA" w:rsidRDefault="002D5215" w:rsidP="00DA535C">
            <w:pPr>
              <w:pStyle w:val="ListBullet"/>
            </w:pPr>
            <w:r w:rsidRPr="008D0CCA">
              <w:t>Comparator: NSAI (letrozole or anastrozole)</w:t>
            </w:r>
          </w:p>
          <w:p w:rsidR="002D5215" w:rsidRPr="008D0CCA" w:rsidRDefault="002D5215" w:rsidP="00DA535C">
            <w:pPr>
              <w:pStyle w:val="ListBullet"/>
            </w:pPr>
          </w:p>
        </w:tc>
        <w:tc>
          <w:tcPr>
            <w:tcW w:w="5245" w:type="dxa"/>
          </w:tcPr>
          <w:p w:rsidR="002D5215" w:rsidRPr="008D0CCA" w:rsidRDefault="002D5215" w:rsidP="00F61C70">
            <w:pPr>
              <w:jc w:val="both"/>
              <w:rPr>
                <w:rFonts w:ascii="Arial" w:hAnsi="Arial" w:cs="Arial"/>
                <w:sz w:val="20"/>
                <w:highlight w:val="yellow"/>
              </w:rPr>
            </w:pPr>
            <w:r w:rsidRPr="008D0CCA">
              <w:rPr>
                <w:rFonts w:ascii="Arial" w:hAnsi="Arial" w:cs="Arial"/>
                <w:sz w:val="20"/>
              </w:rPr>
              <w:t>The PBAC recalled it previously accepted NSAI (letrozole or anastrozole) alone as the main comparator. The PBAC considered that palbociclib was an appropriate near market comparator which was also considered by the Committee for a similar indication at its November 2017 meeting.</w:t>
            </w:r>
          </w:p>
        </w:tc>
      </w:tr>
      <w:tr w:rsidR="002D5215" w:rsidRPr="008D0CCA" w:rsidTr="00F61C70">
        <w:trPr>
          <w:trHeight w:val="433"/>
        </w:trPr>
        <w:tc>
          <w:tcPr>
            <w:tcW w:w="2127" w:type="dxa"/>
            <w:vMerge/>
          </w:tcPr>
          <w:p w:rsidR="002D5215" w:rsidRPr="008D0CCA" w:rsidRDefault="002D5215" w:rsidP="00DA535C">
            <w:pPr>
              <w:rPr>
                <w:rFonts w:ascii="Arial" w:hAnsi="Arial" w:cs="Arial"/>
                <w:sz w:val="20"/>
              </w:rPr>
            </w:pPr>
          </w:p>
        </w:tc>
        <w:tc>
          <w:tcPr>
            <w:tcW w:w="2126" w:type="dxa"/>
            <w:vMerge/>
          </w:tcPr>
          <w:p w:rsidR="002D5215" w:rsidRPr="008D0CCA" w:rsidRDefault="002D5215" w:rsidP="00DA535C">
            <w:pPr>
              <w:rPr>
                <w:rFonts w:ascii="Arial" w:hAnsi="Arial" w:cs="Arial"/>
                <w:sz w:val="20"/>
              </w:rPr>
            </w:pPr>
          </w:p>
        </w:tc>
        <w:tc>
          <w:tcPr>
            <w:tcW w:w="1984" w:type="dxa"/>
            <w:vMerge/>
          </w:tcPr>
          <w:p w:rsidR="002D5215" w:rsidRPr="008D0CCA" w:rsidRDefault="002D5215" w:rsidP="00DA535C">
            <w:pPr>
              <w:rPr>
                <w:rFonts w:ascii="Arial" w:hAnsi="Arial" w:cs="Arial"/>
                <w:sz w:val="20"/>
              </w:rPr>
            </w:pPr>
          </w:p>
        </w:tc>
        <w:tc>
          <w:tcPr>
            <w:tcW w:w="3969" w:type="dxa"/>
          </w:tcPr>
          <w:p w:rsidR="002D5215" w:rsidRPr="008D0CCA" w:rsidRDefault="002D5215" w:rsidP="00DA535C">
            <w:pPr>
              <w:pStyle w:val="ListBullet"/>
            </w:pPr>
            <w:r w:rsidRPr="008D0CCA">
              <w:t>Clinical claim: Superior efficacy and inferior safety over NSAI alone</w:t>
            </w:r>
          </w:p>
          <w:p w:rsidR="002D5215" w:rsidRPr="008D0CCA" w:rsidRDefault="002D5215" w:rsidP="00DA535C">
            <w:pPr>
              <w:pStyle w:val="ListBullet"/>
            </w:pPr>
          </w:p>
        </w:tc>
        <w:tc>
          <w:tcPr>
            <w:tcW w:w="5245" w:type="dxa"/>
          </w:tcPr>
          <w:p w:rsidR="002D5215" w:rsidRPr="008D0CCA" w:rsidRDefault="002D5215" w:rsidP="00F61C70">
            <w:pPr>
              <w:jc w:val="both"/>
              <w:rPr>
                <w:rFonts w:ascii="Arial" w:hAnsi="Arial" w:cs="Arial"/>
                <w:sz w:val="20"/>
              </w:rPr>
            </w:pPr>
            <w:r w:rsidRPr="008D0CCA">
              <w:rPr>
                <w:rFonts w:ascii="Arial" w:hAnsi="Arial" w:cs="Arial"/>
                <w:sz w:val="20"/>
              </w:rPr>
              <w:t xml:space="preserve">The PBAC considered that the clinical benefit of adding ribociclib to letrozole was uncertain because although the results of the clinical trial (called MONALEESA-2) presented in the re-submission showed a progression-free survival (PFS) benefit associated with the use of ribociclib, there were no improvements in overall survival </w:t>
            </w:r>
            <w:r w:rsidR="00146698">
              <w:rPr>
                <w:rFonts w:ascii="Arial" w:hAnsi="Arial" w:cs="Arial"/>
                <w:sz w:val="20"/>
              </w:rPr>
              <w:t>and not</w:t>
            </w:r>
            <w:r w:rsidRPr="008D0CCA">
              <w:rPr>
                <w:rFonts w:ascii="Arial" w:hAnsi="Arial" w:cs="Arial"/>
                <w:sz w:val="20"/>
              </w:rPr>
              <w:t xml:space="preserve"> any improvement in patient’s</w:t>
            </w:r>
            <w:r w:rsidR="00A54D11">
              <w:rPr>
                <w:rFonts w:ascii="Arial" w:hAnsi="Arial" w:cs="Arial"/>
                <w:sz w:val="20"/>
              </w:rPr>
              <w:t xml:space="preserve"> overall</w:t>
            </w:r>
            <w:r w:rsidRPr="008D0CCA">
              <w:rPr>
                <w:rFonts w:ascii="Arial" w:hAnsi="Arial" w:cs="Arial"/>
                <w:sz w:val="20"/>
              </w:rPr>
              <w:t xml:space="preserve"> quality of life</w:t>
            </w:r>
            <w:r w:rsidR="00A54D11">
              <w:rPr>
                <w:rFonts w:ascii="Arial" w:hAnsi="Arial" w:cs="Arial"/>
                <w:sz w:val="20"/>
              </w:rPr>
              <w:t xml:space="preserve"> score</w:t>
            </w:r>
            <w:r w:rsidRPr="008D0CCA">
              <w:rPr>
                <w:rFonts w:ascii="Arial" w:hAnsi="Arial" w:cs="Arial"/>
                <w:sz w:val="20"/>
              </w:rPr>
              <w:t>. In addition, the PBAC noted that many women with advanced breast cancer are managed effectively on hormone therapy only, and the next line chemotherapies include well-tolerated oral therapies. Therefore the benefit of ribociclib in delaying time to chemotherapy is uncertain, particularly given that ribociclib itself is associated with significant toxicities.</w:t>
            </w:r>
          </w:p>
          <w:p w:rsidR="002D5215" w:rsidRPr="008D0CCA" w:rsidRDefault="002D5215" w:rsidP="00F61C70">
            <w:pPr>
              <w:jc w:val="both"/>
              <w:rPr>
                <w:rFonts w:ascii="Arial" w:hAnsi="Arial" w:cs="Arial"/>
                <w:sz w:val="20"/>
              </w:rPr>
            </w:pPr>
          </w:p>
          <w:p w:rsidR="002D5215" w:rsidRPr="008D0CCA" w:rsidRDefault="002D5215" w:rsidP="00F61C70">
            <w:pPr>
              <w:jc w:val="both"/>
              <w:rPr>
                <w:rFonts w:ascii="Arial" w:hAnsi="Arial" w:cs="Arial"/>
                <w:sz w:val="20"/>
              </w:rPr>
            </w:pPr>
            <w:r w:rsidRPr="008D0CCA">
              <w:rPr>
                <w:rFonts w:ascii="Arial" w:hAnsi="Arial" w:cs="Arial"/>
                <w:sz w:val="20"/>
              </w:rPr>
              <w:t>The PBAC accepted the re-submission’s comparative safety claim that ribociclib was inferior over NSAI alone. The PBAC noted that there appears to be significant toxicity associated with the use of ribociclib, as patients who received ribociclib in the trials reported increased numbers of adverse events compared to those treated with letrozole alone, and that this was particularly important for a therapy that may be taken for a prolonged period.</w:t>
            </w:r>
          </w:p>
          <w:p w:rsidR="002D5215" w:rsidRPr="008D0CCA" w:rsidRDefault="002D5215" w:rsidP="00F61C70">
            <w:pPr>
              <w:jc w:val="both"/>
              <w:rPr>
                <w:rFonts w:ascii="Arial" w:hAnsi="Arial" w:cs="Arial"/>
                <w:sz w:val="20"/>
              </w:rPr>
            </w:pPr>
          </w:p>
          <w:p w:rsidR="002D5215" w:rsidRPr="008D0CCA" w:rsidRDefault="002D5215" w:rsidP="00F61C70">
            <w:pPr>
              <w:jc w:val="both"/>
              <w:rPr>
                <w:rFonts w:ascii="Arial" w:hAnsi="Arial" w:cs="Arial"/>
                <w:sz w:val="20"/>
              </w:rPr>
            </w:pPr>
            <w:r w:rsidRPr="008D0CCA">
              <w:rPr>
                <w:rFonts w:ascii="Arial" w:hAnsi="Arial" w:cs="Arial"/>
                <w:sz w:val="20"/>
              </w:rPr>
              <w:t xml:space="preserve">On the basis of direct evidence presented by the re-submission, for every 100 patients treated with ribociclib plus letrozole in comparison to letrozole alone there </w:t>
            </w:r>
            <w:r w:rsidRPr="008D0CCA">
              <w:rPr>
                <w:rFonts w:ascii="Arial" w:hAnsi="Arial" w:cs="Arial"/>
                <w:sz w:val="20"/>
              </w:rPr>
              <w:lastRenderedPageBreak/>
              <w:t>would be:</w:t>
            </w:r>
          </w:p>
          <w:p w:rsidR="002D5215" w:rsidRPr="008D0CCA" w:rsidRDefault="002D5215" w:rsidP="00F61C70">
            <w:pPr>
              <w:ind w:left="176" w:hanging="141"/>
              <w:jc w:val="both"/>
              <w:rPr>
                <w:rFonts w:ascii="Arial" w:hAnsi="Arial" w:cs="Arial"/>
                <w:sz w:val="20"/>
              </w:rPr>
            </w:pPr>
            <w:proofErr w:type="gramStart"/>
            <w:r w:rsidRPr="008D0CCA">
              <w:rPr>
                <w:rFonts w:ascii="Arial" w:hAnsi="Arial" w:cs="Arial"/>
                <w:sz w:val="20"/>
              </w:rPr>
              <w:t>•</w:t>
            </w:r>
            <w:r w:rsidRPr="008D0CCA">
              <w:rPr>
                <w:rFonts w:ascii="Arial" w:hAnsi="Arial" w:cs="Arial"/>
                <w:sz w:val="20"/>
              </w:rPr>
              <w:tab/>
              <w:t>Approximately 12 more patients progression-free at 12 months, and 19 more patients at 24 months.</w:t>
            </w:r>
            <w:proofErr w:type="gramEnd"/>
          </w:p>
          <w:p w:rsidR="002D5215" w:rsidRPr="008D0CCA" w:rsidRDefault="002D5215" w:rsidP="00F61C70">
            <w:pPr>
              <w:ind w:left="176" w:hanging="141"/>
              <w:jc w:val="both"/>
              <w:rPr>
                <w:rFonts w:ascii="Arial" w:hAnsi="Arial" w:cs="Arial"/>
                <w:sz w:val="20"/>
              </w:rPr>
            </w:pPr>
            <w:r w:rsidRPr="008D0CCA">
              <w:rPr>
                <w:rFonts w:ascii="Arial" w:hAnsi="Arial" w:cs="Arial"/>
                <w:sz w:val="20"/>
              </w:rPr>
              <w:t>•</w:t>
            </w:r>
            <w:r w:rsidRPr="008D0CCA">
              <w:rPr>
                <w:rFonts w:ascii="Arial" w:hAnsi="Arial" w:cs="Arial"/>
                <w:sz w:val="20"/>
              </w:rPr>
              <w:tab/>
              <w:t>No improvement in OS.</w:t>
            </w:r>
          </w:p>
          <w:p w:rsidR="002D5215" w:rsidRPr="008D0CCA" w:rsidRDefault="002D5215" w:rsidP="00F61C70">
            <w:pPr>
              <w:ind w:left="176" w:hanging="141"/>
              <w:jc w:val="both"/>
              <w:rPr>
                <w:rFonts w:ascii="Arial" w:hAnsi="Arial" w:cs="Arial"/>
                <w:sz w:val="20"/>
              </w:rPr>
            </w:pPr>
            <w:r w:rsidRPr="008D0CCA">
              <w:rPr>
                <w:rFonts w:ascii="Arial" w:hAnsi="Arial" w:cs="Arial"/>
                <w:sz w:val="20"/>
              </w:rPr>
              <w:t>•</w:t>
            </w:r>
            <w:r w:rsidRPr="008D0CCA">
              <w:rPr>
                <w:rFonts w:ascii="Arial" w:hAnsi="Arial" w:cs="Arial"/>
                <w:sz w:val="20"/>
              </w:rPr>
              <w:tab/>
              <w:t>Approximately 48 additional patients would experience a grade 3 adverse event and 14 would experience a grade 4 adverse event.</w:t>
            </w:r>
          </w:p>
          <w:p w:rsidR="002D5215" w:rsidRPr="008D0CCA" w:rsidRDefault="002D5215" w:rsidP="00F61C70">
            <w:pPr>
              <w:ind w:left="176" w:hanging="141"/>
              <w:jc w:val="both"/>
              <w:rPr>
                <w:rFonts w:ascii="Arial" w:hAnsi="Arial" w:cs="Arial"/>
                <w:sz w:val="20"/>
              </w:rPr>
            </w:pPr>
            <w:r w:rsidRPr="008D0CCA">
              <w:rPr>
                <w:rFonts w:ascii="Arial" w:hAnsi="Arial" w:cs="Arial"/>
                <w:sz w:val="20"/>
              </w:rPr>
              <w:t>•</w:t>
            </w:r>
            <w:r w:rsidRPr="008D0CCA">
              <w:rPr>
                <w:rFonts w:ascii="Arial" w:hAnsi="Arial" w:cs="Arial"/>
                <w:sz w:val="20"/>
              </w:rPr>
              <w:tab/>
              <w:t>Approximately 59 additional patients would experience neutropenia (low count of one type of white blood cell, neutrophils, which carries an increased risk of infection), of which 41 would experience grade 3 neutropenia and 9 would experience grade 4 neutropenia.</w:t>
            </w:r>
          </w:p>
          <w:p w:rsidR="002D5215" w:rsidRPr="008D0CCA" w:rsidRDefault="002D5215" w:rsidP="00F61C70">
            <w:pPr>
              <w:ind w:left="176" w:hanging="141"/>
              <w:jc w:val="both"/>
              <w:rPr>
                <w:rFonts w:ascii="Arial" w:hAnsi="Arial" w:cs="Arial"/>
                <w:sz w:val="20"/>
              </w:rPr>
            </w:pPr>
            <w:r w:rsidRPr="008D0CCA">
              <w:rPr>
                <w:rFonts w:ascii="Arial" w:hAnsi="Arial" w:cs="Arial"/>
                <w:sz w:val="20"/>
              </w:rPr>
              <w:t>•</w:t>
            </w:r>
            <w:r w:rsidRPr="008D0CCA">
              <w:rPr>
                <w:rFonts w:ascii="Arial" w:hAnsi="Arial" w:cs="Arial"/>
                <w:sz w:val="20"/>
              </w:rPr>
              <w:tab/>
              <w:t>Approximately 23 additional patients would experience nausea.</w:t>
            </w:r>
          </w:p>
          <w:p w:rsidR="002D5215" w:rsidRPr="008D0CCA" w:rsidRDefault="002D5215" w:rsidP="00F61C70">
            <w:pPr>
              <w:ind w:left="176" w:hanging="141"/>
              <w:jc w:val="both"/>
              <w:rPr>
                <w:rFonts w:ascii="Arial" w:hAnsi="Arial" w:cs="Arial"/>
                <w:sz w:val="20"/>
              </w:rPr>
            </w:pPr>
            <w:r w:rsidRPr="008D0CCA">
              <w:rPr>
                <w:rFonts w:ascii="Arial" w:hAnsi="Arial" w:cs="Arial"/>
                <w:sz w:val="20"/>
              </w:rPr>
              <w:t>•</w:t>
            </w:r>
            <w:r w:rsidRPr="008D0CCA">
              <w:rPr>
                <w:rFonts w:ascii="Arial" w:hAnsi="Arial" w:cs="Arial"/>
                <w:sz w:val="20"/>
              </w:rPr>
              <w:tab/>
              <w:t>Approximately 9 additional patients would experience fatigue.</w:t>
            </w:r>
          </w:p>
          <w:p w:rsidR="002D5215" w:rsidRPr="008D0CCA" w:rsidRDefault="002D5215" w:rsidP="00F61C70">
            <w:pPr>
              <w:ind w:left="176" w:hanging="141"/>
              <w:jc w:val="both"/>
              <w:rPr>
                <w:rFonts w:ascii="Arial" w:hAnsi="Arial" w:cs="Arial"/>
                <w:sz w:val="20"/>
              </w:rPr>
            </w:pPr>
            <w:r w:rsidRPr="008D0CCA">
              <w:rPr>
                <w:rFonts w:ascii="Arial" w:hAnsi="Arial" w:cs="Arial"/>
                <w:sz w:val="20"/>
              </w:rPr>
              <w:t>•</w:t>
            </w:r>
            <w:r w:rsidRPr="008D0CCA">
              <w:rPr>
                <w:rFonts w:ascii="Arial" w:hAnsi="Arial" w:cs="Arial"/>
                <w:sz w:val="20"/>
              </w:rPr>
              <w:tab/>
              <w:t>Approximately 1 additional patient would experience febrile neutropenia (development of fever in a patient with neutropenia).</w:t>
            </w:r>
          </w:p>
          <w:p w:rsidR="002D5215" w:rsidRPr="008D0CCA" w:rsidRDefault="002D5215" w:rsidP="00F61C70">
            <w:pPr>
              <w:ind w:left="176" w:hanging="141"/>
              <w:jc w:val="both"/>
              <w:rPr>
                <w:rFonts w:ascii="Arial" w:hAnsi="Arial" w:cs="Arial"/>
                <w:sz w:val="20"/>
              </w:rPr>
            </w:pPr>
            <w:r w:rsidRPr="008D0CCA">
              <w:rPr>
                <w:rFonts w:ascii="Arial" w:hAnsi="Arial" w:cs="Arial"/>
                <w:sz w:val="20"/>
              </w:rPr>
              <w:t>•</w:t>
            </w:r>
            <w:r w:rsidRPr="008D0CCA">
              <w:rPr>
                <w:rFonts w:ascii="Arial" w:hAnsi="Arial" w:cs="Arial"/>
                <w:sz w:val="20"/>
              </w:rPr>
              <w:tab/>
              <w:t>The increased risk of pulmonary embolism (where an artery in the lungs becomes blocked by a blood clot) was small but observed in the clinical trial.</w:t>
            </w:r>
          </w:p>
          <w:p w:rsidR="002D5215" w:rsidRPr="008D0CCA" w:rsidRDefault="002D5215" w:rsidP="00F61C70">
            <w:pPr>
              <w:ind w:left="176" w:hanging="141"/>
              <w:jc w:val="both"/>
              <w:rPr>
                <w:rFonts w:ascii="Arial" w:hAnsi="Arial" w:cs="Arial"/>
                <w:sz w:val="20"/>
                <w:highlight w:val="yellow"/>
              </w:rPr>
            </w:pPr>
            <w:r w:rsidRPr="008D0CCA">
              <w:rPr>
                <w:rFonts w:ascii="Arial" w:hAnsi="Arial" w:cs="Arial"/>
                <w:sz w:val="20"/>
              </w:rPr>
              <w:t>•</w:t>
            </w:r>
            <w:r w:rsidRPr="008D0CCA">
              <w:rPr>
                <w:rFonts w:ascii="Arial" w:hAnsi="Arial" w:cs="Arial"/>
                <w:sz w:val="20"/>
              </w:rPr>
              <w:tab/>
              <w:t>The increased risk of occurrence of QTc interval prolongation (changes in the heart’s rhythm) was small but observed in the clinical trial.</w:t>
            </w:r>
          </w:p>
        </w:tc>
      </w:tr>
      <w:tr w:rsidR="002D5215" w:rsidRPr="008D0CCA" w:rsidTr="00F61C70">
        <w:trPr>
          <w:trHeight w:val="433"/>
        </w:trPr>
        <w:tc>
          <w:tcPr>
            <w:tcW w:w="2127" w:type="dxa"/>
            <w:vMerge/>
          </w:tcPr>
          <w:p w:rsidR="002D5215" w:rsidRPr="008D0CCA" w:rsidRDefault="002D5215" w:rsidP="00DA535C">
            <w:pPr>
              <w:rPr>
                <w:rFonts w:ascii="Arial" w:hAnsi="Arial" w:cs="Arial"/>
                <w:sz w:val="20"/>
              </w:rPr>
            </w:pPr>
          </w:p>
        </w:tc>
        <w:tc>
          <w:tcPr>
            <w:tcW w:w="2126" w:type="dxa"/>
            <w:vMerge/>
          </w:tcPr>
          <w:p w:rsidR="002D5215" w:rsidRPr="008D0CCA" w:rsidRDefault="002D5215" w:rsidP="00DA535C">
            <w:pPr>
              <w:rPr>
                <w:rFonts w:ascii="Arial" w:hAnsi="Arial" w:cs="Arial"/>
                <w:sz w:val="20"/>
              </w:rPr>
            </w:pPr>
          </w:p>
        </w:tc>
        <w:tc>
          <w:tcPr>
            <w:tcW w:w="1984" w:type="dxa"/>
            <w:vMerge/>
          </w:tcPr>
          <w:p w:rsidR="002D5215" w:rsidRPr="008D0CCA" w:rsidRDefault="002D5215" w:rsidP="00DA535C">
            <w:pPr>
              <w:rPr>
                <w:rFonts w:ascii="Arial" w:hAnsi="Arial" w:cs="Arial"/>
                <w:sz w:val="20"/>
              </w:rPr>
            </w:pPr>
          </w:p>
        </w:tc>
        <w:tc>
          <w:tcPr>
            <w:tcW w:w="3969" w:type="dxa"/>
          </w:tcPr>
          <w:p w:rsidR="002D5215" w:rsidRPr="008D0CCA" w:rsidRDefault="002D5215" w:rsidP="00DA535C">
            <w:pPr>
              <w:pStyle w:val="ListBullet"/>
            </w:pPr>
            <w:r w:rsidRPr="008D0CCA">
              <w:t>Economic claim: Cost-effectiveness and cost-utility analysis</w:t>
            </w:r>
          </w:p>
          <w:p w:rsidR="002D5215" w:rsidRPr="008D0CCA" w:rsidRDefault="002D5215" w:rsidP="00DA535C">
            <w:pPr>
              <w:pStyle w:val="ListBullet"/>
            </w:pPr>
          </w:p>
        </w:tc>
        <w:tc>
          <w:tcPr>
            <w:tcW w:w="5245" w:type="dxa"/>
          </w:tcPr>
          <w:p w:rsidR="002D5215" w:rsidRPr="008D0CCA" w:rsidRDefault="002D5215" w:rsidP="00F61C70">
            <w:pPr>
              <w:jc w:val="both"/>
              <w:rPr>
                <w:rFonts w:ascii="Arial" w:hAnsi="Arial" w:cs="Arial"/>
                <w:sz w:val="20"/>
                <w:highlight w:val="yellow"/>
              </w:rPr>
            </w:pPr>
            <w:r w:rsidRPr="008D0CCA">
              <w:rPr>
                <w:rFonts w:ascii="Arial" w:hAnsi="Arial" w:cs="Arial"/>
                <w:sz w:val="20"/>
              </w:rPr>
              <w:t>The PBAC considered the econo</w:t>
            </w:r>
            <w:r w:rsidR="008D0CCA">
              <w:rPr>
                <w:rFonts w:ascii="Arial" w:hAnsi="Arial" w:cs="Arial"/>
                <w:sz w:val="20"/>
              </w:rPr>
              <w:t xml:space="preserve">mic model in the re-submission </w:t>
            </w:r>
            <w:r w:rsidRPr="008D0CCA">
              <w:rPr>
                <w:rFonts w:ascii="Arial" w:hAnsi="Arial" w:cs="Arial"/>
                <w:sz w:val="20"/>
              </w:rPr>
              <w:t>to be unreliable for decision making, because the claimed outcomes were likely to have been overestimated based on the evidence available in the clinical trials. The PBAC were still of the view that increased cost to the health care system for the potential patient benefit of ribociclib over the treatments currently available in Australia may be greater than the sponsor claimed, and would have an opportunity cost to the funding of other therapies through the PBS.</w:t>
            </w:r>
          </w:p>
        </w:tc>
      </w:tr>
      <w:tr w:rsidR="002D5215" w:rsidRPr="008D0CCA" w:rsidTr="005948E2">
        <w:trPr>
          <w:trHeight w:val="133"/>
        </w:trPr>
        <w:tc>
          <w:tcPr>
            <w:tcW w:w="2127" w:type="dxa"/>
            <w:vMerge/>
          </w:tcPr>
          <w:p w:rsidR="002D5215" w:rsidRPr="008D0CCA" w:rsidRDefault="002D5215" w:rsidP="00DA535C">
            <w:pPr>
              <w:rPr>
                <w:rFonts w:ascii="Arial" w:hAnsi="Arial" w:cs="Arial"/>
                <w:sz w:val="20"/>
              </w:rPr>
            </w:pPr>
          </w:p>
        </w:tc>
        <w:tc>
          <w:tcPr>
            <w:tcW w:w="2126" w:type="dxa"/>
            <w:vMerge/>
          </w:tcPr>
          <w:p w:rsidR="002D5215" w:rsidRPr="008D0CCA" w:rsidRDefault="002D5215" w:rsidP="00DA535C">
            <w:pPr>
              <w:rPr>
                <w:rFonts w:ascii="Arial" w:hAnsi="Arial" w:cs="Arial"/>
                <w:sz w:val="20"/>
              </w:rPr>
            </w:pPr>
          </w:p>
        </w:tc>
        <w:tc>
          <w:tcPr>
            <w:tcW w:w="1984" w:type="dxa"/>
            <w:vMerge/>
          </w:tcPr>
          <w:p w:rsidR="002D5215" w:rsidRPr="008D0CCA" w:rsidRDefault="002D5215" w:rsidP="00DA535C">
            <w:pPr>
              <w:rPr>
                <w:rFonts w:ascii="Arial" w:hAnsi="Arial" w:cs="Arial"/>
                <w:sz w:val="20"/>
              </w:rPr>
            </w:pPr>
          </w:p>
        </w:tc>
        <w:tc>
          <w:tcPr>
            <w:tcW w:w="3969" w:type="dxa"/>
          </w:tcPr>
          <w:p w:rsidR="002D5215" w:rsidRPr="008D0CCA" w:rsidRDefault="002D5215" w:rsidP="00DA535C">
            <w:pPr>
              <w:pStyle w:val="ListBullet"/>
            </w:pPr>
            <w:r w:rsidRPr="008D0CCA">
              <w:t>Sponsor’s comments:</w:t>
            </w:r>
          </w:p>
        </w:tc>
        <w:tc>
          <w:tcPr>
            <w:tcW w:w="5245" w:type="dxa"/>
          </w:tcPr>
          <w:p w:rsidR="002D5215" w:rsidRPr="008D0CCA" w:rsidRDefault="00A54D11" w:rsidP="00F61C70">
            <w:pPr>
              <w:jc w:val="both"/>
              <w:rPr>
                <w:rFonts w:ascii="Arial" w:hAnsi="Arial" w:cs="Arial"/>
                <w:sz w:val="20"/>
                <w:highlight w:val="yellow"/>
              </w:rPr>
            </w:pPr>
            <w:r w:rsidRPr="00A54D11">
              <w:rPr>
                <w:rFonts w:ascii="Arial" w:hAnsi="Arial" w:cs="Arial"/>
                <w:sz w:val="20"/>
              </w:rPr>
              <w:t>The sponsor had no comment.</w:t>
            </w:r>
          </w:p>
        </w:tc>
      </w:tr>
      <w:tr w:rsidR="002D5215" w:rsidRPr="008D0CCA" w:rsidTr="00F61C70">
        <w:trPr>
          <w:trHeight w:val="435"/>
        </w:trPr>
        <w:tc>
          <w:tcPr>
            <w:tcW w:w="2127" w:type="dxa"/>
            <w:vMerge w:val="restart"/>
          </w:tcPr>
          <w:p w:rsidR="002D5215" w:rsidRPr="008D0CCA" w:rsidRDefault="002D5215" w:rsidP="00DA535C">
            <w:pPr>
              <w:contextualSpacing/>
              <w:rPr>
                <w:rFonts w:ascii="Arial" w:hAnsi="Arial" w:cs="Arial"/>
                <w:color w:val="000000"/>
                <w:sz w:val="20"/>
              </w:rPr>
            </w:pPr>
            <w:r w:rsidRPr="008D0CCA">
              <w:rPr>
                <w:rFonts w:ascii="Arial" w:hAnsi="Arial" w:cs="Arial"/>
                <w:color w:val="000000"/>
                <w:sz w:val="20"/>
              </w:rPr>
              <w:t>TRIFLURIDINE WITH TIPIRACIL</w:t>
            </w:r>
            <w:r w:rsidRPr="008D0CCA">
              <w:rPr>
                <w:rFonts w:ascii="Arial" w:hAnsi="Arial" w:cs="Arial"/>
                <w:color w:val="000000"/>
                <w:sz w:val="20"/>
              </w:rPr>
              <w:br/>
            </w:r>
            <w:r w:rsidRPr="008D0CCA">
              <w:rPr>
                <w:rFonts w:ascii="Arial" w:hAnsi="Arial" w:cs="Arial"/>
                <w:color w:val="000000"/>
                <w:sz w:val="20"/>
              </w:rPr>
              <w:br/>
              <w:t>Tablet containing 15 mg trifluridine with 6.14 mg tipiracil (as hydrochloride)</w:t>
            </w:r>
            <w:r w:rsidRPr="008D0CCA">
              <w:rPr>
                <w:rFonts w:ascii="Arial" w:hAnsi="Arial" w:cs="Arial"/>
                <w:color w:val="000000"/>
                <w:sz w:val="20"/>
              </w:rPr>
              <w:br/>
              <w:t>Tablet containing 20 mg trifluridine with 8.19 mg tipiracil (as hydrochloride)</w:t>
            </w:r>
            <w:r w:rsidRPr="008D0CCA">
              <w:rPr>
                <w:rFonts w:ascii="Arial" w:hAnsi="Arial" w:cs="Arial"/>
                <w:color w:val="000000"/>
                <w:sz w:val="20"/>
              </w:rPr>
              <w:br/>
            </w:r>
            <w:r w:rsidRPr="008D0CCA">
              <w:rPr>
                <w:rFonts w:ascii="Arial" w:hAnsi="Arial" w:cs="Arial"/>
                <w:color w:val="000000"/>
                <w:sz w:val="20"/>
              </w:rPr>
              <w:br/>
              <w:t>Lonsurf®</w:t>
            </w:r>
            <w:r w:rsidRPr="008D0CCA">
              <w:rPr>
                <w:rFonts w:ascii="Arial" w:hAnsi="Arial" w:cs="Arial"/>
                <w:color w:val="000000"/>
                <w:sz w:val="20"/>
              </w:rPr>
              <w:br/>
            </w:r>
            <w:r w:rsidRPr="008D0CCA">
              <w:rPr>
                <w:rFonts w:ascii="Arial" w:hAnsi="Arial" w:cs="Arial"/>
                <w:color w:val="000000"/>
                <w:sz w:val="20"/>
              </w:rPr>
              <w:br/>
              <w:t>Servier Laboratories (Australia) Pty Ltd</w:t>
            </w:r>
          </w:p>
          <w:p w:rsidR="002D5215" w:rsidRPr="008D0CCA" w:rsidRDefault="002D5215" w:rsidP="00DA535C">
            <w:pPr>
              <w:contextualSpacing/>
              <w:rPr>
                <w:rFonts w:ascii="Arial" w:hAnsi="Arial" w:cs="Arial"/>
                <w:color w:val="000000"/>
                <w:sz w:val="20"/>
              </w:rPr>
            </w:pPr>
          </w:p>
          <w:p w:rsidR="002D5215" w:rsidRPr="008D0CCA" w:rsidRDefault="002D5215" w:rsidP="00DA535C">
            <w:pPr>
              <w:contextualSpacing/>
              <w:rPr>
                <w:rFonts w:ascii="Arial" w:hAnsi="Arial" w:cs="Arial"/>
                <w:sz w:val="20"/>
                <w:highlight w:val="yellow"/>
              </w:rPr>
            </w:pPr>
            <w:r w:rsidRPr="008D0CCA">
              <w:rPr>
                <w:rFonts w:ascii="Arial" w:hAnsi="Arial" w:cs="Arial"/>
                <w:color w:val="000000"/>
                <w:sz w:val="20"/>
              </w:rPr>
              <w:t>New listing</w:t>
            </w:r>
            <w:r w:rsidRPr="008D0CCA">
              <w:rPr>
                <w:rFonts w:ascii="Arial" w:hAnsi="Arial" w:cs="Arial"/>
                <w:color w:val="000000"/>
                <w:sz w:val="20"/>
              </w:rPr>
              <w:br/>
              <w:t>(Minor Submission)</w:t>
            </w:r>
          </w:p>
        </w:tc>
        <w:tc>
          <w:tcPr>
            <w:tcW w:w="2126" w:type="dxa"/>
            <w:vMerge w:val="restart"/>
          </w:tcPr>
          <w:p w:rsidR="002D5215" w:rsidRPr="008D0CCA" w:rsidRDefault="002D5215" w:rsidP="002D5215">
            <w:pPr>
              <w:rPr>
                <w:rFonts w:ascii="Arial" w:hAnsi="Arial" w:cs="Arial"/>
                <w:sz w:val="20"/>
              </w:rPr>
            </w:pPr>
            <w:r w:rsidRPr="008D0CCA">
              <w:rPr>
                <w:rFonts w:ascii="Arial" w:hAnsi="Arial" w:cs="Arial"/>
                <w:sz w:val="20"/>
              </w:rPr>
              <w:t>Indicated for the treatment of adult patients with metastatic colorectal cancer (mCRC)</w:t>
            </w:r>
          </w:p>
          <w:p w:rsidR="002D5215" w:rsidRPr="008D0CCA" w:rsidRDefault="002D5215" w:rsidP="002D5215">
            <w:pPr>
              <w:rPr>
                <w:rFonts w:ascii="Arial" w:hAnsi="Arial" w:cs="Arial"/>
                <w:sz w:val="20"/>
              </w:rPr>
            </w:pPr>
            <w:r w:rsidRPr="008D0CCA">
              <w:rPr>
                <w:rFonts w:ascii="Arial" w:hAnsi="Arial" w:cs="Arial"/>
                <w:sz w:val="20"/>
              </w:rPr>
              <w:t>who have been previously treated with, or are not considered candidates for fluoropyrimidine-,</w:t>
            </w:r>
          </w:p>
          <w:p w:rsidR="002D5215" w:rsidRPr="008D0CCA" w:rsidRDefault="002D5215" w:rsidP="002D5215">
            <w:pPr>
              <w:rPr>
                <w:rFonts w:ascii="Arial" w:hAnsi="Arial" w:cs="Arial"/>
                <w:sz w:val="20"/>
                <w:highlight w:val="yellow"/>
              </w:rPr>
            </w:pPr>
            <w:proofErr w:type="gramStart"/>
            <w:r w:rsidRPr="008D0CCA">
              <w:rPr>
                <w:rFonts w:ascii="Arial" w:hAnsi="Arial" w:cs="Arial"/>
                <w:sz w:val="20"/>
              </w:rPr>
              <w:t>oxaliplatin</w:t>
            </w:r>
            <w:proofErr w:type="gramEnd"/>
            <w:r w:rsidRPr="008D0CCA">
              <w:rPr>
                <w:rFonts w:ascii="Arial" w:hAnsi="Arial" w:cs="Arial"/>
                <w:sz w:val="20"/>
              </w:rPr>
              <w:t>- and irinotecan-based chemotherapies, anti-VEGF agents, and anti-EGFR agents.</w:t>
            </w:r>
          </w:p>
        </w:tc>
        <w:tc>
          <w:tcPr>
            <w:tcW w:w="1984" w:type="dxa"/>
            <w:vMerge w:val="restart"/>
          </w:tcPr>
          <w:p w:rsidR="002D5215" w:rsidRPr="008D0CCA" w:rsidRDefault="002D5215" w:rsidP="00DA535C">
            <w:pPr>
              <w:rPr>
                <w:rFonts w:ascii="Arial" w:hAnsi="Arial" w:cs="Arial"/>
                <w:sz w:val="20"/>
                <w:highlight w:val="yellow"/>
              </w:rPr>
            </w:pPr>
            <w:r w:rsidRPr="008D0CCA">
              <w:rPr>
                <w:rFonts w:ascii="Arial" w:hAnsi="Arial" w:cs="Arial"/>
                <w:sz w:val="20"/>
              </w:rPr>
              <w:t>TRIFLURIDINE WITH TIPIRACIL is not currently PBS listed.</w:t>
            </w:r>
          </w:p>
        </w:tc>
        <w:tc>
          <w:tcPr>
            <w:tcW w:w="3969" w:type="dxa"/>
          </w:tcPr>
          <w:p w:rsidR="002D5215" w:rsidRPr="008D0CCA" w:rsidRDefault="002D5215" w:rsidP="00DA535C">
            <w:pPr>
              <w:keepLines/>
              <w:rPr>
                <w:rFonts w:ascii="Arial" w:hAnsi="Arial" w:cs="Arial"/>
                <w:sz w:val="20"/>
              </w:rPr>
            </w:pPr>
            <w:r w:rsidRPr="008D0CCA">
              <w:rPr>
                <w:rFonts w:ascii="Arial" w:hAnsi="Arial" w:cs="Arial"/>
                <w:color w:val="000000"/>
                <w:sz w:val="20"/>
              </w:rPr>
              <w:t xml:space="preserve">Resubmission to request an Authority Required (STREAMLINED) listing for the treatment of metastatic colorectal cancer </w:t>
            </w:r>
            <w:r w:rsidRPr="008D0CCA">
              <w:rPr>
                <w:rFonts w:ascii="Arial" w:hAnsi="Arial" w:cs="Arial"/>
                <w:sz w:val="20"/>
              </w:rPr>
              <w:t>(mCRC)</w:t>
            </w:r>
            <w:r w:rsidRPr="008D0CCA">
              <w:rPr>
                <w:rFonts w:ascii="Arial" w:hAnsi="Arial" w:cs="Arial"/>
                <w:color w:val="000000"/>
                <w:sz w:val="20"/>
              </w:rPr>
              <w:t>.</w:t>
            </w:r>
          </w:p>
        </w:tc>
        <w:tc>
          <w:tcPr>
            <w:tcW w:w="5245" w:type="dxa"/>
          </w:tcPr>
          <w:p w:rsidR="002D5215" w:rsidRPr="008D0CCA" w:rsidRDefault="002D5215" w:rsidP="00F61C70">
            <w:pPr>
              <w:jc w:val="both"/>
              <w:rPr>
                <w:rFonts w:ascii="Arial" w:hAnsi="Arial" w:cs="Arial"/>
                <w:sz w:val="20"/>
                <w:highlight w:val="yellow"/>
              </w:rPr>
            </w:pPr>
            <w:r w:rsidRPr="008D0CCA">
              <w:rPr>
                <w:rFonts w:ascii="Arial" w:hAnsi="Arial" w:cs="Arial"/>
                <w:sz w:val="20"/>
              </w:rPr>
              <w:t>The PBAC did not recommend the listing of trifluridine with tipiracil on the PBS for treatment of patients with metastatic colorectal cancer (mCRC) who have been treated previously or are not considered suitable for current available therapies. The PBAC based its decision on the modest clinical benefit and moderate toxicity, noting that the clinical benefit observed in the trial may not be realised in clinical practice. The PBAC was concerned that the financial impact of listing was substantial, with a total net cost to the PBS of $30 -$60 million over the first 6 years of listing. The PBAC considered that this represented a significant opportunity cost for the Commonwealth</w:t>
            </w:r>
            <w:r w:rsidR="00E62D88">
              <w:rPr>
                <w:rFonts w:ascii="Arial" w:hAnsi="Arial" w:cs="Arial"/>
                <w:sz w:val="20"/>
              </w:rPr>
              <w:t xml:space="preserve"> for</w:t>
            </w:r>
            <w:r w:rsidR="00E62D88" w:rsidRPr="008D0CCA">
              <w:rPr>
                <w:rFonts w:ascii="Arial" w:hAnsi="Arial" w:cs="Arial"/>
                <w:sz w:val="20"/>
              </w:rPr>
              <w:t xml:space="preserve"> funding of other therapies through the PBS</w:t>
            </w:r>
            <w:r w:rsidR="00E62D88">
              <w:rPr>
                <w:rFonts w:ascii="Arial" w:hAnsi="Arial" w:cs="Arial"/>
                <w:sz w:val="20"/>
              </w:rPr>
              <w:t>.</w:t>
            </w:r>
          </w:p>
        </w:tc>
      </w:tr>
      <w:tr w:rsidR="002D5215" w:rsidRPr="008D0CCA" w:rsidTr="005948E2">
        <w:trPr>
          <w:trHeight w:val="270"/>
        </w:trPr>
        <w:tc>
          <w:tcPr>
            <w:tcW w:w="2127" w:type="dxa"/>
            <w:vMerge/>
          </w:tcPr>
          <w:p w:rsidR="002D5215" w:rsidRPr="008D0CCA" w:rsidRDefault="002D5215" w:rsidP="00DA535C">
            <w:pPr>
              <w:rPr>
                <w:rFonts w:ascii="Arial" w:hAnsi="Arial" w:cs="Arial"/>
                <w:sz w:val="20"/>
              </w:rPr>
            </w:pPr>
          </w:p>
        </w:tc>
        <w:tc>
          <w:tcPr>
            <w:tcW w:w="2126" w:type="dxa"/>
            <w:vMerge/>
          </w:tcPr>
          <w:p w:rsidR="002D5215" w:rsidRPr="008D0CCA" w:rsidRDefault="002D5215" w:rsidP="00DA535C">
            <w:pPr>
              <w:rPr>
                <w:rFonts w:ascii="Arial" w:hAnsi="Arial" w:cs="Arial"/>
                <w:sz w:val="20"/>
              </w:rPr>
            </w:pPr>
          </w:p>
        </w:tc>
        <w:tc>
          <w:tcPr>
            <w:tcW w:w="1984" w:type="dxa"/>
            <w:vMerge/>
          </w:tcPr>
          <w:p w:rsidR="002D5215" w:rsidRPr="008D0CCA" w:rsidRDefault="002D5215" w:rsidP="00DA535C">
            <w:pPr>
              <w:rPr>
                <w:rFonts w:ascii="Arial" w:hAnsi="Arial" w:cs="Arial"/>
                <w:sz w:val="20"/>
              </w:rPr>
            </w:pPr>
          </w:p>
        </w:tc>
        <w:tc>
          <w:tcPr>
            <w:tcW w:w="3969" w:type="dxa"/>
          </w:tcPr>
          <w:p w:rsidR="002D5215" w:rsidRPr="008D0CCA" w:rsidRDefault="002D5215" w:rsidP="00B729B4">
            <w:pPr>
              <w:rPr>
                <w:rFonts w:ascii="Arial" w:hAnsi="Arial" w:cs="Arial"/>
                <w:snapToGrid w:val="0"/>
                <w:sz w:val="20"/>
                <w:lang w:eastAsia="en-US"/>
              </w:rPr>
            </w:pPr>
            <w:r w:rsidRPr="008D0CCA">
              <w:rPr>
                <w:rFonts w:ascii="Arial" w:hAnsi="Arial" w:cs="Arial"/>
                <w:snapToGrid w:val="0"/>
                <w:sz w:val="20"/>
                <w:lang w:eastAsia="en-US"/>
              </w:rPr>
              <w:t xml:space="preserve">Comparator: Best supportive care (BSC) </w:t>
            </w:r>
          </w:p>
        </w:tc>
        <w:tc>
          <w:tcPr>
            <w:tcW w:w="5245" w:type="dxa"/>
          </w:tcPr>
          <w:p w:rsidR="002D5215" w:rsidRPr="008D0CCA" w:rsidRDefault="002D5215" w:rsidP="00F61C70">
            <w:pPr>
              <w:jc w:val="both"/>
              <w:rPr>
                <w:rFonts w:ascii="Arial" w:hAnsi="Arial" w:cs="Arial"/>
                <w:sz w:val="20"/>
                <w:highlight w:val="yellow"/>
              </w:rPr>
            </w:pPr>
            <w:r w:rsidRPr="008D0CCA">
              <w:rPr>
                <w:rFonts w:ascii="Arial" w:hAnsi="Arial" w:cs="Arial"/>
                <w:sz w:val="20"/>
              </w:rPr>
              <w:t xml:space="preserve">Accepted </w:t>
            </w:r>
          </w:p>
        </w:tc>
      </w:tr>
      <w:tr w:rsidR="002D5215" w:rsidRPr="008D0CCA" w:rsidTr="00F61C70">
        <w:trPr>
          <w:trHeight w:val="433"/>
        </w:trPr>
        <w:tc>
          <w:tcPr>
            <w:tcW w:w="2127" w:type="dxa"/>
            <w:vMerge/>
          </w:tcPr>
          <w:p w:rsidR="002D5215" w:rsidRPr="008D0CCA" w:rsidRDefault="002D5215" w:rsidP="00DA535C">
            <w:pPr>
              <w:rPr>
                <w:rFonts w:ascii="Arial" w:hAnsi="Arial" w:cs="Arial"/>
                <w:sz w:val="20"/>
              </w:rPr>
            </w:pPr>
          </w:p>
        </w:tc>
        <w:tc>
          <w:tcPr>
            <w:tcW w:w="2126" w:type="dxa"/>
            <w:vMerge/>
          </w:tcPr>
          <w:p w:rsidR="002D5215" w:rsidRPr="008D0CCA" w:rsidRDefault="002D5215" w:rsidP="00DA535C">
            <w:pPr>
              <w:rPr>
                <w:rFonts w:ascii="Arial" w:hAnsi="Arial" w:cs="Arial"/>
                <w:sz w:val="20"/>
              </w:rPr>
            </w:pPr>
          </w:p>
        </w:tc>
        <w:tc>
          <w:tcPr>
            <w:tcW w:w="1984" w:type="dxa"/>
            <w:vMerge/>
          </w:tcPr>
          <w:p w:rsidR="002D5215" w:rsidRPr="008D0CCA" w:rsidRDefault="002D5215" w:rsidP="00DA535C">
            <w:pPr>
              <w:rPr>
                <w:rFonts w:ascii="Arial" w:hAnsi="Arial" w:cs="Arial"/>
                <w:sz w:val="20"/>
              </w:rPr>
            </w:pPr>
          </w:p>
        </w:tc>
        <w:tc>
          <w:tcPr>
            <w:tcW w:w="3969" w:type="dxa"/>
          </w:tcPr>
          <w:p w:rsidR="00344F7D" w:rsidRPr="008D0CCA" w:rsidRDefault="002D5215" w:rsidP="00344F7D">
            <w:pPr>
              <w:rPr>
                <w:rFonts w:ascii="Arial" w:hAnsi="Arial" w:cs="Arial"/>
                <w:snapToGrid w:val="0"/>
                <w:sz w:val="20"/>
                <w:lang w:eastAsia="en-US"/>
              </w:rPr>
            </w:pPr>
            <w:r w:rsidRPr="008D0CCA">
              <w:rPr>
                <w:rFonts w:ascii="Arial" w:hAnsi="Arial" w:cs="Arial"/>
                <w:snapToGrid w:val="0"/>
                <w:sz w:val="20"/>
                <w:lang w:eastAsia="en-US"/>
              </w:rPr>
              <w:t>Clinical claim:</w:t>
            </w:r>
            <w:r w:rsidRPr="008D0CCA">
              <w:rPr>
                <w:rFonts w:ascii="Arial" w:hAnsi="Arial" w:cs="Arial"/>
                <w:sz w:val="20"/>
              </w:rPr>
              <w:t xml:space="preserve"> </w:t>
            </w:r>
            <w:r w:rsidRPr="008D0CCA">
              <w:rPr>
                <w:rFonts w:ascii="Arial" w:hAnsi="Arial" w:cs="Arial"/>
                <w:snapToGrid w:val="0"/>
                <w:sz w:val="20"/>
                <w:lang w:eastAsia="en-US"/>
              </w:rPr>
              <w:t>Superior efficacy and inferior safety of trifluridine/tipiracil compared with BSC</w:t>
            </w:r>
            <w:r w:rsidR="00344F7D">
              <w:rPr>
                <w:rFonts w:ascii="Arial" w:hAnsi="Arial" w:cs="Arial"/>
                <w:snapToGrid w:val="0"/>
                <w:sz w:val="20"/>
                <w:lang w:eastAsia="en-US"/>
              </w:rPr>
              <w:t>.</w:t>
            </w:r>
          </w:p>
          <w:p w:rsidR="002D5215" w:rsidRPr="008D0CCA" w:rsidRDefault="002D5215" w:rsidP="00B729B4">
            <w:pPr>
              <w:rPr>
                <w:rFonts w:ascii="Arial" w:hAnsi="Arial" w:cs="Arial"/>
                <w:snapToGrid w:val="0"/>
                <w:sz w:val="20"/>
                <w:lang w:eastAsia="en-US"/>
              </w:rPr>
            </w:pPr>
            <w:r w:rsidRPr="008D0CCA">
              <w:rPr>
                <w:rFonts w:ascii="Arial" w:hAnsi="Arial" w:cs="Arial"/>
                <w:snapToGrid w:val="0"/>
                <w:sz w:val="20"/>
                <w:lang w:eastAsia="en-US"/>
              </w:rPr>
              <w:t xml:space="preserve"> </w:t>
            </w:r>
          </w:p>
        </w:tc>
        <w:tc>
          <w:tcPr>
            <w:tcW w:w="5245" w:type="dxa"/>
          </w:tcPr>
          <w:p w:rsidR="002D5215" w:rsidRPr="008D0CCA" w:rsidRDefault="002D5215" w:rsidP="00F61C70">
            <w:pPr>
              <w:jc w:val="both"/>
              <w:rPr>
                <w:rFonts w:ascii="Arial" w:hAnsi="Arial" w:cs="Arial"/>
                <w:sz w:val="20"/>
                <w:highlight w:val="yellow"/>
              </w:rPr>
            </w:pPr>
            <w:r w:rsidRPr="008D0CCA">
              <w:rPr>
                <w:rFonts w:ascii="Arial" w:hAnsi="Arial" w:cs="Arial"/>
                <w:sz w:val="20"/>
              </w:rPr>
              <w:t>There was no change to the clinical claim from March 2017 resubmission. The PBAC previously accepted the claim of superior comparative effectiveness and inferior safety. However the PBAC considered the magnitude of benefit to be modest.</w:t>
            </w:r>
          </w:p>
        </w:tc>
      </w:tr>
      <w:tr w:rsidR="002D5215" w:rsidRPr="008D0CCA" w:rsidTr="00F61C70">
        <w:trPr>
          <w:trHeight w:val="433"/>
        </w:trPr>
        <w:tc>
          <w:tcPr>
            <w:tcW w:w="2127" w:type="dxa"/>
            <w:vMerge/>
          </w:tcPr>
          <w:p w:rsidR="002D5215" w:rsidRPr="008D0CCA" w:rsidRDefault="002D5215" w:rsidP="00DA535C">
            <w:pPr>
              <w:rPr>
                <w:rFonts w:ascii="Arial" w:hAnsi="Arial" w:cs="Arial"/>
                <w:sz w:val="20"/>
              </w:rPr>
            </w:pPr>
          </w:p>
        </w:tc>
        <w:tc>
          <w:tcPr>
            <w:tcW w:w="2126" w:type="dxa"/>
            <w:vMerge/>
          </w:tcPr>
          <w:p w:rsidR="002D5215" w:rsidRPr="008D0CCA" w:rsidRDefault="002D5215" w:rsidP="00DA535C">
            <w:pPr>
              <w:rPr>
                <w:rFonts w:ascii="Arial" w:hAnsi="Arial" w:cs="Arial"/>
                <w:sz w:val="20"/>
              </w:rPr>
            </w:pPr>
          </w:p>
        </w:tc>
        <w:tc>
          <w:tcPr>
            <w:tcW w:w="1984" w:type="dxa"/>
            <w:vMerge/>
          </w:tcPr>
          <w:p w:rsidR="002D5215" w:rsidRPr="008D0CCA" w:rsidRDefault="002D5215" w:rsidP="00DA535C">
            <w:pPr>
              <w:rPr>
                <w:rFonts w:ascii="Arial" w:hAnsi="Arial" w:cs="Arial"/>
                <w:sz w:val="20"/>
              </w:rPr>
            </w:pPr>
          </w:p>
        </w:tc>
        <w:tc>
          <w:tcPr>
            <w:tcW w:w="3969" w:type="dxa"/>
          </w:tcPr>
          <w:p w:rsidR="002D5215" w:rsidRPr="008D0CCA" w:rsidRDefault="002D5215" w:rsidP="00B729B4">
            <w:pPr>
              <w:rPr>
                <w:rFonts w:ascii="Arial" w:hAnsi="Arial" w:cs="Arial"/>
                <w:snapToGrid w:val="0"/>
                <w:sz w:val="20"/>
                <w:lang w:eastAsia="en-US"/>
              </w:rPr>
            </w:pPr>
            <w:r w:rsidRPr="008D0CCA">
              <w:rPr>
                <w:rFonts w:ascii="Arial" w:hAnsi="Arial" w:cs="Arial"/>
                <w:snapToGrid w:val="0"/>
                <w:sz w:val="20"/>
                <w:lang w:eastAsia="en-US"/>
              </w:rPr>
              <w:t>Economic claim:</w:t>
            </w:r>
            <w:r w:rsidRPr="008D0CCA">
              <w:rPr>
                <w:rFonts w:ascii="Arial" w:hAnsi="Arial" w:cs="Arial"/>
                <w:sz w:val="20"/>
              </w:rPr>
              <w:t xml:space="preserve"> </w:t>
            </w:r>
            <w:r w:rsidRPr="008D0CCA">
              <w:rPr>
                <w:rFonts w:ascii="Arial" w:hAnsi="Arial" w:cs="Arial"/>
                <w:snapToGrid w:val="0"/>
                <w:sz w:val="20"/>
                <w:lang w:eastAsia="en-US"/>
              </w:rPr>
              <w:t>Cost-utility analysis of trifluridine/tipiracil</w:t>
            </w:r>
          </w:p>
          <w:p w:rsidR="002D5215" w:rsidRPr="008D0CCA" w:rsidRDefault="002D5215" w:rsidP="00B729B4">
            <w:pPr>
              <w:rPr>
                <w:rFonts w:ascii="Arial" w:hAnsi="Arial" w:cs="Arial"/>
                <w:snapToGrid w:val="0"/>
                <w:sz w:val="20"/>
                <w:lang w:eastAsia="en-US"/>
              </w:rPr>
            </w:pPr>
            <w:r w:rsidRPr="008D0CCA">
              <w:rPr>
                <w:rFonts w:ascii="Arial" w:hAnsi="Arial" w:cs="Arial"/>
                <w:snapToGrid w:val="0"/>
                <w:sz w:val="20"/>
                <w:lang w:eastAsia="en-US"/>
              </w:rPr>
              <w:t>Cost-utility analysis of trifluridine/tipiracil</w:t>
            </w:r>
          </w:p>
        </w:tc>
        <w:tc>
          <w:tcPr>
            <w:tcW w:w="5245" w:type="dxa"/>
          </w:tcPr>
          <w:p w:rsidR="002D5215" w:rsidRPr="008D0CCA" w:rsidRDefault="002D5215" w:rsidP="00F61C70">
            <w:pPr>
              <w:contextualSpacing/>
              <w:jc w:val="both"/>
              <w:rPr>
                <w:rFonts w:ascii="Arial" w:hAnsi="Arial" w:cs="Arial"/>
                <w:sz w:val="20"/>
                <w:highlight w:val="yellow"/>
              </w:rPr>
            </w:pPr>
            <w:r w:rsidRPr="008D0CCA">
              <w:rPr>
                <w:rFonts w:ascii="Arial" w:hAnsi="Arial" w:cs="Arial"/>
                <w:sz w:val="20"/>
              </w:rPr>
              <w:t xml:space="preserve">The PBAC noted that incorporating the proposed reduced price for trifluridine/tipiracil resulted in an </w:t>
            </w:r>
            <w:r w:rsidR="008D0CCA">
              <w:rPr>
                <w:rFonts w:ascii="Arial" w:hAnsi="Arial" w:cs="Arial"/>
                <w:sz w:val="20"/>
              </w:rPr>
              <w:t>i</w:t>
            </w:r>
            <w:r w:rsidRPr="008D0CCA">
              <w:rPr>
                <w:rFonts w:ascii="Arial" w:hAnsi="Arial" w:cs="Arial"/>
                <w:sz w:val="20"/>
              </w:rPr>
              <w:t xml:space="preserve">ncremental </w:t>
            </w:r>
            <w:r w:rsidR="008D0CCA">
              <w:rPr>
                <w:rFonts w:ascii="Arial" w:hAnsi="Arial" w:cs="Arial"/>
                <w:sz w:val="20"/>
              </w:rPr>
              <w:t>c</w:t>
            </w:r>
            <w:r w:rsidRPr="008D0CCA">
              <w:rPr>
                <w:rFonts w:ascii="Arial" w:hAnsi="Arial" w:cs="Arial"/>
                <w:sz w:val="20"/>
              </w:rPr>
              <w:t>ost-</w:t>
            </w:r>
            <w:r w:rsidR="008D0CCA">
              <w:rPr>
                <w:rFonts w:ascii="Arial" w:hAnsi="Arial" w:cs="Arial"/>
                <w:sz w:val="20"/>
              </w:rPr>
              <w:t>e</w:t>
            </w:r>
            <w:r w:rsidRPr="008D0CCA">
              <w:rPr>
                <w:rFonts w:ascii="Arial" w:hAnsi="Arial" w:cs="Arial"/>
                <w:sz w:val="20"/>
              </w:rPr>
              <w:t xml:space="preserve">ffectiveness </w:t>
            </w:r>
            <w:r w:rsidR="008D0CCA">
              <w:rPr>
                <w:rFonts w:ascii="Arial" w:hAnsi="Arial" w:cs="Arial"/>
                <w:sz w:val="20"/>
              </w:rPr>
              <w:t>r</w:t>
            </w:r>
            <w:r w:rsidRPr="008D0CCA">
              <w:rPr>
                <w:rFonts w:ascii="Arial" w:hAnsi="Arial" w:cs="Arial"/>
                <w:sz w:val="20"/>
              </w:rPr>
              <w:t xml:space="preserve">atio (ICER) lower than that presented in the previous July 2017 submission. The PBAC considered that the analysis did not adequately account for PBS patients being likely to have additional and/or more extensive comorbidities compared with the trial patients.  </w:t>
            </w:r>
          </w:p>
        </w:tc>
      </w:tr>
      <w:tr w:rsidR="002D5215" w:rsidRPr="008D0CCA" w:rsidTr="00F61C70">
        <w:trPr>
          <w:trHeight w:val="433"/>
        </w:trPr>
        <w:tc>
          <w:tcPr>
            <w:tcW w:w="2127" w:type="dxa"/>
            <w:vMerge/>
          </w:tcPr>
          <w:p w:rsidR="002D5215" w:rsidRPr="008D0CCA" w:rsidRDefault="002D5215" w:rsidP="00DA535C">
            <w:pPr>
              <w:rPr>
                <w:rFonts w:ascii="Arial" w:hAnsi="Arial" w:cs="Arial"/>
                <w:sz w:val="20"/>
              </w:rPr>
            </w:pPr>
          </w:p>
        </w:tc>
        <w:tc>
          <w:tcPr>
            <w:tcW w:w="2126" w:type="dxa"/>
            <w:vMerge/>
          </w:tcPr>
          <w:p w:rsidR="002D5215" w:rsidRPr="008D0CCA" w:rsidRDefault="002D5215" w:rsidP="00DA535C">
            <w:pPr>
              <w:rPr>
                <w:rFonts w:ascii="Arial" w:hAnsi="Arial" w:cs="Arial"/>
                <w:sz w:val="20"/>
              </w:rPr>
            </w:pPr>
          </w:p>
        </w:tc>
        <w:tc>
          <w:tcPr>
            <w:tcW w:w="1984" w:type="dxa"/>
            <w:vMerge/>
          </w:tcPr>
          <w:p w:rsidR="002D5215" w:rsidRPr="008D0CCA" w:rsidRDefault="002D5215" w:rsidP="00DA535C">
            <w:pPr>
              <w:rPr>
                <w:rFonts w:ascii="Arial" w:hAnsi="Arial" w:cs="Arial"/>
                <w:sz w:val="20"/>
              </w:rPr>
            </w:pPr>
          </w:p>
        </w:tc>
        <w:tc>
          <w:tcPr>
            <w:tcW w:w="3969" w:type="dxa"/>
          </w:tcPr>
          <w:p w:rsidR="002D5215" w:rsidRPr="008D0CCA" w:rsidRDefault="002D5215" w:rsidP="00DA535C">
            <w:pPr>
              <w:pStyle w:val="ListBullet"/>
            </w:pPr>
            <w:r w:rsidRPr="008D0CCA">
              <w:t>Sponsor’s comments:</w:t>
            </w:r>
          </w:p>
          <w:p w:rsidR="002D5215" w:rsidRPr="008D0CCA" w:rsidRDefault="002D5215" w:rsidP="00DA535C">
            <w:pPr>
              <w:pStyle w:val="ListBullet"/>
            </w:pPr>
          </w:p>
        </w:tc>
        <w:tc>
          <w:tcPr>
            <w:tcW w:w="5245" w:type="dxa"/>
          </w:tcPr>
          <w:p w:rsidR="002D5215" w:rsidRPr="008D0CCA" w:rsidRDefault="003415EF" w:rsidP="00F61C70">
            <w:pPr>
              <w:jc w:val="both"/>
              <w:rPr>
                <w:rFonts w:ascii="Arial" w:hAnsi="Arial" w:cs="Arial"/>
                <w:sz w:val="20"/>
                <w:highlight w:val="yellow"/>
              </w:rPr>
            </w:pPr>
            <w:r>
              <w:rPr>
                <w:rFonts w:ascii="Arial" w:hAnsi="Arial" w:cs="Arial"/>
                <w:sz w:val="20"/>
              </w:rPr>
              <w:t>The Sponsor had no comment.</w:t>
            </w:r>
          </w:p>
        </w:tc>
      </w:tr>
    </w:tbl>
    <w:p w:rsidR="0078027D" w:rsidRPr="0010394D" w:rsidRDefault="0078027D" w:rsidP="005948E2">
      <w:pPr>
        <w:pStyle w:val="Title"/>
        <w:jc w:val="left"/>
      </w:pPr>
    </w:p>
    <w:sectPr w:rsidR="0078027D" w:rsidRPr="0010394D" w:rsidSect="00853C13">
      <w:headerReference w:type="default" r:id="rId9"/>
      <w:footerReference w:type="default" r:id="rId10"/>
      <w:headerReference w:type="first" r:id="rId11"/>
      <w:footerReference w:type="first" r:id="rId12"/>
      <w:pgSz w:w="16840" w:h="11907" w:orient="landscape" w:code="9"/>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9C9" w:rsidRDefault="003419C9">
      <w:r>
        <w:separator/>
      </w:r>
    </w:p>
  </w:endnote>
  <w:endnote w:type="continuationSeparator" w:id="0">
    <w:p w:rsidR="003419C9" w:rsidRDefault="00341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5C6" w:rsidRDefault="000805C6" w:rsidP="000805C6">
    <w:pPr>
      <w:pStyle w:val="Footer"/>
      <w:jc w:val="right"/>
    </w:pPr>
  </w:p>
  <w:p w:rsidR="000805C6" w:rsidRPr="000805C6" w:rsidRDefault="000805C6" w:rsidP="000805C6">
    <w:pPr>
      <w:pStyle w:val="Footer"/>
      <w:jc w:val="right"/>
      <w:rPr>
        <w:rFonts w:ascii="Arial" w:hAnsi="Arial" w:cs="Arial"/>
        <w:sz w:val="22"/>
      </w:rPr>
    </w:pPr>
    <w:r w:rsidRPr="000805C6">
      <w:rPr>
        <w:rFonts w:ascii="Arial" w:hAnsi="Arial" w:cs="Arial"/>
        <w:sz w:val="22"/>
      </w:rPr>
      <w:fldChar w:fldCharType="begin"/>
    </w:r>
    <w:r w:rsidRPr="000805C6">
      <w:rPr>
        <w:rFonts w:ascii="Arial" w:hAnsi="Arial" w:cs="Arial"/>
        <w:sz w:val="22"/>
      </w:rPr>
      <w:instrText xml:space="preserve"> PAGE   \* MERGEFORMAT </w:instrText>
    </w:r>
    <w:r w:rsidRPr="000805C6">
      <w:rPr>
        <w:rFonts w:ascii="Arial" w:hAnsi="Arial" w:cs="Arial"/>
        <w:sz w:val="22"/>
      </w:rPr>
      <w:fldChar w:fldCharType="separate"/>
    </w:r>
    <w:r w:rsidR="000C4095">
      <w:rPr>
        <w:rFonts w:ascii="Arial" w:hAnsi="Arial" w:cs="Arial"/>
        <w:noProof/>
        <w:sz w:val="22"/>
      </w:rPr>
      <w:t>1</w:t>
    </w:r>
    <w:r w:rsidRPr="000805C6">
      <w:rPr>
        <w:rFonts w:ascii="Arial" w:hAnsi="Arial" w:cs="Arial"/>
        <w:noProof/>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5C6" w:rsidRDefault="000805C6">
    <w:pPr>
      <w:pStyle w:val="Footer"/>
      <w:jc w:val="right"/>
    </w:pPr>
  </w:p>
  <w:p w:rsidR="000805C6" w:rsidRPr="000805C6" w:rsidRDefault="000805C6">
    <w:pPr>
      <w:pStyle w:val="Footer"/>
      <w:jc w:val="right"/>
      <w:rPr>
        <w:rFonts w:ascii="Arial" w:hAnsi="Arial" w:cs="Arial"/>
        <w:sz w:val="22"/>
      </w:rPr>
    </w:pPr>
    <w:r w:rsidRPr="000805C6">
      <w:rPr>
        <w:rFonts w:ascii="Arial" w:hAnsi="Arial" w:cs="Arial"/>
        <w:sz w:val="22"/>
      </w:rPr>
      <w:fldChar w:fldCharType="begin"/>
    </w:r>
    <w:r w:rsidRPr="000805C6">
      <w:rPr>
        <w:rFonts w:ascii="Arial" w:hAnsi="Arial" w:cs="Arial"/>
        <w:sz w:val="22"/>
      </w:rPr>
      <w:instrText xml:space="preserve"> PAGE   \* MERGEFORMAT </w:instrText>
    </w:r>
    <w:r w:rsidRPr="000805C6">
      <w:rPr>
        <w:rFonts w:ascii="Arial" w:hAnsi="Arial" w:cs="Arial"/>
        <w:sz w:val="22"/>
      </w:rPr>
      <w:fldChar w:fldCharType="separate"/>
    </w:r>
    <w:r w:rsidR="00853C13">
      <w:rPr>
        <w:rFonts w:ascii="Arial" w:hAnsi="Arial" w:cs="Arial"/>
        <w:noProof/>
        <w:sz w:val="22"/>
      </w:rPr>
      <w:t>1</w:t>
    </w:r>
    <w:r w:rsidRPr="000805C6">
      <w:rPr>
        <w:rFonts w:ascii="Arial" w:hAnsi="Arial" w:cs="Arial"/>
        <w:noProof/>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9C9" w:rsidRDefault="003419C9">
      <w:r>
        <w:separator/>
      </w:r>
    </w:p>
  </w:footnote>
  <w:footnote w:type="continuationSeparator" w:id="0">
    <w:p w:rsidR="003419C9" w:rsidRDefault="003419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5C6" w:rsidRDefault="000805C6" w:rsidP="000805C6">
    <w:pPr>
      <w:pStyle w:val="Header"/>
      <w:jc w:val="center"/>
      <w:rPr>
        <w:rFonts w:ascii="Arial" w:hAnsi="Arial" w:cs="Arial"/>
        <w:b/>
        <w:sz w:val="20"/>
      </w:rPr>
    </w:pPr>
    <w:r w:rsidRPr="004C071C">
      <w:rPr>
        <w:rFonts w:ascii="Arial" w:hAnsi="Arial" w:cs="Arial"/>
        <w:b/>
        <w:sz w:val="20"/>
      </w:rPr>
      <w:t>N</w:t>
    </w:r>
    <w:r>
      <w:rPr>
        <w:rFonts w:ascii="Arial" w:hAnsi="Arial" w:cs="Arial"/>
        <w:b/>
        <w:sz w:val="20"/>
      </w:rPr>
      <w:t>OVEMBER 201</w:t>
    </w:r>
    <w:r w:rsidR="00853C13">
      <w:rPr>
        <w:rFonts w:ascii="Arial" w:hAnsi="Arial" w:cs="Arial"/>
        <w:b/>
        <w:sz w:val="20"/>
      </w:rPr>
      <w:t>7</w:t>
    </w:r>
    <w:r>
      <w:rPr>
        <w:rFonts w:ascii="Arial" w:hAnsi="Arial" w:cs="Arial"/>
        <w:b/>
        <w:sz w:val="20"/>
      </w:rPr>
      <w:t xml:space="preserve"> PBAC OUTCOMES – SUBSEQUENT</w:t>
    </w:r>
    <w:r w:rsidRPr="004C071C">
      <w:rPr>
        <w:rFonts w:ascii="Arial" w:hAnsi="Arial" w:cs="Arial"/>
        <w:b/>
        <w:sz w:val="20"/>
      </w:rPr>
      <w:t xml:space="preserve"> DECISIONS NOT TO RECOMMEND</w:t>
    </w:r>
  </w:p>
  <w:p w:rsidR="000805C6" w:rsidRPr="004C071C" w:rsidRDefault="000805C6" w:rsidP="000805C6">
    <w:pPr>
      <w:pStyle w:val="Header"/>
      <w:jc w:val="center"/>
      <w:rPr>
        <w:rFonts w:ascii="Arial" w:hAnsi="Arial" w:cs="Arial"/>
        <w:b/>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975" w:rsidRDefault="00100024" w:rsidP="00613975">
    <w:pPr>
      <w:pStyle w:val="Header"/>
      <w:jc w:val="center"/>
      <w:rPr>
        <w:rFonts w:ascii="Arial" w:hAnsi="Arial" w:cs="Arial"/>
        <w:b/>
        <w:sz w:val="20"/>
      </w:rPr>
    </w:pPr>
    <w:r>
      <w:rPr>
        <w:rFonts w:ascii="Arial" w:hAnsi="Arial" w:cs="Arial"/>
        <w:b/>
        <w:sz w:val="20"/>
      </w:rPr>
      <w:t>NOVEMBER 2017</w:t>
    </w:r>
    <w:r w:rsidR="00A24F2E" w:rsidRPr="00A24F2E">
      <w:rPr>
        <w:rFonts w:ascii="Arial" w:hAnsi="Arial" w:cs="Arial"/>
        <w:b/>
        <w:sz w:val="20"/>
      </w:rPr>
      <w:t xml:space="preserve"> PBAC MEETING </w:t>
    </w:r>
    <w:r w:rsidR="000805C6">
      <w:rPr>
        <w:rFonts w:ascii="Arial" w:hAnsi="Arial" w:cs="Arial"/>
        <w:b/>
        <w:sz w:val="20"/>
      </w:rPr>
      <w:t>PBAC OUTCOMES – SUBSEQUENT</w:t>
    </w:r>
    <w:r w:rsidR="00613975" w:rsidRPr="004C071C">
      <w:rPr>
        <w:rFonts w:ascii="Arial" w:hAnsi="Arial" w:cs="Arial"/>
        <w:b/>
        <w:sz w:val="20"/>
      </w:rPr>
      <w:t xml:space="preserve"> DECISION</w:t>
    </w:r>
    <w:r w:rsidR="00B10521" w:rsidRPr="004C071C">
      <w:rPr>
        <w:rFonts w:ascii="Arial" w:hAnsi="Arial" w:cs="Arial"/>
        <w:b/>
        <w:sz w:val="20"/>
      </w:rPr>
      <w:t>S</w:t>
    </w:r>
    <w:r w:rsidR="00613975" w:rsidRPr="004C071C">
      <w:rPr>
        <w:rFonts w:ascii="Arial" w:hAnsi="Arial" w:cs="Arial"/>
        <w:b/>
        <w:sz w:val="20"/>
      </w:rPr>
      <w:t xml:space="preserve"> NOT TO RECOMMEND</w:t>
    </w:r>
  </w:p>
  <w:p w:rsidR="000805C6" w:rsidRPr="004C071C" w:rsidRDefault="000805C6" w:rsidP="00613975">
    <w:pPr>
      <w:pStyle w:val="Header"/>
      <w:jc w:val="center"/>
      <w:rPr>
        <w:rFonts w:ascii="Arial" w:hAnsi="Arial" w:cs="Arial"/>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34204E4"/>
    <w:lvl w:ilvl="0">
      <w:start w:val="1"/>
      <w:numFmt w:val="bullet"/>
      <w:lvlText w:val=""/>
      <w:lvlJc w:val="left"/>
      <w:pPr>
        <w:tabs>
          <w:tab w:val="num" w:pos="360"/>
        </w:tabs>
        <w:ind w:left="360" w:hanging="360"/>
      </w:pPr>
      <w:rPr>
        <w:rFonts w:ascii="Symbol" w:hAnsi="Symbol" w:hint="default"/>
      </w:rPr>
    </w:lvl>
  </w:abstractNum>
  <w:abstractNum w:abstractNumId="1">
    <w:nsid w:val="01AF48C7"/>
    <w:multiLevelType w:val="multilevel"/>
    <w:tmpl w:val="8E7CCC0E"/>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EA32E10"/>
    <w:multiLevelType w:val="hybridMultilevel"/>
    <w:tmpl w:val="A380E6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BF12DE7"/>
    <w:multiLevelType w:val="hybridMultilevel"/>
    <w:tmpl w:val="C78E1162"/>
    <w:lvl w:ilvl="0" w:tplc="FFFFFFFF">
      <w:start w:val="1"/>
      <w:numFmt w:val="bullet"/>
      <w:lvlText w:val=""/>
      <w:lvlJc w:val="left"/>
      <w:pPr>
        <w:tabs>
          <w:tab w:val="num" w:pos="1211"/>
        </w:tabs>
        <w:ind w:left="1211" w:hanging="851"/>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1BFE1CB1"/>
    <w:multiLevelType w:val="hybridMultilevel"/>
    <w:tmpl w:val="CDC21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5BB3FC9"/>
    <w:multiLevelType w:val="hybridMultilevel"/>
    <w:tmpl w:val="753CD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84E6825"/>
    <w:multiLevelType w:val="multilevel"/>
    <w:tmpl w:val="3AE4C8F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2E93696D"/>
    <w:multiLevelType w:val="hybridMultilevel"/>
    <w:tmpl w:val="6F4A0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0E45B9D"/>
    <w:multiLevelType w:val="hybridMultilevel"/>
    <w:tmpl w:val="B6CAE3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3532F5D"/>
    <w:multiLevelType w:val="hybridMultilevel"/>
    <w:tmpl w:val="9048B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C9C6F2B"/>
    <w:multiLevelType w:val="hybridMultilevel"/>
    <w:tmpl w:val="4D122A7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498414F6"/>
    <w:multiLevelType w:val="hybridMultilevel"/>
    <w:tmpl w:val="5E1A6990"/>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2">
    <w:nsid w:val="61A41D69"/>
    <w:multiLevelType w:val="singleLevel"/>
    <w:tmpl w:val="04090011"/>
    <w:lvl w:ilvl="0">
      <w:start w:val="1"/>
      <w:numFmt w:val="decimal"/>
      <w:lvlText w:val="%1)"/>
      <w:lvlJc w:val="left"/>
      <w:pPr>
        <w:tabs>
          <w:tab w:val="num" w:pos="360"/>
        </w:tabs>
        <w:ind w:left="360" w:hanging="360"/>
      </w:pPr>
      <w:rPr>
        <w:rFonts w:hint="default"/>
      </w:rPr>
    </w:lvl>
  </w:abstractNum>
  <w:abstractNum w:abstractNumId="13">
    <w:nsid w:val="784D033C"/>
    <w:multiLevelType w:val="multilevel"/>
    <w:tmpl w:val="F942F08E"/>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7B3A2D42"/>
    <w:multiLevelType w:val="hybridMultilevel"/>
    <w:tmpl w:val="F48A12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C494AEE"/>
    <w:multiLevelType w:val="hybridMultilevel"/>
    <w:tmpl w:val="C69AAD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12"/>
  </w:num>
  <w:num w:numId="3">
    <w:abstractNumId w:val="11"/>
  </w:num>
  <w:num w:numId="4">
    <w:abstractNumId w:val="10"/>
  </w:num>
  <w:num w:numId="5">
    <w:abstractNumId w:val="3"/>
  </w:num>
  <w:num w:numId="6">
    <w:abstractNumId w:val="13"/>
  </w:num>
  <w:num w:numId="7">
    <w:abstractNumId w:val="8"/>
  </w:num>
  <w:num w:numId="8">
    <w:abstractNumId w:val="4"/>
  </w:num>
  <w:num w:numId="9">
    <w:abstractNumId w:val="2"/>
  </w:num>
  <w:num w:numId="10">
    <w:abstractNumId w:val="9"/>
  </w:num>
  <w:num w:numId="11">
    <w:abstractNumId w:val="5"/>
  </w:num>
  <w:num w:numId="12">
    <w:abstractNumId w:val="14"/>
  </w:num>
  <w:num w:numId="13">
    <w:abstractNumId w:val="15"/>
  </w:num>
  <w:num w:numId="14">
    <w:abstractNumId w:val="6"/>
  </w:num>
  <w:num w:numId="15">
    <w:abstractNumId w:val="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27D"/>
    <w:rsid w:val="0000028A"/>
    <w:rsid w:val="0001162E"/>
    <w:rsid w:val="00014389"/>
    <w:rsid w:val="00016ABD"/>
    <w:rsid w:val="00024634"/>
    <w:rsid w:val="00024F1C"/>
    <w:rsid w:val="00030555"/>
    <w:rsid w:val="00031E49"/>
    <w:rsid w:val="00046D30"/>
    <w:rsid w:val="00060BDC"/>
    <w:rsid w:val="000632B7"/>
    <w:rsid w:val="00063F01"/>
    <w:rsid w:val="000703F3"/>
    <w:rsid w:val="000805C6"/>
    <w:rsid w:val="0009305C"/>
    <w:rsid w:val="000B4313"/>
    <w:rsid w:val="000B6738"/>
    <w:rsid w:val="000C4095"/>
    <w:rsid w:val="000D1304"/>
    <w:rsid w:val="000D3717"/>
    <w:rsid w:val="000E406F"/>
    <w:rsid w:val="000E52C4"/>
    <w:rsid w:val="00100024"/>
    <w:rsid w:val="0010394D"/>
    <w:rsid w:val="001047FA"/>
    <w:rsid w:val="00120488"/>
    <w:rsid w:val="00144E78"/>
    <w:rsid w:val="00146698"/>
    <w:rsid w:val="00170906"/>
    <w:rsid w:val="001810B2"/>
    <w:rsid w:val="001C0908"/>
    <w:rsid w:val="001D38D0"/>
    <w:rsid w:val="001F5344"/>
    <w:rsid w:val="002007BA"/>
    <w:rsid w:val="00204DB4"/>
    <w:rsid w:val="002075FB"/>
    <w:rsid w:val="00220228"/>
    <w:rsid w:val="00220C3F"/>
    <w:rsid w:val="00223C4D"/>
    <w:rsid w:val="00237031"/>
    <w:rsid w:val="00241E9E"/>
    <w:rsid w:val="002440EA"/>
    <w:rsid w:val="002460D4"/>
    <w:rsid w:val="00255313"/>
    <w:rsid w:val="00256ACE"/>
    <w:rsid w:val="00261171"/>
    <w:rsid w:val="002743B5"/>
    <w:rsid w:val="00283041"/>
    <w:rsid w:val="002861D6"/>
    <w:rsid w:val="00287BC5"/>
    <w:rsid w:val="002A1CF2"/>
    <w:rsid w:val="002A42C5"/>
    <w:rsid w:val="002A46E6"/>
    <w:rsid w:val="002A5152"/>
    <w:rsid w:val="002A7FDE"/>
    <w:rsid w:val="002D5215"/>
    <w:rsid w:val="002E5B33"/>
    <w:rsid w:val="002F0F71"/>
    <w:rsid w:val="002F5086"/>
    <w:rsid w:val="002F62A6"/>
    <w:rsid w:val="00302B1F"/>
    <w:rsid w:val="00303527"/>
    <w:rsid w:val="00305656"/>
    <w:rsid w:val="00312E87"/>
    <w:rsid w:val="00320F76"/>
    <w:rsid w:val="00322CA5"/>
    <w:rsid w:val="003335F7"/>
    <w:rsid w:val="00337EC3"/>
    <w:rsid w:val="003415EF"/>
    <w:rsid w:val="003419C9"/>
    <w:rsid w:val="00344F7D"/>
    <w:rsid w:val="00347546"/>
    <w:rsid w:val="00367CA3"/>
    <w:rsid w:val="00380699"/>
    <w:rsid w:val="0039594A"/>
    <w:rsid w:val="0039641E"/>
    <w:rsid w:val="003B6CFA"/>
    <w:rsid w:val="003C3492"/>
    <w:rsid w:val="003E2DEC"/>
    <w:rsid w:val="003E3C69"/>
    <w:rsid w:val="003E5ACC"/>
    <w:rsid w:val="003F12A1"/>
    <w:rsid w:val="003F7763"/>
    <w:rsid w:val="00401F5B"/>
    <w:rsid w:val="00403549"/>
    <w:rsid w:val="004074CD"/>
    <w:rsid w:val="00416C9D"/>
    <w:rsid w:val="00422B04"/>
    <w:rsid w:val="0043706A"/>
    <w:rsid w:val="00446F57"/>
    <w:rsid w:val="0044777F"/>
    <w:rsid w:val="00467522"/>
    <w:rsid w:val="00475539"/>
    <w:rsid w:val="00477C5E"/>
    <w:rsid w:val="004874F1"/>
    <w:rsid w:val="0049673E"/>
    <w:rsid w:val="004968F4"/>
    <w:rsid w:val="004A7506"/>
    <w:rsid w:val="004A76AD"/>
    <w:rsid w:val="004B42E8"/>
    <w:rsid w:val="004C071C"/>
    <w:rsid w:val="004C0A09"/>
    <w:rsid w:val="004C3700"/>
    <w:rsid w:val="004D08BF"/>
    <w:rsid w:val="004D2DFC"/>
    <w:rsid w:val="004E4BB3"/>
    <w:rsid w:val="004E58AE"/>
    <w:rsid w:val="004E61E5"/>
    <w:rsid w:val="004E7F92"/>
    <w:rsid w:val="004F22AF"/>
    <w:rsid w:val="004F53A2"/>
    <w:rsid w:val="00503F31"/>
    <w:rsid w:val="005060C3"/>
    <w:rsid w:val="005156A1"/>
    <w:rsid w:val="00524927"/>
    <w:rsid w:val="005334F6"/>
    <w:rsid w:val="00533EC6"/>
    <w:rsid w:val="00551121"/>
    <w:rsid w:val="00556A91"/>
    <w:rsid w:val="0056006F"/>
    <w:rsid w:val="00565922"/>
    <w:rsid w:val="00575B97"/>
    <w:rsid w:val="00583A1F"/>
    <w:rsid w:val="00591511"/>
    <w:rsid w:val="005948E2"/>
    <w:rsid w:val="005A4700"/>
    <w:rsid w:val="005B1359"/>
    <w:rsid w:val="005C51C0"/>
    <w:rsid w:val="005C529C"/>
    <w:rsid w:val="005C583B"/>
    <w:rsid w:val="005C63E0"/>
    <w:rsid w:val="005D0350"/>
    <w:rsid w:val="005E4432"/>
    <w:rsid w:val="005E7C18"/>
    <w:rsid w:val="00606B1D"/>
    <w:rsid w:val="00613975"/>
    <w:rsid w:val="0062060A"/>
    <w:rsid w:val="006227C5"/>
    <w:rsid w:val="00636B27"/>
    <w:rsid w:val="0063770E"/>
    <w:rsid w:val="006378CF"/>
    <w:rsid w:val="00655D5C"/>
    <w:rsid w:val="00670168"/>
    <w:rsid w:val="00674FEC"/>
    <w:rsid w:val="00680915"/>
    <w:rsid w:val="00690AA4"/>
    <w:rsid w:val="00695D28"/>
    <w:rsid w:val="006A4BE8"/>
    <w:rsid w:val="006C196C"/>
    <w:rsid w:val="006C1CD8"/>
    <w:rsid w:val="006E0C7B"/>
    <w:rsid w:val="006E4FBA"/>
    <w:rsid w:val="006F3F91"/>
    <w:rsid w:val="006F40D1"/>
    <w:rsid w:val="00704ABF"/>
    <w:rsid w:val="00704E74"/>
    <w:rsid w:val="00720097"/>
    <w:rsid w:val="00735D52"/>
    <w:rsid w:val="00743998"/>
    <w:rsid w:val="00751128"/>
    <w:rsid w:val="0075364D"/>
    <w:rsid w:val="007572F6"/>
    <w:rsid w:val="007605AB"/>
    <w:rsid w:val="0076473F"/>
    <w:rsid w:val="00770B47"/>
    <w:rsid w:val="0078027D"/>
    <w:rsid w:val="00784382"/>
    <w:rsid w:val="0079164A"/>
    <w:rsid w:val="007A29FA"/>
    <w:rsid w:val="007A361E"/>
    <w:rsid w:val="007C0EDE"/>
    <w:rsid w:val="007D085A"/>
    <w:rsid w:val="007D44F0"/>
    <w:rsid w:val="007F4D1F"/>
    <w:rsid w:val="007F7F08"/>
    <w:rsid w:val="0080031A"/>
    <w:rsid w:val="0080046E"/>
    <w:rsid w:val="008068F2"/>
    <w:rsid w:val="00815D6B"/>
    <w:rsid w:val="0081702A"/>
    <w:rsid w:val="00821E75"/>
    <w:rsid w:val="00826000"/>
    <w:rsid w:val="00842F8C"/>
    <w:rsid w:val="00850073"/>
    <w:rsid w:val="00853C13"/>
    <w:rsid w:val="0086299E"/>
    <w:rsid w:val="0086603E"/>
    <w:rsid w:val="00883077"/>
    <w:rsid w:val="008A5929"/>
    <w:rsid w:val="008B0E22"/>
    <w:rsid w:val="008B7160"/>
    <w:rsid w:val="008C185A"/>
    <w:rsid w:val="008C6E23"/>
    <w:rsid w:val="008D0CCA"/>
    <w:rsid w:val="008D676E"/>
    <w:rsid w:val="008D72BA"/>
    <w:rsid w:val="008E0965"/>
    <w:rsid w:val="009014E2"/>
    <w:rsid w:val="009044AF"/>
    <w:rsid w:val="009224BE"/>
    <w:rsid w:val="00924932"/>
    <w:rsid w:val="00926BBF"/>
    <w:rsid w:val="00934AD5"/>
    <w:rsid w:val="00947987"/>
    <w:rsid w:val="00957F9F"/>
    <w:rsid w:val="00972B1B"/>
    <w:rsid w:val="0098248A"/>
    <w:rsid w:val="009903EF"/>
    <w:rsid w:val="00991AFC"/>
    <w:rsid w:val="009967A2"/>
    <w:rsid w:val="009B2F04"/>
    <w:rsid w:val="009B6BB1"/>
    <w:rsid w:val="009B6E95"/>
    <w:rsid w:val="009B735A"/>
    <w:rsid w:val="009B7CBE"/>
    <w:rsid w:val="009C73A4"/>
    <w:rsid w:val="009C7FD0"/>
    <w:rsid w:val="009D1D30"/>
    <w:rsid w:val="009E299C"/>
    <w:rsid w:val="009E6539"/>
    <w:rsid w:val="009F0ED6"/>
    <w:rsid w:val="009F42BE"/>
    <w:rsid w:val="009F5E7E"/>
    <w:rsid w:val="00A02424"/>
    <w:rsid w:val="00A07C14"/>
    <w:rsid w:val="00A24F2E"/>
    <w:rsid w:val="00A26805"/>
    <w:rsid w:val="00A42D88"/>
    <w:rsid w:val="00A54D11"/>
    <w:rsid w:val="00A55002"/>
    <w:rsid w:val="00A56ED7"/>
    <w:rsid w:val="00A62091"/>
    <w:rsid w:val="00A62D7E"/>
    <w:rsid w:val="00A706C5"/>
    <w:rsid w:val="00A74BD3"/>
    <w:rsid w:val="00A90F44"/>
    <w:rsid w:val="00A913CA"/>
    <w:rsid w:val="00AD3357"/>
    <w:rsid w:val="00AE346B"/>
    <w:rsid w:val="00AE3F52"/>
    <w:rsid w:val="00AF4A3C"/>
    <w:rsid w:val="00B01740"/>
    <w:rsid w:val="00B10521"/>
    <w:rsid w:val="00B26FF7"/>
    <w:rsid w:val="00B31015"/>
    <w:rsid w:val="00B43E46"/>
    <w:rsid w:val="00B44CA8"/>
    <w:rsid w:val="00B77A97"/>
    <w:rsid w:val="00B80FE3"/>
    <w:rsid w:val="00B93B4A"/>
    <w:rsid w:val="00BC0474"/>
    <w:rsid w:val="00BC1FB7"/>
    <w:rsid w:val="00BC3F63"/>
    <w:rsid w:val="00BC55C3"/>
    <w:rsid w:val="00BD2203"/>
    <w:rsid w:val="00BD6EBF"/>
    <w:rsid w:val="00BE58B8"/>
    <w:rsid w:val="00BE7D88"/>
    <w:rsid w:val="00C110F0"/>
    <w:rsid w:val="00C16D96"/>
    <w:rsid w:val="00C2561B"/>
    <w:rsid w:val="00C26A1C"/>
    <w:rsid w:val="00C333D1"/>
    <w:rsid w:val="00C355A7"/>
    <w:rsid w:val="00C4326C"/>
    <w:rsid w:val="00C44762"/>
    <w:rsid w:val="00C464A5"/>
    <w:rsid w:val="00C822F1"/>
    <w:rsid w:val="00C9315F"/>
    <w:rsid w:val="00C9450F"/>
    <w:rsid w:val="00C94D2C"/>
    <w:rsid w:val="00CA0C65"/>
    <w:rsid w:val="00CA2B5C"/>
    <w:rsid w:val="00CD3345"/>
    <w:rsid w:val="00CE3D26"/>
    <w:rsid w:val="00CE3E9F"/>
    <w:rsid w:val="00D041FE"/>
    <w:rsid w:val="00D06895"/>
    <w:rsid w:val="00D230A2"/>
    <w:rsid w:val="00D3127D"/>
    <w:rsid w:val="00D40601"/>
    <w:rsid w:val="00D4464D"/>
    <w:rsid w:val="00D5330C"/>
    <w:rsid w:val="00D641C2"/>
    <w:rsid w:val="00D65DDC"/>
    <w:rsid w:val="00D70CFE"/>
    <w:rsid w:val="00D85166"/>
    <w:rsid w:val="00D901F8"/>
    <w:rsid w:val="00D905C6"/>
    <w:rsid w:val="00DA337C"/>
    <w:rsid w:val="00DB0BAD"/>
    <w:rsid w:val="00DB3394"/>
    <w:rsid w:val="00DB589E"/>
    <w:rsid w:val="00DB63C7"/>
    <w:rsid w:val="00DD5B1D"/>
    <w:rsid w:val="00DD66E2"/>
    <w:rsid w:val="00DE6421"/>
    <w:rsid w:val="00DE6C5F"/>
    <w:rsid w:val="00DF703C"/>
    <w:rsid w:val="00E0664F"/>
    <w:rsid w:val="00E16367"/>
    <w:rsid w:val="00E224FF"/>
    <w:rsid w:val="00E239BA"/>
    <w:rsid w:val="00E331E0"/>
    <w:rsid w:val="00E47E9A"/>
    <w:rsid w:val="00E508BC"/>
    <w:rsid w:val="00E60ACD"/>
    <w:rsid w:val="00E62D88"/>
    <w:rsid w:val="00E7686D"/>
    <w:rsid w:val="00E77EAA"/>
    <w:rsid w:val="00E86609"/>
    <w:rsid w:val="00EA02A3"/>
    <w:rsid w:val="00EA6994"/>
    <w:rsid w:val="00ED0EFA"/>
    <w:rsid w:val="00EE1E65"/>
    <w:rsid w:val="00EE5442"/>
    <w:rsid w:val="00EF026E"/>
    <w:rsid w:val="00F20487"/>
    <w:rsid w:val="00F215D2"/>
    <w:rsid w:val="00F23F38"/>
    <w:rsid w:val="00F25545"/>
    <w:rsid w:val="00F40665"/>
    <w:rsid w:val="00F43732"/>
    <w:rsid w:val="00F52E0A"/>
    <w:rsid w:val="00F61C70"/>
    <w:rsid w:val="00F72B54"/>
    <w:rsid w:val="00F75206"/>
    <w:rsid w:val="00F82673"/>
    <w:rsid w:val="00F83FA8"/>
    <w:rsid w:val="00F924D9"/>
    <w:rsid w:val="00FB02AB"/>
    <w:rsid w:val="00FC0CE0"/>
    <w:rsid w:val="00FC4900"/>
    <w:rsid w:val="00FD6C20"/>
    <w:rsid w:val="00FD7D78"/>
    <w:rsid w:val="00FE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7"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uiPriority w:val="1"/>
    <w:qFormat/>
    <w:pPr>
      <w:keepNext/>
      <w:outlineLvl w:val="0"/>
    </w:pPr>
    <w:rPr>
      <w:rFonts w:ascii="Arial" w:hAnsi="Arial"/>
      <w:b/>
      <w:sz w:val="20"/>
    </w:rPr>
  </w:style>
  <w:style w:type="paragraph" w:styleId="Heading8">
    <w:name w:val="heading 8"/>
    <w:basedOn w:val="Normal"/>
    <w:next w:val="Normal"/>
    <w:link w:val="Heading8Char"/>
    <w:uiPriority w:val="7"/>
    <w:unhideWhenUsed/>
    <w:qFormat/>
    <w:rsid w:val="00C822F1"/>
    <w:pPr>
      <w:keepNext/>
      <w:keepLines/>
      <w:spacing w:before="40"/>
      <w:ind w:left="1440" w:hanging="1440"/>
      <w:outlineLvl w:val="7"/>
    </w:pPr>
    <w:rPr>
      <w:rFonts w:ascii="Calibri Light" w:eastAsia="MS Gothic" w:hAnsi="Calibri Light"/>
      <w:color w:val="272727"/>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Bullet">
    <w:name w:val="List Bullet"/>
    <w:basedOn w:val="Normal"/>
    <w:autoRedefine/>
    <w:rsid w:val="000805C6"/>
    <w:rPr>
      <w:rFonts w:ascii="Arial" w:hAnsi="Arial" w:cs="Arial"/>
      <w:snapToGrid w:val="0"/>
      <w:sz w:val="20"/>
      <w:lang w:eastAsia="en-US"/>
    </w:rPr>
  </w:style>
  <w:style w:type="paragraph" w:styleId="BodyText">
    <w:name w:val="Body Text"/>
    <w:basedOn w:val="Normal"/>
    <w:rPr>
      <w:rFonts w:ascii="Arial" w:hAnsi="Arial"/>
      <w:sz w:val="20"/>
    </w:rPr>
  </w:style>
  <w:style w:type="paragraph" w:customStyle="1" w:styleId="PBSnormal">
    <w:name w:val="PBS normal"/>
    <w:basedOn w:val="Normal"/>
    <w:rsid w:val="00CE3D26"/>
    <w:pPr>
      <w:autoSpaceDE w:val="0"/>
      <w:autoSpaceDN w:val="0"/>
    </w:pPr>
    <w:rPr>
      <w:rFonts w:ascii="Arial" w:hAnsi="Arial" w:cs="Arial"/>
      <w:sz w:val="22"/>
      <w:szCs w:val="22"/>
      <w:lang w:val="en-US"/>
    </w:rPr>
  </w:style>
  <w:style w:type="paragraph" w:styleId="Title">
    <w:name w:val="Title"/>
    <w:basedOn w:val="Normal"/>
    <w:qFormat/>
    <w:rsid w:val="00204DB4"/>
    <w:pPr>
      <w:jc w:val="center"/>
    </w:pPr>
    <w:rPr>
      <w:rFonts w:ascii="Arial" w:hAnsi="Arial"/>
      <w:b/>
      <w:sz w:val="20"/>
    </w:rPr>
  </w:style>
  <w:style w:type="character" w:customStyle="1" w:styleId="HeaderChar">
    <w:name w:val="Header Char"/>
    <w:aliases w:val="Page Header Char,Header title Char,he=header Char,cntr/bld Char"/>
    <w:link w:val="Header"/>
    <w:rsid w:val="009F0ED6"/>
    <w:rPr>
      <w:sz w:val="24"/>
      <w:lang w:val="en-AU" w:eastAsia="en-AU" w:bidi="ar-SA"/>
    </w:rPr>
  </w:style>
  <w:style w:type="character" w:customStyle="1" w:styleId="FooterChar">
    <w:name w:val="Footer Char"/>
    <w:link w:val="Footer"/>
    <w:uiPriority w:val="99"/>
    <w:rsid w:val="009F0ED6"/>
    <w:rPr>
      <w:sz w:val="24"/>
      <w:lang w:val="en-AU" w:eastAsia="en-AU" w:bidi="ar-SA"/>
    </w:rPr>
  </w:style>
  <w:style w:type="character" w:styleId="Hyperlink">
    <w:name w:val="Hyperlink"/>
    <w:rsid w:val="007A361E"/>
    <w:rPr>
      <w:color w:val="0000FF"/>
      <w:u w:val="single"/>
    </w:rPr>
  </w:style>
  <w:style w:type="paragraph" w:styleId="NormalWeb">
    <w:name w:val="Normal (Web)"/>
    <w:basedOn w:val="Normal"/>
    <w:uiPriority w:val="99"/>
    <w:unhideWhenUsed/>
    <w:rsid w:val="004D2DFC"/>
    <w:pPr>
      <w:spacing w:before="100" w:beforeAutospacing="1" w:after="100" w:afterAutospacing="1"/>
    </w:pPr>
    <w:rPr>
      <w:szCs w:val="24"/>
    </w:rPr>
  </w:style>
  <w:style w:type="paragraph" w:styleId="ListParagraph">
    <w:name w:val="List Paragraph"/>
    <w:aliases w:val="BulletPoints,Footnote,Bullet point,List Paragraph1,List Paragraph11,Recommendation"/>
    <w:basedOn w:val="Normal"/>
    <w:link w:val="ListParagraphChar"/>
    <w:uiPriority w:val="34"/>
    <w:qFormat/>
    <w:rsid w:val="001810B2"/>
    <w:pPr>
      <w:ind w:left="720"/>
      <w:contextualSpacing/>
    </w:pPr>
    <w:rPr>
      <w:szCs w:val="24"/>
    </w:rPr>
  </w:style>
  <w:style w:type="character" w:customStyle="1" w:styleId="ListParagraphChar">
    <w:name w:val="List Paragraph Char"/>
    <w:aliases w:val="BulletPoints Char,Footnote Char,Bullet point Char,List Paragraph1 Char,List Paragraph11 Char,Recommendation Char"/>
    <w:link w:val="ListParagraph"/>
    <w:uiPriority w:val="34"/>
    <w:rsid w:val="00EE5442"/>
    <w:rPr>
      <w:sz w:val="24"/>
      <w:szCs w:val="24"/>
    </w:rPr>
  </w:style>
  <w:style w:type="character" w:styleId="PageNumber">
    <w:name w:val="page number"/>
    <w:rsid w:val="00D641C2"/>
  </w:style>
  <w:style w:type="table" w:styleId="TableGrid">
    <w:name w:val="Table Grid"/>
    <w:basedOn w:val="TableNormal"/>
    <w:uiPriority w:val="59"/>
    <w:rsid w:val="006E0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43998"/>
    <w:rPr>
      <w:rFonts w:ascii="Tahoma" w:hAnsi="Tahoma" w:cs="Tahoma"/>
      <w:sz w:val="16"/>
      <w:szCs w:val="16"/>
    </w:rPr>
  </w:style>
  <w:style w:type="character" w:customStyle="1" w:styleId="BalloonTextChar">
    <w:name w:val="Balloon Text Char"/>
    <w:link w:val="BalloonText"/>
    <w:rsid w:val="00743998"/>
    <w:rPr>
      <w:rFonts w:ascii="Tahoma" w:hAnsi="Tahoma" w:cs="Tahoma"/>
      <w:sz w:val="16"/>
      <w:szCs w:val="16"/>
    </w:rPr>
  </w:style>
  <w:style w:type="paragraph" w:customStyle="1" w:styleId="Char1CharCharChar">
    <w:name w:val="Char1 Char Char Char"/>
    <w:basedOn w:val="Normal"/>
    <w:rsid w:val="00261171"/>
    <w:pPr>
      <w:spacing w:after="160" w:line="240" w:lineRule="exact"/>
    </w:pPr>
    <w:rPr>
      <w:rFonts w:ascii="Verdana" w:eastAsia="MS Mincho" w:hAnsi="Verdana" w:cs="Verdana"/>
      <w:sz w:val="20"/>
      <w:lang w:val="en-US" w:eastAsia="en-US"/>
    </w:rPr>
  </w:style>
  <w:style w:type="character" w:customStyle="1" w:styleId="Heading8Char">
    <w:name w:val="Heading 8 Char"/>
    <w:basedOn w:val="DefaultParagraphFont"/>
    <w:link w:val="Heading8"/>
    <w:uiPriority w:val="7"/>
    <w:rsid w:val="00C822F1"/>
    <w:rPr>
      <w:rFonts w:ascii="Calibri Light" w:eastAsia="MS Gothic" w:hAnsi="Calibri Light"/>
      <w:color w:val="272727"/>
      <w:sz w:val="21"/>
      <w:szCs w:val="21"/>
      <w:lang w:eastAsia="en-US"/>
    </w:rPr>
  </w:style>
  <w:style w:type="character" w:styleId="CommentReference">
    <w:name w:val="annotation reference"/>
    <w:basedOn w:val="DefaultParagraphFont"/>
    <w:rsid w:val="006E4FBA"/>
    <w:rPr>
      <w:sz w:val="16"/>
      <w:szCs w:val="16"/>
    </w:rPr>
  </w:style>
  <w:style w:type="paragraph" w:styleId="CommentText">
    <w:name w:val="annotation text"/>
    <w:basedOn w:val="Normal"/>
    <w:link w:val="CommentTextChar"/>
    <w:rsid w:val="006E4FBA"/>
    <w:rPr>
      <w:sz w:val="20"/>
    </w:rPr>
  </w:style>
  <w:style w:type="character" w:customStyle="1" w:styleId="CommentTextChar">
    <w:name w:val="Comment Text Char"/>
    <w:basedOn w:val="DefaultParagraphFont"/>
    <w:link w:val="CommentText"/>
    <w:rsid w:val="006E4FBA"/>
  </w:style>
  <w:style w:type="paragraph" w:styleId="CommentSubject">
    <w:name w:val="annotation subject"/>
    <w:basedOn w:val="CommentText"/>
    <w:next w:val="CommentText"/>
    <w:link w:val="CommentSubjectChar"/>
    <w:rsid w:val="006E4FBA"/>
    <w:rPr>
      <w:b/>
      <w:bCs/>
    </w:rPr>
  </w:style>
  <w:style w:type="character" w:customStyle="1" w:styleId="CommentSubjectChar">
    <w:name w:val="Comment Subject Char"/>
    <w:basedOn w:val="CommentTextChar"/>
    <w:link w:val="CommentSubject"/>
    <w:rsid w:val="006E4FB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7"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uiPriority w:val="1"/>
    <w:qFormat/>
    <w:pPr>
      <w:keepNext/>
      <w:outlineLvl w:val="0"/>
    </w:pPr>
    <w:rPr>
      <w:rFonts w:ascii="Arial" w:hAnsi="Arial"/>
      <w:b/>
      <w:sz w:val="20"/>
    </w:rPr>
  </w:style>
  <w:style w:type="paragraph" w:styleId="Heading8">
    <w:name w:val="heading 8"/>
    <w:basedOn w:val="Normal"/>
    <w:next w:val="Normal"/>
    <w:link w:val="Heading8Char"/>
    <w:uiPriority w:val="7"/>
    <w:unhideWhenUsed/>
    <w:qFormat/>
    <w:rsid w:val="00C822F1"/>
    <w:pPr>
      <w:keepNext/>
      <w:keepLines/>
      <w:spacing w:before="40"/>
      <w:ind w:left="1440" w:hanging="1440"/>
      <w:outlineLvl w:val="7"/>
    </w:pPr>
    <w:rPr>
      <w:rFonts w:ascii="Calibri Light" w:eastAsia="MS Gothic" w:hAnsi="Calibri Light"/>
      <w:color w:val="272727"/>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Bullet">
    <w:name w:val="List Bullet"/>
    <w:basedOn w:val="Normal"/>
    <w:autoRedefine/>
    <w:rsid w:val="000805C6"/>
    <w:rPr>
      <w:rFonts w:ascii="Arial" w:hAnsi="Arial" w:cs="Arial"/>
      <w:snapToGrid w:val="0"/>
      <w:sz w:val="20"/>
      <w:lang w:eastAsia="en-US"/>
    </w:rPr>
  </w:style>
  <w:style w:type="paragraph" w:styleId="BodyText">
    <w:name w:val="Body Text"/>
    <w:basedOn w:val="Normal"/>
    <w:rPr>
      <w:rFonts w:ascii="Arial" w:hAnsi="Arial"/>
      <w:sz w:val="20"/>
    </w:rPr>
  </w:style>
  <w:style w:type="paragraph" w:customStyle="1" w:styleId="PBSnormal">
    <w:name w:val="PBS normal"/>
    <w:basedOn w:val="Normal"/>
    <w:rsid w:val="00CE3D26"/>
    <w:pPr>
      <w:autoSpaceDE w:val="0"/>
      <w:autoSpaceDN w:val="0"/>
    </w:pPr>
    <w:rPr>
      <w:rFonts w:ascii="Arial" w:hAnsi="Arial" w:cs="Arial"/>
      <w:sz w:val="22"/>
      <w:szCs w:val="22"/>
      <w:lang w:val="en-US"/>
    </w:rPr>
  </w:style>
  <w:style w:type="paragraph" w:styleId="Title">
    <w:name w:val="Title"/>
    <w:basedOn w:val="Normal"/>
    <w:qFormat/>
    <w:rsid w:val="00204DB4"/>
    <w:pPr>
      <w:jc w:val="center"/>
    </w:pPr>
    <w:rPr>
      <w:rFonts w:ascii="Arial" w:hAnsi="Arial"/>
      <w:b/>
      <w:sz w:val="20"/>
    </w:rPr>
  </w:style>
  <w:style w:type="character" w:customStyle="1" w:styleId="HeaderChar">
    <w:name w:val="Header Char"/>
    <w:aliases w:val="Page Header Char,Header title Char,he=header Char,cntr/bld Char"/>
    <w:link w:val="Header"/>
    <w:rsid w:val="009F0ED6"/>
    <w:rPr>
      <w:sz w:val="24"/>
      <w:lang w:val="en-AU" w:eastAsia="en-AU" w:bidi="ar-SA"/>
    </w:rPr>
  </w:style>
  <w:style w:type="character" w:customStyle="1" w:styleId="FooterChar">
    <w:name w:val="Footer Char"/>
    <w:link w:val="Footer"/>
    <w:uiPriority w:val="99"/>
    <w:rsid w:val="009F0ED6"/>
    <w:rPr>
      <w:sz w:val="24"/>
      <w:lang w:val="en-AU" w:eastAsia="en-AU" w:bidi="ar-SA"/>
    </w:rPr>
  </w:style>
  <w:style w:type="character" w:styleId="Hyperlink">
    <w:name w:val="Hyperlink"/>
    <w:rsid w:val="007A361E"/>
    <w:rPr>
      <w:color w:val="0000FF"/>
      <w:u w:val="single"/>
    </w:rPr>
  </w:style>
  <w:style w:type="paragraph" w:styleId="NormalWeb">
    <w:name w:val="Normal (Web)"/>
    <w:basedOn w:val="Normal"/>
    <w:uiPriority w:val="99"/>
    <w:unhideWhenUsed/>
    <w:rsid w:val="004D2DFC"/>
    <w:pPr>
      <w:spacing w:before="100" w:beforeAutospacing="1" w:after="100" w:afterAutospacing="1"/>
    </w:pPr>
    <w:rPr>
      <w:szCs w:val="24"/>
    </w:rPr>
  </w:style>
  <w:style w:type="paragraph" w:styleId="ListParagraph">
    <w:name w:val="List Paragraph"/>
    <w:aliases w:val="BulletPoints,Footnote,Bullet point,List Paragraph1,List Paragraph11,Recommendation"/>
    <w:basedOn w:val="Normal"/>
    <w:link w:val="ListParagraphChar"/>
    <w:uiPriority w:val="34"/>
    <w:qFormat/>
    <w:rsid w:val="001810B2"/>
    <w:pPr>
      <w:ind w:left="720"/>
      <w:contextualSpacing/>
    </w:pPr>
    <w:rPr>
      <w:szCs w:val="24"/>
    </w:rPr>
  </w:style>
  <w:style w:type="character" w:customStyle="1" w:styleId="ListParagraphChar">
    <w:name w:val="List Paragraph Char"/>
    <w:aliases w:val="BulletPoints Char,Footnote Char,Bullet point Char,List Paragraph1 Char,List Paragraph11 Char,Recommendation Char"/>
    <w:link w:val="ListParagraph"/>
    <w:uiPriority w:val="34"/>
    <w:rsid w:val="00EE5442"/>
    <w:rPr>
      <w:sz w:val="24"/>
      <w:szCs w:val="24"/>
    </w:rPr>
  </w:style>
  <w:style w:type="character" w:styleId="PageNumber">
    <w:name w:val="page number"/>
    <w:rsid w:val="00D641C2"/>
  </w:style>
  <w:style w:type="table" w:styleId="TableGrid">
    <w:name w:val="Table Grid"/>
    <w:basedOn w:val="TableNormal"/>
    <w:uiPriority w:val="59"/>
    <w:rsid w:val="006E0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43998"/>
    <w:rPr>
      <w:rFonts w:ascii="Tahoma" w:hAnsi="Tahoma" w:cs="Tahoma"/>
      <w:sz w:val="16"/>
      <w:szCs w:val="16"/>
    </w:rPr>
  </w:style>
  <w:style w:type="character" w:customStyle="1" w:styleId="BalloonTextChar">
    <w:name w:val="Balloon Text Char"/>
    <w:link w:val="BalloonText"/>
    <w:rsid w:val="00743998"/>
    <w:rPr>
      <w:rFonts w:ascii="Tahoma" w:hAnsi="Tahoma" w:cs="Tahoma"/>
      <w:sz w:val="16"/>
      <w:szCs w:val="16"/>
    </w:rPr>
  </w:style>
  <w:style w:type="paragraph" w:customStyle="1" w:styleId="Char1CharCharChar">
    <w:name w:val="Char1 Char Char Char"/>
    <w:basedOn w:val="Normal"/>
    <w:rsid w:val="00261171"/>
    <w:pPr>
      <w:spacing w:after="160" w:line="240" w:lineRule="exact"/>
    </w:pPr>
    <w:rPr>
      <w:rFonts w:ascii="Verdana" w:eastAsia="MS Mincho" w:hAnsi="Verdana" w:cs="Verdana"/>
      <w:sz w:val="20"/>
      <w:lang w:val="en-US" w:eastAsia="en-US"/>
    </w:rPr>
  </w:style>
  <w:style w:type="character" w:customStyle="1" w:styleId="Heading8Char">
    <w:name w:val="Heading 8 Char"/>
    <w:basedOn w:val="DefaultParagraphFont"/>
    <w:link w:val="Heading8"/>
    <w:uiPriority w:val="7"/>
    <w:rsid w:val="00C822F1"/>
    <w:rPr>
      <w:rFonts w:ascii="Calibri Light" w:eastAsia="MS Gothic" w:hAnsi="Calibri Light"/>
      <w:color w:val="272727"/>
      <w:sz w:val="21"/>
      <w:szCs w:val="21"/>
      <w:lang w:eastAsia="en-US"/>
    </w:rPr>
  </w:style>
  <w:style w:type="character" w:styleId="CommentReference">
    <w:name w:val="annotation reference"/>
    <w:basedOn w:val="DefaultParagraphFont"/>
    <w:rsid w:val="006E4FBA"/>
    <w:rPr>
      <w:sz w:val="16"/>
      <w:szCs w:val="16"/>
    </w:rPr>
  </w:style>
  <w:style w:type="paragraph" w:styleId="CommentText">
    <w:name w:val="annotation text"/>
    <w:basedOn w:val="Normal"/>
    <w:link w:val="CommentTextChar"/>
    <w:rsid w:val="006E4FBA"/>
    <w:rPr>
      <w:sz w:val="20"/>
    </w:rPr>
  </w:style>
  <w:style w:type="character" w:customStyle="1" w:styleId="CommentTextChar">
    <w:name w:val="Comment Text Char"/>
    <w:basedOn w:val="DefaultParagraphFont"/>
    <w:link w:val="CommentText"/>
    <w:rsid w:val="006E4FBA"/>
  </w:style>
  <w:style w:type="paragraph" w:styleId="CommentSubject">
    <w:name w:val="annotation subject"/>
    <w:basedOn w:val="CommentText"/>
    <w:next w:val="CommentText"/>
    <w:link w:val="CommentSubjectChar"/>
    <w:rsid w:val="006E4FBA"/>
    <w:rPr>
      <w:b/>
      <w:bCs/>
    </w:rPr>
  </w:style>
  <w:style w:type="character" w:customStyle="1" w:styleId="CommentSubjectChar">
    <w:name w:val="Comment Subject Char"/>
    <w:basedOn w:val="CommentTextChar"/>
    <w:link w:val="CommentSubject"/>
    <w:rsid w:val="006E4F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98889">
      <w:bodyDiv w:val="1"/>
      <w:marLeft w:val="0"/>
      <w:marRight w:val="0"/>
      <w:marTop w:val="0"/>
      <w:marBottom w:val="0"/>
      <w:divBdr>
        <w:top w:val="none" w:sz="0" w:space="0" w:color="auto"/>
        <w:left w:val="none" w:sz="0" w:space="0" w:color="auto"/>
        <w:bottom w:val="none" w:sz="0" w:space="0" w:color="auto"/>
        <w:right w:val="none" w:sz="0" w:space="0" w:color="auto"/>
      </w:divBdr>
      <w:divsChild>
        <w:div w:id="728114355">
          <w:marLeft w:val="0"/>
          <w:marRight w:val="0"/>
          <w:marTop w:val="0"/>
          <w:marBottom w:val="0"/>
          <w:divBdr>
            <w:top w:val="none" w:sz="0" w:space="0" w:color="auto"/>
            <w:left w:val="none" w:sz="0" w:space="0" w:color="auto"/>
            <w:bottom w:val="none" w:sz="0" w:space="0" w:color="auto"/>
            <w:right w:val="none" w:sz="0" w:space="0" w:color="auto"/>
          </w:divBdr>
        </w:div>
      </w:divsChild>
    </w:div>
    <w:div w:id="395905807">
      <w:bodyDiv w:val="1"/>
      <w:marLeft w:val="0"/>
      <w:marRight w:val="0"/>
      <w:marTop w:val="0"/>
      <w:marBottom w:val="0"/>
      <w:divBdr>
        <w:top w:val="none" w:sz="0" w:space="0" w:color="auto"/>
        <w:left w:val="none" w:sz="0" w:space="0" w:color="auto"/>
        <w:bottom w:val="none" w:sz="0" w:space="0" w:color="auto"/>
        <w:right w:val="none" w:sz="0" w:space="0" w:color="auto"/>
      </w:divBdr>
    </w:div>
    <w:div w:id="621225633">
      <w:bodyDiv w:val="1"/>
      <w:marLeft w:val="0"/>
      <w:marRight w:val="0"/>
      <w:marTop w:val="0"/>
      <w:marBottom w:val="0"/>
      <w:divBdr>
        <w:top w:val="none" w:sz="0" w:space="0" w:color="auto"/>
        <w:left w:val="none" w:sz="0" w:space="0" w:color="auto"/>
        <w:bottom w:val="none" w:sz="0" w:space="0" w:color="auto"/>
        <w:right w:val="none" w:sz="0" w:space="0" w:color="auto"/>
      </w:divBdr>
    </w:div>
    <w:div w:id="737243584">
      <w:bodyDiv w:val="1"/>
      <w:marLeft w:val="0"/>
      <w:marRight w:val="0"/>
      <w:marTop w:val="0"/>
      <w:marBottom w:val="0"/>
      <w:divBdr>
        <w:top w:val="none" w:sz="0" w:space="0" w:color="auto"/>
        <w:left w:val="none" w:sz="0" w:space="0" w:color="auto"/>
        <w:bottom w:val="none" w:sz="0" w:space="0" w:color="auto"/>
        <w:right w:val="none" w:sz="0" w:space="0" w:color="auto"/>
      </w:divBdr>
    </w:div>
    <w:div w:id="811408643">
      <w:bodyDiv w:val="1"/>
      <w:marLeft w:val="0"/>
      <w:marRight w:val="0"/>
      <w:marTop w:val="0"/>
      <w:marBottom w:val="0"/>
      <w:divBdr>
        <w:top w:val="none" w:sz="0" w:space="0" w:color="auto"/>
        <w:left w:val="none" w:sz="0" w:space="0" w:color="auto"/>
        <w:bottom w:val="none" w:sz="0" w:space="0" w:color="auto"/>
        <w:right w:val="none" w:sz="0" w:space="0" w:color="auto"/>
      </w:divBdr>
    </w:div>
    <w:div w:id="846987985">
      <w:bodyDiv w:val="1"/>
      <w:marLeft w:val="0"/>
      <w:marRight w:val="0"/>
      <w:marTop w:val="0"/>
      <w:marBottom w:val="0"/>
      <w:divBdr>
        <w:top w:val="none" w:sz="0" w:space="0" w:color="auto"/>
        <w:left w:val="none" w:sz="0" w:space="0" w:color="auto"/>
        <w:bottom w:val="none" w:sz="0" w:space="0" w:color="auto"/>
        <w:right w:val="none" w:sz="0" w:space="0" w:color="auto"/>
      </w:divBdr>
    </w:div>
    <w:div w:id="961495338">
      <w:bodyDiv w:val="1"/>
      <w:marLeft w:val="0"/>
      <w:marRight w:val="0"/>
      <w:marTop w:val="0"/>
      <w:marBottom w:val="0"/>
      <w:divBdr>
        <w:top w:val="none" w:sz="0" w:space="0" w:color="auto"/>
        <w:left w:val="none" w:sz="0" w:space="0" w:color="auto"/>
        <w:bottom w:val="none" w:sz="0" w:space="0" w:color="auto"/>
        <w:right w:val="none" w:sz="0" w:space="0" w:color="auto"/>
      </w:divBdr>
      <w:divsChild>
        <w:div w:id="330333071">
          <w:marLeft w:val="0"/>
          <w:marRight w:val="0"/>
          <w:marTop w:val="0"/>
          <w:marBottom w:val="0"/>
          <w:divBdr>
            <w:top w:val="none" w:sz="0" w:space="0" w:color="auto"/>
            <w:left w:val="none" w:sz="0" w:space="0" w:color="auto"/>
            <w:bottom w:val="none" w:sz="0" w:space="0" w:color="auto"/>
            <w:right w:val="none" w:sz="0" w:space="0" w:color="auto"/>
          </w:divBdr>
          <w:divsChild>
            <w:div w:id="637498246">
              <w:marLeft w:val="0"/>
              <w:marRight w:val="0"/>
              <w:marTop w:val="0"/>
              <w:marBottom w:val="0"/>
              <w:divBdr>
                <w:top w:val="none" w:sz="0" w:space="0" w:color="auto"/>
                <w:left w:val="none" w:sz="0" w:space="0" w:color="auto"/>
                <w:bottom w:val="none" w:sz="0" w:space="0" w:color="auto"/>
                <w:right w:val="none" w:sz="0" w:space="0" w:color="auto"/>
              </w:divBdr>
              <w:divsChild>
                <w:div w:id="141579187">
                  <w:marLeft w:val="0"/>
                  <w:marRight w:val="0"/>
                  <w:marTop w:val="0"/>
                  <w:marBottom w:val="0"/>
                  <w:divBdr>
                    <w:top w:val="none" w:sz="0" w:space="0" w:color="auto"/>
                    <w:left w:val="none" w:sz="0" w:space="0" w:color="auto"/>
                    <w:bottom w:val="none" w:sz="0" w:space="0" w:color="auto"/>
                    <w:right w:val="none" w:sz="0" w:space="0" w:color="auto"/>
                  </w:divBdr>
                  <w:divsChild>
                    <w:div w:id="337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983502">
      <w:bodyDiv w:val="1"/>
      <w:marLeft w:val="0"/>
      <w:marRight w:val="0"/>
      <w:marTop w:val="0"/>
      <w:marBottom w:val="0"/>
      <w:divBdr>
        <w:top w:val="none" w:sz="0" w:space="0" w:color="auto"/>
        <w:left w:val="none" w:sz="0" w:space="0" w:color="auto"/>
        <w:bottom w:val="none" w:sz="0" w:space="0" w:color="auto"/>
        <w:right w:val="none" w:sz="0" w:space="0" w:color="auto"/>
      </w:divBdr>
    </w:div>
    <w:div w:id="1174952275">
      <w:bodyDiv w:val="1"/>
      <w:marLeft w:val="0"/>
      <w:marRight w:val="0"/>
      <w:marTop w:val="0"/>
      <w:marBottom w:val="0"/>
      <w:divBdr>
        <w:top w:val="none" w:sz="0" w:space="0" w:color="auto"/>
        <w:left w:val="none" w:sz="0" w:space="0" w:color="auto"/>
        <w:bottom w:val="none" w:sz="0" w:space="0" w:color="auto"/>
        <w:right w:val="none" w:sz="0" w:space="0" w:color="auto"/>
      </w:divBdr>
    </w:div>
    <w:div w:id="1455171149">
      <w:bodyDiv w:val="1"/>
      <w:marLeft w:val="0"/>
      <w:marRight w:val="0"/>
      <w:marTop w:val="0"/>
      <w:marBottom w:val="0"/>
      <w:divBdr>
        <w:top w:val="none" w:sz="0" w:space="0" w:color="auto"/>
        <w:left w:val="none" w:sz="0" w:space="0" w:color="auto"/>
        <w:bottom w:val="none" w:sz="0" w:space="0" w:color="auto"/>
        <w:right w:val="none" w:sz="0" w:space="0" w:color="auto"/>
      </w:divBdr>
    </w:div>
    <w:div w:id="1596473957">
      <w:bodyDiv w:val="1"/>
      <w:marLeft w:val="0"/>
      <w:marRight w:val="0"/>
      <w:marTop w:val="0"/>
      <w:marBottom w:val="0"/>
      <w:divBdr>
        <w:top w:val="none" w:sz="0" w:space="0" w:color="auto"/>
        <w:left w:val="none" w:sz="0" w:space="0" w:color="auto"/>
        <w:bottom w:val="none" w:sz="0" w:space="0" w:color="auto"/>
        <w:right w:val="none" w:sz="0" w:space="0" w:color="auto"/>
      </w:divBdr>
    </w:div>
    <w:div w:id="1682900680">
      <w:bodyDiv w:val="1"/>
      <w:marLeft w:val="0"/>
      <w:marRight w:val="0"/>
      <w:marTop w:val="0"/>
      <w:marBottom w:val="0"/>
      <w:divBdr>
        <w:top w:val="none" w:sz="0" w:space="0" w:color="auto"/>
        <w:left w:val="none" w:sz="0" w:space="0" w:color="auto"/>
        <w:bottom w:val="none" w:sz="0" w:space="0" w:color="auto"/>
        <w:right w:val="none" w:sz="0" w:space="0" w:color="auto"/>
      </w:divBdr>
      <w:divsChild>
        <w:div w:id="1397242686">
          <w:marLeft w:val="0"/>
          <w:marRight w:val="0"/>
          <w:marTop w:val="0"/>
          <w:marBottom w:val="0"/>
          <w:divBdr>
            <w:top w:val="none" w:sz="0" w:space="0" w:color="auto"/>
            <w:left w:val="none" w:sz="0" w:space="0" w:color="auto"/>
            <w:bottom w:val="none" w:sz="0" w:space="0" w:color="auto"/>
            <w:right w:val="none" w:sz="0" w:space="0" w:color="auto"/>
          </w:divBdr>
          <w:divsChild>
            <w:div w:id="1273249715">
              <w:marLeft w:val="0"/>
              <w:marRight w:val="0"/>
              <w:marTop w:val="0"/>
              <w:marBottom w:val="0"/>
              <w:divBdr>
                <w:top w:val="none" w:sz="0" w:space="0" w:color="auto"/>
                <w:left w:val="none" w:sz="0" w:space="0" w:color="auto"/>
                <w:bottom w:val="none" w:sz="0" w:space="0" w:color="auto"/>
                <w:right w:val="none" w:sz="0" w:space="0" w:color="auto"/>
              </w:divBdr>
              <w:divsChild>
                <w:div w:id="245069027">
                  <w:marLeft w:val="0"/>
                  <w:marRight w:val="0"/>
                  <w:marTop w:val="0"/>
                  <w:marBottom w:val="0"/>
                  <w:divBdr>
                    <w:top w:val="none" w:sz="0" w:space="0" w:color="auto"/>
                    <w:left w:val="none" w:sz="0" w:space="0" w:color="auto"/>
                    <w:bottom w:val="none" w:sz="0" w:space="0" w:color="auto"/>
                    <w:right w:val="none" w:sz="0" w:space="0" w:color="auto"/>
                  </w:divBdr>
                  <w:divsChild>
                    <w:div w:id="71358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486251">
      <w:bodyDiv w:val="1"/>
      <w:marLeft w:val="0"/>
      <w:marRight w:val="0"/>
      <w:marTop w:val="0"/>
      <w:marBottom w:val="0"/>
      <w:divBdr>
        <w:top w:val="none" w:sz="0" w:space="0" w:color="auto"/>
        <w:left w:val="none" w:sz="0" w:space="0" w:color="auto"/>
        <w:bottom w:val="none" w:sz="0" w:space="0" w:color="auto"/>
        <w:right w:val="none" w:sz="0" w:space="0" w:color="auto"/>
      </w:divBdr>
    </w:div>
    <w:div w:id="2002537970">
      <w:bodyDiv w:val="1"/>
      <w:marLeft w:val="0"/>
      <w:marRight w:val="0"/>
      <w:marTop w:val="0"/>
      <w:marBottom w:val="0"/>
      <w:divBdr>
        <w:top w:val="none" w:sz="0" w:space="0" w:color="auto"/>
        <w:left w:val="none" w:sz="0" w:space="0" w:color="auto"/>
        <w:bottom w:val="none" w:sz="0" w:space="0" w:color="auto"/>
        <w:right w:val="none" w:sz="0" w:space="0" w:color="auto"/>
      </w:divBdr>
    </w:div>
    <w:div w:id="2008828191">
      <w:bodyDiv w:val="1"/>
      <w:marLeft w:val="0"/>
      <w:marRight w:val="0"/>
      <w:marTop w:val="0"/>
      <w:marBottom w:val="0"/>
      <w:divBdr>
        <w:top w:val="none" w:sz="0" w:space="0" w:color="auto"/>
        <w:left w:val="none" w:sz="0" w:space="0" w:color="auto"/>
        <w:bottom w:val="none" w:sz="0" w:space="0" w:color="auto"/>
        <w:right w:val="none" w:sz="0" w:space="0" w:color="auto"/>
      </w:divBdr>
    </w:div>
    <w:div w:id="210202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56B89-6302-46D9-97FD-EF412788E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4BF512D2.dotm</Template>
  <TotalTime>0</TotalTime>
  <Pages>10</Pages>
  <Words>3304</Words>
  <Characters>19630</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2017-04-11T02:21:00Z</dcterms:created>
  <dcterms:modified xsi:type="dcterms:W3CDTF">2017-12-14T23:45:00Z</dcterms:modified>
</cp:coreProperties>
</file>