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F609BF" w:rsidTr="00F13F46">
        <w:trPr>
          <w:tblHeader/>
        </w:trPr>
        <w:tc>
          <w:tcPr>
            <w:tcW w:w="2694" w:type="dxa"/>
            <w:tcMar>
              <w:top w:w="28" w:type="dxa"/>
              <w:bottom w:w="28" w:type="dxa"/>
            </w:tcMar>
          </w:tcPr>
          <w:p w:rsidR="0065234B" w:rsidRDefault="002960C3"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2960C3">
            <w:pPr>
              <w:widowControl w:val="0"/>
              <w:jc w:val="center"/>
              <w:rPr>
                <w:rFonts w:ascii="Arial" w:hAnsi="Arial" w:cs="Arial"/>
                <w:b/>
              </w:rPr>
            </w:pPr>
          </w:p>
        </w:tc>
        <w:tc>
          <w:tcPr>
            <w:tcW w:w="2409"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987FDA" w:rsidRPr="00F609BF" w:rsidRDefault="00987FDA" w:rsidP="00896AE2">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296670" w:rsidRPr="00395B97" w:rsidTr="00896AE2">
        <w:trPr>
          <w:trHeight w:val="2246"/>
        </w:trPr>
        <w:tc>
          <w:tcPr>
            <w:tcW w:w="2694" w:type="dxa"/>
            <w:vMerge w:val="restart"/>
            <w:tcMar>
              <w:top w:w="28" w:type="dxa"/>
              <w:bottom w:w="28" w:type="dxa"/>
            </w:tcMar>
          </w:tcPr>
          <w:p w:rsidR="00296670" w:rsidRPr="00FF3AF6" w:rsidRDefault="00296670" w:rsidP="0053482B">
            <w:pPr>
              <w:rPr>
                <w:rFonts w:ascii="Arial" w:hAnsi="Arial" w:cs="Arial"/>
                <w:color w:val="000000"/>
              </w:rPr>
            </w:pPr>
            <w:r w:rsidRPr="001C1D66">
              <w:rPr>
                <w:rFonts w:ascii="Arial" w:hAnsi="Arial" w:cs="Arial"/>
                <w:color w:val="000000"/>
              </w:rPr>
              <w:t>ALIROCUMAB</w:t>
            </w:r>
            <w:r w:rsidRPr="001C1D66">
              <w:rPr>
                <w:rFonts w:ascii="Arial" w:hAnsi="Arial" w:cs="Arial"/>
                <w:color w:val="000000"/>
              </w:rPr>
              <w:br/>
            </w:r>
            <w:r w:rsidRPr="001C1D66">
              <w:rPr>
                <w:rFonts w:ascii="Arial" w:hAnsi="Arial" w:cs="Arial"/>
                <w:color w:val="000000"/>
              </w:rPr>
              <w:br/>
            </w:r>
            <w:r w:rsidRPr="00FF3AF6">
              <w:rPr>
                <w:rFonts w:ascii="Arial" w:hAnsi="Arial" w:cs="Arial"/>
                <w:color w:val="000000"/>
              </w:rPr>
              <w:t>Injection 75 mg in 1 mL single dose pre-filled pen</w:t>
            </w:r>
          </w:p>
          <w:p w:rsidR="00296670" w:rsidRDefault="00296670" w:rsidP="0053482B">
            <w:pPr>
              <w:rPr>
                <w:rFonts w:ascii="Arial" w:hAnsi="Arial" w:cs="Arial"/>
              </w:rPr>
            </w:pPr>
            <w:r w:rsidRPr="00FF3AF6">
              <w:rPr>
                <w:rFonts w:ascii="Arial" w:hAnsi="Arial" w:cs="Arial"/>
                <w:color w:val="000000"/>
              </w:rPr>
              <w:t>Injection 150 mg in 1 mL single dose pre-filled pen</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Praluent</w:t>
            </w:r>
            <w:proofErr w:type="spellEnd"/>
            <w:r w:rsidRPr="001C1D66">
              <w:rPr>
                <w:rFonts w:ascii="Arial" w:hAnsi="Arial" w:cs="Arial"/>
                <w:color w:val="000000"/>
              </w:rPr>
              <w:t xml:space="preserve">® </w:t>
            </w:r>
            <w:r w:rsidRPr="001C1D66">
              <w:rPr>
                <w:rFonts w:ascii="Arial" w:hAnsi="Arial" w:cs="Arial"/>
                <w:color w:val="000000"/>
              </w:rPr>
              <w:br/>
            </w:r>
            <w:r w:rsidRPr="001C1D66">
              <w:rPr>
                <w:rFonts w:ascii="Arial" w:hAnsi="Arial" w:cs="Arial"/>
                <w:color w:val="000000"/>
              </w:rPr>
              <w:br/>
              <w:t>Sanofi-Aventis Australia Pty Ltd</w:t>
            </w:r>
            <w:r w:rsidRPr="00395B97">
              <w:rPr>
                <w:rFonts w:ascii="Arial" w:hAnsi="Arial" w:cs="Arial"/>
              </w:rPr>
              <w:t xml:space="preserve"> </w:t>
            </w:r>
          </w:p>
          <w:p w:rsidR="00296670" w:rsidRPr="00395B97" w:rsidRDefault="00296670" w:rsidP="0053482B">
            <w:pPr>
              <w:rPr>
                <w:rFonts w:ascii="Arial" w:hAnsi="Arial" w:cs="Arial"/>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296670" w:rsidRPr="00395B97" w:rsidRDefault="00296670" w:rsidP="002A6AB9">
            <w:pPr>
              <w:rPr>
                <w:rFonts w:ascii="Arial" w:hAnsi="Arial" w:cs="Arial"/>
              </w:rPr>
            </w:pPr>
            <w:r w:rsidRPr="001C1D66">
              <w:rPr>
                <w:rFonts w:ascii="Arial" w:hAnsi="Arial" w:cs="Arial"/>
                <w:color w:val="000000"/>
              </w:rPr>
              <w:t xml:space="preserve">Familial </w:t>
            </w:r>
            <w:proofErr w:type="spellStart"/>
            <w:r w:rsidRPr="001C1D66">
              <w:rPr>
                <w:rFonts w:ascii="Arial" w:hAnsi="Arial" w:cs="Arial"/>
                <w:color w:val="000000"/>
              </w:rPr>
              <w:t>hypercholesterolaemia</w:t>
            </w:r>
            <w:proofErr w:type="spellEnd"/>
            <w:r w:rsidRPr="001C1D66">
              <w:rPr>
                <w:rFonts w:ascii="Arial" w:hAnsi="Arial" w:cs="Arial"/>
                <w:color w:val="000000"/>
              </w:rPr>
              <w:t xml:space="preserve"> and clinical atherosclerotic cardiovascular disease</w:t>
            </w:r>
          </w:p>
        </w:tc>
        <w:tc>
          <w:tcPr>
            <w:tcW w:w="3261" w:type="dxa"/>
            <w:tcMar>
              <w:top w:w="28" w:type="dxa"/>
              <w:bottom w:w="28" w:type="dxa"/>
            </w:tcMar>
          </w:tcPr>
          <w:p w:rsidR="00296670" w:rsidRPr="004D56AB" w:rsidRDefault="00296670" w:rsidP="004D56AB">
            <w:pPr>
              <w:rPr>
                <w:rFonts w:ascii="Arial" w:hAnsi="Arial" w:cs="Arial"/>
                <w:color w:val="000000"/>
              </w:rPr>
            </w:pPr>
            <w:r>
              <w:rPr>
                <w:rFonts w:ascii="Arial" w:hAnsi="Arial" w:cs="Arial"/>
                <w:color w:val="000000"/>
              </w:rPr>
              <w:t xml:space="preserve">To request an Authority Required listing for the treatment of patients with familial heterozygous </w:t>
            </w:r>
            <w:proofErr w:type="spellStart"/>
            <w:r>
              <w:rPr>
                <w:rFonts w:ascii="Arial" w:hAnsi="Arial" w:cs="Arial"/>
                <w:color w:val="000000"/>
              </w:rPr>
              <w:t>hypercholesterolaemia</w:t>
            </w:r>
            <w:proofErr w:type="spellEnd"/>
            <w:r>
              <w:rPr>
                <w:rFonts w:ascii="Arial" w:hAnsi="Arial" w:cs="Arial"/>
                <w:color w:val="000000"/>
              </w:rPr>
              <w:t xml:space="preserve"> and clinical atherosclerotic cardiovascular disease.</w:t>
            </w:r>
          </w:p>
        </w:tc>
        <w:tc>
          <w:tcPr>
            <w:tcW w:w="6947" w:type="dxa"/>
          </w:tcPr>
          <w:p w:rsidR="00296670" w:rsidRPr="00395B97" w:rsidRDefault="00296670" w:rsidP="0031270A">
            <w:pPr>
              <w:pStyle w:val="ListParagraph"/>
              <w:ind w:left="0"/>
              <w:jc w:val="both"/>
              <w:rPr>
                <w:rFonts w:ascii="Arial" w:hAnsi="Arial" w:cs="Arial"/>
                <w:iCs/>
                <w:sz w:val="20"/>
                <w:szCs w:val="20"/>
              </w:rPr>
            </w:pPr>
            <w:r w:rsidRPr="00D97A4E">
              <w:rPr>
                <w:rFonts w:ascii="Arial" w:hAnsi="Arial" w:cs="Arial"/>
                <w:iCs/>
                <w:sz w:val="20"/>
                <w:szCs w:val="20"/>
              </w:rPr>
              <w:t xml:space="preserve">The PBAC did not recommend </w:t>
            </w:r>
            <w:proofErr w:type="spellStart"/>
            <w:r w:rsidRPr="00D97A4E">
              <w:rPr>
                <w:rFonts w:ascii="Arial" w:hAnsi="Arial" w:cs="Arial"/>
                <w:iCs/>
                <w:sz w:val="20"/>
                <w:szCs w:val="20"/>
              </w:rPr>
              <w:t>alirocumab</w:t>
            </w:r>
            <w:proofErr w:type="spellEnd"/>
            <w:r w:rsidRPr="00D97A4E">
              <w:rPr>
                <w:rFonts w:ascii="Arial" w:hAnsi="Arial" w:cs="Arial"/>
                <w:iCs/>
                <w:sz w:val="20"/>
                <w:szCs w:val="20"/>
              </w:rPr>
              <w:t xml:space="preserve"> for patients with familial </w:t>
            </w:r>
            <w:proofErr w:type="spellStart"/>
            <w:r w:rsidRPr="00D97A4E">
              <w:rPr>
                <w:rFonts w:ascii="Arial" w:hAnsi="Arial" w:cs="Arial"/>
                <w:iCs/>
                <w:sz w:val="20"/>
                <w:szCs w:val="20"/>
              </w:rPr>
              <w:t>hypercholesterolaemia</w:t>
            </w:r>
            <w:proofErr w:type="spellEnd"/>
            <w:r w:rsidRPr="00D97A4E">
              <w:rPr>
                <w:rFonts w:ascii="Arial" w:hAnsi="Arial" w:cs="Arial"/>
                <w:iCs/>
                <w:sz w:val="20"/>
                <w:szCs w:val="20"/>
              </w:rPr>
              <w:t xml:space="preserve"> (FH) and clinical atherosclerotic cardiovascular disease (ASCVD) on the basis </w:t>
            </w:r>
            <w:r>
              <w:rPr>
                <w:rFonts w:ascii="Arial" w:hAnsi="Arial" w:cs="Arial"/>
                <w:iCs/>
                <w:sz w:val="20"/>
                <w:szCs w:val="20"/>
              </w:rPr>
              <w:t>of uncertain cost-effectiveness (</w:t>
            </w:r>
            <w:r w:rsidRPr="00D97A4E">
              <w:rPr>
                <w:rFonts w:ascii="Arial" w:hAnsi="Arial" w:cs="Arial"/>
                <w:iCs/>
                <w:sz w:val="20"/>
                <w:szCs w:val="20"/>
              </w:rPr>
              <w:t>the submission presented a very high incremental cost effectiveness ratio</w:t>
            </w:r>
            <w:r>
              <w:rPr>
                <w:rFonts w:ascii="Arial" w:hAnsi="Arial" w:cs="Arial"/>
                <w:iCs/>
                <w:sz w:val="20"/>
                <w:szCs w:val="20"/>
              </w:rPr>
              <w:t>)</w:t>
            </w:r>
            <w:r w:rsidRPr="00D97A4E">
              <w:rPr>
                <w:rFonts w:ascii="Arial" w:hAnsi="Arial" w:cs="Arial"/>
                <w:iCs/>
                <w:sz w:val="20"/>
                <w:szCs w:val="20"/>
              </w:rPr>
              <w:t xml:space="preserve"> and uncertainty around the size of the patient population and financial estimates.  The PBAC also considered that the qualifying level of </w:t>
            </w:r>
            <w:r w:rsidRPr="00403F18">
              <w:rPr>
                <w:rFonts w:ascii="Arial" w:hAnsi="Arial" w:cs="Arial"/>
                <w:iCs/>
                <w:sz w:val="20"/>
                <w:szCs w:val="20"/>
              </w:rPr>
              <w:t xml:space="preserve">low-density lipoprotein </w:t>
            </w:r>
            <w:r w:rsidRPr="00690F58">
              <w:rPr>
                <w:rFonts w:ascii="Arial" w:hAnsi="Arial" w:cs="Arial"/>
                <w:bCs/>
                <w:iCs/>
                <w:sz w:val="20"/>
                <w:szCs w:val="20"/>
              </w:rPr>
              <w:t>cholesterol</w:t>
            </w:r>
            <w:r w:rsidRPr="00403F18">
              <w:rPr>
                <w:rFonts w:ascii="Arial" w:hAnsi="Arial" w:cs="Arial"/>
                <w:iCs/>
                <w:sz w:val="20"/>
                <w:szCs w:val="20"/>
              </w:rPr>
              <w:t xml:space="preserve"> </w:t>
            </w:r>
            <w:r>
              <w:rPr>
                <w:rFonts w:ascii="Arial" w:hAnsi="Arial" w:cs="Arial"/>
                <w:iCs/>
                <w:sz w:val="20"/>
                <w:szCs w:val="20"/>
              </w:rPr>
              <w:t>(</w:t>
            </w:r>
            <w:r w:rsidRPr="00D97A4E">
              <w:rPr>
                <w:rFonts w:ascii="Arial" w:hAnsi="Arial" w:cs="Arial"/>
                <w:iCs/>
                <w:sz w:val="20"/>
                <w:szCs w:val="20"/>
              </w:rPr>
              <w:t>LDL-c</w:t>
            </w:r>
            <w:r>
              <w:rPr>
                <w:rFonts w:ascii="Arial" w:hAnsi="Arial" w:cs="Arial"/>
                <w:iCs/>
                <w:sz w:val="20"/>
                <w:szCs w:val="20"/>
              </w:rPr>
              <w:t>)</w:t>
            </w:r>
            <w:r w:rsidRPr="00D97A4E">
              <w:rPr>
                <w:rFonts w:ascii="Arial" w:hAnsi="Arial" w:cs="Arial"/>
                <w:iCs/>
                <w:sz w:val="20"/>
                <w:szCs w:val="20"/>
              </w:rPr>
              <w:t xml:space="preserve"> </w:t>
            </w:r>
            <w:r>
              <w:rPr>
                <w:rFonts w:ascii="Arial" w:hAnsi="Arial" w:cs="Arial"/>
                <w:iCs/>
                <w:sz w:val="20"/>
                <w:szCs w:val="20"/>
              </w:rPr>
              <w:t xml:space="preserve">proposed in the submission </w:t>
            </w:r>
            <w:r w:rsidRPr="00D97A4E">
              <w:rPr>
                <w:rFonts w:ascii="Arial" w:hAnsi="Arial" w:cs="Arial"/>
                <w:iCs/>
                <w:sz w:val="20"/>
                <w:szCs w:val="20"/>
              </w:rPr>
              <w:t>was inadequately supported</w:t>
            </w:r>
            <w:r>
              <w:rPr>
                <w:rFonts w:ascii="Arial" w:hAnsi="Arial" w:cs="Arial"/>
                <w:iCs/>
                <w:sz w:val="20"/>
                <w:szCs w:val="20"/>
              </w:rPr>
              <w:t xml:space="preserve"> by the evidence presented</w:t>
            </w:r>
            <w:r w:rsidRPr="00D97A4E">
              <w:rPr>
                <w:rFonts w:ascii="Arial" w:hAnsi="Arial" w:cs="Arial"/>
                <w:iCs/>
                <w:sz w:val="20"/>
                <w:szCs w:val="20"/>
              </w:rPr>
              <w:t xml:space="preserve"> and that further clarity around the definition of the eligible population was necessary.  The PBAC noted that the results of the ongoing ODYSSEY OUTCOMES trial, evaluating major adverse cardiac events (MACE) in individuals with </w:t>
            </w:r>
            <w:proofErr w:type="spellStart"/>
            <w:r w:rsidRPr="00D97A4E">
              <w:rPr>
                <w:rFonts w:ascii="Arial" w:hAnsi="Arial" w:cs="Arial"/>
                <w:iCs/>
                <w:sz w:val="20"/>
                <w:szCs w:val="20"/>
              </w:rPr>
              <w:t>hypercholesterolaemia</w:t>
            </w:r>
            <w:proofErr w:type="spellEnd"/>
            <w:r w:rsidRPr="00D97A4E">
              <w:rPr>
                <w:rFonts w:ascii="Arial" w:hAnsi="Arial" w:cs="Arial"/>
                <w:iCs/>
                <w:sz w:val="20"/>
                <w:szCs w:val="20"/>
              </w:rPr>
              <w:t xml:space="preserve">, are due in early 2018 and will better inform the clinical benefit of </w:t>
            </w:r>
            <w:proofErr w:type="spellStart"/>
            <w:r w:rsidRPr="00D97A4E">
              <w:rPr>
                <w:rFonts w:ascii="Arial" w:hAnsi="Arial" w:cs="Arial"/>
                <w:iCs/>
                <w:sz w:val="20"/>
                <w:szCs w:val="20"/>
              </w:rPr>
              <w:t>alirocumab</w:t>
            </w:r>
            <w:proofErr w:type="spellEnd"/>
            <w:r w:rsidRPr="00D97A4E">
              <w:rPr>
                <w:rFonts w:ascii="Arial" w:hAnsi="Arial" w:cs="Arial"/>
                <w:iCs/>
                <w:sz w:val="20"/>
                <w:szCs w:val="20"/>
              </w:rPr>
              <w:t xml:space="preserve"> and economic model.</w:t>
            </w:r>
          </w:p>
        </w:tc>
      </w:tr>
      <w:tr w:rsidR="00296670" w:rsidRPr="00395B97" w:rsidTr="000C64F4">
        <w:trPr>
          <w:trHeight w:val="345"/>
        </w:trPr>
        <w:tc>
          <w:tcPr>
            <w:tcW w:w="2694" w:type="dxa"/>
            <w:vMerge/>
            <w:tcMar>
              <w:top w:w="28" w:type="dxa"/>
              <w:bottom w:w="28" w:type="dxa"/>
            </w:tcMar>
          </w:tcPr>
          <w:p w:rsidR="00296670" w:rsidRPr="001C1D66" w:rsidRDefault="00296670" w:rsidP="0053482B">
            <w:pPr>
              <w:rPr>
                <w:rFonts w:ascii="Arial" w:hAnsi="Arial" w:cs="Arial"/>
                <w:color w:val="000000"/>
              </w:rPr>
            </w:pPr>
          </w:p>
        </w:tc>
        <w:tc>
          <w:tcPr>
            <w:tcW w:w="2409" w:type="dxa"/>
            <w:vMerge/>
          </w:tcPr>
          <w:p w:rsidR="00296670" w:rsidRPr="001C1D66" w:rsidRDefault="00296670" w:rsidP="002A6AB9">
            <w:pPr>
              <w:rPr>
                <w:rFonts w:ascii="Arial" w:hAnsi="Arial" w:cs="Arial"/>
                <w:color w:val="000000"/>
              </w:rPr>
            </w:pPr>
          </w:p>
        </w:tc>
        <w:tc>
          <w:tcPr>
            <w:tcW w:w="3261" w:type="dxa"/>
            <w:tcMar>
              <w:top w:w="28" w:type="dxa"/>
              <w:bottom w:w="28" w:type="dxa"/>
            </w:tcMar>
          </w:tcPr>
          <w:p w:rsidR="00296670" w:rsidRDefault="00296670" w:rsidP="00296670">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296670" w:rsidRPr="00D97A4E" w:rsidRDefault="00D3647C" w:rsidP="0031270A">
            <w:pPr>
              <w:pStyle w:val="ListParagraph"/>
              <w:ind w:left="0"/>
              <w:jc w:val="both"/>
              <w:rPr>
                <w:rFonts w:ascii="Arial" w:hAnsi="Arial" w:cs="Arial"/>
                <w:iCs/>
                <w:sz w:val="20"/>
                <w:szCs w:val="20"/>
              </w:rPr>
            </w:pPr>
            <w:r w:rsidRPr="00D3647C">
              <w:rPr>
                <w:rFonts w:ascii="Arial" w:hAnsi="Arial" w:cs="Arial"/>
                <w:iCs/>
                <w:sz w:val="20"/>
                <w:szCs w:val="20"/>
              </w:rPr>
              <w:t xml:space="preserve">Sanofi will continue to work with the Department of Health and remains committed to securing access to </w:t>
            </w:r>
            <w:proofErr w:type="spellStart"/>
            <w:r w:rsidRPr="00D3647C">
              <w:rPr>
                <w:rFonts w:ascii="Arial" w:hAnsi="Arial" w:cs="Arial"/>
                <w:iCs/>
                <w:sz w:val="20"/>
                <w:szCs w:val="20"/>
              </w:rPr>
              <w:t>alirocumab</w:t>
            </w:r>
            <w:proofErr w:type="spellEnd"/>
            <w:r w:rsidRPr="00D3647C">
              <w:rPr>
                <w:rFonts w:ascii="Arial" w:hAnsi="Arial" w:cs="Arial"/>
                <w:iCs/>
                <w:sz w:val="20"/>
                <w:szCs w:val="20"/>
              </w:rPr>
              <w:t xml:space="preserve"> in patients with the highest unmet clinical need.</w:t>
            </w:r>
          </w:p>
        </w:tc>
      </w:tr>
      <w:tr w:rsidR="00296670" w:rsidRPr="00395B97" w:rsidTr="00896AE2">
        <w:trPr>
          <w:trHeight w:val="42"/>
        </w:trPr>
        <w:tc>
          <w:tcPr>
            <w:tcW w:w="2694" w:type="dxa"/>
            <w:vMerge w:val="restart"/>
            <w:tcMar>
              <w:top w:w="28" w:type="dxa"/>
              <w:bottom w:w="28" w:type="dxa"/>
            </w:tcMar>
          </w:tcPr>
          <w:p w:rsidR="00296670" w:rsidRPr="00E01B22" w:rsidRDefault="00296670" w:rsidP="00F13F46">
            <w:pPr>
              <w:rPr>
                <w:rFonts w:ascii="Arial" w:hAnsi="Arial" w:cs="Arial"/>
                <w:color w:val="000000"/>
              </w:rPr>
            </w:pPr>
            <w:r w:rsidRPr="00E01B22">
              <w:rPr>
                <w:rFonts w:ascii="Arial" w:hAnsi="Arial" w:cs="Arial"/>
                <w:color w:val="000000"/>
              </w:rPr>
              <w:t>AMINO ACID FORMULA with CARBOHYDRATE, VITAMINS, MINERALS and TRACE ELEMENTS WITHOUT PHENYLALANINE, SUPPLEMENTED WITH DOCOSAHEXAENOIC ACID</w:t>
            </w:r>
          </w:p>
          <w:p w:rsidR="00296670" w:rsidRPr="00E01B22" w:rsidRDefault="00296670" w:rsidP="00F13F46">
            <w:pPr>
              <w:rPr>
                <w:rFonts w:ascii="Arial" w:hAnsi="Arial" w:cs="Arial"/>
                <w:color w:val="000000"/>
              </w:rPr>
            </w:pPr>
          </w:p>
          <w:p w:rsidR="00296670" w:rsidRPr="00E01B22" w:rsidRDefault="00296670" w:rsidP="00F13F46">
            <w:pPr>
              <w:rPr>
                <w:rFonts w:ascii="Arial" w:hAnsi="Arial" w:cs="Arial"/>
                <w:color w:val="000000"/>
              </w:rPr>
            </w:pPr>
            <w:r w:rsidRPr="00E01B22">
              <w:rPr>
                <w:rFonts w:ascii="Arial" w:hAnsi="Arial" w:cs="Arial"/>
                <w:color w:val="000000"/>
              </w:rPr>
              <w:t>Sachets containing oral powder 33 g, 30 (PKU Synergy)</w:t>
            </w:r>
          </w:p>
          <w:p w:rsidR="00296670" w:rsidRPr="00E01B22" w:rsidRDefault="00296670" w:rsidP="00F13F46">
            <w:pPr>
              <w:rPr>
                <w:rFonts w:ascii="Arial" w:hAnsi="Arial" w:cs="Arial"/>
                <w:color w:val="000000"/>
              </w:rPr>
            </w:pPr>
            <w:r w:rsidRPr="00E01B22">
              <w:rPr>
                <w:rFonts w:ascii="Arial" w:hAnsi="Arial" w:cs="Arial"/>
                <w:color w:val="000000"/>
              </w:rPr>
              <w:t>PKU Synergy®</w:t>
            </w:r>
          </w:p>
          <w:p w:rsidR="00296670" w:rsidRPr="00E01B22" w:rsidRDefault="00296670" w:rsidP="00F13F46">
            <w:pPr>
              <w:rPr>
                <w:rFonts w:ascii="Arial" w:hAnsi="Arial" w:cs="Arial"/>
                <w:color w:val="000000"/>
              </w:rPr>
            </w:pPr>
          </w:p>
          <w:p w:rsidR="00296670" w:rsidRPr="00E01B22" w:rsidRDefault="00296670" w:rsidP="00F13F46">
            <w:pPr>
              <w:rPr>
                <w:rFonts w:ascii="Arial" w:hAnsi="Arial" w:cs="Arial"/>
                <w:color w:val="000000"/>
              </w:rPr>
            </w:pPr>
            <w:proofErr w:type="spellStart"/>
            <w:r w:rsidRPr="00E01B22">
              <w:rPr>
                <w:rFonts w:ascii="Arial" w:hAnsi="Arial" w:cs="Arial"/>
                <w:color w:val="000000"/>
              </w:rPr>
              <w:t>Nutricia</w:t>
            </w:r>
            <w:proofErr w:type="spellEnd"/>
            <w:r w:rsidRPr="00E01B22">
              <w:rPr>
                <w:rFonts w:ascii="Arial" w:hAnsi="Arial" w:cs="Arial"/>
                <w:color w:val="000000"/>
              </w:rPr>
              <w:t xml:space="preserve"> Australia Pty Ltd</w:t>
            </w:r>
          </w:p>
          <w:p w:rsidR="00296670" w:rsidRPr="00E01B22" w:rsidRDefault="00296670" w:rsidP="00F13F46">
            <w:pPr>
              <w:rPr>
                <w:rFonts w:ascii="Arial" w:hAnsi="Arial" w:cs="Arial"/>
                <w:color w:val="000000"/>
              </w:rPr>
            </w:pPr>
          </w:p>
          <w:p w:rsidR="00296670" w:rsidRPr="00E01B22" w:rsidRDefault="00296670" w:rsidP="00F13F46">
            <w:pPr>
              <w:rPr>
                <w:rFonts w:ascii="Arial" w:hAnsi="Arial" w:cs="Arial"/>
                <w:color w:val="000000"/>
              </w:rPr>
            </w:pPr>
            <w:r w:rsidRPr="00E01B22">
              <w:rPr>
                <w:rFonts w:ascii="Arial" w:hAnsi="Arial" w:cs="Arial"/>
                <w:color w:val="000000"/>
              </w:rPr>
              <w:t>New Listing</w:t>
            </w:r>
          </w:p>
          <w:p w:rsidR="00296670" w:rsidRDefault="00296670" w:rsidP="00F13F46">
            <w:pPr>
              <w:rPr>
                <w:rFonts w:ascii="Arial" w:hAnsi="Arial" w:cs="Arial"/>
                <w:color w:val="000000"/>
              </w:rPr>
            </w:pPr>
            <w:r w:rsidRPr="00E01B22">
              <w:rPr>
                <w:rFonts w:ascii="Arial" w:hAnsi="Arial" w:cs="Arial"/>
                <w:color w:val="000000"/>
              </w:rPr>
              <w:t>(Minor Submission)</w:t>
            </w:r>
          </w:p>
        </w:tc>
        <w:tc>
          <w:tcPr>
            <w:tcW w:w="2409" w:type="dxa"/>
            <w:vMerge w:val="restart"/>
          </w:tcPr>
          <w:p w:rsidR="00296670" w:rsidRPr="00E01B22" w:rsidRDefault="00296670" w:rsidP="00F13F46">
            <w:pPr>
              <w:pStyle w:val="Default"/>
              <w:rPr>
                <w:rFonts w:ascii="Arial" w:hAnsi="Arial" w:cs="Arial"/>
                <w:sz w:val="20"/>
                <w:szCs w:val="20"/>
              </w:rPr>
            </w:pPr>
            <w:r w:rsidRPr="00E01B22">
              <w:rPr>
                <w:rFonts w:ascii="Arial" w:hAnsi="Arial" w:cs="Arial"/>
                <w:sz w:val="20"/>
                <w:szCs w:val="20"/>
              </w:rPr>
              <w:t xml:space="preserve">Phenylketonuria </w:t>
            </w:r>
          </w:p>
          <w:p w:rsidR="00296670" w:rsidRDefault="00296670" w:rsidP="002A6AB9">
            <w:pPr>
              <w:rPr>
                <w:rFonts w:ascii="Arial" w:hAnsi="Arial" w:cs="Arial"/>
                <w:color w:val="000000"/>
              </w:rPr>
            </w:pPr>
          </w:p>
        </w:tc>
        <w:tc>
          <w:tcPr>
            <w:tcW w:w="3261" w:type="dxa"/>
            <w:tcMar>
              <w:top w:w="28" w:type="dxa"/>
              <w:bottom w:w="28" w:type="dxa"/>
            </w:tcMar>
          </w:tcPr>
          <w:p w:rsidR="00296670" w:rsidRPr="00F13F46" w:rsidRDefault="00296670" w:rsidP="0053482B">
            <w:pPr>
              <w:rPr>
                <w:rFonts w:ascii="Arial" w:hAnsi="Arial" w:cs="Arial"/>
                <w:color w:val="000000"/>
              </w:rPr>
            </w:pPr>
            <w:r w:rsidRPr="00E01B22">
              <w:rPr>
                <w:rFonts w:ascii="Arial" w:hAnsi="Arial" w:cs="Arial"/>
                <w:color w:val="000000"/>
              </w:rPr>
              <w:t>To request a Restricted Benefit listing of PKU Synergy for the dietary management of patients with phenylketonuria.</w:t>
            </w:r>
          </w:p>
        </w:tc>
        <w:tc>
          <w:tcPr>
            <w:tcW w:w="6947" w:type="dxa"/>
          </w:tcPr>
          <w:p w:rsidR="00296670" w:rsidRPr="00690F58" w:rsidRDefault="00296670" w:rsidP="0031270A">
            <w:pPr>
              <w:pStyle w:val="ListParagraph"/>
              <w:ind w:left="0"/>
              <w:jc w:val="both"/>
              <w:rPr>
                <w:rFonts w:ascii="Arial" w:hAnsi="Arial" w:cs="Arial"/>
                <w:iCs/>
                <w:sz w:val="20"/>
                <w:szCs w:val="20"/>
              </w:rPr>
            </w:pPr>
            <w:r>
              <w:rPr>
                <w:rFonts w:ascii="Arial" w:hAnsi="Arial" w:cs="Arial"/>
                <w:iCs/>
                <w:sz w:val="20"/>
                <w:szCs w:val="20"/>
              </w:rPr>
              <w:t>The</w:t>
            </w:r>
            <w:r w:rsidRPr="00F13F46">
              <w:rPr>
                <w:rFonts w:ascii="Arial" w:hAnsi="Arial" w:cs="Arial"/>
                <w:iCs/>
                <w:sz w:val="20"/>
                <w:szCs w:val="20"/>
              </w:rPr>
              <w:t xml:space="preserve"> PBAC did not recommend the listing of PKU Synergy® for the dietary management of Phenylketonuria (PKU) or </w:t>
            </w:r>
            <w:proofErr w:type="spellStart"/>
            <w:r w:rsidRPr="00F13F46">
              <w:rPr>
                <w:rFonts w:ascii="Arial" w:hAnsi="Arial" w:cs="Arial"/>
                <w:iCs/>
                <w:sz w:val="20"/>
                <w:szCs w:val="20"/>
              </w:rPr>
              <w:t>hyperphenylalanaemia</w:t>
            </w:r>
            <w:proofErr w:type="spellEnd"/>
            <w:r w:rsidRPr="00F13F46">
              <w:rPr>
                <w:rFonts w:ascii="Arial" w:hAnsi="Arial" w:cs="Arial"/>
                <w:iCs/>
                <w:sz w:val="20"/>
                <w:szCs w:val="20"/>
              </w:rPr>
              <w:t xml:space="preserve"> in children from 10 years of age on the basis </w:t>
            </w:r>
            <w:r>
              <w:rPr>
                <w:rFonts w:ascii="Arial" w:hAnsi="Arial" w:cs="Arial"/>
                <w:iCs/>
                <w:sz w:val="20"/>
                <w:szCs w:val="20"/>
              </w:rPr>
              <w:t xml:space="preserve">of concerns as to whether the </w:t>
            </w:r>
            <w:r w:rsidRPr="00D35F49">
              <w:rPr>
                <w:rFonts w:ascii="Arial" w:hAnsi="Arial" w:cs="Arial"/>
                <w:iCs/>
                <w:sz w:val="20"/>
                <w:szCs w:val="20"/>
              </w:rPr>
              <w:t xml:space="preserve">product would provide enough copper and phosphorus for patients on a relaxed diet </w:t>
            </w:r>
            <w:r>
              <w:rPr>
                <w:rFonts w:ascii="Arial" w:hAnsi="Arial" w:cs="Arial"/>
                <w:iCs/>
                <w:sz w:val="20"/>
                <w:szCs w:val="20"/>
              </w:rPr>
              <w:t xml:space="preserve">and </w:t>
            </w:r>
            <w:r w:rsidRPr="00F13F46">
              <w:rPr>
                <w:rFonts w:ascii="Arial" w:hAnsi="Arial" w:cs="Arial"/>
                <w:iCs/>
                <w:sz w:val="20"/>
                <w:szCs w:val="20"/>
              </w:rPr>
              <w:t xml:space="preserve">that the PBAC considered that there were other products with better nutritional profiles for this patient population. The PBAC advised that </w:t>
            </w:r>
            <w:r>
              <w:rPr>
                <w:rFonts w:ascii="Arial" w:hAnsi="Arial" w:cs="Arial"/>
                <w:iCs/>
                <w:sz w:val="20"/>
                <w:szCs w:val="20"/>
              </w:rPr>
              <w:t>a case for the</w:t>
            </w:r>
            <w:r w:rsidRPr="00F13F46">
              <w:rPr>
                <w:rFonts w:ascii="Arial" w:hAnsi="Arial" w:cs="Arial"/>
                <w:iCs/>
                <w:sz w:val="20"/>
                <w:szCs w:val="20"/>
              </w:rPr>
              <w:t xml:space="preserve"> clinical need for this product</w:t>
            </w:r>
            <w:r>
              <w:rPr>
                <w:rFonts w:ascii="Arial" w:hAnsi="Arial" w:cs="Arial"/>
                <w:iCs/>
                <w:sz w:val="20"/>
                <w:szCs w:val="20"/>
              </w:rPr>
              <w:t xml:space="preserve"> had not been made</w:t>
            </w:r>
            <w:r w:rsidRPr="00F13F46">
              <w:rPr>
                <w:rFonts w:ascii="Arial" w:hAnsi="Arial" w:cs="Arial"/>
                <w:iCs/>
                <w:sz w:val="20"/>
                <w:szCs w:val="20"/>
              </w:rPr>
              <w:t>.</w:t>
            </w:r>
          </w:p>
        </w:tc>
      </w:tr>
      <w:tr w:rsidR="00296670" w:rsidRPr="00395B97" w:rsidTr="00896AE2">
        <w:trPr>
          <w:trHeight w:val="440"/>
        </w:trPr>
        <w:tc>
          <w:tcPr>
            <w:tcW w:w="2694" w:type="dxa"/>
            <w:vMerge/>
            <w:tcMar>
              <w:top w:w="28" w:type="dxa"/>
              <w:bottom w:w="28" w:type="dxa"/>
            </w:tcMar>
          </w:tcPr>
          <w:p w:rsidR="00296670" w:rsidRPr="00E01B22" w:rsidRDefault="00296670" w:rsidP="00F13F46">
            <w:pPr>
              <w:rPr>
                <w:rFonts w:ascii="Arial" w:hAnsi="Arial" w:cs="Arial"/>
                <w:color w:val="000000"/>
              </w:rPr>
            </w:pPr>
          </w:p>
        </w:tc>
        <w:tc>
          <w:tcPr>
            <w:tcW w:w="2409" w:type="dxa"/>
            <w:vMerge/>
          </w:tcPr>
          <w:p w:rsidR="00296670" w:rsidRPr="00E01B22" w:rsidRDefault="00296670" w:rsidP="00F13F46">
            <w:pPr>
              <w:pStyle w:val="Default"/>
              <w:rPr>
                <w:rFonts w:ascii="Arial" w:hAnsi="Arial" w:cs="Arial"/>
                <w:sz w:val="20"/>
                <w:szCs w:val="20"/>
              </w:rPr>
            </w:pPr>
          </w:p>
        </w:tc>
        <w:tc>
          <w:tcPr>
            <w:tcW w:w="3261" w:type="dxa"/>
            <w:tcMar>
              <w:top w:w="28" w:type="dxa"/>
              <w:bottom w:w="28" w:type="dxa"/>
            </w:tcMar>
          </w:tcPr>
          <w:p w:rsidR="00296670" w:rsidRPr="00E01B22" w:rsidRDefault="00296670" w:rsidP="00296670">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296670" w:rsidDel="00D35F49" w:rsidRDefault="00690F58" w:rsidP="0031270A">
            <w:pPr>
              <w:pStyle w:val="ListParagraph"/>
              <w:ind w:left="0" w:firstLine="2"/>
              <w:jc w:val="both"/>
              <w:rPr>
                <w:rFonts w:ascii="Arial" w:hAnsi="Arial" w:cs="Arial"/>
                <w:iCs/>
                <w:sz w:val="20"/>
                <w:szCs w:val="20"/>
              </w:rPr>
            </w:pPr>
            <w:r w:rsidRPr="000A73B2">
              <w:rPr>
                <w:rFonts w:ascii="Arial" w:hAnsi="Arial" w:cs="Arial"/>
                <w:iCs/>
                <w:sz w:val="20"/>
                <w:szCs w:val="20"/>
              </w:rPr>
              <w:t xml:space="preserve">Whilst </w:t>
            </w:r>
            <w:proofErr w:type="spellStart"/>
            <w:r w:rsidRPr="000A73B2">
              <w:rPr>
                <w:rFonts w:ascii="Arial" w:hAnsi="Arial" w:cs="Arial"/>
                <w:iCs/>
                <w:sz w:val="20"/>
                <w:szCs w:val="20"/>
              </w:rPr>
              <w:t>Nutricia</w:t>
            </w:r>
            <w:proofErr w:type="spellEnd"/>
            <w:r w:rsidRPr="000A73B2">
              <w:rPr>
                <w:rFonts w:ascii="Arial" w:hAnsi="Arial" w:cs="Arial"/>
                <w:iCs/>
                <w:sz w:val="20"/>
                <w:szCs w:val="20"/>
              </w:rPr>
              <w:t xml:space="preserve"> is disappointed in the PBAC outcome, we will continue to work with the PBAC on demonstrating the value of PKU Synergy. </w:t>
            </w:r>
            <w:proofErr w:type="spellStart"/>
            <w:r w:rsidRPr="000A73B2">
              <w:rPr>
                <w:rFonts w:ascii="Arial" w:hAnsi="Arial" w:cs="Arial"/>
                <w:iCs/>
                <w:sz w:val="20"/>
                <w:szCs w:val="20"/>
              </w:rPr>
              <w:t>Nutricia</w:t>
            </w:r>
            <w:proofErr w:type="spellEnd"/>
            <w:r w:rsidRPr="000A73B2">
              <w:rPr>
                <w:rFonts w:ascii="Arial" w:hAnsi="Arial" w:cs="Arial"/>
                <w:iCs/>
                <w:sz w:val="20"/>
                <w:szCs w:val="20"/>
              </w:rPr>
              <w:t xml:space="preserve"> firmly believes that medical nutrition products are important in the nutritional management of patients with a disease, disorder or medical condition and will continue to seek subsidised access for patients.</w:t>
            </w:r>
          </w:p>
        </w:tc>
      </w:tr>
      <w:tr w:rsidR="00296670" w:rsidRPr="00395B97" w:rsidTr="007B5909">
        <w:trPr>
          <w:trHeight w:val="2672"/>
        </w:trPr>
        <w:tc>
          <w:tcPr>
            <w:tcW w:w="2694" w:type="dxa"/>
            <w:vMerge w:val="restart"/>
            <w:tcMar>
              <w:top w:w="28" w:type="dxa"/>
              <w:bottom w:w="28" w:type="dxa"/>
            </w:tcMar>
          </w:tcPr>
          <w:p w:rsidR="00296670" w:rsidRPr="001C1D66" w:rsidRDefault="00296670" w:rsidP="0053482B">
            <w:pPr>
              <w:rPr>
                <w:rFonts w:ascii="Arial" w:hAnsi="Arial" w:cs="Arial"/>
                <w:color w:val="000000"/>
              </w:rPr>
            </w:pPr>
            <w:r w:rsidRPr="001C1D66">
              <w:rPr>
                <w:rFonts w:ascii="Arial" w:hAnsi="Arial" w:cs="Arial"/>
                <w:color w:val="000000"/>
              </w:rPr>
              <w:lastRenderedPageBreak/>
              <w:t xml:space="preserve">BEZLOTOXUMAB </w:t>
            </w:r>
            <w:r w:rsidRPr="001C1D66">
              <w:rPr>
                <w:rFonts w:ascii="Arial" w:hAnsi="Arial" w:cs="Arial"/>
                <w:color w:val="000000"/>
              </w:rPr>
              <w:br/>
            </w:r>
          </w:p>
          <w:p w:rsidR="00296670" w:rsidRDefault="00296670" w:rsidP="0053482B">
            <w:pPr>
              <w:rPr>
                <w:rFonts w:ascii="Arial" w:hAnsi="Arial" w:cs="Arial"/>
              </w:rPr>
            </w:pPr>
            <w:r>
              <w:rPr>
                <w:rFonts w:ascii="Arial" w:hAnsi="Arial" w:cs="Arial"/>
              </w:rPr>
              <w:t xml:space="preserve">Solution concentrate for I.V. infusion 1000 mg in 40 mL </w:t>
            </w:r>
          </w:p>
          <w:p w:rsidR="00296670" w:rsidRDefault="00296670" w:rsidP="0053482B">
            <w:pPr>
              <w:rPr>
                <w:rFonts w:ascii="Arial" w:hAnsi="Arial" w:cs="Arial"/>
              </w:rPr>
            </w:pPr>
            <w:r w:rsidRPr="001C1D66">
              <w:rPr>
                <w:rFonts w:ascii="Arial" w:hAnsi="Arial" w:cs="Arial"/>
                <w:color w:val="000000"/>
              </w:rPr>
              <w:br/>
            </w:r>
            <w:proofErr w:type="spellStart"/>
            <w:r w:rsidRPr="001C1D66">
              <w:rPr>
                <w:rFonts w:ascii="Arial" w:hAnsi="Arial" w:cs="Arial"/>
                <w:color w:val="000000"/>
              </w:rPr>
              <w:t>Zinplava</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Merck Sharp &amp; Dohme (Australia) Pty Ltd</w:t>
            </w:r>
            <w:r w:rsidRPr="00395B97">
              <w:rPr>
                <w:rFonts w:ascii="Arial" w:hAnsi="Arial" w:cs="Arial"/>
              </w:rPr>
              <w:t xml:space="preserve"> </w:t>
            </w:r>
          </w:p>
          <w:p w:rsidR="00296670" w:rsidRPr="00395B97" w:rsidRDefault="00296670" w:rsidP="0053482B">
            <w:pPr>
              <w:rPr>
                <w:rFonts w:ascii="Arial" w:hAnsi="Arial" w:cs="Arial"/>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296670" w:rsidRPr="00395B97" w:rsidRDefault="00296670" w:rsidP="002A6AB9">
            <w:pPr>
              <w:rPr>
                <w:rFonts w:ascii="Arial" w:hAnsi="Arial" w:cs="Arial"/>
              </w:rPr>
            </w:pPr>
            <w:r w:rsidRPr="001C1D66">
              <w:rPr>
                <w:rFonts w:ascii="Arial" w:hAnsi="Arial" w:cs="Arial"/>
                <w:color w:val="000000"/>
              </w:rPr>
              <w:t>Prevention of Clostridium difficile infection (CDI) recurrence</w:t>
            </w:r>
          </w:p>
        </w:tc>
        <w:tc>
          <w:tcPr>
            <w:tcW w:w="3261" w:type="dxa"/>
            <w:tcMar>
              <w:top w:w="28" w:type="dxa"/>
              <w:bottom w:w="28" w:type="dxa"/>
            </w:tcMar>
          </w:tcPr>
          <w:p w:rsidR="00296670" w:rsidRPr="00395B97" w:rsidRDefault="00296670" w:rsidP="002A6AB9">
            <w:pPr>
              <w:jc w:val="both"/>
              <w:rPr>
                <w:rFonts w:ascii="Arial" w:hAnsi="Arial" w:cs="Arial"/>
              </w:rPr>
            </w:pPr>
            <w:r>
              <w:rPr>
                <w:rFonts w:ascii="Arial" w:hAnsi="Arial" w:cs="Arial"/>
              </w:rPr>
              <w:t>To request a Section 100 (Highly Specialised Drugs Program) Authority Required listing to prevent recurrence of CDI, as an add-on to antibiotic treatment.</w:t>
            </w:r>
          </w:p>
        </w:tc>
        <w:tc>
          <w:tcPr>
            <w:tcW w:w="6947" w:type="dxa"/>
          </w:tcPr>
          <w:p w:rsidR="00296670" w:rsidRPr="00395B97" w:rsidRDefault="00296670" w:rsidP="0031270A">
            <w:pPr>
              <w:pStyle w:val="ListParagraph"/>
              <w:ind w:left="0"/>
              <w:jc w:val="both"/>
              <w:rPr>
                <w:rFonts w:ascii="Arial" w:hAnsi="Arial" w:cs="Arial"/>
                <w:iCs/>
                <w:sz w:val="20"/>
                <w:szCs w:val="20"/>
              </w:rPr>
            </w:pPr>
            <w:r w:rsidRPr="005237D0">
              <w:rPr>
                <w:rFonts w:ascii="Arial" w:hAnsi="Arial" w:cs="Arial"/>
                <w:iCs/>
                <w:sz w:val="20"/>
                <w:szCs w:val="20"/>
              </w:rPr>
              <w:t xml:space="preserve">The PBAC did not recommend the listing of </w:t>
            </w:r>
            <w:proofErr w:type="spellStart"/>
            <w:r w:rsidRPr="005237D0">
              <w:rPr>
                <w:rFonts w:ascii="Arial" w:hAnsi="Arial" w:cs="Arial"/>
                <w:iCs/>
                <w:sz w:val="20"/>
                <w:szCs w:val="20"/>
              </w:rPr>
              <w:t>bezlotoxumab</w:t>
            </w:r>
            <w:proofErr w:type="spellEnd"/>
            <w:r w:rsidRPr="005237D0">
              <w:rPr>
                <w:rFonts w:ascii="Arial" w:hAnsi="Arial" w:cs="Arial"/>
                <w:iCs/>
                <w:sz w:val="20"/>
                <w:szCs w:val="20"/>
              </w:rPr>
              <w:t xml:space="preserve"> on the PBS for the prevention of recurrence of Clostridium difficile infection (CDI) in patients receiving antibiotic therapy for CDI on the basis of modest comparative effectiveness and uncertain cost-effectiveness in the Australian setting. The PBAC considered that the group at highest risk of recurrence, and therefore most likely to benefit from treatment, was uncertain. The PBAC was also of the view that while there was a statistically significant reduction in the rate of recurrence in patients treated with </w:t>
            </w:r>
            <w:proofErr w:type="spellStart"/>
            <w:r w:rsidRPr="005237D0">
              <w:rPr>
                <w:rFonts w:ascii="Arial" w:hAnsi="Arial" w:cs="Arial"/>
                <w:iCs/>
                <w:sz w:val="20"/>
                <w:szCs w:val="20"/>
              </w:rPr>
              <w:t>bezlotoxumab</w:t>
            </w:r>
            <w:proofErr w:type="spellEnd"/>
            <w:r w:rsidRPr="005237D0">
              <w:rPr>
                <w:rFonts w:ascii="Arial" w:hAnsi="Arial" w:cs="Arial"/>
                <w:iCs/>
                <w:sz w:val="20"/>
                <w:szCs w:val="20"/>
              </w:rPr>
              <w:t xml:space="preserve">, the magnitude of benefit was marginal. Further, the PBAC considered that the economic model overestimated the mortality benefit of </w:t>
            </w:r>
            <w:proofErr w:type="spellStart"/>
            <w:r w:rsidRPr="005237D0">
              <w:rPr>
                <w:rFonts w:ascii="Arial" w:hAnsi="Arial" w:cs="Arial"/>
                <w:iCs/>
                <w:sz w:val="20"/>
                <w:szCs w:val="20"/>
              </w:rPr>
              <w:t>bezlotoxumab</w:t>
            </w:r>
            <w:proofErr w:type="spellEnd"/>
            <w:r w:rsidRPr="005237D0">
              <w:rPr>
                <w:rFonts w:ascii="Arial" w:hAnsi="Arial" w:cs="Arial"/>
                <w:iCs/>
                <w:sz w:val="20"/>
                <w:szCs w:val="20"/>
              </w:rPr>
              <w:t xml:space="preserve"> treatment and did not account for other potential quality of life and health system benefits.</w:t>
            </w:r>
          </w:p>
        </w:tc>
      </w:tr>
      <w:tr w:rsidR="00296670" w:rsidRPr="00395B97" w:rsidTr="00B333A3">
        <w:trPr>
          <w:trHeight w:val="465"/>
        </w:trPr>
        <w:tc>
          <w:tcPr>
            <w:tcW w:w="2694" w:type="dxa"/>
            <w:vMerge/>
            <w:tcMar>
              <w:top w:w="28" w:type="dxa"/>
              <w:bottom w:w="28" w:type="dxa"/>
            </w:tcMar>
          </w:tcPr>
          <w:p w:rsidR="00296670" w:rsidRPr="001C1D66" w:rsidRDefault="00296670" w:rsidP="0053482B">
            <w:pPr>
              <w:rPr>
                <w:rFonts w:ascii="Arial" w:hAnsi="Arial" w:cs="Arial"/>
                <w:color w:val="000000"/>
              </w:rPr>
            </w:pPr>
          </w:p>
        </w:tc>
        <w:tc>
          <w:tcPr>
            <w:tcW w:w="2409" w:type="dxa"/>
            <w:vMerge/>
          </w:tcPr>
          <w:p w:rsidR="00296670" w:rsidRPr="001C1D66" w:rsidRDefault="00296670" w:rsidP="002A6AB9">
            <w:pPr>
              <w:rPr>
                <w:rFonts w:ascii="Arial" w:hAnsi="Arial" w:cs="Arial"/>
                <w:color w:val="000000"/>
              </w:rPr>
            </w:pPr>
          </w:p>
        </w:tc>
        <w:tc>
          <w:tcPr>
            <w:tcW w:w="3261" w:type="dxa"/>
            <w:tcMar>
              <w:top w:w="28" w:type="dxa"/>
              <w:bottom w:w="28" w:type="dxa"/>
            </w:tcMar>
          </w:tcPr>
          <w:p w:rsidR="00296670" w:rsidRDefault="00BF16B4" w:rsidP="00BF16B4">
            <w:pPr>
              <w:jc w:val="right"/>
              <w:rPr>
                <w:rFonts w:ascii="Arial" w:hAnsi="Arial" w:cs="Arial"/>
              </w:rPr>
            </w:pPr>
            <w:r w:rsidRPr="00BF16B4">
              <w:rPr>
                <w:rFonts w:ascii="Arial" w:hAnsi="Arial" w:cs="Arial"/>
              </w:rPr>
              <w:t>Sponsor Comment:</w:t>
            </w:r>
          </w:p>
        </w:tc>
        <w:tc>
          <w:tcPr>
            <w:tcW w:w="6947" w:type="dxa"/>
          </w:tcPr>
          <w:p w:rsidR="00296670" w:rsidRPr="005237D0" w:rsidRDefault="009F1B34" w:rsidP="0031270A">
            <w:pPr>
              <w:pStyle w:val="ListParagraph"/>
              <w:ind w:left="0"/>
              <w:jc w:val="both"/>
              <w:rPr>
                <w:rFonts w:ascii="Arial" w:hAnsi="Arial" w:cs="Arial"/>
                <w:iCs/>
                <w:sz w:val="20"/>
                <w:szCs w:val="20"/>
              </w:rPr>
            </w:pPr>
            <w:r>
              <w:rPr>
                <w:rFonts w:ascii="Arial" w:hAnsi="Arial" w:cs="Arial"/>
                <w:sz w:val="20"/>
                <w:szCs w:val="20"/>
              </w:rPr>
              <w:t>The Sponsor had no comment.</w:t>
            </w:r>
          </w:p>
        </w:tc>
      </w:tr>
      <w:tr w:rsidR="00BF16B4" w:rsidRPr="00395B97" w:rsidTr="00CB0A0C">
        <w:trPr>
          <w:trHeight w:val="6216"/>
        </w:trPr>
        <w:tc>
          <w:tcPr>
            <w:tcW w:w="2694" w:type="dxa"/>
            <w:vMerge w:val="restart"/>
            <w:tcMar>
              <w:top w:w="28" w:type="dxa"/>
              <w:bottom w:w="28" w:type="dxa"/>
            </w:tcMar>
          </w:tcPr>
          <w:p w:rsidR="00BF16B4" w:rsidRDefault="00BF16B4" w:rsidP="002A6AB9">
            <w:pPr>
              <w:rPr>
                <w:rFonts w:ascii="Arial" w:hAnsi="Arial" w:cs="Arial"/>
              </w:rPr>
            </w:pPr>
            <w:r w:rsidRPr="001C1D66">
              <w:rPr>
                <w:rFonts w:ascii="Arial" w:hAnsi="Arial" w:cs="Arial"/>
                <w:color w:val="000000"/>
              </w:rPr>
              <w:lastRenderedPageBreak/>
              <w:t>BUDESONIDE</w:t>
            </w:r>
            <w:r w:rsidRPr="001C1D66">
              <w:rPr>
                <w:rFonts w:ascii="Arial" w:hAnsi="Arial" w:cs="Arial"/>
                <w:color w:val="000000"/>
              </w:rPr>
              <w:br/>
            </w:r>
            <w:r w:rsidRPr="001C1D66">
              <w:rPr>
                <w:rFonts w:ascii="Arial" w:hAnsi="Arial" w:cs="Arial"/>
                <w:color w:val="000000"/>
              </w:rPr>
              <w:br/>
            </w:r>
            <w:r w:rsidRPr="00FF3AF6">
              <w:rPr>
                <w:rFonts w:ascii="Arial" w:hAnsi="Arial" w:cs="Arial"/>
                <w:color w:val="000000"/>
              </w:rPr>
              <w:t>Capsule (modified release) 3 mg</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Entocort</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Emerge Health Pty Ltd</w:t>
            </w:r>
            <w:r w:rsidRPr="00395B97">
              <w:rPr>
                <w:rFonts w:ascii="Arial" w:hAnsi="Arial" w:cs="Arial"/>
              </w:rPr>
              <w:t xml:space="preserve"> </w:t>
            </w:r>
          </w:p>
          <w:p w:rsidR="00BF16B4" w:rsidRPr="00395B97" w:rsidRDefault="00BF16B4" w:rsidP="002A6AB9">
            <w:pPr>
              <w:rPr>
                <w:rFonts w:ascii="Arial" w:hAnsi="Arial" w:cs="Arial"/>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Crohn disease</w:t>
            </w:r>
          </w:p>
        </w:tc>
        <w:tc>
          <w:tcPr>
            <w:tcW w:w="3261" w:type="dxa"/>
            <w:tcMar>
              <w:top w:w="28" w:type="dxa"/>
              <w:bottom w:w="28" w:type="dxa"/>
            </w:tcMar>
          </w:tcPr>
          <w:p w:rsidR="00BF16B4" w:rsidRDefault="00BF16B4" w:rsidP="00FC06CC">
            <w:pPr>
              <w:rPr>
                <w:rFonts w:ascii="Arial" w:hAnsi="Arial" w:cs="Arial"/>
                <w:color w:val="000000"/>
              </w:rPr>
            </w:pPr>
            <w:r>
              <w:rPr>
                <w:rFonts w:ascii="Arial" w:hAnsi="Arial" w:cs="Arial"/>
                <w:color w:val="000000"/>
              </w:rPr>
              <w:t>To request an Authority Required listing for the treatment of patients with mild to moderate Crohn disease (CD) affecting the ileum and/or the ascending colon who meet certain criteria.</w:t>
            </w:r>
          </w:p>
          <w:p w:rsidR="00BF16B4" w:rsidRPr="00395B97" w:rsidRDefault="00BF16B4" w:rsidP="002A6AB9">
            <w:pPr>
              <w:jc w:val="both"/>
              <w:rPr>
                <w:rFonts w:ascii="Arial" w:hAnsi="Arial" w:cs="Arial"/>
              </w:rPr>
            </w:pPr>
          </w:p>
        </w:tc>
        <w:tc>
          <w:tcPr>
            <w:tcW w:w="6947" w:type="dxa"/>
          </w:tcPr>
          <w:p w:rsidR="00BF16B4" w:rsidRPr="007D1A17" w:rsidRDefault="00BF16B4" w:rsidP="0031270A">
            <w:pPr>
              <w:pStyle w:val="ListParagraph"/>
              <w:ind w:left="0"/>
              <w:jc w:val="both"/>
              <w:rPr>
                <w:rFonts w:ascii="Arial" w:hAnsi="Arial" w:cs="Arial"/>
                <w:iCs/>
                <w:sz w:val="20"/>
                <w:szCs w:val="20"/>
              </w:rPr>
            </w:pPr>
            <w:r w:rsidRPr="007D1A17">
              <w:rPr>
                <w:rFonts w:ascii="Arial" w:hAnsi="Arial" w:cs="Arial"/>
                <w:iCs/>
                <w:sz w:val="20"/>
                <w:szCs w:val="20"/>
              </w:rPr>
              <w:t xml:space="preserve">The PBAC did not recommend the listing of budesonide controlled release capsules for treatment of mild to moderate CD affecting the ileum and/or the ascending colon on the basis that the nominated comparator (treatment likely to be replaced in practice) was not appropriate, and that cost-effectiveness against the appropriate comparator had not been established. </w:t>
            </w:r>
          </w:p>
          <w:p w:rsidR="00BF16B4" w:rsidRPr="007D1A17" w:rsidRDefault="00BF16B4" w:rsidP="0031270A">
            <w:pPr>
              <w:pStyle w:val="ListParagraph"/>
              <w:ind w:left="0"/>
              <w:jc w:val="both"/>
              <w:rPr>
                <w:rFonts w:ascii="Arial" w:hAnsi="Arial" w:cs="Arial"/>
                <w:iCs/>
                <w:sz w:val="20"/>
                <w:szCs w:val="20"/>
              </w:rPr>
            </w:pPr>
            <w:r w:rsidRPr="007D1A17">
              <w:rPr>
                <w:rFonts w:ascii="Arial" w:hAnsi="Arial" w:cs="Arial"/>
                <w:iCs/>
                <w:sz w:val="20"/>
                <w:szCs w:val="20"/>
              </w:rPr>
              <w:t xml:space="preserve">The PBAC noted that evidence on lack of efficacy of </w:t>
            </w:r>
            <w:proofErr w:type="spellStart"/>
            <w:r w:rsidRPr="007D1A17">
              <w:rPr>
                <w:rFonts w:ascii="Arial" w:hAnsi="Arial" w:cs="Arial"/>
                <w:iCs/>
                <w:sz w:val="20"/>
                <w:szCs w:val="20"/>
              </w:rPr>
              <w:t>aminosalicylate</w:t>
            </w:r>
            <w:proofErr w:type="spellEnd"/>
            <w:r>
              <w:rPr>
                <w:rFonts w:ascii="Arial" w:hAnsi="Arial" w:cs="Arial"/>
                <w:iCs/>
                <w:sz w:val="20"/>
                <w:szCs w:val="20"/>
              </w:rPr>
              <w:t xml:space="preserve"> drugs</w:t>
            </w:r>
            <w:r w:rsidRPr="007D1A17">
              <w:rPr>
                <w:rFonts w:ascii="Arial" w:hAnsi="Arial" w:cs="Arial"/>
                <w:iCs/>
                <w:sz w:val="20"/>
                <w:szCs w:val="20"/>
              </w:rPr>
              <w:t xml:space="preserve"> </w:t>
            </w:r>
            <w:r>
              <w:rPr>
                <w:rFonts w:ascii="Arial" w:hAnsi="Arial" w:cs="Arial"/>
                <w:iCs/>
                <w:sz w:val="20"/>
                <w:szCs w:val="20"/>
              </w:rPr>
              <w:t>(</w:t>
            </w:r>
            <w:r w:rsidRPr="007D1A17">
              <w:rPr>
                <w:rFonts w:ascii="Arial" w:hAnsi="Arial" w:cs="Arial"/>
                <w:iCs/>
                <w:sz w:val="20"/>
                <w:szCs w:val="20"/>
              </w:rPr>
              <w:t>5-ASAs</w:t>
            </w:r>
            <w:r>
              <w:rPr>
                <w:rFonts w:ascii="Arial" w:hAnsi="Arial" w:cs="Arial"/>
                <w:iCs/>
                <w:sz w:val="20"/>
                <w:szCs w:val="20"/>
              </w:rPr>
              <w:t>)</w:t>
            </w:r>
            <w:r w:rsidRPr="007D1A17">
              <w:rPr>
                <w:rFonts w:ascii="Arial" w:hAnsi="Arial" w:cs="Arial"/>
                <w:iCs/>
                <w:sz w:val="20"/>
                <w:szCs w:val="20"/>
              </w:rPr>
              <w:t xml:space="preserve"> in CD had emerged in recent years (Lim 2016 Cochrane review) and that they were not recommended by recent Australian guidelines while oral corticosteroids and budesonide were. Hence, the PBAC considered</w:t>
            </w:r>
            <w:r>
              <w:rPr>
                <w:rFonts w:ascii="Arial" w:hAnsi="Arial" w:cs="Arial"/>
                <w:iCs/>
                <w:sz w:val="20"/>
                <w:szCs w:val="20"/>
              </w:rPr>
              <w:t xml:space="preserve"> that the 5-ASA drug </w:t>
            </w:r>
            <w:proofErr w:type="spellStart"/>
            <w:r w:rsidR="00690F58">
              <w:rPr>
                <w:rFonts w:ascii="Arial" w:hAnsi="Arial" w:cs="Arial"/>
                <w:iCs/>
                <w:sz w:val="20"/>
                <w:szCs w:val="20"/>
              </w:rPr>
              <w:t>m</w:t>
            </w:r>
            <w:r>
              <w:rPr>
                <w:rFonts w:ascii="Arial" w:hAnsi="Arial" w:cs="Arial"/>
                <w:iCs/>
                <w:sz w:val="20"/>
                <w:szCs w:val="20"/>
              </w:rPr>
              <w:t>esalazine</w:t>
            </w:r>
            <w:proofErr w:type="spellEnd"/>
            <w:r>
              <w:rPr>
                <w:rFonts w:ascii="Arial" w:hAnsi="Arial" w:cs="Arial"/>
                <w:iCs/>
                <w:sz w:val="20"/>
                <w:szCs w:val="20"/>
              </w:rPr>
              <w:t xml:space="preserve"> nominated as the comparator in the submission was not reflective of contemporary practice and that</w:t>
            </w:r>
            <w:r w:rsidRPr="007D1A17">
              <w:rPr>
                <w:rFonts w:ascii="Arial" w:hAnsi="Arial" w:cs="Arial"/>
                <w:iCs/>
                <w:sz w:val="20"/>
                <w:szCs w:val="20"/>
              </w:rPr>
              <w:t xml:space="preserve"> prednisolone (or a similar oral corticosteroid) </w:t>
            </w:r>
            <w:r>
              <w:rPr>
                <w:rFonts w:ascii="Arial" w:hAnsi="Arial" w:cs="Arial"/>
                <w:iCs/>
                <w:sz w:val="20"/>
                <w:szCs w:val="20"/>
              </w:rPr>
              <w:t xml:space="preserve">would be </w:t>
            </w:r>
            <w:r w:rsidRPr="007D1A17">
              <w:rPr>
                <w:rFonts w:ascii="Arial" w:hAnsi="Arial" w:cs="Arial"/>
                <w:iCs/>
                <w:sz w:val="20"/>
                <w:szCs w:val="20"/>
              </w:rPr>
              <w:t>a more appropriate comparator for budesonide as it is the treatment most likely to be replaced in practice.</w:t>
            </w:r>
          </w:p>
          <w:p w:rsidR="00BF16B4" w:rsidRPr="007D1A17" w:rsidRDefault="00BF16B4" w:rsidP="0031270A">
            <w:pPr>
              <w:pStyle w:val="ListParagraph"/>
              <w:ind w:left="0"/>
              <w:jc w:val="both"/>
              <w:rPr>
                <w:rFonts w:ascii="Arial" w:hAnsi="Arial" w:cs="Arial"/>
                <w:iCs/>
                <w:sz w:val="20"/>
                <w:szCs w:val="20"/>
              </w:rPr>
            </w:pPr>
            <w:r w:rsidRPr="007D1A17">
              <w:rPr>
                <w:rFonts w:ascii="Arial" w:hAnsi="Arial" w:cs="Arial"/>
                <w:iCs/>
                <w:sz w:val="20"/>
                <w:szCs w:val="20"/>
              </w:rPr>
              <w:t xml:space="preserve">The PBAC considered that in terms of efficacy budesonide may be slightly inferior to prednisolone but that in terms of safety, the trial evidence suggests budesonide to be superior to prednisolone, particularly in terms of glucocorticoid associated </w:t>
            </w:r>
            <w:r>
              <w:rPr>
                <w:rFonts w:ascii="Arial" w:hAnsi="Arial" w:cs="Arial"/>
                <w:iCs/>
                <w:sz w:val="20"/>
                <w:szCs w:val="20"/>
              </w:rPr>
              <w:t xml:space="preserve">adverse </w:t>
            </w:r>
            <w:r w:rsidR="00690F58">
              <w:rPr>
                <w:rFonts w:ascii="Arial" w:hAnsi="Arial" w:cs="Arial"/>
                <w:iCs/>
                <w:sz w:val="20"/>
                <w:szCs w:val="20"/>
              </w:rPr>
              <w:t>events.</w:t>
            </w:r>
          </w:p>
          <w:p w:rsidR="00BF16B4" w:rsidRPr="007D1A17" w:rsidRDefault="00BF16B4" w:rsidP="0031270A">
            <w:pPr>
              <w:pStyle w:val="ListParagraph"/>
              <w:ind w:left="0"/>
              <w:jc w:val="both"/>
              <w:rPr>
                <w:rFonts w:ascii="Arial" w:hAnsi="Arial" w:cs="Arial"/>
                <w:iCs/>
                <w:sz w:val="20"/>
                <w:szCs w:val="20"/>
              </w:rPr>
            </w:pPr>
            <w:r w:rsidRPr="007D1A17">
              <w:rPr>
                <w:rFonts w:ascii="Arial" w:hAnsi="Arial" w:cs="Arial"/>
                <w:iCs/>
                <w:sz w:val="20"/>
                <w:szCs w:val="20"/>
              </w:rPr>
              <w:t xml:space="preserve">A cost-minimisation analysis versus prednisolone was conducted during the evaluation. The PBAC considered </w:t>
            </w:r>
            <w:r>
              <w:rPr>
                <w:rFonts w:ascii="Arial" w:hAnsi="Arial" w:cs="Arial"/>
                <w:iCs/>
                <w:sz w:val="20"/>
                <w:szCs w:val="20"/>
              </w:rPr>
              <w:t xml:space="preserve">that a </w:t>
            </w:r>
            <w:r w:rsidRPr="00D9070B">
              <w:rPr>
                <w:rFonts w:ascii="Arial" w:hAnsi="Arial" w:cs="Arial"/>
                <w:iCs/>
                <w:sz w:val="20"/>
                <w:szCs w:val="20"/>
              </w:rPr>
              <w:t xml:space="preserve">cost-minimisation analysis versus prednisolone conducted during the evaluation </w:t>
            </w:r>
            <w:r w:rsidRPr="007D1A17">
              <w:rPr>
                <w:rFonts w:ascii="Arial" w:hAnsi="Arial" w:cs="Arial"/>
                <w:iCs/>
                <w:sz w:val="20"/>
                <w:szCs w:val="20"/>
              </w:rPr>
              <w:t>highlighted the substantial price difference between budesonide and prednisolone</w:t>
            </w:r>
            <w:r>
              <w:rPr>
                <w:rFonts w:ascii="Arial" w:hAnsi="Arial" w:cs="Arial"/>
                <w:iCs/>
                <w:sz w:val="20"/>
                <w:szCs w:val="20"/>
              </w:rPr>
              <w:t>,</w:t>
            </w:r>
            <w:r w:rsidRPr="007D1A17">
              <w:rPr>
                <w:rFonts w:ascii="Arial" w:hAnsi="Arial" w:cs="Arial"/>
                <w:iCs/>
                <w:sz w:val="20"/>
                <w:szCs w:val="20"/>
              </w:rPr>
              <w:t xml:space="preserve"> but noted that offsets related to the superior safety profile of budesonide compared with prednisolone were unable to be factored into </w:t>
            </w:r>
            <w:r>
              <w:rPr>
                <w:rFonts w:ascii="Arial" w:hAnsi="Arial" w:cs="Arial"/>
                <w:iCs/>
                <w:sz w:val="20"/>
                <w:szCs w:val="20"/>
              </w:rPr>
              <w:t>the</w:t>
            </w:r>
            <w:r w:rsidRPr="007D1A17">
              <w:rPr>
                <w:rFonts w:ascii="Arial" w:hAnsi="Arial" w:cs="Arial"/>
                <w:iCs/>
                <w:sz w:val="20"/>
                <w:szCs w:val="20"/>
              </w:rPr>
              <w:t xml:space="preserve"> analysis. </w:t>
            </w:r>
          </w:p>
          <w:p w:rsidR="00BF16B4" w:rsidRPr="00395B97" w:rsidRDefault="00BF16B4" w:rsidP="0031270A">
            <w:pPr>
              <w:pStyle w:val="ListParagraph"/>
              <w:ind w:left="0"/>
              <w:jc w:val="both"/>
              <w:rPr>
                <w:rFonts w:ascii="Arial" w:hAnsi="Arial" w:cs="Arial"/>
                <w:iCs/>
                <w:sz w:val="20"/>
                <w:szCs w:val="20"/>
              </w:rPr>
            </w:pPr>
            <w:r w:rsidRPr="007D1A17">
              <w:rPr>
                <w:rFonts w:ascii="Arial" w:hAnsi="Arial" w:cs="Arial"/>
                <w:iCs/>
                <w:sz w:val="20"/>
                <w:szCs w:val="20"/>
              </w:rPr>
              <w:t>The PBAC concluded that at the proposed price, a budesonide listing would likely be associated with a significant cost to the PBS rather than the cost saving estimated in the submission.</w:t>
            </w:r>
          </w:p>
        </w:tc>
      </w:tr>
      <w:tr w:rsidR="00BF16B4" w:rsidRPr="00395B97" w:rsidTr="008F6495">
        <w:trPr>
          <w:trHeight w:val="420"/>
        </w:trPr>
        <w:tc>
          <w:tcPr>
            <w:tcW w:w="2694" w:type="dxa"/>
            <w:vMerge/>
            <w:tcMar>
              <w:top w:w="28" w:type="dxa"/>
              <w:bottom w:w="28" w:type="dxa"/>
            </w:tcMar>
          </w:tcPr>
          <w:p w:rsidR="00BF16B4" w:rsidRPr="001C1D66" w:rsidRDefault="00BF16B4" w:rsidP="002A6AB9">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BF16B4" w:rsidRPr="007D1A17" w:rsidRDefault="009F1B34" w:rsidP="0031270A">
            <w:pPr>
              <w:pStyle w:val="ListParagraph"/>
              <w:ind w:left="0"/>
              <w:jc w:val="both"/>
              <w:rPr>
                <w:rFonts w:ascii="Arial" w:hAnsi="Arial" w:cs="Arial"/>
                <w:iCs/>
                <w:sz w:val="20"/>
                <w:szCs w:val="20"/>
              </w:rPr>
            </w:pPr>
            <w:r>
              <w:rPr>
                <w:rFonts w:ascii="Arial" w:hAnsi="Arial" w:cs="Arial"/>
                <w:sz w:val="20"/>
                <w:szCs w:val="20"/>
              </w:rPr>
              <w:t>The Sponsor had no comment.</w:t>
            </w:r>
          </w:p>
        </w:tc>
      </w:tr>
      <w:tr w:rsidR="00BF16B4" w:rsidRPr="00395B97" w:rsidTr="00BF16B4">
        <w:trPr>
          <w:trHeight w:val="4140"/>
        </w:trPr>
        <w:tc>
          <w:tcPr>
            <w:tcW w:w="2694" w:type="dxa"/>
            <w:vMerge w:val="restart"/>
            <w:tcMar>
              <w:top w:w="28" w:type="dxa"/>
              <w:bottom w:w="28" w:type="dxa"/>
            </w:tcMar>
          </w:tcPr>
          <w:p w:rsidR="00BF16B4" w:rsidRPr="00E07350" w:rsidRDefault="00BF16B4" w:rsidP="00FC06CC">
            <w:pPr>
              <w:rPr>
                <w:rFonts w:ascii="Arial" w:hAnsi="Arial" w:cs="Arial"/>
                <w:color w:val="000000"/>
              </w:rPr>
            </w:pPr>
            <w:r w:rsidRPr="001C1D66">
              <w:rPr>
                <w:rFonts w:ascii="Arial" w:hAnsi="Arial" w:cs="Arial"/>
                <w:color w:val="000000"/>
              </w:rPr>
              <w:lastRenderedPageBreak/>
              <w:t xml:space="preserve">DARATUMUMAB </w:t>
            </w:r>
            <w:r w:rsidRPr="001C1D66">
              <w:rPr>
                <w:rFonts w:ascii="Arial" w:hAnsi="Arial" w:cs="Arial"/>
                <w:color w:val="000000"/>
              </w:rPr>
              <w:br/>
            </w:r>
            <w:r w:rsidRPr="001C1D66">
              <w:rPr>
                <w:rFonts w:ascii="Arial" w:hAnsi="Arial" w:cs="Arial"/>
                <w:color w:val="000000"/>
              </w:rPr>
              <w:br/>
            </w:r>
            <w:r w:rsidRPr="00E07350">
              <w:rPr>
                <w:rFonts w:ascii="Arial" w:hAnsi="Arial" w:cs="Arial"/>
                <w:color w:val="000000"/>
              </w:rPr>
              <w:t>Solution concentrate for I.V infusion 100 mg in 5 mL</w:t>
            </w:r>
          </w:p>
          <w:p w:rsidR="00BF16B4" w:rsidRDefault="00BF16B4" w:rsidP="00FC06CC">
            <w:pPr>
              <w:rPr>
                <w:rFonts w:ascii="Arial" w:hAnsi="Arial" w:cs="Arial"/>
              </w:rPr>
            </w:pPr>
            <w:r w:rsidRPr="00E07350">
              <w:rPr>
                <w:rFonts w:ascii="Arial" w:hAnsi="Arial" w:cs="Arial"/>
                <w:color w:val="000000"/>
              </w:rPr>
              <w:t>Solution concentrate for I.V infusion 400 mg in 20 mL</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Darzalex</w:t>
            </w:r>
            <w:proofErr w:type="spellEnd"/>
            <w:r w:rsidRPr="001C1D66">
              <w:rPr>
                <w:rFonts w:ascii="Arial" w:hAnsi="Arial" w:cs="Arial"/>
                <w:color w:val="000000"/>
              </w:rPr>
              <w:t xml:space="preserve">® </w:t>
            </w:r>
            <w:r w:rsidRPr="001C1D66">
              <w:rPr>
                <w:rFonts w:ascii="Arial" w:hAnsi="Arial" w:cs="Arial"/>
                <w:color w:val="000000"/>
              </w:rPr>
              <w:br/>
            </w:r>
            <w:r w:rsidRPr="001C1D66">
              <w:rPr>
                <w:rFonts w:ascii="Arial" w:hAnsi="Arial" w:cs="Arial"/>
                <w:color w:val="000000"/>
              </w:rPr>
              <w:br/>
              <w:t>Janssen-</w:t>
            </w:r>
            <w:proofErr w:type="spellStart"/>
            <w:r w:rsidRPr="001C1D66">
              <w:rPr>
                <w:rFonts w:ascii="Arial" w:hAnsi="Arial" w:cs="Arial"/>
                <w:color w:val="000000"/>
              </w:rPr>
              <w:t>Cilag</w:t>
            </w:r>
            <w:proofErr w:type="spellEnd"/>
            <w:r w:rsidRPr="001C1D66">
              <w:rPr>
                <w:rFonts w:ascii="Arial" w:hAnsi="Arial" w:cs="Arial"/>
                <w:color w:val="000000"/>
              </w:rPr>
              <w:t xml:space="preserve"> Pty Ltd</w:t>
            </w:r>
            <w:r w:rsidRPr="00395B97">
              <w:rPr>
                <w:rFonts w:ascii="Arial" w:hAnsi="Arial" w:cs="Arial"/>
              </w:rPr>
              <w:t xml:space="preserve"> </w:t>
            </w:r>
          </w:p>
          <w:p w:rsidR="00BF16B4" w:rsidRPr="00395B97" w:rsidRDefault="00BF16B4" w:rsidP="00FC06CC">
            <w:pPr>
              <w:rPr>
                <w:rFonts w:ascii="Arial" w:hAnsi="Arial" w:cs="Arial"/>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Relapsed/refractory multiple myeloma</w:t>
            </w:r>
          </w:p>
        </w:tc>
        <w:tc>
          <w:tcPr>
            <w:tcW w:w="3261" w:type="dxa"/>
            <w:tcMar>
              <w:top w:w="28" w:type="dxa"/>
              <w:bottom w:w="28" w:type="dxa"/>
            </w:tcMar>
          </w:tcPr>
          <w:p w:rsidR="00BF16B4" w:rsidRDefault="00BF16B4" w:rsidP="00FC06CC">
            <w:pPr>
              <w:rPr>
                <w:rFonts w:ascii="Arial" w:hAnsi="Arial" w:cs="Arial"/>
              </w:rPr>
            </w:pPr>
            <w:r>
              <w:rPr>
                <w:rFonts w:ascii="Arial" w:hAnsi="Arial" w:cs="Arial"/>
              </w:rPr>
              <w:t xml:space="preserve">To request an Authority Required listing, in combination with </w:t>
            </w:r>
            <w:proofErr w:type="spellStart"/>
            <w:r>
              <w:rPr>
                <w:rFonts w:ascii="Arial" w:hAnsi="Arial" w:cs="Arial"/>
              </w:rPr>
              <w:t>bortezomib</w:t>
            </w:r>
            <w:proofErr w:type="spellEnd"/>
            <w:r>
              <w:rPr>
                <w:rFonts w:ascii="Arial" w:hAnsi="Arial" w:cs="Arial"/>
              </w:rPr>
              <w:t xml:space="preserve"> or </w:t>
            </w:r>
            <w:proofErr w:type="spellStart"/>
            <w:r>
              <w:rPr>
                <w:rFonts w:ascii="Arial" w:hAnsi="Arial" w:cs="Arial"/>
              </w:rPr>
              <w:t>lenalidomide</w:t>
            </w:r>
            <w:proofErr w:type="spellEnd"/>
            <w:r>
              <w:rPr>
                <w:rFonts w:ascii="Arial" w:hAnsi="Arial" w:cs="Arial"/>
              </w:rPr>
              <w:t>, for the treatment of relapsed or refractory multiple myeloma in patients who have progressive disease after at least one prior therapy.</w:t>
            </w:r>
          </w:p>
          <w:p w:rsidR="00BF16B4" w:rsidRPr="00395B97" w:rsidRDefault="00BF16B4" w:rsidP="002A6AB9">
            <w:pPr>
              <w:jc w:val="both"/>
              <w:rPr>
                <w:rFonts w:ascii="Arial" w:hAnsi="Arial" w:cs="Arial"/>
              </w:rPr>
            </w:pPr>
          </w:p>
        </w:tc>
        <w:tc>
          <w:tcPr>
            <w:tcW w:w="6947" w:type="dxa"/>
          </w:tcPr>
          <w:p w:rsidR="00BF16B4" w:rsidRPr="00685955" w:rsidRDefault="00BF16B4" w:rsidP="0031270A">
            <w:pPr>
              <w:jc w:val="both"/>
              <w:rPr>
                <w:rFonts w:ascii="Arial" w:hAnsi="Arial" w:cs="Arial"/>
                <w:iCs/>
              </w:rPr>
            </w:pPr>
            <w:r w:rsidRPr="009D1F57">
              <w:rPr>
                <w:rFonts w:ascii="Arial" w:hAnsi="Arial" w:cs="Arial"/>
                <w:iCs/>
              </w:rPr>
              <w:t xml:space="preserve">The PBAC did not recommend the listing of </w:t>
            </w:r>
            <w:proofErr w:type="spellStart"/>
            <w:r w:rsidRPr="009D1F57">
              <w:rPr>
                <w:rFonts w:ascii="Arial" w:hAnsi="Arial" w:cs="Arial"/>
                <w:iCs/>
              </w:rPr>
              <w:t>daratumumab</w:t>
            </w:r>
            <w:proofErr w:type="spellEnd"/>
            <w:r w:rsidRPr="009D1F57">
              <w:rPr>
                <w:rFonts w:ascii="Arial" w:hAnsi="Arial" w:cs="Arial"/>
                <w:iCs/>
              </w:rPr>
              <w:t xml:space="preserve"> for use in combination with </w:t>
            </w:r>
            <w:proofErr w:type="spellStart"/>
            <w:r w:rsidRPr="009D1F57">
              <w:rPr>
                <w:rFonts w:ascii="Arial" w:hAnsi="Arial" w:cs="Arial"/>
                <w:iCs/>
              </w:rPr>
              <w:t>bortezomib</w:t>
            </w:r>
            <w:proofErr w:type="spellEnd"/>
            <w:r w:rsidRPr="009D1F57">
              <w:rPr>
                <w:rFonts w:ascii="Arial" w:hAnsi="Arial" w:cs="Arial"/>
                <w:iCs/>
              </w:rPr>
              <w:t xml:space="preserve"> and dexamethasone (</w:t>
            </w:r>
            <w:proofErr w:type="spellStart"/>
            <w:r w:rsidRPr="009D1F57">
              <w:rPr>
                <w:rFonts w:ascii="Arial" w:hAnsi="Arial" w:cs="Arial"/>
                <w:iCs/>
              </w:rPr>
              <w:t>DBd</w:t>
            </w:r>
            <w:proofErr w:type="spellEnd"/>
            <w:r w:rsidRPr="009D1F57">
              <w:rPr>
                <w:rFonts w:ascii="Arial" w:hAnsi="Arial" w:cs="Arial"/>
                <w:iCs/>
              </w:rPr>
              <w:t xml:space="preserve">) or </w:t>
            </w:r>
            <w:proofErr w:type="spellStart"/>
            <w:r w:rsidRPr="009D1F57">
              <w:rPr>
                <w:rFonts w:ascii="Arial" w:hAnsi="Arial" w:cs="Arial"/>
                <w:iCs/>
              </w:rPr>
              <w:t>lenalidomide</w:t>
            </w:r>
            <w:proofErr w:type="spellEnd"/>
            <w:r w:rsidRPr="009D1F57">
              <w:rPr>
                <w:rFonts w:ascii="Arial" w:hAnsi="Arial" w:cs="Arial"/>
                <w:iCs/>
              </w:rPr>
              <w:t xml:space="preserve"> and dexamethasone (</w:t>
            </w:r>
            <w:proofErr w:type="spellStart"/>
            <w:r w:rsidRPr="009D1F57">
              <w:rPr>
                <w:rFonts w:ascii="Arial" w:hAnsi="Arial" w:cs="Arial"/>
                <w:iCs/>
              </w:rPr>
              <w:t>DLd</w:t>
            </w:r>
            <w:proofErr w:type="spellEnd"/>
            <w:r w:rsidRPr="009D1F57">
              <w:rPr>
                <w:rFonts w:ascii="Arial" w:hAnsi="Arial" w:cs="Arial"/>
                <w:iCs/>
              </w:rPr>
              <w:t>) in relapsed or refractory multiple myeloma due to the very high and uncertain incremental cost-effectiveness ratios</w:t>
            </w:r>
            <w:r>
              <w:rPr>
                <w:rFonts w:ascii="Arial" w:hAnsi="Arial" w:cs="Arial"/>
                <w:iCs/>
              </w:rPr>
              <w:t xml:space="preserve"> (ICERs)</w:t>
            </w:r>
            <w:r w:rsidRPr="009D1F57">
              <w:rPr>
                <w:rFonts w:ascii="Arial" w:hAnsi="Arial" w:cs="Arial"/>
                <w:iCs/>
              </w:rPr>
              <w:t xml:space="preserve">. The PBAC considered that the proposed clinical place in therapy was appropriate, but that the requested listing for </w:t>
            </w:r>
            <w:proofErr w:type="spellStart"/>
            <w:r w:rsidRPr="009D1F57">
              <w:rPr>
                <w:rFonts w:ascii="Arial" w:hAnsi="Arial" w:cs="Arial"/>
                <w:iCs/>
              </w:rPr>
              <w:t>daratumumab</w:t>
            </w:r>
            <w:proofErr w:type="spellEnd"/>
            <w:r w:rsidRPr="009D1F57">
              <w:rPr>
                <w:rFonts w:ascii="Arial" w:hAnsi="Arial" w:cs="Arial"/>
                <w:iCs/>
              </w:rPr>
              <w:t xml:space="preserve"> in combination</w:t>
            </w:r>
            <w:r>
              <w:rPr>
                <w:rFonts w:ascii="Arial" w:hAnsi="Arial" w:cs="Arial"/>
                <w:iCs/>
              </w:rPr>
              <w:t xml:space="preserve"> with the other drugs</w:t>
            </w:r>
            <w:r w:rsidRPr="009D1F57">
              <w:rPr>
                <w:rFonts w:ascii="Arial" w:hAnsi="Arial" w:cs="Arial"/>
                <w:iCs/>
              </w:rPr>
              <w:t xml:space="preserve"> excluded a group of patients with a high clinical need who may benefit from </w:t>
            </w:r>
            <w:proofErr w:type="spellStart"/>
            <w:r w:rsidRPr="009D1F57">
              <w:rPr>
                <w:rFonts w:ascii="Arial" w:hAnsi="Arial" w:cs="Arial"/>
                <w:iCs/>
              </w:rPr>
              <w:t>daratumumab</w:t>
            </w:r>
            <w:proofErr w:type="spellEnd"/>
            <w:r w:rsidRPr="009D1F57">
              <w:rPr>
                <w:rFonts w:ascii="Arial" w:hAnsi="Arial" w:cs="Arial"/>
                <w:iCs/>
              </w:rPr>
              <w:t xml:space="preserve"> monotherapy. </w:t>
            </w:r>
            <w:r w:rsidR="00213E21" w:rsidRPr="008D0CCA">
              <w:rPr>
                <w:rFonts w:ascii="Arial" w:hAnsi="Arial" w:cs="Arial"/>
              </w:rPr>
              <w:t xml:space="preserve">The PBAC welcomed the comments received via the Consumer Comments facility on the PBS website. The PBAC noted the significant public interest in the listing of </w:t>
            </w:r>
            <w:proofErr w:type="spellStart"/>
            <w:r w:rsidR="00213E21" w:rsidRPr="009D1F57">
              <w:rPr>
                <w:rFonts w:ascii="Arial" w:hAnsi="Arial" w:cs="Arial"/>
                <w:iCs/>
              </w:rPr>
              <w:t>daratumumab</w:t>
            </w:r>
            <w:proofErr w:type="spellEnd"/>
            <w:r w:rsidR="00213E21" w:rsidRPr="008D0CCA">
              <w:rPr>
                <w:rFonts w:ascii="Arial" w:hAnsi="Arial" w:cs="Arial"/>
              </w:rPr>
              <w:t>. The consumer comments that were considered by the Committee included the benefits that</w:t>
            </w:r>
            <w:r w:rsidR="00213E21">
              <w:rPr>
                <w:rFonts w:ascii="Arial" w:hAnsi="Arial" w:cs="Arial"/>
              </w:rPr>
              <w:t xml:space="preserve"> </w:t>
            </w:r>
            <w:proofErr w:type="spellStart"/>
            <w:r w:rsidR="00213E21" w:rsidRPr="009D1F57">
              <w:rPr>
                <w:rFonts w:ascii="Arial" w:hAnsi="Arial" w:cs="Arial"/>
                <w:iCs/>
              </w:rPr>
              <w:t>daratumumab</w:t>
            </w:r>
            <w:proofErr w:type="spellEnd"/>
            <w:r w:rsidR="00213E21" w:rsidRPr="008D0CCA">
              <w:rPr>
                <w:rFonts w:ascii="Arial" w:hAnsi="Arial" w:cs="Arial"/>
              </w:rPr>
              <w:t xml:space="preserve"> </w:t>
            </w:r>
            <w:r w:rsidR="00213E21" w:rsidRPr="00213E21">
              <w:rPr>
                <w:rFonts w:ascii="Arial" w:hAnsi="Arial" w:cs="Arial"/>
              </w:rPr>
              <w:t xml:space="preserve">improved survival, </w:t>
            </w:r>
            <w:r w:rsidR="00C652FB">
              <w:rPr>
                <w:rFonts w:ascii="Arial" w:hAnsi="Arial" w:cs="Arial"/>
              </w:rPr>
              <w:t xml:space="preserve">had </w:t>
            </w:r>
            <w:r w:rsidR="00213E21" w:rsidRPr="00213E21">
              <w:rPr>
                <w:rFonts w:ascii="Arial" w:hAnsi="Arial" w:cs="Arial"/>
              </w:rPr>
              <w:t xml:space="preserve">the potential to improve quality of life, and better </w:t>
            </w:r>
            <w:r w:rsidR="00C652FB">
              <w:rPr>
                <w:rFonts w:ascii="Arial" w:hAnsi="Arial" w:cs="Arial"/>
              </w:rPr>
              <w:t xml:space="preserve">tolerability. </w:t>
            </w:r>
            <w:r w:rsidRPr="00685955">
              <w:rPr>
                <w:rFonts w:ascii="Arial" w:hAnsi="Arial" w:cs="Arial"/>
                <w:iCs/>
              </w:rPr>
              <w:t>The PBAC accepted that the proposed comparators were reasonable, but also considered that other potentially relevant comparators had not been considered. The PBAC noted that the financial impact of the proposed listing had a very high opportunity cost</w:t>
            </w:r>
            <w:r w:rsidR="00685955">
              <w:rPr>
                <w:rFonts w:ascii="Arial" w:hAnsi="Arial" w:cs="Arial"/>
                <w:iCs/>
              </w:rPr>
              <w:t xml:space="preserve"> to</w:t>
            </w:r>
            <w:r w:rsidR="00685955" w:rsidRPr="008D0CCA">
              <w:rPr>
                <w:rFonts w:ascii="Arial" w:hAnsi="Arial" w:cs="Arial"/>
              </w:rPr>
              <w:t xml:space="preserve"> the funding of </w:t>
            </w:r>
            <w:r w:rsidR="00685955">
              <w:rPr>
                <w:rFonts w:ascii="Arial" w:hAnsi="Arial" w:cs="Arial"/>
              </w:rPr>
              <w:t>other therapies through the PBS</w:t>
            </w:r>
            <w:r w:rsidRPr="00685955">
              <w:rPr>
                <w:rFonts w:ascii="Arial" w:hAnsi="Arial" w:cs="Arial"/>
                <w:iCs/>
              </w:rPr>
              <w:t>.</w:t>
            </w:r>
          </w:p>
        </w:tc>
      </w:tr>
      <w:tr w:rsidR="00BF16B4" w:rsidRPr="00395B97" w:rsidTr="00112B9E">
        <w:trPr>
          <w:trHeight w:val="345"/>
        </w:trPr>
        <w:tc>
          <w:tcPr>
            <w:tcW w:w="2694" w:type="dxa"/>
            <w:vMerge/>
            <w:tcMar>
              <w:top w:w="28" w:type="dxa"/>
              <w:bottom w:w="28" w:type="dxa"/>
            </w:tcMar>
          </w:tcPr>
          <w:p w:rsidR="00BF16B4" w:rsidRPr="001C1D66" w:rsidRDefault="00BF16B4" w:rsidP="00FC06CC">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rPr>
            </w:pPr>
            <w:r w:rsidRPr="00395B97">
              <w:rPr>
                <w:rFonts w:ascii="Arial" w:hAnsi="Arial" w:cs="Arial"/>
                <w:snapToGrid w:val="0"/>
                <w:lang w:eastAsia="en-US"/>
              </w:rPr>
              <w:t>Sponsor Comment:</w:t>
            </w:r>
          </w:p>
        </w:tc>
        <w:tc>
          <w:tcPr>
            <w:tcW w:w="6947" w:type="dxa"/>
          </w:tcPr>
          <w:p w:rsidR="00BF16B4" w:rsidRPr="009D1F57" w:rsidRDefault="00C42F22" w:rsidP="0031270A">
            <w:pPr>
              <w:jc w:val="both"/>
              <w:rPr>
                <w:rFonts w:ascii="Arial" w:hAnsi="Arial" w:cs="Arial"/>
                <w:iCs/>
              </w:rPr>
            </w:pPr>
            <w:r w:rsidRPr="00C42F22">
              <w:rPr>
                <w:rFonts w:ascii="Arial" w:hAnsi="Arial" w:cs="Arial"/>
                <w:iCs/>
              </w:rPr>
              <w:t xml:space="preserve">Janssen will continue to work with the PBAC to make </w:t>
            </w:r>
            <w:proofErr w:type="spellStart"/>
            <w:r w:rsidRPr="00C42F22">
              <w:rPr>
                <w:rFonts w:ascii="Arial" w:hAnsi="Arial" w:cs="Arial"/>
                <w:iCs/>
              </w:rPr>
              <w:t>daratumumab</w:t>
            </w:r>
            <w:proofErr w:type="spellEnd"/>
            <w:r w:rsidRPr="00C42F22">
              <w:rPr>
                <w:rFonts w:ascii="Arial" w:hAnsi="Arial" w:cs="Arial"/>
                <w:iCs/>
              </w:rPr>
              <w:t xml:space="preserve"> available to patients as soon as practical.</w:t>
            </w:r>
          </w:p>
        </w:tc>
      </w:tr>
      <w:tr w:rsidR="00BF16B4" w:rsidRPr="00395B97" w:rsidTr="00322C33">
        <w:trPr>
          <w:trHeight w:val="3751"/>
        </w:trPr>
        <w:tc>
          <w:tcPr>
            <w:tcW w:w="2694" w:type="dxa"/>
            <w:vMerge w:val="restart"/>
            <w:tcMar>
              <w:top w:w="28" w:type="dxa"/>
              <w:bottom w:w="28" w:type="dxa"/>
            </w:tcMar>
          </w:tcPr>
          <w:p w:rsidR="00BF16B4" w:rsidRPr="001C1D66" w:rsidRDefault="00BF16B4" w:rsidP="00FC06CC">
            <w:pPr>
              <w:rPr>
                <w:rFonts w:ascii="Arial" w:hAnsi="Arial" w:cs="Arial"/>
                <w:color w:val="000000"/>
              </w:rPr>
            </w:pPr>
            <w:r w:rsidRPr="001C1D66">
              <w:rPr>
                <w:rFonts w:ascii="Arial" w:hAnsi="Arial" w:cs="Arial"/>
                <w:color w:val="000000"/>
              </w:rPr>
              <w:lastRenderedPageBreak/>
              <w:t xml:space="preserve">GOLIMUMAB </w:t>
            </w:r>
            <w:r w:rsidRPr="001C1D66">
              <w:rPr>
                <w:rFonts w:ascii="Arial" w:hAnsi="Arial" w:cs="Arial"/>
                <w:color w:val="000000"/>
              </w:rPr>
              <w:br w:type="page"/>
            </w:r>
            <w:r w:rsidRPr="001C1D66">
              <w:rPr>
                <w:rFonts w:ascii="Arial" w:hAnsi="Arial" w:cs="Arial"/>
                <w:color w:val="000000"/>
              </w:rPr>
              <w:br w:type="page"/>
            </w:r>
          </w:p>
          <w:p w:rsidR="00BF16B4" w:rsidRPr="001C1D66" w:rsidRDefault="00BF16B4" w:rsidP="00FC06CC">
            <w:pPr>
              <w:rPr>
                <w:rFonts w:ascii="Arial" w:hAnsi="Arial" w:cs="Arial"/>
                <w:color w:val="000000"/>
              </w:rPr>
            </w:pPr>
          </w:p>
          <w:p w:rsidR="00BF16B4" w:rsidRDefault="00BF16B4" w:rsidP="00FC06CC">
            <w:pPr>
              <w:rPr>
                <w:rFonts w:ascii="Arial" w:hAnsi="Arial" w:cs="Arial"/>
                <w:color w:val="000000"/>
              </w:rPr>
            </w:pPr>
            <w:r w:rsidRPr="00994259">
              <w:rPr>
                <w:rFonts w:ascii="Arial" w:hAnsi="Arial" w:cs="Arial"/>
                <w:color w:val="000000"/>
              </w:rPr>
              <w:t xml:space="preserve">Injection 50 mg in 0.5 mL single use pre-filled syringe </w:t>
            </w:r>
          </w:p>
          <w:p w:rsidR="00BF16B4" w:rsidRPr="001C1D66" w:rsidRDefault="00BF16B4" w:rsidP="00FC06CC">
            <w:pPr>
              <w:rPr>
                <w:rFonts w:ascii="Arial" w:hAnsi="Arial" w:cs="Arial"/>
                <w:color w:val="000000"/>
              </w:rPr>
            </w:pPr>
          </w:p>
          <w:p w:rsidR="00BF16B4" w:rsidRPr="001C1D66" w:rsidRDefault="00BF16B4" w:rsidP="00FC06CC">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r>
            <w:proofErr w:type="spellStart"/>
            <w:r w:rsidRPr="001C1D66">
              <w:rPr>
                <w:rFonts w:ascii="Arial" w:hAnsi="Arial" w:cs="Arial"/>
                <w:color w:val="000000"/>
              </w:rPr>
              <w:t>Simponi</w:t>
            </w:r>
            <w:proofErr w:type="spellEnd"/>
            <w:r w:rsidRPr="001C1D66">
              <w:rPr>
                <w:rFonts w:ascii="Arial" w:hAnsi="Arial" w:cs="Arial"/>
                <w:color w:val="000000"/>
              </w:rPr>
              <w:t>®</w:t>
            </w:r>
            <w:r w:rsidRPr="001C1D66">
              <w:rPr>
                <w:rFonts w:ascii="Arial" w:hAnsi="Arial" w:cs="Arial"/>
                <w:color w:val="000000"/>
              </w:rPr>
              <w:br w:type="page"/>
            </w:r>
            <w:r w:rsidRPr="001C1D66">
              <w:rPr>
                <w:rFonts w:ascii="Arial" w:hAnsi="Arial" w:cs="Arial"/>
                <w:color w:val="000000"/>
              </w:rPr>
              <w:br w:type="page"/>
            </w:r>
          </w:p>
          <w:p w:rsidR="00BF16B4" w:rsidRPr="001C1D66" w:rsidRDefault="00BF16B4" w:rsidP="00FC06CC">
            <w:pPr>
              <w:rPr>
                <w:rFonts w:ascii="Arial" w:hAnsi="Arial" w:cs="Arial"/>
                <w:color w:val="000000"/>
              </w:rPr>
            </w:pPr>
          </w:p>
          <w:p w:rsidR="00BF16B4" w:rsidRDefault="00BF16B4" w:rsidP="00FC06CC">
            <w:pPr>
              <w:rPr>
                <w:rFonts w:ascii="Arial" w:hAnsi="Arial" w:cs="Arial"/>
              </w:rPr>
            </w:pPr>
            <w:r w:rsidRPr="001C1D66">
              <w:rPr>
                <w:rFonts w:ascii="Arial" w:hAnsi="Arial" w:cs="Arial"/>
                <w:color w:val="000000"/>
              </w:rPr>
              <w:t>Janssen-</w:t>
            </w:r>
            <w:proofErr w:type="spellStart"/>
            <w:r w:rsidRPr="001C1D66">
              <w:rPr>
                <w:rFonts w:ascii="Arial" w:hAnsi="Arial" w:cs="Arial"/>
                <w:color w:val="000000"/>
              </w:rPr>
              <w:t>Cilag</w:t>
            </w:r>
            <w:proofErr w:type="spellEnd"/>
            <w:r w:rsidRPr="001C1D66">
              <w:rPr>
                <w:rFonts w:ascii="Arial" w:hAnsi="Arial" w:cs="Arial"/>
                <w:color w:val="000000"/>
              </w:rPr>
              <w:t xml:space="preserve"> Pty Ltd</w:t>
            </w:r>
            <w:r w:rsidRPr="00395B97">
              <w:rPr>
                <w:rFonts w:ascii="Arial" w:hAnsi="Arial" w:cs="Arial"/>
              </w:rPr>
              <w:t xml:space="preserve"> </w:t>
            </w:r>
          </w:p>
          <w:p w:rsidR="00BF16B4" w:rsidRPr="001C1D66" w:rsidRDefault="00BF16B4" w:rsidP="00FC06CC">
            <w:pPr>
              <w:rPr>
                <w:rFonts w:ascii="Arial" w:hAnsi="Arial" w:cs="Arial"/>
                <w:color w:val="000000"/>
              </w:rPr>
            </w:pPr>
            <w:r w:rsidRPr="001C1D66">
              <w:rPr>
                <w:rFonts w:ascii="Arial" w:hAnsi="Arial" w:cs="Arial"/>
                <w:color w:val="000000"/>
              </w:rPr>
              <w:t>Change to listing</w:t>
            </w:r>
          </w:p>
          <w:p w:rsidR="00BF16B4" w:rsidRPr="001C1D66" w:rsidRDefault="00BF16B4" w:rsidP="00FC06CC">
            <w:pPr>
              <w:rPr>
                <w:rFonts w:ascii="Arial" w:hAnsi="Arial" w:cs="Arial"/>
                <w:color w:val="000000"/>
              </w:rPr>
            </w:pPr>
          </w:p>
          <w:p w:rsidR="00BF16B4" w:rsidRPr="00395B97" w:rsidRDefault="00BF16B4" w:rsidP="00FC06CC">
            <w:pPr>
              <w:rPr>
                <w:rFonts w:ascii="Arial" w:hAnsi="Arial" w:cs="Arial"/>
              </w:rPr>
            </w:pPr>
            <w:r>
              <w:rPr>
                <w:rFonts w:ascii="Arial" w:hAnsi="Arial" w:cs="Arial"/>
                <w:color w:val="000000"/>
              </w:rPr>
              <w:br w:type="page"/>
            </w:r>
            <w:r>
              <w:rPr>
                <w:rFonts w:ascii="Arial" w:hAnsi="Arial" w:cs="Arial"/>
                <w:color w:val="000000"/>
              </w:rPr>
              <w:br w:type="page"/>
              <w:t xml:space="preserve">(Major </w:t>
            </w:r>
            <w:r w:rsidRPr="001C1D66">
              <w:rPr>
                <w:rFonts w:ascii="Arial" w:hAnsi="Arial" w:cs="Arial"/>
                <w:color w:val="000000"/>
              </w:rPr>
              <w:t>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 xml:space="preserve">Active non-radiographic axial </w:t>
            </w:r>
            <w:proofErr w:type="spellStart"/>
            <w:r w:rsidRPr="001C1D66">
              <w:rPr>
                <w:rFonts w:ascii="Arial" w:hAnsi="Arial" w:cs="Arial"/>
                <w:color w:val="000000"/>
              </w:rPr>
              <w:t>spondyloarthritis</w:t>
            </w:r>
            <w:proofErr w:type="spellEnd"/>
            <w:r>
              <w:rPr>
                <w:rFonts w:ascii="Arial" w:hAnsi="Arial" w:cs="Arial"/>
                <w:color w:val="000000"/>
              </w:rPr>
              <w:t xml:space="preserve"> (</w:t>
            </w:r>
            <w:proofErr w:type="spellStart"/>
            <w:r w:rsidRPr="00494DE4">
              <w:rPr>
                <w:rFonts w:ascii="Arial" w:hAnsi="Arial" w:cs="Arial"/>
                <w:iCs/>
              </w:rPr>
              <w:t>nr-axSpA</w:t>
            </w:r>
            <w:proofErr w:type="spellEnd"/>
            <w:r>
              <w:rPr>
                <w:rFonts w:ascii="Arial" w:hAnsi="Arial" w:cs="Arial"/>
                <w:iCs/>
              </w:rPr>
              <w:t xml:space="preserve">) </w:t>
            </w:r>
          </w:p>
        </w:tc>
        <w:tc>
          <w:tcPr>
            <w:tcW w:w="3261" w:type="dxa"/>
            <w:tcMar>
              <w:top w:w="28" w:type="dxa"/>
              <w:bottom w:w="28" w:type="dxa"/>
            </w:tcMar>
          </w:tcPr>
          <w:p w:rsidR="00BF16B4" w:rsidRDefault="00BF16B4" w:rsidP="00FC06CC">
            <w:pPr>
              <w:rPr>
                <w:rFonts w:ascii="Arial" w:hAnsi="Arial" w:cs="Arial"/>
                <w:color w:val="000000"/>
              </w:rPr>
            </w:pPr>
            <w:r>
              <w:rPr>
                <w:rFonts w:ascii="Arial" w:hAnsi="Arial" w:cs="Arial"/>
                <w:color w:val="000000"/>
              </w:rPr>
              <w:t xml:space="preserve">To request an Authority Required listing for the treatment of active </w:t>
            </w:r>
            <w:proofErr w:type="spellStart"/>
            <w:r w:rsidRPr="00494DE4">
              <w:rPr>
                <w:rFonts w:ascii="Arial" w:hAnsi="Arial" w:cs="Arial"/>
                <w:iCs/>
              </w:rPr>
              <w:t>nr-axSpA</w:t>
            </w:r>
            <w:proofErr w:type="spellEnd"/>
            <w:r>
              <w:rPr>
                <w:rFonts w:ascii="Arial" w:hAnsi="Arial" w:cs="Arial"/>
                <w:color w:val="000000"/>
              </w:rPr>
              <w:t>.</w:t>
            </w:r>
          </w:p>
          <w:p w:rsidR="00BF16B4" w:rsidRPr="00395B97" w:rsidRDefault="00BF16B4" w:rsidP="002A6AB9">
            <w:pPr>
              <w:jc w:val="both"/>
              <w:rPr>
                <w:rFonts w:ascii="Arial" w:hAnsi="Arial" w:cs="Arial"/>
              </w:rPr>
            </w:pPr>
          </w:p>
        </w:tc>
        <w:tc>
          <w:tcPr>
            <w:tcW w:w="6947" w:type="dxa"/>
          </w:tcPr>
          <w:p w:rsidR="00BF16B4" w:rsidRPr="00494DE4" w:rsidRDefault="00BF16B4" w:rsidP="0031270A">
            <w:pPr>
              <w:pStyle w:val="ListParagraph"/>
              <w:ind w:left="0"/>
              <w:jc w:val="both"/>
              <w:rPr>
                <w:rFonts w:ascii="Arial" w:hAnsi="Arial" w:cs="Arial"/>
                <w:iCs/>
                <w:sz w:val="20"/>
                <w:szCs w:val="20"/>
              </w:rPr>
            </w:pPr>
            <w:r w:rsidRPr="00494DE4">
              <w:rPr>
                <w:rFonts w:ascii="Arial" w:hAnsi="Arial" w:cs="Arial"/>
                <w:iCs/>
                <w:sz w:val="20"/>
                <w:szCs w:val="20"/>
              </w:rPr>
              <w:t xml:space="preserve">The PBAC did not recommend the listing of </w:t>
            </w:r>
            <w:proofErr w:type="spellStart"/>
            <w:r w:rsidRPr="00494DE4">
              <w:rPr>
                <w:rFonts w:ascii="Arial" w:hAnsi="Arial" w:cs="Arial"/>
                <w:iCs/>
                <w:sz w:val="20"/>
                <w:szCs w:val="20"/>
              </w:rPr>
              <w:t>golimumab</w:t>
            </w:r>
            <w:proofErr w:type="spellEnd"/>
            <w:r w:rsidRPr="00494DE4">
              <w:rPr>
                <w:rFonts w:ascii="Arial" w:hAnsi="Arial" w:cs="Arial"/>
                <w:iCs/>
                <w:sz w:val="20"/>
                <w:szCs w:val="20"/>
              </w:rPr>
              <w:t xml:space="preserve"> for </w:t>
            </w:r>
            <w:proofErr w:type="spellStart"/>
            <w:r w:rsidRPr="00494DE4">
              <w:rPr>
                <w:rFonts w:ascii="Arial" w:hAnsi="Arial" w:cs="Arial"/>
                <w:iCs/>
                <w:sz w:val="20"/>
                <w:szCs w:val="20"/>
              </w:rPr>
              <w:t>nr-axSpA</w:t>
            </w:r>
            <w:proofErr w:type="spellEnd"/>
            <w:r w:rsidRPr="00494DE4">
              <w:rPr>
                <w:rFonts w:ascii="Arial" w:hAnsi="Arial" w:cs="Arial"/>
                <w:iCs/>
                <w:sz w:val="20"/>
                <w:szCs w:val="20"/>
              </w:rPr>
              <w:t xml:space="preserve"> on the basis an uncertain</w:t>
            </w:r>
            <w:r>
              <w:rPr>
                <w:rFonts w:ascii="Arial" w:hAnsi="Arial" w:cs="Arial"/>
                <w:iCs/>
                <w:sz w:val="20"/>
                <w:szCs w:val="20"/>
              </w:rPr>
              <w:t xml:space="preserve"> </w:t>
            </w:r>
            <w:r w:rsidRPr="005C1051">
              <w:rPr>
                <w:rFonts w:ascii="Arial" w:hAnsi="Arial" w:cs="Arial"/>
                <w:iCs/>
                <w:sz w:val="20"/>
                <w:szCs w:val="20"/>
              </w:rPr>
              <w:t>incremental cost-effectiveness ratio</w:t>
            </w:r>
            <w:r w:rsidRPr="00494DE4">
              <w:rPr>
                <w:rFonts w:ascii="Arial" w:hAnsi="Arial" w:cs="Arial"/>
                <w:iCs/>
                <w:sz w:val="20"/>
                <w:szCs w:val="20"/>
              </w:rPr>
              <w:t xml:space="preserve"> </w:t>
            </w:r>
            <w:r>
              <w:rPr>
                <w:rFonts w:ascii="Arial" w:hAnsi="Arial" w:cs="Arial"/>
                <w:iCs/>
                <w:sz w:val="20"/>
                <w:szCs w:val="20"/>
              </w:rPr>
              <w:t>(</w:t>
            </w:r>
            <w:r w:rsidRPr="00494DE4">
              <w:rPr>
                <w:rFonts w:ascii="Arial" w:hAnsi="Arial" w:cs="Arial"/>
                <w:iCs/>
                <w:sz w:val="20"/>
                <w:szCs w:val="20"/>
              </w:rPr>
              <w:t>ICER</w:t>
            </w:r>
            <w:r>
              <w:rPr>
                <w:rFonts w:ascii="Arial" w:hAnsi="Arial" w:cs="Arial"/>
                <w:iCs/>
                <w:sz w:val="20"/>
                <w:szCs w:val="20"/>
              </w:rPr>
              <w:t>)</w:t>
            </w:r>
            <w:r w:rsidRPr="00494DE4">
              <w:rPr>
                <w:rFonts w:ascii="Arial" w:hAnsi="Arial" w:cs="Arial"/>
                <w:iCs/>
                <w:sz w:val="20"/>
                <w:szCs w:val="20"/>
              </w:rPr>
              <w:t xml:space="preserve"> and the significant opportunity cost of the proposed listing in the context of a poorly defined patient population. The PBAC considered that there is a clinical need for effective subsidised therapy for </w:t>
            </w:r>
            <w:proofErr w:type="spellStart"/>
            <w:r w:rsidRPr="00494DE4">
              <w:rPr>
                <w:rFonts w:ascii="Arial" w:hAnsi="Arial" w:cs="Arial"/>
                <w:iCs/>
                <w:sz w:val="20"/>
                <w:szCs w:val="20"/>
              </w:rPr>
              <w:t>nr-axSpA</w:t>
            </w:r>
            <w:proofErr w:type="spellEnd"/>
            <w:r w:rsidRPr="00494DE4">
              <w:rPr>
                <w:rFonts w:ascii="Arial" w:hAnsi="Arial" w:cs="Arial"/>
                <w:iCs/>
                <w:sz w:val="20"/>
                <w:szCs w:val="20"/>
              </w:rPr>
              <w:t xml:space="preserve"> but considered that treatment should be targeted to those patients who would benefit the most from biologic therapy. The PBAC also considered that the long-term incremental outcomes were uncertain, in the context of a chronic therapy.</w:t>
            </w:r>
          </w:p>
          <w:p w:rsidR="00BF16B4" w:rsidRPr="00395B97" w:rsidRDefault="00BF16B4" w:rsidP="0031270A">
            <w:pPr>
              <w:pStyle w:val="ListParagraph"/>
              <w:ind w:left="0"/>
              <w:jc w:val="both"/>
              <w:rPr>
                <w:rFonts w:ascii="Arial" w:hAnsi="Arial" w:cs="Arial"/>
                <w:iCs/>
                <w:sz w:val="20"/>
                <w:szCs w:val="20"/>
              </w:rPr>
            </w:pPr>
            <w:r w:rsidRPr="00494DE4">
              <w:rPr>
                <w:rFonts w:ascii="Arial" w:hAnsi="Arial" w:cs="Arial"/>
                <w:iCs/>
                <w:sz w:val="20"/>
                <w:szCs w:val="20"/>
              </w:rPr>
              <w:t xml:space="preserve">The PBAC </w:t>
            </w:r>
            <w:r>
              <w:rPr>
                <w:rFonts w:ascii="Arial" w:hAnsi="Arial" w:cs="Arial"/>
                <w:iCs/>
                <w:sz w:val="20"/>
                <w:szCs w:val="20"/>
              </w:rPr>
              <w:t xml:space="preserve">indicated it </w:t>
            </w:r>
            <w:r w:rsidRPr="00494DE4">
              <w:rPr>
                <w:rFonts w:ascii="Arial" w:hAnsi="Arial" w:cs="Arial"/>
                <w:iCs/>
                <w:sz w:val="20"/>
                <w:szCs w:val="20"/>
              </w:rPr>
              <w:t xml:space="preserve">would welcome a submission for a </w:t>
            </w:r>
            <w:proofErr w:type="spellStart"/>
            <w:r w:rsidRPr="00494DE4">
              <w:rPr>
                <w:rFonts w:ascii="Arial" w:hAnsi="Arial" w:cs="Arial"/>
                <w:iCs/>
                <w:sz w:val="20"/>
                <w:szCs w:val="20"/>
              </w:rPr>
              <w:t>bDMARD</w:t>
            </w:r>
            <w:proofErr w:type="spellEnd"/>
            <w:r w:rsidRPr="00494DE4">
              <w:rPr>
                <w:rFonts w:ascii="Arial" w:hAnsi="Arial" w:cs="Arial"/>
                <w:iCs/>
                <w:sz w:val="20"/>
                <w:szCs w:val="20"/>
              </w:rPr>
              <w:t xml:space="preserve"> for this condition that restricted use to those patients with the highest clinical need who are most likely to benefit from biological therapy, proposed a lower cost per patient in the context of the lack of long-term outcome data, and addresse</w:t>
            </w:r>
            <w:r>
              <w:rPr>
                <w:rFonts w:ascii="Arial" w:hAnsi="Arial" w:cs="Arial"/>
                <w:iCs/>
                <w:sz w:val="20"/>
                <w:szCs w:val="20"/>
              </w:rPr>
              <w:t>d</w:t>
            </w:r>
            <w:r w:rsidRPr="00494DE4">
              <w:rPr>
                <w:rFonts w:ascii="Arial" w:hAnsi="Arial" w:cs="Arial"/>
                <w:iCs/>
                <w:sz w:val="20"/>
                <w:szCs w:val="20"/>
              </w:rPr>
              <w:t xml:space="preserve"> the uncertainty in the cost-effectiveness and potential for use beyond the restriction.</w:t>
            </w:r>
          </w:p>
        </w:tc>
      </w:tr>
      <w:tr w:rsidR="00BF16B4" w:rsidRPr="00395B97" w:rsidTr="00BF16B4">
        <w:trPr>
          <w:trHeight w:val="572"/>
        </w:trPr>
        <w:tc>
          <w:tcPr>
            <w:tcW w:w="2694" w:type="dxa"/>
            <w:vMerge/>
            <w:tcMar>
              <w:top w:w="28" w:type="dxa"/>
              <w:bottom w:w="28" w:type="dxa"/>
            </w:tcMar>
          </w:tcPr>
          <w:p w:rsidR="00BF16B4" w:rsidRPr="001C1D66" w:rsidRDefault="00BF16B4" w:rsidP="00FC06CC">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BF16B4" w:rsidRPr="00494DE4" w:rsidRDefault="00C42F22" w:rsidP="0031270A">
            <w:pPr>
              <w:pStyle w:val="ListParagraph"/>
              <w:ind w:left="0"/>
              <w:jc w:val="both"/>
              <w:rPr>
                <w:rFonts w:ascii="Arial" w:hAnsi="Arial" w:cs="Arial"/>
                <w:iCs/>
                <w:sz w:val="20"/>
                <w:szCs w:val="20"/>
              </w:rPr>
            </w:pPr>
            <w:r w:rsidRPr="00C42F22">
              <w:rPr>
                <w:rFonts w:ascii="Arial" w:hAnsi="Arial" w:cs="Arial"/>
                <w:iCs/>
                <w:sz w:val="20"/>
                <w:szCs w:val="20"/>
              </w:rPr>
              <w:t xml:space="preserve">Janssen will continue to work with the PBAC to make </w:t>
            </w:r>
            <w:proofErr w:type="spellStart"/>
            <w:r w:rsidRPr="00C42F22">
              <w:rPr>
                <w:rFonts w:ascii="Arial" w:hAnsi="Arial" w:cs="Arial"/>
                <w:iCs/>
                <w:sz w:val="20"/>
                <w:szCs w:val="20"/>
              </w:rPr>
              <w:t>golimumab</w:t>
            </w:r>
            <w:proofErr w:type="spellEnd"/>
            <w:r w:rsidRPr="00C42F22">
              <w:rPr>
                <w:rFonts w:ascii="Arial" w:hAnsi="Arial" w:cs="Arial"/>
                <w:iCs/>
                <w:sz w:val="20"/>
                <w:szCs w:val="20"/>
              </w:rPr>
              <w:t xml:space="preserve"> available to patients as soon as practical.</w:t>
            </w:r>
          </w:p>
        </w:tc>
      </w:tr>
      <w:tr w:rsidR="00BF16B4" w:rsidRPr="00395B97" w:rsidTr="00BF16B4">
        <w:trPr>
          <w:trHeight w:val="3522"/>
        </w:trPr>
        <w:tc>
          <w:tcPr>
            <w:tcW w:w="2694" w:type="dxa"/>
            <w:vMerge w:val="restart"/>
            <w:tcMar>
              <w:top w:w="28" w:type="dxa"/>
              <w:bottom w:w="28" w:type="dxa"/>
            </w:tcMar>
          </w:tcPr>
          <w:p w:rsidR="00BF16B4" w:rsidRDefault="00BF16B4" w:rsidP="002A6AB9">
            <w:pPr>
              <w:rPr>
                <w:rFonts w:ascii="Arial" w:hAnsi="Arial" w:cs="Arial"/>
              </w:rPr>
            </w:pPr>
            <w:r w:rsidRPr="001C1D66">
              <w:rPr>
                <w:rFonts w:ascii="Arial" w:hAnsi="Arial" w:cs="Arial"/>
                <w:color w:val="000000"/>
              </w:rPr>
              <w:t>IBRUTINIB</w:t>
            </w:r>
            <w:r w:rsidRPr="001C1D66">
              <w:rPr>
                <w:rFonts w:ascii="Arial" w:hAnsi="Arial" w:cs="Arial"/>
                <w:color w:val="000000"/>
              </w:rPr>
              <w:br/>
            </w:r>
            <w:r w:rsidRPr="001C1D66">
              <w:rPr>
                <w:rFonts w:ascii="Arial" w:hAnsi="Arial" w:cs="Arial"/>
                <w:color w:val="000000"/>
              </w:rPr>
              <w:br/>
              <w:t xml:space="preserve">Capsule 140 mg </w:t>
            </w:r>
            <w:r w:rsidRPr="001C1D66">
              <w:rPr>
                <w:rFonts w:ascii="Arial" w:hAnsi="Arial" w:cs="Arial"/>
                <w:color w:val="000000"/>
              </w:rPr>
              <w:br/>
            </w:r>
            <w:r w:rsidRPr="001C1D66">
              <w:rPr>
                <w:rFonts w:ascii="Arial" w:hAnsi="Arial" w:cs="Arial"/>
                <w:color w:val="000000"/>
              </w:rPr>
              <w:br/>
              <w:t>Imbruvica®</w:t>
            </w:r>
            <w:r w:rsidRPr="001C1D66">
              <w:rPr>
                <w:rFonts w:ascii="Arial" w:hAnsi="Arial" w:cs="Arial"/>
                <w:color w:val="000000"/>
              </w:rPr>
              <w:br/>
            </w:r>
            <w:r w:rsidRPr="001C1D66">
              <w:rPr>
                <w:rFonts w:ascii="Arial" w:hAnsi="Arial" w:cs="Arial"/>
                <w:color w:val="000000"/>
              </w:rPr>
              <w:br/>
              <w:t>Janssen-</w:t>
            </w:r>
            <w:proofErr w:type="spellStart"/>
            <w:r w:rsidRPr="001C1D66">
              <w:rPr>
                <w:rFonts w:ascii="Arial" w:hAnsi="Arial" w:cs="Arial"/>
                <w:color w:val="000000"/>
              </w:rPr>
              <w:t>Cilag</w:t>
            </w:r>
            <w:proofErr w:type="spellEnd"/>
            <w:r w:rsidRPr="001C1D66">
              <w:rPr>
                <w:rFonts w:ascii="Arial" w:hAnsi="Arial" w:cs="Arial"/>
                <w:color w:val="000000"/>
              </w:rPr>
              <w:t xml:space="preserve"> Pty Ltd</w:t>
            </w:r>
            <w:r w:rsidRPr="00395B97">
              <w:rPr>
                <w:rFonts w:ascii="Arial" w:hAnsi="Arial" w:cs="Arial"/>
              </w:rPr>
              <w:t xml:space="preserve"> </w:t>
            </w:r>
          </w:p>
          <w:p w:rsidR="00BF16B4" w:rsidRDefault="00BF16B4" w:rsidP="002A6AB9">
            <w:pPr>
              <w:rPr>
                <w:rFonts w:ascii="Arial" w:hAnsi="Arial" w:cs="Arial"/>
              </w:rPr>
            </w:pPr>
          </w:p>
          <w:p w:rsidR="00BF16B4" w:rsidRDefault="00BF16B4" w:rsidP="00FC06CC">
            <w:pPr>
              <w:rPr>
                <w:rFonts w:ascii="Arial" w:hAnsi="Arial" w:cs="Arial"/>
                <w:color w:val="000000"/>
              </w:rPr>
            </w:pPr>
            <w:r w:rsidRPr="001C1D66">
              <w:rPr>
                <w:rFonts w:ascii="Arial" w:hAnsi="Arial" w:cs="Arial"/>
                <w:color w:val="000000"/>
              </w:rPr>
              <w:t>Change to recommended listing</w:t>
            </w:r>
          </w:p>
          <w:p w:rsidR="00BF16B4" w:rsidRPr="00395B97" w:rsidRDefault="00BF16B4" w:rsidP="00FC06CC">
            <w:pPr>
              <w:rPr>
                <w:rFonts w:ascii="Arial" w:hAnsi="Arial" w:cs="Arial"/>
              </w:rPr>
            </w:pP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Chronic lymphocytic leukaemia (CLL)/small lymphocytic lymphoma (SLL)</w:t>
            </w:r>
          </w:p>
        </w:tc>
        <w:tc>
          <w:tcPr>
            <w:tcW w:w="3261" w:type="dxa"/>
            <w:tcMar>
              <w:top w:w="28" w:type="dxa"/>
              <w:bottom w:w="28" w:type="dxa"/>
            </w:tcMar>
          </w:tcPr>
          <w:p w:rsidR="00BF16B4" w:rsidRDefault="00BF16B4" w:rsidP="00FC06CC">
            <w:pPr>
              <w:rPr>
                <w:rFonts w:ascii="Arial" w:hAnsi="Arial" w:cs="Arial"/>
                <w:color w:val="000000"/>
              </w:rPr>
            </w:pPr>
            <w:r>
              <w:rPr>
                <w:rFonts w:ascii="Arial" w:hAnsi="Arial" w:cs="Arial"/>
                <w:color w:val="000000"/>
              </w:rPr>
              <w:t>To request an Authority Required listing for the first line treatment of patients with CLL or SLL who meet certain criteria.</w:t>
            </w:r>
          </w:p>
          <w:p w:rsidR="00BF16B4" w:rsidRPr="00395B97" w:rsidRDefault="00BF16B4" w:rsidP="002A6AB9">
            <w:pPr>
              <w:pStyle w:val="ListParagraph"/>
              <w:ind w:left="0"/>
              <w:jc w:val="right"/>
              <w:rPr>
                <w:rFonts w:ascii="Arial" w:hAnsi="Arial" w:cs="Arial"/>
              </w:rPr>
            </w:pPr>
          </w:p>
        </w:tc>
        <w:tc>
          <w:tcPr>
            <w:tcW w:w="6947" w:type="dxa"/>
          </w:tcPr>
          <w:p w:rsidR="00BF16B4" w:rsidRPr="00BF16B4" w:rsidRDefault="00BF16B4" w:rsidP="0031270A">
            <w:pPr>
              <w:jc w:val="both"/>
              <w:rPr>
                <w:rFonts w:ascii="Arial" w:hAnsi="Arial" w:cs="Arial"/>
                <w:bCs/>
                <w:szCs w:val="24"/>
                <w:highlight w:val="yellow"/>
              </w:rPr>
            </w:pPr>
            <w:r w:rsidRPr="006F5A35">
              <w:rPr>
                <w:rFonts w:ascii="Arial" w:hAnsi="Arial" w:cs="Arial"/>
                <w:bCs/>
                <w:szCs w:val="24"/>
              </w:rPr>
              <w:t xml:space="preserve">The PBAC did not recommend the Authority Required listing for </w:t>
            </w:r>
            <w:proofErr w:type="spellStart"/>
            <w:r w:rsidRPr="006F5A35">
              <w:rPr>
                <w:rFonts w:ascii="Arial" w:hAnsi="Arial" w:cs="Arial"/>
                <w:bCs/>
                <w:szCs w:val="24"/>
              </w:rPr>
              <w:t>ibrutinib</w:t>
            </w:r>
            <w:proofErr w:type="spellEnd"/>
            <w:r w:rsidRPr="006F5A35">
              <w:rPr>
                <w:rFonts w:ascii="Arial" w:hAnsi="Arial" w:cs="Arial"/>
                <w:bCs/>
                <w:szCs w:val="24"/>
              </w:rPr>
              <w:t xml:space="preserve"> for patients with previously untreated chronic lymphocytic leukaemia (CLL) or small lymphocytic leukaemia (SLL) who </w:t>
            </w:r>
            <w:proofErr w:type="gramStart"/>
            <w:r w:rsidRPr="006F5A35">
              <w:rPr>
                <w:rFonts w:ascii="Arial" w:hAnsi="Arial" w:cs="Arial"/>
                <w:bCs/>
                <w:szCs w:val="24"/>
              </w:rPr>
              <w:t>are</w:t>
            </w:r>
            <w:proofErr w:type="gramEnd"/>
            <w:r w:rsidRPr="006F5A35">
              <w:rPr>
                <w:rFonts w:ascii="Arial" w:hAnsi="Arial" w:cs="Arial"/>
                <w:bCs/>
                <w:szCs w:val="24"/>
              </w:rPr>
              <w:t xml:space="preserve"> unsuitable for treatment with a </w:t>
            </w:r>
            <w:proofErr w:type="spellStart"/>
            <w:r w:rsidRPr="006F5A35">
              <w:rPr>
                <w:rFonts w:ascii="Arial" w:hAnsi="Arial" w:cs="Arial"/>
                <w:bCs/>
                <w:szCs w:val="24"/>
              </w:rPr>
              <w:t>fludarabine</w:t>
            </w:r>
            <w:proofErr w:type="spellEnd"/>
            <w:r w:rsidRPr="006F5A35">
              <w:rPr>
                <w:rFonts w:ascii="Arial" w:hAnsi="Arial" w:cs="Arial"/>
                <w:bCs/>
                <w:szCs w:val="24"/>
              </w:rPr>
              <w:t xml:space="preserve">-based </w:t>
            </w:r>
            <w:proofErr w:type="spellStart"/>
            <w:r w:rsidRPr="006F5A35">
              <w:rPr>
                <w:rFonts w:ascii="Arial" w:hAnsi="Arial" w:cs="Arial"/>
                <w:bCs/>
                <w:szCs w:val="24"/>
              </w:rPr>
              <w:t>chemoimmunotherapy</w:t>
            </w:r>
            <w:proofErr w:type="spellEnd"/>
            <w:r w:rsidRPr="006F5A35">
              <w:rPr>
                <w:rFonts w:ascii="Arial" w:hAnsi="Arial" w:cs="Arial"/>
                <w:bCs/>
                <w:szCs w:val="24"/>
              </w:rPr>
              <w:t xml:space="preserve">.  The PBAC noted the current availability of a number of effective first-line therapies </w:t>
            </w:r>
            <w:r>
              <w:rPr>
                <w:rFonts w:ascii="Arial" w:hAnsi="Arial" w:cs="Arial"/>
                <w:bCs/>
                <w:szCs w:val="24"/>
              </w:rPr>
              <w:t>for</w:t>
            </w:r>
            <w:r w:rsidRPr="006F5A35">
              <w:rPr>
                <w:rFonts w:ascii="Arial" w:hAnsi="Arial" w:cs="Arial"/>
                <w:bCs/>
                <w:szCs w:val="24"/>
              </w:rPr>
              <w:t xml:space="preserve"> this population</w:t>
            </w:r>
            <w:r>
              <w:rPr>
                <w:rFonts w:ascii="Arial" w:hAnsi="Arial" w:cs="Arial"/>
                <w:bCs/>
                <w:szCs w:val="24"/>
              </w:rPr>
              <w:t xml:space="preserve"> on the PBS</w:t>
            </w:r>
            <w:r w:rsidRPr="006F5A35">
              <w:rPr>
                <w:rFonts w:ascii="Arial" w:hAnsi="Arial" w:cs="Arial"/>
                <w:bCs/>
                <w:szCs w:val="24"/>
              </w:rPr>
              <w:t xml:space="preserve">. Although the PBAC accepted there is a clinical benefit in progression-free survival (PFS) and overall survival (OS) for </w:t>
            </w:r>
            <w:proofErr w:type="spellStart"/>
            <w:r w:rsidRPr="006F5A35">
              <w:rPr>
                <w:rFonts w:ascii="Arial" w:hAnsi="Arial" w:cs="Arial"/>
                <w:bCs/>
                <w:szCs w:val="24"/>
              </w:rPr>
              <w:t>ibrutinib</w:t>
            </w:r>
            <w:proofErr w:type="spellEnd"/>
            <w:r w:rsidRPr="006F5A35">
              <w:rPr>
                <w:rFonts w:ascii="Arial" w:hAnsi="Arial" w:cs="Arial"/>
                <w:bCs/>
                <w:szCs w:val="24"/>
              </w:rPr>
              <w:t xml:space="preserve"> when compared to </w:t>
            </w:r>
            <w:proofErr w:type="spellStart"/>
            <w:r w:rsidRPr="006F5A35">
              <w:rPr>
                <w:rFonts w:ascii="Arial" w:hAnsi="Arial" w:cs="Arial"/>
                <w:bCs/>
                <w:szCs w:val="24"/>
              </w:rPr>
              <w:t>chlorambucil</w:t>
            </w:r>
            <w:proofErr w:type="spellEnd"/>
            <w:r w:rsidRPr="006F5A35">
              <w:rPr>
                <w:rFonts w:ascii="Arial" w:hAnsi="Arial" w:cs="Arial"/>
                <w:bCs/>
                <w:szCs w:val="24"/>
              </w:rPr>
              <w:t xml:space="preserve"> in combination with either rituximab or </w:t>
            </w:r>
            <w:proofErr w:type="spellStart"/>
            <w:r w:rsidRPr="006F5A35">
              <w:rPr>
                <w:rFonts w:ascii="Arial" w:hAnsi="Arial" w:cs="Arial"/>
                <w:bCs/>
                <w:szCs w:val="24"/>
              </w:rPr>
              <w:t>ofatumumab</w:t>
            </w:r>
            <w:proofErr w:type="spellEnd"/>
            <w:r w:rsidRPr="006F5A35">
              <w:rPr>
                <w:rFonts w:ascii="Arial" w:hAnsi="Arial" w:cs="Arial"/>
                <w:bCs/>
                <w:szCs w:val="24"/>
              </w:rPr>
              <w:t xml:space="preserve">, the benefit over </w:t>
            </w:r>
            <w:proofErr w:type="spellStart"/>
            <w:r w:rsidRPr="006F5A35">
              <w:rPr>
                <w:rFonts w:ascii="Arial" w:hAnsi="Arial" w:cs="Arial"/>
                <w:bCs/>
                <w:szCs w:val="24"/>
              </w:rPr>
              <w:t>chlorambucil</w:t>
            </w:r>
            <w:proofErr w:type="spellEnd"/>
            <w:r w:rsidRPr="006F5A35">
              <w:rPr>
                <w:rFonts w:ascii="Arial" w:hAnsi="Arial" w:cs="Arial"/>
                <w:bCs/>
                <w:szCs w:val="24"/>
              </w:rPr>
              <w:t xml:space="preserve"> in combination with </w:t>
            </w:r>
            <w:proofErr w:type="spellStart"/>
            <w:r w:rsidRPr="006F5A35">
              <w:rPr>
                <w:rFonts w:ascii="Arial" w:hAnsi="Arial" w:cs="Arial"/>
                <w:bCs/>
                <w:szCs w:val="24"/>
              </w:rPr>
              <w:t>obinutuzumab</w:t>
            </w:r>
            <w:proofErr w:type="spellEnd"/>
            <w:r w:rsidRPr="006F5A35">
              <w:rPr>
                <w:rFonts w:ascii="Arial" w:hAnsi="Arial" w:cs="Arial"/>
                <w:bCs/>
                <w:szCs w:val="24"/>
              </w:rPr>
              <w:t xml:space="preserve"> was not supported. The incremental cost-effectiveness ratio presented using the blended comparator of </w:t>
            </w:r>
            <w:proofErr w:type="spellStart"/>
            <w:r w:rsidRPr="006F5A35">
              <w:rPr>
                <w:rFonts w:ascii="Arial" w:hAnsi="Arial" w:cs="Arial"/>
                <w:bCs/>
                <w:szCs w:val="24"/>
              </w:rPr>
              <w:t>chlorambucil</w:t>
            </w:r>
            <w:proofErr w:type="spellEnd"/>
            <w:r w:rsidRPr="006F5A35">
              <w:rPr>
                <w:rFonts w:ascii="Arial" w:hAnsi="Arial" w:cs="Arial"/>
                <w:bCs/>
                <w:szCs w:val="24"/>
              </w:rPr>
              <w:t xml:space="preserve"> in combination with rituximab, </w:t>
            </w:r>
            <w:proofErr w:type="spellStart"/>
            <w:r w:rsidRPr="006F5A35">
              <w:rPr>
                <w:rFonts w:ascii="Arial" w:hAnsi="Arial" w:cs="Arial"/>
                <w:bCs/>
                <w:szCs w:val="24"/>
              </w:rPr>
              <w:t>ofatumumab</w:t>
            </w:r>
            <w:proofErr w:type="spellEnd"/>
            <w:r w:rsidRPr="006F5A35">
              <w:rPr>
                <w:rFonts w:ascii="Arial" w:hAnsi="Arial" w:cs="Arial"/>
                <w:bCs/>
                <w:szCs w:val="24"/>
              </w:rPr>
              <w:t xml:space="preserve"> and </w:t>
            </w:r>
            <w:proofErr w:type="spellStart"/>
            <w:r w:rsidRPr="006F5A35">
              <w:rPr>
                <w:rFonts w:ascii="Arial" w:hAnsi="Arial" w:cs="Arial"/>
                <w:bCs/>
                <w:szCs w:val="24"/>
              </w:rPr>
              <w:t>obinutuzumab</w:t>
            </w:r>
            <w:proofErr w:type="spellEnd"/>
            <w:r w:rsidRPr="006F5A35">
              <w:rPr>
                <w:rFonts w:ascii="Arial" w:hAnsi="Arial" w:cs="Arial"/>
                <w:bCs/>
                <w:szCs w:val="24"/>
              </w:rPr>
              <w:t xml:space="preserve"> was considered high and </w:t>
            </w:r>
            <w:r>
              <w:rPr>
                <w:rFonts w:ascii="Arial" w:hAnsi="Arial" w:cs="Arial"/>
                <w:bCs/>
                <w:szCs w:val="24"/>
              </w:rPr>
              <w:t xml:space="preserve">overly </w:t>
            </w:r>
            <w:r w:rsidRPr="006F5A35">
              <w:rPr>
                <w:rFonts w:ascii="Arial" w:hAnsi="Arial" w:cs="Arial"/>
                <w:bCs/>
                <w:szCs w:val="24"/>
              </w:rPr>
              <w:t xml:space="preserve">optimistic. The PBAC also noted that the net cost of listing </w:t>
            </w:r>
            <w:proofErr w:type="spellStart"/>
            <w:r w:rsidRPr="006F5A35">
              <w:rPr>
                <w:rFonts w:ascii="Arial" w:hAnsi="Arial" w:cs="Arial"/>
                <w:bCs/>
                <w:szCs w:val="24"/>
              </w:rPr>
              <w:t>ibrutinib</w:t>
            </w:r>
            <w:proofErr w:type="spellEnd"/>
            <w:r w:rsidRPr="006F5A35">
              <w:rPr>
                <w:rFonts w:ascii="Arial" w:hAnsi="Arial" w:cs="Arial"/>
                <w:bCs/>
                <w:szCs w:val="24"/>
              </w:rPr>
              <w:t xml:space="preserve"> in the first-line setting would have a significant financial impact, leading to </w:t>
            </w:r>
            <w:r w:rsidRPr="006F5A35">
              <w:rPr>
                <w:rFonts w:ascii="Arial" w:hAnsi="Arial" w:cs="Arial"/>
              </w:rPr>
              <w:t>a significant opportunity cost to the Commonwealth in funding other therapies.</w:t>
            </w:r>
          </w:p>
        </w:tc>
      </w:tr>
      <w:tr w:rsidR="00BF16B4" w:rsidRPr="00395B97" w:rsidTr="00BF16B4">
        <w:trPr>
          <w:trHeight w:val="687"/>
        </w:trPr>
        <w:tc>
          <w:tcPr>
            <w:tcW w:w="2694" w:type="dxa"/>
            <w:vMerge/>
            <w:tcMar>
              <w:top w:w="28" w:type="dxa"/>
              <w:bottom w:w="28" w:type="dxa"/>
            </w:tcMar>
          </w:tcPr>
          <w:p w:rsidR="00BF16B4" w:rsidRPr="001C1D66" w:rsidRDefault="00BF16B4" w:rsidP="002A6AB9">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BF16B4" w:rsidRPr="006F5A35" w:rsidRDefault="00C42F22" w:rsidP="0031270A">
            <w:pPr>
              <w:jc w:val="both"/>
              <w:rPr>
                <w:rFonts w:ascii="Arial" w:hAnsi="Arial" w:cs="Arial"/>
                <w:bCs/>
                <w:szCs w:val="24"/>
              </w:rPr>
            </w:pPr>
            <w:r w:rsidRPr="00C42F22">
              <w:rPr>
                <w:rFonts w:ascii="Arial" w:hAnsi="Arial" w:cs="Arial"/>
                <w:bCs/>
                <w:szCs w:val="24"/>
              </w:rPr>
              <w:t xml:space="preserve">Janssen will continue to work with the PBAC to make </w:t>
            </w:r>
            <w:proofErr w:type="spellStart"/>
            <w:r w:rsidRPr="00C42F22">
              <w:rPr>
                <w:rFonts w:ascii="Arial" w:hAnsi="Arial" w:cs="Arial"/>
                <w:bCs/>
                <w:szCs w:val="24"/>
              </w:rPr>
              <w:t>ibrutinib</w:t>
            </w:r>
            <w:proofErr w:type="spellEnd"/>
            <w:r w:rsidRPr="00C42F22">
              <w:rPr>
                <w:rFonts w:ascii="Arial" w:hAnsi="Arial" w:cs="Arial"/>
                <w:bCs/>
                <w:szCs w:val="24"/>
              </w:rPr>
              <w:t xml:space="preserve"> available to patients as soon as practical.</w:t>
            </w:r>
          </w:p>
        </w:tc>
      </w:tr>
      <w:tr w:rsidR="00BF16B4" w:rsidRPr="00395B97" w:rsidTr="00BF16B4">
        <w:trPr>
          <w:trHeight w:val="6165"/>
        </w:trPr>
        <w:tc>
          <w:tcPr>
            <w:tcW w:w="2694" w:type="dxa"/>
            <w:vMerge w:val="restart"/>
            <w:tcMar>
              <w:top w:w="28" w:type="dxa"/>
              <w:bottom w:w="28" w:type="dxa"/>
            </w:tcMar>
          </w:tcPr>
          <w:p w:rsidR="00BF16B4" w:rsidRPr="00F83458" w:rsidRDefault="00BF16B4" w:rsidP="00FC06CC">
            <w:pPr>
              <w:rPr>
                <w:rFonts w:ascii="Arial" w:hAnsi="Arial" w:cs="Arial"/>
                <w:color w:val="000000"/>
              </w:rPr>
            </w:pPr>
            <w:r w:rsidRPr="001C1D66">
              <w:rPr>
                <w:rFonts w:ascii="Arial" w:hAnsi="Arial" w:cs="Arial"/>
                <w:color w:val="000000"/>
              </w:rPr>
              <w:t>INSULIN DEGLUDEC WITH INSULIN ASPART</w:t>
            </w:r>
            <w:r w:rsidRPr="001C1D66">
              <w:rPr>
                <w:rFonts w:ascii="Arial" w:hAnsi="Arial" w:cs="Arial"/>
                <w:color w:val="000000"/>
              </w:rPr>
              <w:br/>
            </w:r>
            <w:r w:rsidRPr="001C1D66">
              <w:rPr>
                <w:rFonts w:ascii="Arial" w:hAnsi="Arial" w:cs="Arial"/>
                <w:color w:val="000000"/>
              </w:rPr>
              <w:br/>
            </w:r>
            <w:r w:rsidRPr="00F83458">
              <w:rPr>
                <w:rFonts w:ascii="Arial" w:hAnsi="Arial" w:cs="Arial"/>
                <w:color w:val="000000"/>
              </w:rPr>
              <w:t>Injections, cartridges, 70 units-30 units per mL, 3 mL, 5</w:t>
            </w:r>
          </w:p>
          <w:p w:rsidR="00BF16B4" w:rsidRDefault="00BF16B4" w:rsidP="00FC06CC">
            <w:pPr>
              <w:rPr>
                <w:rFonts w:ascii="Arial" w:hAnsi="Arial" w:cs="Arial"/>
                <w:color w:val="000000"/>
              </w:rPr>
            </w:pPr>
            <w:r w:rsidRPr="00F83458">
              <w:rPr>
                <w:rFonts w:ascii="Arial" w:hAnsi="Arial" w:cs="Arial"/>
                <w:color w:val="000000"/>
              </w:rPr>
              <w:t>Injections, pre-filled pen, 70 units-30 units per mL, 3 mL, 5</w:t>
            </w:r>
          </w:p>
          <w:p w:rsidR="00BF16B4" w:rsidRDefault="00BF16B4" w:rsidP="00FC06CC">
            <w:pPr>
              <w:rPr>
                <w:rFonts w:ascii="Arial" w:hAnsi="Arial" w:cs="Arial"/>
                <w:color w:val="000000"/>
              </w:rPr>
            </w:pPr>
            <w:r w:rsidRPr="001C1D66">
              <w:rPr>
                <w:rFonts w:ascii="Arial" w:hAnsi="Arial" w:cs="Arial"/>
                <w:color w:val="000000"/>
              </w:rPr>
              <w:br/>
            </w:r>
            <w:proofErr w:type="spellStart"/>
            <w:r w:rsidRPr="001C1D66">
              <w:rPr>
                <w:rFonts w:ascii="Arial" w:hAnsi="Arial" w:cs="Arial"/>
                <w:color w:val="000000"/>
              </w:rPr>
              <w:t>Ryzodeg</w:t>
            </w:r>
            <w:proofErr w:type="spellEnd"/>
            <w:r>
              <w:rPr>
                <w:rFonts w:ascii="Arial" w:hAnsi="Arial" w:cs="Arial"/>
                <w:color w:val="000000"/>
              </w:rPr>
              <w:t xml:space="preserve"> FlexTouch</w:t>
            </w:r>
            <w:r w:rsidRPr="001C1D66">
              <w:rPr>
                <w:rFonts w:ascii="Arial" w:hAnsi="Arial" w:cs="Arial"/>
                <w:color w:val="000000"/>
              </w:rPr>
              <w:t>®</w:t>
            </w:r>
          </w:p>
          <w:p w:rsidR="00BF16B4" w:rsidRDefault="00BF16B4" w:rsidP="00FC06CC">
            <w:pPr>
              <w:rPr>
                <w:rFonts w:ascii="Arial" w:hAnsi="Arial" w:cs="Arial"/>
                <w:color w:val="000000"/>
              </w:rPr>
            </w:pPr>
            <w:proofErr w:type="spellStart"/>
            <w:r w:rsidRPr="001C1D66">
              <w:rPr>
                <w:rFonts w:ascii="Arial" w:hAnsi="Arial" w:cs="Arial"/>
                <w:color w:val="000000"/>
              </w:rPr>
              <w:t>Ryzodeg</w:t>
            </w:r>
            <w:proofErr w:type="spellEnd"/>
            <w:r>
              <w:rPr>
                <w:rFonts w:ascii="Arial" w:hAnsi="Arial" w:cs="Arial"/>
                <w:color w:val="000000"/>
              </w:rPr>
              <w:t xml:space="preserve"> </w:t>
            </w:r>
            <w:proofErr w:type="spellStart"/>
            <w:r>
              <w:rPr>
                <w:rFonts w:ascii="Arial" w:hAnsi="Arial" w:cs="Arial"/>
                <w:color w:val="000000"/>
              </w:rPr>
              <w:t>Penfill</w:t>
            </w:r>
            <w:proofErr w:type="spellEnd"/>
            <w:r w:rsidRPr="001C1D66">
              <w:rPr>
                <w:rFonts w:ascii="Arial" w:hAnsi="Arial" w:cs="Arial"/>
                <w:color w:val="000000"/>
              </w:rPr>
              <w:t>®</w:t>
            </w:r>
          </w:p>
          <w:p w:rsidR="00BF16B4" w:rsidRDefault="00BF16B4" w:rsidP="00FC06CC">
            <w:pPr>
              <w:rPr>
                <w:rFonts w:ascii="Arial" w:hAnsi="Arial" w:cs="Arial"/>
                <w:color w:val="000000"/>
              </w:rPr>
            </w:pPr>
            <w:r w:rsidRPr="001C1D66">
              <w:rPr>
                <w:rFonts w:ascii="Arial" w:hAnsi="Arial" w:cs="Arial"/>
                <w:color w:val="000000"/>
              </w:rPr>
              <w:br/>
              <w:t>Novo Nordisk Pharmaceuticals Pty Ltd</w:t>
            </w:r>
          </w:p>
          <w:p w:rsidR="00BF16B4" w:rsidRDefault="00BF16B4" w:rsidP="00FC06CC">
            <w:pPr>
              <w:rPr>
                <w:rFonts w:ascii="Arial" w:hAnsi="Arial" w:cs="Arial"/>
                <w:color w:val="000000"/>
              </w:rPr>
            </w:pPr>
          </w:p>
          <w:p w:rsidR="00BF16B4" w:rsidRDefault="00BF16B4" w:rsidP="00FC06CC">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p w:rsidR="00BF16B4" w:rsidRPr="00395B97" w:rsidRDefault="00BF16B4" w:rsidP="00FC06CC">
            <w:pPr>
              <w:rPr>
                <w:rFonts w:ascii="Arial" w:hAnsi="Arial" w:cs="Arial"/>
              </w:rPr>
            </w:pP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Diabetes mellitus</w:t>
            </w:r>
          </w:p>
        </w:tc>
        <w:tc>
          <w:tcPr>
            <w:tcW w:w="3261" w:type="dxa"/>
            <w:tcMar>
              <w:top w:w="28" w:type="dxa"/>
              <w:bottom w:w="28" w:type="dxa"/>
            </w:tcMar>
          </w:tcPr>
          <w:p w:rsidR="00BF16B4" w:rsidRDefault="00BF16B4" w:rsidP="00FC06CC">
            <w:pPr>
              <w:rPr>
                <w:rFonts w:ascii="Arial" w:hAnsi="Arial" w:cs="Arial"/>
              </w:rPr>
            </w:pPr>
            <w:r>
              <w:rPr>
                <w:rFonts w:ascii="Arial" w:hAnsi="Arial" w:cs="Arial"/>
              </w:rPr>
              <w:t>To request an unrestricted listing to improve glycaemic control in adult patients with diabetes mellitus where basal and prandial insulin treatment is necessary.</w:t>
            </w:r>
          </w:p>
          <w:p w:rsidR="00BF16B4" w:rsidRPr="00395B97" w:rsidRDefault="00BF16B4" w:rsidP="002A6AB9">
            <w:pPr>
              <w:jc w:val="both"/>
              <w:rPr>
                <w:rFonts w:ascii="Arial" w:hAnsi="Arial" w:cs="Arial"/>
              </w:rPr>
            </w:pPr>
          </w:p>
        </w:tc>
        <w:tc>
          <w:tcPr>
            <w:tcW w:w="6947" w:type="dxa"/>
          </w:tcPr>
          <w:p w:rsidR="00BF16B4" w:rsidRPr="006D70E2" w:rsidRDefault="00BF16B4" w:rsidP="0031270A">
            <w:pPr>
              <w:pStyle w:val="ListParagraph"/>
              <w:ind w:left="0"/>
              <w:jc w:val="both"/>
              <w:rPr>
                <w:rFonts w:ascii="Arial" w:hAnsi="Arial" w:cs="Arial"/>
                <w:iCs/>
                <w:sz w:val="20"/>
                <w:szCs w:val="20"/>
              </w:rPr>
            </w:pPr>
            <w:r w:rsidRPr="006D70E2">
              <w:rPr>
                <w:rFonts w:ascii="Arial" w:hAnsi="Arial" w:cs="Arial"/>
                <w:iCs/>
                <w:sz w:val="20"/>
                <w:szCs w:val="20"/>
              </w:rPr>
              <w:t xml:space="preserve">The PBAC did not recommend insulin </w:t>
            </w:r>
            <w:proofErr w:type="spellStart"/>
            <w:r w:rsidRPr="006D70E2">
              <w:rPr>
                <w:rFonts w:ascii="Arial" w:hAnsi="Arial" w:cs="Arial"/>
                <w:iCs/>
                <w:sz w:val="20"/>
                <w:szCs w:val="20"/>
              </w:rPr>
              <w:t>degludec</w:t>
            </w:r>
            <w:proofErr w:type="spellEnd"/>
            <w:r w:rsidRPr="006D70E2">
              <w:rPr>
                <w:rFonts w:ascii="Arial" w:hAnsi="Arial" w:cs="Arial"/>
                <w:iCs/>
                <w:sz w:val="20"/>
                <w:szCs w:val="20"/>
              </w:rPr>
              <w:t xml:space="preserve"> with insulin </w:t>
            </w:r>
            <w:proofErr w:type="spellStart"/>
            <w:r w:rsidRPr="006D70E2">
              <w:rPr>
                <w:rFonts w:ascii="Arial" w:hAnsi="Arial" w:cs="Arial"/>
                <w:iCs/>
                <w:sz w:val="20"/>
                <w:szCs w:val="20"/>
              </w:rPr>
              <w:t>aspart</w:t>
            </w:r>
            <w:proofErr w:type="spellEnd"/>
            <w:r w:rsidRPr="006D70E2">
              <w:rPr>
                <w:rFonts w:ascii="Arial" w:hAnsi="Arial" w:cs="Arial"/>
                <w:iCs/>
                <w:sz w:val="20"/>
                <w:szCs w:val="20"/>
              </w:rPr>
              <w:t xml:space="preserve"> (</w:t>
            </w:r>
            <w:proofErr w:type="spellStart"/>
            <w:r w:rsidRPr="006D70E2">
              <w:rPr>
                <w:rFonts w:ascii="Arial" w:hAnsi="Arial" w:cs="Arial"/>
                <w:iCs/>
                <w:sz w:val="20"/>
                <w:szCs w:val="20"/>
              </w:rPr>
              <w:t>IDegAsp</w:t>
            </w:r>
            <w:proofErr w:type="spellEnd"/>
            <w:r w:rsidRPr="006D70E2">
              <w:rPr>
                <w:rFonts w:ascii="Arial" w:hAnsi="Arial" w:cs="Arial"/>
                <w:iCs/>
                <w:sz w:val="20"/>
                <w:szCs w:val="20"/>
              </w:rPr>
              <w:t xml:space="preserve">) for treatment of adult patients with diabetes mellitus where insulin treatment is necessary on the basis that the cost effectiveness of the drug </w:t>
            </w:r>
            <w:r>
              <w:rPr>
                <w:rFonts w:ascii="Arial" w:hAnsi="Arial" w:cs="Arial"/>
                <w:iCs/>
                <w:sz w:val="20"/>
                <w:szCs w:val="20"/>
              </w:rPr>
              <w:t>treating patients with</w:t>
            </w:r>
            <w:r w:rsidRPr="006D70E2">
              <w:rPr>
                <w:rFonts w:ascii="Arial" w:hAnsi="Arial" w:cs="Arial"/>
                <w:iCs/>
                <w:sz w:val="20"/>
                <w:szCs w:val="20"/>
              </w:rPr>
              <w:t xml:space="preserve"> type 2 diabetes mellitus (T2DM) was not established at the proposed price, and because the clinical place </w:t>
            </w:r>
            <w:r>
              <w:rPr>
                <w:rFonts w:ascii="Arial" w:hAnsi="Arial" w:cs="Arial"/>
                <w:iCs/>
                <w:sz w:val="20"/>
                <w:szCs w:val="20"/>
              </w:rPr>
              <w:t>for use in patients with</w:t>
            </w:r>
            <w:r w:rsidRPr="006D70E2">
              <w:rPr>
                <w:rFonts w:ascii="Arial" w:hAnsi="Arial" w:cs="Arial"/>
                <w:iCs/>
                <w:sz w:val="20"/>
                <w:szCs w:val="20"/>
              </w:rPr>
              <w:t xml:space="preserve"> type 1 diabetes mellitus (T1DM) was not established by the submission.</w:t>
            </w:r>
          </w:p>
          <w:p w:rsidR="00BF16B4" w:rsidRPr="006D70E2" w:rsidRDefault="00BF16B4" w:rsidP="0031270A">
            <w:pPr>
              <w:pStyle w:val="ListParagraph"/>
              <w:ind w:left="0"/>
              <w:jc w:val="both"/>
              <w:rPr>
                <w:rFonts w:ascii="Arial" w:hAnsi="Arial" w:cs="Arial"/>
                <w:iCs/>
                <w:sz w:val="20"/>
                <w:szCs w:val="20"/>
              </w:rPr>
            </w:pPr>
            <w:r w:rsidRPr="006D70E2">
              <w:rPr>
                <w:rFonts w:ascii="Arial" w:hAnsi="Arial" w:cs="Arial"/>
                <w:iCs/>
                <w:sz w:val="20"/>
                <w:szCs w:val="20"/>
              </w:rPr>
              <w:t xml:space="preserve">The PBAC accepted biphasic insulin </w:t>
            </w:r>
            <w:proofErr w:type="spellStart"/>
            <w:r w:rsidRPr="006D70E2">
              <w:rPr>
                <w:rFonts w:ascii="Arial" w:hAnsi="Arial" w:cs="Arial"/>
                <w:iCs/>
                <w:sz w:val="20"/>
                <w:szCs w:val="20"/>
              </w:rPr>
              <w:t>aspart</w:t>
            </w:r>
            <w:proofErr w:type="spellEnd"/>
            <w:r w:rsidR="000626A0">
              <w:rPr>
                <w:rFonts w:ascii="Arial" w:hAnsi="Arial" w:cs="Arial"/>
                <w:iCs/>
                <w:sz w:val="20"/>
                <w:szCs w:val="20"/>
              </w:rPr>
              <w:t xml:space="preserve"> 30</w:t>
            </w:r>
            <w:r w:rsidRPr="006D70E2">
              <w:rPr>
                <w:rFonts w:ascii="Arial" w:hAnsi="Arial" w:cs="Arial"/>
                <w:iCs/>
                <w:sz w:val="20"/>
                <w:szCs w:val="20"/>
              </w:rPr>
              <w:t xml:space="preserve"> (</w:t>
            </w:r>
            <w:proofErr w:type="spellStart"/>
            <w:r w:rsidRPr="006D70E2">
              <w:rPr>
                <w:rFonts w:ascii="Arial" w:hAnsi="Arial" w:cs="Arial"/>
                <w:iCs/>
                <w:sz w:val="20"/>
                <w:szCs w:val="20"/>
              </w:rPr>
              <w:t>BIAsp</w:t>
            </w:r>
            <w:proofErr w:type="spellEnd"/>
            <w:r w:rsidR="000626A0">
              <w:rPr>
                <w:rFonts w:ascii="Arial" w:hAnsi="Arial" w:cs="Arial"/>
                <w:iCs/>
                <w:sz w:val="20"/>
                <w:szCs w:val="20"/>
              </w:rPr>
              <w:t xml:space="preserve"> </w:t>
            </w:r>
            <w:r w:rsidRPr="006D70E2">
              <w:rPr>
                <w:rFonts w:ascii="Arial" w:hAnsi="Arial" w:cs="Arial"/>
                <w:iCs/>
                <w:sz w:val="20"/>
                <w:szCs w:val="20"/>
              </w:rPr>
              <w:t>30</w:t>
            </w:r>
            <w:r w:rsidR="00091380">
              <w:rPr>
                <w:rFonts w:ascii="Arial" w:hAnsi="Arial" w:cs="Arial"/>
                <w:iCs/>
                <w:sz w:val="20"/>
                <w:szCs w:val="20"/>
              </w:rPr>
              <w:t>)</w:t>
            </w:r>
            <w:r w:rsidRPr="006D70E2">
              <w:rPr>
                <w:rFonts w:ascii="Arial" w:hAnsi="Arial" w:cs="Arial"/>
                <w:iCs/>
                <w:sz w:val="20"/>
                <w:szCs w:val="20"/>
              </w:rPr>
              <w:t xml:space="preserve"> as the appropriate comparator for </w:t>
            </w:r>
            <w:proofErr w:type="spellStart"/>
            <w:r w:rsidRPr="006D70E2">
              <w:rPr>
                <w:rFonts w:ascii="Arial" w:hAnsi="Arial" w:cs="Arial"/>
                <w:iCs/>
                <w:sz w:val="20"/>
                <w:szCs w:val="20"/>
              </w:rPr>
              <w:t>IDegAsp</w:t>
            </w:r>
            <w:proofErr w:type="spellEnd"/>
            <w:r w:rsidRPr="006D70E2">
              <w:rPr>
                <w:rFonts w:ascii="Arial" w:hAnsi="Arial" w:cs="Arial"/>
                <w:iCs/>
                <w:sz w:val="20"/>
                <w:szCs w:val="20"/>
              </w:rPr>
              <w:t xml:space="preserve"> in T2DM. However in T1DM, </w:t>
            </w:r>
            <w:r w:rsidR="00765544">
              <w:rPr>
                <w:rFonts w:ascii="Arial" w:hAnsi="Arial" w:cs="Arial"/>
                <w:iCs/>
                <w:sz w:val="20"/>
                <w:szCs w:val="20"/>
              </w:rPr>
              <w:t xml:space="preserve">the </w:t>
            </w:r>
            <w:r w:rsidR="00765544" w:rsidRPr="00765544">
              <w:rPr>
                <w:rFonts w:ascii="Arial" w:hAnsi="Arial" w:cs="Arial"/>
                <w:iCs/>
                <w:sz w:val="20"/>
                <w:szCs w:val="20"/>
              </w:rPr>
              <w:t xml:space="preserve">submission nominated insulin </w:t>
            </w:r>
            <w:proofErr w:type="spellStart"/>
            <w:r w:rsidR="00765544" w:rsidRPr="00765544">
              <w:rPr>
                <w:rFonts w:ascii="Arial" w:hAnsi="Arial" w:cs="Arial"/>
                <w:iCs/>
                <w:sz w:val="20"/>
                <w:szCs w:val="20"/>
              </w:rPr>
              <w:t>detemir</w:t>
            </w:r>
            <w:proofErr w:type="spellEnd"/>
            <w:r w:rsidR="00765544" w:rsidRPr="00765544">
              <w:rPr>
                <w:rFonts w:ascii="Arial" w:hAnsi="Arial" w:cs="Arial"/>
                <w:iCs/>
                <w:sz w:val="20"/>
                <w:szCs w:val="20"/>
              </w:rPr>
              <w:t xml:space="preserve"> (</w:t>
            </w:r>
            <w:proofErr w:type="spellStart"/>
            <w:r w:rsidR="00765544" w:rsidRPr="00765544">
              <w:rPr>
                <w:rFonts w:ascii="Arial" w:hAnsi="Arial" w:cs="Arial"/>
                <w:iCs/>
                <w:sz w:val="20"/>
                <w:szCs w:val="20"/>
              </w:rPr>
              <w:t>IDet</w:t>
            </w:r>
            <w:proofErr w:type="spellEnd"/>
            <w:r w:rsidR="00765544" w:rsidRPr="00765544">
              <w:rPr>
                <w:rFonts w:ascii="Arial" w:hAnsi="Arial" w:cs="Arial"/>
                <w:iCs/>
                <w:sz w:val="20"/>
                <w:szCs w:val="20"/>
              </w:rPr>
              <w:t>) as the main comparator</w:t>
            </w:r>
            <w:r w:rsidR="00900883">
              <w:rPr>
                <w:rFonts w:ascii="Arial" w:hAnsi="Arial" w:cs="Arial"/>
                <w:iCs/>
                <w:sz w:val="20"/>
                <w:szCs w:val="20"/>
              </w:rPr>
              <w:t xml:space="preserve"> and</w:t>
            </w:r>
            <w:r w:rsidR="00765544" w:rsidRPr="00765544">
              <w:rPr>
                <w:rFonts w:ascii="Arial" w:hAnsi="Arial" w:cs="Arial"/>
                <w:iCs/>
                <w:sz w:val="20"/>
                <w:szCs w:val="20"/>
              </w:rPr>
              <w:t xml:space="preserve"> </w:t>
            </w:r>
            <w:r w:rsidRPr="006D70E2">
              <w:rPr>
                <w:rFonts w:ascii="Arial" w:hAnsi="Arial" w:cs="Arial"/>
                <w:iCs/>
                <w:sz w:val="20"/>
                <w:szCs w:val="20"/>
              </w:rPr>
              <w:t xml:space="preserve">the PBAC noted that pre-mixed insulins are not typically used in this population and considered that it was not clear what role </w:t>
            </w:r>
            <w:proofErr w:type="spellStart"/>
            <w:r w:rsidRPr="006D70E2">
              <w:rPr>
                <w:rFonts w:ascii="Arial" w:hAnsi="Arial" w:cs="Arial"/>
                <w:iCs/>
                <w:sz w:val="20"/>
                <w:szCs w:val="20"/>
              </w:rPr>
              <w:t>IDegAsp</w:t>
            </w:r>
            <w:proofErr w:type="spellEnd"/>
            <w:r w:rsidRPr="006D70E2">
              <w:rPr>
                <w:rFonts w:ascii="Arial" w:hAnsi="Arial" w:cs="Arial"/>
                <w:iCs/>
                <w:sz w:val="20"/>
                <w:szCs w:val="20"/>
              </w:rPr>
              <w:t xml:space="preserve"> would have in T1DM if listed. Therefore, the PBAC considered that the comparison of </w:t>
            </w:r>
            <w:proofErr w:type="spellStart"/>
            <w:r w:rsidRPr="006D70E2">
              <w:rPr>
                <w:rFonts w:ascii="Arial" w:hAnsi="Arial" w:cs="Arial"/>
                <w:iCs/>
                <w:sz w:val="20"/>
                <w:szCs w:val="20"/>
              </w:rPr>
              <w:t>IDegAsp</w:t>
            </w:r>
            <w:proofErr w:type="spellEnd"/>
            <w:r w:rsidRPr="006D70E2">
              <w:rPr>
                <w:rFonts w:ascii="Arial" w:hAnsi="Arial" w:cs="Arial"/>
                <w:iCs/>
                <w:sz w:val="20"/>
                <w:szCs w:val="20"/>
              </w:rPr>
              <w:t xml:space="preserve"> against</w:t>
            </w:r>
            <w:r w:rsidR="00900883">
              <w:rPr>
                <w:rFonts w:ascii="Arial" w:hAnsi="Arial" w:cs="Arial"/>
                <w:iCs/>
                <w:sz w:val="20"/>
                <w:szCs w:val="20"/>
              </w:rPr>
              <w:t xml:space="preserve"> </w:t>
            </w:r>
            <w:proofErr w:type="spellStart"/>
            <w:r w:rsidR="00900883">
              <w:rPr>
                <w:rFonts w:ascii="Arial" w:hAnsi="Arial" w:cs="Arial"/>
                <w:iCs/>
                <w:sz w:val="20"/>
                <w:szCs w:val="20"/>
              </w:rPr>
              <w:t>IDet</w:t>
            </w:r>
            <w:proofErr w:type="spellEnd"/>
            <w:r w:rsidRPr="006D70E2">
              <w:rPr>
                <w:rFonts w:ascii="Arial" w:hAnsi="Arial" w:cs="Arial"/>
                <w:iCs/>
                <w:sz w:val="20"/>
                <w:szCs w:val="20"/>
              </w:rPr>
              <w:t xml:space="preserve"> in T1DM to be of limited value for decision making, as this drug is unlikely to be replaced by </w:t>
            </w:r>
            <w:proofErr w:type="spellStart"/>
            <w:r w:rsidRPr="006D70E2">
              <w:rPr>
                <w:rFonts w:ascii="Arial" w:hAnsi="Arial" w:cs="Arial"/>
                <w:iCs/>
                <w:sz w:val="20"/>
                <w:szCs w:val="20"/>
              </w:rPr>
              <w:t>IDegAsp</w:t>
            </w:r>
            <w:proofErr w:type="spellEnd"/>
            <w:r w:rsidRPr="006D70E2">
              <w:rPr>
                <w:rFonts w:ascii="Arial" w:hAnsi="Arial" w:cs="Arial"/>
                <w:iCs/>
                <w:sz w:val="20"/>
                <w:szCs w:val="20"/>
              </w:rPr>
              <w:t xml:space="preserve"> in clinical practice in this population. </w:t>
            </w:r>
          </w:p>
          <w:p w:rsidR="00BF16B4" w:rsidRPr="006D70E2" w:rsidRDefault="00BF16B4" w:rsidP="0031270A">
            <w:pPr>
              <w:pStyle w:val="ListParagraph"/>
              <w:ind w:left="0"/>
              <w:jc w:val="both"/>
              <w:rPr>
                <w:rFonts w:ascii="Arial" w:hAnsi="Arial" w:cs="Arial"/>
                <w:iCs/>
                <w:sz w:val="20"/>
                <w:szCs w:val="20"/>
              </w:rPr>
            </w:pPr>
            <w:r w:rsidRPr="006D70E2">
              <w:rPr>
                <w:rFonts w:ascii="Arial" w:hAnsi="Arial" w:cs="Arial"/>
                <w:iCs/>
                <w:sz w:val="20"/>
                <w:szCs w:val="20"/>
              </w:rPr>
              <w:t xml:space="preserve">The PBAC considered that the claim of non-inferior comparative effectiveness was reasonably supported by the data for T2DM, based on three head-to-head trials comparing </w:t>
            </w:r>
            <w:proofErr w:type="spellStart"/>
            <w:r w:rsidRPr="006D70E2">
              <w:rPr>
                <w:rFonts w:ascii="Arial" w:hAnsi="Arial" w:cs="Arial"/>
                <w:iCs/>
                <w:sz w:val="20"/>
                <w:szCs w:val="20"/>
              </w:rPr>
              <w:t>IDegAsp</w:t>
            </w:r>
            <w:proofErr w:type="spellEnd"/>
            <w:r w:rsidRPr="006D70E2">
              <w:rPr>
                <w:rFonts w:ascii="Arial" w:hAnsi="Arial" w:cs="Arial"/>
                <w:iCs/>
                <w:sz w:val="20"/>
                <w:szCs w:val="20"/>
              </w:rPr>
              <w:t xml:space="preserve"> to </w:t>
            </w:r>
            <w:proofErr w:type="spellStart"/>
            <w:r w:rsidRPr="006D70E2">
              <w:rPr>
                <w:rFonts w:ascii="Arial" w:hAnsi="Arial" w:cs="Arial"/>
                <w:iCs/>
                <w:sz w:val="20"/>
                <w:szCs w:val="20"/>
              </w:rPr>
              <w:t>BIAsp</w:t>
            </w:r>
            <w:proofErr w:type="spellEnd"/>
            <w:r w:rsidRPr="006D70E2">
              <w:rPr>
                <w:rFonts w:ascii="Arial" w:hAnsi="Arial" w:cs="Arial"/>
                <w:iCs/>
                <w:sz w:val="20"/>
                <w:szCs w:val="20"/>
              </w:rPr>
              <w:t xml:space="preserve"> 30. However, the PBAC considered that the claim of superior comparative safety was not adequately supported by the data given. The PBAC noted that although there was a slight reduction in hypoglycaemic events per patient year, no improvement in severe hypoglycaemic events was demonstrated.</w:t>
            </w:r>
          </w:p>
          <w:p w:rsidR="00BF16B4" w:rsidRPr="00395B97" w:rsidRDefault="00BF16B4" w:rsidP="0031270A">
            <w:pPr>
              <w:pStyle w:val="ListParagraph"/>
              <w:ind w:left="0"/>
              <w:jc w:val="both"/>
              <w:rPr>
                <w:rFonts w:ascii="Arial" w:hAnsi="Arial" w:cs="Arial"/>
                <w:iCs/>
                <w:sz w:val="20"/>
                <w:szCs w:val="20"/>
              </w:rPr>
            </w:pPr>
            <w:r w:rsidRPr="006D70E2">
              <w:rPr>
                <w:rFonts w:ascii="Arial" w:hAnsi="Arial" w:cs="Arial"/>
                <w:iCs/>
                <w:sz w:val="20"/>
                <w:szCs w:val="20"/>
              </w:rPr>
              <w:t>The PBAC considered that due to issues with the safety claim, there was a high degree of uncertainty around the cost effectiveness and financial impact of</w:t>
            </w:r>
            <w:r>
              <w:rPr>
                <w:rFonts w:ascii="Arial" w:hAnsi="Arial" w:cs="Arial"/>
                <w:iCs/>
                <w:sz w:val="20"/>
                <w:szCs w:val="20"/>
              </w:rPr>
              <w:t xml:space="preserve"> listing</w:t>
            </w:r>
            <w:r w:rsidRPr="006D70E2">
              <w:rPr>
                <w:rFonts w:ascii="Arial" w:hAnsi="Arial" w:cs="Arial"/>
                <w:iCs/>
                <w:sz w:val="20"/>
                <w:szCs w:val="20"/>
              </w:rPr>
              <w:t xml:space="preserve"> </w:t>
            </w:r>
            <w:proofErr w:type="spellStart"/>
            <w:r w:rsidRPr="006D70E2">
              <w:rPr>
                <w:rFonts w:ascii="Arial" w:hAnsi="Arial" w:cs="Arial"/>
                <w:iCs/>
                <w:sz w:val="20"/>
                <w:szCs w:val="20"/>
              </w:rPr>
              <w:t>IDegAsp</w:t>
            </w:r>
            <w:proofErr w:type="spellEnd"/>
            <w:r w:rsidRPr="006D70E2">
              <w:rPr>
                <w:rFonts w:ascii="Arial" w:hAnsi="Arial" w:cs="Arial"/>
                <w:iCs/>
                <w:sz w:val="20"/>
                <w:szCs w:val="20"/>
              </w:rPr>
              <w:t xml:space="preserve">.  </w:t>
            </w:r>
          </w:p>
        </w:tc>
      </w:tr>
      <w:tr w:rsidR="00BF16B4" w:rsidRPr="00395B97" w:rsidTr="008956BF">
        <w:trPr>
          <w:trHeight w:val="390"/>
        </w:trPr>
        <w:tc>
          <w:tcPr>
            <w:tcW w:w="2694" w:type="dxa"/>
            <w:vMerge/>
            <w:tcMar>
              <w:top w:w="28" w:type="dxa"/>
              <w:bottom w:w="28" w:type="dxa"/>
            </w:tcMar>
          </w:tcPr>
          <w:p w:rsidR="00BF16B4" w:rsidRPr="001C1D66" w:rsidRDefault="00BF16B4" w:rsidP="00FC06CC">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rPr>
            </w:pPr>
            <w:r w:rsidRPr="00395B97">
              <w:rPr>
                <w:rFonts w:ascii="Arial" w:hAnsi="Arial" w:cs="Arial"/>
                <w:snapToGrid w:val="0"/>
                <w:lang w:eastAsia="en-US"/>
              </w:rPr>
              <w:t>Sponsor Comment:</w:t>
            </w:r>
          </w:p>
        </w:tc>
        <w:tc>
          <w:tcPr>
            <w:tcW w:w="6947" w:type="dxa"/>
          </w:tcPr>
          <w:p w:rsidR="00BF16B4" w:rsidRPr="006D70E2" w:rsidRDefault="00492E29" w:rsidP="0031270A">
            <w:pPr>
              <w:pStyle w:val="ListParagraph"/>
              <w:ind w:left="0"/>
              <w:jc w:val="both"/>
              <w:rPr>
                <w:rFonts w:ascii="Arial" w:hAnsi="Arial" w:cs="Arial"/>
                <w:iCs/>
                <w:sz w:val="20"/>
                <w:szCs w:val="20"/>
              </w:rPr>
            </w:pPr>
            <w:r w:rsidRPr="00492E29">
              <w:rPr>
                <w:rFonts w:ascii="Arial" w:hAnsi="Arial" w:cs="Arial"/>
                <w:iCs/>
                <w:sz w:val="20"/>
                <w:szCs w:val="20"/>
              </w:rPr>
              <w:t xml:space="preserve">Novo Nordisk looks forward to working with the PBAC to determine the best approach to make </w:t>
            </w:r>
            <w:proofErr w:type="spellStart"/>
            <w:r w:rsidRPr="00492E29">
              <w:rPr>
                <w:rFonts w:ascii="Arial" w:hAnsi="Arial" w:cs="Arial"/>
                <w:iCs/>
                <w:sz w:val="20"/>
                <w:szCs w:val="20"/>
              </w:rPr>
              <w:t>Ryzodeg</w:t>
            </w:r>
            <w:proofErr w:type="spellEnd"/>
            <w:r w:rsidRPr="00492E29">
              <w:rPr>
                <w:rFonts w:ascii="Arial" w:hAnsi="Arial" w:cs="Arial"/>
                <w:iCs/>
                <w:sz w:val="20"/>
                <w:szCs w:val="20"/>
              </w:rPr>
              <w:t xml:space="preserve">® 70/30 available for Australians with diabetes mellitus </w:t>
            </w:r>
            <w:proofErr w:type="gramStart"/>
            <w:r w:rsidRPr="00492E29">
              <w:rPr>
                <w:rFonts w:ascii="Arial" w:hAnsi="Arial" w:cs="Arial"/>
                <w:iCs/>
                <w:sz w:val="20"/>
                <w:szCs w:val="20"/>
              </w:rPr>
              <w:t>who</w:t>
            </w:r>
            <w:proofErr w:type="gramEnd"/>
            <w:r w:rsidRPr="00492E29">
              <w:rPr>
                <w:rFonts w:ascii="Arial" w:hAnsi="Arial" w:cs="Arial"/>
                <w:iCs/>
                <w:sz w:val="20"/>
                <w:szCs w:val="20"/>
              </w:rPr>
              <w:t xml:space="preserve"> would benefit from this product.</w:t>
            </w:r>
          </w:p>
        </w:tc>
      </w:tr>
      <w:tr w:rsidR="00BF16B4" w:rsidRPr="00395B97" w:rsidTr="00BF16B4">
        <w:trPr>
          <w:trHeight w:val="7335"/>
        </w:trPr>
        <w:tc>
          <w:tcPr>
            <w:tcW w:w="2694" w:type="dxa"/>
            <w:vMerge w:val="restart"/>
            <w:tcMar>
              <w:top w:w="28" w:type="dxa"/>
              <w:bottom w:w="28" w:type="dxa"/>
            </w:tcMar>
          </w:tcPr>
          <w:p w:rsidR="00BF16B4" w:rsidRDefault="00BF16B4" w:rsidP="002A6AB9">
            <w:pPr>
              <w:rPr>
                <w:rFonts w:ascii="Arial" w:hAnsi="Arial" w:cs="Arial"/>
              </w:rPr>
            </w:pPr>
            <w:r w:rsidRPr="001C1D66">
              <w:rPr>
                <w:rFonts w:ascii="Arial" w:hAnsi="Arial" w:cs="Arial"/>
                <w:color w:val="000000"/>
              </w:rPr>
              <w:lastRenderedPageBreak/>
              <w:t xml:space="preserve">LENVATINIB </w:t>
            </w:r>
            <w:r w:rsidRPr="001C1D66">
              <w:rPr>
                <w:rFonts w:ascii="Arial" w:hAnsi="Arial" w:cs="Arial"/>
                <w:color w:val="000000"/>
              </w:rPr>
              <w:br/>
            </w:r>
            <w:r w:rsidRPr="001C1D66">
              <w:rPr>
                <w:rFonts w:ascii="Arial" w:hAnsi="Arial" w:cs="Arial"/>
                <w:color w:val="000000"/>
              </w:rPr>
              <w:br/>
              <w:t xml:space="preserve">Capsule 10 mg (as </w:t>
            </w:r>
            <w:proofErr w:type="spellStart"/>
            <w:r w:rsidRPr="001C1D66">
              <w:rPr>
                <w:rFonts w:ascii="Arial" w:hAnsi="Arial" w:cs="Arial"/>
                <w:color w:val="000000"/>
              </w:rPr>
              <w:t>mesilate</w:t>
            </w:r>
            <w:proofErr w:type="spellEnd"/>
            <w:r w:rsidRPr="001C1D66">
              <w:rPr>
                <w:rFonts w:ascii="Arial" w:hAnsi="Arial" w:cs="Arial"/>
                <w:color w:val="000000"/>
              </w:rPr>
              <w:t>)</w:t>
            </w:r>
            <w:r w:rsidRPr="001C1D66">
              <w:rPr>
                <w:rFonts w:ascii="Arial" w:hAnsi="Arial" w:cs="Arial"/>
                <w:color w:val="000000"/>
              </w:rPr>
              <w:br/>
              <w:t xml:space="preserve">Capsule 4 mg (as </w:t>
            </w:r>
            <w:proofErr w:type="spellStart"/>
            <w:r w:rsidRPr="001C1D66">
              <w:rPr>
                <w:rFonts w:ascii="Arial" w:hAnsi="Arial" w:cs="Arial"/>
                <w:color w:val="000000"/>
              </w:rPr>
              <w:t>mesilate</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Lenvima</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Eisai Australia Pty Ltd</w:t>
            </w:r>
            <w:r w:rsidRPr="00395B97">
              <w:rPr>
                <w:rFonts w:ascii="Arial" w:hAnsi="Arial" w:cs="Arial"/>
              </w:rPr>
              <w:t xml:space="preserve"> </w:t>
            </w:r>
          </w:p>
          <w:p w:rsidR="00BF16B4" w:rsidRDefault="00BF16B4" w:rsidP="002A6AB9">
            <w:pPr>
              <w:rPr>
                <w:rFonts w:ascii="Arial" w:hAnsi="Arial" w:cs="Arial"/>
                <w:color w:val="000000"/>
              </w:rPr>
            </w:pPr>
          </w:p>
          <w:p w:rsidR="00BF16B4" w:rsidRPr="00395B97" w:rsidRDefault="00BF16B4" w:rsidP="002A6AB9">
            <w:pPr>
              <w:rPr>
                <w:rFonts w:ascii="Arial" w:hAnsi="Arial" w:cs="Arial"/>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Advanced renal cell carcinoma</w:t>
            </w:r>
            <w:r>
              <w:rPr>
                <w:rFonts w:ascii="Arial" w:hAnsi="Arial" w:cs="Arial"/>
                <w:color w:val="000000"/>
              </w:rPr>
              <w:t xml:space="preserve"> (RCC)</w:t>
            </w:r>
          </w:p>
        </w:tc>
        <w:tc>
          <w:tcPr>
            <w:tcW w:w="3261" w:type="dxa"/>
            <w:tcMar>
              <w:top w:w="28" w:type="dxa"/>
              <w:bottom w:w="28" w:type="dxa"/>
            </w:tcMar>
          </w:tcPr>
          <w:p w:rsidR="00BF16B4" w:rsidRDefault="00BF16B4" w:rsidP="00272411">
            <w:pPr>
              <w:rPr>
                <w:rFonts w:ascii="Arial" w:hAnsi="Arial" w:cs="Arial"/>
                <w:color w:val="000000"/>
              </w:rPr>
            </w:pPr>
            <w:r>
              <w:rPr>
                <w:rFonts w:ascii="Arial" w:hAnsi="Arial" w:cs="Arial"/>
                <w:color w:val="000000"/>
              </w:rPr>
              <w:t>To request an Authority Required (STREAMLINED) listing for the treatment of patients with advanced renal cell carcinoma following treatment with at least one anti-angiogenic therapy.</w:t>
            </w:r>
          </w:p>
          <w:p w:rsidR="00BF16B4" w:rsidRPr="00395B97" w:rsidRDefault="00BF16B4" w:rsidP="002A6AB9">
            <w:pPr>
              <w:jc w:val="both"/>
              <w:rPr>
                <w:rFonts w:ascii="Arial" w:hAnsi="Arial" w:cs="Arial"/>
              </w:rPr>
            </w:pPr>
          </w:p>
        </w:tc>
        <w:tc>
          <w:tcPr>
            <w:tcW w:w="6947" w:type="dxa"/>
          </w:tcPr>
          <w:p w:rsidR="00BF16B4" w:rsidRPr="006F5A35" w:rsidRDefault="00BF16B4" w:rsidP="0031270A">
            <w:pPr>
              <w:spacing w:after="120"/>
              <w:jc w:val="both"/>
              <w:rPr>
                <w:rFonts w:ascii="Arial" w:hAnsi="Arial" w:cs="Arial"/>
                <w:color w:val="000000"/>
              </w:rPr>
            </w:pPr>
            <w:r w:rsidRPr="006F5A35">
              <w:rPr>
                <w:rFonts w:ascii="Arial" w:hAnsi="Arial" w:cs="Arial"/>
                <w:color w:val="000000"/>
              </w:rPr>
              <w:t xml:space="preserve">The PBAC did not recommend the listing of </w:t>
            </w:r>
            <w:proofErr w:type="spellStart"/>
            <w:r w:rsidRPr="006F5A35">
              <w:rPr>
                <w:rFonts w:ascii="Arial" w:hAnsi="Arial" w:cs="Arial"/>
                <w:color w:val="000000"/>
              </w:rPr>
              <w:t>lenvatinib</w:t>
            </w:r>
            <w:proofErr w:type="spellEnd"/>
            <w:r>
              <w:rPr>
                <w:rFonts w:ascii="Arial" w:hAnsi="Arial" w:cs="Arial"/>
                <w:color w:val="000000"/>
              </w:rPr>
              <w:t xml:space="preserve"> </w:t>
            </w:r>
            <w:r w:rsidRPr="005D0714">
              <w:rPr>
                <w:rFonts w:ascii="Arial" w:hAnsi="Arial" w:cs="Arial"/>
                <w:color w:val="000000"/>
              </w:rPr>
              <w:t xml:space="preserve">in combination with </w:t>
            </w:r>
            <w:proofErr w:type="spellStart"/>
            <w:r w:rsidRPr="005D0714">
              <w:rPr>
                <w:rFonts w:ascii="Arial" w:hAnsi="Arial" w:cs="Arial"/>
                <w:color w:val="000000"/>
              </w:rPr>
              <w:t>everolimus</w:t>
            </w:r>
            <w:proofErr w:type="spellEnd"/>
            <w:r w:rsidRPr="006F5A35">
              <w:rPr>
                <w:rFonts w:ascii="Arial" w:hAnsi="Arial" w:cs="Arial"/>
                <w:color w:val="000000"/>
              </w:rPr>
              <w:t xml:space="preserve"> for advanced RCC on the basis that the clinical need and the clinical place in therapy of </w:t>
            </w:r>
            <w:proofErr w:type="spellStart"/>
            <w:r w:rsidRPr="006F5A35">
              <w:rPr>
                <w:rFonts w:ascii="Arial" w:hAnsi="Arial" w:cs="Arial"/>
                <w:color w:val="000000"/>
              </w:rPr>
              <w:t>lenvatinib</w:t>
            </w:r>
            <w:proofErr w:type="spellEnd"/>
            <w:r w:rsidRPr="006F5A35">
              <w:rPr>
                <w:rFonts w:ascii="Arial" w:hAnsi="Arial" w:cs="Arial"/>
                <w:color w:val="000000"/>
              </w:rPr>
              <w:t xml:space="preserve"> were not adequately established. In addition, the PBAC considered that the magnitude of the clinical benefit was uncertain. </w:t>
            </w:r>
          </w:p>
          <w:p w:rsidR="00BF16B4" w:rsidRPr="006F5A35" w:rsidRDefault="00BF16B4" w:rsidP="0031270A">
            <w:pPr>
              <w:spacing w:after="120"/>
              <w:jc w:val="both"/>
              <w:rPr>
                <w:rFonts w:ascii="Arial" w:hAnsi="Arial" w:cs="Arial"/>
                <w:color w:val="000000"/>
              </w:rPr>
            </w:pPr>
            <w:r w:rsidRPr="006F5A35">
              <w:rPr>
                <w:rFonts w:ascii="Arial" w:hAnsi="Arial" w:cs="Arial"/>
                <w:color w:val="000000"/>
              </w:rPr>
              <w:t xml:space="preserve">The PBAC noted that the submission nominated </w:t>
            </w:r>
            <w:proofErr w:type="spellStart"/>
            <w:r w:rsidRPr="006F5A35">
              <w:rPr>
                <w:rFonts w:ascii="Arial" w:hAnsi="Arial" w:cs="Arial"/>
                <w:color w:val="000000"/>
              </w:rPr>
              <w:t>everolimus</w:t>
            </w:r>
            <w:proofErr w:type="spellEnd"/>
            <w:r w:rsidRPr="006F5A35">
              <w:rPr>
                <w:rFonts w:ascii="Arial" w:hAnsi="Arial" w:cs="Arial"/>
                <w:color w:val="000000"/>
              </w:rPr>
              <w:t xml:space="preserve"> as the main</w:t>
            </w:r>
            <w:r>
              <w:rPr>
                <w:rFonts w:ascii="Arial" w:hAnsi="Arial" w:cs="Arial"/>
                <w:color w:val="000000"/>
              </w:rPr>
              <w:t xml:space="preserve"> </w:t>
            </w:r>
            <w:r w:rsidRPr="006F5A35">
              <w:rPr>
                <w:rFonts w:ascii="Arial" w:hAnsi="Arial" w:cs="Arial"/>
                <w:color w:val="000000"/>
              </w:rPr>
              <w:t xml:space="preserve">comparator and </w:t>
            </w:r>
            <w:proofErr w:type="spellStart"/>
            <w:r w:rsidRPr="006F5A35">
              <w:rPr>
                <w:rFonts w:ascii="Arial" w:hAnsi="Arial" w:cs="Arial"/>
                <w:color w:val="000000"/>
              </w:rPr>
              <w:t>nivolumab</w:t>
            </w:r>
            <w:proofErr w:type="spellEnd"/>
            <w:r w:rsidRPr="006F5A35">
              <w:rPr>
                <w:rFonts w:ascii="Arial" w:hAnsi="Arial" w:cs="Arial"/>
                <w:color w:val="000000"/>
              </w:rPr>
              <w:t xml:space="preserve"> as a secondary comparator, with </w:t>
            </w:r>
            <w:proofErr w:type="spellStart"/>
            <w:r w:rsidRPr="006F5A35">
              <w:rPr>
                <w:rFonts w:ascii="Arial" w:hAnsi="Arial" w:cs="Arial"/>
                <w:color w:val="000000"/>
              </w:rPr>
              <w:t>axitinib</w:t>
            </w:r>
            <w:proofErr w:type="spellEnd"/>
            <w:r w:rsidRPr="006F5A35">
              <w:rPr>
                <w:rFonts w:ascii="Arial" w:hAnsi="Arial" w:cs="Arial"/>
                <w:color w:val="000000"/>
              </w:rPr>
              <w:t xml:space="preserve"> and </w:t>
            </w:r>
            <w:proofErr w:type="spellStart"/>
            <w:r w:rsidRPr="006F5A35">
              <w:rPr>
                <w:rFonts w:ascii="Arial" w:hAnsi="Arial" w:cs="Arial"/>
                <w:color w:val="000000"/>
              </w:rPr>
              <w:t>cabozantinib</w:t>
            </w:r>
            <w:proofErr w:type="spellEnd"/>
            <w:r w:rsidRPr="006F5A35">
              <w:rPr>
                <w:rFonts w:ascii="Arial" w:hAnsi="Arial" w:cs="Arial"/>
                <w:color w:val="000000"/>
              </w:rPr>
              <w:t xml:space="preserve"> as supplementary comparators. The PBAC considered that concerns regarding the magnitude of clinical benefit and the toxicity profile of </w:t>
            </w:r>
            <w:proofErr w:type="spellStart"/>
            <w:r w:rsidRPr="006F5A35">
              <w:rPr>
                <w:rFonts w:ascii="Arial" w:hAnsi="Arial" w:cs="Arial"/>
                <w:color w:val="000000"/>
              </w:rPr>
              <w:t>lenvatinib</w:t>
            </w:r>
            <w:proofErr w:type="spellEnd"/>
            <w:r>
              <w:rPr>
                <w:rFonts w:ascii="Arial" w:hAnsi="Arial" w:cs="Arial"/>
                <w:color w:val="000000"/>
              </w:rPr>
              <w:t xml:space="preserve"> </w:t>
            </w:r>
            <w:r w:rsidRPr="005D0714">
              <w:rPr>
                <w:rFonts w:ascii="Arial" w:hAnsi="Arial" w:cs="Arial"/>
                <w:color w:val="000000"/>
              </w:rPr>
              <w:t xml:space="preserve">in combination with </w:t>
            </w:r>
            <w:proofErr w:type="spellStart"/>
            <w:r w:rsidRPr="005D0714">
              <w:rPr>
                <w:rFonts w:ascii="Arial" w:hAnsi="Arial" w:cs="Arial"/>
                <w:color w:val="000000"/>
              </w:rPr>
              <w:t>everolimus</w:t>
            </w:r>
            <w:proofErr w:type="spellEnd"/>
            <w:r w:rsidRPr="006F5A35">
              <w:rPr>
                <w:rFonts w:ascii="Arial" w:hAnsi="Arial" w:cs="Arial"/>
                <w:color w:val="000000"/>
              </w:rPr>
              <w:t xml:space="preserve"> when compared to </w:t>
            </w:r>
            <w:proofErr w:type="gramStart"/>
            <w:r w:rsidRPr="006F5A35">
              <w:rPr>
                <w:rFonts w:ascii="Arial" w:hAnsi="Arial" w:cs="Arial"/>
                <w:color w:val="000000"/>
              </w:rPr>
              <w:t>established</w:t>
            </w:r>
            <w:proofErr w:type="gramEnd"/>
            <w:r w:rsidRPr="006F5A35">
              <w:rPr>
                <w:rFonts w:ascii="Arial" w:hAnsi="Arial" w:cs="Arial"/>
                <w:color w:val="000000"/>
              </w:rPr>
              <w:t xml:space="preserve"> treatments (both </w:t>
            </w:r>
            <w:proofErr w:type="spellStart"/>
            <w:r w:rsidRPr="006F5A35">
              <w:rPr>
                <w:rFonts w:ascii="Arial" w:hAnsi="Arial" w:cs="Arial"/>
                <w:color w:val="000000"/>
              </w:rPr>
              <w:t>everolimus</w:t>
            </w:r>
            <w:proofErr w:type="spellEnd"/>
            <w:r w:rsidRPr="006F5A35">
              <w:rPr>
                <w:rFonts w:ascii="Arial" w:hAnsi="Arial" w:cs="Arial"/>
                <w:color w:val="000000"/>
              </w:rPr>
              <w:t xml:space="preserve"> and </w:t>
            </w:r>
            <w:proofErr w:type="spellStart"/>
            <w:r w:rsidRPr="006F5A35">
              <w:rPr>
                <w:rFonts w:ascii="Arial" w:hAnsi="Arial" w:cs="Arial"/>
                <w:color w:val="000000"/>
              </w:rPr>
              <w:t>nivolumab</w:t>
            </w:r>
            <w:proofErr w:type="spellEnd"/>
            <w:r w:rsidRPr="006F5A35">
              <w:rPr>
                <w:rFonts w:ascii="Arial" w:hAnsi="Arial" w:cs="Arial"/>
                <w:color w:val="000000"/>
              </w:rPr>
              <w:t xml:space="preserve">) meant that its clinical place in therapy was unclear. The PBAC considered that until the clinical place in therapy is established, an appropriate comparator for </w:t>
            </w:r>
            <w:proofErr w:type="spellStart"/>
            <w:r w:rsidRPr="006F5A35">
              <w:rPr>
                <w:rFonts w:ascii="Arial" w:hAnsi="Arial" w:cs="Arial"/>
                <w:color w:val="000000"/>
              </w:rPr>
              <w:t>lenvatinib</w:t>
            </w:r>
            <w:proofErr w:type="spellEnd"/>
            <w:r>
              <w:rPr>
                <w:rFonts w:ascii="Arial" w:hAnsi="Arial" w:cs="Arial"/>
                <w:color w:val="000000"/>
              </w:rPr>
              <w:t xml:space="preserve"> </w:t>
            </w:r>
            <w:r w:rsidRPr="005D0714">
              <w:rPr>
                <w:rFonts w:ascii="Arial" w:hAnsi="Arial" w:cs="Arial"/>
                <w:color w:val="000000"/>
              </w:rPr>
              <w:t xml:space="preserve">in combination with </w:t>
            </w:r>
            <w:proofErr w:type="spellStart"/>
            <w:r w:rsidRPr="005D0714">
              <w:rPr>
                <w:rFonts w:ascii="Arial" w:hAnsi="Arial" w:cs="Arial"/>
                <w:color w:val="000000"/>
              </w:rPr>
              <w:t>everolimus</w:t>
            </w:r>
            <w:proofErr w:type="spellEnd"/>
            <w:r w:rsidRPr="006F5A35">
              <w:rPr>
                <w:rFonts w:ascii="Arial" w:hAnsi="Arial" w:cs="Arial"/>
                <w:color w:val="000000"/>
              </w:rPr>
              <w:t xml:space="preserve"> cannot be determined.</w:t>
            </w:r>
            <w:r>
              <w:rPr>
                <w:rFonts w:ascii="Arial" w:hAnsi="Arial" w:cs="Arial"/>
                <w:color w:val="000000"/>
              </w:rPr>
              <w:t xml:space="preserve"> </w:t>
            </w:r>
          </w:p>
          <w:p w:rsidR="00BF16B4" w:rsidRPr="006F5A35" w:rsidRDefault="00BF16B4" w:rsidP="0031270A">
            <w:pPr>
              <w:spacing w:after="120"/>
              <w:jc w:val="both"/>
              <w:rPr>
                <w:rFonts w:ascii="Arial" w:hAnsi="Arial" w:cs="Arial"/>
                <w:color w:val="000000"/>
              </w:rPr>
            </w:pPr>
            <w:r w:rsidRPr="006F5A35">
              <w:rPr>
                <w:rFonts w:ascii="Arial" w:hAnsi="Arial" w:cs="Arial"/>
                <w:color w:val="000000"/>
              </w:rPr>
              <w:t xml:space="preserve">The PBAC considered the claim of superior efficacy for </w:t>
            </w:r>
            <w:proofErr w:type="spellStart"/>
            <w:r w:rsidRPr="006F5A35">
              <w:rPr>
                <w:rFonts w:ascii="Arial" w:hAnsi="Arial" w:cs="Arial"/>
                <w:color w:val="000000"/>
              </w:rPr>
              <w:t>lenvatinib</w:t>
            </w:r>
            <w:proofErr w:type="spellEnd"/>
            <w:r>
              <w:t xml:space="preserve"> </w:t>
            </w:r>
            <w:r w:rsidRPr="005D0714">
              <w:rPr>
                <w:rFonts w:ascii="Arial" w:hAnsi="Arial" w:cs="Arial"/>
                <w:color w:val="000000"/>
              </w:rPr>
              <w:t xml:space="preserve">in combination with </w:t>
            </w:r>
            <w:proofErr w:type="spellStart"/>
            <w:r w:rsidRPr="005D0714">
              <w:rPr>
                <w:rFonts w:ascii="Arial" w:hAnsi="Arial" w:cs="Arial"/>
                <w:color w:val="000000"/>
              </w:rPr>
              <w:t>everolimus</w:t>
            </w:r>
            <w:proofErr w:type="spellEnd"/>
            <w:r>
              <w:rPr>
                <w:rFonts w:ascii="Arial" w:hAnsi="Arial" w:cs="Arial"/>
                <w:color w:val="000000"/>
              </w:rPr>
              <w:t xml:space="preserve"> </w:t>
            </w:r>
            <w:r w:rsidRPr="006F5A35">
              <w:rPr>
                <w:rFonts w:ascii="Arial" w:hAnsi="Arial" w:cs="Arial"/>
                <w:color w:val="000000"/>
              </w:rPr>
              <w:t xml:space="preserve">over </w:t>
            </w:r>
            <w:proofErr w:type="spellStart"/>
            <w:r w:rsidRPr="006F5A35">
              <w:rPr>
                <w:rFonts w:ascii="Arial" w:hAnsi="Arial" w:cs="Arial"/>
                <w:color w:val="000000"/>
              </w:rPr>
              <w:t>everolimus</w:t>
            </w:r>
            <w:proofErr w:type="spellEnd"/>
            <w:r w:rsidRPr="006F5A35">
              <w:rPr>
                <w:rFonts w:ascii="Arial" w:hAnsi="Arial" w:cs="Arial"/>
                <w:color w:val="000000"/>
              </w:rPr>
              <w:t xml:space="preserve"> monotherapy in terms of </w:t>
            </w:r>
            <w:r w:rsidRPr="005D0714">
              <w:rPr>
                <w:rFonts w:ascii="Arial" w:hAnsi="Arial" w:cs="Arial"/>
                <w:color w:val="000000"/>
              </w:rPr>
              <w:t xml:space="preserve">progression-free survival (PFS) and overall survival (OS) </w:t>
            </w:r>
            <w:r w:rsidRPr="006F5A35">
              <w:rPr>
                <w:rFonts w:ascii="Arial" w:hAnsi="Arial" w:cs="Arial"/>
                <w:color w:val="000000"/>
              </w:rPr>
              <w:t xml:space="preserve">was not well supported by the data, as Study 205 was a small and underpowered phase II trial which was subject to bias due to its open-label design and use of investigator assessment for </w:t>
            </w:r>
            <w:r>
              <w:rPr>
                <w:rFonts w:ascii="Arial" w:hAnsi="Arial" w:cs="Arial"/>
                <w:color w:val="000000"/>
              </w:rPr>
              <w:t xml:space="preserve">disease </w:t>
            </w:r>
            <w:r w:rsidRPr="006F5A35">
              <w:rPr>
                <w:rFonts w:ascii="Arial" w:hAnsi="Arial" w:cs="Arial"/>
                <w:color w:val="000000"/>
              </w:rPr>
              <w:t xml:space="preserve">progression. </w:t>
            </w:r>
          </w:p>
          <w:p w:rsidR="00BF16B4" w:rsidRPr="006F5A35" w:rsidRDefault="00BF16B4" w:rsidP="0031270A">
            <w:pPr>
              <w:spacing w:after="120"/>
              <w:jc w:val="both"/>
              <w:rPr>
                <w:rFonts w:ascii="Arial" w:hAnsi="Arial" w:cs="Arial"/>
                <w:color w:val="000000"/>
              </w:rPr>
            </w:pPr>
            <w:r w:rsidRPr="006F5A35">
              <w:rPr>
                <w:rFonts w:ascii="Arial" w:hAnsi="Arial" w:cs="Arial"/>
                <w:color w:val="000000"/>
              </w:rPr>
              <w:t xml:space="preserve">The PBAC considered that the toxicity associated with the combination of </w:t>
            </w:r>
            <w:proofErr w:type="spellStart"/>
            <w:r w:rsidRPr="006F5A35">
              <w:rPr>
                <w:rFonts w:ascii="Arial" w:hAnsi="Arial" w:cs="Arial"/>
                <w:color w:val="000000"/>
              </w:rPr>
              <w:t>lenvatinib</w:t>
            </w:r>
            <w:proofErr w:type="spellEnd"/>
            <w:r w:rsidRPr="006F5A35">
              <w:rPr>
                <w:rFonts w:ascii="Arial" w:hAnsi="Arial" w:cs="Arial"/>
                <w:color w:val="000000"/>
              </w:rPr>
              <w:t xml:space="preserve"> </w:t>
            </w:r>
            <w:r>
              <w:rPr>
                <w:rFonts w:ascii="Arial" w:hAnsi="Arial" w:cs="Arial"/>
                <w:color w:val="000000"/>
              </w:rPr>
              <w:t>in combination with</w:t>
            </w:r>
            <w:r w:rsidRPr="006F5A35">
              <w:rPr>
                <w:rFonts w:ascii="Arial" w:hAnsi="Arial" w:cs="Arial"/>
                <w:color w:val="000000"/>
              </w:rPr>
              <w:t xml:space="preserve"> </w:t>
            </w:r>
            <w:proofErr w:type="spellStart"/>
            <w:r w:rsidRPr="006F5A35">
              <w:rPr>
                <w:rFonts w:ascii="Arial" w:hAnsi="Arial" w:cs="Arial"/>
                <w:color w:val="000000"/>
              </w:rPr>
              <w:t>everolimus</w:t>
            </w:r>
            <w:proofErr w:type="spellEnd"/>
            <w:r w:rsidRPr="006F5A35">
              <w:rPr>
                <w:rFonts w:ascii="Arial" w:hAnsi="Arial" w:cs="Arial"/>
                <w:color w:val="000000"/>
              </w:rPr>
              <w:t xml:space="preserve"> was not insignificant, with serious adverse events of Grade 3 or 4 occurring more frequently in patients receiving this treatment regimen.</w:t>
            </w:r>
          </w:p>
          <w:p w:rsidR="00BF16B4" w:rsidRPr="006F5A35" w:rsidRDefault="00BF16B4" w:rsidP="0031270A">
            <w:pPr>
              <w:spacing w:after="120"/>
              <w:jc w:val="both"/>
              <w:rPr>
                <w:rFonts w:ascii="Arial" w:hAnsi="Arial" w:cs="Arial"/>
                <w:color w:val="000000"/>
              </w:rPr>
            </w:pPr>
            <w:r w:rsidRPr="006F5A35">
              <w:rPr>
                <w:rFonts w:ascii="Arial" w:hAnsi="Arial" w:cs="Arial"/>
                <w:color w:val="000000"/>
              </w:rPr>
              <w:t xml:space="preserve">The PBAC advised that the appropriate comparator for the cost-utility analysis was unclear, and considered the proposed </w:t>
            </w:r>
            <w:r w:rsidRPr="005C1051">
              <w:rPr>
                <w:rFonts w:ascii="Arial" w:hAnsi="Arial" w:cs="Arial"/>
                <w:iCs/>
              </w:rPr>
              <w:t xml:space="preserve">incremental cost-effectiveness ratio </w:t>
            </w:r>
            <w:r>
              <w:rPr>
                <w:rFonts w:ascii="Arial" w:hAnsi="Arial" w:cs="Arial"/>
                <w:iCs/>
              </w:rPr>
              <w:t>(</w:t>
            </w:r>
            <w:r w:rsidRPr="006F5A35">
              <w:rPr>
                <w:rFonts w:ascii="Arial" w:hAnsi="Arial" w:cs="Arial"/>
                <w:color w:val="000000"/>
              </w:rPr>
              <w:t>ICER</w:t>
            </w:r>
            <w:r>
              <w:rPr>
                <w:rFonts w:ascii="Arial" w:hAnsi="Arial" w:cs="Arial"/>
                <w:color w:val="000000"/>
              </w:rPr>
              <w:t>) presented in the submission</w:t>
            </w:r>
            <w:r w:rsidRPr="006F5A35">
              <w:rPr>
                <w:rFonts w:ascii="Arial" w:hAnsi="Arial" w:cs="Arial"/>
                <w:color w:val="000000"/>
              </w:rPr>
              <w:t xml:space="preserve"> to be high and uncertain due to the sensitivity of the model to the estimate of OS improvement. </w:t>
            </w:r>
          </w:p>
        </w:tc>
      </w:tr>
      <w:tr w:rsidR="00BF16B4" w:rsidRPr="00395B97" w:rsidTr="00F01044">
        <w:trPr>
          <w:trHeight w:val="510"/>
        </w:trPr>
        <w:tc>
          <w:tcPr>
            <w:tcW w:w="2694" w:type="dxa"/>
            <w:vMerge/>
            <w:tcMar>
              <w:top w:w="28" w:type="dxa"/>
              <w:bottom w:w="28" w:type="dxa"/>
            </w:tcMar>
          </w:tcPr>
          <w:p w:rsidR="00BF16B4" w:rsidRPr="001C1D66" w:rsidRDefault="00BF16B4" w:rsidP="002A6AB9">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BF16B4" w:rsidRPr="006F5A35" w:rsidRDefault="009F1B34" w:rsidP="0031270A">
            <w:pPr>
              <w:spacing w:after="120"/>
              <w:jc w:val="both"/>
              <w:rPr>
                <w:rFonts w:ascii="Arial" w:hAnsi="Arial" w:cs="Arial"/>
                <w:color w:val="000000"/>
              </w:rPr>
            </w:pPr>
            <w:r>
              <w:rPr>
                <w:rFonts w:ascii="Arial" w:hAnsi="Arial" w:cs="Arial"/>
              </w:rPr>
              <w:t>The Sponsor had no comment.</w:t>
            </w:r>
          </w:p>
        </w:tc>
      </w:tr>
      <w:tr w:rsidR="00BF16B4" w:rsidRPr="00395B97" w:rsidTr="00BF16B4">
        <w:trPr>
          <w:trHeight w:val="3045"/>
        </w:trPr>
        <w:tc>
          <w:tcPr>
            <w:tcW w:w="2694" w:type="dxa"/>
            <w:vMerge w:val="restart"/>
            <w:tcMar>
              <w:top w:w="28" w:type="dxa"/>
              <w:bottom w:w="28" w:type="dxa"/>
            </w:tcMar>
          </w:tcPr>
          <w:p w:rsidR="00BF16B4" w:rsidRPr="00272411" w:rsidRDefault="00BF16B4" w:rsidP="00272411">
            <w:pPr>
              <w:rPr>
                <w:rFonts w:ascii="Arial" w:hAnsi="Arial" w:cs="Arial"/>
              </w:rPr>
            </w:pPr>
            <w:r w:rsidRPr="00272411">
              <w:rPr>
                <w:rFonts w:ascii="Arial" w:hAnsi="Arial" w:cs="Arial"/>
                <w:color w:val="000000"/>
              </w:rPr>
              <w:lastRenderedPageBreak/>
              <w:t>MEDIUM CHAIN TRIGLYCERIDES</w:t>
            </w:r>
            <w:r w:rsidRPr="00272411">
              <w:rPr>
                <w:rFonts w:ascii="Arial" w:hAnsi="Arial" w:cs="Arial"/>
                <w:color w:val="000000"/>
              </w:rPr>
              <w:br/>
              <w:t>2) TRIGLYCERIDES LONG CHAIN</w:t>
            </w:r>
            <w:r w:rsidRPr="00272411">
              <w:rPr>
                <w:rFonts w:ascii="Arial" w:hAnsi="Arial" w:cs="Arial"/>
                <w:color w:val="000000"/>
              </w:rPr>
              <w:br/>
            </w:r>
            <w:r w:rsidRPr="00272411">
              <w:rPr>
                <w:rFonts w:ascii="Arial" w:hAnsi="Arial" w:cs="Arial"/>
                <w:color w:val="000000"/>
              </w:rPr>
              <w:br/>
              <w:t>1) Oral liquid 225 mL (</w:t>
            </w:r>
            <w:proofErr w:type="spellStart"/>
            <w:r w:rsidRPr="00272411">
              <w:rPr>
                <w:rFonts w:ascii="Arial" w:hAnsi="Arial" w:cs="Arial"/>
                <w:color w:val="000000"/>
              </w:rPr>
              <w:t>betaquik</w:t>
            </w:r>
            <w:proofErr w:type="spellEnd"/>
            <w:r w:rsidRPr="00272411">
              <w:rPr>
                <w:rFonts w:ascii="Arial" w:hAnsi="Arial" w:cs="Arial"/>
                <w:color w:val="000000"/>
              </w:rPr>
              <w:t>)</w:t>
            </w:r>
            <w:r w:rsidRPr="00272411">
              <w:rPr>
                <w:rFonts w:ascii="Arial" w:hAnsi="Arial" w:cs="Arial"/>
                <w:color w:val="000000"/>
              </w:rPr>
              <w:br/>
              <w:t>2) Oral liquid 225 mL (</w:t>
            </w:r>
            <w:proofErr w:type="spellStart"/>
            <w:r w:rsidRPr="00272411">
              <w:rPr>
                <w:rFonts w:ascii="Arial" w:hAnsi="Arial" w:cs="Arial"/>
                <w:color w:val="000000"/>
              </w:rPr>
              <w:t>carbzero</w:t>
            </w:r>
            <w:proofErr w:type="spellEnd"/>
            <w:r w:rsidRPr="00272411">
              <w:rPr>
                <w:rFonts w:ascii="Arial" w:hAnsi="Arial" w:cs="Arial"/>
                <w:color w:val="000000"/>
              </w:rPr>
              <w:t>)</w:t>
            </w:r>
            <w:r w:rsidRPr="00272411">
              <w:rPr>
                <w:rFonts w:ascii="Arial" w:hAnsi="Arial" w:cs="Arial"/>
                <w:color w:val="000000"/>
              </w:rPr>
              <w:br/>
            </w:r>
            <w:r w:rsidRPr="00272411">
              <w:rPr>
                <w:rFonts w:ascii="Arial" w:hAnsi="Arial" w:cs="Arial"/>
                <w:color w:val="000000"/>
              </w:rPr>
              <w:br/>
              <w:t xml:space="preserve">1) </w:t>
            </w:r>
            <w:proofErr w:type="spellStart"/>
            <w:r w:rsidRPr="00272411">
              <w:rPr>
                <w:rFonts w:ascii="Arial" w:hAnsi="Arial" w:cs="Arial"/>
                <w:color w:val="000000"/>
              </w:rPr>
              <w:t>Betaquik</w:t>
            </w:r>
            <w:proofErr w:type="spellEnd"/>
            <w:r w:rsidRPr="00272411">
              <w:rPr>
                <w:rFonts w:ascii="Arial" w:hAnsi="Arial" w:cs="Arial"/>
                <w:color w:val="000000"/>
              </w:rPr>
              <w:t xml:space="preserve"> </w:t>
            </w:r>
            <w:r w:rsidRPr="00272411">
              <w:rPr>
                <w:rFonts w:ascii="Arial" w:hAnsi="Arial" w:cs="Arial"/>
                <w:color w:val="000000"/>
              </w:rPr>
              <w:br/>
              <w:t xml:space="preserve">2) </w:t>
            </w:r>
            <w:proofErr w:type="spellStart"/>
            <w:r w:rsidRPr="00272411">
              <w:rPr>
                <w:rFonts w:ascii="Arial" w:hAnsi="Arial" w:cs="Arial"/>
                <w:color w:val="000000"/>
              </w:rPr>
              <w:t>Carbzero</w:t>
            </w:r>
            <w:proofErr w:type="spellEnd"/>
            <w:r w:rsidRPr="00272411">
              <w:rPr>
                <w:rFonts w:ascii="Arial" w:hAnsi="Arial" w:cs="Arial"/>
                <w:color w:val="000000"/>
              </w:rPr>
              <w:br/>
            </w:r>
            <w:r w:rsidRPr="00272411">
              <w:rPr>
                <w:rFonts w:ascii="Arial" w:hAnsi="Arial" w:cs="Arial"/>
                <w:color w:val="000000"/>
              </w:rPr>
              <w:br/>
            </w:r>
            <w:proofErr w:type="spellStart"/>
            <w:r w:rsidRPr="00272411">
              <w:rPr>
                <w:rFonts w:ascii="Arial" w:hAnsi="Arial" w:cs="Arial"/>
                <w:color w:val="000000"/>
              </w:rPr>
              <w:t>Vitaflo</w:t>
            </w:r>
            <w:proofErr w:type="spellEnd"/>
            <w:r w:rsidRPr="00272411">
              <w:rPr>
                <w:rFonts w:ascii="Arial" w:hAnsi="Arial" w:cs="Arial"/>
                <w:color w:val="000000"/>
              </w:rPr>
              <w:t xml:space="preserve"> Australia Pty Ltd</w:t>
            </w:r>
            <w:r w:rsidRPr="00272411">
              <w:rPr>
                <w:rFonts w:ascii="Arial" w:hAnsi="Arial" w:cs="Arial"/>
              </w:rPr>
              <w:t xml:space="preserve"> </w:t>
            </w:r>
          </w:p>
          <w:p w:rsidR="00BF16B4" w:rsidRPr="00272411" w:rsidRDefault="00BF16B4" w:rsidP="00272411">
            <w:pPr>
              <w:rPr>
                <w:rFonts w:ascii="Arial" w:hAnsi="Arial" w:cs="Arial"/>
              </w:rPr>
            </w:pPr>
            <w:r w:rsidRPr="00272411">
              <w:rPr>
                <w:rFonts w:ascii="Arial" w:hAnsi="Arial" w:cs="Arial"/>
                <w:color w:val="000000"/>
              </w:rPr>
              <w:t>Change to listing</w:t>
            </w:r>
            <w:r w:rsidRPr="00272411">
              <w:rPr>
                <w:rFonts w:ascii="Arial" w:hAnsi="Arial" w:cs="Arial"/>
                <w:color w:val="000000"/>
              </w:rPr>
              <w:br/>
            </w:r>
            <w:r w:rsidRPr="00272411">
              <w:rPr>
                <w:rFonts w:ascii="Arial" w:hAnsi="Arial" w:cs="Arial"/>
                <w:color w:val="000000"/>
              </w:rPr>
              <w:br/>
              <w:t>(Minor Submission)</w:t>
            </w:r>
          </w:p>
        </w:tc>
        <w:tc>
          <w:tcPr>
            <w:tcW w:w="2409" w:type="dxa"/>
            <w:vMerge w:val="restart"/>
          </w:tcPr>
          <w:p w:rsidR="00BF16B4" w:rsidRPr="00395B97" w:rsidRDefault="00BF16B4" w:rsidP="002A6AB9">
            <w:pPr>
              <w:rPr>
                <w:rFonts w:ascii="Arial" w:hAnsi="Arial" w:cs="Arial"/>
              </w:rPr>
            </w:pPr>
            <w:r>
              <w:rPr>
                <w:rFonts w:ascii="Arial" w:hAnsi="Arial" w:cs="Arial"/>
                <w:color w:val="000000"/>
              </w:rPr>
              <w:t>1) Ketogenic diet; dietary management of conditions requiring a source of medium chain triglycerides</w:t>
            </w:r>
            <w:r>
              <w:rPr>
                <w:rFonts w:ascii="Arial" w:hAnsi="Arial" w:cs="Arial"/>
                <w:color w:val="000000"/>
              </w:rPr>
              <w:br/>
              <w:t>2) Ketogenic diet</w:t>
            </w:r>
          </w:p>
        </w:tc>
        <w:tc>
          <w:tcPr>
            <w:tcW w:w="3261" w:type="dxa"/>
            <w:tcMar>
              <w:top w:w="28" w:type="dxa"/>
              <w:bottom w:w="28" w:type="dxa"/>
            </w:tcMar>
          </w:tcPr>
          <w:p w:rsidR="00BF16B4" w:rsidRPr="00395B97" w:rsidRDefault="00BF16B4" w:rsidP="002A6AB9">
            <w:pPr>
              <w:jc w:val="both"/>
              <w:rPr>
                <w:rFonts w:ascii="Arial" w:hAnsi="Arial" w:cs="Arial"/>
              </w:rPr>
            </w:pPr>
            <w:r>
              <w:rPr>
                <w:rFonts w:ascii="Arial" w:hAnsi="Arial" w:cs="Arial"/>
                <w:color w:val="000000"/>
              </w:rPr>
              <w:t xml:space="preserve">To advise the PBAC of a change to the formulation and request a change in the pack size and maximum quantity of </w:t>
            </w:r>
            <w:proofErr w:type="spellStart"/>
            <w:r>
              <w:rPr>
                <w:rFonts w:ascii="Arial" w:hAnsi="Arial" w:cs="Arial"/>
                <w:color w:val="000000"/>
              </w:rPr>
              <w:t>Betaquik</w:t>
            </w:r>
            <w:proofErr w:type="spellEnd"/>
            <w:r>
              <w:rPr>
                <w:rFonts w:ascii="Arial" w:hAnsi="Arial" w:cs="Arial"/>
                <w:color w:val="000000"/>
              </w:rPr>
              <w:t xml:space="preserve"> and </w:t>
            </w:r>
            <w:proofErr w:type="spellStart"/>
            <w:r>
              <w:rPr>
                <w:rFonts w:ascii="Arial" w:hAnsi="Arial" w:cs="Arial"/>
                <w:color w:val="000000"/>
              </w:rPr>
              <w:t>Carbzero</w:t>
            </w:r>
            <w:proofErr w:type="spellEnd"/>
            <w:r>
              <w:rPr>
                <w:rFonts w:ascii="Arial" w:hAnsi="Arial" w:cs="Arial"/>
                <w:color w:val="000000"/>
              </w:rPr>
              <w:t>.</w:t>
            </w:r>
          </w:p>
        </w:tc>
        <w:tc>
          <w:tcPr>
            <w:tcW w:w="6947" w:type="dxa"/>
          </w:tcPr>
          <w:p w:rsidR="00BF16B4" w:rsidRPr="00D01EA0" w:rsidRDefault="00BF16B4" w:rsidP="0031270A">
            <w:pPr>
              <w:widowControl w:val="0"/>
              <w:jc w:val="both"/>
              <w:rPr>
                <w:rFonts w:ascii="Arial" w:hAnsi="Arial" w:cs="Arial"/>
                <w:color w:val="000000"/>
              </w:rPr>
            </w:pPr>
            <w:r w:rsidRPr="00D01EA0">
              <w:rPr>
                <w:rFonts w:ascii="Arial" w:hAnsi="Arial" w:cs="Arial"/>
                <w:color w:val="000000"/>
              </w:rPr>
              <w:t xml:space="preserve">The PBAC </w:t>
            </w:r>
            <w:r>
              <w:rPr>
                <w:rFonts w:ascii="Arial" w:hAnsi="Arial" w:cs="Arial"/>
                <w:color w:val="000000"/>
              </w:rPr>
              <w:t>did not</w:t>
            </w:r>
            <w:r w:rsidRPr="00D01EA0">
              <w:rPr>
                <w:rFonts w:ascii="Arial" w:hAnsi="Arial" w:cs="Arial"/>
                <w:color w:val="000000"/>
              </w:rPr>
              <w:t xml:space="preserve"> recommend amending the maximum quantity of cartons per script from two to three of both </w:t>
            </w:r>
            <w:proofErr w:type="spellStart"/>
            <w:r w:rsidRPr="00D01EA0">
              <w:rPr>
                <w:rFonts w:ascii="Arial" w:hAnsi="Arial" w:cs="Arial"/>
                <w:color w:val="000000"/>
              </w:rPr>
              <w:t>Betaquik</w:t>
            </w:r>
            <w:proofErr w:type="spellEnd"/>
            <w:r w:rsidRPr="00D01EA0">
              <w:rPr>
                <w:rFonts w:ascii="Arial" w:hAnsi="Arial" w:cs="Arial"/>
                <w:color w:val="000000"/>
              </w:rPr>
              <w:t xml:space="preserve">® and </w:t>
            </w:r>
            <w:proofErr w:type="spellStart"/>
            <w:r w:rsidRPr="00D01EA0">
              <w:rPr>
                <w:rFonts w:ascii="Arial" w:hAnsi="Arial" w:cs="Arial"/>
                <w:color w:val="000000"/>
              </w:rPr>
              <w:t>Carbzero</w:t>
            </w:r>
            <w:proofErr w:type="spellEnd"/>
            <w:r w:rsidRPr="00D01EA0">
              <w:rPr>
                <w:rFonts w:ascii="Arial" w:hAnsi="Arial" w:cs="Arial"/>
                <w:color w:val="000000"/>
              </w:rPr>
              <w:t>®, for the dietary management of conditions requiring a source of medium chain triglyceride and for patients who require a ketogenic diet respectively. The PBAC considered that the increase in volume per script would result in a higher dispensed maximum quantity per script, and potentially higher costs to the PBS.</w:t>
            </w:r>
          </w:p>
          <w:p w:rsidR="00BF16B4" w:rsidRPr="00395B97" w:rsidRDefault="00BF16B4" w:rsidP="0031270A">
            <w:pPr>
              <w:widowControl w:val="0"/>
              <w:jc w:val="both"/>
              <w:rPr>
                <w:rFonts w:ascii="Arial" w:hAnsi="Arial" w:cs="Arial"/>
                <w:iCs/>
              </w:rPr>
            </w:pPr>
            <w:r w:rsidRPr="00D01EA0">
              <w:rPr>
                <w:rFonts w:ascii="Arial" w:hAnsi="Arial" w:cs="Arial"/>
                <w:color w:val="000000"/>
              </w:rPr>
              <w:t xml:space="preserve">The PBAC also noted the change to container size for </w:t>
            </w:r>
            <w:proofErr w:type="spellStart"/>
            <w:r w:rsidRPr="00D01EA0">
              <w:rPr>
                <w:rFonts w:ascii="Arial" w:hAnsi="Arial" w:cs="Arial"/>
                <w:color w:val="000000"/>
              </w:rPr>
              <w:t>Betaquik</w:t>
            </w:r>
            <w:proofErr w:type="spellEnd"/>
            <w:r w:rsidRPr="00D01EA0">
              <w:rPr>
                <w:rFonts w:ascii="Arial" w:hAnsi="Arial" w:cs="Arial"/>
                <w:color w:val="000000"/>
              </w:rPr>
              <w:t xml:space="preserve">® and </w:t>
            </w:r>
            <w:proofErr w:type="spellStart"/>
            <w:r w:rsidRPr="00D01EA0">
              <w:rPr>
                <w:rFonts w:ascii="Arial" w:hAnsi="Arial" w:cs="Arial"/>
                <w:color w:val="000000"/>
              </w:rPr>
              <w:t>Carbzero</w:t>
            </w:r>
            <w:proofErr w:type="spellEnd"/>
            <w:r w:rsidRPr="00D01EA0">
              <w:rPr>
                <w:rFonts w:ascii="Arial" w:hAnsi="Arial" w:cs="Arial"/>
                <w:color w:val="000000"/>
              </w:rPr>
              <w:t>® from 250 mL to 225 mL, and the change in number of containers per carton from 18 to 15.</w:t>
            </w:r>
          </w:p>
        </w:tc>
      </w:tr>
      <w:tr w:rsidR="00BF16B4" w:rsidRPr="00395B97" w:rsidTr="002331D1">
        <w:trPr>
          <w:trHeight w:val="900"/>
        </w:trPr>
        <w:tc>
          <w:tcPr>
            <w:tcW w:w="2694" w:type="dxa"/>
            <w:vMerge/>
            <w:tcMar>
              <w:top w:w="28" w:type="dxa"/>
              <w:bottom w:w="28" w:type="dxa"/>
            </w:tcMar>
          </w:tcPr>
          <w:p w:rsidR="00BF16B4" w:rsidRPr="00272411" w:rsidRDefault="00BF16B4" w:rsidP="00272411">
            <w:pPr>
              <w:rPr>
                <w:rFonts w:ascii="Arial" w:hAnsi="Arial" w:cs="Arial"/>
                <w:color w:val="000000"/>
              </w:rPr>
            </w:pPr>
          </w:p>
        </w:tc>
        <w:tc>
          <w:tcPr>
            <w:tcW w:w="2409" w:type="dxa"/>
            <w:vMerge/>
          </w:tcPr>
          <w:p w:rsidR="00BF16B4"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BF16B4" w:rsidRPr="00D01EA0" w:rsidRDefault="009F1B34" w:rsidP="0031270A">
            <w:pPr>
              <w:widowControl w:val="0"/>
              <w:jc w:val="both"/>
              <w:rPr>
                <w:rFonts w:ascii="Arial" w:hAnsi="Arial" w:cs="Arial"/>
                <w:color w:val="000000"/>
              </w:rPr>
            </w:pPr>
            <w:r>
              <w:rPr>
                <w:rFonts w:ascii="Arial" w:hAnsi="Arial" w:cs="Arial"/>
              </w:rPr>
              <w:t>The Sponsor had no comment.</w:t>
            </w:r>
          </w:p>
        </w:tc>
      </w:tr>
      <w:tr w:rsidR="00FF55F7" w:rsidRPr="00395B97" w:rsidTr="0023503A">
        <w:trPr>
          <w:cantSplit/>
          <w:trHeight w:val="896"/>
        </w:trPr>
        <w:tc>
          <w:tcPr>
            <w:tcW w:w="2694" w:type="dxa"/>
            <w:vMerge w:val="restart"/>
            <w:tcMar>
              <w:top w:w="28" w:type="dxa"/>
              <w:bottom w:w="28" w:type="dxa"/>
            </w:tcMar>
          </w:tcPr>
          <w:p w:rsidR="00FF55F7" w:rsidRDefault="00FF55F7" w:rsidP="0023503A">
            <w:pPr>
              <w:autoSpaceDE w:val="0"/>
              <w:autoSpaceDN w:val="0"/>
              <w:adjustRightInd w:val="0"/>
              <w:rPr>
                <w:rFonts w:ascii="Arial" w:hAnsi="Arial" w:cs="Arial"/>
                <w:color w:val="000000"/>
              </w:rPr>
            </w:pPr>
            <w:r w:rsidRPr="001C1D66">
              <w:rPr>
                <w:rFonts w:ascii="Arial" w:hAnsi="Arial" w:cs="Arial"/>
                <w:color w:val="000000"/>
              </w:rPr>
              <w:lastRenderedPageBreak/>
              <w:t>MIDOSTAURIN</w:t>
            </w:r>
            <w:r w:rsidRPr="001C1D66">
              <w:rPr>
                <w:rFonts w:ascii="Arial" w:hAnsi="Arial" w:cs="Arial"/>
                <w:color w:val="000000"/>
              </w:rPr>
              <w:br/>
            </w:r>
            <w:r w:rsidRPr="001C1D66">
              <w:rPr>
                <w:rFonts w:ascii="Arial" w:hAnsi="Arial" w:cs="Arial"/>
                <w:color w:val="000000"/>
              </w:rPr>
              <w:br/>
              <w:t>Capsule 25 mg</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Rydapt</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Novartis Pharmaceuticals Australia Pty Ltd</w:t>
            </w:r>
          </w:p>
          <w:p w:rsidR="00FF55F7" w:rsidRDefault="00FF55F7" w:rsidP="0023503A">
            <w:pPr>
              <w:autoSpaceDE w:val="0"/>
              <w:autoSpaceDN w:val="0"/>
              <w:adjustRightInd w:val="0"/>
              <w:rPr>
                <w:rFonts w:ascii="Arial" w:hAnsi="Arial" w:cs="Arial"/>
                <w:color w:val="000000"/>
              </w:rPr>
            </w:pPr>
          </w:p>
          <w:p w:rsidR="00FF55F7" w:rsidRPr="00395B97" w:rsidRDefault="00FF55F7" w:rsidP="0023503A">
            <w:pPr>
              <w:rPr>
                <w:rFonts w:ascii="Arial" w:hAnsi="Arial" w:cs="Arial"/>
              </w:rPr>
            </w:pPr>
            <w:r>
              <w:rPr>
                <w:rFonts w:ascii="Arial" w:hAnsi="Arial" w:cs="Arial"/>
                <w:color w:val="000000"/>
              </w:rPr>
              <w:t xml:space="preserve">New listing </w:t>
            </w:r>
            <w:r w:rsidRPr="001C1D66">
              <w:rPr>
                <w:rFonts w:ascii="Arial" w:hAnsi="Arial" w:cs="Arial"/>
                <w:color w:val="000000"/>
              </w:rPr>
              <w:t>(Major Submission)</w:t>
            </w:r>
          </w:p>
        </w:tc>
        <w:tc>
          <w:tcPr>
            <w:tcW w:w="2409" w:type="dxa"/>
            <w:vMerge w:val="restart"/>
          </w:tcPr>
          <w:p w:rsidR="00FF55F7" w:rsidRDefault="00FF55F7" w:rsidP="0023503A">
            <w:pPr>
              <w:autoSpaceDE w:val="0"/>
              <w:autoSpaceDN w:val="0"/>
              <w:adjustRightInd w:val="0"/>
              <w:rPr>
                <w:rFonts w:ascii="Arial+FPEF" w:hAnsi="Arial+FPEF" w:cs="Arial+FPEF"/>
              </w:rPr>
            </w:pPr>
            <w:r w:rsidRPr="001C1D66">
              <w:rPr>
                <w:rFonts w:ascii="Arial" w:hAnsi="Arial" w:cs="Arial"/>
                <w:color w:val="000000"/>
              </w:rPr>
              <w:t>Acute myeloid leukaemia (AML)</w:t>
            </w:r>
          </w:p>
        </w:tc>
        <w:tc>
          <w:tcPr>
            <w:tcW w:w="3261" w:type="dxa"/>
            <w:tcMar>
              <w:top w:w="28" w:type="dxa"/>
              <w:bottom w:w="28" w:type="dxa"/>
            </w:tcMar>
          </w:tcPr>
          <w:p w:rsidR="00FF55F7" w:rsidRDefault="00FF55F7" w:rsidP="0023503A">
            <w:pPr>
              <w:rPr>
                <w:rFonts w:ascii="Arial" w:hAnsi="Arial" w:cs="Arial"/>
              </w:rPr>
            </w:pPr>
            <w:r>
              <w:rPr>
                <w:rFonts w:ascii="Arial" w:hAnsi="Arial" w:cs="Arial"/>
              </w:rPr>
              <w:t xml:space="preserve">To request a Section 100 (Highly Specialised Drugs Program) Authority Required listing of </w:t>
            </w:r>
            <w:proofErr w:type="spellStart"/>
            <w:r>
              <w:rPr>
                <w:rFonts w:ascii="Arial" w:hAnsi="Arial" w:cs="Arial"/>
              </w:rPr>
              <w:t>midostaurin</w:t>
            </w:r>
            <w:proofErr w:type="spellEnd"/>
            <w:r>
              <w:rPr>
                <w:rFonts w:ascii="Arial" w:hAnsi="Arial" w:cs="Arial"/>
              </w:rPr>
              <w:t xml:space="preserve"> for the treatment of patients with newly diagnosed FMS-like tyrosine kinase 3 (FLT3) mutation positive AML.</w:t>
            </w:r>
          </w:p>
          <w:p w:rsidR="00FF55F7" w:rsidRPr="00395B97" w:rsidRDefault="00FF55F7" w:rsidP="0023503A">
            <w:pPr>
              <w:jc w:val="both"/>
              <w:rPr>
                <w:rFonts w:ascii="Arial" w:hAnsi="Arial" w:cs="Arial"/>
              </w:rPr>
            </w:pPr>
          </w:p>
        </w:tc>
        <w:tc>
          <w:tcPr>
            <w:tcW w:w="6947" w:type="dxa"/>
          </w:tcPr>
          <w:p w:rsidR="00FF55F7" w:rsidRPr="00926C61" w:rsidRDefault="00FF55F7" w:rsidP="0023503A">
            <w:pPr>
              <w:spacing w:before="120" w:after="160"/>
              <w:ind w:left="33"/>
              <w:jc w:val="both"/>
              <w:rPr>
                <w:rFonts w:ascii="Arial" w:hAnsi="Arial" w:cs="Arial"/>
                <w:bCs/>
                <w:snapToGrid w:val="0"/>
                <w:lang w:val="en-GB"/>
              </w:rPr>
            </w:pPr>
            <w:r w:rsidRPr="00926C61">
              <w:rPr>
                <w:rFonts w:ascii="Arial" w:hAnsi="Arial" w:cs="Arial"/>
                <w:bCs/>
                <w:snapToGrid w:val="0"/>
                <w:lang w:val="en-GB"/>
              </w:rPr>
              <w:t xml:space="preserve">The PBAC did not recommend </w:t>
            </w:r>
            <w:proofErr w:type="spellStart"/>
            <w:r w:rsidRPr="00926C61">
              <w:rPr>
                <w:rFonts w:ascii="Arial" w:hAnsi="Arial" w:cs="Arial"/>
                <w:bCs/>
                <w:snapToGrid w:val="0"/>
                <w:lang w:val="en-GB"/>
              </w:rPr>
              <w:t>midostaurin</w:t>
            </w:r>
            <w:proofErr w:type="spellEnd"/>
            <w:r w:rsidRPr="00926C61">
              <w:rPr>
                <w:rFonts w:ascii="Arial" w:hAnsi="Arial" w:cs="Arial"/>
                <w:bCs/>
                <w:snapToGrid w:val="0"/>
                <w:lang w:val="en-GB"/>
              </w:rPr>
              <w:t xml:space="preserve"> for the treatment of FLT3 mutation positive acute myeloid leukaemia (AML). In reaching this outcome, the PBAC acknowledged the high unmet clinical need in this population and demonstrated increase in overall survival in the clinical trial. However, it noted that TGA input was required regarding the role of </w:t>
            </w:r>
            <w:proofErr w:type="spellStart"/>
            <w:r w:rsidRPr="00926C61">
              <w:rPr>
                <w:rFonts w:ascii="Arial" w:hAnsi="Arial" w:cs="Arial"/>
                <w:bCs/>
                <w:snapToGrid w:val="0"/>
                <w:lang w:val="en-GB"/>
              </w:rPr>
              <w:t>midostaurin</w:t>
            </w:r>
            <w:proofErr w:type="spellEnd"/>
            <w:r w:rsidRPr="00926C61">
              <w:rPr>
                <w:rFonts w:ascii="Arial" w:hAnsi="Arial" w:cs="Arial"/>
                <w:bCs/>
                <w:snapToGrid w:val="0"/>
                <w:lang w:val="en-GB"/>
              </w:rPr>
              <w:t xml:space="preserve"> as maintenance therapy and considered that, at the price proposed by the submission, the cost effectiveness of </w:t>
            </w:r>
            <w:proofErr w:type="spellStart"/>
            <w:r w:rsidRPr="00926C61">
              <w:rPr>
                <w:rFonts w:ascii="Arial" w:hAnsi="Arial" w:cs="Arial"/>
                <w:bCs/>
                <w:snapToGrid w:val="0"/>
                <w:lang w:val="en-GB"/>
              </w:rPr>
              <w:t>midostaurin</w:t>
            </w:r>
            <w:proofErr w:type="spellEnd"/>
            <w:r w:rsidRPr="00926C61">
              <w:rPr>
                <w:rFonts w:ascii="Arial" w:hAnsi="Arial" w:cs="Arial"/>
                <w:bCs/>
                <w:snapToGrid w:val="0"/>
                <w:lang w:val="en-GB"/>
              </w:rPr>
              <w:t xml:space="preserve"> was uncertain and unacceptable, particularly in the population over the age of sixty years. </w:t>
            </w:r>
          </w:p>
          <w:p w:rsidR="00FF55F7" w:rsidRPr="00926C61" w:rsidRDefault="00FF55F7" w:rsidP="0023503A">
            <w:pPr>
              <w:spacing w:before="120" w:after="160"/>
              <w:ind w:left="33"/>
              <w:jc w:val="both"/>
              <w:rPr>
                <w:rFonts w:ascii="Arial" w:hAnsi="Arial" w:cs="Arial"/>
                <w:bCs/>
                <w:snapToGrid w:val="0"/>
                <w:lang w:val="en-GB"/>
              </w:rPr>
            </w:pPr>
            <w:r w:rsidRPr="00926C61">
              <w:rPr>
                <w:rFonts w:ascii="Arial" w:hAnsi="Arial" w:cs="Arial"/>
                <w:bCs/>
                <w:snapToGrid w:val="0"/>
                <w:lang w:val="en-GB"/>
              </w:rPr>
              <w:t xml:space="preserve">The PBAC acknowledged that there was an unmet clinical need for new effective therapies for AML. </w:t>
            </w:r>
          </w:p>
          <w:p w:rsidR="00FF55F7" w:rsidRPr="00926C61" w:rsidRDefault="00FF55F7" w:rsidP="0023503A">
            <w:pPr>
              <w:spacing w:before="120" w:after="160"/>
              <w:ind w:left="33"/>
              <w:jc w:val="both"/>
              <w:rPr>
                <w:rFonts w:ascii="Arial" w:hAnsi="Arial" w:cs="Arial"/>
                <w:bCs/>
                <w:snapToGrid w:val="0"/>
                <w:lang w:val="en-GB"/>
              </w:rPr>
            </w:pPr>
            <w:r w:rsidRPr="00926C61">
              <w:rPr>
                <w:rFonts w:ascii="Arial" w:hAnsi="Arial" w:cs="Arial"/>
                <w:bCs/>
                <w:snapToGrid w:val="0"/>
                <w:lang w:val="en-GB"/>
              </w:rPr>
              <w:t xml:space="preserve">The PBAC considered that the pivotal trial, RATIFY, demonstrated that </w:t>
            </w:r>
            <w:proofErr w:type="spellStart"/>
            <w:r w:rsidRPr="00926C61">
              <w:rPr>
                <w:rFonts w:ascii="Arial" w:hAnsi="Arial" w:cs="Arial"/>
                <w:bCs/>
                <w:snapToGrid w:val="0"/>
                <w:lang w:val="en-GB"/>
              </w:rPr>
              <w:t>midostaurin</w:t>
            </w:r>
            <w:proofErr w:type="spellEnd"/>
            <w:r w:rsidRPr="00926C61">
              <w:rPr>
                <w:rFonts w:ascii="Arial" w:hAnsi="Arial" w:cs="Arial"/>
                <w:bCs/>
                <w:snapToGrid w:val="0"/>
                <w:lang w:val="en-GB"/>
              </w:rPr>
              <w:t xml:space="preserve"> improved overall survival versus placebo in patients aged under 60 years. The PBAC noted that the RATIFY trial only enrolled patients </w:t>
            </w:r>
            <w:r w:rsidRPr="00926C61">
              <w:rPr>
                <w:rFonts w:ascii="Arial" w:hAnsi="Arial" w:cs="Arial"/>
              </w:rPr>
              <w:t xml:space="preserve">aged ≤59 years, and that the only evidence presented </w:t>
            </w:r>
            <w:r w:rsidRPr="00926C61">
              <w:rPr>
                <w:rFonts w:ascii="Arial" w:hAnsi="Arial" w:cs="Arial"/>
                <w:bCs/>
                <w:snapToGrid w:val="0"/>
                <w:lang w:val="en-GB"/>
              </w:rPr>
              <w:t xml:space="preserve">to support </w:t>
            </w:r>
            <w:proofErr w:type="spellStart"/>
            <w:r w:rsidRPr="00926C61">
              <w:rPr>
                <w:rFonts w:ascii="Arial" w:hAnsi="Arial" w:cs="Arial"/>
                <w:bCs/>
                <w:snapToGrid w:val="0"/>
                <w:lang w:val="en-GB"/>
              </w:rPr>
              <w:t>midostaurin’s</w:t>
            </w:r>
            <w:proofErr w:type="spellEnd"/>
            <w:r w:rsidRPr="00926C61">
              <w:rPr>
                <w:rFonts w:ascii="Arial" w:hAnsi="Arial" w:cs="Arial"/>
                <w:bCs/>
                <w:snapToGrid w:val="0"/>
                <w:lang w:val="en-GB"/>
              </w:rPr>
              <w:t xml:space="preserve"> effectiveness in the </w:t>
            </w:r>
            <w:r w:rsidRPr="00926C61">
              <w:rPr>
                <w:rFonts w:ascii="Arial" w:hAnsi="Arial" w:cs="Arial"/>
              </w:rPr>
              <w:t>aged ≥60 years</w:t>
            </w:r>
            <w:r w:rsidRPr="00926C61" w:rsidDel="00C526C6">
              <w:rPr>
                <w:rFonts w:ascii="Arial" w:hAnsi="Arial" w:cs="Arial"/>
              </w:rPr>
              <w:t xml:space="preserve"> </w:t>
            </w:r>
            <w:r w:rsidRPr="00926C61">
              <w:rPr>
                <w:rFonts w:ascii="Arial" w:hAnsi="Arial" w:cs="Arial"/>
              </w:rPr>
              <w:t xml:space="preserve">was from the </w:t>
            </w:r>
            <w:r w:rsidRPr="00926C61">
              <w:rPr>
                <w:rFonts w:ascii="Arial" w:hAnsi="Arial" w:cs="Arial"/>
                <w:bCs/>
                <w:snapToGrid w:val="0"/>
                <w:lang w:val="en-GB"/>
              </w:rPr>
              <w:t xml:space="preserve">the single arm AMLSG 16-10 study. The PBAC considered that while it was biologically plausible for older patients to respond to </w:t>
            </w:r>
            <w:proofErr w:type="spellStart"/>
            <w:r w:rsidRPr="00926C61">
              <w:rPr>
                <w:rFonts w:ascii="Arial" w:hAnsi="Arial" w:cs="Arial"/>
                <w:bCs/>
                <w:snapToGrid w:val="0"/>
                <w:lang w:val="en-GB"/>
              </w:rPr>
              <w:t>midostaurin</w:t>
            </w:r>
            <w:proofErr w:type="spellEnd"/>
            <w:r w:rsidRPr="00926C61">
              <w:rPr>
                <w:rFonts w:ascii="Arial" w:hAnsi="Arial" w:cs="Arial"/>
                <w:bCs/>
                <w:snapToGrid w:val="0"/>
                <w:lang w:val="en-GB"/>
              </w:rPr>
              <w:t xml:space="preserve">, it was not convinced of the magnitude of incremental benefit in the older patient population due to the absence of a placebo comparison and information about background mortality (e.g. transplant-related or from causes unrelated to AML) in the older population. While the PBAC advised against restricting the use of </w:t>
            </w:r>
            <w:proofErr w:type="spellStart"/>
            <w:r w:rsidRPr="00926C61">
              <w:rPr>
                <w:rFonts w:ascii="Arial" w:hAnsi="Arial" w:cs="Arial"/>
                <w:bCs/>
                <w:snapToGrid w:val="0"/>
                <w:lang w:val="en-GB"/>
              </w:rPr>
              <w:t>midostaurin</w:t>
            </w:r>
            <w:proofErr w:type="spellEnd"/>
            <w:r w:rsidRPr="00926C61">
              <w:rPr>
                <w:rFonts w:ascii="Arial" w:hAnsi="Arial" w:cs="Arial"/>
                <w:bCs/>
                <w:snapToGrid w:val="0"/>
                <w:lang w:val="en-GB"/>
              </w:rPr>
              <w:t xml:space="preserve"> based on age and considered </w:t>
            </w:r>
            <w:r w:rsidRPr="00926C61">
              <w:rPr>
                <w:rFonts w:ascii="Arial" w:hAnsi="Arial" w:cs="Arial"/>
              </w:rPr>
              <w:t>the effect of age on treatment eligibility would be best regulated if left to the discretion of the prescriber</w:t>
            </w:r>
            <w:r w:rsidRPr="00926C61">
              <w:rPr>
                <w:rFonts w:ascii="Arial" w:hAnsi="Arial" w:cs="Arial"/>
                <w:bCs/>
                <w:snapToGrid w:val="0"/>
                <w:lang w:val="en-GB"/>
              </w:rPr>
              <w:t>, the Committee advised that the impact of lower comparative effectiveness in the older age group should be adequately incorporated in the economic model.</w:t>
            </w:r>
          </w:p>
          <w:p w:rsidR="00FF55F7" w:rsidRPr="00926C61" w:rsidRDefault="00FF55F7" w:rsidP="0023503A">
            <w:pPr>
              <w:spacing w:before="120" w:after="160"/>
              <w:ind w:left="33"/>
              <w:jc w:val="both"/>
              <w:rPr>
                <w:rFonts w:ascii="Arial" w:hAnsi="Arial" w:cs="Arial"/>
              </w:rPr>
            </w:pPr>
            <w:r w:rsidRPr="00926C61">
              <w:rPr>
                <w:rFonts w:ascii="Arial" w:hAnsi="Arial" w:cs="Arial"/>
              </w:rPr>
              <w:t xml:space="preserve">The PBAC considered that </w:t>
            </w:r>
            <w:proofErr w:type="spellStart"/>
            <w:r w:rsidRPr="00926C61">
              <w:rPr>
                <w:rFonts w:ascii="Arial" w:hAnsi="Arial" w:cs="Arial"/>
              </w:rPr>
              <w:t>midostaurin</w:t>
            </w:r>
            <w:proofErr w:type="spellEnd"/>
            <w:r w:rsidRPr="00926C61">
              <w:rPr>
                <w:rFonts w:ascii="Arial" w:hAnsi="Arial" w:cs="Arial"/>
              </w:rPr>
              <w:t xml:space="preserve"> was inferior in safety compared with placebo, but considered that in the context of chemotherapy-induced morbidity and mortality, the additional toxicity with </w:t>
            </w:r>
            <w:proofErr w:type="spellStart"/>
            <w:r w:rsidRPr="00926C61">
              <w:rPr>
                <w:rFonts w:ascii="Arial" w:hAnsi="Arial" w:cs="Arial"/>
              </w:rPr>
              <w:t>midostaurin</w:t>
            </w:r>
            <w:proofErr w:type="spellEnd"/>
            <w:r w:rsidRPr="00926C61">
              <w:rPr>
                <w:rFonts w:ascii="Arial" w:hAnsi="Arial" w:cs="Arial"/>
              </w:rPr>
              <w:t xml:space="preserve"> treatment is relatively minor. </w:t>
            </w:r>
          </w:p>
          <w:p w:rsidR="00FF55F7" w:rsidRPr="00395B97" w:rsidRDefault="00FF55F7" w:rsidP="0023503A">
            <w:pPr>
              <w:pStyle w:val="ListParagraph"/>
              <w:spacing w:before="120" w:after="160"/>
              <w:ind w:left="33"/>
              <w:rPr>
                <w:rFonts w:ascii="Arial" w:hAnsi="Arial" w:cs="Arial"/>
                <w:iCs/>
                <w:sz w:val="20"/>
                <w:szCs w:val="20"/>
              </w:rPr>
            </w:pPr>
            <w:r w:rsidRPr="00926C61">
              <w:rPr>
                <w:rFonts w:ascii="Arial" w:hAnsi="Arial" w:cs="Arial"/>
                <w:sz w:val="20"/>
                <w:szCs w:val="20"/>
              </w:rPr>
              <w:t xml:space="preserve">The PBAC identified a number of issues with the economic model that </w:t>
            </w:r>
            <w:proofErr w:type="gramStart"/>
            <w:r w:rsidRPr="00926C61">
              <w:rPr>
                <w:rFonts w:ascii="Arial" w:hAnsi="Arial" w:cs="Arial"/>
                <w:sz w:val="20"/>
                <w:szCs w:val="20"/>
              </w:rPr>
              <w:t>would need</w:t>
            </w:r>
            <w:proofErr w:type="gramEnd"/>
            <w:r w:rsidRPr="00926C61">
              <w:rPr>
                <w:rFonts w:ascii="Arial" w:hAnsi="Arial" w:cs="Arial"/>
                <w:sz w:val="20"/>
                <w:szCs w:val="20"/>
              </w:rPr>
              <w:t xml:space="preserve"> be addressed in a future major resubmission.</w:t>
            </w:r>
            <w:r w:rsidRPr="007417C2">
              <w:rPr>
                <w:rFonts w:ascii="Arial" w:hAnsi="Arial" w:cs="Arial"/>
              </w:rPr>
              <w:t xml:space="preserve"> </w:t>
            </w:r>
          </w:p>
        </w:tc>
      </w:tr>
      <w:tr w:rsidR="00FF55F7" w:rsidRPr="00395B97" w:rsidTr="0023503A">
        <w:trPr>
          <w:cantSplit/>
          <w:trHeight w:val="465"/>
        </w:trPr>
        <w:tc>
          <w:tcPr>
            <w:tcW w:w="2694" w:type="dxa"/>
            <w:vMerge/>
            <w:tcMar>
              <w:top w:w="28" w:type="dxa"/>
              <w:bottom w:w="28" w:type="dxa"/>
            </w:tcMar>
          </w:tcPr>
          <w:p w:rsidR="00FF55F7" w:rsidRPr="00395B97" w:rsidRDefault="00FF55F7" w:rsidP="0023503A">
            <w:pPr>
              <w:rPr>
                <w:rFonts w:ascii="Arial" w:hAnsi="Arial" w:cs="Arial"/>
              </w:rPr>
            </w:pPr>
          </w:p>
        </w:tc>
        <w:tc>
          <w:tcPr>
            <w:tcW w:w="2409" w:type="dxa"/>
            <w:vMerge/>
          </w:tcPr>
          <w:p w:rsidR="00FF55F7" w:rsidRPr="00395B97" w:rsidRDefault="00FF55F7" w:rsidP="0023503A">
            <w:pPr>
              <w:widowControl w:val="0"/>
              <w:rPr>
                <w:rFonts w:ascii="Arial" w:hAnsi="Arial" w:cs="Arial"/>
                <w:snapToGrid w:val="0"/>
                <w:lang w:eastAsia="en-US"/>
              </w:rPr>
            </w:pPr>
          </w:p>
        </w:tc>
        <w:tc>
          <w:tcPr>
            <w:tcW w:w="3261" w:type="dxa"/>
            <w:tcMar>
              <w:top w:w="28" w:type="dxa"/>
              <w:bottom w:w="28" w:type="dxa"/>
            </w:tcMar>
          </w:tcPr>
          <w:p w:rsidR="00FF55F7" w:rsidRPr="00395B97" w:rsidRDefault="00FF55F7" w:rsidP="0023503A">
            <w:pPr>
              <w:pStyle w:val="ListParagraph"/>
              <w:ind w:left="0"/>
              <w:jc w:val="right"/>
              <w:rPr>
                <w:rFonts w:ascii="Arial" w:hAnsi="Arial" w:cs="Arial"/>
                <w:snapToGrid w:val="0"/>
                <w:sz w:val="20"/>
                <w:szCs w:val="20"/>
                <w:lang w:eastAsia="en-US"/>
              </w:rPr>
            </w:pPr>
            <w:r w:rsidRPr="00395B97">
              <w:rPr>
                <w:rFonts w:ascii="Arial" w:hAnsi="Arial" w:cs="Arial"/>
                <w:snapToGrid w:val="0"/>
                <w:sz w:val="20"/>
                <w:szCs w:val="20"/>
                <w:lang w:eastAsia="en-US"/>
              </w:rPr>
              <w:t>Sponsor Comment:</w:t>
            </w:r>
          </w:p>
        </w:tc>
        <w:tc>
          <w:tcPr>
            <w:tcW w:w="6947" w:type="dxa"/>
          </w:tcPr>
          <w:p w:rsidR="00FF55F7" w:rsidRPr="00963E59" w:rsidRDefault="00963E59" w:rsidP="0023503A">
            <w:pPr>
              <w:pStyle w:val="ListParagraph"/>
              <w:ind w:left="33"/>
              <w:jc w:val="both"/>
              <w:rPr>
                <w:rFonts w:ascii="Arial" w:hAnsi="Arial" w:cs="Arial"/>
                <w:iCs/>
                <w:sz w:val="20"/>
                <w:szCs w:val="20"/>
              </w:rPr>
            </w:pPr>
            <w:r w:rsidRPr="00963E59">
              <w:rPr>
                <w:rFonts w:ascii="Arial" w:hAnsi="Arial" w:cs="Arial"/>
                <w:iCs/>
                <w:sz w:val="20"/>
                <w:szCs w:val="20"/>
              </w:rPr>
              <w:t xml:space="preserve">Novartis are pleased with the PBAC’s acknowledgement of the high clinical need for an effective treatment in this patient population.  Novartis are committed to working with the PBAC to achieve agreement on sustainable PBS listing conditions for </w:t>
            </w:r>
            <w:proofErr w:type="spellStart"/>
            <w:r w:rsidRPr="00963E59">
              <w:rPr>
                <w:rFonts w:ascii="Arial" w:hAnsi="Arial" w:cs="Arial"/>
                <w:iCs/>
                <w:sz w:val="20"/>
                <w:szCs w:val="20"/>
              </w:rPr>
              <w:t>midostaurin</w:t>
            </w:r>
            <w:proofErr w:type="spellEnd"/>
            <w:r w:rsidRPr="00963E59">
              <w:rPr>
                <w:rFonts w:ascii="Arial" w:hAnsi="Arial" w:cs="Arial"/>
                <w:iCs/>
                <w:sz w:val="20"/>
                <w:szCs w:val="20"/>
              </w:rPr>
              <w:t xml:space="preserve"> at the earliest opportunity</w:t>
            </w:r>
            <w:r w:rsidRPr="00963E59">
              <w:rPr>
                <w:rFonts w:ascii="Arial" w:hAnsi="Arial" w:cs="Arial"/>
                <w:sz w:val="20"/>
                <w:szCs w:val="20"/>
              </w:rPr>
              <w:t>.</w:t>
            </w:r>
            <w:bookmarkStart w:id="0" w:name="_GoBack"/>
            <w:bookmarkEnd w:id="0"/>
          </w:p>
        </w:tc>
      </w:tr>
      <w:tr w:rsidR="00BF16B4" w:rsidRPr="00395B97" w:rsidTr="0031270A">
        <w:trPr>
          <w:trHeight w:val="2985"/>
        </w:trPr>
        <w:tc>
          <w:tcPr>
            <w:tcW w:w="2694" w:type="dxa"/>
            <w:vMerge w:val="restart"/>
            <w:tcMar>
              <w:top w:w="28" w:type="dxa"/>
              <w:bottom w:w="28" w:type="dxa"/>
            </w:tcMar>
          </w:tcPr>
          <w:p w:rsidR="00BF16B4" w:rsidRPr="00410A14" w:rsidRDefault="00BF16B4" w:rsidP="00272411">
            <w:pPr>
              <w:rPr>
                <w:rFonts w:ascii="Arial" w:hAnsi="Arial" w:cs="Arial"/>
                <w:color w:val="000000"/>
              </w:rPr>
            </w:pPr>
            <w:r w:rsidRPr="001C1D66">
              <w:rPr>
                <w:rFonts w:ascii="Arial" w:hAnsi="Arial" w:cs="Arial"/>
                <w:color w:val="000000"/>
              </w:rPr>
              <w:t xml:space="preserve">NIVOLUMAB </w:t>
            </w:r>
            <w:r w:rsidRPr="001C1D66">
              <w:rPr>
                <w:rFonts w:ascii="Arial" w:hAnsi="Arial" w:cs="Arial"/>
                <w:color w:val="000000"/>
              </w:rPr>
              <w:br/>
            </w:r>
            <w:r w:rsidRPr="001C1D66">
              <w:rPr>
                <w:rFonts w:ascii="Arial" w:hAnsi="Arial" w:cs="Arial"/>
                <w:color w:val="000000"/>
              </w:rPr>
              <w:br/>
            </w:r>
            <w:r w:rsidRPr="00410A14">
              <w:rPr>
                <w:rFonts w:ascii="Arial" w:hAnsi="Arial" w:cs="Arial"/>
                <w:color w:val="000000"/>
              </w:rPr>
              <w:t>Injection concentrate for I.V. infusion 40 mg in 4 mL</w:t>
            </w:r>
          </w:p>
          <w:p w:rsidR="00BF16B4" w:rsidRDefault="00BF16B4" w:rsidP="00272411">
            <w:pPr>
              <w:rPr>
                <w:rFonts w:ascii="Arial" w:hAnsi="Arial" w:cs="Arial"/>
              </w:rPr>
            </w:pPr>
            <w:r w:rsidRPr="00410A14">
              <w:rPr>
                <w:rFonts w:ascii="Arial" w:hAnsi="Arial" w:cs="Arial"/>
                <w:color w:val="000000"/>
              </w:rPr>
              <w:t>Injection concentrate for I.V. infusion 100 mg in 10 mL</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Opdivo</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Bristol-Myers Squibb Australia Pty Ltd</w:t>
            </w:r>
            <w:r w:rsidRPr="00395B97">
              <w:rPr>
                <w:rFonts w:ascii="Arial" w:hAnsi="Arial" w:cs="Arial"/>
              </w:rPr>
              <w:t xml:space="preserve"> </w:t>
            </w:r>
          </w:p>
          <w:p w:rsidR="00BF16B4" w:rsidRPr="00395B97" w:rsidRDefault="00BF16B4" w:rsidP="00272411">
            <w:pPr>
              <w:rPr>
                <w:rFonts w:ascii="Arial" w:hAnsi="Arial" w:cs="Arial"/>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Squamous cell carcinoma for the head and neck (SCCHN)</w:t>
            </w:r>
          </w:p>
        </w:tc>
        <w:tc>
          <w:tcPr>
            <w:tcW w:w="3261" w:type="dxa"/>
            <w:tcMar>
              <w:top w:w="28" w:type="dxa"/>
              <w:bottom w:w="28" w:type="dxa"/>
            </w:tcMar>
          </w:tcPr>
          <w:p w:rsidR="00BF16B4" w:rsidRDefault="00BF16B4" w:rsidP="00272411">
            <w:pPr>
              <w:rPr>
                <w:rFonts w:ascii="Arial" w:hAnsi="Arial" w:cs="Arial"/>
                <w:color w:val="000000"/>
              </w:rPr>
            </w:pPr>
            <w:r>
              <w:rPr>
                <w:rFonts w:ascii="Arial" w:hAnsi="Arial" w:cs="Arial"/>
                <w:color w:val="000000"/>
              </w:rPr>
              <w:t xml:space="preserve">To request a Section 100 (Efficient Funding of Chemotherapy) Authority Required (STREAMLINED) listing for the treatment of patients with squamous cell carcinoma of the head and neck (SCCHN) </w:t>
            </w:r>
            <w:proofErr w:type="gramStart"/>
            <w:r>
              <w:rPr>
                <w:rFonts w:ascii="Arial" w:hAnsi="Arial" w:cs="Arial"/>
                <w:color w:val="000000"/>
              </w:rPr>
              <w:t>that progresses</w:t>
            </w:r>
            <w:proofErr w:type="gramEnd"/>
            <w:r>
              <w:rPr>
                <w:rFonts w:ascii="Arial" w:hAnsi="Arial" w:cs="Arial"/>
                <w:color w:val="000000"/>
              </w:rPr>
              <w:t xml:space="preserve"> within 6 months following platinum-based therapy. </w:t>
            </w:r>
          </w:p>
          <w:p w:rsidR="00BF16B4" w:rsidRPr="00395B97" w:rsidRDefault="00BF16B4" w:rsidP="002A6AB9">
            <w:pPr>
              <w:jc w:val="both"/>
              <w:rPr>
                <w:rFonts w:ascii="Arial" w:hAnsi="Arial" w:cs="Arial"/>
              </w:rPr>
            </w:pPr>
          </w:p>
        </w:tc>
        <w:tc>
          <w:tcPr>
            <w:tcW w:w="6947" w:type="dxa"/>
          </w:tcPr>
          <w:p w:rsidR="00BF16B4" w:rsidRPr="00395B97" w:rsidRDefault="00BF16B4" w:rsidP="0031270A">
            <w:pPr>
              <w:spacing w:after="120"/>
              <w:jc w:val="both"/>
              <w:rPr>
                <w:rFonts w:ascii="Arial" w:hAnsi="Arial" w:cs="Arial"/>
                <w:iCs/>
              </w:rPr>
            </w:pPr>
            <w:r w:rsidRPr="007E71C8">
              <w:rPr>
                <w:rFonts w:ascii="Arial" w:hAnsi="Arial" w:cs="Arial"/>
                <w:color w:val="000000"/>
              </w:rPr>
              <w:t xml:space="preserve">The PBAC </w:t>
            </w:r>
            <w:r>
              <w:rPr>
                <w:rFonts w:ascii="Arial" w:hAnsi="Arial" w:cs="Arial"/>
                <w:color w:val="000000"/>
              </w:rPr>
              <w:t>did not</w:t>
            </w:r>
            <w:r w:rsidRPr="007E71C8">
              <w:rPr>
                <w:rFonts w:ascii="Arial" w:hAnsi="Arial" w:cs="Arial"/>
                <w:color w:val="000000"/>
              </w:rPr>
              <w:t xml:space="preserve"> recommend the Section 100 (Efficient Funding of Chemotherapy - Public and Private Hospital) Authority Required (STREAMLINED) listing of </w:t>
            </w:r>
            <w:proofErr w:type="spellStart"/>
            <w:r w:rsidRPr="007E71C8">
              <w:rPr>
                <w:rFonts w:ascii="Arial" w:hAnsi="Arial" w:cs="Arial"/>
                <w:color w:val="000000"/>
              </w:rPr>
              <w:t>nivolumab</w:t>
            </w:r>
            <w:proofErr w:type="spellEnd"/>
            <w:r w:rsidRPr="007E71C8">
              <w:rPr>
                <w:rFonts w:ascii="Arial" w:hAnsi="Arial" w:cs="Arial"/>
                <w:color w:val="000000"/>
              </w:rPr>
              <w:t xml:space="preserve"> for the treatment of squamous cell carcinoma of the head and neck (SCCHN). The PBAC advised that there was uncertainty in the nature and magnitude of its incremental clinical benefit in Australian clinical practice, and </w:t>
            </w:r>
            <w:r>
              <w:rPr>
                <w:rFonts w:ascii="Arial" w:hAnsi="Arial" w:cs="Arial"/>
                <w:color w:val="000000"/>
              </w:rPr>
              <w:t xml:space="preserve">that the estimated </w:t>
            </w:r>
            <w:r w:rsidRPr="007E71C8">
              <w:rPr>
                <w:rFonts w:ascii="Arial" w:hAnsi="Arial" w:cs="Arial"/>
                <w:color w:val="000000"/>
              </w:rPr>
              <w:t xml:space="preserve">incremental cost effectiveness ratio </w:t>
            </w:r>
            <w:r>
              <w:rPr>
                <w:rFonts w:ascii="Arial" w:hAnsi="Arial" w:cs="Arial"/>
                <w:color w:val="000000"/>
              </w:rPr>
              <w:t>was</w:t>
            </w:r>
            <w:r w:rsidRPr="007E71C8">
              <w:rPr>
                <w:rFonts w:ascii="Arial" w:hAnsi="Arial" w:cs="Arial"/>
                <w:color w:val="000000"/>
              </w:rPr>
              <w:t xml:space="preserve"> high and overoptimistic at the price proposed by the submission. The PBAC acknowledged that SCCHN is a particularly debilitating malignancy, and advised that there was a trend to slower deterioration in quality of life after starting </w:t>
            </w:r>
            <w:proofErr w:type="spellStart"/>
            <w:r w:rsidRPr="007E71C8">
              <w:rPr>
                <w:rFonts w:ascii="Arial" w:hAnsi="Arial" w:cs="Arial"/>
                <w:color w:val="000000"/>
              </w:rPr>
              <w:t>nivolumab</w:t>
            </w:r>
            <w:proofErr w:type="spellEnd"/>
            <w:r w:rsidRPr="007E71C8">
              <w:rPr>
                <w:rFonts w:ascii="Arial" w:hAnsi="Arial" w:cs="Arial"/>
                <w:color w:val="000000"/>
              </w:rPr>
              <w:t xml:space="preserve"> treatment compared to chemotherapy. Further, the PBAC considered that several assumptions in the financial estimates resulted in significant budgetary uncertainty</w:t>
            </w:r>
            <w:r>
              <w:rPr>
                <w:rFonts w:ascii="Arial" w:hAnsi="Arial" w:cs="Arial"/>
                <w:color w:val="000000"/>
              </w:rPr>
              <w:t xml:space="preserve"> for the Commonwealth</w:t>
            </w:r>
            <w:r w:rsidRPr="007E71C8">
              <w:rPr>
                <w:rFonts w:ascii="Arial" w:hAnsi="Arial" w:cs="Arial"/>
                <w:color w:val="000000"/>
              </w:rPr>
              <w:t>.</w:t>
            </w:r>
          </w:p>
        </w:tc>
      </w:tr>
      <w:tr w:rsidR="00BF16B4" w:rsidRPr="00395B97" w:rsidTr="00DA5416">
        <w:trPr>
          <w:trHeight w:val="645"/>
        </w:trPr>
        <w:tc>
          <w:tcPr>
            <w:tcW w:w="2694" w:type="dxa"/>
            <w:vMerge/>
            <w:tcMar>
              <w:top w:w="28" w:type="dxa"/>
              <w:bottom w:w="28" w:type="dxa"/>
            </w:tcMar>
          </w:tcPr>
          <w:p w:rsidR="00BF16B4" w:rsidRPr="001C1D66" w:rsidRDefault="00BF16B4" w:rsidP="00272411">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BF16B4" w:rsidRPr="003647E2" w:rsidRDefault="003647E2" w:rsidP="0031270A">
            <w:pPr>
              <w:pStyle w:val="ListParagraph"/>
              <w:ind w:left="0"/>
              <w:jc w:val="both"/>
              <w:rPr>
                <w:rFonts w:ascii="Arial" w:eastAsia="Times New Roman" w:hAnsi="Arial" w:cs="Arial"/>
                <w:color w:val="000000"/>
                <w:sz w:val="20"/>
                <w:szCs w:val="20"/>
              </w:rPr>
            </w:pPr>
            <w:r w:rsidRPr="003647E2">
              <w:rPr>
                <w:rFonts w:ascii="Arial" w:eastAsia="Times New Roman" w:hAnsi="Arial" w:cs="Arial"/>
                <w:color w:val="000000"/>
                <w:sz w:val="20"/>
                <w:szCs w:val="20"/>
              </w:rPr>
              <w:t xml:space="preserve">While the sponsor is disappointed with the PBAC outcome, it is committed to working with the PBAC to ensure earliest possible PBS access for </w:t>
            </w:r>
            <w:proofErr w:type="spellStart"/>
            <w:r w:rsidRPr="003647E2">
              <w:rPr>
                <w:rFonts w:ascii="Arial" w:eastAsia="Times New Roman" w:hAnsi="Arial" w:cs="Arial"/>
                <w:color w:val="000000"/>
                <w:sz w:val="20"/>
                <w:szCs w:val="20"/>
              </w:rPr>
              <w:t>nivolumab</w:t>
            </w:r>
            <w:proofErr w:type="spellEnd"/>
            <w:r w:rsidRPr="003647E2">
              <w:rPr>
                <w:rFonts w:ascii="Arial" w:eastAsia="Times New Roman" w:hAnsi="Arial" w:cs="Arial"/>
                <w:color w:val="000000"/>
                <w:sz w:val="20"/>
                <w:szCs w:val="20"/>
              </w:rPr>
              <w:t xml:space="preserve"> to treat Australian patients with squamous cell carcinoma of the head and neck.</w:t>
            </w:r>
          </w:p>
        </w:tc>
      </w:tr>
      <w:tr w:rsidR="00BF16B4" w:rsidRPr="00395B97" w:rsidTr="00896AE2">
        <w:trPr>
          <w:trHeight w:val="4383"/>
        </w:trPr>
        <w:tc>
          <w:tcPr>
            <w:tcW w:w="2694" w:type="dxa"/>
            <w:vMerge w:val="restart"/>
            <w:tcMar>
              <w:top w:w="28" w:type="dxa"/>
              <w:bottom w:w="28" w:type="dxa"/>
            </w:tcMar>
          </w:tcPr>
          <w:p w:rsidR="00BF16B4" w:rsidRPr="00C42E80" w:rsidRDefault="00BF16B4" w:rsidP="00FC06CC">
            <w:pPr>
              <w:rPr>
                <w:rFonts w:ascii="Arial" w:hAnsi="Arial" w:cs="Arial"/>
                <w:color w:val="000000"/>
              </w:rPr>
            </w:pPr>
            <w:r w:rsidRPr="00C42E80">
              <w:rPr>
                <w:rFonts w:ascii="Arial" w:hAnsi="Arial" w:cs="Arial"/>
                <w:color w:val="000000"/>
              </w:rPr>
              <w:lastRenderedPageBreak/>
              <w:t>NUSINERSEN</w:t>
            </w:r>
          </w:p>
          <w:p w:rsidR="00BF16B4" w:rsidRPr="00C42E80" w:rsidRDefault="00BF16B4" w:rsidP="00FC06CC">
            <w:pPr>
              <w:rPr>
                <w:rFonts w:ascii="Arial" w:hAnsi="Arial" w:cs="Arial"/>
                <w:color w:val="000000"/>
              </w:rPr>
            </w:pPr>
          </w:p>
          <w:p w:rsidR="00BF16B4" w:rsidRPr="00C42E80" w:rsidRDefault="00BF16B4" w:rsidP="00FC06CC">
            <w:pPr>
              <w:rPr>
                <w:rFonts w:ascii="Arial" w:hAnsi="Arial" w:cs="Arial"/>
                <w:color w:val="000000"/>
              </w:rPr>
            </w:pPr>
            <w:r w:rsidRPr="00C42E80">
              <w:rPr>
                <w:rFonts w:ascii="Arial" w:hAnsi="Arial" w:cs="Arial"/>
                <w:color w:val="000000"/>
              </w:rPr>
              <w:t>Solution for injection 12 mg</w:t>
            </w:r>
            <w:r>
              <w:rPr>
                <w:rFonts w:ascii="Arial" w:hAnsi="Arial" w:cs="Arial"/>
                <w:color w:val="000000"/>
              </w:rPr>
              <w:t xml:space="preserve"> </w:t>
            </w:r>
            <w:r w:rsidRPr="00C42E80">
              <w:rPr>
                <w:rFonts w:ascii="Arial" w:hAnsi="Arial" w:cs="Arial"/>
                <w:color w:val="000000"/>
              </w:rPr>
              <w:t xml:space="preserve">in 5 mL </w:t>
            </w:r>
          </w:p>
          <w:p w:rsidR="00BF16B4" w:rsidRPr="00C42E80" w:rsidRDefault="00BF16B4" w:rsidP="00FC06CC">
            <w:pPr>
              <w:rPr>
                <w:rFonts w:ascii="Arial" w:hAnsi="Arial" w:cs="Arial"/>
                <w:color w:val="000000"/>
              </w:rPr>
            </w:pPr>
          </w:p>
          <w:p w:rsidR="00BF16B4" w:rsidRPr="00C42E80" w:rsidRDefault="00BF16B4" w:rsidP="00FC06CC">
            <w:pPr>
              <w:rPr>
                <w:rFonts w:ascii="Arial" w:hAnsi="Arial" w:cs="Arial"/>
                <w:color w:val="000000"/>
              </w:rPr>
            </w:pPr>
            <w:r w:rsidRPr="00C42E80">
              <w:rPr>
                <w:rFonts w:ascii="Arial" w:hAnsi="Arial" w:cs="Arial"/>
                <w:color w:val="000000"/>
              </w:rPr>
              <w:br w:type="page"/>
            </w:r>
            <w:r w:rsidRPr="00C42E80">
              <w:rPr>
                <w:rFonts w:ascii="Arial" w:hAnsi="Arial" w:cs="Arial"/>
                <w:color w:val="000000"/>
              </w:rPr>
              <w:br w:type="page"/>
            </w:r>
            <w:proofErr w:type="spellStart"/>
            <w:r w:rsidRPr="00C42E80">
              <w:rPr>
                <w:rFonts w:ascii="Arial" w:hAnsi="Arial" w:cs="Arial"/>
                <w:color w:val="000000"/>
              </w:rPr>
              <w:t>Spinraza</w:t>
            </w:r>
            <w:proofErr w:type="spellEnd"/>
            <w:r w:rsidRPr="00C42E80">
              <w:rPr>
                <w:rFonts w:ascii="Arial" w:hAnsi="Arial" w:cs="Arial"/>
                <w:color w:val="000000"/>
              </w:rPr>
              <w:t>™</w:t>
            </w:r>
            <w:r w:rsidRPr="00C42E80">
              <w:rPr>
                <w:rFonts w:ascii="Arial" w:hAnsi="Arial" w:cs="Arial"/>
                <w:color w:val="000000"/>
              </w:rPr>
              <w:br w:type="page"/>
            </w:r>
            <w:r w:rsidRPr="00C42E80">
              <w:rPr>
                <w:rFonts w:ascii="Arial" w:hAnsi="Arial" w:cs="Arial"/>
                <w:color w:val="000000"/>
              </w:rPr>
              <w:br w:type="page"/>
            </w:r>
          </w:p>
          <w:p w:rsidR="00BF16B4" w:rsidRPr="00C42E80" w:rsidRDefault="00BF16B4" w:rsidP="00FC06CC">
            <w:pPr>
              <w:rPr>
                <w:rFonts w:ascii="Arial" w:hAnsi="Arial" w:cs="Arial"/>
                <w:color w:val="000000"/>
              </w:rPr>
            </w:pPr>
          </w:p>
          <w:p w:rsidR="00BF16B4" w:rsidRDefault="00BF16B4" w:rsidP="00FC06CC">
            <w:pPr>
              <w:rPr>
                <w:rFonts w:ascii="Arial" w:hAnsi="Arial" w:cs="Arial"/>
              </w:rPr>
            </w:pPr>
            <w:r w:rsidRPr="00C42E80">
              <w:rPr>
                <w:rFonts w:ascii="Arial" w:hAnsi="Arial" w:cs="Arial"/>
                <w:color w:val="000000"/>
              </w:rPr>
              <w:t>Biogen Australia Pty Ltd</w:t>
            </w:r>
            <w:r w:rsidRPr="00395B97">
              <w:rPr>
                <w:rFonts w:ascii="Arial" w:hAnsi="Arial" w:cs="Arial"/>
              </w:rPr>
              <w:t xml:space="preserve"> </w:t>
            </w:r>
          </w:p>
          <w:p w:rsidR="00BF16B4" w:rsidRPr="001C1D66" w:rsidRDefault="00BF16B4" w:rsidP="00FC06CC">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type="page"/>
            </w:r>
            <w:r w:rsidRPr="001C1D66">
              <w:rPr>
                <w:rFonts w:ascii="Arial" w:hAnsi="Arial" w:cs="Arial"/>
                <w:color w:val="000000"/>
              </w:rPr>
              <w:br w:type="page"/>
            </w:r>
          </w:p>
          <w:p w:rsidR="00BF16B4" w:rsidRPr="001C1D66" w:rsidRDefault="00BF16B4" w:rsidP="00FC06CC">
            <w:pPr>
              <w:rPr>
                <w:rFonts w:ascii="Arial" w:hAnsi="Arial" w:cs="Arial"/>
                <w:color w:val="000000"/>
              </w:rPr>
            </w:pPr>
          </w:p>
          <w:p w:rsidR="00BF16B4" w:rsidRPr="00395B97" w:rsidRDefault="00BF16B4" w:rsidP="00FC06CC">
            <w:pPr>
              <w:rPr>
                <w:rFonts w:ascii="Arial" w:hAnsi="Arial" w:cs="Arial"/>
              </w:rPr>
            </w:pPr>
            <w:r w:rsidRPr="001C1D66">
              <w:rPr>
                <w:rFonts w:ascii="Arial" w:hAnsi="Arial" w:cs="Arial"/>
                <w:color w:val="000000"/>
              </w:rPr>
              <w:t>(Major Submission)</w:t>
            </w:r>
          </w:p>
        </w:tc>
        <w:tc>
          <w:tcPr>
            <w:tcW w:w="2409" w:type="dxa"/>
            <w:vMerge w:val="restart"/>
          </w:tcPr>
          <w:p w:rsidR="00BF16B4" w:rsidRPr="00395B97" w:rsidRDefault="00BF16B4" w:rsidP="002A6AB9">
            <w:pPr>
              <w:rPr>
                <w:rFonts w:ascii="Arial" w:hAnsi="Arial" w:cs="Arial"/>
              </w:rPr>
            </w:pPr>
            <w:r>
              <w:rPr>
                <w:rFonts w:ascii="Arial" w:hAnsi="Arial" w:cs="Arial"/>
                <w:color w:val="000000"/>
              </w:rPr>
              <w:t>Spinal muscular atrophy (SM</w:t>
            </w:r>
            <w:r w:rsidRPr="001C1D66">
              <w:rPr>
                <w:rFonts w:ascii="Arial" w:hAnsi="Arial" w:cs="Arial"/>
                <w:color w:val="000000"/>
              </w:rPr>
              <w:t>A)</w:t>
            </w:r>
          </w:p>
        </w:tc>
        <w:tc>
          <w:tcPr>
            <w:tcW w:w="3261" w:type="dxa"/>
            <w:tcMar>
              <w:top w:w="28" w:type="dxa"/>
              <w:bottom w:w="28" w:type="dxa"/>
            </w:tcMar>
          </w:tcPr>
          <w:p w:rsidR="00BF16B4" w:rsidRPr="00395B97" w:rsidRDefault="00BF16B4" w:rsidP="002A6AB9">
            <w:pPr>
              <w:jc w:val="both"/>
              <w:rPr>
                <w:rFonts w:ascii="Arial" w:hAnsi="Arial" w:cs="Arial"/>
              </w:rPr>
            </w:pPr>
            <w:r>
              <w:rPr>
                <w:rFonts w:ascii="Arial" w:hAnsi="Arial" w:cs="Arial"/>
              </w:rPr>
              <w:t>To request a Section 100 (High Specialised Drugs Program) Authority Required listing for treatment of patients with infantile-onset (Type I) and childhood-onset (Types II and III) SMA.</w:t>
            </w:r>
          </w:p>
        </w:tc>
        <w:tc>
          <w:tcPr>
            <w:tcW w:w="6947" w:type="dxa"/>
          </w:tcPr>
          <w:p w:rsidR="00BF16B4" w:rsidRPr="00C439FF" w:rsidRDefault="00BF16B4" w:rsidP="0031270A">
            <w:pPr>
              <w:jc w:val="both"/>
              <w:rPr>
                <w:rFonts w:ascii="Arial" w:hAnsi="Arial" w:cs="Arial"/>
                <w:iCs/>
              </w:rPr>
            </w:pPr>
            <w:r w:rsidRPr="00C439FF">
              <w:rPr>
                <w:rFonts w:ascii="Arial" w:hAnsi="Arial" w:cs="Arial"/>
                <w:iCs/>
              </w:rPr>
              <w:t xml:space="preserve">The PBAC did not recommend the Section 100 (Highly Specialised Drugs Program) listing of </w:t>
            </w:r>
            <w:proofErr w:type="spellStart"/>
            <w:r w:rsidRPr="00C439FF">
              <w:rPr>
                <w:rFonts w:ascii="Arial" w:hAnsi="Arial" w:cs="Arial"/>
                <w:iCs/>
              </w:rPr>
              <w:t>nusinersen</w:t>
            </w:r>
            <w:proofErr w:type="spellEnd"/>
            <w:r w:rsidRPr="00C439FF">
              <w:rPr>
                <w:rFonts w:ascii="Arial" w:hAnsi="Arial" w:cs="Arial"/>
                <w:iCs/>
              </w:rPr>
              <w:t xml:space="preserve"> for the treatment of patients with Infantile-onset (Type I) and childhood-onset (Types II &amp; III) spinal muscular atrophy (SMA) due to uncertainty about the clinical effectiveness of </w:t>
            </w:r>
            <w:proofErr w:type="spellStart"/>
            <w:r w:rsidRPr="00C439FF">
              <w:rPr>
                <w:rFonts w:ascii="Arial" w:hAnsi="Arial" w:cs="Arial"/>
                <w:iCs/>
              </w:rPr>
              <w:t>nusinersen</w:t>
            </w:r>
            <w:proofErr w:type="spellEnd"/>
            <w:r w:rsidRPr="00C439FF">
              <w:rPr>
                <w:rFonts w:ascii="Arial" w:hAnsi="Arial" w:cs="Arial"/>
                <w:iCs/>
              </w:rPr>
              <w:t xml:space="preserve"> in terms of the extent and durability of response across the spectrum of SMA for which subsidy was sought.  Overall,</w:t>
            </w:r>
            <w:r w:rsidR="00C439FF">
              <w:rPr>
                <w:rFonts w:ascii="Arial" w:hAnsi="Arial" w:cs="Arial"/>
                <w:iCs/>
              </w:rPr>
              <w:t xml:space="preserve"> </w:t>
            </w:r>
            <w:r w:rsidRPr="00C439FF">
              <w:rPr>
                <w:rFonts w:ascii="Arial" w:hAnsi="Arial" w:cs="Arial"/>
                <w:iCs/>
              </w:rPr>
              <w:t xml:space="preserve">the submission contained insufficient information for the PBAC to form a view on the cost-effectiveness of treatment with </w:t>
            </w:r>
            <w:proofErr w:type="spellStart"/>
            <w:r w:rsidRPr="00C439FF">
              <w:rPr>
                <w:rFonts w:ascii="Arial" w:hAnsi="Arial" w:cs="Arial"/>
                <w:iCs/>
              </w:rPr>
              <w:t>nusinersen</w:t>
            </w:r>
            <w:proofErr w:type="spellEnd"/>
            <w:r w:rsidRPr="00C439FF">
              <w:rPr>
                <w:rFonts w:ascii="Arial" w:hAnsi="Arial" w:cs="Arial"/>
                <w:iCs/>
              </w:rPr>
              <w:t xml:space="preserve"> across the spectrum of SMA. </w:t>
            </w:r>
          </w:p>
          <w:p w:rsidR="00BF16B4" w:rsidRPr="00C439FF" w:rsidRDefault="00BF16B4" w:rsidP="0031270A">
            <w:pPr>
              <w:jc w:val="both"/>
              <w:rPr>
                <w:rFonts w:ascii="Arial" w:hAnsi="Arial" w:cs="Arial"/>
                <w:iCs/>
              </w:rPr>
            </w:pPr>
            <w:r w:rsidRPr="00C439FF">
              <w:rPr>
                <w:rFonts w:ascii="Arial" w:hAnsi="Arial" w:cs="Arial"/>
                <w:iCs/>
              </w:rPr>
              <w:t xml:space="preserve">The PBAC acknowledged that there is a high and urgent clinical need for treatments for SMA, particularly for the most severe forms of the condition and noted that the consumer input was strongly supportive of a broad PBS listing across all forms of SMA, including adult onset disease.  The PBAC considered that while the available evidence suggests patients may receive some benefit from </w:t>
            </w:r>
            <w:proofErr w:type="spellStart"/>
            <w:r w:rsidRPr="00C439FF">
              <w:rPr>
                <w:rFonts w:ascii="Arial" w:hAnsi="Arial" w:cs="Arial"/>
                <w:iCs/>
              </w:rPr>
              <w:t>nusiners</w:t>
            </w:r>
            <w:r w:rsidR="003647E2">
              <w:rPr>
                <w:rFonts w:ascii="Arial" w:hAnsi="Arial" w:cs="Arial"/>
                <w:iCs/>
              </w:rPr>
              <w:t>e</w:t>
            </w:r>
            <w:r w:rsidRPr="00C439FF">
              <w:rPr>
                <w:rFonts w:ascii="Arial" w:hAnsi="Arial" w:cs="Arial"/>
                <w:iCs/>
              </w:rPr>
              <w:t>n</w:t>
            </w:r>
            <w:proofErr w:type="spellEnd"/>
            <w:r w:rsidR="00C439FF" w:rsidRPr="00C439FF">
              <w:rPr>
                <w:rFonts w:ascii="Arial" w:hAnsi="Arial" w:cs="Arial"/>
                <w:iCs/>
              </w:rPr>
              <w:t>, the</w:t>
            </w:r>
            <w:r w:rsidRPr="00C439FF">
              <w:rPr>
                <w:rFonts w:ascii="Arial" w:hAnsi="Arial" w:cs="Arial"/>
                <w:iCs/>
              </w:rPr>
              <w:t xml:space="preserve"> benefit needed to be better quantified. </w:t>
            </w:r>
          </w:p>
          <w:p w:rsidR="00BF16B4" w:rsidRPr="00C439FF" w:rsidRDefault="00BF16B4" w:rsidP="0031270A">
            <w:pPr>
              <w:jc w:val="both"/>
              <w:rPr>
                <w:rFonts w:ascii="Arial" w:hAnsi="Arial" w:cs="Arial"/>
                <w:iCs/>
              </w:rPr>
            </w:pPr>
            <w:r w:rsidRPr="00C439FF">
              <w:rPr>
                <w:rFonts w:ascii="Arial" w:hAnsi="Arial" w:cs="Arial"/>
                <w:iCs/>
              </w:rPr>
              <w:t xml:space="preserve">The PBAC formed the view that the Pharmaceutical Benefits Scheme (PBS) is the most appropriate mechanism for subsidising </w:t>
            </w:r>
            <w:proofErr w:type="spellStart"/>
            <w:r w:rsidRPr="00C439FF">
              <w:rPr>
                <w:rFonts w:ascii="Arial" w:hAnsi="Arial" w:cs="Arial"/>
                <w:iCs/>
              </w:rPr>
              <w:t>nusiners</w:t>
            </w:r>
            <w:r w:rsidR="003647E2">
              <w:rPr>
                <w:rFonts w:ascii="Arial" w:hAnsi="Arial" w:cs="Arial"/>
                <w:iCs/>
              </w:rPr>
              <w:t>e</w:t>
            </w:r>
            <w:r w:rsidRPr="00C439FF">
              <w:rPr>
                <w:rFonts w:ascii="Arial" w:hAnsi="Arial" w:cs="Arial"/>
                <w:iCs/>
              </w:rPr>
              <w:t>n</w:t>
            </w:r>
            <w:proofErr w:type="spellEnd"/>
            <w:r w:rsidRPr="00C439FF">
              <w:rPr>
                <w:rFonts w:ascii="Arial" w:hAnsi="Arial" w:cs="Arial"/>
                <w:iCs/>
              </w:rPr>
              <w:t xml:space="preserve"> for Australian patients.  The PBAC considered that further information on the cost-effectiveness of treatment with </w:t>
            </w:r>
            <w:proofErr w:type="spellStart"/>
            <w:r w:rsidRPr="00C439FF">
              <w:rPr>
                <w:rFonts w:ascii="Arial" w:hAnsi="Arial" w:cs="Arial"/>
                <w:iCs/>
              </w:rPr>
              <w:t>nusiners</w:t>
            </w:r>
            <w:r w:rsidR="003647E2">
              <w:rPr>
                <w:rFonts w:ascii="Arial" w:hAnsi="Arial" w:cs="Arial"/>
                <w:iCs/>
              </w:rPr>
              <w:t>e</w:t>
            </w:r>
            <w:r w:rsidRPr="00C439FF">
              <w:rPr>
                <w:rFonts w:ascii="Arial" w:hAnsi="Arial" w:cs="Arial"/>
                <w:iCs/>
              </w:rPr>
              <w:t>n</w:t>
            </w:r>
            <w:proofErr w:type="spellEnd"/>
            <w:r w:rsidRPr="00C439FF">
              <w:rPr>
                <w:rFonts w:ascii="Arial" w:hAnsi="Arial" w:cs="Arial"/>
                <w:iCs/>
              </w:rPr>
              <w:t xml:space="preserve"> is necessary in order for it to be able to form a view on the appropriate PBS subsidy price, but that based on the information already available it is likely that a substantial reduction in the proposed price will be required.</w:t>
            </w:r>
          </w:p>
        </w:tc>
      </w:tr>
      <w:tr w:rsidR="00BF16B4" w:rsidRPr="00395B97" w:rsidTr="00896AE2">
        <w:trPr>
          <w:trHeight w:val="42"/>
        </w:trPr>
        <w:tc>
          <w:tcPr>
            <w:tcW w:w="2694" w:type="dxa"/>
            <w:vMerge/>
            <w:tcMar>
              <w:top w:w="28" w:type="dxa"/>
              <w:bottom w:w="28" w:type="dxa"/>
            </w:tcMar>
          </w:tcPr>
          <w:p w:rsidR="00BF16B4" w:rsidRPr="00C42E80" w:rsidRDefault="00BF16B4" w:rsidP="00FC06CC">
            <w:pPr>
              <w:rPr>
                <w:rFonts w:ascii="Arial" w:hAnsi="Arial" w:cs="Arial"/>
                <w:color w:val="000000"/>
              </w:rPr>
            </w:pPr>
          </w:p>
        </w:tc>
        <w:tc>
          <w:tcPr>
            <w:tcW w:w="2409" w:type="dxa"/>
            <w:vMerge/>
          </w:tcPr>
          <w:p w:rsidR="00BF16B4"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BF16B4" w:rsidRPr="00CC01B8" w:rsidRDefault="00896AE2" w:rsidP="0031270A">
            <w:pPr>
              <w:jc w:val="both"/>
              <w:rPr>
                <w:rFonts w:ascii="Arial" w:hAnsi="Arial" w:cs="Arial"/>
                <w:iCs/>
              </w:rPr>
            </w:pPr>
            <w:r w:rsidRPr="00896AE2">
              <w:rPr>
                <w:rFonts w:ascii="Arial" w:hAnsi="Arial" w:cs="Arial"/>
                <w:iCs/>
              </w:rPr>
              <w:t>Biogen is disappointed by the PBAC’s decision as this will delay the SMA community’s access to SPINRAZA when there are currently no other disease-modifying medicines available to treat this devastating disease. Biogen is confident in the clinical evidence supporting SPINRAZA for the treatment of SMA. Following discussions at the post-PBAC meeting we have identified next steps and are determined to meet the needs of the PBAC and the SMA community to make SPINRAZA available as soon as possible</w:t>
            </w:r>
            <w:r>
              <w:rPr>
                <w:rFonts w:ascii="Arial" w:hAnsi="Arial" w:cs="Arial"/>
                <w:iCs/>
              </w:rPr>
              <w:t>.</w:t>
            </w:r>
          </w:p>
        </w:tc>
      </w:tr>
      <w:tr w:rsidR="00BF16B4" w:rsidRPr="00395B97" w:rsidTr="00896AE2">
        <w:trPr>
          <w:trHeight w:val="5370"/>
        </w:trPr>
        <w:tc>
          <w:tcPr>
            <w:tcW w:w="2694" w:type="dxa"/>
            <w:vMerge w:val="restart"/>
            <w:tcMar>
              <w:top w:w="28" w:type="dxa"/>
              <w:bottom w:w="28" w:type="dxa"/>
            </w:tcMar>
          </w:tcPr>
          <w:p w:rsidR="00BF16B4" w:rsidRPr="001C1D66" w:rsidRDefault="00BF16B4" w:rsidP="00272411">
            <w:pPr>
              <w:rPr>
                <w:rFonts w:ascii="Arial" w:hAnsi="Arial" w:cs="Arial"/>
                <w:color w:val="000000"/>
              </w:rPr>
            </w:pPr>
            <w:r w:rsidRPr="001C1D66">
              <w:rPr>
                <w:rFonts w:ascii="Arial" w:hAnsi="Arial" w:cs="Arial"/>
                <w:color w:val="000000"/>
              </w:rPr>
              <w:lastRenderedPageBreak/>
              <w:t xml:space="preserve">OBINUTUZUMAB </w:t>
            </w:r>
            <w:r w:rsidRPr="001C1D66">
              <w:rPr>
                <w:rFonts w:ascii="Arial" w:hAnsi="Arial" w:cs="Arial"/>
                <w:color w:val="000000"/>
              </w:rPr>
              <w:br w:type="page"/>
            </w:r>
            <w:r w:rsidRPr="001C1D66">
              <w:rPr>
                <w:rFonts w:ascii="Arial" w:hAnsi="Arial" w:cs="Arial"/>
                <w:color w:val="000000"/>
              </w:rPr>
              <w:br w:type="page"/>
            </w:r>
          </w:p>
          <w:p w:rsidR="00BF16B4" w:rsidRPr="001C1D66" w:rsidRDefault="00BF16B4" w:rsidP="00272411">
            <w:pPr>
              <w:rPr>
                <w:rFonts w:ascii="Arial" w:hAnsi="Arial" w:cs="Arial"/>
                <w:color w:val="000000"/>
              </w:rPr>
            </w:pPr>
          </w:p>
          <w:p w:rsidR="00BF16B4" w:rsidRDefault="00BF16B4" w:rsidP="00272411">
            <w:pPr>
              <w:rPr>
                <w:rFonts w:ascii="Arial" w:hAnsi="Arial" w:cs="Arial"/>
                <w:color w:val="000000"/>
              </w:rPr>
            </w:pPr>
            <w:r w:rsidRPr="00DB4A00">
              <w:rPr>
                <w:rFonts w:ascii="Arial" w:hAnsi="Arial" w:cs="Arial"/>
                <w:color w:val="000000"/>
              </w:rPr>
              <w:t>Solution for I.V. infusion 1000 mg in 40 mL</w:t>
            </w:r>
          </w:p>
          <w:p w:rsidR="00BF16B4" w:rsidRPr="001C1D66" w:rsidRDefault="00BF16B4" w:rsidP="00272411">
            <w:pPr>
              <w:rPr>
                <w:rFonts w:ascii="Arial" w:hAnsi="Arial" w:cs="Arial"/>
                <w:color w:val="000000"/>
              </w:rPr>
            </w:pPr>
          </w:p>
          <w:p w:rsidR="00BF16B4" w:rsidRPr="001C1D66" w:rsidRDefault="00BF16B4" w:rsidP="00272411">
            <w:pPr>
              <w:rPr>
                <w:rFonts w:ascii="Arial" w:hAnsi="Arial" w:cs="Arial"/>
                <w:color w:val="000000"/>
              </w:rPr>
            </w:pPr>
            <w:proofErr w:type="spellStart"/>
            <w:r w:rsidRPr="001C1D66">
              <w:rPr>
                <w:rFonts w:ascii="Arial" w:hAnsi="Arial" w:cs="Arial"/>
                <w:color w:val="000000"/>
              </w:rPr>
              <w:t>Gazyva</w:t>
            </w:r>
            <w:proofErr w:type="spellEnd"/>
            <w:r w:rsidRPr="001C1D66">
              <w:rPr>
                <w:rFonts w:ascii="Arial" w:hAnsi="Arial" w:cs="Arial"/>
                <w:color w:val="000000"/>
              </w:rPr>
              <w:t>®</w:t>
            </w:r>
          </w:p>
          <w:p w:rsidR="00BF16B4" w:rsidRPr="001C1D66" w:rsidRDefault="00BF16B4" w:rsidP="00272411">
            <w:pPr>
              <w:rPr>
                <w:rFonts w:ascii="Arial" w:hAnsi="Arial" w:cs="Arial"/>
                <w:color w:val="000000"/>
              </w:rPr>
            </w:pPr>
          </w:p>
          <w:p w:rsidR="00BF16B4" w:rsidRDefault="00BF16B4" w:rsidP="00272411">
            <w:pPr>
              <w:rPr>
                <w:rFonts w:ascii="Arial" w:hAnsi="Arial" w:cs="Arial"/>
                <w:color w:val="000000"/>
              </w:rPr>
            </w:pPr>
            <w:r w:rsidRPr="001C1D66">
              <w:rPr>
                <w:rFonts w:ascii="Arial" w:hAnsi="Arial" w:cs="Arial"/>
                <w:color w:val="000000"/>
              </w:rPr>
              <w:br w:type="page"/>
            </w:r>
            <w:r w:rsidRPr="001C1D66">
              <w:rPr>
                <w:rFonts w:ascii="Arial" w:hAnsi="Arial" w:cs="Arial"/>
                <w:color w:val="000000"/>
              </w:rPr>
              <w:br w:type="page"/>
              <w:t xml:space="preserve">Roche Products Pty Ltd </w:t>
            </w:r>
          </w:p>
          <w:p w:rsidR="00BF16B4" w:rsidRPr="001C1D66" w:rsidRDefault="00BF16B4" w:rsidP="00272411">
            <w:pPr>
              <w:rPr>
                <w:rFonts w:ascii="Arial" w:hAnsi="Arial" w:cs="Arial"/>
                <w:color w:val="000000"/>
              </w:rPr>
            </w:pPr>
            <w:r w:rsidRPr="001C1D66">
              <w:rPr>
                <w:rFonts w:ascii="Arial" w:hAnsi="Arial" w:cs="Arial"/>
                <w:color w:val="000000"/>
              </w:rPr>
              <w:t>Change to listing</w:t>
            </w:r>
          </w:p>
          <w:p w:rsidR="00BF16B4" w:rsidRPr="001C1D66" w:rsidRDefault="00BF16B4" w:rsidP="00272411">
            <w:pPr>
              <w:rPr>
                <w:rFonts w:ascii="Arial" w:hAnsi="Arial" w:cs="Arial"/>
                <w:color w:val="000000"/>
              </w:rPr>
            </w:pPr>
          </w:p>
          <w:p w:rsidR="00BF16B4" w:rsidRPr="00395B97" w:rsidRDefault="00BF16B4" w:rsidP="00272411">
            <w:pPr>
              <w:rPr>
                <w:rFonts w:ascii="Arial" w:hAnsi="Arial" w:cs="Arial"/>
              </w:rPr>
            </w:pPr>
            <w:r w:rsidRPr="001C1D66">
              <w:rPr>
                <w:rFonts w:ascii="Arial" w:hAnsi="Arial" w:cs="Arial"/>
                <w:color w:val="000000"/>
              </w:rPr>
              <w:br w:type="page"/>
            </w:r>
            <w:r w:rsidRPr="001C1D66">
              <w:rPr>
                <w:rFonts w:ascii="Arial" w:hAnsi="Arial" w:cs="Arial"/>
                <w:color w:val="000000"/>
              </w:rPr>
              <w:br w:type="page"/>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CD20 positive follicular lymphoma</w:t>
            </w:r>
          </w:p>
        </w:tc>
        <w:tc>
          <w:tcPr>
            <w:tcW w:w="3261" w:type="dxa"/>
            <w:tcMar>
              <w:top w:w="28" w:type="dxa"/>
              <w:bottom w:w="28" w:type="dxa"/>
            </w:tcMar>
          </w:tcPr>
          <w:p w:rsidR="00BF16B4" w:rsidRDefault="00BF16B4" w:rsidP="00272411">
            <w:pPr>
              <w:rPr>
                <w:rFonts w:ascii="Arial" w:hAnsi="Arial" w:cs="Arial"/>
                <w:color w:val="000000"/>
              </w:rPr>
            </w:pPr>
            <w:r>
              <w:rPr>
                <w:rFonts w:ascii="Arial" w:hAnsi="Arial" w:cs="Arial"/>
                <w:color w:val="000000"/>
              </w:rPr>
              <w:t>To request an Authority Required (STREAMLINED) listing for untreated patients with Stage II bulky or Stage III/IV CD20 positive follicular lymphoma.</w:t>
            </w:r>
          </w:p>
          <w:p w:rsidR="00BF16B4" w:rsidRPr="00395B97" w:rsidRDefault="00BF16B4" w:rsidP="002A6AB9">
            <w:pPr>
              <w:jc w:val="both"/>
              <w:rPr>
                <w:rFonts w:ascii="Arial" w:hAnsi="Arial" w:cs="Arial"/>
              </w:rPr>
            </w:pPr>
          </w:p>
        </w:tc>
        <w:tc>
          <w:tcPr>
            <w:tcW w:w="6947" w:type="dxa"/>
          </w:tcPr>
          <w:p w:rsidR="00BF16B4" w:rsidRPr="00D92262" w:rsidRDefault="00BF16B4" w:rsidP="0031270A">
            <w:pPr>
              <w:pStyle w:val="ListParagraph"/>
              <w:ind w:left="0"/>
              <w:jc w:val="both"/>
              <w:rPr>
                <w:rFonts w:ascii="Arial" w:hAnsi="Arial" w:cs="Arial"/>
                <w:iCs/>
                <w:sz w:val="20"/>
                <w:szCs w:val="20"/>
              </w:rPr>
            </w:pPr>
            <w:r w:rsidRPr="00D92262">
              <w:rPr>
                <w:rFonts w:ascii="Arial" w:hAnsi="Arial" w:cs="Arial"/>
                <w:iCs/>
                <w:sz w:val="20"/>
                <w:szCs w:val="20"/>
              </w:rPr>
              <w:t xml:space="preserve">The PBAC did not recommend the listing of </w:t>
            </w:r>
            <w:proofErr w:type="spellStart"/>
            <w:r w:rsidRPr="00D92262">
              <w:rPr>
                <w:rFonts w:ascii="Arial" w:hAnsi="Arial" w:cs="Arial"/>
                <w:iCs/>
                <w:sz w:val="20"/>
                <w:szCs w:val="20"/>
              </w:rPr>
              <w:t>obinutuzumab</w:t>
            </w:r>
            <w:proofErr w:type="spellEnd"/>
            <w:r w:rsidRPr="00D92262">
              <w:rPr>
                <w:rFonts w:ascii="Arial" w:hAnsi="Arial" w:cs="Arial"/>
                <w:iCs/>
                <w:sz w:val="20"/>
                <w:szCs w:val="20"/>
              </w:rPr>
              <w:t xml:space="preserve"> on the PBS for treatment of previously untreated advanced follicular lymphoma (stage II bulky or stage III/IV), as, the clinical benefits of </w:t>
            </w:r>
            <w:proofErr w:type="spellStart"/>
            <w:r w:rsidRPr="00D92262">
              <w:rPr>
                <w:rFonts w:ascii="Arial" w:hAnsi="Arial" w:cs="Arial"/>
                <w:iCs/>
                <w:sz w:val="20"/>
                <w:szCs w:val="20"/>
              </w:rPr>
              <w:t>obinutuzumab</w:t>
            </w:r>
            <w:proofErr w:type="spellEnd"/>
            <w:r w:rsidRPr="00D92262">
              <w:rPr>
                <w:rFonts w:ascii="Arial" w:hAnsi="Arial" w:cs="Arial"/>
                <w:iCs/>
                <w:sz w:val="20"/>
                <w:szCs w:val="20"/>
              </w:rPr>
              <w:t xml:space="preserve"> over rituximab were uncertain, with no demonstrated improvement in quality of life or overall survival, and an inferior comparative safety profile particularly in the elderly. Further, the PBAC considered the cost-effectiveness against rituximab to be highly uncertain</w:t>
            </w:r>
            <w:r>
              <w:rPr>
                <w:rFonts w:ascii="Arial" w:hAnsi="Arial" w:cs="Arial"/>
                <w:iCs/>
                <w:sz w:val="20"/>
                <w:szCs w:val="20"/>
              </w:rPr>
              <w:t xml:space="preserve"> and that </w:t>
            </w:r>
            <w:r w:rsidRPr="00D92262">
              <w:rPr>
                <w:rFonts w:ascii="Arial" w:hAnsi="Arial" w:cs="Arial"/>
                <w:iCs/>
                <w:sz w:val="20"/>
                <w:szCs w:val="20"/>
              </w:rPr>
              <w:t>the clinical need for an additional first-line therapy was not clear</w:t>
            </w:r>
            <w:r>
              <w:rPr>
                <w:rFonts w:ascii="Arial" w:hAnsi="Arial" w:cs="Arial"/>
                <w:iCs/>
                <w:sz w:val="20"/>
                <w:szCs w:val="20"/>
              </w:rPr>
              <w:t>.</w:t>
            </w:r>
          </w:p>
          <w:p w:rsidR="00BF16B4" w:rsidRPr="00D92262" w:rsidRDefault="00BF16B4" w:rsidP="0031270A">
            <w:pPr>
              <w:pStyle w:val="ListParagraph"/>
              <w:ind w:left="0"/>
              <w:jc w:val="both"/>
              <w:rPr>
                <w:rFonts w:ascii="Arial" w:hAnsi="Arial" w:cs="Arial"/>
                <w:iCs/>
                <w:sz w:val="20"/>
                <w:szCs w:val="20"/>
              </w:rPr>
            </w:pPr>
            <w:r w:rsidRPr="00D92262">
              <w:rPr>
                <w:rFonts w:ascii="Arial" w:hAnsi="Arial" w:cs="Arial"/>
                <w:iCs/>
                <w:sz w:val="20"/>
                <w:szCs w:val="20"/>
              </w:rPr>
              <w:t xml:space="preserve">The PBAC considered that, given the prognosis of the disease and its high response to rituximab, the clinical need for </w:t>
            </w:r>
            <w:proofErr w:type="spellStart"/>
            <w:r w:rsidRPr="00D92262">
              <w:rPr>
                <w:rFonts w:ascii="Arial" w:hAnsi="Arial" w:cs="Arial"/>
                <w:iCs/>
                <w:sz w:val="20"/>
                <w:szCs w:val="20"/>
              </w:rPr>
              <w:t>obinutuzumab</w:t>
            </w:r>
            <w:proofErr w:type="spellEnd"/>
            <w:r w:rsidRPr="00D92262">
              <w:rPr>
                <w:rFonts w:ascii="Arial" w:hAnsi="Arial" w:cs="Arial"/>
                <w:iCs/>
                <w:sz w:val="20"/>
                <w:szCs w:val="20"/>
              </w:rPr>
              <w:t xml:space="preserve"> in the first-line setting may be limited to a yet unidentified subgroup of patients destined to progress on rituximab who were able to tolerate its increased toxicity. </w:t>
            </w:r>
          </w:p>
          <w:p w:rsidR="00BF16B4" w:rsidRPr="00D92262" w:rsidRDefault="00BF16B4" w:rsidP="0031270A">
            <w:pPr>
              <w:pStyle w:val="ListParagraph"/>
              <w:ind w:left="0"/>
              <w:jc w:val="both"/>
              <w:rPr>
                <w:rFonts w:ascii="Arial" w:hAnsi="Arial" w:cs="Arial"/>
                <w:iCs/>
                <w:sz w:val="20"/>
                <w:szCs w:val="20"/>
              </w:rPr>
            </w:pPr>
            <w:r w:rsidRPr="00D92262">
              <w:rPr>
                <w:rFonts w:ascii="Arial" w:hAnsi="Arial" w:cs="Arial"/>
                <w:iCs/>
                <w:sz w:val="20"/>
                <w:szCs w:val="20"/>
              </w:rPr>
              <w:t xml:space="preserve">The PBAC considered that the claim of superior effectiveness in terms of progression free survival (PFS) compared with rituximab was not adequately supported by the data. The PBAC reiterated that it considered PFS to be a potentially important outcome in indolent diseases such as follicular lymphoma. However, for this submission the PBAC was concerned that the modest gain in PFS over rituximab may be offset by increases in serious </w:t>
            </w:r>
            <w:r>
              <w:rPr>
                <w:rFonts w:ascii="Arial" w:hAnsi="Arial" w:cs="Arial"/>
                <w:iCs/>
                <w:sz w:val="20"/>
                <w:szCs w:val="20"/>
              </w:rPr>
              <w:t>adverse events</w:t>
            </w:r>
            <w:r w:rsidRPr="00D92262">
              <w:rPr>
                <w:rFonts w:ascii="Arial" w:hAnsi="Arial" w:cs="Arial"/>
                <w:iCs/>
                <w:sz w:val="20"/>
                <w:szCs w:val="20"/>
              </w:rPr>
              <w:t xml:space="preserve">. In addition, the PBAC noted that no difference in </w:t>
            </w:r>
            <w:r>
              <w:rPr>
                <w:rFonts w:ascii="Arial" w:hAnsi="Arial" w:cs="Arial"/>
                <w:iCs/>
                <w:sz w:val="20"/>
                <w:szCs w:val="20"/>
              </w:rPr>
              <w:t>overall survival (</w:t>
            </w:r>
            <w:r w:rsidRPr="00D92262">
              <w:rPr>
                <w:rFonts w:ascii="Arial" w:hAnsi="Arial" w:cs="Arial"/>
                <w:iCs/>
                <w:sz w:val="20"/>
                <w:szCs w:val="20"/>
              </w:rPr>
              <w:t>OS</w:t>
            </w:r>
            <w:r>
              <w:rPr>
                <w:rFonts w:ascii="Arial" w:hAnsi="Arial" w:cs="Arial"/>
                <w:iCs/>
                <w:sz w:val="20"/>
                <w:szCs w:val="20"/>
              </w:rPr>
              <w:t>)</w:t>
            </w:r>
            <w:r w:rsidRPr="00D92262">
              <w:rPr>
                <w:rFonts w:ascii="Arial" w:hAnsi="Arial" w:cs="Arial"/>
                <w:iCs/>
                <w:sz w:val="20"/>
                <w:szCs w:val="20"/>
              </w:rPr>
              <w:t xml:space="preserve"> or health-related quality of life measures was demonstrated between treatment arms.</w:t>
            </w:r>
          </w:p>
          <w:p w:rsidR="00BF16B4" w:rsidRPr="00395B97" w:rsidRDefault="00BF16B4" w:rsidP="0031270A">
            <w:pPr>
              <w:pStyle w:val="ListParagraph"/>
              <w:ind w:left="0"/>
              <w:jc w:val="both"/>
              <w:rPr>
                <w:rFonts w:ascii="Arial" w:hAnsi="Arial" w:cs="Arial"/>
                <w:iCs/>
                <w:sz w:val="20"/>
                <w:szCs w:val="20"/>
              </w:rPr>
            </w:pPr>
            <w:r>
              <w:rPr>
                <w:rFonts w:ascii="Arial" w:hAnsi="Arial" w:cs="Arial"/>
                <w:iCs/>
                <w:sz w:val="20"/>
                <w:szCs w:val="20"/>
              </w:rPr>
              <w:t>In the context of its concerns around the uncertainty</w:t>
            </w:r>
            <w:r w:rsidRPr="00C40FA0">
              <w:rPr>
                <w:rFonts w:ascii="Arial" w:eastAsia="Times New Roman" w:hAnsi="Arial" w:cs="Arial"/>
                <w:iCs/>
                <w:sz w:val="20"/>
                <w:szCs w:val="20"/>
              </w:rPr>
              <w:t xml:space="preserve"> </w:t>
            </w:r>
            <w:r>
              <w:rPr>
                <w:rFonts w:ascii="Arial" w:eastAsia="Times New Roman" w:hAnsi="Arial" w:cs="Arial"/>
                <w:iCs/>
                <w:sz w:val="20"/>
                <w:szCs w:val="20"/>
              </w:rPr>
              <w:t xml:space="preserve">of the </w:t>
            </w:r>
            <w:r w:rsidRPr="00C40FA0">
              <w:rPr>
                <w:rFonts w:ascii="Arial" w:hAnsi="Arial" w:cs="Arial"/>
                <w:iCs/>
                <w:sz w:val="20"/>
                <w:szCs w:val="20"/>
              </w:rPr>
              <w:t>incremental cost effectiveness ratio</w:t>
            </w:r>
            <w:r>
              <w:rPr>
                <w:rFonts w:ascii="Arial" w:hAnsi="Arial" w:cs="Arial"/>
                <w:iCs/>
                <w:sz w:val="20"/>
                <w:szCs w:val="20"/>
              </w:rPr>
              <w:t xml:space="preserve"> (ICER)</w:t>
            </w:r>
            <w:r w:rsidRPr="00C40FA0">
              <w:rPr>
                <w:rFonts w:ascii="Arial" w:hAnsi="Arial" w:cs="Arial"/>
                <w:iCs/>
                <w:sz w:val="20"/>
                <w:szCs w:val="20"/>
              </w:rPr>
              <w:t xml:space="preserve"> presented in the submission’s base</w:t>
            </w:r>
            <w:r>
              <w:rPr>
                <w:rFonts w:ascii="Arial" w:hAnsi="Arial" w:cs="Arial"/>
                <w:iCs/>
                <w:sz w:val="20"/>
                <w:szCs w:val="20"/>
              </w:rPr>
              <w:t xml:space="preserve"> case, which it considered to be underestimated, </w:t>
            </w:r>
            <w:r w:rsidRPr="00D92262">
              <w:rPr>
                <w:rFonts w:ascii="Arial" w:hAnsi="Arial" w:cs="Arial"/>
                <w:iCs/>
                <w:sz w:val="20"/>
                <w:szCs w:val="20"/>
              </w:rPr>
              <w:t xml:space="preserve">the PBAC was concerned that financial impact of </w:t>
            </w:r>
            <w:proofErr w:type="spellStart"/>
            <w:r w:rsidRPr="00D92262">
              <w:rPr>
                <w:rFonts w:ascii="Arial" w:hAnsi="Arial" w:cs="Arial"/>
                <w:iCs/>
                <w:sz w:val="20"/>
                <w:szCs w:val="20"/>
              </w:rPr>
              <w:t>obinutuzumab</w:t>
            </w:r>
            <w:proofErr w:type="spellEnd"/>
            <w:r w:rsidRPr="00D92262">
              <w:rPr>
                <w:rFonts w:ascii="Arial" w:hAnsi="Arial" w:cs="Arial"/>
                <w:iCs/>
                <w:sz w:val="20"/>
                <w:szCs w:val="20"/>
              </w:rPr>
              <w:t xml:space="preserve"> was uncertain, and the uptake rate would be higher than proposed.</w:t>
            </w:r>
          </w:p>
        </w:tc>
      </w:tr>
      <w:tr w:rsidR="00BF16B4" w:rsidRPr="00395B97" w:rsidTr="00913D8E">
        <w:trPr>
          <w:trHeight w:val="450"/>
        </w:trPr>
        <w:tc>
          <w:tcPr>
            <w:tcW w:w="2694" w:type="dxa"/>
            <w:vMerge/>
            <w:tcMar>
              <w:top w:w="28" w:type="dxa"/>
              <w:bottom w:w="28" w:type="dxa"/>
            </w:tcMar>
          </w:tcPr>
          <w:p w:rsidR="00BF16B4" w:rsidRPr="001C1D66" w:rsidRDefault="00BF16B4" w:rsidP="00272411">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465C1F" w:rsidRPr="00465C1F" w:rsidRDefault="00465C1F" w:rsidP="0031270A">
            <w:pPr>
              <w:pStyle w:val="ListParagraph"/>
              <w:ind w:left="0"/>
              <w:jc w:val="both"/>
              <w:rPr>
                <w:rFonts w:ascii="Arial" w:hAnsi="Arial" w:cs="Arial"/>
                <w:iCs/>
                <w:sz w:val="20"/>
                <w:szCs w:val="20"/>
              </w:rPr>
            </w:pPr>
            <w:r w:rsidRPr="00465C1F">
              <w:rPr>
                <w:rFonts w:ascii="Arial" w:hAnsi="Arial" w:cs="Arial"/>
                <w:iCs/>
                <w:sz w:val="20"/>
                <w:szCs w:val="20"/>
              </w:rPr>
              <w:t xml:space="preserve">There remains an unmet need for a novel treatment alternative to rituximab that can prolong progression free survival for all previously untreated patients with advanced stage follicular lymphoma. </w:t>
            </w:r>
          </w:p>
          <w:p w:rsidR="00465C1F" w:rsidRPr="00465C1F" w:rsidRDefault="00465C1F" w:rsidP="0031270A">
            <w:pPr>
              <w:pStyle w:val="ListParagraph"/>
              <w:ind w:left="0"/>
              <w:jc w:val="both"/>
              <w:rPr>
                <w:rFonts w:ascii="Arial" w:hAnsi="Arial" w:cs="Arial"/>
                <w:iCs/>
                <w:sz w:val="20"/>
                <w:szCs w:val="20"/>
              </w:rPr>
            </w:pPr>
          </w:p>
          <w:p w:rsidR="00BF16B4" w:rsidRPr="00D92262" w:rsidRDefault="00465C1F" w:rsidP="0031270A">
            <w:pPr>
              <w:pStyle w:val="ListParagraph"/>
              <w:ind w:left="0"/>
              <w:jc w:val="both"/>
              <w:rPr>
                <w:rFonts w:ascii="Arial" w:hAnsi="Arial" w:cs="Arial"/>
                <w:iCs/>
                <w:sz w:val="20"/>
                <w:szCs w:val="20"/>
              </w:rPr>
            </w:pPr>
            <w:r w:rsidRPr="00465C1F">
              <w:rPr>
                <w:rFonts w:ascii="Arial" w:hAnsi="Arial" w:cs="Arial"/>
                <w:iCs/>
                <w:sz w:val="20"/>
                <w:szCs w:val="20"/>
              </w:rPr>
              <w:t xml:space="preserve">Roche is committed to working with the Department of Health and the PBAC to enable access to </w:t>
            </w:r>
            <w:proofErr w:type="spellStart"/>
            <w:r w:rsidRPr="00465C1F">
              <w:rPr>
                <w:rFonts w:ascii="Arial" w:hAnsi="Arial" w:cs="Arial"/>
                <w:iCs/>
                <w:sz w:val="20"/>
                <w:szCs w:val="20"/>
              </w:rPr>
              <w:t>obinutuzumab</w:t>
            </w:r>
            <w:proofErr w:type="spellEnd"/>
            <w:r w:rsidRPr="00465C1F">
              <w:rPr>
                <w:rFonts w:ascii="Arial" w:hAnsi="Arial" w:cs="Arial"/>
                <w:iCs/>
                <w:sz w:val="20"/>
                <w:szCs w:val="20"/>
              </w:rPr>
              <w:t xml:space="preserve"> for people with advanced follicular lymphoma.</w:t>
            </w:r>
          </w:p>
        </w:tc>
      </w:tr>
      <w:tr w:rsidR="00BF16B4" w:rsidRPr="00395B97" w:rsidTr="00BF16B4">
        <w:trPr>
          <w:trHeight w:val="7230"/>
        </w:trPr>
        <w:tc>
          <w:tcPr>
            <w:tcW w:w="2694" w:type="dxa"/>
            <w:vMerge w:val="restart"/>
            <w:tcMar>
              <w:top w:w="28" w:type="dxa"/>
              <w:bottom w:w="28" w:type="dxa"/>
            </w:tcMar>
          </w:tcPr>
          <w:p w:rsidR="00BF16B4" w:rsidRDefault="00BF16B4" w:rsidP="002A6AB9">
            <w:pPr>
              <w:rPr>
                <w:rFonts w:ascii="Arial" w:hAnsi="Arial" w:cs="Arial"/>
                <w:color w:val="000000"/>
              </w:rPr>
            </w:pPr>
            <w:r w:rsidRPr="001C1D66">
              <w:rPr>
                <w:rFonts w:ascii="Arial" w:hAnsi="Arial" w:cs="Arial"/>
                <w:color w:val="000000"/>
              </w:rPr>
              <w:lastRenderedPageBreak/>
              <w:t xml:space="preserve">OCRELIZUMAB </w:t>
            </w:r>
            <w:r w:rsidRPr="001C1D66">
              <w:rPr>
                <w:rFonts w:ascii="Arial" w:hAnsi="Arial" w:cs="Arial"/>
                <w:color w:val="000000"/>
              </w:rPr>
              <w:br/>
            </w:r>
            <w:r w:rsidRPr="001C1D66">
              <w:rPr>
                <w:rFonts w:ascii="Arial" w:hAnsi="Arial" w:cs="Arial"/>
                <w:color w:val="000000"/>
              </w:rPr>
              <w:br/>
            </w:r>
            <w:r w:rsidRPr="00411DC6">
              <w:rPr>
                <w:rFonts w:ascii="Arial" w:hAnsi="Arial" w:cs="Arial"/>
                <w:color w:val="000000"/>
              </w:rPr>
              <w:t>Solution concentrate for I.V. infusion 300 mg in 10 mL</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Ocrevus</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 xml:space="preserve">Roche Products Pty Ltd </w:t>
            </w:r>
          </w:p>
          <w:p w:rsidR="00BF16B4" w:rsidRPr="00395B97" w:rsidRDefault="00BF16B4" w:rsidP="002A6AB9">
            <w:pPr>
              <w:rPr>
                <w:rFonts w:ascii="Arial" w:hAnsi="Arial" w:cs="Arial"/>
              </w:rPr>
            </w:pPr>
            <w:r w:rsidRPr="001C1D66">
              <w:rPr>
                <w:rFonts w:ascii="Arial" w:hAnsi="Arial" w:cs="Arial"/>
                <w:color w:val="000000"/>
              </w:rPr>
              <w:t>Change to recommended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Primary progressive multiple sclerosis (PPMS)</w:t>
            </w:r>
          </w:p>
        </w:tc>
        <w:tc>
          <w:tcPr>
            <w:tcW w:w="3261" w:type="dxa"/>
            <w:tcMar>
              <w:top w:w="28" w:type="dxa"/>
              <w:bottom w:w="28" w:type="dxa"/>
            </w:tcMar>
          </w:tcPr>
          <w:p w:rsidR="00BF16B4" w:rsidRPr="00395B97" w:rsidRDefault="00BF16B4" w:rsidP="002A6AB9">
            <w:pPr>
              <w:jc w:val="both"/>
              <w:rPr>
                <w:rFonts w:ascii="Arial" w:hAnsi="Arial" w:cs="Arial"/>
              </w:rPr>
            </w:pPr>
            <w:r>
              <w:rPr>
                <w:rFonts w:ascii="Arial" w:hAnsi="Arial" w:cs="Arial"/>
                <w:color w:val="000000"/>
              </w:rPr>
              <w:t>To request an Authority Required (STREAMLINED) listing for the treatment of adult patients with PPMS</w:t>
            </w:r>
          </w:p>
          <w:p w:rsidR="00BF16B4" w:rsidRPr="00395B97" w:rsidRDefault="00BF16B4" w:rsidP="00FF4F22">
            <w:pPr>
              <w:pStyle w:val="ListParagraph"/>
              <w:ind w:left="0"/>
              <w:jc w:val="center"/>
              <w:rPr>
                <w:rFonts w:ascii="Arial" w:hAnsi="Arial" w:cs="Arial"/>
              </w:rPr>
            </w:pPr>
          </w:p>
        </w:tc>
        <w:tc>
          <w:tcPr>
            <w:tcW w:w="6947" w:type="dxa"/>
          </w:tcPr>
          <w:p w:rsidR="00BF16B4" w:rsidRPr="005C1051" w:rsidRDefault="00BF16B4" w:rsidP="0031270A">
            <w:pPr>
              <w:pStyle w:val="ListParagraph"/>
              <w:ind w:left="0"/>
              <w:jc w:val="both"/>
              <w:rPr>
                <w:rFonts w:ascii="Arial" w:hAnsi="Arial" w:cs="Arial"/>
                <w:iCs/>
                <w:sz w:val="20"/>
                <w:szCs w:val="20"/>
              </w:rPr>
            </w:pPr>
            <w:r w:rsidRPr="005C1051">
              <w:rPr>
                <w:rFonts w:ascii="Arial" w:hAnsi="Arial" w:cs="Arial"/>
                <w:iCs/>
                <w:sz w:val="20"/>
                <w:szCs w:val="20"/>
              </w:rPr>
              <w:t xml:space="preserve">The PBAC did not recommend the listing of </w:t>
            </w:r>
            <w:proofErr w:type="spellStart"/>
            <w:r w:rsidRPr="005C1051">
              <w:rPr>
                <w:rFonts w:ascii="Arial" w:hAnsi="Arial" w:cs="Arial"/>
                <w:iCs/>
                <w:sz w:val="20"/>
                <w:szCs w:val="20"/>
              </w:rPr>
              <w:t>ocrelizumab</w:t>
            </w:r>
            <w:proofErr w:type="spellEnd"/>
            <w:r w:rsidRPr="005C1051">
              <w:rPr>
                <w:rFonts w:ascii="Arial" w:hAnsi="Arial" w:cs="Arial"/>
                <w:iCs/>
                <w:sz w:val="20"/>
                <w:szCs w:val="20"/>
              </w:rPr>
              <w:t xml:space="preserve"> for the treatment of patients with primary progressive multiple sclerosis (PPMS), on the basis of </w:t>
            </w:r>
            <w:r>
              <w:rPr>
                <w:rFonts w:ascii="Arial" w:hAnsi="Arial" w:cs="Arial"/>
                <w:iCs/>
                <w:sz w:val="20"/>
                <w:szCs w:val="20"/>
              </w:rPr>
              <w:t xml:space="preserve">a </w:t>
            </w:r>
            <w:r w:rsidRPr="005C1051">
              <w:rPr>
                <w:rFonts w:ascii="Arial" w:hAnsi="Arial" w:cs="Arial"/>
                <w:iCs/>
                <w:sz w:val="20"/>
                <w:szCs w:val="20"/>
              </w:rPr>
              <w:t xml:space="preserve">modest clinical benefit and the resulting high and uncertain incremental cost-effectiveness ratio (ICER). The PBAC was concerned about the applicability of trial results to the potential PBS population, and that the base case ICER per quality adjusted life year (QALY) gained presented by the submission may be underestimated as </w:t>
            </w:r>
            <w:proofErr w:type="spellStart"/>
            <w:r w:rsidRPr="005C1051">
              <w:rPr>
                <w:rFonts w:ascii="Arial" w:hAnsi="Arial" w:cs="Arial"/>
                <w:iCs/>
                <w:sz w:val="20"/>
                <w:szCs w:val="20"/>
              </w:rPr>
              <w:t>ocrelizumab</w:t>
            </w:r>
            <w:proofErr w:type="spellEnd"/>
            <w:r w:rsidRPr="005C1051">
              <w:rPr>
                <w:rFonts w:ascii="Arial" w:hAnsi="Arial" w:cs="Arial"/>
                <w:iCs/>
                <w:sz w:val="20"/>
                <w:szCs w:val="20"/>
              </w:rPr>
              <w:t xml:space="preserve"> is likely to be less effective in the PBS population than observed in the ORATORIO trial. The PBAC was also concerned about the uncertain utilisation estimates due to issues with defining the target PBS population, and the high and likely underestimated financial impact. </w:t>
            </w:r>
          </w:p>
          <w:p w:rsidR="00BF16B4" w:rsidRPr="005C1051" w:rsidRDefault="00BF16B4" w:rsidP="0031270A">
            <w:pPr>
              <w:pStyle w:val="ListParagraph"/>
              <w:ind w:left="0"/>
              <w:jc w:val="both"/>
              <w:rPr>
                <w:rFonts w:ascii="Arial" w:hAnsi="Arial" w:cs="Arial"/>
                <w:iCs/>
                <w:sz w:val="20"/>
                <w:szCs w:val="20"/>
              </w:rPr>
            </w:pPr>
            <w:r w:rsidRPr="005C1051">
              <w:rPr>
                <w:rFonts w:ascii="Arial" w:hAnsi="Arial" w:cs="Arial"/>
                <w:iCs/>
                <w:sz w:val="20"/>
                <w:szCs w:val="20"/>
              </w:rPr>
              <w:t xml:space="preserve">The PBAC accepted best supportive care (BSC) as the appropriate main comparator. </w:t>
            </w:r>
          </w:p>
          <w:p w:rsidR="00BF16B4" w:rsidRPr="005C1051" w:rsidRDefault="00BF16B4" w:rsidP="0031270A">
            <w:pPr>
              <w:pStyle w:val="ListParagraph"/>
              <w:ind w:left="0"/>
              <w:jc w:val="both"/>
              <w:rPr>
                <w:rFonts w:ascii="Arial" w:hAnsi="Arial" w:cs="Arial"/>
                <w:iCs/>
                <w:sz w:val="20"/>
                <w:szCs w:val="20"/>
              </w:rPr>
            </w:pPr>
            <w:r w:rsidRPr="005C1051">
              <w:rPr>
                <w:rFonts w:ascii="Arial" w:hAnsi="Arial" w:cs="Arial"/>
                <w:iCs/>
                <w:sz w:val="20"/>
                <w:szCs w:val="20"/>
              </w:rPr>
              <w:t xml:space="preserve">Although the PBAC noted the statistically significant results of </w:t>
            </w:r>
            <w:proofErr w:type="spellStart"/>
            <w:r w:rsidRPr="005C1051">
              <w:rPr>
                <w:rFonts w:ascii="Arial" w:hAnsi="Arial" w:cs="Arial"/>
                <w:iCs/>
                <w:sz w:val="20"/>
                <w:szCs w:val="20"/>
              </w:rPr>
              <w:t>ocrelizumab</w:t>
            </w:r>
            <w:proofErr w:type="spellEnd"/>
            <w:r w:rsidRPr="005C1051">
              <w:rPr>
                <w:rFonts w:ascii="Arial" w:hAnsi="Arial" w:cs="Arial"/>
                <w:iCs/>
                <w:sz w:val="20"/>
                <w:szCs w:val="20"/>
              </w:rPr>
              <w:t xml:space="preserve"> over placebo in the ORATORIO trial, the PBAC considered that the treatment effect was modest and that the clinical significance of the trial outcomes was uncertain. The PBAC accepted the claim of inferior comparative safety of </w:t>
            </w:r>
            <w:proofErr w:type="spellStart"/>
            <w:r w:rsidRPr="005C1051">
              <w:rPr>
                <w:rFonts w:ascii="Arial" w:hAnsi="Arial" w:cs="Arial"/>
                <w:iCs/>
                <w:sz w:val="20"/>
                <w:szCs w:val="20"/>
              </w:rPr>
              <w:t>ocrelizumab</w:t>
            </w:r>
            <w:proofErr w:type="spellEnd"/>
            <w:r w:rsidRPr="005C1051">
              <w:rPr>
                <w:rFonts w:ascii="Arial" w:hAnsi="Arial" w:cs="Arial"/>
                <w:iCs/>
                <w:sz w:val="20"/>
                <w:szCs w:val="20"/>
              </w:rPr>
              <w:t xml:space="preserve"> over BSC, however, did not accept the claim that </w:t>
            </w:r>
            <w:proofErr w:type="spellStart"/>
            <w:r w:rsidRPr="005C1051">
              <w:rPr>
                <w:rFonts w:ascii="Arial" w:hAnsi="Arial" w:cs="Arial"/>
                <w:iCs/>
                <w:sz w:val="20"/>
                <w:szCs w:val="20"/>
              </w:rPr>
              <w:t>ocrelizumab</w:t>
            </w:r>
            <w:proofErr w:type="spellEnd"/>
            <w:r w:rsidRPr="005C1051">
              <w:rPr>
                <w:rFonts w:ascii="Arial" w:hAnsi="Arial" w:cs="Arial"/>
                <w:iCs/>
                <w:sz w:val="20"/>
                <w:szCs w:val="20"/>
              </w:rPr>
              <w:t xml:space="preserve"> has an acceptable safety profile that is comparable with placebo. </w:t>
            </w:r>
          </w:p>
          <w:p w:rsidR="00BF16B4" w:rsidRPr="00395B97" w:rsidRDefault="00BF16B4" w:rsidP="0031270A">
            <w:pPr>
              <w:pStyle w:val="ListParagraph"/>
              <w:ind w:left="0"/>
              <w:jc w:val="both"/>
              <w:rPr>
                <w:rFonts w:ascii="Arial" w:hAnsi="Arial" w:cs="Arial"/>
                <w:iCs/>
                <w:sz w:val="20"/>
                <w:szCs w:val="20"/>
              </w:rPr>
            </w:pPr>
            <w:r w:rsidRPr="005C1051">
              <w:rPr>
                <w:rFonts w:ascii="Arial" w:hAnsi="Arial" w:cs="Arial"/>
                <w:iCs/>
                <w:sz w:val="20"/>
                <w:szCs w:val="20"/>
              </w:rPr>
              <w:t>The PBAC noted that the base case ICER (&gt;$200,000) was based on the secondary outcome from the ORATORIO extension period, rather than on the primary endpoint of the trial</w:t>
            </w:r>
            <w:r>
              <w:rPr>
                <w:rFonts w:ascii="Arial" w:hAnsi="Arial" w:cs="Arial"/>
                <w:iCs/>
                <w:sz w:val="20"/>
                <w:szCs w:val="20"/>
              </w:rPr>
              <w:t xml:space="preserve"> and that</w:t>
            </w:r>
            <w:r w:rsidRPr="005C1051">
              <w:rPr>
                <w:rFonts w:ascii="Arial" w:hAnsi="Arial" w:cs="Arial"/>
                <w:iCs/>
                <w:sz w:val="20"/>
                <w:szCs w:val="20"/>
              </w:rPr>
              <w:t xml:space="preserve"> </w:t>
            </w:r>
            <w:r>
              <w:rPr>
                <w:rFonts w:ascii="Arial" w:hAnsi="Arial" w:cs="Arial"/>
                <w:iCs/>
                <w:sz w:val="20"/>
                <w:szCs w:val="20"/>
              </w:rPr>
              <w:t>u</w:t>
            </w:r>
            <w:r w:rsidRPr="005C1051">
              <w:rPr>
                <w:rFonts w:ascii="Arial" w:hAnsi="Arial" w:cs="Arial"/>
                <w:iCs/>
                <w:sz w:val="20"/>
                <w:szCs w:val="20"/>
              </w:rPr>
              <w:t>sing the results of the primary endpoint further increased the ICER. The PBAC noted that even when the most optimistic point estimate was applied in the economic model, using the lower bound of the 95% confidence interval for the primary endpoint, the ICER gained was in the range of $105,000 - $200,000</w:t>
            </w:r>
            <w:r>
              <w:rPr>
                <w:rFonts w:ascii="Arial" w:hAnsi="Arial" w:cs="Arial"/>
                <w:iCs/>
                <w:sz w:val="20"/>
                <w:szCs w:val="20"/>
              </w:rPr>
              <w:t xml:space="preserve">, </w:t>
            </w:r>
            <w:r w:rsidRPr="005C1051">
              <w:rPr>
                <w:rFonts w:ascii="Arial" w:hAnsi="Arial" w:cs="Arial"/>
                <w:iCs/>
                <w:sz w:val="20"/>
                <w:szCs w:val="20"/>
              </w:rPr>
              <w:t xml:space="preserve">well above what is normally considered cost effective. The PBAC noted the consumer comments and the submission’s arguments for “unmeasured value” and considered that this did not justify the high ICER gained of </w:t>
            </w:r>
            <w:proofErr w:type="spellStart"/>
            <w:r w:rsidRPr="005C1051">
              <w:rPr>
                <w:rFonts w:ascii="Arial" w:hAnsi="Arial" w:cs="Arial"/>
                <w:iCs/>
                <w:sz w:val="20"/>
                <w:szCs w:val="20"/>
              </w:rPr>
              <w:t>ocrelizumab</w:t>
            </w:r>
            <w:proofErr w:type="spellEnd"/>
            <w:r w:rsidRPr="005C1051">
              <w:rPr>
                <w:rFonts w:ascii="Arial" w:hAnsi="Arial" w:cs="Arial"/>
                <w:iCs/>
                <w:sz w:val="20"/>
                <w:szCs w:val="20"/>
              </w:rPr>
              <w:t xml:space="preserve"> in PPMS.</w:t>
            </w:r>
          </w:p>
        </w:tc>
      </w:tr>
      <w:tr w:rsidR="00BF16B4" w:rsidRPr="00395B97" w:rsidTr="006D6385">
        <w:trPr>
          <w:trHeight w:val="465"/>
        </w:trPr>
        <w:tc>
          <w:tcPr>
            <w:tcW w:w="2694" w:type="dxa"/>
            <w:vMerge/>
            <w:tcMar>
              <w:top w:w="28" w:type="dxa"/>
              <w:bottom w:w="28" w:type="dxa"/>
            </w:tcMar>
          </w:tcPr>
          <w:p w:rsidR="00BF16B4" w:rsidRPr="001C1D66" w:rsidRDefault="00BF16B4" w:rsidP="002A6AB9">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pStyle w:val="ListParagraph"/>
              <w:ind w:left="0"/>
              <w:jc w:val="right"/>
              <w:rPr>
                <w:rFonts w:ascii="Arial" w:hAnsi="Arial" w:cs="Arial"/>
                <w:color w:val="000000"/>
              </w:rPr>
            </w:pPr>
            <w:r w:rsidRPr="00F13F46">
              <w:rPr>
                <w:rFonts w:ascii="Arial" w:hAnsi="Arial" w:cs="Arial"/>
                <w:snapToGrid w:val="0"/>
                <w:sz w:val="20"/>
                <w:szCs w:val="20"/>
                <w:lang w:eastAsia="en-US"/>
              </w:rPr>
              <w:t>Sponsor</w:t>
            </w:r>
            <w:r w:rsidRPr="00F13F46">
              <w:rPr>
                <w:rFonts w:ascii="Arial" w:hAnsi="Arial" w:cs="Arial"/>
                <w:color w:val="000000"/>
                <w:sz w:val="20"/>
                <w:szCs w:val="20"/>
              </w:rPr>
              <w:t xml:space="preserve"> Comment:</w:t>
            </w:r>
          </w:p>
        </w:tc>
        <w:tc>
          <w:tcPr>
            <w:tcW w:w="6947" w:type="dxa"/>
          </w:tcPr>
          <w:p w:rsidR="00BF16B4" w:rsidRPr="005C1051" w:rsidRDefault="006A0BB4" w:rsidP="0031270A">
            <w:pPr>
              <w:pStyle w:val="ListParagraph"/>
              <w:ind w:left="0"/>
              <w:jc w:val="both"/>
              <w:rPr>
                <w:rFonts w:ascii="Arial" w:hAnsi="Arial" w:cs="Arial"/>
                <w:iCs/>
                <w:sz w:val="20"/>
                <w:szCs w:val="20"/>
              </w:rPr>
            </w:pPr>
            <w:r w:rsidRPr="006A0BB4">
              <w:rPr>
                <w:rFonts w:ascii="Arial" w:hAnsi="Arial" w:cs="Arial"/>
                <w:iCs/>
                <w:sz w:val="20"/>
                <w:szCs w:val="20"/>
              </w:rPr>
              <w:t xml:space="preserve">Roche remains committed to working with the PBAC to enable access to </w:t>
            </w:r>
            <w:proofErr w:type="spellStart"/>
            <w:r w:rsidRPr="006A0BB4">
              <w:rPr>
                <w:rFonts w:ascii="Arial" w:hAnsi="Arial" w:cs="Arial"/>
                <w:iCs/>
                <w:sz w:val="20"/>
                <w:szCs w:val="20"/>
              </w:rPr>
              <w:t>ocrelizumab</w:t>
            </w:r>
            <w:proofErr w:type="spellEnd"/>
            <w:r w:rsidRPr="006A0BB4">
              <w:rPr>
                <w:rFonts w:ascii="Arial" w:hAnsi="Arial" w:cs="Arial"/>
                <w:iCs/>
                <w:sz w:val="20"/>
                <w:szCs w:val="20"/>
              </w:rPr>
              <w:t xml:space="preserve"> for people with primary progressive multiple sclerosis.</w:t>
            </w:r>
          </w:p>
        </w:tc>
      </w:tr>
      <w:tr w:rsidR="00BF16B4" w:rsidRPr="00395B97" w:rsidTr="00BF16B4">
        <w:trPr>
          <w:trHeight w:val="3570"/>
        </w:trPr>
        <w:tc>
          <w:tcPr>
            <w:tcW w:w="2694" w:type="dxa"/>
            <w:vMerge w:val="restart"/>
            <w:tcMar>
              <w:top w:w="28" w:type="dxa"/>
              <w:bottom w:w="28" w:type="dxa"/>
            </w:tcMar>
          </w:tcPr>
          <w:p w:rsidR="00BF16B4" w:rsidRDefault="00BF16B4" w:rsidP="002A6AB9">
            <w:pPr>
              <w:rPr>
                <w:rFonts w:ascii="Arial" w:hAnsi="Arial" w:cs="Arial"/>
              </w:rPr>
            </w:pPr>
            <w:r>
              <w:rPr>
                <w:rFonts w:ascii="Arial" w:hAnsi="Arial" w:cs="Arial"/>
                <w:color w:val="000000"/>
              </w:rPr>
              <w:lastRenderedPageBreak/>
              <w:t>OSIMER</w:t>
            </w:r>
            <w:r w:rsidRPr="001C1D66">
              <w:rPr>
                <w:rFonts w:ascii="Arial" w:hAnsi="Arial" w:cs="Arial"/>
                <w:color w:val="000000"/>
              </w:rPr>
              <w:t>TINIB</w:t>
            </w:r>
            <w:r w:rsidRPr="001C1D66">
              <w:rPr>
                <w:rFonts w:ascii="Arial" w:hAnsi="Arial" w:cs="Arial"/>
                <w:color w:val="000000"/>
              </w:rPr>
              <w:br/>
            </w:r>
            <w:r w:rsidRPr="001C1D66">
              <w:rPr>
                <w:rFonts w:ascii="Arial" w:hAnsi="Arial" w:cs="Arial"/>
                <w:color w:val="000000"/>
              </w:rPr>
              <w:br/>
              <w:t xml:space="preserve">Tablet 40 mg </w:t>
            </w:r>
            <w:r w:rsidRPr="001C1D66">
              <w:rPr>
                <w:rFonts w:ascii="Arial" w:hAnsi="Arial" w:cs="Arial"/>
                <w:color w:val="000000"/>
              </w:rPr>
              <w:br/>
              <w:t>Tablet 80 mg</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Tagrisso</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AstraZeneca Pty Ltd</w:t>
            </w:r>
            <w:r w:rsidRPr="00395B97">
              <w:rPr>
                <w:rFonts w:ascii="Arial" w:hAnsi="Arial" w:cs="Arial"/>
              </w:rPr>
              <w:t xml:space="preserve"> </w:t>
            </w:r>
          </w:p>
          <w:p w:rsidR="00BF16B4" w:rsidRPr="00395B97" w:rsidRDefault="00BF16B4" w:rsidP="002A6AB9">
            <w:pPr>
              <w:rPr>
                <w:rFonts w:ascii="Arial" w:hAnsi="Arial" w:cs="Arial"/>
              </w:rPr>
            </w:pPr>
            <w:r w:rsidRPr="001C1D66">
              <w:rPr>
                <w:rFonts w:ascii="Arial" w:hAnsi="Arial" w:cs="Arial"/>
                <w:color w:val="000000"/>
              </w:rPr>
              <w:t>New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Locally advanced (Stage III) or metastatic (Stage IV) epidermal growth factor receptor (EGFR) T790M mutation positive non-small cell lung cancer (NSCLC)</w:t>
            </w:r>
          </w:p>
        </w:tc>
        <w:tc>
          <w:tcPr>
            <w:tcW w:w="3261" w:type="dxa"/>
            <w:tcMar>
              <w:top w:w="28" w:type="dxa"/>
              <w:bottom w:w="28" w:type="dxa"/>
            </w:tcMar>
          </w:tcPr>
          <w:p w:rsidR="00BF16B4" w:rsidRDefault="00BF16B4" w:rsidP="00FC06CC">
            <w:pPr>
              <w:rPr>
                <w:rFonts w:ascii="Arial" w:hAnsi="Arial" w:cs="Arial"/>
                <w:color w:val="000000"/>
              </w:rPr>
            </w:pPr>
            <w:r>
              <w:rPr>
                <w:rFonts w:ascii="Arial" w:hAnsi="Arial" w:cs="Arial"/>
                <w:color w:val="000000"/>
              </w:rPr>
              <w:t xml:space="preserve">To request an Authority Required (STREAMLINED) listing for the treatment of patients with locally advanced or metastatic </w:t>
            </w:r>
            <w:r w:rsidRPr="00A54774">
              <w:rPr>
                <w:rFonts w:ascii="Arial" w:hAnsi="Arial" w:cs="Arial"/>
                <w:color w:val="000000"/>
              </w:rPr>
              <w:t xml:space="preserve">EGFR </w:t>
            </w:r>
            <w:r w:rsidRPr="00A54774">
              <w:rPr>
                <w:rFonts w:ascii="Arial" w:hAnsi="Arial" w:cs="Arial"/>
                <w:iCs/>
                <w:color w:val="000000"/>
              </w:rPr>
              <w:t>T790M</w:t>
            </w:r>
            <w:r>
              <w:rPr>
                <w:rFonts w:ascii="Arial" w:hAnsi="Arial" w:cs="Arial"/>
                <w:color w:val="000000"/>
              </w:rPr>
              <w:t xml:space="preserve"> mutation positive NSCLC who have progressed on or after prior treatment with an EGFR tyrosine kinase inhibitor (TKI).</w:t>
            </w:r>
          </w:p>
          <w:p w:rsidR="00BF16B4" w:rsidRPr="00395B97" w:rsidRDefault="00BF16B4" w:rsidP="002A6AB9">
            <w:pPr>
              <w:jc w:val="both"/>
              <w:rPr>
                <w:rFonts w:ascii="Arial" w:hAnsi="Arial" w:cs="Arial"/>
              </w:rPr>
            </w:pPr>
          </w:p>
        </w:tc>
        <w:tc>
          <w:tcPr>
            <w:tcW w:w="6947" w:type="dxa"/>
          </w:tcPr>
          <w:p w:rsidR="00BF16B4" w:rsidRPr="00395B97" w:rsidRDefault="00BF16B4" w:rsidP="0031270A">
            <w:pPr>
              <w:pStyle w:val="ListParagraph"/>
              <w:ind w:left="0"/>
              <w:jc w:val="both"/>
              <w:rPr>
                <w:rFonts w:ascii="Arial" w:hAnsi="Arial" w:cs="Arial"/>
                <w:iCs/>
                <w:sz w:val="20"/>
                <w:szCs w:val="20"/>
              </w:rPr>
            </w:pPr>
            <w:r w:rsidRPr="00C31A2A">
              <w:rPr>
                <w:rFonts w:ascii="Arial" w:hAnsi="Arial" w:cs="Arial"/>
                <w:iCs/>
                <w:sz w:val="20"/>
                <w:szCs w:val="20"/>
              </w:rPr>
              <w:t xml:space="preserve">The PBAC </w:t>
            </w:r>
            <w:r>
              <w:rPr>
                <w:rFonts w:ascii="Arial" w:hAnsi="Arial" w:cs="Arial"/>
                <w:iCs/>
                <w:sz w:val="20"/>
                <w:szCs w:val="20"/>
              </w:rPr>
              <w:t>did not</w:t>
            </w:r>
            <w:r w:rsidRPr="00C31A2A">
              <w:rPr>
                <w:rFonts w:ascii="Arial" w:hAnsi="Arial" w:cs="Arial"/>
                <w:iCs/>
                <w:sz w:val="20"/>
                <w:szCs w:val="20"/>
              </w:rPr>
              <w:t xml:space="preserve"> recommend </w:t>
            </w:r>
            <w:proofErr w:type="spellStart"/>
            <w:r w:rsidRPr="00C31A2A">
              <w:rPr>
                <w:rFonts w:ascii="Arial" w:hAnsi="Arial" w:cs="Arial"/>
                <w:iCs/>
                <w:sz w:val="20"/>
                <w:szCs w:val="20"/>
              </w:rPr>
              <w:t>osimertinib</w:t>
            </w:r>
            <w:proofErr w:type="spellEnd"/>
            <w:r w:rsidRPr="00C31A2A">
              <w:rPr>
                <w:rFonts w:ascii="Arial" w:hAnsi="Arial" w:cs="Arial"/>
                <w:iCs/>
                <w:sz w:val="20"/>
                <w:szCs w:val="20"/>
              </w:rPr>
              <w:t xml:space="preserve"> for the treatment of EGFR T790M mutation positive non-small cell lung cancer. Although accepting that </w:t>
            </w:r>
            <w:proofErr w:type="spellStart"/>
            <w:r w:rsidRPr="00C31A2A">
              <w:rPr>
                <w:rFonts w:ascii="Arial" w:hAnsi="Arial" w:cs="Arial"/>
                <w:iCs/>
                <w:sz w:val="20"/>
                <w:szCs w:val="20"/>
              </w:rPr>
              <w:t>osimertinib</w:t>
            </w:r>
            <w:proofErr w:type="spellEnd"/>
            <w:r w:rsidRPr="00C31A2A">
              <w:rPr>
                <w:rFonts w:ascii="Arial" w:hAnsi="Arial" w:cs="Arial"/>
                <w:iCs/>
                <w:sz w:val="20"/>
                <w:szCs w:val="20"/>
              </w:rPr>
              <w:t xml:space="preserve"> is more effective than standard chemotherapy, the PBAC advised that the magnitude of incremental overall survival benefit was difficult to determine from the evidence presented in the submission, and this was an important driver of the economic evaluation. Additionally, the PBAC had concerns with other aspects of the economic model, which resulted in a high and overly optimistic estimated incremental cost</w:t>
            </w:r>
            <w:r>
              <w:rPr>
                <w:rFonts w:ascii="Arial" w:hAnsi="Arial" w:cs="Arial"/>
                <w:iCs/>
                <w:sz w:val="20"/>
                <w:szCs w:val="20"/>
              </w:rPr>
              <w:t>-</w:t>
            </w:r>
            <w:r w:rsidRPr="00C31A2A">
              <w:rPr>
                <w:rFonts w:ascii="Arial" w:hAnsi="Arial" w:cs="Arial"/>
                <w:iCs/>
                <w:sz w:val="20"/>
                <w:szCs w:val="20"/>
              </w:rPr>
              <w:t>effectiveness ratio at the price requested by the submission. The PBAC also noted that the co</w:t>
            </w:r>
            <w:r>
              <w:rPr>
                <w:rFonts w:ascii="Arial" w:hAnsi="Arial" w:cs="Arial"/>
                <w:iCs/>
                <w:sz w:val="20"/>
                <w:szCs w:val="20"/>
              </w:rPr>
              <w:t>-</w:t>
            </w:r>
            <w:r w:rsidRPr="00C31A2A">
              <w:rPr>
                <w:rFonts w:ascii="Arial" w:hAnsi="Arial" w:cs="Arial"/>
                <w:iCs/>
                <w:sz w:val="20"/>
                <w:szCs w:val="20"/>
              </w:rPr>
              <w:t xml:space="preserve">dependent test for EGFR T790M mutations would be considered by the Medical Services Advisory Committee (MSAC) in late November 2017, and considered that MSAC’s advice would be informative on whether plasma or </w:t>
            </w:r>
            <w:proofErr w:type="spellStart"/>
            <w:r w:rsidRPr="00C31A2A">
              <w:rPr>
                <w:rFonts w:ascii="Arial" w:hAnsi="Arial" w:cs="Arial"/>
                <w:iCs/>
                <w:sz w:val="20"/>
                <w:szCs w:val="20"/>
              </w:rPr>
              <w:t>rebiopsy</w:t>
            </w:r>
            <w:proofErr w:type="spellEnd"/>
            <w:r w:rsidRPr="00C31A2A">
              <w:rPr>
                <w:rFonts w:ascii="Arial" w:hAnsi="Arial" w:cs="Arial"/>
                <w:iCs/>
                <w:sz w:val="20"/>
                <w:szCs w:val="20"/>
              </w:rPr>
              <w:t xml:space="preserve"> of tumour tissue would be the most appropriate source of biological material to inform EGFR T790M mutation status in this context.</w:t>
            </w:r>
          </w:p>
        </w:tc>
      </w:tr>
      <w:tr w:rsidR="00BF16B4" w:rsidRPr="00395B97" w:rsidTr="00675471">
        <w:trPr>
          <w:trHeight w:val="450"/>
        </w:trPr>
        <w:tc>
          <w:tcPr>
            <w:tcW w:w="2694" w:type="dxa"/>
            <w:vMerge/>
            <w:tcMar>
              <w:top w:w="28" w:type="dxa"/>
              <w:bottom w:w="28" w:type="dxa"/>
            </w:tcMar>
          </w:tcPr>
          <w:p w:rsidR="00BF16B4" w:rsidRDefault="00BF16B4" w:rsidP="002A6AB9">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BF16B4" w:rsidRPr="00C31A2A" w:rsidRDefault="00C6288E" w:rsidP="0031270A">
            <w:pPr>
              <w:pStyle w:val="ListParagraph"/>
              <w:ind w:left="0"/>
              <w:jc w:val="both"/>
              <w:rPr>
                <w:rFonts w:ascii="Arial" w:hAnsi="Arial" w:cs="Arial"/>
                <w:iCs/>
                <w:sz w:val="20"/>
                <w:szCs w:val="20"/>
              </w:rPr>
            </w:pPr>
            <w:r>
              <w:rPr>
                <w:rFonts w:ascii="Arial" w:hAnsi="Arial" w:cs="Arial"/>
                <w:sz w:val="20"/>
                <w:szCs w:val="20"/>
              </w:rPr>
              <w:t>The Sponsor had no comment.</w:t>
            </w:r>
          </w:p>
        </w:tc>
      </w:tr>
      <w:tr w:rsidR="00BF16B4" w:rsidRPr="00395B97" w:rsidTr="0031270A">
        <w:trPr>
          <w:trHeight w:val="2066"/>
        </w:trPr>
        <w:tc>
          <w:tcPr>
            <w:tcW w:w="2694" w:type="dxa"/>
            <w:vMerge w:val="restart"/>
            <w:tcMar>
              <w:top w:w="28" w:type="dxa"/>
              <w:bottom w:w="28" w:type="dxa"/>
            </w:tcMar>
          </w:tcPr>
          <w:p w:rsidR="00BF16B4" w:rsidRPr="00411DC6" w:rsidRDefault="00BF16B4" w:rsidP="00272411">
            <w:pPr>
              <w:rPr>
                <w:rFonts w:ascii="Arial" w:hAnsi="Arial" w:cs="Arial"/>
                <w:color w:val="000000"/>
              </w:rPr>
            </w:pPr>
            <w:r w:rsidRPr="001C1D66">
              <w:rPr>
                <w:rFonts w:ascii="Arial" w:hAnsi="Arial" w:cs="Arial"/>
                <w:color w:val="000000"/>
              </w:rPr>
              <w:t xml:space="preserve">PEMBROLIZUMAB </w:t>
            </w:r>
            <w:r w:rsidRPr="001C1D66">
              <w:rPr>
                <w:rFonts w:ascii="Arial" w:hAnsi="Arial" w:cs="Arial"/>
                <w:color w:val="000000"/>
              </w:rPr>
              <w:br/>
            </w:r>
            <w:r w:rsidRPr="001C1D66">
              <w:rPr>
                <w:rFonts w:ascii="Arial" w:hAnsi="Arial" w:cs="Arial"/>
                <w:color w:val="000000"/>
              </w:rPr>
              <w:br/>
            </w:r>
            <w:r w:rsidRPr="00411DC6">
              <w:rPr>
                <w:rFonts w:ascii="Arial" w:hAnsi="Arial" w:cs="Arial"/>
                <w:color w:val="000000"/>
              </w:rPr>
              <w:t xml:space="preserve">Powder for injection 50 mg </w:t>
            </w:r>
          </w:p>
          <w:p w:rsidR="00BF16B4" w:rsidRDefault="00BF16B4" w:rsidP="00272411">
            <w:pPr>
              <w:rPr>
                <w:rFonts w:ascii="Arial" w:hAnsi="Arial" w:cs="Arial"/>
              </w:rPr>
            </w:pPr>
            <w:r w:rsidRPr="00411DC6">
              <w:rPr>
                <w:rFonts w:ascii="Arial" w:hAnsi="Arial" w:cs="Arial"/>
                <w:color w:val="000000"/>
              </w:rPr>
              <w:t>Solution concentrate for I.V. infusion 100 mg in 4 mL</w:t>
            </w:r>
            <w:r w:rsidRPr="001C1D66">
              <w:rPr>
                <w:rFonts w:ascii="Arial" w:hAnsi="Arial" w:cs="Arial"/>
                <w:color w:val="000000"/>
              </w:rPr>
              <w:br/>
            </w:r>
            <w:r w:rsidRPr="001C1D66">
              <w:rPr>
                <w:rFonts w:ascii="Arial" w:hAnsi="Arial" w:cs="Arial"/>
                <w:color w:val="000000"/>
              </w:rPr>
              <w:br/>
            </w:r>
            <w:proofErr w:type="spellStart"/>
            <w:r w:rsidRPr="001C1D66">
              <w:rPr>
                <w:rFonts w:ascii="Arial" w:hAnsi="Arial" w:cs="Arial"/>
                <w:color w:val="000000"/>
              </w:rPr>
              <w:t>Keytruda</w:t>
            </w:r>
            <w:proofErr w:type="spellEnd"/>
            <w:r w:rsidRPr="001C1D66">
              <w:rPr>
                <w:rFonts w:ascii="Arial" w:hAnsi="Arial" w:cs="Arial"/>
                <w:color w:val="000000"/>
              </w:rPr>
              <w:t>®</w:t>
            </w:r>
            <w:r w:rsidRPr="001C1D66">
              <w:rPr>
                <w:rFonts w:ascii="Arial" w:hAnsi="Arial" w:cs="Arial"/>
                <w:color w:val="000000"/>
              </w:rPr>
              <w:br/>
            </w:r>
            <w:r w:rsidRPr="001C1D66">
              <w:rPr>
                <w:rFonts w:ascii="Arial" w:hAnsi="Arial" w:cs="Arial"/>
                <w:color w:val="000000"/>
              </w:rPr>
              <w:br/>
              <w:t>Merck Sharp &amp; Dohme (Australia) Pty Ltd</w:t>
            </w:r>
            <w:r w:rsidRPr="00395B97">
              <w:rPr>
                <w:rFonts w:ascii="Arial" w:hAnsi="Arial" w:cs="Arial"/>
              </w:rPr>
              <w:t xml:space="preserve"> </w:t>
            </w:r>
          </w:p>
          <w:p w:rsidR="00BF16B4" w:rsidRPr="00395B97" w:rsidRDefault="00BF16B4" w:rsidP="00272411">
            <w:pPr>
              <w:rPr>
                <w:rFonts w:ascii="Arial" w:hAnsi="Arial" w:cs="Arial"/>
              </w:rPr>
            </w:pPr>
            <w:r w:rsidRPr="001C1D66">
              <w:rPr>
                <w:rFonts w:ascii="Arial" w:hAnsi="Arial" w:cs="Arial"/>
                <w:color w:val="000000"/>
              </w:rPr>
              <w:t>Change to listing</w:t>
            </w:r>
            <w:r w:rsidRPr="001C1D66">
              <w:rPr>
                <w:rFonts w:ascii="Arial" w:hAnsi="Arial" w:cs="Arial"/>
                <w:color w:val="000000"/>
              </w:rPr>
              <w:br/>
            </w:r>
            <w:r w:rsidRPr="001C1D66">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Locally advanced or m</w:t>
            </w:r>
            <w:r>
              <w:rPr>
                <w:rFonts w:ascii="Arial" w:hAnsi="Arial" w:cs="Arial"/>
                <w:color w:val="000000"/>
              </w:rPr>
              <w:t>etastatic urothelial cancer (LA</w:t>
            </w:r>
            <w:r w:rsidRPr="001C1D66">
              <w:rPr>
                <w:rFonts w:ascii="Arial" w:hAnsi="Arial" w:cs="Arial"/>
                <w:color w:val="000000"/>
              </w:rPr>
              <w:t xml:space="preserve"> or </w:t>
            </w:r>
            <w:proofErr w:type="spellStart"/>
            <w:r w:rsidRPr="001C1D66">
              <w:rPr>
                <w:rFonts w:ascii="Arial" w:hAnsi="Arial" w:cs="Arial"/>
                <w:color w:val="000000"/>
              </w:rPr>
              <w:t>mUC</w:t>
            </w:r>
            <w:proofErr w:type="spellEnd"/>
            <w:r w:rsidRPr="001C1D66">
              <w:rPr>
                <w:rFonts w:ascii="Arial" w:hAnsi="Arial" w:cs="Arial"/>
                <w:color w:val="000000"/>
              </w:rPr>
              <w:t>)</w:t>
            </w:r>
          </w:p>
        </w:tc>
        <w:tc>
          <w:tcPr>
            <w:tcW w:w="3261" w:type="dxa"/>
            <w:tcMar>
              <w:top w:w="28" w:type="dxa"/>
              <w:bottom w:w="28" w:type="dxa"/>
            </w:tcMar>
          </w:tcPr>
          <w:p w:rsidR="00BF16B4" w:rsidRDefault="00BF16B4" w:rsidP="00272411">
            <w:pPr>
              <w:rPr>
                <w:rFonts w:ascii="Arial" w:hAnsi="Arial" w:cs="Arial"/>
                <w:color w:val="000000"/>
              </w:rPr>
            </w:pPr>
            <w:r>
              <w:rPr>
                <w:rFonts w:ascii="Arial" w:hAnsi="Arial" w:cs="Arial"/>
                <w:color w:val="000000"/>
              </w:rPr>
              <w:t xml:space="preserve">To request a Section 100 (Efficient Funding of Chemotherapy) Authority Required (STREAMLINED) listing for the treatment of LA or </w:t>
            </w:r>
            <w:proofErr w:type="spellStart"/>
            <w:r>
              <w:rPr>
                <w:rFonts w:ascii="Arial" w:hAnsi="Arial" w:cs="Arial"/>
                <w:color w:val="000000"/>
              </w:rPr>
              <w:t>mUC</w:t>
            </w:r>
            <w:proofErr w:type="spellEnd"/>
            <w:r>
              <w:rPr>
                <w:rFonts w:ascii="Arial" w:hAnsi="Arial" w:cs="Arial"/>
                <w:color w:val="000000"/>
              </w:rPr>
              <w:t xml:space="preserve"> after the failure of a prior platinum-containing regimen.</w:t>
            </w:r>
          </w:p>
          <w:p w:rsidR="00BF16B4" w:rsidRPr="00395B97" w:rsidRDefault="00BF16B4" w:rsidP="002A6AB9">
            <w:pPr>
              <w:jc w:val="both"/>
              <w:rPr>
                <w:rFonts w:ascii="Arial" w:hAnsi="Arial" w:cs="Arial"/>
              </w:rPr>
            </w:pPr>
          </w:p>
        </w:tc>
        <w:tc>
          <w:tcPr>
            <w:tcW w:w="6947" w:type="dxa"/>
          </w:tcPr>
          <w:p w:rsidR="00BF16B4" w:rsidRPr="00395B97" w:rsidRDefault="00BF16B4" w:rsidP="0031270A">
            <w:pPr>
              <w:pStyle w:val="ListParagraph"/>
              <w:ind w:left="0"/>
              <w:jc w:val="both"/>
              <w:rPr>
                <w:rFonts w:ascii="Arial" w:hAnsi="Arial" w:cs="Arial"/>
                <w:iCs/>
                <w:sz w:val="20"/>
                <w:szCs w:val="20"/>
              </w:rPr>
            </w:pPr>
            <w:r w:rsidRPr="003B3A80">
              <w:rPr>
                <w:rFonts w:ascii="Arial" w:hAnsi="Arial" w:cs="Arial"/>
                <w:iCs/>
                <w:sz w:val="20"/>
                <w:szCs w:val="20"/>
              </w:rPr>
              <w:t xml:space="preserve">The PBAC </w:t>
            </w:r>
            <w:r>
              <w:rPr>
                <w:rFonts w:ascii="Arial" w:hAnsi="Arial" w:cs="Arial"/>
                <w:iCs/>
                <w:sz w:val="20"/>
                <w:szCs w:val="20"/>
              </w:rPr>
              <w:t>did not</w:t>
            </w:r>
            <w:r w:rsidRPr="003B3A80">
              <w:rPr>
                <w:rFonts w:ascii="Arial" w:hAnsi="Arial" w:cs="Arial"/>
                <w:iCs/>
                <w:sz w:val="20"/>
                <w:szCs w:val="20"/>
              </w:rPr>
              <w:t xml:space="preserve"> recommend </w:t>
            </w:r>
            <w:proofErr w:type="spellStart"/>
            <w:r w:rsidRPr="003B3A80">
              <w:rPr>
                <w:rFonts w:ascii="Arial" w:hAnsi="Arial" w:cs="Arial"/>
                <w:iCs/>
                <w:sz w:val="20"/>
                <w:szCs w:val="20"/>
              </w:rPr>
              <w:t>pembrolizumab</w:t>
            </w:r>
            <w:proofErr w:type="spellEnd"/>
            <w:r w:rsidRPr="003B3A80">
              <w:rPr>
                <w:rFonts w:ascii="Arial" w:hAnsi="Arial" w:cs="Arial"/>
                <w:iCs/>
                <w:sz w:val="20"/>
                <w:szCs w:val="20"/>
              </w:rPr>
              <w:t xml:space="preserve"> for the treatment of patients with locally advanced (LA) or metastatic urothelial cancer (</w:t>
            </w:r>
            <w:proofErr w:type="spellStart"/>
            <w:r w:rsidRPr="003B3A80">
              <w:rPr>
                <w:rFonts w:ascii="Arial" w:hAnsi="Arial" w:cs="Arial"/>
                <w:iCs/>
                <w:sz w:val="20"/>
                <w:szCs w:val="20"/>
              </w:rPr>
              <w:t>mUC</w:t>
            </w:r>
            <w:proofErr w:type="spellEnd"/>
            <w:r w:rsidRPr="003B3A80">
              <w:rPr>
                <w:rFonts w:ascii="Arial" w:hAnsi="Arial" w:cs="Arial"/>
                <w:iCs/>
                <w:sz w:val="20"/>
                <w:szCs w:val="20"/>
              </w:rPr>
              <w:t>) after failure of a platinum containing regimen on the basis that the incremental cost-effectiveness ratio compared to standard of care (SOC) was highly uncertain and likely an underestimate, and the financial implications were considerable and uncertain. However, the PBAC acknowledged the high clinical need and the evidence of positive overall survival benefit and reduced toxicity in this population.</w:t>
            </w:r>
          </w:p>
        </w:tc>
      </w:tr>
      <w:tr w:rsidR="00BF16B4" w:rsidRPr="00395B97" w:rsidTr="00F25D2F">
        <w:trPr>
          <w:trHeight w:val="750"/>
        </w:trPr>
        <w:tc>
          <w:tcPr>
            <w:tcW w:w="2694" w:type="dxa"/>
            <w:vMerge/>
            <w:tcMar>
              <w:top w:w="28" w:type="dxa"/>
              <w:bottom w:w="28" w:type="dxa"/>
            </w:tcMar>
          </w:tcPr>
          <w:p w:rsidR="00BF16B4" w:rsidRPr="001C1D66" w:rsidRDefault="00BF16B4" w:rsidP="00272411">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BF16B4" w:rsidRPr="003B3A80" w:rsidRDefault="00F011B3" w:rsidP="0031270A">
            <w:pPr>
              <w:pStyle w:val="ListParagraph"/>
              <w:ind w:left="0"/>
              <w:jc w:val="both"/>
              <w:rPr>
                <w:rFonts w:ascii="Arial" w:hAnsi="Arial" w:cs="Arial"/>
                <w:iCs/>
                <w:sz w:val="20"/>
                <w:szCs w:val="20"/>
              </w:rPr>
            </w:pPr>
            <w:r w:rsidRPr="00F011B3">
              <w:rPr>
                <w:rFonts w:ascii="Arial" w:hAnsi="Arial" w:cs="Arial"/>
                <w:iCs/>
                <w:sz w:val="20"/>
                <w:szCs w:val="20"/>
              </w:rPr>
              <w:t xml:space="preserve">MSD is pleased that the PBAC is supportive of the clinical benefit that </w:t>
            </w:r>
            <w:proofErr w:type="spellStart"/>
            <w:r w:rsidRPr="00F011B3">
              <w:rPr>
                <w:rFonts w:ascii="Arial" w:hAnsi="Arial" w:cs="Arial"/>
                <w:iCs/>
                <w:sz w:val="20"/>
                <w:szCs w:val="20"/>
              </w:rPr>
              <w:t>pembrolizumab</w:t>
            </w:r>
            <w:proofErr w:type="spellEnd"/>
            <w:r w:rsidRPr="00F011B3">
              <w:rPr>
                <w:rFonts w:ascii="Arial" w:hAnsi="Arial" w:cs="Arial"/>
                <w:iCs/>
                <w:sz w:val="20"/>
                <w:szCs w:val="20"/>
              </w:rPr>
              <w:t xml:space="preserve"> offers over current standard of care for patients with second line locally advanced or metastatic urothelial cancer and that there is an unmet clinical need for new therapies.</w:t>
            </w:r>
            <w:r>
              <w:rPr>
                <w:i/>
                <w:iCs/>
              </w:rPr>
              <w:t xml:space="preserve"> </w:t>
            </w:r>
            <w:r w:rsidRPr="00F011B3">
              <w:rPr>
                <w:rFonts w:ascii="Arial" w:hAnsi="Arial" w:cs="Arial"/>
                <w:iCs/>
                <w:sz w:val="20"/>
                <w:szCs w:val="20"/>
              </w:rPr>
              <w:t xml:space="preserve">The company is committed to working with the government to make </w:t>
            </w:r>
            <w:proofErr w:type="spellStart"/>
            <w:r w:rsidRPr="00F011B3">
              <w:rPr>
                <w:rFonts w:ascii="Arial" w:hAnsi="Arial" w:cs="Arial"/>
                <w:iCs/>
                <w:sz w:val="20"/>
                <w:szCs w:val="20"/>
              </w:rPr>
              <w:t>pembrolizumab</w:t>
            </w:r>
            <w:proofErr w:type="spellEnd"/>
            <w:r w:rsidRPr="00F011B3">
              <w:rPr>
                <w:rFonts w:ascii="Arial" w:hAnsi="Arial" w:cs="Arial"/>
                <w:iCs/>
                <w:sz w:val="20"/>
                <w:szCs w:val="20"/>
              </w:rPr>
              <w:t xml:space="preserve"> available to these patients as soon as possible.</w:t>
            </w:r>
          </w:p>
        </w:tc>
      </w:tr>
      <w:tr w:rsidR="00BF16B4" w:rsidRPr="00395B97" w:rsidTr="00CB0A0C">
        <w:trPr>
          <w:trHeight w:val="3664"/>
        </w:trPr>
        <w:tc>
          <w:tcPr>
            <w:tcW w:w="2694" w:type="dxa"/>
            <w:vMerge w:val="restart"/>
            <w:tcMar>
              <w:top w:w="28" w:type="dxa"/>
              <w:bottom w:w="28" w:type="dxa"/>
            </w:tcMar>
          </w:tcPr>
          <w:p w:rsidR="00BF16B4" w:rsidRDefault="00BF16B4" w:rsidP="002A6AB9">
            <w:pPr>
              <w:rPr>
                <w:rFonts w:ascii="Arial" w:hAnsi="Arial" w:cs="Arial"/>
              </w:rPr>
            </w:pPr>
            <w:r w:rsidRPr="009572F2">
              <w:rPr>
                <w:rFonts w:ascii="Arial" w:hAnsi="Arial" w:cs="Arial"/>
                <w:color w:val="000000"/>
              </w:rPr>
              <w:lastRenderedPageBreak/>
              <w:t xml:space="preserve">SODIUM PHENYLBUTYRATE </w:t>
            </w:r>
            <w:r w:rsidRPr="009572F2">
              <w:rPr>
                <w:rFonts w:ascii="Arial" w:hAnsi="Arial" w:cs="Arial"/>
                <w:color w:val="000000"/>
              </w:rPr>
              <w:br/>
            </w:r>
            <w:r w:rsidRPr="009572F2">
              <w:rPr>
                <w:rFonts w:ascii="Arial" w:hAnsi="Arial" w:cs="Arial"/>
                <w:color w:val="000000"/>
              </w:rPr>
              <w:br/>
              <w:t>Granules for oral suspension 483 mg (as sodium) per g, 174 g</w:t>
            </w:r>
            <w:r w:rsidRPr="009572F2">
              <w:rPr>
                <w:rFonts w:ascii="Arial" w:hAnsi="Arial" w:cs="Arial"/>
                <w:color w:val="000000"/>
              </w:rPr>
              <w:br/>
            </w:r>
            <w:r w:rsidRPr="009572F2">
              <w:rPr>
                <w:rFonts w:ascii="Arial" w:hAnsi="Arial" w:cs="Arial"/>
                <w:color w:val="000000"/>
              </w:rPr>
              <w:br/>
            </w:r>
            <w:proofErr w:type="spellStart"/>
            <w:r w:rsidRPr="009572F2">
              <w:rPr>
                <w:rFonts w:ascii="Arial" w:hAnsi="Arial" w:cs="Arial"/>
                <w:color w:val="000000"/>
              </w:rPr>
              <w:t>Pheburane</w:t>
            </w:r>
            <w:proofErr w:type="spellEnd"/>
            <w:r w:rsidRPr="009572F2">
              <w:rPr>
                <w:rFonts w:ascii="Arial" w:hAnsi="Arial" w:cs="Arial"/>
                <w:color w:val="000000"/>
              </w:rPr>
              <w:t>®</w:t>
            </w:r>
            <w:r w:rsidRPr="009572F2">
              <w:rPr>
                <w:rFonts w:ascii="Arial" w:hAnsi="Arial" w:cs="Arial"/>
                <w:color w:val="000000"/>
              </w:rPr>
              <w:br/>
            </w:r>
            <w:r w:rsidRPr="009572F2">
              <w:rPr>
                <w:rFonts w:ascii="Arial" w:hAnsi="Arial" w:cs="Arial"/>
                <w:color w:val="000000"/>
              </w:rPr>
              <w:br/>
            </w:r>
            <w:proofErr w:type="spellStart"/>
            <w:r w:rsidRPr="009572F2">
              <w:rPr>
                <w:rFonts w:ascii="Arial" w:hAnsi="Arial" w:cs="Arial"/>
                <w:color w:val="000000"/>
              </w:rPr>
              <w:t>Orpharma</w:t>
            </w:r>
            <w:proofErr w:type="spellEnd"/>
            <w:r w:rsidRPr="009572F2">
              <w:rPr>
                <w:rFonts w:ascii="Arial" w:hAnsi="Arial" w:cs="Arial"/>
                <w:color w:val="000000"/>
              </w:rPr>
              <w:t xml:space="preserve"> Pty Ltd</w:t>
            </w:r>
            <w:r w:rsidRPr="00395B97">
              <w:rPr>
                <w:rFonts w:ascii="Arial" w:hAnsi="Arial" w:cs="Arial"/>
              </w:rPr>
              <w:t xml:space="preserve"> </w:t>
            </w:r>
          </w:p>
          <w:p w:rsidR="00BF16B4" w:rsidRPr="00395B97" w:rsidRDefault="00BF16B4" w:rsidP="002A6AB9">
            <w:pPr>
              <w:rPr>
                <w:rFonts w:ascii="Arial" w:hAnsi="Arial" w:cs="Arial"/>
              </w:rPr>
            </w:pPr>
            <w:r w:rsidRPr="009572F2">
              <w:rPr>
                <w:rFonts w:ascii="Arial" w:hAnsi="Arial" w:cs="Arial"/>
                <w:color w:val="000000"/>
              </w:rPr>
              <w:t>New listing</w:t>
            </w:r>
            <w:r w:rsidRPr="009572F2">
              <w:rPr>
                <w:rFonts w:ascii="Arial" w:hAnsi="Arial" w:cs="Arial"/>
                <w:color w:val="000000"/>
              </w:rPr>
              <w:b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Urea cycle disorder (UCD)</w:t>
            </w:r>
          </w:p>
        </w:tc>
        <w:tc>
          <w:tcPr>
            <w:tcW w:w="3261" w:type="dxa"/>
            <w:tcMar>
              <w:top w:w="28" w:type="dxa"/>
              <w:bottom w:w="28" w:type="dxa"/>
            </w:tcMar>
          </w:tcPr>
          <w:p w:rsidR="00BF16B4" w:rsidRDefault="00BF16B4" w:rsidP="00FC06CC">
            <w:pPr>
              <w:rPr>
                <w:rFonts w:ascii="Arial" w:hAnsi="Arial" w:cs="Arial"/>
                <w:color w:val="000000"/>
              </w:rPr>
            </w:pPr>
            <w:r>
              <w:rPr>
                <w:rFonts w:ascii="Arial" w:hAnsi="Arial" w:cs="Arial"/>
                <w:color w:val="000000"/>
              </w:rPr>
              <w:t>To request an Authority Required listing for the treatment of patients with UCD.</w:t>
            </w:r>
          </w:p>
          <w:p w:rsidR="00BF16B4" w:rsidRPr="00395B97" w:rsidRDefault="00BF16B4" w:rsidP="002A6AB9">
            <w:pPr>
              <w:jc w:val="both"/>
              <w:rPr>
                <w:rFonts w:ascii="Arial" w:hAnsi="Arial" w:cs="Arial"/>
              </w:rPr>
            </w:pPr>
          </w:p>
        </w:tc>
        <w:tc>
          <w:tcPr>
            <w:tcW w:w="6947" w:type="dxa"/>
          </w:tcPr>
          <w:p w:rsidR="00BF16B4" w:rsidRPr="00010A12" w:rsidRDefault="00BF16B4" w:rsidP="0031270A">
            <w:pPr>
              <w:pStyle w:val="ListParagraph"/>
              <w:ind w:left="0"/>
              <w:jc w:val="both"/>
              <w:rPr>
                <w:rFonts w:ascii="Arial" w:hAnsi="Arial" w:cs="Arial"/>
                <w:iCs/>
                <w:sz w:val="20"/>
                <w:szCs w:val="20"/>
              </w:rPr>
            </w:pPr>
            <w:r w:rsidRPr="00010A12">
              <w:rPr>
                <w:rFonts w:ascii="Arial" w:hAnsi="Arial" w:cs="Arial"/>
                <w:iCs/>
                <w:sz w:val="20"/>
                <w:szCs w:val="20"/>
              </w:rPr>
              <w:t xml:space="preserve">The PBAC decided not to recommend the listing of a sugar-coated granule formulation of sodium </w:t>
            </w:r>
            <w:proofErr w:type="spellStart"/>
            <w:r w:rsidRPr="00010A12">
              <w:rPr>
                <w:rFonts w:ascii="Arial" w:hAnsi="Arial" w:cs="Arial"/>
                <w:iCs/>
                <w:sz w:val="20"/>
                <w:szCs w:val="20"/>
              </w:rPr>
              <w:t>phenylbutyrate</w:t>
            </w:r>
            <w:proofErr w:type="spellEnd"/>
            <w:r w:rsidRPr="00010A12">
              <w:rPr>
                <w:rFonts w:ascii="Arial" w:hAnsi="Arial" w:cs="Arial"/>
                <w:iCs/>
                <w:sz w:val="20"/>
                <w:szCs w:val="20"/>
              </w:rPr>
              <w:t xml:space="preserve"> (referred to as coated </w:t>
            </w:r>
            <w:proofErr w:type="spellStart"/>
            <w:r w:rsidRPr="00010A12">
              <w:rPr>
                <w:rFonts w:ascii="Arial" w:hAnsi="Arial" w:cs="Arial"/>
                <w:iCs/>
                <w:sz w:val="20"/>
                <w:szCs w:val="20"/>
              </w:rPr>
              <w:t>NaPb</w:t>
            </w:r>
            <w:proofErr w:type="spellEnd"/>
            <w:r w:rsidRPr="00010A12">
              <w:rPr>
                <w:rFonts w:ascii="Arial" w:hAnsi="Arial" w:cs="Arial"/>
                <w:iCs/>
                <w:sz w:val="20"/>
                <w:szCs w:val="20"/>
              </w:rPr>
              <w:t xml:space="preserve">) on the basis of </w:t>
            </w:r>
            <w:r>
              <w:rPr>
                <w:rFonts w:ascii="Arial" w:hAnsi="Arial" w:cs="Arial"/>
                <w:iCs/>
                <w:sz w:val="20"/>
                <w:szCs w:val="20"/>
              </w:rPr>
              <w:t xml:space="preserve">an </w:t>
            </w:r>
            <w:r w:rsidRPr="00010A12">
              <w:rPr>
                <w:rFonts w:ascii="Arial" w:hAnsi="Arial" w:cs="Arial"/>
                <w:iCs/>
                <w:sz w:val="20"/>
                <w:szCs w:val="20"/>
              </w:rPr>
              <w:t xml:space="preserve">unclear incremental clinical benefit and high incremental cost compared with other ammonia scavenger formulations. In particular, the PBAC considered that the clinical evidence was insufficient to support a claim of superior efficacy versus other ammonia scavenger formulations. </w:t>
            </w:r>
          </w:p>
          <w:p w:rsidR="00BF16B4" w:rsidRPr="00010A12" w:rsidRDefault="00BF16B4" w:rsidP="0031270A">
            <w:pPr>
              <w:pStyle w:val="ListParagraph"/>
              <w:ind w:left="0"/>
              <w:jc w:val="both"/>
              <w:rPr>
                <w:rFonts w:ascii="Arial" w:hAnsi="Arial" w:cs="Arial"/>
                <w:iCs/>
                <w:sz w:val="20"/>
                <w:szCs w:val="20"/>
              </w:rPr>
            </w:pPr>
            <w:r w:rsidRPr="00010A12">
              <w:rPr>
                <w:rFonts w:ascii="Arial" w:hAnsi="Arial" w:cs="Arial"/>
                <w:iCs/>
                <w:sz w:val="20"/>
                <w:szCs w:val="20"/>
              </w:rPr>
              <w:t xml:space="preserve">The PBAC considered that ammonia scavengers have an important clinical place in the treatment of urea cycle disorders. The PBAC was of the view that there was a need to ensure the continuing availability of </w:t>
            </w:r>
            <w:r w:rsidR="0075658F" w:rsidRPr="0075658F">
              <w:rPr>
                <w:rFonts w:ascii="Arial" w:hAnsi="Arial" w:cs="Arial"/>
                <w:iCs/>
                <w:sz w:val="20"/>
                <w:szCs w:val="20"/>
              </w:rPr>
              <w:t xml:space="preserve">ammonia </w:t>
            </w:r>
            <w:r w:rsidR="00420560" w:rsidRPr="0075658F">
              <w:rPr>
                <w:rFonts w:ascii="Arial" w:hAnsi="Arial" w:cs="Arial"/>
                <w:iCs/>
                <w:sz w:val="20"/>
                <w:szCs w:val="20"/>
              </w:rPr>
              <w:t>scavengers.</w:t>
            </w:r>
          </w:p>
          <w:p w:rsidR="00BF16B4" w:rsidRPr="00395B97" w:rsidRDefault="00BF16B4" w:rsidP="0031270A">
            <w:pPr>
              <w:pStyle w:val="ListParagraph"/>
              <w:ind w:left="0"/>
              <w:jc w:val="both"/>
              <w:rPr>
                <w:rFonts w:ascii="Arial" w:hAnsi="Arial" w:cs="Arial"/>
                <w:iCs/>
                <w:sz w:val="20"/>
                <w:szCs w:val="20"/>
              </w:rPr>
            </w:pPr>
            <w:r w:rsidRPr="00010A12">
              <w:rPr>
                <w:rFonts w:ascii="Arial" w:hAnsi="Arial" w:cs="Arial"/>
                <w:iCs/>
                <w:sz w:val="20"/>
                <w:szCs w:val="20"/>
              </w:rPr>
              <w:t>The PBAC considered that a claim of non-inferior comparative efficacy and safety compared with other ammonia scavenger formulations would have been appropriate given the clinical evidence available. Therefore, the PBAC considered that a cost-minimisation analysis against other ammonia scavengers would have been appropriate.</w:t>
            </w:r>
          </w:p>
        </w:tc>
      </w:tr>
      <w:tr w:rsidR="00BF16B4" w:rsidRPr="00395B97" w:rsidTr="00F06AB9">
        <w:trPr>
          <w:trHeight w:val="435"/>
        </w:trPr>
        <w:tc>
          <w:tcPr>
            <w:tcW w:w="2694" w:type="dxa"/>
            <w:vMerge/>
            <w:tcMar>
              <w:top w:w="28" w:type="dxa"/>
              <w:bottom w:w="28" w:type="dxa"/>
            </w:tcMar>
          </w:tcPr>
          <w:p w:rsidR="00BF16B4" w:rsidRPr="009572F2" w:rsidRDefault="00BF16B4" w:rsidP="002A6AB9">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BF16B4" w:rsidRPr="00010A12" w:rsidRDefault="00420560" w:rsidP="0031270A">
            <w:pPr>
              <w:pStyle w:val="ListParagraph"/>
              <w:ind w:left="0"/>
              <w:jc w:val="both"/>
              <w:rPr>
                <w:rFonts w:ascii="Arial" w:hAnsi="Arial" w:cs="Arial"/>
                <w:iCs/>
                <w:sz w:val="20"/>
                <w:szCs w:val="20"/>
              </w:rPr>
            </w:pPr>
            <w:r w:rsidRPr="00420560">
              <w:rPr>
                <w:rFonts w:ascii="Arial" w:hAnsi="Arial" w:cs="Arial"/>
                <w:iCs/>
                <w:sz w:val="20"/>
                <w:szCs w:val="20"/>
              </w:rPr>
              <w:t>The Sponsor intends to work with the PBAC to make this vital medication available to those in need. It should be noted that Urea Cycle Disorder is a rare disease and the level of evidence is limited</w:t>
            </w:r>
            <w:r>
              <w:rPr>
                <w:rFonts w:ascii="Arial" w:hAnsi="Arial" w:cs="Arial"/>
                <w:iCs/>
                <w:sz w:val="20"/>
                <w:szCs w:val="20"/>
              </w:rPr>
              <w:t>.</w:t>
            </w:r>
          </w:p>
        </w:tc>
      </w:tr>
      <w:tr w:rsidR="00BF16B4" w:rsidRPr="00395B97" w:rsidTr="0031270A">
        <w:trPr>
          <w:trHeight w:val="3806"/>
        </w:trPr>
        <w:tc>
          <w:tcPr>
            <w:tcW w:w="2694" w:type="dxa"/>
            <w:vMerge w:val="restart"/>
            <w:tcMar>
              <w:top w:w="28" w:type="dxa"/>
              <w:bottom w:w="28" w:type="dxa"/>
            </w:tcMar>
          </w:tcPr>
          <w:p w:rsidR="00BF16B4" w:rsidRPr="001C1D66" w:rsidRDefault="00BF16B4" w:rsidP="00FC06CC">
            <w:pPr>
              <w:rPr>
                <w:rFonts w:ascii="Arial" w:hAnsi="Arial" w:cs="Arial"/>
                <w:color w:val="000000"/>
              </w:rPr>
            </w:pPr>
            <w:r>
              <w:rPr>
                <w:rFonts w:ascii="Arial" w:hAnsi="Arial" w:cs="Arial"/>
                <w:color w:val="000000"/>
              </w:rPr>
              <w:lastRenderedPageBreak/>
              <w:t>TEDU</w:t>
            </w:r>
            <w:r w:rsidRPr="001C1D66">
              <w:rPr>
                <w:rFonts w:ascii="Arial" w:hAnsi="Arial" w:cs="Arial"/>
                <w:color w:val="000000"/>
              </w:rPr>
              <w:t>GLUTIDE</w:t>
            </w:r>
            <w:r w:rsidRPr="001C1D66">
              <w:rPr>
                <w:rFonts w:ascii="Arial" w:hAnsi="Arial" w:cs="Arial"/>
                <w:color w:val="000000"/>
              </w:rPr>
              <w:br w:type="page"/>
            </w:r>
            <w:r w:rsidRPr="001C1D66">
              <w:rPr>
                <w:rFonts w:ascii="Arial" w:hAnsi="Arial" w:cs="Arial"/>
                <w:color w:val="000000"/>
              </w:rPr>
              <w:br w:type="page"/>
            </w:r>
          </w:p>
          <w:p w:rsidR="00BF16B4" w:rsidRPr="001C1D66" w:rsidRDefault="00BF16B4" w:rsidP="00FC06CC">
            <w:pPr>
              <w:rPr>
                <w:rFonts w:ascii="Arial" w:hAnsi="Arial" w:cs="Arial"/>
                <w:color w:val="000000"/>
              </w:rPr>
            </w:pPr>
          </w:p>
          <w:p w:rsidR="00BF16B4" w:rsidRDefault="00BF16B4" w:rsidP="00FC06CC">
            <w:pPr>
              <w:rPr>
                <w:rFonts w:ascii="Arial" w:hAnsi="Arial" w:cs="Arial"/>
                <w:color w:val="000000"/>
              </w:rPr>
            </w:pPr>
            <w:r w:rsidRPr="00C846E7">
              <w:rPr>
                <w:rFonts w:ascii="Arial" w:hAnsi="Arial" w:cs="Arial"/>
                <w:color w:val="000000"/>
              </w:rPr>
              <w:t>Powder for injection 5 mg with solvent</w:t>
            </w:r>
          </w:p>
          <w:p w:rsidR="00BF16B4" w:rsidRPr="001C1D66" w:rsidRDefault="00BF16B4" w:rsidP="00FC06CC">
            <w:pPr>
              <w:rPr>
                <w:rFonts w:ascii="Arial" w:hAnsi="Arial" w:cs="Arial"/>
                <w:color w:val="000000"/>
              </w:rPr>
            </w:pPr>
          </w:p>
          <w:p w:rsidR="00BF16B4" w:rsidRPr="001C1D66" w:rsidRDefault="00BF16B4" w:rsidP="00FC06CC">
            <w:pPr>
              <w:rPr>
                <w:rFonts w:ascii="Arial" w:hAnsi="Arial" w:cs="Arial"/>
                <w:color w:val="000000"/>
              </w:rPr>
            </w:pPr>
            <w:proofErr w:type="spellStart"/>
            <w:r w:rsidRPr="001C1D66">
              <w:rPr>
                <w:rFonts w:ascii="Arial" w:hAnsi="Arial" w:cs="Arial"/>
                <w:color w:val="000000"/>
              </w:rPr>
              <w:t>Revestive</w:t>
            </w:r>
            <w:proofErr w:type="spellEnd"/>
            <w:r w:rsidRPr="001C1D66">
              <w:rPr>
                <w:rFonts w:ascii="Arial" w:hAnsi="Arial" w:cs="Arial"/>
                <w:color w:val="000000"/>
              </w:rPr>
              <w:t>®</w:t>
            </w:r>
            <w:r w:rsidRPr="001C1D66">
              <w:rPr>
                <w:rFonts w:ascii="Arial" w:hAnsi="Arial" w:cs="Arial"/>
                <w:color w:val="000000"/>
              </w:rPr>
              <w:br w:type="page"/>
            </w:r>
            <w:r w:rsidRPr="001C1D66">
              <w:rPr>
                <w:rFonts w:ascii="Arial" w:hAnsi="Arial" w:cs="Arial"/>
                <w:color w:val="000000"/>
              </w:rPr>
              <w:br w:type="page"/>
            </w:r>
          </w:p>
          <w:p w:rsidR="00BF16B4" w:rsidRPr="001C1D66" w:rsidRDefault="00BF16B4" w:rsidP="00FC06CC">
            <w:pPr>
              <w:rPr>
                <w:rFonts w:ascii="Arial" w:hAnsi="Arial" w:cs="Arial"/>
                <w:color w:val="000000"/>
              </w:rPr>
            </w:pPr>
          </w:p>
          <w:p w:rsidR="00BF16B4" w:rsidRDefault="00BF16B4" w:rsidP="00FC06CC">
            <w:pPr>
              <w:rPr>
                <w:rFonts w:ascii="Arial" w:hAnsi="Arial" w:cs="Arial"/>
              </w:rPr>
            </w:pPr>
            <w:r w:rsidRPr="001C1D66">
              <w:rPr>
                <w:rFonts w:ascii="Arial" w:hAnsi="Arial" w:cs="Arial"/>
                <w:color w:val="000000"/>
              </w:rPr>
              <w:t>Shire Australia Pty Ltd</w:t>
            </w:r>
            <w:r w:rsidRPr="00395B97">
              <w:rPr>
                <w:rFonts w:ascii="Arial" w:hAnsi="Arial" w:cs="Arial"/>
              </w:rPr>
              <w:t xml:space="preserve"> </w:t>
            </w:r>
          </w:p>
          <w:p w:rsidR="00BF16B4" w:rsidRDefault="00BF16B4" w:rsidP="00FC06CC">
            <w:pPr>
              <w:rPr>
                <w:rFonts w:ascii="Arial" w:hAnsi="Arial" w:cs="Arial"/>
                <w:color w:val="000000"/>
              </w:rPr>
            </w:pPr>
            <w:r w:rsidRPr="001C1D66">
              <w:rPr>
                <w:rFonts w:ascii="Arial" w:hAnsi="Arial" w:cs="Arial"/>
                <w:color w:val="000000"/>
              </w:rPr>
              <w:t>New listing</w:t>
            </w:r>
            <w:r w:rsidRPr="001C1D66">
              <w:rPr>
                <w:rFonts w:ascii="Arial" w:hAnsi="Arial" w:cs="Arial"/>
                <w:color w:val="000000"/>
              </w:rPr>
              <w:br w:type="page"/>
            </w:r>
            <w:r w:rsidRPr="001C1D66">
              <w:rPr>
                <w:rFonts w:ascii="Arial" w:hAnsi="Arial" w:cs="Arial"/>
                <w:color w:val="000000"/>
              </w:rPr>
              <w:br w:type="page"/>
            </w:r>
          </w:p>
          <w:p w:rsidR="00BF16B4" w:rsidRDefault="00BF16B4" w:rsidP="00FC06CC">
            <w:pPr>
              <w:rPr>
                <w:rFonts w:ascii="Arial" w:hAnsi="Arial" w:cs="Arial"/>
                <w:color w:val="000000"/>
              </w:rPr>
            </w:pPr>
          </w:p>
          <w:p w:rsidR="00BF16B4" w:rsidRPr="00395B97" w:rsidRDefault="00BF16B4" w:rsidP="00FC06CC">
            <w:pPr>
              <w:rPr>
                <w:rFonts w:ascii="Arial" w:hAnsi="Arial" w:cs="Arial"/>
              </w:rPr>
            </w:pPr>
            <w:r w:rsidRPr="001C1D66">
              <w:rPr>
                <w:rFonts w:ascii="Arial" w:hAnsi="Arial" w:cs="Arial"/>
                <w:color w:val="000000"/>
              </w:rPr>
              <w:t>(Major Submission)</w:t>
            </w:r>
          </w:p>
        </w:tc>
        <w:tc>
          <w:tcPr>
            <w:tcW w:w="2409" w:type="dxa"/>
            <w:vMerge w:val="restart"/>
          </w:tcPr>
          <w:p w:rsidR="00BF16B4" w:rsidRPr="00395B97" w:rsidRDefault="00BF16B4" w:rsidP="002A6AB9">
            <w:pPr>
              <w:rPr>
                <w:rFonts w:ascii="Arial" w:hAnsi="Arial" w:cs="Arial"/>
              </w:rPr>
            </w:pPr>
            <w:r w:rsidRPr="001C1D66">
              <w:rPr>
                <w:rFonts w:ascii="Arial" w:hAnsi="Arial" w:cs="Arial"/>
                <w:color w:val="000000"/>
              </w:rPr>
              <w:t>Short Bowel Syndrome</w:t>
            </w:r>
            <w:r>
              <w:rPr>
                <w:rFonts w:ascii="Arial" w:hAnsi="Arial" w:cs="Arial"/>
                <w:color w:val="000000"/>
              </w:rPr>
              <w:t xml:space="preserve"> (SBS)</w:t>
            </w:r>
          </w:p>
        </w:tc>
        <w:tc>
          <w:tcPr>
            <w:tcW w:w="3261" w:type="dxa"/>
            <w:tcMar>
              <w:top w:w="28" w:type="dxa"/>
              <w:bottom w:w="28" w:type="dxa"/>
            </w:tcMar>
          </w:tcPr>
          <w:p w:rsidR="00BF16B4" w:rsidRDefault="00BF16B4" w:rsidP="00FC06CC">
            <w:pPr>
              <w:rPr>
                <w:rFonts w:ascii="Arial" w:hAnsi="Arial" w:cs="Arial"/>
              </w:rPr>
            </w:pPr>
            <w:r>
              <w:rPr>
                <w:rFonts w:ascii="Arial" w:hAnsi="Arial" w:cs="Arial"/>
              </w:rPr>
              <w:t>To request a Section 100 (Highly Specialised Drugs Program) Authority Required listing for the treatment of SBS in patients who are dependent on parenteral nutrition for survival.</w:t>
            </w:r>
          </w:p>
          <w:p w:rsidR="00BF16B4" w:rsidRPr="00395B97" w:rsidRDefault="00BF16B4" w:rsidP="002A6AB9">
            <w:pPr>
              <w:jc w:val="both"/>
              <w:rPr>
                <w:rFonts w:ascii="Arial" w:hAnsi="Arial" w:cs="Arial"/>
              </w:rPr>
            </w:pPr>
          </w:p>
        </w:tc>
        <w:tc>
          <w:tcPr>
            <w:tcW w:w="6947" w:type="dxa"/>
          </w:tcPr>
          <w:p w:rsidR="00BF16B4" w:rsidRPr="00AC544B" w:rsidRDefault="00BF16B4" w:rsidP="0031270A">
            <w:pPr>
              <w:widowControl w:val="0"/>
              <w:spacing w:after="120"/>
              <w:jc w:val="both"/>
              <w:rPr>
                <w:rFonts w:ascii="Arial" w:hAnsi="Arial" w:cs="Arial"/>
                <w:iCs/>
              </w:rPr>
            </w:pPr>
            <w:r w:rsidRPr="00144021">
              <w:rPr>
                <w:rFonts w:ascii="Arial" w:hAnsi="Arial" w:cs="Arial"/>
              </w:rPr>
              <w:t xml:space="preserve">The PBAC did not recommend the listing of </w:t>
            </w:r>
            <w:proofErr w:type="spellStart"/>
            <w:r w:rsidRPr="00144021">
              <w:rPr>
                <w:rFonts w:ascii="Arial" w:hAnsi="Arial" w:cs="Arial"/>
              </w:rPr>
              <w:t>teduglutide</w:t>
            </w:r>
            <w:proofErr w:type="spellEnd"/>
            <w:r w:rsidRPr="00144021">
              <w:rPr>
                <w:rFonts w:ascii="Arial" w:hAnsi="Arial" w:cs="Arial"/>
              </w:rPr>
              <w:t xml:space="preserve"> for the treatment of patients with Type III (chronic) intestinal failure associated with short bowel syndrome on the basis of an unclear clinical place in therapy and the very high and uncertain incremental cost-effectiveness ratio (ICER). The PBAC considered the use of </w:t>
            </w:r>
            <w:proofErr w:type="spellStart"/>
            <w:r w:rsidRPr="00144021">
              <w:rPr>
                <w:rFonts w:ascii="Arial" w:hAnsi="Arial" w:cs="Arial"/>
              </w:rPr>
              <w:t>teduglutide</w:t>
            </w:r>
            <w:proofErr w:type="spellEnd"/>
            <w:r w:rsidRPr="00144021">
              <w:rPr>
                <w:rFonts w:ascii="Arial" w:hAnsi="Arial" w:cs="Arial"/>
              </w:rPr>
              <w:t xml:space="preserve"> in clinical practice was unclear with regards to the appropriate time to commence and cease treatment, and the appropriate patient population</w:t>
            </w:r>
            <w:r>
              <w:rPr>
                <w:rFonts w:ascii="Arial" w:hAnsi="Arial" w:cs="Arial"/>
              </w:rPr>
              <w:t>, requiring treatment with the medicine</w:t>
            </w:r>
            <w:r w:rsidRPr="00144021">
              <w:rPr>
                <w:rFonts w:ascii="Arial" w:hAnsi="Arial" w:cs="Arial"/>
              </w:rPr>
              <w:t xml:space="preserve">. </w:t>
            </w:r>
            <w:r>
              <w:rPr>
                <w:rFonts w:ascii="Arial" w:hAnsi="Arial" w:cs="Arial"/>
              </w:rPr>
              <w:t xml:space="preserve">The PBAC considered the outcome of a </w:t>
            </w:r>
            <w:r w:rsidRPr="00AC544B">
              <w:rPr>
                <w:rFonts w:ascii="Arial" w:hAnsi="Arial" w:cs="Arial"/>
              </w:rPr>
              <w:t xml:space="preserve">20% reduction in weekly parenteral support volume </w:t>
            </w:r>
            <w:r>
              <w:rPr>
                <w:rFonts w:ascii="Arial" w:hAnsi="Arial" w:cs="Arial"/>
              </w:rPr>
              <w:t xml:space="preserve">may not be </w:t>
            </w:r>
            <w:r w:rsidRPr="00AC544B">
              <w:rPr>
                <w:rFonts w:ascii="Arial" w:hAnsi="Arial" w:cs="Arial"/>
              </w:rPr>
              <w:t>a clinically important change for all patients</w:t>
            </w:r>
            <w:r>
              <w:rPr>
                <w:rFonts w:ascii="Arial" w:hAnsi="Arial" w:cs="Arial"/>
              </w:rPr>
              <w:t>, especially</w:t>
            </w:r>
            <w:r w:rsidRPr="00AC544B">
              <w:rPr>
                <w:rFonts w:ascii="Arial" w:hAnsi="Arial" w:cs="Arial"/>
              </w:rPr>
              <w:t xml:space="preserve"> if volume reductions did not result in fewer days per week of parenteral support. Additionally, the PBAC noted that there was no statistically significant difference in patients’ quality of life between the </w:t>
            </w:r>
            <w:proofErr w:type="spellStart"/>
            <w:r w:rsidRPr="00AC544B">
              <w:rPr>
                <w:rFonts w:ascii="Arial" w:hAnsi="Arial" w:cs="Arial"/>
              </w:rPr>
              <w:t>teduglutide</w:t>
            </w:r>
            <w:proofErr w:type="spellEnd"/>
            <w:r w:rsidRPr="00AC544B">
              <w:rPr>
                <w:rFonts w:ascii="Arial" w:hAnsi="Arial" w:cs="Arial"/>
              </w:rPr>
              <w:t xml:space="preserve"> and placebo arms</w:t>
            </w:r>
            <w:r>
              <w:rPr>
                <w:rFonts w:ascii="Arial" w:hAnsi="Arial" w:cs="Arial"/>
              </w:rPr>
              <w:t xml:space="preserve"> in the clinical trial, although </w:t>
            </w:r>
            <w:r w:rsidRPr="00AC544B">
              <w:rPr>
                <w:rFonts w:ascii="Arial" w:hAnsi="Arial" w:cs="Arial"/>
              </w:rPr>
              <w:t xml:space="preserve">noted </w:t>
            </w:r>
            <w:r>
              <w:rPr>
                <w:rFonts w:ascii="Arial" w:hAnsi="Arial" w:cs="Arial"/>
              </w:rPr>
              <w:t xml:space="preserve">this may be due to </w:t>
            </w:r>
            <w:r w:rsidRPr="00AC544B">
              <w:rPr>
                <w:rFonts w:ascii="Arial" w:hAnsi="Arial" w:cs="Arial"/>
              </w:rPr>
              <w:t xml:space="preserve">the design and size of the trial </w:t>
            </w:r>
            <w:r>
              <w:rPr>
                <w:rFonts w:ascii="Arial" w:hAnsi="Arial" w:cs="Arial"/>
              </w:rPr>
              <w:t>and</w:t>
            </w:r>
            <w:r w:rsidRPr="00AC544B">
              <w:rPr>
                <w:rFonts w:ascii="Arial" w:hAnsi="Arial" w:cs="Arial"/>
              </w:rPr>
              <w:t xml:space="preserve"> that some sub-group analyses were suggestive of quality of life benefit.</w:t>
            </w:r>
            <w:r>
              <w:rPr>
                <w:rFonts w:ascii="Arial" w:hAnsi="Arial" w:cs="Arial"/>
              </w:rPr>
              <w:t xml:space="preserve">  </w:t>
            </w:r>
            <w:r w:rsidRPr="00144021">
              <w:rPr>
                <w:rFonts w:ascii="Arial" w:hAnsi="Arial" w:cs="Arial"/>
              </w:rPr>
              <w:t xml:space="preserve">The PBAC considered the economic model as presented in the submission to be </w:t>
            </w:r>
            <w:r>
              <w:rPr>
                <w:rFonts w:ascii="Arial" w:hAnsi="Arial" w:cs="Arial"/>
              </w:rPr>
              <w:t xml:space="preserve">overly </w:t>
            </w:r>
            <w:r w:rsidRPr="00144021">
              <w:rPr>
                <w:rFonts w:ascii="Arial" w:hAnsi="Arial" w:cs="Arial"/>
              </w:rPr>
              <w:t xml:space="preserve">optimistic and noted that the financial impact of listing </w:t>
            </w:r>
            <w:proofErr w:type="spellStart"/>
            <w:r w:rsidRPr="00144021">
              <w:rPr>
                <w:rFonts w:ascii="Arial" w:hAnsi="Arial" w:cs="Arial"/>
              </w:rPr>
              <w:t>teduglutide</w:t>
            </w:r>
            <w:proofErr w:type="spellEnd"/>
            <w:r w:rsidRPr="00144021">
              <w:rPr>
                <w:rFonts w:ascii="Arial" w:hAnsi="Arial" w:cs="Arial"/>
              </w:rPr>
              <w:t xml:space="preserve"> was uncertain due to issues with the</w:t>
            </w:r>
            <w:r>
              <w:rPr>
                <w:rFonts w:ascii="Arial" w:hAnsi="Arial" w:cs="Arial"/>
              </w:rPr>
              <w:t xml:space="preserve"> proposed</w:t>
            </w:r>
            <w:r w:rsidRPr="00144021">
              <w:rPr>
                <w:rFonts w:ascii="Arial" w:hAnsi="Arial" w:cs="Arial"/>
              </w:rPr>
              <w:t xml:space="preserve"> PBS restriction.</w:t>
            </w:r>
          </w:p>
        </w:tc>
      </w:tr>
      <w:tr w:rsidR="00BF16B4" w:rsidRPr="00395B97" w:rsidTr="0054666A">
        <w:trPr>
          <w:trHeight w:val="480"/>
        </w:trPr>
        <w:tc>
          <w:tcPr>
            <w:tcW w:w="2694" w:type="dxa"/>
            <w:vMerge/>
            <w:tcMar>
              <w:top w:w="28" w:type="dxa"/>
              <w:bottom w:w="28" w:type="dxa"/>
            </w:tcMar>
          </w:tcPr>
          <w:p w:rsidR="00BF16B4" w:rsidRDefault="00BF16B4" w:rsidP="00FC06CC">
            <w:pPr>
              <w:rPr>
                <w:rFonts w:ascii="Arial" w:hAnsi="Arial" w:cs="Arial"/>
                <w:color w:val="000000"/>
              </w:rPr>
            </w:pPr>
          </w:p>
        </w:tc>
        <w:tc>
          <w:tcPr>
            <w:tcW w:w="2409" w:type="dxa"/>
            <w:vMerge/>
          </w:tcPr>
          <w:p w:rsidR="00BF16B4" w:rsidRPr="001C1D66"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BF16B4" w:rsidRPr="00144021" w:rsidRDefault="00D568BD" w:rsidP="0031270A">
            <w:pPr>
              <w:jc w:val="both"/>
              <w:rPr>
                <w:rFonts w:ascii="Arial" w:hAnsi="Arial" w:cs="Arial"/>
              </w:rPr>
            </w:pPr>
            <w:r w:rsidRPr="00D568BD">
              <w:rPr>
                <w:rFonts w:ascii="Arial" w:hAnsi="Arial" w:cs="Arial"/>
              </w:rPr>
              <w:t xml:space="preserve">Shire will work with the Department of Health and the PBAC so that patients with this rare disease are able to access </w:t>
            </w:r>
            <w:proofErr w:type="spellStart"/>
            <w:r w:rsidRPr="00D568BD">
              <w:rPr>
                <w:rFonts w:ascii="Arial" w:hAnsi="Arial" w:cs="Arial"/>
              </w:rPr>
              <w:t>teduglutide</w:t>
            </w:r>
            <w:proofErr w:type="spellEnd"/>
            <w:r w:rsidRPr="00D568BD">
              <w:rPr>
                <w:rFonts w:ascii="Arial" w:hAnsi="Arial" w:cs="Arial"/>
              </w:rPr>
              <w:t xml:space="preserve"> treatment in Australia.  </w:t>
            </w:r>
          </w:p>
        </w:tc>
      </w:tr>
      <w:tr w:rsidR="00BF16B4" w:rsidRPr="00395B97" w:rsidTr="00BF16B4">
        <w:trPr>
          <w:trHeight w:val="2610"/>
        </w:trPr>
        <w:tc>
          <w:tcPr>
            <w:tcW w:w="2694" w:type="dxa"/>
            <w:vMerge w:val="restart"/>
            <w:tcMar>
              <w:top w:w="28" w:type="dxa"/>
              <w:bottom w:w="28" w:type="dxa"/>
            </w:tcMar>
          </w:tcPr>
          <w:p w:rsidR="00BF16B4" w:rsidRDefault="00BF16B4" w:rsidP="002A6AB9">
            <w:pPr>
              <w:rPr>
                <w:rFonts w:ascii="Arial" w:hAnsi="Arial" w:cs="Arial"/>
                <w:color w:val="000000"/>
              </w:rPr>
            </w:pPr>
            <w:r>
              <w:rPr>
                <w:rFonts w:ascii="Arial" w:hAnsi="Arial" w:cs="Arial"/>
                <w:color w:val="000000"/>
              </w:rPr>
              <w:t>TIOTROPIUM</w:t>
            </w:r>
            <w:r>
              <w:rPr>
                <w:rFonts w:ascii="Arial" w:hAnsi="Arial" w:cs="Arial"/>
                <w:color w:val="000000"/>
              </w:rPr>
              <w:br/>
            </w:r>
            <w:r>
              <w:rPr>
                <w:rFonts w:ascii="Arial" w:hAnsi="Arial" w:cs="Arial"/>
                <w:color w:val="000000"/>
              </w:rPr>
              <w:br/>
              <w:t>Solution for oral inhalation 2.5 micrograms (as bromide monohydrate) per actuation (60 actuations)</w:t>
            </w:r>
            <w:r>
              <w:rPr>
                <w:rFonts w:ascii="Arial" w:hAnsi="Arial" w:cs="Arial"/>
                <w:color w:val="000000"/>
              </w:rPr>
              <w:br/>
            </w:r>
            <w:r>
              <w:rPr>
                <w:rFonts w:ascii="Arial" w:hAnsi="Arial" w:cs="Arial"/>
                <w:color w:val="000000"/>
              </w:rPr>
              <w:br/>
              <w:t xml:space="preserve">Spiriva® </w:t>
            </w:r>
            <w:proofErr w:type="spellStart"/>
            <w:r>
              <w:rPr>
                <w:rFonts w:ascii="Arial" w:hAnsi="Arial" w:cs="Arial"/>
                <w:color w:val="000000"/>
              </w:rPr>
              <w:t>Respimat</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Boehringer</w:t>
            </w:r>
            <w:proofErr w:type="spellEnd"/>
            <w:r>
              <w:rPr>
                <w:rFonts w:ascii="Arial" w:hAnsi="Arial" w:cs="Arial"/>
                <w:color w:val="000000"/>
              </w:rPr>
              <w:t xml:space="preserve"> </w:t>
            </w:r>
            <w:proofErr w:type="spellStart"/>
            <w:r>
              <w:rPr>
                <w:rFonts w:ascii="Arial" w:hAnsi="Arial" w:cs="Arial"/>
                <w:color w:val="000000"/>
              </w:rPr>
              <w:t>Ingelheim</w:t>
            </w:r>
            <w:proofErr w:type="spellEnd"/>
            <w:r>
              <w:rPr>
                <w:rFonts w:ascii="Arial" w:hAnsi="Arial" w:cs="Arial"/>
                <w:color w:val="000000"/>
              </w:rPr>
              <w:t xml:space="preserve"> Pty Ltd</w:t>
            </w:r>
          </w:p>
          <w:p w:rsidR="00BF16B4" w:rsidRPr="00395B97" w:rsidRDefault="00BF16B4" w:rsidP="0031270A">
            <w:pPr>
              <w:rPr>
                <w:rFonts w:ascii="Arial" w:hAnsi="Arial" w:cs="Arial"/>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2409" w:type="dxa"/>
            <w:vMerge w:val="restart"/>
          </w:tcPr>
          <w:p w:rsidR="00BF16B4" w:rsidRPr="00395B97" w:rsidRDefault="00BF16B4" w:rsidP="002A6AB9">
            <w:pPr>
              <w:rPr>
                <w:rFonts w:ascii="Arial" w:hAnsi="Arial" w:cs="Arial"/>
              </w:rPr>
            </w:pPr>
            <w:r>
              <w:rPr>
                <w:rFonts w:ascii="Arial" w:hAnsi="Arial" w:cs="Arial"/>
                <w:color w:val="000000"/>
              </w:rPr>
              <w:lastRenderedPageBreak/>
              <w:t>Severe asthma</w:t>
            </w:r>
          </w:p>
        </w:tc>
        <w:tc>
          <w:tcPr>
            <w:tcW w:w="3261" w:type="dxa"/>
            <w:tcMar>
              <w:top w:w="28" w:type="dxa"/>
              <w:bottom w:w="28" w:type="dxa"/>
            </w:tcMar>
          </w:tcPr>
          <w:p w:rsidR="00BF16B4" w:rsidRPr="00395B97" w:rsidRDefault="00BF16B4" w:rsidP="002A6AB9">
            <w:pPr>
              <w:jc w:val="both"/>
              <w:rPr>
                <w:rFonts w:ascii="Arial" w:hAnsi="Arial" w:cs="Arial"/>
              </w:rPr>
            </w:pPr>
            <w:r>
              <w:rPr>
                <w:rFonts w:ascii="Arial" w:hAnsi="Arial" w:cs="Arial"/>
                <w:color w:val="000000"/>
              </w:rPr>
              <w:t>Resubmission to request the current Restricted Benefit listing for severe asthma be changed to Authority Required (STREAMLINED).</w:t>
            </w:r>
          </w:p>
        </w:tc>
        <w:tc>
          <w:tcPr>
            <w:tcW w:w="6947" w:type="dxa"/>
          </w:tcPr>
          <w:p w:rsidR="00BF16B4" w:rsidRPr="00700CE0" w:rsidRDefault="00BF16B4" w:rsidP="0031270A">
            <w:pPr>
              <w:widowControl w:val="0"/>
              <w:jc w:val="both"/>
              <w:rPr>
                <w:rFonts w:ascii="Arial" w:hAnsi="Arial" w:cs="Arial"/>
                <w:color w:val="000000"/>
              </w:rPr>
            </w:pPr>
            <w:r w:rsidRPr="00700CE0">
              <w:rPr>
                <w:rFonts w:ascii="Arial" w:hAnsi="Arial" w:cs="Arial"/>
                <w:color w:val="000000"/>
              </w:rPr>
              <w:t xml:space="preserve">The PBAC did not recommend amending the Restricted Benefit listing of tiotropium for severe asthma to an Authority Required (STREAMLINED) listing. The PBAC confirmed that it did not consider that the use of different restriction levels to manage a Risk Sharing Arrangement was appropriate and that this may lead to confusion for consumers and prescribers. Further, the PBAC restated that it considered that this approach may not adequately address the sponsors concerns, which could be met by other approaches. </w:t>
            </w:r>
          </w:p>
          <w:p w:rsidR="00BF16B4" w:rsidRPr="00395B97" w:rsidRDefault="00BF16B4" w:rsidP="0031270A">
            <w:pPr>
              <w:pStyle w:val="ListParagraph"/>
              <w:ind w:left="0"/>
              <w:jc w:val="both"/>
              <w:rPr>
                <w:rFonts w:ascii="Arial" w:hAnsi="Arial" w:cs="Arial"/>
                <w:iCs/>
                <w:sz w:val="20"/>
                <w:szCs w:val="20"/>
              </w:rPr>
            </w:pPr>
          </w:p>
        </w:tc>
      </w:tr>
      <w:tr w:rsidR="00BF16B4" w:rsidRPr="00395B97" w:rsidTr="00B30A7D">
        <w:trPr>
          <w:trHeight w:val="870"/>
        </w:trPr>
        <w:tc>
          <w:tcPr>
            <w:tcW w:w="2694" w:type="dxa"/>
            <w:vMerge/>
            <w:tcMar>
              <w:top w:w="28" w:type="dxa"/>
              <w:bottom w:w="28" w:type="dxa"/>
            </w:tcMar>
          </w:tcPr>
          <w:p w:rsidR="00BF16B4" w:rsidRDefault="00BF16B4" w:rsidP="002A6AB9">
            <w:pPr>
              <w:rPr>
                <w:rFonts w:ascii="Arial" w:hAnsi="Arial" w:cs="Arial"/>
                <w:color w:val="000000"/>
              </w:rPr>
            </w:pPr>
          </w:p>
        </w:tc>
        <w:tc>
          <w:tcPr>
            <w:tcW w:w="2409" w:type="dxa"/>
            <w:vMerge/>
          </w:tcPr>
          <w:p w:rsidR="00BF16B4" w:rsidRDefault="00BF16B4" w:rsidP="002A6AB9">
            <w:pPr>
              <w:rPr>
                <w:rFonts w:ascii="Arial" w:hAnsi="Arial" w:cs="Arial"/>
                <w:color w:val="000000"/>
              </w:rPr>
            </w:pPr>
          </w:p>
        </w:tc>
        <w:tc>
          <w:tcPr>
            <w:tcW w:w="3261" w:type="dxa"/>
            <w:tcMar>
              <w:top w:w="28" w:type="dxa"/>
              <w:bottom w:w="28" w:type="dxa"/>
            </w:tcMar>
          </w:tcPr>
          <w:p w:rsidR="00BF16B4" w:rsidRDefault="00BF16B4" w:rsidP="00BF16B4">
            <w:pPr>
              <w:jc w:val="right"/>
              <w:rPr>
                <w:rFonts w:ascii="Arial" w:hAnsi="Arial" w:cs="Arial"/>
                <w:color w:val="000000"/>
              </w:rPr>
            </w:pPr>
            <w:r w:rsidRPr="00F13F46">
              <w:rPr>
                <w:rFonts w:ascii="Arial" w:hAnsi="Arial" w:cs="Arial"/>
                <w:snapToGrid w:val="0"/>
                <w:lang w:eastAsia="en-US"/>
              </w:rPr>
              <w:t>Sponsor</w:t>
            </w:r>
            <w:r w:rsidRPr="00F13F46">
              <w:rPr>
                <w:rFonts w:ascii="Arial" w:hAnsi="Arial" w:cs="Arial"/>
                <w:color w:val="000000"/>
              </w:rPr>
              <w:t xml:space="preserve"> Comment:</w:t>
            </w:r>
          </w:p>
        </w:tc>
        <w:tc>
          <w:tcPr>
            <w:tcW w:w="6947" w:type="dxa"/>
          </w:tcPr>
          <w:p w:rsidR="00BF16B4" w:rsidRPr="00700CE0" w:rsidRDefault="009F1B34" w:rsidP="0031270A">
            <w:pPr>
              <w:widowControl w:val="0"/>
              <w:jc w:val="both"/>
              <w:rPr>
                <w:rFonts w:ascii="Arial" w:hAnsi="Arial" w:cs="Arial"/>
                <w:color w:val="000000"/>
              </w:rPr>
            </w:pPr>
            <w:r>
              <w:rPr>
                <w:rFonts w:ascii="Arial" w:hAnsi="Arial" w:cs="Arial"/>
              </w:rPr>
              <w:t>The Sponsor had no comment.</w:t>
            </w:r>
          </w:p>
        </w:tc>
      </w:tr>
    </w:tbl>
    <w:p w:rsidR="00836A68" w:rsidRDefault="00836A68" w:rsidP="0031270A">
      <w:pPr>
        <w:tabs>
          <w:tab w:val="left" w:pos="5210"/>
        </w:tabs>
        <w:rPr>
          <w:rFonts w:ascii="Arial" w:hAnsi="Arial" w:cs="Arial"/>
          <w:lang w:val="en-US"/>
        </w:rPr>
      </w:pPr>
    </w:p>
    <w:sectPr w:rsidR="00836A68"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A37A4B">
      <w:rPr>
        <w:rStyle w:val="PageNumber"/>
        <w:rFonts w:ascii="Arial" w:hAnsi="Arial" w:cs="Arial"/>
        <w:noProof/>
      </w:rPr>
      <w:t>10</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59676F" w:rsidP="0071356F">
    <w:pPr>
      <w:pStyle w:val="Header"/>
      <w:jc w:val="center"/>
      <w:rPr>
        <w:rFonts w:ascii="Arial" w:hAnsi="Arial" w:cs="Arial"/>
        <w:b/>
      </w:rPr>
    </w:pPr>
    <w:r>
      <w:rPr>
        <w:rFonts w:ascii="Arial" w:hAnsi="Arial" w:cs="Arial"/>
        <w:b/>
      </w:rPr>
      <w:t>NOVEMBER 2017</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0A52E23"/>
    <w:multiLevelType w:val="hybridMultilevel"/>
    <w:tmpl w:val="0B86935C"/>
    <w:lvl w:ilvl="0" w:tplc="F28C994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7">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2">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28"/>
  </w:num>
  <w:num w:numId="4">
    <w:abstractNumId w:val="22"/>
  </w:num>
  <w:num w:numId="5">
    <w:abstractNumId w:val="12"/>
  </w:num>
  <w:num w:numId="6">
    <w:abstractNumId w:val="7"/>
  </w:num>
  <w:num w:numId="7">
    <w:abstractNumId w:val="3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3"/>
  </w:num>
  <w:num w:numId="11">
    <w:abstractNumId w:val="24"/>
  </w:num>
  <w:num w:numId="12">
    <w:abstractNumId w:val="26"/>
  </w:num>
  <w:num w:numId="13">
    <w:abstractNumId w:val="8"/>
  </w:num>
  <w:num w:numId="14">
    <w:abstractNumId w:val="25"/>
  </w:num>
  <w:num w:numId="15">
    <w:abstractNumId w:val="27"/>
  </w:num>
  <w:num w:numId="16">
    <w:abstractNumId w:val="23"/>
  </w:num>
  <w:num w:numId="17">
    <w:abstractNumId w:val="37"/>
  </w:num>
  <w:num w:numId="18">
    <w:abstractNumId w:val="39"/>
  </w:num>
  <w:num w:numId="19">
    <w:abstractNumId w:val="5"/>
  </w:num>
  <w:num w:numId="20">
    <w:abstractNumId w:val="13"/>
  </w:num>
  <w:num w:numId="21">
    <w:abstractNumId w:val="15"/>
  </w:num>
  <w:num w:numId="22">
    <w:abstractNumId w:val="35"/>
  </w:num>
  <w:num w:numId="23">
    <w:abstractNumId w:val="4"/>
  </w:num>
  <w:num w:numId="24">
    <w:abstractNumId w:val="18"/>
  </w:num>
  <w:num w:numId="25">
    <w:abstractNumId w:val="11"/>
  </w:num>
  <w:num w:numId="26">
    <w:abstractNumId w:val="9"/>
  </w:num>
  <w:num w:numId="27">
    <w:abstractNumId w:val="20"/>
  </w:num>
  <w:num w:numId="28">
    <w:abstractNumId w:val="21"/>
  </w:num>
  <w:num w:numId="29">
    <w:abstractNumId w:val="19"/>
  </w:num>
  <w:num w:numId="30">
    <w:abstractNumId w:val="38"/>
  </w:num>
  <w:num w:numId="31">
    <w:abstractNumId w:val="16"/>
  </w:num>
  <w:num w:numId="32">
    <w:abstractNumId w:val="31"/>
  </w:num>
  <w:num w:numId="33">
    <w:abstractNumId w:val="36"/>
  </w:num>
  <w:num w:numId="34">
    <w:abstractNumId w:val="34"/>
  </w:num>
  <w:num w:numId="35">
    <w:abstractNumId w:val="3"/>
  </w:num>
  <w:num w:numId="36">
    <w:abstractNumId w:val="32"/>
  </w:num>
  <w:num w:numId="37">
    <w:abstractNumId w:val="2"/>
  </w:num>
  <w:num w:numId="38">
    <w:abstractNumId w:val="17"/>
  </w:num>
  <w:num w:numId="39">
    <w:abstractNumId w:val="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0A12"/>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A5F"/>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2803"/>
    <w:rsid w:val="00043C1D"/>
    <w:rsid w:val="00044146"/>
    <w:rsid w:val="00044BB4"/>
    <w:rsid w:val="00046725"/>
    <w:rsid w:val="000468C0"/>
    <w:rsid w:val="00046DA2"/>
    <w:rsid w:val="00050273"/>
    <w:rsid w:val="00050762"/>
    <w:rsid w:val="000507B9"/>
    <w:rsid w:val="00051AF5"/>
    <w:rsid w:val="0005661F"/>
    <w:rsid w:val="00057006"/>
    <w:rsid w:val="000575B4"/>
    <w:rsid w:val="000601EA"/>
    <w:rsid w:val="000603CB"/>
    <w:rsid w:val="0006084C"/>
    <w:rsid w:val="000608FE"/>
    <w:rsid w:val="000615B0"/>
    <w:rsid w:val="00061E01"/>
    <w:rsid w:val="0006239E"/>
    <w:rsid w:val="000626A0"/>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380"/>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3B2"/>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6286"/>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021"/>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1FF0"/>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401"/>
    <w:rsid w:val="001F0D67"/>
    <w:rsid w:val="001F1A00"/>
    <w:rsid w:val="001F1B8A"/>
    <w:rsid w:val="001F2058"/>
    <w:rsid w:val="001F23BC"/>
    <w:rsid w:val="001F29C8"/>
    <w:rsid w:val="001F2E04"/>
    <w:rsid w:val="001F3474"/>
    <w:rsid w:val="001F391D"/>
    <w:rsid w:val="001F49C4"/>
    <w:rsid w:val="001F5561"/>
    <w:rsid w:val="001F5939"/>
    <w:rsid w:val="001F5B96"/>
    <w:rsid w:val="001F5D85"/>
    <w:rsid w:val="001F67F2"/>
    <w:rsid w:val="001F6895"/>
    <w:rsid w:val="001F6A3C"/>
    <w:rsid w:val="001F6DCB"/>
    <w:rsid w:val="001F7055"/>
    <w:rsid w:val="001F716B"/>
    <w:rsid w:val="001F7B95"/>
    <w:rsid w:val="001F7E44"/>
    <w:rsid w:val="001F7FE1"/>
    <w:rsid w:val="002010D3"/>
    <w:rsid w:val="00201885"/>
    <w:rsid w:val="00202943"/>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3E21"/>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0365"/>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411"/>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670"/>
    <w:rsid w:val="002969C0"/>
    <w:rsid w:val="002972D4"/>
    <w:rsid w:val="00297AEF"/>
    <w:rsid w:val="00297F02"/>
    <w:rsid w:val="002A06E1"/>
    <w:rsid w:val="002A21E8"/>
    <w:rsid w:val="002A3220"/>
    <w:rsid w:val="002A3596"/>
    <w:rsid w:val="002A3AA9"/>
    <w:rsid w:val="002A4F44"/>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270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30E"/>
    <w:rsid w:val="003566E9"/>
    <w:rsid w:val="00357214"/>
    <w:rsid w:val="0035791D"/>
    <w:rsid w:val="00360CBD"/>
    <w:rsid w:val="00361072"/>
    <w:rsid w:val="00362461"/>
    <w:rsid w:val="003628AA"/>
    <w:rsid w:val="00362D37"/>
    <w:rsid w:val="00363DA3"/>
    <w:rsid w:val="003647E2"/>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CB0"/>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8EC"/>
    <w:rsid w:val="003B1AF6"/>
    <w:rsid w:val="003B1B75"/>
    <w:rsid w:val="003B2FBC"/>
    <w:rsid w:val="003B32CC"/>
    <w:rsid w:val="003B35CB"/>
    <w:rsid w:val="003B3A80"/>
    <w:rsid w:val="003B4DA2"/>
    <w:rsid w:val="003B4DDF"/>
    <w:rsid w:val="003B545C"/>
    <w:rsid w:val="003B57B7"/>
    <w:rsid w:val="003B5E19"/>
    <w:rsid w:val="003B64D8"/>
    <w:rsid w:val="003B78AC"/>
    <w:rsid w:val="003C08BD"/>
    <w:rsid w:val="003C1A62"/>
    <w:rsid w:val="003C2B1A"/>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18"/>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60"/>
    <w:rsid w:val="00420584"/>
    <w:rsid w:val="00421048"/>
    <w:rsid w:val="00422A93"/>
    <w:rsid w:val="00422BB1"/>
    <w:rsid w:val="00424D21"/>
    <w:rsid w:val="00424F3C"/>
    <w:rsid w:val="00425C24"/>
    <w:rsid w:val="004273BF"/>
    <w:rsid w:val="00427E8C"/>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283B"/>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5C1F"/>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E29"/>
    <w:rsid w:val="00493577"/>
    <w:rsid w:val="00494307"/>
    <w:rsid w:val="00494B3B"/>
    <w:rsid w:val="00494DE4"/>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1D41"/>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56AB"/>
    <w:rsid w:val="004D606D"/>
    <w:rsid w:val="004D6B20"/>
    <w:rsid w:val="004D6C2F"/>
    <w:rsid w:val="004D71FE"/>
    <w:rsid w:val="004D72CE"/>
    <w:rsid w:val="004D7A80"/>
    <w:rsid w:val="004D7CA3"/>
    <w:rsid w:val="004E0388"/>
    <w:rsid w:val="004E0894"/>
    <w:rsid w:val="004E135A"/>
    <w:rsid w:val="004E1574"/>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7D0"/>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82B"/>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66A"/>
    <w:rsid w:val="005468A5"/>
    <w:rsid w:val="00546A1D"/>
    <w:rsid w:val="00546C8E"/>
    <w:rsid w:val="00546CB9"/>
    <w:rsid w:val="00546E83"/>
    <w:rsid w:val="00547725"/>
    <w:rsid w:val="00550292"/>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76F"/>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051"/>
    <w:rsid w:val="005C1B46"/>
    <w:rsid w:val="005C1F7E"/>
    <w:rsid w:val="005C2057"/>
    <w:rsid w:val="005C20A0"/>
    <w:rsid w:val="005C2EF2"/>
    <w:rsid w:val="005C3AE2"/>
    <w:rsid w:val="005C5258"/>
    <w:rsid w:val="005C57F7"/>
    <w:rsid w:val="005C76FD"/>
    <w:rsid w:val="005C7A6D"/>
    <w:rsid w:val="005C7DC3"/>
    <w:rsid w:val="005D0714"/>
    <w:rsid w:val="005D0DAF"/>
    <w:rsid w:val="005D0DFE"/>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0A09"/>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3E8"/>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565F"/>
    <w:rsid w:val="00685955"/>
    <w:rsid w:val="006861C4"/>
    <w:rsid w:val="00686C23"/>
    <w:rsid w:val="00687033"/>
    <w:rsid w:val="00687D28"/>
    <w:rsid w:val="00687EC6"/>
    <w:rsid w:val="00690AC8"/>
    <w:rsid w:val="00690CCF"/>
    <w:rsid w:val="00690E24"/>
    <w:rsid w:val="00690F58"/>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0BB4"/>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0E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A35"/>
    <w:rsid w:val="006F6D3E"/>
    <w:rsid w:val="006F6DDA"/>
    <w:rsid w:val="006F7041"/>
    <w:rsid w:val="0070068B"/>
    <w:rsid w:val="00700990"/>
    <w:rsid w:val="00700CE0"/>
    <w:rsid w:val="00700CF4"/>
    <w:rsid w:val="007016BE"/>
    <w:rsid w:val="007025A3"/>
    <w:rsid w:val="007030B9"/>
    <w:rsid w:val="00703181"/>
    <w:rsid w:val="007042E7"/>
    <w:rsid w:val="007044EC"/>
    <w:rsid w:val="00704571"/>
    <w:rsid w:val="007048F0"/>
    <w:rsid w:val="00705362"/>
    <w:rsid w:val="00705FF9"/>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58F"/>
    <w:rsid w:val="00756609"/>
    <w:rsid w:val="007566A7"/>
    <w:rsid w:val="00756E30"/>
    <w:rsid w:val="0075707E"/>
    <w:rsid w:val="00757941"/>
    <w:rsid w:val="007639A5"/>
    <w:rsid w:val="00763EE9"/>
    <w:rsid w:val="00764375"/>
    <w:rsid w:val="007653BF"/>
    <w:rsid w:val="00765544"/>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B91"/>
    <w:rsid w:val="007B1C29"/>
    <w:rsid w:val="007B2177"/>
    <w:rsid w:val="007B2FF1"/>
    <w:rsid w:val="007B56E1"/>
    <w:rsid w:val="007B5909"/>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17"/>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1C8"/>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6A68"/>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65018"/>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6AE2"/>
    <w:rsid w:val="00897463"/>
    <w:rsid w:val="0089753B"/>
    <w:rsid w:val="00897911"/>
    <w:rsid w:val="00897B11"/>
    <w:rsid w:val="008A03BE"/>
    <w:rsid w:val="008A1C8E"/>
    <w:rsid w:val="008A2377"/>
    <w:rsid w:val="008A2ADD"/>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4D67"/>
    <w:rsid w:val="008F5536"/>
    <w:rsid w:val="008F6537"/>
    <w:rsid w:val="00900590"/>
    <w:rsid w:val="00900883"/>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99E"/>
    <w:rsid w:val="00963E5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1F57"/>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1B3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37A4B"/>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05"/>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44B"/>
    <w:rsid w:val="00AC5C0E"/>
    <w:rsid w:val="00AC5FCE"/>
    <w:rsid w:val="00AC615E"/>
    <w:rsid w:val="00AC62B7"/>
    <w:rsid w:val="00AC6BDA"/>
    <w:rsid w:val="00AC6E20"/>
    <w:rsid w:val="00AC7A38"/>
    <w:rsid w:val="00AD0404"/>
    <w:rsid w:val="00AD07F1"/>
    <w:rsid w:val="00AD20E0"/>
    <w:rsid w:val="00AD2BE1"/>
    <w:rsid w:val="00AD3C49"/>
    <w:rsid w:val="00AD3D21"/>
    <w:rsid w:val="00AD65BE"/>
    <w:rsid w:val="00AD68F8"/>
    <w:rsid w:val="00AD692B"/>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472"/>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54A"/>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6B4"/>
    <w:rsid w:val="00BF1D23"/>
    <w:rsid w:val="00BF1F82"/>
    <w:rsid w:val="00BF2520"/>
    <w:rsid w:val="00BF3470"/>
    <w:rsid w:val="00BF3B94"/>
    <w:rsid w:val="00BF3FF8"/>
    <w:rsid w:val="00BF4C53"/>
    <w:rsid w:val="00BF54DC"/>
    <w:rsid w:val="00BF5748"/>
    <w:rsid w:val="00BF6270"/>
    <w:rsid w:val="00BF67B7"/>
    <w:rsid w:val="00BF770B"/>
    <w:rsid w:val="00BF7E69"/>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2A"/>
    <w:rsid w:val="00C31F7F"/>
    <w:rsid w:val="00C32186"/>
    <w:rsid w:val="00C335AE"/>
    <w:rsid w:val="00C34E1F"/>
    <w:rsid w:val="00C35C70"/>
    <w:rsid w:val="00C35E26"/>
    <w:rsid w:val="00C3626A"/>
    <w:rsid w:val="00C36684"/>
    <w:rsid w:val="00C36F0A"/>
    <w:rsid w:val="00C36F4F"/>
    <w:rsid w:val="00C372CB"/>
    <w:rsid w:val="00C4067A"/>
    <w:rsid w:val="00C40FA0"/>
    <w:rsid w:val="00C41480"/>
    <w:rsid w:val="00C42F22"/>
    <w:rsid w:val="00C439FF"/>
    <w:rsid w:val="00C44052"/>
    <w:rsid w:val="00C44368"/>
    <w:rsid w:val="00C46111"/>
    <w:rsid w:val="00C46822"/>
    <w:rsid w:val="00C46CE5"/>
    <w:rsid w:val="00C47CFC"/>
    <w:rsid w:val="00C50260"/>
    <w:rsid w:val="00C51395"/>
    <w:rsid w:val="00C51553"/>
    <w:rsid w:val="00C518A5"/>
    <w:rsid w:val="00C51A60"/>
    <w:rsid w:val="00C52334"/>
    <w:rsid w:val="00C526C6"/>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288E"/>
    <w:rsid w:val="00C6395F"/>
    <w:rsid w:val="00C63C3D"/>
    <w:rsid w:val="00C644BF"/>
    <w:rsid w:val="00C65163"/>
    <w:rsid w:val="00C652FB"/>
    <w:rsid w:val="00C65B6B"/>
    <w:rsid w:val="00C66492"/>
    <w:rsid w:val="00C664AB"/>
    <w:rsid w:val="00C66584"/>
    <w:rsid w:val="00C66705"/>
    <w:rsid w:val="00C67754"/>
    <w:rsid w:val="00C70254"/>
    <w:rsid w:val="00C703C0"/>
    <w:rsid w:val="00C703C6"/>
    <w:rsid w:val="00C706D1"/>
    <w:rsid w:val="00C70DA8"/>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0C"/>
    <w:rsid w:val="00CB0A65"/>
    <w:rsid w:val="00CB1177"/>
    <w:rsid w:val="00CB1618"/>
    <w:rsid w:val="00CB1A88"/>
    <w:rsid w:val="00CB2696"/>
    <w:rsid w:val="00CB277F"/>
    <w:rsid w:val="00CB3318"/>
    <w:rsid w:val="00CB3628"/>
    <w:rsid w:val="00CB407C"/>
    <w:rsid w:val="00CB46B4"/>
    <w:rsid w:val="00CB4940"/>
    <w:rsid w:val="00CB5D5B"/>
    <w:rsid w:val="00CB6E94"/>
    <w:rsid w:val="00CB7060"/>
    <w:rsid w:val="00CB77F2"/>
    <w:rsid w:val="00CB7DD6"/>
    <w:rsid w:val="00CC01B8"/>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1EA0"/>
    <w:rsid w:val="00D02E42"/>
    <w:rsid w:val="00D0354D"/>
    <w:rsid w:val="00D0497C"/>
    <w:rsid w:val="00D04F45"/>
    <w:rsid w:val="00D04FAA"/>
    <w:rsid w:val="00D0548B"/>
    <w:rsid w:val="00D05AEE"/>
    <w:rsid w:val="00D05D6E"/>
    <w:rsid w:val="00D05F55"/>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5F49"/>
    <w:rsid w:val="00D3647C"/>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8BD"/>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70B"/>
    <w:rsid w:val="00D9096B"/>
    <w:rsid w:val="00D90ED1"/>
    <w:rsid w:val="00D91C34"/>
    <w:rsid w:val="00D92262"/>
    <w:rsid w:val="00D925C5"/>
    <w:rsid w:val="00D9279F"/>
    <w:rsid w:val="00D94E4C"/>
    <w:rsid w:val="00D95709"/>
    <w:rsid w:val="00D958D7"/>
    <w:rsid w:val="00D96B2B"/>
    <w:rsid w:val="00D96D46"/>
    <w:rsid w:val="00D97A4E"/>
    <w:rsid w:val="00D97B72"/>
    <w:rsid w:val="00D97CF6"/>
    <w:rsid w:val="00DA0BBE"/>
    <w:rsid w:val="00DA11AE"/>
    <w:rsid w:val="00DA16E5"/>
    <w:rsid w:val="00DA1BE9"/>
    <w:rsid w:val="00DA283D"/>
    <w:rsid w:val="00DA3E12"/>
    <w:rsid w:val="00DA4141"/>
    <w:rsid w:val="00DA417B"/>
    <w:rsid w:val="00DA45BD"/>
    <w:rsid w:val="00DA50CC"/>
    <w:rsid w:val="00DA52EB"/>
    <w:rsid w:val="00DA5CD6"/>
    <w:rsid w:val="00DA6868"/>
    <w:rsid w:val="00DA7167"/>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74"/>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1B3"/>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11AA5"/>
    <w:rsid w:val="00F11E55"/>
    <w:rsid w:val="00F128DE"/>
    <w:rsid w:val="00F12DF4"/>
    <w:rsid w:val="00F13400"/>
    <w:rsid w:val="00F13F46"/>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1DB"/>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6DB1"/>
    <w:rsid w:val="00FB7318"/>
    <w:rsid w:val="00FB77DE"/>
    <w:rsid w:val="00FC0251"/>
    <w:rsid w:val="00FC06CC"/>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22"/>
    <w:rsid w:val="00FF4FD5"/>
    <w:rsid w:val="00FF55F7"/>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29575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0199483">
      <w:bodyDiv w:val="1"/>
      <w:marLeft w:val="0"/>
      <w:marRight w:val="0"/>
      <w:marTop w:val="0"/>
      <w:marBottom w:val="0"/>
      <w:divBdr>
        <w:top w:val="none" w:sz="0" w:space="0" w:color="auto"/>
        <w:left w:val="none" w:sz="0" w:space="0" w:color="auto"/>
        <w:bottom w:val="none" w:sz="0" w:space="0" w:color="auto"/>
        <w:right w:val="none" w:sz="0" w:space="0" w:color="auto"/>
      </w:divBdr>
      <w:divsChild>
        <w:div w:id="520627852">
          <w:marLeft w:val="446"/>
          <w:marRight w:val="0"/>
          <w:marTop w:val="0"/>
          <w:marBottom w:val="200"/>
          <w:divBdr>
            <w:top w:val="none" w:sz="0" w:space="0" w:color="auto"/>
            <w:left w:val="none" w:sz="0" w:space="0" w:color="auto"/>
            <w:bottom w:val="none" w:sz="0" w:space="0" w:color="auto"/>
            <w:right w:val="none" w:sz="0" w:space="0" w:color="auto"/>
          </w:divBdr>
        </w:div>
      </w:divsChild>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6A97-37CF-4A72-A446-E2302D60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5348</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2018-06-04T02:21:00Z</dcterms:created>
  <dcterms:modified xsi:type="dcterms:W3CDTF">2018-06-04T05:43:00Z</dcterms:modified>
</cp:coreProperties>
</file>