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2229"/>
        <w:gridCol w:w="3202"/>
        <w:gridCol w:w="6802"/>
      </w:tblGrid>
      <w:tr w:rsidR="00987FDA" w:rsidRPr="00971118" w:rsidTr="00704832">
        <w:trPr>
          <w:cantSplit/>
          <w:tblHeader/>
        </w:trPr>
        <w:tc>
          <w:tcPr>
            <w:tcW w:w="3076" w:type="dxa"/>
            <w:tcMar>
              <w:top w:w="28" w:type="dxa"/>
              <w:bottom w:w="28" w:type="dxa"/>
            </w:tcMar>
          </w:tcPr>
          <w:p w:rsidR="0065234B" w:rsidRPr="00971118" w:rsidRDefault="00E836AC" w:rsidP="0065234B">
            <w:pPr>
              <w:widowControl w:val="0"/>
              <w:jc w:val="center"/>
              <w:rPr>
                <w:rFonts w:ascii="Arial" w:hAnsi="Arial" w:cs="Arial"/>
                <w:b/>
              </w:rPr>
            </w:pPr>
            <w:r w:rsidRPr="00971118">
              <w:rPr>
                <w:rFonts w:ascii="Arial" w:hAnsi="Arial" w:cs="Arial"/>
                <w:b/>
              </w:rPr>
              <w:t>DRUG NAME, FORM(S), STRENGTH(S), SPONSOR, TYPE OF SUBMISSION</w:t>
            </w:r>
          </w:p>
          <w:p w:rsidR="00E836AC" w:rsidRPr="00971118" w:rsidRDefault="00E836AC" w:rsidP="0065234B">
            <w:pPr>
              <w:widowControl w:val="0"/>
              <w:jc w:val="center"/>
              <w:rPr>
                <w:rFonts w:ascii="Arial" w:hAnsi="Arial" w:cs="Arial"/>
                <w:b/>
              </w:rPr>
            </w:pPr>
          </w:p>
        </w:tc>
        <w:tc>
          <w:tcPr>
            <w:tcW w:w="2229" w:type="dxa"/>
            <w:tcMar>
              <w:top w:w="28" w:type="dxa"/>
              <w:bottom w:w="28" w:type="dxa"/>
            </w:tcMar>
          </w:tcPr>
          <w:p w:rsidR="00987FDA" w:rsidRPr="00971118" w:rsidRDefault="00E836AC" w:rsidP="0065234B">
            <w:pPr>
              <w:widowControl w:val="0"/>
              <w:jc w:val="center"/>
              <w:rPr>
                <w:rFonts w:ascii="Arial" w:hAnsi="Arial" w:cs="Arial"/>
                <w:b/>
                <w:snapToGrid w:val="0"/>
                <w:lang w:eastAsia="en-US"/>
              </w:rPr>
            </w:pPr>
            <w:r w:rsidRPr="00971118">
              <w:rPr>
                <w:rFonts w:ascii="Arial" w:hAnsi="Arial" w:cs="Arial"/>
                <w:b/>
                <w:snapToGrid w:val="0"/>
                <w:lang w:eastAsia="en-US"/>
              </w:rPr>
              <w:t>DRUG TYPE AND USE</w:t>
            </w:r>
          </w:p>
          <w:p w:rsidR="00987FDA" w:rsidRPr="00971118" w:rsidRDefault="00987FDA" w:rsidP="0065234B">
            <w:pPr>
              <w:widowControl w:val="0"/>
              <w:jc w:val="center"/>
              <w:rPr>
                <w:rFonts w:ascii="Arial" w:hAnsi="Arial" w:cs="Arial"/>
                <w:b/>
                <w:snapToGrid w:val="0"/>
                <w:lang w:eastAsia="en-US"/>
              </w:rPr>
            </w:pPr>
          </w:p>
        </w:tc>
        <w:tc>
          <w:tcPr>
            <w:tcW w:w="3202" w:type="dxa"/>
            <w:tcMar>
              <w:top w:w="28" w:type="dxa"/>
              <w:bottom w:w="28" w:type="dxa"/>
            </w:tcMar>
          </w:tcPr>
          <w:p w:rsidR="00987FDA" w:rsidRPr="00971118" w:rsidRDefault="00E836AC" w:rsidP="0065234B">
            <w:pPr>
              <w:widowControl w:val="0"/>
              <w:jc w:val="center"/>
              <w:rPr>
                <w:rFonts w:ascii="Arial" w:hAnsi="Arial" w:cs="Arial"/>
                <w:b/>
                <w:snapToGrid w:val="0"/>
                <w:lang w:eastAsia="en-US"/>
              </w:rPr>
            </w:pPr>
            <w:r w:rsidRPr="00971118">
              <w:rPr>
                <w:rFonts w:ascii="Arial" w:hAnsi="Arial" w:cs="Arial"/>
                <w:b/>
                <w:snapToGrid w:val="0"/>
                <w:lang w:eastAsia="en-US"/>
              </w:rPr>
              <w:t>LISTING REQUESTED BY SPONSOR / PURPOSE OF SUBMISSION</w:t>
            </w:r>
          </w:p>
          <w:p w:rsidR="00E836AC" w:rsidRPr="00971118" w:rsidRDefault="00E836AC" w:rsidP="0065234B">
            <w:pPr>
              <w:widowControl w:val="0"/>
              <w:jc w:val="center"/>
              <w:rPr>
                <w:rFonts w:ascii="Arial" w:hAnsi="Arial" w:cs="Arial"/>
                <w:b/>
                <w:snapToGrid w:val="0"/>
                <w:lang w:eastAsia="en-US"/>
              </w:rPr>
            </w:pPr>
          </w:p>
        </w:tc>
        <w:tc>
          <w:tcPr>
            <w:tcW w:w="6802" w:type="dxa"/>
          </w:tcPr>
          <w:p w:rsidR="00987FDA" w:rsidRPr="00971118" w:rsidRDefault="00E836AC" w:rsidP="00E836AC">
            <w:pPr>
              <w:pStyle w:val="Header"/>
              <w:jc w:val="center"/>
              <w:rPr>
                <w:rFonts w:ascii="Arial" w:hAnsi="Arial" w:cs="Arial"/>
                <w:b/>
                <w:snapToGrid w:val="0"/>
                <w:lang w:eastAsia="en-US"/>
              </w:rPr>
            </w:pPr>
            <w:r w:rsidRPr="00971118">
              <w:rPr>
                <w:rFonts w:ascii="Arial" w:hAnsi="Arial" w:cs="Arial"/>
                <w:b/>
                <w:snapToGrid w:val="0"/>
                <w:lang w:eastAsia="en-US"/>
              </w:rPr>
              <w:t>PBAC OUTCOME</w:t>
            </w:r>
          </w:p>
        </w:tc>
      </w:tr>
      <w:tr w:rsidR="005339DB" w:rsidRPr="00971118" w:rsidTr="00704832">
        <w:trPr>
          <w:cantSplit/>
          <w:trHeight w:val="1880"/>
        </w:trPr>
        <w:tc>
          <w:tcPr>
            <w:tcW w:w="3076" w:type="dxa"/>
            <w:vMerge w:val="restart"/>
            <w:tcMar>
              <w:top w:w="28" w:type="dxa"/>
              <w:bottom w:w="28" w:type="dxa"/>
            </w:tcMar>
          </w:tcPr>
          <w:p w:rsidR="005339DB" w:rsidRPr="00971118" w:rsidRDefault="005339DB" w:rsidP="00911E0D">
            <w:pPr>
              <w:rPr>
                <w:rStyle w:val="st"/>
                <w:rFonts w:ascii="Arial" w:hAnsi="Arial" w:cs="Arial"/>
                <w:color w:val="000000"/>
                <w:highlight w:val="yellow"/>
              </w:rPr>
            </w:pPr>
            <w:r w:rsidRPr="00971118">
              <w:rPr>
                <w:rFonts w:ascii="Arial" w:hAnsi="Arial" w:cs="Arial"/>
                <w:color w:val="000000"/>
              </w:rPr>
              <w:t>AMINO ACID FORMULA  WITH VITAMINS, MINERALS AND LONG CHAIN POLYUNSATURATED FATTY ACIDS, WITHOUT PHENYLALANINE</w:t>
            </w:r>
            <w:r w:rsidRPr="00971118">
              <w:rPr>
                <w:rFonts w:ascii="Arial" w:hAnsi="Arial" w:cs="Arial"/>
                <w:color w:val="000000"/>
              </w:rPr>
              <w:br/>
            </w:r>
            <w:r w:rsidRPr="00971118">
              <w:rPr>
                <w:rFonts w:ascii="Arial" w:hAnsi="Arial" w:cs="Arial"/>
                <w:color w:val="000000"/>
              </w:rPr>
              <w:br/>
              <w:t>Oral powder 400 g (PKU Start)</w:t>
            </w:r>
            <w:r w:rsidRPr="00971118">
              <w:rPr>
                <w:rFonts w:ascii="Arial" w:hAnsi="Arial" w:cs="Arial"/>
                <w:color w:val="000000"/>
              </w:rPr>
              <w:br/>
            </w:r>
            <w:r w:rsidRPr="00971118">
              <w:rPr>
                <w:rFonts w:ascii="Arial" w:hAnsi="Arial" w:cs="Arial"/>
                <w:color w:val="000000"/>
              </w:rPr>
              <w:br/>
              <w:t>PKU Start®</w:t>
            </w:r>
            <w:r w:rsidRPr="00971118">
              <w:rPr>
                <w:rFonts w:ascii="Arial" w:hAnsi="Arial" w:cs="Arial"/>
                <w:color w:val="000000"/>
              </w:rPr>
              <w:br/>
            </w:r>
            <w:r w:rsidRPr="00971118">
              <w:rPr>
                <w:rFonts w:ascii="Arial" w:hAnsi="Arial" w:cs="Arial"/>
                <w:color w:val="000000"/>
              </w:rPr>
              <w:br/>
              <w:t>Vitaflo Australia Pty Ltd</w:t>
            </w:r>
            <w:r w:rsidRPr="00971118">
              <w:rPr>
                <w:rStyle w:val="st"/>
                <w:rFonts w:ascii="Arial" w:hAnsi="Arial" w:cs="Arial"/>
                <w:color w:val="000000"/>
                <w:highlight w:val="yellow"/>
              </w:rPr>
              <w:t xml:space="preserve"> </w:t>
            </w:r>
          </w:p>
          <w:p w:rsidR="005339DB" w:rsidRPr="00971118" w:rsidRDefault="005339DB" w:rsidP="00911E0D">
            <w:pPr>
              <w:rPr>
                <w:rStyle w:val="st"/>
                <w:rFonts w:ascii="Arial" w:hAnsi="Arial" w:cs="Arial"/>
                <w:color w:val="000000"/>
                <w:highlight w:val="yellow"/>
              </w:rPr>
            </w:pPr>
          </w:p>
          <w:p w:rsidR="005339DB" w:rsidRPr="00971118" w:rsidRDefault="005339DB" w:rsidP="005339DB">
            <w:pPr>
              <w:rPr>
                <w:rStyle w:val="st"/>
                <w:rFonts w:ascii="Arial" w:hAnsi="Arial" w:cs="Arial"/>
                <w:color w:val="000000"/>
                <w:highlight w:val="yellow"/>
              </w:rPr>
            </w:pPr>
            <w:r w:rsidRPr="00971118">
              <w:rPr>
                <w:rFonts w:ascii="Arial" w:hAnsi="Arial" w:cs="Arial"/>
                <w:color w:val="000000"/>
              </w:rPr>
              <w:t>New listing (Minor Submission)</w:t>
            </w:r>
          </w:p>
        </w:tc>
        <w:tc>
          <w:tcPr>
            <w:tcW w:w="2229" w:type="dxa"/>
            <w:vMerge w:val="restart"/>
          </w:tcPr>
          <w:p w:rsidR="005339DB" w:rsidRPr="00971118" w:rsidRDefault="005339DB" w:rsidP="00AF2B29">
            <w:pPr>
              <w:rPr>
                <w:rFonts w:ascii="Arial" w:hAnsi="Arial" w:cs="Arial"/>
                <w:color w:val="000000"/>
              </w:rPr>
            </w:pPr>
            <w:r w:rsidRPr="00971118">
              <w:rPr>
                <w:rFonts w:ascii="Arial" w:hAnsi="Arial" w:cs="Arial"/>
                <w:color w:val="000000"/>
              </w:rPr>
              <w:t>Phenylketonuria</w:t>
            </w:r>
          </w:p>
        </w:tc>
        <w:tc>
          <w:tcPr>
            <w:tcW w:w="3202" w:type="dxa"/>
            <w:tcMar>
              <w:top w:w="28" w:type="dxa"/>
              <w:bottom w:w="28" w:type="dxa"/>
            </w:tcMar>
          </w:tcPr>
          <w:p w:rsidR="005339DB" w:rsidRPr="00971118" w:rsidRDefault="005339DB" w:rsidP="005339DB">
            <w:pPr>
              <w:rPr>
                <w:rFonts w:ascii="Arial" w:hAnsi="Arial" w:cs="Arial"/>
                <w:color w:val="000000"/>
              </w:rPr>
            </w:pPr>
            <w:r w:rsidRPr="00971118">
              <w:rPr>
                <w:rFonts w:ascii="Arial" w:hAnsi="Arial" w:cs="Arial"/>
                <w:color w:val="000000"/>
              </w:rPr>
              <w:t>To request a Restricted Benefit listing for the dietary management of patients with phenylketonuria.</w:t>
            </w:r>
          </w:p>
          <w:p w:rsidR="005339DB" w:rsidRPr="00971118" w:rsidRDefault="005339DB" w:rsidP="00911E0D">
            <w:pPr>
              <w:rPr>
                <w:rFonts w:ascii="Arial" w:hAnsi="Arial" w:cs="Arial"/>
                <w:highlight w:val="yellow"/>
              </w:rPr>
            </w:pPr>
          </w:p>
        </w:tc>
        <w:tc>
          <w:tcPr>
            <w:tcW w:w="6802" w:type="dxa"/>
          </w:tcPr>
          <w:p w:rsidR="005339DB" w:rsidRPr="00971118" w:rsidRDefault="005339DB" w:rsidP="00704832">
            <w:pPr>
              <w:widowControl w:val="0"/>
              <w:jc w:val="both"/>
              <w:rPr>
                <w:rFonts w:ascii="Arial" w:hAnsi="Arial" w:cs="Arial"/>
                <w:bCs/>
                <w:snapToGrid w:val="0"/>
              </w:rPr>
            </w:pPr>
            <w:r w:rsidRPr="00971118">
              <w:rPr>
                <w:rFonts w:ascii="Arial" w:hAnsi="Arial" w:cs="Arial"/>
                <w:bCs/>
                <w:snapToGrid w:val="0"/>
              </w:rPr>
              <w:t>The PBAC deferred making a decision on the listing of PKU Start® for the dietary management of Phenylketonuria (PKU) noting that the product provides only 70% of iron requirements for infants aged 7-12 months. The PBAC noted that the sponsor attempted to address this issue in the pre-PBAC response and considered it would be appropriate to seek advice from the</w:t>
            </w:r>
            <w:r w:rsidR="00756407">
              <w:rPr>
                <w:rFonts w:ascii="Arial" w:hAnsi="Arial" w:cs="Arial"/>
                <w:bCs/>
                <w:snapToGrid w:val="0"/>
              </w:rPr>
              <w:t xml:space="preserve"> PBAC’s</w:t>
            </w:r>
            <w:r w:rsidRPr="00971118">
              <w:rPr>
                <w:rFonts w:ascii="Arial" w:hAnsi="Arial" w:cs="Arial"/>
                <w:bCs/>
                <w:snapToGrid w:val="0"/>
              </w:rPr>
              <w:t xml:space="preserve"> Nutritional Products Working Party, regarding</w:t>
            </w:r>
            <w:r w:rsidR="00756407">
              <w:rPr>
                <w:rFonts w:ascii="Arial" w:hAnsi="Arial" w:cs="Arial"/>
                <w:bCs/>
                <w:snapToGrid w:val="0"/>
              </w:rPr>
              <w:t xml:space="preserve"> the</w:t>
            </w:r>
            <w:r w:rsidRPr="00971118">
              <w:rPr>
                <w:rFonts w:ascii="Arial" w:hAnsi="Arial" w:cs="Arial"/>
                <w:bCs/>
                <w:snapToGrid w:val="0"/>
              </w:rPr>
              <w:t xml:space="preserve"> matters raised in the response, prior to making its decision.</w:t>
            </w:r>
          </w:p>
          <w:p w:rsidR="005339DB" w:rsidRPr="00971118" w:rsidRDefault="005339DB" w:rsidP="00704832">
            <w:pPr>
              <w:pStyle w:val="ListParagraph"/>
              <w:ind w:left="0"/>
              <w:jc w:val="both"/>
              <w:rPr>
                <w:rFonts w:ascii="Arial" w:hAnsi="Arial" w:cs="Arial"/>
                <w:sz w:val="20"/>
                <w:szCs w:val="20"/>
                <w:highlight w:val="yellow"/>
              </w:rPr>
            </w:pPr>
          </w:p>
        </w:tc>
      </w:tr>
      <w:tr w:rsidR="005339DB" w:rsidRPr="00971118" w:rsidTr="00704832">
        <w:trPr>
          <w:cantSplit/>
          <w:trHeight w:val="477"/>
        </w:trPr>
        <w:tc>
          <w:tcPr>
            <w:tcW w:w="3076" w:type="dxa"/>
            <w:vMerge/>
            <w:tcMar>
              <w:top w:w="28" w:type="dxa"/>
              <w:bottom w:w="28" w:type="dxa"/>
            </w:tcMar>
          </w:tcPr>
          <w:p w:rsidR="005339DB" w:rsidRPr="00971118" w:rsidRDefault="005339DB" w:rsidP="00911E0D">
            <w:pPr>
              <w:widowControl w:val="0"/>
              <w:rPr>
                <w:rFonts w:ascii="Arial" w:hAnsi="Arial" w:cs="Arial"/>
                <w:snapToGrid w:val="0"/>
                <w:lang w:eastAsia="en-US"/>
              </w:rPr>
            </w:pPr>
          </w:p>
        </w:tc>
        <w:tc>
          <w:tcPr>
            <w:tcW w:w="2229" w:type="dxa"/>
            <w:vMerge/>
          </w:tcPr>
          <w:p w:rsidR="005339DB" w:rsidRPr="00971118" w:rsidRDefault="005339DB" w:rsidP="00911E0D">
            <w:pPr>
              <w:widowControl w:val="0"/>
              <w:rPr>
                <w:rFonts w:ascii="Arial" w:hAnsi="Arial" w:cs="Arial"/>
                <w:snapToGrid w:val="0"/>
                <w:lang w:eastAsia="en-US"/>
              </w:rPr>
            </w:pPr>
          </w:p>
        </w:tc>
        <w:tc>
          <w:tcPr>
            <w:tcW w:w="3202" w:type="dxa"/>
            <w:tcMar>
              <w:top w:w="28" w:type="dxa"/>
              <w:bottom w:w="28" w:type="dxa"/>
            </w:tcMar>
          </w:tcPr>
          <w:p w:rsidR="005339DB" w:rsidRPr="00971118" w:rsidRDefault="005339DB" w:rsidP="00911E0D">
            <w:pPr>
              <w:widowControl w:val="0"/>
              <w:jc w:val="right"/>
              <w:rPr>
                <w:rFonts w:ascii="Arial" w:hAnsi="Arial" w:cs="Arial"/>
                <w:snapToGrid w:val="0"/>
                <w:highlight w:val="yellow"/>
                <w:lang w:eastAsia="en-US"/>
              </w:rPr>
            </w:pPr>
            <w:r w:rsidRPr="00971118">
              <w:rPr>
                <w:rFonts w:ascii="Arial" w:hAnsi="Arial" w:cs="Arial"/>
                <w:snapToGrid w:val="0"/>
                <w:lang w:eastAsia="en-US"/>
              </w:rPr>
              <w:t>Sponsor Comment:</w:t>
            </w:r>
          </w:p>
        </w:tc>
        <w:tc>
          <w:tcPr>
            <w:tcW w:w="6802" w:type="dxa"/>
          </w:tcPr>
          <w:p w:rsidR="005339DB" w:rsidRPr="00971118" w:rsidRDefault="003B0055" w:rsidP="00704832">
            <w:pPr>
              <w:pStyle w:val="ListParagraph"/>
              <w:ind w:left="0"/>
              <w:jc w:val="both"/>
              <w:rPr>
                <w:rFonts w:ascii="Arial" w:hAnsi="Arial" w:cs="Arial"/>
                <w:sz w:val="20"/>
                <w:szCs w:val="20"/>
                <w:highlight w:val="yellow"/>
              </w:rPr>
            </w:pPr>
            <w:r>
              <w:rPr>
                <w:rFonts w:ascii="Arial" w:hAnsi="Arial" w:cs="Arial"/>
                <w:sz w:val="20"/>
                <w:szCs w:val="20"/>
              </w:rPr>
              <w:t>The Sponsor had no comment.</w:t>
            </w:r>
          </w:p>
        </w:tc>
      </w:tr>
      <w:tr w:rsidR="005339DB" w:rsidRPr="00971118" w:rsidTr="00704832">
        <w:trPr>
          <w:cantSplit/>
          <w:trHeight w:val="1880"/>
        </w:trPr>
        <w:tc>
          <w:tcPr>
            <w:tcW w:w="3076" w:type="dxa"/>
            <w:vMerge w:val="restart"/>
            <w:tcMar>
              <w:top w:w="28" w:type="dxa"/>
              <w:bottom w:w="28" w:type="dxa"/>
            </w:tcMar>
          </w:tcPr>
          <w:p w:rsidR="00971118" w:rsidRPr="001C1D66" w:rsidRDefault="00971118" w:rsidP="00971118">
            <w:pPr>
              <w:rPr>
                <w:rFonts w:ascii="Arial" w:hAnsi="Arial" w:cs="Arial"/>
                <w:color w:val="000000"/>
              </w:rPr>
            </w:pPr>
            <w:r w:rsidRPr="001C1D66">
              <w:rPr>
                <w:rFonts w:ascii="Arial" w:hAnsi="Arial" w:cs="Arial"/>
                <w:color w:val="000000"/>
              </w:rPr>
              <w:t xml:space="preserve">APREMILAST </w:t>
            </w:r>
            <w:r w:rsidRPr="001C1D66">
              <w:rPr>
                <w:rFonts w:ascii="Arial" w:hAnsi="Arial" w:cs="Arial"/>
                <w:color w:val="000000"/>
              </w:rPr>
              <w:br w:type="page"/>
            </w:r>
            <w:r w:rsidRPr="001C1D66">
              <w:rPr>
                <w:rFonts w:ascii="Arial" w:hAnsi="Arial" w:cs="Arial"/>
                <w:color w:val="000000"/>
              </w:rPr>
              <w:br w:type="page"/>
            </w:r>
          </w:p>
          <w:p w:rsidR="00971118" w:rsidRPr="001C1D66" w:rsidRDefault="00971118" w:rsidP="00971118">
            <w:pPr>
              <w:rPr>
                <w:rFonts w:ascii="Arial" w:hAnsi="Arial" w:cs="Arial"/>
                <w:color w:val="000000"/>
              </w:rPr>
            </w:pPr>
          </w:p>
          <w:p w:rsidR="00971118" w:rsidRPr="00FF3AF6" w:rsidRDefault="00971118" w:rsidP="00971118">
            <w:pPr>
              <w:rPr>
                <w:rFonts w:ascii="Arial" w:hAnsi="Arial" w:cs="Arial"/>
                <w:color w:val="000000"/>
              </w:rPr>
            </w:pPr>
            <w:r w:rsidRPr="00FF3AF6">
              <w:rPr>
                <w:rFonts w:ascii="Arial" w:hAnsi="Arial" w:cs="Arial"/>
                <w:color w:val="000000"/>
              </w:rPr>
              <w:t>Tablet 30 mg</w:t>
            </w:r>
          </w:p>
          <w:p w:rsidR="00971118" w:rsidRDefault="00971118" w:rsidP="00971118">
            <w:pPr>
              <w:rPr>
                <w:rFonts w:ascii="Arial" w:hAnsi="Arial" w:cs="Arial"/>
                <w:color w:val="000000"/>
              </w:rPr>
            </w:pPr>
            <w:r w:rsidRPr="00FF3AF6">
              <w:rPr>
                <w:rFonts w:ascii="Arial" w:hAnsi="Arial" w:cs="Arial"/>
                <w:color w:val="000000"/>
              </w:rPr>
              <w:t>Pack containing 4 tablets of 10 mg , 4 tablets of 20 mg and 19 tablets of 30 mg</w:t>
            </w:r>
          </w:p>
          <w:p w:rsidR="00971118" w:rsidRPr="001C1D66" w:rsidRDefault="00971118" w:rsidP="00971118">
            <w:pPr>
              <w:rPr>
                <w:rFonts w:ascii="Arial" w:hAnsi="Arial" w:cs="Arial"/>
                <w:color w:val="000000"/>
              </w:rPr>
            </w:pPr>
          </w:p>
          <w:p w:rsidR="00971118" w:rsidRPr="001C1D66" w:rsidRDefault="00971118" w:rsidP="00971118">
            <w:pPr>
              <w:rPr>
                <w:rFonts w:ascii="Arial" w:hAnsi="Arial" w:cs="Arial"/>
                <w:color w:val="000000"/>
              </w:rPr>
            </w:pPr>
            <w:r w:rsidRPr="001C1D66">
              <w:rPr>
                <w:rFonts w:ascii="Arial" w:hAnsi="Arial" w:cs="Arial"/>
                <w:color w:val="000000"/>
              </w:rPr>
              <w:br w:type="page"/>
            </w:r>
            <w:r w:rsidRPr="001C1D66">
              <w:rPr>
                <w:rFonts w:ascii="Arial" w:hAnsi="Arial" w:cs="Arial"/>
                <w:color w:val="000000"/>
              </w:rPr>
              <w:br w:type="page"/>
              <w:t>Otezla®</w:t>
            </w:r>
          </w:p>
          <w:p w:rsidR="00971118" w:rsidRPr="001C1D66" w:rsidRDefault="00971118" w:rsidP="00971118">
            <w:pPr>
              <w:rPr>
                <w:rFonts w:ascii="Arial" w:hAnsi="Arial" w:cs="Arial"/>
                <w:color w:val="000000"/>
              </w:rPr>
            </w:pPr>
          </w:p>
          <w:p w:rsidR="005339DB" w:rsidRDefault="00971118" w:rsidP="00971118">
            <w:pPr>
              <w:rPr>
                <w:rFonts w:ascii="Arial" w:hAnsi="Arial" w:cs="Arial"/>
                <w:color w:val="000000"/>
              </w:rPr>
            </w:pPr>
            <w:r w:rsidRPr="001C1D66">
              <w:rPr>
                <w:rFonts w:ascii="Arial" w:hAnsi="Arial" w:cs="Arial"/>
                <w:color w:val="000000"/>
              </w:rPr>
              <w:br w:type="page"/>
            </w:r>
            <w:r w:rsidRPr="001C1D66">
              <w:rPr>
                <w:rFonts w:ascii="Arial" w:hAnsi="Arial" w:cs="Arial"/>
                <w:color w:val="000000"/>
              </w:rPr>
              <w:br w:type="page"/>
              <w:t>Celgene Pty Ltd</w:t>
            </w:r>
          </w:p>
          <w:p w:rsidR="00971118" w:rsidRDefault="00971118" w:rsidP="00971118">
            <w:pPr>
              <w:rPr>
                <w:rFonts w:ascii="Arial" w:hAnsi="Arial" w:cs="Arial"/>
                <w:color w:val="000000"/>
              </w:rPr>
            </w:pPr>
          </w:p>
          <w:p w:rsidR="00971118" w:rsidRPr="001C1D66" w:rsidRDefault="00971118" w:rsidP="00971118">
            <w:pPr>
              <w:rPr>
                <w:rFonts w:ascii="Arial" w:hAnsi="Arial" w:cs="Arial"/>
                <w:color w:val="000000"/>
              </w:rPr>
            </w:pPr>
            <w:r w:rsidRPr="001C1D66">
              <w:rPr>
                <w:rFonts w:ascii="Arial" w:hAnsi="Arial" w:cs="Arial"/>
                <w:color w:val="000000"/>
              </w:rPr>
              <w:t>New listing</w:t>
            </w:r>
            <w:r w:rsidRPr="001C1D66">
              <w:rPr>
                <w:rFonts w:ascii="Arial" w:hAnsi="Arial" w:cs="Arial"/>
                <w:color w:val="000000"/>
              </w:rPr>
              <w:br w:type="page"/>
            </w:r>
            <w:r w:rsidRPr="001C1D66">
              <w:rPr>
                <w:rFonts w:ascii="Arial" w:hAnsi="Arial" w:cs="Arial"/>
                <w:color w:val="000000"/>
              </w:rPr>
              <w:br w:type="page"/>
            </w:r>
          </w:p>
          <w:p w:rsidR="00971118" w:rsidRPr="00971118" w:rsidRDefault="00971118" w:rsidP="00971118">
            <w:pPr>
              <w:rPr>
                <w:rStyle w:val="st"/>
                <w:rFonts w:ascii="Arial" w:hAnsi="Arial" w:cs="Arial"/>
                <w:color w:val="000000"/>
                <w:highlight w:val="yellow"/>
              </w:rPr>
            </w:pPr>
            <w:r w:rsidRPr="001C1D66">
              <w:rPr>
                <w:rFonts w:ascii="Arial" w:hAnsi="Arial" w:cs="Arial"/>
                <w:color w:val="000000"/>
              </w:rPr>
              <w:t>(Major Submission)</w:t>
            </w:r>
          </w:p>
        </w:tc>
        <w:tc>
          <w:tcPr>
            <w:tcW w:w="2229" w:type="dxa"/>
            <w:vMerge w:val="restart"/>
          </w:tcPr>
          <w:p w:rsidR="005339DB" w:rsidRPr="00971118" w:rsidRDefault="00971118" w:rsidP="00AF2B29">
            <w:pPr>
              <w:rPr>
                <w:rFonts w:ascii="Arial" w:hAnsi="Arial" w:cs="Arial"/>
                <w:highlight w:val="yellow"/>
              </w:rPr>
            </w:pPr>
            <w:r w:rsidRPr="001C1D66">
              <w:rPr>
                <w:rFonts w:ascii="Arial" w:hAnsi="Arial" w:cs="Arial"/>
                <w:color w:val="000000"/>
              </w:rPr>
              <w:t>Moderate to severe plaque psoriasis</w:t>
            </w:r>
          </w:p>
        </w:tc>
        <w:tc>
          <w:tcPr>
            <w:tcW w:w="3202" w:type="dxa"/>
            <w:tcMar>
              <w:top w:w="28" w:type="dxa"/>
              <w:bottom w:w="28" w:type="dxa"/>
            </w:tcMar>
          </w:tcPr>
          <w:p w:rsidR="005339DB" w:rsidRPr="00971118" w:rsidRDefault="00971118" w:rsidP="00AF2B29">
            <w:pPr>
              <w:rPr>
                <w:rFonts w:ascii="Arial" w:hAnsi="Arial" w:cs="Arial"/>
                <w:highlight w:val="yellow"/>
              </w:rPr>
            </w:pPr>
            <w:r w:rsidRPr="00E04C29">
              <w:rPr>
                <w:rFonts w:ascii="Arial" w:hAnsi="Arial" w:cs="Arial"/>
                <w:color w:val="000000"/>
              </w:rPr>
              <w:t>Resubmission to request a Restricted Benefit listing for treatment of patients with moderate to severe plaque psoriasis</w:t>
            </w:r>
            <w:r>
              <w:rPr>
                <w:rFonts w:ascii="Arial" w:hAnsi="Arial" w:cs="Arial"/>
                <w:color w:val="000000"/>
              </w:rPr>
              <w:t>.</w:t>
            </w:r>
          </w:p>
        </w:tc>
        <w:tc>
          <w:tcPr>
            <w:tcW w:w="6802" w:type="dxa"/>
          </w:tcPr>
          <w:p w:rsidR="00D70026" w:rsidRPr="00D70026" w:rsidRDefault="00D70026" w:rsidP="00704832">
            <w:pPr>
              <w:widowControl w:val="0"/>
              <w:jc w:val="both"/>
              <w:rPr>
                <w:rFonts w:ascii="Arial" w:hAnsi="Arial" w:cs="Arial"/>
              </w:rPr>
            </w:pPr>
            <w:r w:rsidRPr="00D70026">
              <w:rPr>
                <w:rFonts w:ascii="Arial" w:hAnsi="Arial" w:cs="Arial"/>
              </w:rPr>
              <w:t xml:space="preserve">The PBAC deferred making a recommendation on whether apremilast should be listed on the PBS for the treatment of moderate to severe plaque psoriasis in adults to allow further discussion and modelling to establish a price that could be considered cost effective. </w:t>
            </w:r>
            <w:r w:rsidR="00E27C86" w:rsidRPr="00E27C86">
              <w:rPr>
                <w:rFonts w:ascii="Arial" w:hAnsi="Arial" w:cs="Arial"/>
              </w:rPr>
              <w:tab/>
              <w:t>The PBAC noted the input received from individuals and health professionals and acknowledged that there was a consumer need for an alternative therapy for psoriasis.</w:t>
            </w:r>
          </w:p>
          <w:p w:rsidR="00D70026" w:rsidRPr="00D70026" w:rsidRDefault="00D70026" w:rsidP="00704832">
            <w:pPr>
              <w:widowControl w:val="0"/>
              <w:jc w:val="both"/>
              <w:rPr>
                <w:rFonts w:ascii="Arial" w:hAnsi="Arial" w:cs="Arial"/>
              </w:rPr>
            </w:pPr>
            <w:r w:rsidRPr="00D70026">
              <w:rPr>
                <w:rFonts w:ascii="Arial" w:hAnsi="Arial" w:cs="Arial"/>
              </w:rPr>
              <w:t>In making this decision, the PBAC considered that the monitoring and adverse event cost offsets presented in the submission, which gave apremilast a significant price advantage over cyclosporin, were considerably overestimated. Further, the committee considered there was significant uncertainty in the apremilast utilisation estimates presented. Overall, the PBAC considered that apremilast was not cost-effective at the requested price.</w:t>
            </w:r>
          </w:p>
          <w:p w:rsidR="00417896" w:rsidRPr="00417896" w:rsidRDefault="00D70026" w:rsidP="00704832">
            <w:pPr>
              <w:widowControl w:val="0"/>
              <w:jc w:val="both"/>
              <w:rPr>
                <w:rFonts w:ascii="Arial" w:hAnsi="Arial" w:cs="Arial"/>
              </w:rPr>
            </w:pPr>
            <w:r w:rsidRPr="00D70026">
              <w:rPr>
                <w:rFonts w:ascii="Arial" w:hAnsi="Arial" w:cs="Arial"/>
              </w:rPr>
              <w:t xml:space="preserve">Based on the uncertainty in the clinical data available to show that apremilast is not of inferior efficacy to cyclosporin, but taking into account the reduced toxicity of apremilast compared to cyclosporin and the requirement for less monitoring, the PBAC advised the sponsor of a price premium for apremilast that would be likely be acceptably cost-effective for the purposes of the </w:t>
            </w:r>
            <w:r w:rsidRPr="00417896">
              <w:rPr>
                <w:rFonts w:ascii="Arial" w:hAnsi="Arial" w:cs="Arial"/>
                <w:i/>
              </w:rPr>
              <w:t>National Health Act 1953</w:t>
            </w:r>
            <w:r w:rsidRPr="00D70026">
              <w:rPr>
                <w:rFonts w:ascii="Arial" w:hAnsi="Arial" w:cs="Arial"/>
              </w:rPr>
              <w:t>.</w:t>
            </w:r>
          </w:p>
        </w:tc>
      </w:tr>
      <w:tr w:rsidR="005339DB" w:rsidRPr="00971118" w:rsidTr="00704832">
        <w:trPr>
          <w:cantSplit/>
          <w:trHeight w:val="477"/>
        </w:trPr>
        <w:tc>
          <w:tcPr>
            <w:tcW w:w="3076" w:type="dxa"/>
            <w:vMerge/>
            <w:tcMar>
              <w:top w:w="28" w:type="dxa"/>
              <w:bottom w:w="28" w:type="dxa"/>
            </w:tcMar>
          </w:tcPr>
          <w:p w:rsidR="005339DB" w:rsidRPr="00971118" w:rsidRDefault="005339DB" w:rsidP="00AF2B29">
            <w:pPr>
              <w:widowControl w:val="0"/>
              <w:rPr>
                <w:rFonts w:ascii="Arial" w:hAnsi="Arial" w:cs="Arial"/>
                <w:snapToGrid w:val="0"/>
                <w:lang w:eastAsia="en-US"/>
              </w:rPr>
            </w:pPr>
          </w:p>
        </w:tc>
        <w:tc>
          <w:tcPr>
            <w:tcW w:w="2229" w:type="dxa"/>
            <w:vMerge/>
          </w:tcPr>
          <w:p w:rsidR="005339DB" w:rsidRPr="00971118" w:rsidRDefault="005339DB" w:rsidP="00AF2B29">
            <w:pPr>
              <w:widowControl w:val="0"/>
              <w:rPr>
                <w:rFonts w:ascii="Arial" w:hAnsi="Arial" w:cs="Arial"/>
                <w:snapToGrid w:val="0"/>
                <w:lang w:eastAsia="en-US"/>
              </w:rPr>
            </w:pPr>
          </w:p>
        </w:tc>
        <w:tc>
          <w:tcPr>
            <w:tcW w:w="3202" w:type="dxa"/>
            <w:tcMar>
              <w:top w:w="28" w:type="dxa"/>
              <w:bottom w:w="28" w:type="dxa"/>
            </w:tcMar>
          </w:tcPr>
          <w:p w:rsidR="005339DB" w:rsidRPr="00971118" w:rsidRDefault="005339DB" w:rsidP="00AF2B29">
            <w:pPr>
              <w:widowControl w:val="0"/>
              <w:jc w:val="right"/>
              <w:rPr>
                <w:rFonts w:ascii="Arial" w:hAnsi="Arial" w:cs="Arial"/>
                <w:snapToGrid w:val="0"/>
                <w:highlight w:val="yellow"/>
                <w:lang w:eastAsia="en-US"/>
              </w:rPr>
            </w:pPr>
            <w:r w:rsidRPr="00971118">
              <w:rPr>
                <w:rFonts w:ascii="Arial" w:hAnsi="Arial" w:cs="Arial"/>
                <w:snapToGrid w:val="0"/>
                <w:lang w:eastAsia="en-US"/>
              </w:rPr>
              <w:t>Sponsor Comment:</w:t>
            </w:r>
          </w:p>
        </w:tc>
        <w:tc>
          <w:tcPr>
            <w:tcW w:w="6802" w:type="dxa"/>
          </w:tcPr>
          <w:p w:rsidR="005339DB" w:rsidRPr="00971118" w:rsidRDefault="003B0055" w:rsidP="00704832">
            <w:pPr>
              <w:pStyle w:val="ListParagraph"/>
              <w:ind w:left="0"/>
              <w:jc w:val="both"/>
              <w:rPr>
                <w:rFonts w:ascii="Arial" w:hAnsi="Arial" w:cs="Arial"/>
                <w:sz w:val="20"/>
                <w:szCs w:val="20"/>
                <w:highlight w:val="yellow"/>
              </w:rPr>
            </w:pPr>
            <w:r>
              <w:rPr>
                <w:rFonts w:ascii="Arial" w:hAnsi="Arial" w:cs="Arial"/>
                <w:sz w:val="20"/>
                <w:szCs w:val="20"/>
              </w:rPr>
              <w:t>The Sponsor had no comment.</w:t>
            </w:r>
          </w:p>
        </w:tc>
      </w:tr>
      <w:tr w:rsidR="005339DB" w:rsidRPr="00971118" w:rsidTr="00704832">
        <w:trPr>
          <w:cantSplit/>
          <w:trHeight w:val="1880"/>
        </w:trPr>
        <w:tc>
          <w:tcPr>
            <w:tcW w:w="3076" w:type="dxa"/>
            <w:vMerge w:val="restart"/>
            <w:tcMar>
              <w:top w:w="28" w:type="dxa"/>
              <w:bottom w:w="28" w:type="dxa"/>
            </w:tcMar>
          </w:tcPr>
          <w:p w:rsidR="005339DB" w:rsidRDefault="00971118" w:rsidP="00AF2B29">
            <w:pPr>
              <w:rPr>
                <w:rStyle w:val="st"/>
                <w:rFonts w:ascii="Arial" w:hAnsi="Arial" w:cs="Arial"/>
                <w:color w:val="000000"/>
                <w:highlight w:val="yellow"/>
              </w:rPr>
            </w:pPr>
            <w:r>
              <w:rPr>
                <w:rFonts w:ascii="Arial" w:hAnsi="Arial" w:cs="Arial"/>
                <w:color w:val="000000"/>
              </w:rPr>
              <w:lastRenderedPageBreak/>
              <w:t>ARGININE</w:t>
            </w:r>
            <w:r>
              <w:rPr>
                <w:rFonts w:ascii="Arial" w:hAnsi="Arial" w:cs="Arial"/>
                <w:color w:val="000000"/>
              </w:rPr>
              <w:br/>
            </w:r>
            <w:r>
              <w:rPr>
                <w:rFonts w:ascii="Arial" w:hAnsi="Arial" w:cs="Arial"/>
                <w:color w:val="000000"/>
              </w:rPr>
              <w:br/>
              <w:t>Tablet 500 mg</w:t>
            </w:r>
            <w:r>
              <w:rPr>
                <w:rFonts w:ascii="Arial" w:hAnsi="Arial" w:cs="Arial"/>
                <w:color w:val="000000"/>
              </w:rPr>
              <w:br/>
            </w:r>
            <w:r>
              <w:rPr>
                <w:rFonts w:ascii="Arial" w:hAnsi="Arial" w:cs="Arial"/>
                <w:color w:val="000000"/>
              </w:rPr>
              <w:br/>
              <w:t>Arginine Easy</w:t>
            </w:r>
            <w:r w:rsidRPr="001C1D66">
              <w:rPr>
                <w:rFonts w:ascii="Arial" w:hAnsi="Arial" w:cs="Arial"/>
                <w:color w:val="000000"/>
              </w:rPr>
              <w:t>®</w:t>
            </w:r>
            <w:r>
              <w:rPr>
                <w:rFonts w:ascii="Arial" w:hAnsi="Arial" w:cs="Arial"/>
                <w:color w:val="000000"/>
              </w:rPr>
              <w:br/>
            </w:r>
            <w:r>
              <w:rPr>
                <w:rFonts w:ascii="Arial" w:hAnsi="Arial" w:cs="Arial"/>
                <w:color w:val="000000"/>
              </w:rPr>
              <w:br/>
              <w:t>Orpharma Pty Ltd</w:t>
            </w:r>
            <w:r w:rsidRPr="00971118">
              <w:rPr>
                <w:rStyle w:val="st"/>
                <w:rFonts w:ascii="Arial" w:hAnsi="Arial" w:cs="Arial"/>
                <w:color w:val="000000"/>
                <w:highlight w:val="yellow"/>
              </w:rPr>
              <w:t xml:space="preserve"> </w:t>
            </w:r>
          </w:p>
          <w:p w:rsidR="00971118" w:rsidRDefault="00971118" w:rsidP="00AF2B29">
            <w:pPr>
              <w:rPr>
                <w:rStyle w:val="st"/>
                <w:rFonts w:ascii="Arial" w:hAnsi="Arial" w:cs="Arial"/>
                <w:color w:val="000000"/>
                <w:highlight w:val="yellow"/>
              </w:rPr>
            </w:pPr>
          </w:p>
          <w:p w:rsidR="00971118" w:rsidRPr="00971118" w:rsidRDefault="00971118" w:rsidP="00AF2B29">
            <w:pPr>
              <w:rPr>
                <w:rStyle w:val="st"/>
                <w:rFonts w:ascii="Arial" w:hAnsi="Arial" w:cs="Arial"/>
                <w:color w:val="000000"/>
                <w:highlight w:val="yellow"/>
              </w:rPr>
            </w:pPr>
            <w:r>
              <w:rPr>
                <w:rFonts w:ascii="Arial" w:hAnsi="Arial" w:cs="Arial"/>
                <w:color w:val="000000"/>
              </w:rPr>
              <w:t>New listing</w:t>
            </w:r>
            <w:r>
              <w:rPr>
                <w:rFonts w:ascii="Arial" w:hAnsi="Arial" w:cs="Arial"/>
                <w:color w:val="000000"/>
              </w:rPr>
              <w:br/>
              <w:t>(Minor Submission)</w:t>
            </w:r>
          </w:p>
        </w:tc>
        <w:tc>
          <w:tcPr>
            <w:tcW w:w="2229" w:type="dxa"/>
            <w:vMerge w:val="restart"/>
          </w:tcPr>
          <w:p w:rsidR="005339DB" w:rsidRPr="00971118" w:rsidRDefault="005339DB" w:rsidP="00AF2B29">
            <w:pPr>
              <w:rPr>
                <w:rFonts w:ascii="Arial" w:hAnsi="Arial" w:cs="Arial"/>
                <w:highlight w:val="yellow"/>
              </w:rPr>
            </w:pPr>
          </w:p>
        </w:tc>
        <w:tc>
          <w:tcPr>
            <w:tcW w:w="3202" w:type="dxa"/>
            <w:tcMar>
              <w:top w:w="28" w:type="dxa"/>
              <w:bottom w:w="28" w:type="dxa"/>
            </w:tcMar>
          </w:tcPr>
          <w:p w:rsidR="005339DB" w:rsidRPr="00971118" w:rsidRDefault="00971118" w:rsidP="00AF2B29">
            <w:pPr>
              <w:rPr>
                <w:rFonts w:ascii="Arial" w:hAnsi="Arial" w:cs="Arial"/>
                <w:highlight w:val="yellow"/>
              </w:rPr>
            </w:pPr>
            <w:r>
              <w:rPr>
                <w:rFonts w:ascii="Arial" w:hAnsi="Arial" w:cs="Arial"/>
                <w:color w:val="000000"/>
              </w:rPr>
              <w:t>Urea cycle disorders (UCD)</w:t>
            </w:r>
          </w:p>
        </w:tc>
        <w:tc>
          <w:tcPr>
            <w:tcW w:w="6802" w:type="dxa"/>
          </w:tcPr>
          <w:p w:rsidR="005339DB" w:rsidRPr="00971118" w:rsidRDefault="00B02EA1" w:rsidP="00704832">
            <w:pPr>
              <w:widowControl w:val="0"/>
              <w:jc w:val="both"/>
              <w:rPr>
                <w:rFonts w:ascii="Arial" w:hAnsi="Arial" w:cs="Arial"/>
                <w:highlight w:val="yellow"/>
              </w:rPr>
            </w:pPr>
            <w:r w:rsidRPr="00B02EA1">
              <w:rPr>
                <w:rFonts w:ascii="Arial" w:hAnsi="Arial" w:cs="Arial"/>
                <w:color w:val="000000"/>
              </w:rPr>
              <w:t xml:space="preserve">The PBAC deferred making a decision on the listing of Arginine Easy® for the dietary management of urea cycle disorders. The PBAC noted there was a lack of clinical justification for the higher amount of protein equivalent in one tablet of Arginine Easy® compared with one sachet of Arginine 500® (0.4 g). The PBAC considered that the higher amount of protein may be detrimental to patients on highly restrictive protein diets. The PBAC also noted that the product may come under the definition of a therapeutic good in the </w:t>
            </w:r>
            <w:r w:rsidRPr="00C61A8E">
              <w:rPr>
                <w:rFonts w:ascii="Arial" w:hAnsi="Arial" w:cs="Arial"/>
                <w:i/>
                <w:color w:val="000000"/>
              </w:rPr>
              <w:t>Therapeutic Goods Act 1989</w:t>
            </w:r>
            <w:r w:rsidRPr="00B02EA1">
              <w:rPr>
                <w:rFonts w:ascii="Arial" w:hAnsi="Arial" w:cs="Arial"/>
                <w:color w:val="000000"/>
              </w:rPr>
              <w:t xml:space="preserve"> and may therefore be required to be registered with the TGA</w:t>
            </w:r>
            <w:r w:rsidR="00F456B0">
              <w:rPr>
                <w:rFonts w:ascii="Arial" w:hAnsi="Arial" w:cs="Arial"/>
                <w:color w:val="000000"/>
              </w:rPr>
              <w:t xml:space="preserve"> rather than as a food</w:t>
            </w:r>
            <w:r w:rsidR="00F456B0" w:rsidRPr="00F456B0">
              <w:rPr>
                <w:rFonts w:ascii="Arial" w:hAnsi="Arial" w:cs="Arial"/>
                <w:color w:val="000000"/>
              </w:rPr>
              <w:t xml:space="preserve"> that ha</w:t>
            </w:r>
            <w:r w:rsidR="00F456B0">
              <w:rPr>
                <w:rFonts w:ascii="Arial" w:hAnsi="Arial" w:cs="Arial"/>
                <w:color w:val="000000"/>
              </w:rPr>
              <w:t>s</w:t>
            </w:r>
            <w:r w:rsidR="00F456B0" w:rsidRPr="00F456B0">
              <w:rPr>
                <w:rFonts w:ascii="Arial" w:hAnsi="Arial" w:cs="Arial"/>
                <w:color w:val="000000"/>
              </w:rPr>
              <w:t xml:space="preserve"> medical purposes under </w:t>
            </w:r>
            <w:r w:rsidR="00F456B0" w:rsidRPr="00F456B0">
              <w:rPr>
                <w:rFonts w:ascii="Arial" w:hAnsi="Arial" w:cs="Arial"/>
                <w:i/>
                <w:color w:val="000000"/>
              </w:rPr>
              <w:t>The Australia New Zealand Food Standards Code — Standard 2.9.5: Food for Special Medical Purposes</w:t>
            </w:r>
            <w:r w:rsidR="00F456B0" w:rsidRPr="00F456B0">
              <w:rPr>
                <w:rFonts w:ascii="Arial" w:hAnsi="Arial" w:cs="Arial"/>
                <w:color w:val="000000"/>
              </w:rPr>
              <w:t>.</w:t>
            </w:r>
            <w:r w:rsidRPr="00B02EA1">
              <w:rPr>
                <w:rFonts w:ascii="Arial" w:hAnsi="Arial" w:cs="Arial"/>
                <w:color w:val="000000"/>
              </w:rPr>
              <w:t xml:space="preserve">. The PBAC noted that the sponsor attempted to address these issues in the pre-PBAC response and considered it would be appropriate to seek advice from the </w:t>
            </w:r>
            <w:r w:rsidR="00756407">
              <w:rPr>
                <w:rFonts w:ascii="Arial" w:hAnsi="Arial" w:cs="Arial"/>
                <w:color w:val="000000"/>
              </w:rPr>
              <w:t xml:space="preserve">PBAC’s </w:t>
            </w:r>
            <w:r w:rsidRPr="00B02EA1">
              <w:rPr>
                <w:rFonts w:ascii="Arial" w:hAnsi="Arial" w:cs="Arial"/>
                <w:color w:val="000000"/>
              </w:rPr>
              <w:t>Nutritional Products Working Party, regarding matters raised in the response, prior to making its decision.</w:t>
            </w:r>
          </w:p>
        </w:tc>
      </w:tr>
      <w:tr w:rsidR="005339DB" w:rsidRPr="00971118" w:rsidTr="00704832">
        <w:trPr>
          <w:cantSplit/>
          <w:trHeight w:val="477"/>
        </w:trPr>
        <w:tc>
          <w:tcPr>
            <w:tcW w:w="3076" w:type="dxa"/>
            <w:vMerge/>
            <w:tcMar>
              <w:top w:w="28" w:type="dxa"/>
              <w:bottom w:w="28" w:type="dxa"/>
            </w:tcMar>
          </w:tcPr>
          <w:p w:rsidR="005339DB" w:rsidRPr="00971118" w:rsidRDefault="005339DB" w:rsidP="00AF2B29">
            <w:pPr>
              <w:widowControl w:val="0"/>
              <w:rPr>
                <w:rFonts w:ascii="Arial" w:hAnsi="Arial" w:cs="Arial"/>
                <w:snapToGrid w:val="0"/>
                <w:lang w:eastAsia="en-US"/>
              </w:rPr>
            </w:pPr>
          </w:p>
        </w:tc>
        <w:tc>
          <w:tcPr>
            <w:tcW w:w="2229" w:type="dxa"/>
            <w:vMerge/>
          </w:tcPr>
          <w:p w:rsidR="005339DB" w:rsidRPr="00971118" w:rsidRDefault="005339DB" w:rsidP="00AF2B29">
            <w:pPr>
              <w:widowControl w:val="0"/>
              <w:rPr>
                <w:rFonts w:ascii="Arial" w:hAnsi="Arial" w:cs="Arial"/>
                <w:snapToGrid w:val="0"/>
                <w:lang w:eastAsia="en-US"/>
              </w:rPr>
            </w:pPr>
          </w:p>
        </w:tc>
        <w:tc>
          <w:tcPr>
            <w:tcW w:w="3202" w:type="dxa"/>
            <w:tcMar>
              <w:top w:w="28" w:type="dxa"/>
              <w:bottom w:w="28" w:type="dxa"/>
            </w:tcMar>
          </w:tcPr>
          <w:p w:rsidR="005339DB" w:rsidRPr="00971118" w:rsidRDefault="005339DB" w:rsidP="00AF2B29">
            <w:pPr>
              <w:widowControl w:val="0"/>
              <w:jc w:val="right"/>
              <w:rPr>
                <w:rFonts w:ascii="Arial" w:hAnsi="Arial" w:cs="Arial"/>
                <w:snapToGrid w:val="0"/>
                <w:highlight w:val="yellow"/>
                <w:lang w:eastAsia="en-US"/>
              </w:rPr>
            </w:pPr>
            <w:r w:rsidRPr="00971118">
              <w:rPr>
                <w:rFonts w:ascii="Arial" w:hAnsi="Arial" w:cs="Arial"/>
                <w:snapToGrid w:val="0"/>
                <w:lang w:eastAsia="en-US"/>
              </w:rPr>
              <w:t>Sponsor Comment:</w:t>
            </w:r>
          </w:p>
        </w:tc>
        <w:tc>
          <w:tcPr>
            <w:tcW w:w="6802" w:type="dxa"/>
          </w:tcPr>
          <w:p w:rsidR="005339DB" w:rsidRPr="00971118" w:rsidRDefault="0078503B" w:rsidP="00704832">
            <w:pPr>
              <w:pStyle w:val="ListParagraph"/>
              <w:ind w:left="0"/>
              <w:jc w:val="both"/>
              <w:rPr>
                <w:rFonts w:ascii="Arial" w:hAnsi="Arial" w:cs="Arial"/>
                <w:sz w:val="20"/>
                <w:szCs w:val="20"/>
                <w:highlight w:val="yellow"/>
              </w:rPr>
            </w:pPr>
            <w:r w:rsidRPr="0078503B">
              <w:rPr>
                <w:rFonts w:ascii="Arial" w:hAnsi="Arial" w:cs="Arial"/>
                <w:sz w:val="20"/>
                <w:szCs w:val="20"/>
              </w:rPr>
              <w:t>The Sponsor will continue to work with the PBAC and the Nutritional Products Working Party to address the matters raised in the pre-PBAC advice.</w:t>
            </w:r>
          </w:p>
        </w:tc>
      </w:tr>
      <w:tr w:rsidR="000F444A" w:rsidRPr="00971118" w:rsidTr="000F444A">
        <w:trPr>
          <w:cantSplit/>
          <w:trHeight w:val="960"/>
        </w:trPr>
        <w:tc>
          <w:tcPr>
            <w:tcW w:w="3076" w:type="dxa"/>
            <w:vMerge w:val="restart"/>
            <w:tcMar>
              <w:top w:w="28" w:type="dxa"/>
              <w:bottom w:w="28" w:type="dxa"/>
            </w:tcMar>
          </w:tcPr>
          <w:p w:rsidR="000F444A" w:rsidRDefault="000F444A" w:rsidP="00DC0181">
            <w:pPr>
              <w:autoSpaceDE w:val="0"/>
              <w:autoSpaceDN w:val="0"/>
              <w:adjustRightInd w:val="0"/>
              <w:rPr>
                <w:rFonts w:ascii="Arial+FPEF" w:hAnsi="Arial+FPEF" w:cs="Arial+FPEF"/>
              </w:rPr>
            </w:pPr>
            <w:r>
              <w:rPr>
                <w:rFonts w:ascii="Arial+FPEF" w:hAnsi="Arial+FPEF" w:cs="Arial+FPEF"/>
              </w:rPr>
              <w:t>BARICITINIB</w:t>
            </w:r>
          </w:p>
          <w:p w:rsidR="000F444A" w:rsidRDefault="000F444A" w:rsidP="00DC0181">
            <w:pPr>
              <w:autoSpaceDE w:val="0"/>
              <w:autoSpaceDN w:val="0"/>
              <w:adjustRightInd w:val="0"/>
              <w:rPr>
                <w:rFonts w:ascii="Arial+FPEF" w:hAnsi="Arial+FPEF" w:cs="Arial+FPEF"/>
              </w:rPr>
            </w:pPr>
          </w:p>
          <w:p w:rsidR="000F444A" w:rsidRDefault="000F444A" w:rsidP="00DC0181">
            <w:pPr>
              <w:autoSpaceDE w:val="0"/>
              <w:autoSpaceDN w:val="0"/>
              <w:adjustRightInd w:val="0"/>
              <w:rPr>
                <w:rFonts w:ascii="Arial+FPEF" w:hAnsi="Arial+FPEF" w:cs="Arial+FPEF"/>
              </w:rPr>
            </w:pPr>
            <w:r>
              <w:rPr>
                <w:rFonts w:ascii="Arial+FPEF" w:hAnsi="Arial+FPEF" w:cs="Arial+FPEF"/>
              </w:rPr>
              <w:t>Tablet 2 mg</w:t>
            </w:r>
          </w:p>
          <w:p w:rsidR="000F444A" w:rsidRDefault="000F444A" w:rsidP="00DC0181">
            <w:pPr>
              <w:autoSpaceDE w:val="0"/>
              <w:autoSpaceDN w:val="0"/>
              <w:adjustRightInd w:val="0"/>
              <w:rPr>
                <w:rFonts w:ascii="Arial+FPEF" w:hAnsi="Arial+FPEF" w:cs="Arial+FPEF"/>
              </w:rPr>
            </w:pPr>
            <w:r>
              <w:rPr>
                <w:rFonts w:ascii="Arial+FPEF" w:hAnsi="Arial+FPEF" w:cs="Arial+FPEF"/>
              </w:rPr>
              <w:t>Tablet 4 mg</w:t>
            </w:r>
          </w:p>
          <w:p w:rsidR="000F444A" w:rsidRDefault="000F444A" w:rsidP="00DC0181">
            <w:pPr>
              <w:autoSpaceDE w:val="0"/>
              <w:autoSpaceDN w:val="0"/>
              <w:adjustRightInd w:val="0"/>
              <w:rPr>
                <w:rFonts w:ascii="Arial+FPEF" w:hAnsi="Arial+FPEF" w:cs="Arial+FPEF"/>
              </w:rPr>
            </w:pPr>
          </w:p>
          <w:p w:rsidR="000F444A" w:rsidRDefault="000F444A" w:rsidP="00DC0181">
            <w:pPr>
              <w:autoSpaceDE w:val="0"/>
              <w:autoSpaceDN w:val="0"/>
              <w:adjustRightInd w:val="0"/>
              <w:rPr>
                <w:rFonts w:ascii="Arial+FPEF" w:hAnsi="Arial+FPEF" w:cs="Arial+FPEF"/>
              </w:rPr>
            </w:pPr>
            <w:r>
              <w:rPr>
                <w:rFonts w:ascii="Arial+FPEF" w:hAnsi="Arial+FPEF" w:cs="Arial+FPEF"/>
              </w:rPr>
              <w:t>Olumiant®</w:t>
            </w:r>
            <w:r>
              <w:rPr>
                <w:rFonts w:ascii="Arial+FPEF" w:hAnsi="Arial+FPEF" w:cs="Arial+FPEF"/>
              </w:rPr>
              <w:br/>
            </w:r>
          </w:p>
          <w:p w:rsidR="000F444A" w:rsidRDefault="000F444A" w:rsidP="00DC0181">
            <w:pPr>
              <w:autoSpaceDE w:val="0"/>
              <w:autoSpaceDN w:val="0"/>
              <w:adjustRightInd w:val="0"/>
              <w:rPr>
                <w:rFonts w:ascii="Arial+FPEF" w:hAnsi="Arial+FPEF" w:cs="Arial+FPEF"/>
              </w:rPr>
            </w:pPr>
            <w:r>
              <w:rPr>
                <w:rFonts w:ascii="Arial+FPEF" w:hAnsi="Arial+FPEF" w:cs="Arial+FPEF"/>
              </w:rPr>
              <w:t>Eli Lilly Australia Pty Ltd</w:t>
            </w:r>
          </w:p>
          <w:p w:rsidR="000F444A" w:rsidRDefault="000F444A" w:rsidP="00DC0181">
            <w:pPr>
              <w:autoSpaceDE w:val="0"/>
              <w:autoSpaceDN w:val="0"/>
              <w:adjustRightInd w:val="0"/>
              <w:rPr>
                <w:rFonts w:ascii="Arial+FPEF" w:hAnsi="Arial+FPEF" w:cs="Arial+FPEF"/>
              </w:rPr>
            </w:pPr>
          </w:p>
          <w:p w:rsidR="000F444A" w:rsidRDefault="000F444A" w:rsidP="00DC0181">
            <w:pPr>
              <w:autoSpaceDE w:val="0"/>
              <w:autoSpaceDN w:val="0"/>
              <w:adjustRightInd w:val="0"/>
              <w:rPr>
                <w:rFonts w:ascii="Arial+FPEF" w:hAnsi="Arial+FPEF" w:cs="Arial+FPEF"/>
              </w:rPr>
            </w:pPr>
            <w:r>
              <w:rPr>
                <w:rFonts w:ascii="Arial+FPEF" w:hAnsi="Arial+FPEF" w:cs="Arial+FPEF"/>
              </w:rPr>
              <w:t>New listing</w:t>
            </w:r>
          </w:p>
          <w:p w:rsidR="000F444A" w:rsidRPr="00395B97" w:rsidRDefault="000F444A" w:rsidP="00DC0181">
            <w:pPr>
              <w:rPr>
                <w:rFonts w:ascii="Arial" w:hAnsi="Arial" w:cs="Arial"/>
              </w:rPr>
            </w:pPr>
            <w:r>
              <w:rPr>
                <w:rFonts w:ascii="Arial+FPEF" w:hAnsi="Arial+FPEF" w:cs="Arial+FPEF"/>
              </w:rPr>
              <w:t>(Major Submission)</w:t>
            </w:r>
          </w:p>
        </w:tc>
        <w:tc>
          <w:tcPr>
            <w:tcW w:w="2229" w:type="dxa"/>
            <w:vMerge w:val="restart"/>
          </w:tcPr>
          <w:p w:rsidR="000F444A" w:rsidRDefault="000F444A" w:rsidP="00DC0181">
            <w:pPr>
              <w:autoSpaceDE w:val="0"/>
              <w:autoSpaceDN w:val="0"/>
              <w:adjustRightInd w:val="0"/>
              <w:rPr>
                <w:rFonts w:ascii="Arial+FPEF" w:hAnsi="Arial+FPEF" w:cs="Arial+FPEF"/>
              </w:rPr>
            </w:pPr>
            <w:r>
              <w:rPr>
                <w:rFonts w:ascii="Arial+FPEF" w:hAnsi="Arial+FPEF" w:cs="Arial+FPEF"/>
              </w:rPr>
              <w:t>Severe active</w:t>
            </w:r>
          </w:p>
          <w:p w:rsidR="000F444A" w:rsidRPr="00395B97" w:rsidRDefault="000F444A" w:rsidP="00DC0181">
            <w:pPr>
              <w:rPr>
                <w:rFonts w:ascii="Arial" w:hAnsi="Arial" w:cs="Arial"/>
              </w:rPr>
            </w:pPr>
            <w:r>
              <w:rPr>
                <w:rFonts w:ascii="Arial+FPEF" w:hAnsi="Arial+FPEF" w:cs="Arial+FPEF"/>
              </w:rPr>
              <w:t>rheumatoid arthritis</w:t>
            </w:r>
          </w:p>
        </w:tc>
        <w:tc>
          <w:tcPr>
            <w:tcW w:w="3202" w:type="dxa"/>
            <w:tcMar>
              <w:top w:w="28" w:type="dxa"/>
              <w:bottom w:w="28" w:type="dxa"/>
            </w:tcMar>
          </w:tcPr>
          <w:p w:rsidR="000F444A" w:rsidRPr="00971118" w:rsidRDefault="000F444A" w:rsidP="00DC0181">
            <w:pPr>
              <w:rPr>
                <w:rFonts w:ascii="Arial" w:hAnsi="Arial" w:cs="Arial"/>
                <w:highlight w:val="yellow"/>
              </w:rPr>
            </w:pPr>
            <w:r w:rsidRPr="00971118">
              <w:rPr>
                <w:rFonts w:ascii="Arial" w:hAnsi="Arial" w:cs="Arial"/>
              </w:rPr>
              <w:t>To request an Authority Required listing for the treatment of severe active rheumatoid arthritis under certain conditions.</w:t>
            </w:r>
          </w:p>
        </w:tc>
        <w:tc>
          <w:tcPr>
            <w:tcW w:w="6802" w:type="dxa"/>
          </w:tcPr>
          <w:p w:rsidR="000F444A" w:rsidRPr="00971118" w:rsidRDefault="000F444A" w:rsidP="00DC0181">
            <w:pPr>
              <w:widowControl w:val="0"/>
              <w:jc w:val="both"/>
              <w:rPr>
                <w:rFonts w:ascii="Arial" w:hAnsi="Arial" w:cs="Arial"/>
                <w:highlight w:val="yellow"/>
              </w:rPr>
            </w:pPr>
            <w:r w:rsidRPr="00D27EED">
              <w:rPr>
                <w:rFonts w:ascii="Arial" w:hAnsi="Arial" w:cs="Arial"/>
              </w:rPr>
              <w:t xml:space="preserve">The PBAC </w:t>
            </w:r>
            <w:r>
              <w:rPr>
                <w:rFonts w:ascii="Arial" w:hAnsi="Arial" w:cs="Arial"/>
              </w:rPr>
              <w:t>deferred</w:t>
            </w:r>
            <w:r w:rsidRPr="00D27EED">
              <w:rPr>
                <w:rFonts w:ascii="Arial" w:hAnsi="Arial" w:cs="Arial"/>
              </w:rPr>
              <w:t xml:space="preserve"> its discussion of this item pending the receipt of the TGA delegate’s overview, in the context of concerns about the safety profile of baricitinib, particularly in relation to serious adverse events.  </w:t>
            </w:r>
          </w:p>
          <w:p w:rsidR="000F444A" w:rsidRPr="00971118" w:rsidRDefault="000F444A" w:rsidP="00DC0181">
            <w:pPr>
              <w:pStyle w:val="ListParagraph"/>
              <w:ind w:left="0"/>
              <w:jc w:val="both"/>
              <w:rPr>
                <w:rFonts w:ascii="Arial" w:hAnsi="Arial" w:cs="Arial"/>
                <w:highlight w:val="yellow"/>
              </w:rPr>
            </w:pPr>
          </w:p>
        </w:tc>
      </w:tr>
      <w:tr w:rsidR="000F444A" w:rsidRPr="00971118" w:rsidTr="00704832">
        <w:trPr>
          <w:cantSplit/>
          <w:trHeight w:val="1620"/>
        </w:trPr>
        <w:tc>
          <w:tcPr>
            <w:tcW w:w="3076" w:type="dxa"/>
            <w:vMerge/>
            <w:tcMar>
              <w:top w:w="28" w:type="dxa"/>
              <w:bottom w:w="28" w:type="dxa"/>
            </w:tcMar>
          </w:tcPr>
          <w:p w:rsidR="000F444A" w:rsidRDefault="000F444A" w:rsidP="00DC0181">
            <w:pPr>
              <w:autoSpaceDE w:val="0"/>
              <w:autoSpaceDN w:val="0"/>
              <w:adjustRightInd w:val="0"/>
              <w:rPr>
                <w:rFonts w:ascii="Arial+FPEF" w:hAnsi="Arial+FPEF" w:cs="Arial+FPEF"/>
              </w:rPr>
            </w:pPr>
          </w:p>
        </w:tc>
        <w:tc>
          <w:tcPr>
            <w:tcW w:w="2229" w:type="dxa"/>
            <w:vMerge/>
          </w:tcPr>
          <w:p w:rsidR="000F444A" w:rsidRDefault="000F444A" w:rsidP="00DC0181">
            <w:pPr>
              <w:autoSpaceDE w:val="0"/>
              <w:autoSpaceDN w:val="0"/>
              <w:adjustRightInd w:val="0"/>
              <w:rPr>
                <w:rFonts w:ascii="Arial+FPEF" w:hAnsi="Arial+FPEF" w:cs="Arial+FPEF"/>
              </w:rPr>
            </w:pPr>
          </w:p>
        </w:tc>
        <w:tc>
          <w:tcPr>
            <w:tcW w:w="3202" w:type="dxa"/>
            <w:tcMar>
              <w:top w:w="28" w:type="dxa"/>
              <w:bottom w:w="28" w:type="dxa"/>
            </w:tcMar>
          </w:tcPr>
          <w:p w:rsidR="000F444A" w:rsidRPr="00971118" w:rsidRDefault="000F444A" w:rsidP="00DC0181">
            <w:pPr>
              <w:pStyle w:val="ListParagraph"/>
              <w:ind w:left="0"/>
              <w:jc w:val="right"/>
              <w:rPr>
                <w:rFonts w:ascii="Arial" w:hAnsi="Arial" w:cs="Arial"/>
              </w:rPr>
            </w:pPr>
            <w:r w:rsidRPr="00395B97">
              <w:rPr>
                <w:rFonts w:ascii="Arial" w:hAnsi="Arial" w:cs="Arial"/>
                <w:snapToGrid w:val="0"/>
                <w:sz w:val="20"/>
                <w:szCs w:val="20"/>
                <w:lang w:eastAsia="en-US"/>
              </w:rPr>
              <w:t>Sponsor Comment:</w:t>
            </w:r>
          </w:p>
        </w:tc>
        <w:tc>
          <w:tcPr>
            <w:tcW w:w="6802" w:type="dxa"/>
          </w:tcPr>
          <w:p w:rsidR="000F444A" w:rsidRPr="00D27EED" w:rsidRDefault="008962D6" w:rsidP="00DC0181">
            <w:pPr>
              <w:pStyle w:val="ListParagraph"/>
              <w:ind w:left="0"/>
              <w:jc w:val="both"/>
              <w:rPr>
                <w:rFonts w:ascii="Arial" w:hAnsi="Arial" w:cs="Arial"/>
              </w:rPr>
            </w:pPr>
            <w:r w:rsidRPr="008962D6">
              <w:rPr>
                <w:rFonts w:ascii="Arial" w:hAnsi="Arial" w:cs="Arial"/>
                <w:iCs/>
                <w:sz w:val="20"/>
                <w:szCs w:val="20"/>
              </w:rPr>
              <w:t>Eli Lilly looks forward to working with the PBAC and Department to enable access to OLUMIANT for patients with severe active rheumatoid arthritis once a positive outcome from the TGA is known.</w:t>
            </w:r>
            <w:bookmarkStart w:id="0" w:name="_GoBack"/>
            <w:bookmarkEnd w:id="0"/>
          </w:p>
        </w:tc>
      </w:tr>
      <w:tr w:rsidR="000F444A" w:rsidRPr="00971118" w:rsidTr="00704832">
        <w:trPr>
          <w:cantSplit/>
          <w:trHeight w:val="1880"/>
        </w:trPr>
        <w:tc>
          <w:tcPr>
            <w:tcW w:w="3076" w:type="dxa"/>
            <w:vMerge w:val="restart"/>
            <w:tcMar>
              <w:top w:w="28" w:type="dxa"/>
              <w:bottom w:w="28" w:type="dxa"/>
            </w:tcMar>
          </w:tcPr>
          <w:p w:rsidR="000F444A" w:rsidRDefault="000F444A" w:rsidP="00DA535C">
            <w:pPr>
              <w:rPr>
                <w:rFonts w:ascii="Arial" w:hAnsi="Arial" w:cs="Arial"/>
                <w:color w:val="000000"/>
              </w:rPr>
            </w:pPr>
            <w:r w:rsidRPr="001C1D66">
              <w:rPr>
                <w:rFonts w:ascii="Arial" w:hAnsi="Arial" w:cs="Arial"/>
                <w:color w:val="000000"/>
              </w:rPr>
              <w:lastRenderedPageBreak/>
              <w:t>CRIZOTINIB</w:t>
            </w:r>
            <w:r w:rsidRPr="001C1D66">
              <w:rPr>
                <w:rFonts w:ascii="Arial" w:hAnsi="Arial" w:cs="Arial"/>
                <w:color w:val="000000"/>
              </w:rPr>
              <w:br/>
            </w:r>
            <w:r w:rsidRPr="001C1D66">
              <w:rPr>
                <w:rFonts w:ascii="Arial" w:hAnsi="Arial" w:cs="Arial"/>
                <w:color w:val="000000"/>
              </w:rPr>
              <w:br/>
              <w:t xml:space="preserve">Capsule 200 mg </w:t>
            </w:r>
            <w:r w:rsidRPr="001C1D66">
              <w:rPr>
                <w:rFonts w:ascii="Arial" w:hAnsi="Arial" w:cs="Arial"/>
                <w:color w:val="000000"/>
              </w:rPr>
              <w:br/>
              <w:t>Capsule 250 mg</w:t>
            </w:r>
            <w:r w:rsidRPr="001C1D66">
              <w:rPr>
                <w:rFonts w:ascii="Arial" w:hAnsi="Arial" w:cs="Arial"/>
                <w:color w:val="000000"/>
              </w:rPr>
              <w:br/>
            </w:r>
            <w:r w:rsidRPr="001C1D66">
              <w:rPr>
                <w:rFonts w:ascii="Arial" w:hAnsi="Arial" w:cs="Arial"/>
                <w:color w:val="000000"/>
              </w:rPr>
              <w:br/>
              <w:t xml:space="preserve">Xalkori® </w:t>
            </w:r>
            <w:r w:rsidRPr="001C1D66">
              <w:rPr>
                <w:rFonts w:ascii="Arial" w:hAnsi="Arial" w:cs="Arial"/>
                <w:color w:val="000000"/>
              </w:rPr>
              <w:br/>
            </w:r>
            <w:r w:rsidRPr="001C1D66">
              <w:rPr>
                <w:rFonts w:ascii="Arial" w:hAnsi="Arial" w:cs="Arial"/>
                <w:color w:val="000000"/>
              </w:rPr>
              <w:br/>
              <w:t>Pfizer Australia Pty Ltd</w:t>
            </w:r>
          </w:p>
          <w:p w:rsidR="000F444A" w:rsidRDefault="000F444A" w:rsidP="00DA535C">
            <w:pPr>
              <w:rPr>
                <w:rFonts w:ascii="Arial" w:hAnsi="Arial" w:cs="Arial"/>
                <w:color w:val="000000"/>
              </w:rPr>
            </w:pPr>
          </w:p>
          <w:p w:rsidR="000F444A" w:rsidRPr="001C1D66" w:rsidRDefault="000F444A" w:rsidP="00DA535C">
            <w:pPr>
              <w:rPr>
                <w:rFonts w:ascii="Arial" w:hAnsi="Arial" w:cs="Arial"/>
                <w:color w:val="000000"/>
              </w:rPr>
            </w:pPr>
            <w:r>
              <w:rPr>
                <w:rFonts w:ascii="Arial" w:hAnsi="Arial" w:cs="Arial"/>
                <w:color w:val="000000"/>
              </w:rPr>
              <w:t>Change to listing</w:t>
            </w:r>
            <w:r w:rsidRPr="001C1D66">
              <w:rPr>
                <w:rFonts w:ascii="Arial" w:hAnsi="Arial" w:cs="Arial"/>
                <w:color w:val="000000"/>
              </w:rPr>
              <w:br/>
              <w:t>(Major Submission)</w:t>
            </w:r>
          </w:p>
        </w:tc>
        <w:tc>
          <w:tcPr>
            <w:tcW w:w="2229" w:type="dxa"/>
            <w:vMerge w:val="restart"/>
          </w:tcPr>
          <w:p w:rsidR="000F444A" w:rsidRPr="001C1D66" w:rsidRDefault="000F444A" w:rsidP="00DA535C">
            <w:pPr>
              <w:rPr>
                <w:rFonts w:ascii="Arial" w:hAnsi="Arial" w:cs="Arial"/>
                <w:color w:val="000000"/>
              </w:rPr>
            </w:pPr>
            <w:r w:rsidRPr="001C1D66">
              <w:rPr>
                <w:rFonts w:ascii="Arial" w:hAnsi="Arial" w:cs="Arial"/>
                <w:color w:val="000000"/>
              </w:rPr>
              <w:t xml:space="preserve">Stage IIIB (locally advanced) or Stage IV (metastatic) </w:t>
            </w:r>
            <w:r>
              <w:rPr>
                <w:rFonts w:ascii="Arial" w:hAnsi="Arial" w:cs="Arial"/>
              </w:rPr>
              <w:t>non-small cell lung cancer (</w:t>
            </w:r>
            <w:r w:rsidRPr="001C1D66">
              <w:rPr>
                <w:rFonts w:ascii="Arial" w:hAnsi="Arial" w:cs="Arial"/>
                <w:color w:val="000000"/>
              </w:rPr>
              <w:t>NSCLC</w:t>
            </w:r>
            <w:r>
              <w:rPr>
                <w:rFonts w:ascii="Arial" w:hAnsi="Arial" w:cs="Arial"/>
                <w:color w:val="000000"/>
              </w:rPr>
              <w:t>)</w:t>
            </w:r>
            <w:r w:rsidRPr="001C1D66">
              <w:rPr>
                <w:rFonts w:ascii="Arial" w:hAnsi="Arial" w:cs="Arial"/>
                <w:color w:val="000000"/>
              </w:rPr>
              <w:t xml:space="preserve"> with a ROS1 gene rearrangement confirmed by fluorescent in situ hybridisation (FISH) testing</w:t>
            </w:r>
          </w:p>
        </w:tc>
        <w:tc>
          <w:tcPr>
            <w:tcW w:w="3202" w:type="dxa"/>
            <w:tcMar>
              <w:top w:w="28" w:type="dxa"/>
              <w:bottom w:w="28" w:type="dxa"/>
            </w:tcMar>
          </w:tcPr>
          <w:p w:rsidR="000F444A" w:rsidRDefault="000F444A" w:rsidP="00DA535C">
            <w:pPr>
              <w:rPr>
                <w:rFonts w:ascii="Arial" w:hAnsi="Arial" w:cs="Arial"/>
              </w:rPr>
            </w:pPr>
            <w:r>
              <w:rPr>
                <w:rFonts w:ascii="Arial" w:hAnsi="Arial" w:cs="Arial"/>
              </w:rPr>
              <w:t>To request an Authority Required listing for the treatment of patients with Stage IIIB (locally advanced) or Stage IV (metastatic) NSCLC with a ROS1 gene rearrangement confirmed by FISH testing, in patients who have failed at least one treatment with platinum-based chemotherapy.</w:t>
            </w:r>
          </w:p>
          <w:p w:rsidR="000F444A" w:rsidRPr="001C1D66" w:rsidRDefault="000F444A" w:rsidP="00DA535C">
            <w:pPr>
              <w:rPr>
                <w:rFonts w:ascii="Arial" w:hAnsi="Arial" w:cs="Arial"/>
                <w:color w:val="000000"/>
              </w:rPr>
            </w:pPr>
          </w:p>
        </w:tc>
        <w:tc>
          <w:tcPr>
            <w:tcW w:w="6802" w:type="dxa"/>
          </w:tcPr>
          <w:p w:rsidR="000F444A" w:rsidRPr="006F6419" w:rsidRDefault="000F444A" w:rsidP="00704832">
            <w:pPr>
              <w:spacing w:after="120"/>
              <w:jc w:val="both"/>
              <w:rPr>
                <w:rFonts w:ascii="Arial" w:hAnsi="Arial" w:cs="Arial"/>
              </w:rPr>
            </w:pPr>
            <w:r w:rsidRPr="006F6419">
              <w:rPr>
                <w:rFonts w:ascii="Arial" w:hAnsi="Arial" w:cs="Arial"/>
              </w:rPr>
              <w:t>The PBAC deferred its decision about whether to recommend listing crizotinib for the treatment of ROS1-positive non-small cell lung cancer (NSCLC), requesting that the sponsor develop an appropriate pricing strategy in response to the Committee’s concerns. In deciding to defer, the PBAC noted that the codependent test for ROS1 mutations would be considered by the Medical Benefits Advisory Committee (MSAC) in late November 2017. The PBAC acknowledged that there is a high unmet clinical need in the small proposed population, and advised that crizotinib’s effectiveness and safety profile in the ROS1-positive NSCLC population was similar to that in the ALK-positive NSCLC population, for which it is already PBS listed.</w:t>
            </w:r>
          </w:p>
          <w:p w:rsidR="000F444A" w:rsidRPr="00971118" w:rsidRDefault="000F444A" w:rsidP="00704832">
            <w:pPr>
              <w:widowControl w:val="0"/>
              <w:jc w:val="both"/>
              <w:rPr>
                <w:rFonts w:ascii="Arial" w:hAnsi="Arial" w:cs="Arial"/>
                <w:highlight w:val="yellow"/>
              </w:rPr>
            </w:pPr>
          </w:p>
        </w:tc>
      </w:tr>
      <w:tr w:rsidR="000F444A" w:rsidRPr="00971118" w:rsidTr="00704832">
        <w:trPr>
          <w:cantSplit/>
          <w:trHeight w:val="477"/>
        </w:trPr>
        <w:tc>
          <w:tcPr>
            <w:tcW w:w="3076" w:type="dxa"/>
            <w:vMerge/>
            <w:tcMar>
              <w:top w:w="28" w:type="dxa"/>
              <w:bottom w:w="28" w:type="dxa"/>
            </w:tcMar>
          </w:tcPr>
          <w:p w:rsidR="000F444A" w:rsidRPr="00971118" w:rsidRDefault="000F444A" w:rsidP="00DA535C">
            <w:pPr>
              <w:widowControl w:val="0"/>
              <w:rPr>
                <w:rFonts w:ascii="Arial" w:hAnsi="Arial" w:cs="Arial"/>
                <w:snapToGrid w:val="0"/>
                <w:lang w:eastAsia="en-US"/>
              </w:rPr>
            </w:pPr>
          </w:p>
        </w:tc>
        <w:tc>
          <w:tcPr>
            <w:tcW w:w="2229" w:type="dxa"/>
            <w:vMerge/>
          </w:tcPr>
          <w:p w:rsidR="000F444A" w:rsidRPr="00971118" w:rsidRDefault="000F444A" w:rsidP="00DA535C">
            <w:pPr>
              <w:widowControl w:val="0"/>
              <w:rPr>
                <w:rFonts w:ascii="Arial" w:hAnsi="Arial" w:cs="Arial"/>
                <w:snapToGrid w:val="0"/>
                <w:lang w:eastAsia="en-US"/>
              </w:rPr>
            </w:pPr>
          </w:p>
        </w:tc>
        <w:tc>
          <w:tcPr>
            <w:tcW w:w="3202" w:type="dxa"/>
            <w:tcMar>
              <w:top w:w="28" w:type="dxa"/>
              <w:bottom w:w="28" w:type="dxa"/>
            </w:tcMar>
          </w:tcPr>
          <w:p w:rsidR="000F444A" w:rsidRPr="00971118" w:rsidRDefault="000F444A" w:rsidP="00DA535C">
            <w:pPr>
              <w:widowControl w:val="0"/>
              <w:jc w:val="right"/>
              <w:rPr>
                <w:rFonts w:ascii="Arial" w:hAnsi="Arial" w:cs="Arial"/>
                <w:snapToGrid w:val="0"/>
                <w:highlight w:val="yellow"/>
                <w:lang w:eastAsia="en-US"/>
              </w:rPr>
            </w:pPr>
            <w:r w:rsidRPr="00971118">
              <w:rPr>
                <w:rFonts w:ascii="Arial" w:hAnsi="Arial" w:cs="Arial"/>
                <w:snapToGrid w:val="0"/>
                <w:lang w:eastAsia="en-US"/>
              </w:rPr>
              <w:t>Sponsor Comment:</w:t>
            </w:r>
          </w:p>
        </w:tc>
        <w:tc>
          <w:tcPr>
            <w:tcW w:w="6802" w:type="dxa"/>
          </w:tcPr>
          <w:p w:rsidR="000F444A" w:rsidRPr="00971118" w:rsidRDefault="000F444A" w:rsidP="00704832">
            <w:pPr>
              <w:pStyle w:val="ListParagraph"/>
              <w:ind w:left="0"/>
              <w:jc w:val="both"/>
              <w:rPr>
                <w:rFonts w:ascii="Arial" w:hAnsi="Arial" w:cs="Arial"/>
                <w:sz w:val="20"/>
                <w:szCs w:val="20"/>
                <w:highlight w:val="yellow"/>
              </w:rPr>
            </w:pPr>
            <w:r w:rsidRPr="00321E0A">
              <w:rPr>
                <w:rFonts w:ascii="Arial" w:eastAsia="Times New Roman" w:hAnsi="Arial" w:cs="Arial"/>
                <w:sz w:val="20"/>
                <w:szCs w:val="20"/>
              </w:rPr>
              <w:t>The Sponsor is committed to working with the PBAC and the Department of Health to make crizotinib available for the treatment of advanced ROS1-positive non-small cell lung cancer; a rare disease with high unmet clinical need.</w:t>
            </w:r>
          </w:p>
        </w:tc>
      </w:tr>
      <w:tr w:rsidR="000F444A" w:rsidRPr="00971118" w:rsidTr="00704832">
        <w:trPr>
          <w:cantSplit/>
          <w:trHeight w:val="1880"/>
        </w:trPr>
        <w:tc>
          <w:tcPr>
            <w:tcW w:w="3076" w:type="dxa"/>
            <w:vMerge w:val="restart"/>
            <w:tcMar>
              <w:top w:w="28" w:type="dxa"/>
              <w:bottom w:w="28" w:type="dxa"/>
            </w:tcMar>
          </w:tcPr>
          <w:p w:rsidR="000F444A" w:rsidRPr="00E07350" w:rsidRDefault="000F444A" w:rsidP="00DA535C">
            <w:pPr>
              <w:rPr>
                <w:rFonts w:ascii="Arial" w:hAnsi="Arial" w:cs="Arial"/>
                <w:color w:val="000000"/>
              </w:rPr>
            </w:pPr>
            <w:r w:rsidRPr="001C1D66">
              <w:rPr>
                <w:rFonts w:ascii="Arial" w:hAnsi="Arial" w:cs="Arial"/>
                <w:color w:val="000000"/>
              </w:rPr>
              <w:lastRenderedPageBreak/>
              <w:t>EVOLOCUMAB</w:t>
            </w:r>
            <w:r w:rsidRPr="001C1D66">
              <w:rPr>
                <w:rFonts w:ascii="Arial" w:hAnsi="Arial" w:cs="Arial"/>
                <w:color w:val="000000"/>
              </w:rPr>
              <w:br/>
            </w:r>
            <w:r w:rsidRPr="001C1D66">
              <w:rPr>
                <w:rFonts w:ascii="Arial" w:hAnsi="Arial" w:cs="Arial"/>
                <w:color w:val="000000"/>
              </w:rPr>
              <w:br/>
            </w:r>
            <w:r w:rsidRPr="00E07350">
              <w:rPr>
                <w:rFonts w:ascii="Arial" w:hAnsi="Arial" w:cs="Arial"/>
                <w:color w:val="000000"/>
              </w:rPr>
              <w:t>Injection 420 mg in 3.5 mL single use pre-filled cartridge</w:t>
            </w:r>
          </w:p>
          <w:p w:rsidR="000F444A" w:rsidRDefault="000F444A" w:rsidP="00DA535C">
            <w:pPr>
              <w:rPr>
                <w:rFonts w:ascii="Arial" w:hAnsi="Arial" w:cs="Arial"/>
                <w:color w:val="000000"/>
              </w:rPr>
            </w:pPr>
            <w:r w:rsidRPr="00E07350">
              <w:rPr>
                <w:rFonts w:ascii="Arial" w:hAnsi="Arial" w:cs="Arial"/>
                <w:color w:val="000000"/>
              </w:rPr>
              <w:t>Injection 140 mg in 1 mL single use pre-filled pen</w:t>
            </w:r>
            <w:r w:rsidRPr="001C1D66">
              <w:rPr>
                <w:rFonts w:ascii="Arial" w:hAnsi="Arial" w:cs="Arial"/>
                <w:color w:val="000000"/>
              </w:rPr>
              <w:br/>
            </w:r>
            <w:r w:rsidRPr="001C1D66">
              <w:rPr>
                <w:rFonts w:ascii="Arial" w:hAnsi="Arial" w:cs="Arial"/>
                <w:color w:val="000000"/>
              </w:rPr>
              <w:br/>
              <w:t xml:space="preserve">Repatha® </w:t>
            </w:r>
            <w:r w:rsidRPr="001C1D66">
              <w:rPr>
                <w:rFonts w:ascii="Arial" w:hAnsi="Arial" w:cs="Arial"/>
                <w:color w:val="000000"/>
              </w:rPr>
              <w:br/>
            </w:r>
            <w:r w:rsidRPr="001C1D66">
              <w:rPr>
                <w:rFonts w:ascii="Arial" w:hAnsi="Arial" w:cs="Arial"/>
                <w:color w:val="000000"/>
              </w:rPr>
              <w:br/>
              <w:t>Amgen Australia Pty Ltd</w:t>
            </w:r>
          </w:p>
          <w:p w:rsidR="000F444A" w:rsidRDefault="000F444A" w:rsidP="00DA535C">
            <w:pPr>
              <w:rPr>
                <w:rFonts w:ascii="Arial" w:hAnsi="Arial" w:cs="Arial"/>
                <w:color w:val="000000"/>
              </w:rPr>
            </w:pPr>
          </w:p>
          <w:p w:rsidR="000F444A" w:rsidRPr="001C1D66" w:rsidRDefault="000F444A" w:rsidP="00DA535C">
            <w:pPr>
              <w:rPr>
                <w:rFonts w:ascii="Arial" w:hAnsi="Arial" w:cs="Arial"/>
                <w:color w:val="000000"/>
              </w:rPr>
            </w:pPr>
            <w:r>
              <w:rPr>
                <w:rFonts w:ascii="Arial" w:hAnsi="Arial" w:cs="Arial"/>
                <w:color w:val="000000"/>
              </w:rPr>
              <w:t>Change to listing</w:t>
            </w:r>
            <w:r w:rsidRPr="001C1D66">
              <w:rPr>
                <w:rFonts w:ascii="Arial" w:hAnsi="Arial" w:cs="Arial"/>
                <w:color w:val="000000"/>
              </w:rPr>
              <w:br/>
              <w:t>(Major Submission)</w:t>
            </w:r>
          </w:p>
        </w:tc>
        <w:tc>
          <w:tcPr>
            <w:tcW w:w="2229" w:type="dxa"/>
            <w:vMerge w:val="restart"/>
          </w:tcPr>
          <w:p w:rsidR="000F444A" w:rsidRPr="001C1D66" w:rsidRDefault="000F444A" w:rsidP="00DA535C">
            <w:pPr>
              <w:rPr>
                <w:rFonts w:ascii="Arial" w:hAnsi="Arial" w:cs="Arial"/>
                <w:color w:val="000000"/>
              </w:rPr>
            </w:pPr>
            <w:r w:rsidRPr="001C1D66">
              <w:rPr>
                <w:rFonts w:ascii="Arial" w:hAnsi="Arial" w:cs="Arial"/>
                <w:color w:val="000000"/>
              </w:rPr>
              <w:t>Fami</w:t>
            </w:r>
            <w:r>
              <w:rPr>
                <w:rFonts w:ascii="Arial" w:hAnsi="Arial" w:cs="Arial"/>
                <w:color w:val="000000"/>
              </w:rPr>
              <w:t>lial hypercholesterolaemia (FH)/</w:t>
            </w:r>
            <w:r w:rsidRPr="001C1D66">
              <w:rPr>
                <w:rFonts w:ascii="Arial" w:hAnsi="Arial" w:cs="Arial"/>
                <w:color w:val="000000"/>
              </w:rPr>
              <w:t xml:space="preserve"> hypercholesterolaemia with symptomatic atherosclerotic cardiovascular disease</w:t>
            </w:r>
            <w:r>
              <w:rPr>
                <w:rFonts w:ascii="Arial" w:hAnsi="Arial" w:cs="Arial"/>
                <w:color w:val="000000"/>
              </w:rPr>
              <w:t xml:space="preserve"> </w:t>
            </w:r>
            <w:r w:rsidRPr="00012D6F">
              <w:rPr>
                <w:rFonts w:ascii="Arial" w:hAnsi="Arial" w:cs="Arial"/>
              </w:rPr>
              <w:t>(ASCVD)</w:t>
            </w:r>
            <w:r w:rsidRPr="001C1D66">
              <w:rPr>
                <w:rFonts w:ascii="Arial" w:hAnsi="Arial" w:cs="Arial"/>
                <w:color w:val="000000"/>
              </w:rPr>
              <w:t xml:space="preserve"> who do not have underlying FH </w:t>
            </w:r>
          </w:p>
        </w:tc>
        <w:tc>
          <w:tcPr>
            <w:tcW w:w="3202" w:type="dxa"/>
            <w:tcMar>
              <w:top w:w="28" w:type="dxa"/>
              <w:bottom w:w="28" w:type="dxa"/>
            </w:tcMar>
          </w:tcPr>
          <w:p w:rsidR="000F444A" w:rsidRPr="00012D6F" w:rsidRDefault="000F444A" w:rsidP="00DA535C">
            <w:pPr>
              <w:rPr>
                <w:rFonts w:ascii="Arial" w:hAnsi="Arial" w:cs="Arial"/>
              </w:rPr>
            </w:pPr>
            <w:r w:rsidRPr="00012D6F">
              <w:rPr>
                <w:rFonts w:ascii="Arial" w:hAnsi="Arial" w:cs="Arial"/>
              </w:rPr>
              <w:t xml:space="preserve">Resubmission to request an Authority Required listing for treatment of patients with FH and patients with non-familial hypercholesterolaemia who have symptomatic ASCVD. </w:t>
            </w:r>
          </w:p>
          <w:p w:rsidR="000F444A" w:rsidRPr="001C1D66" w:rsidRDefault="000F444A" w:rsidP="00DA535C">
            <w:pPr>
              <w:rPr>
                <w:rFonts w:ascii="Arial" w:hAnsi="Arial" w:cs="Arial"/>
                <w:color w:val="000000"/>
              </w:rPr>
            </w:pPr>
          </w:p>
        </w:tc>
        <w:tc>
          <w:tcPr>
            <w:tcW w:w="6802" w:type="dxa"/>
          </w:tcPr>
          <w:p w:rsidR="000F444A" w:rsidRDefault="000F444A" w:rsidP="00704832">
            <w:pPr>
              <w:widowControl w:val="0"/>
              <w:jc w:val="both"/>
              <w:rPr>
                <w:rFonts w:ascii="Arial" w:hAnsi="Arial" w:cs="Arial"/>
              </w:rPr>
            </w:pPr>
            <w:r w:rsidRPr="00BE052B">
              <w:rPr>
                <w:rFonts w:ascii="Arial" w:hAnsi="Arial" w:cs="Arial"/>
              </w:rPr>
              <w:t xml:space="preserve">The PBAC deferred </w:t>
            </w:r>
            <w:r>
              <w:rPr>
                <w:rFonts w:ascii="Arial" w:hAnsi="Arial" w:cs="Arial"/>
              </w:rPr>
              <w:t xml:space="preserve">its decision as to whether to </w:t>
            </w:r>
            <w:r w:rsidRPr="00BE052B">
              <w:rPr>
                <w:rFonts w:ascii="Arial" w:hAnsi="Arial" w:cs="Arial"/>
              </w:rPr>
              <w:t>mak</w:t>
            </w:r>
            <w:r>
              <w:rPr>
                <w:rFonts w:ascii="Arial" w:hAnsi="Arial" w:cs="Arial"/>
              </w:rPr>
              <w:t>e</w:t>
            </w:r>
            <w:r w:rsidRPr="00BE052B">
              <w:rPr>
                <w:rFonts w:ascii="Arial" w:hAnsi="Arial" w:cs="Arial"/>
              </w:rPr>
              <w:t xml:space="preserve"> a recommendation to extend the PBS listing of evolocumab for patients with familial hypercholesterolaemia in order to </w:t>
            </w:r>
            <w:r>
              <w:rPr>
                <w:rFonts w:ascii="Arial" w:hAnsi="Arial" w:cs="Arial"/>
              </w:rPr>
              <w:t>for its</w:t>
            </w:r>
            <w:r w:rsidRPr="00BE052B">
              <w:rPr>
                <w:rFonts w:ascii="Arial" w:hAnsi="Arial" w:cs="Arial"/>
              </w:rPr>
              <w:t xml:space="preserve"> residual concerns with the economic model</w:t>
            </w:r>
            <w:r>
              <w:rPr>
                <w:rFonts w:ascii="Arial" w:hAnsi="Arial" w:cs="Arial"/>
              </w:rPr>
              <w:t xml:space="preserve"> to be addressed</w:t>
            </w:r>
            <w:r w:rsidRPr="00BE052B">
              <w:rPr>
                <w:rFonts w:ascii="Arial" w:hAnsi="Arial" w:cs="Arial"/>
              </w:rPr>
              <w:t xml:space="preserve">. The PBAC acknowledged the positive cardiovascular outcomes data from the FOURIER trial addressed previous PBAC concerns regarding the lack of </w:t>
            </w:r>
            <w:r w:rsidRPr="00270D7C">
              <w:rPr>
                <w:rFonts w:ascii="Arial" w:hAnsi="Arial" w:cs="Arial"/>
              </w:rPr>
              <w:t xml:space="preserve">cardiovascular </w:t>
            </w:r>
            <w:r>
              <w:rPr>
                <w:rFonts w:ascii="Arial" w:hAnsi="Arial" w:cs="Arial"/>
              </w:rPr>
              <w:t>(</w:t>
            </w:r>
            <w:r w:rsidRPr="00BE052B">
              <w:rPr>
                <w:rFonts w:ascii="Arial" w:hAnsi="Arial" w:cs="Arial"/>
              </w:rPr>
              <w:t>CV</w:t>
            </w:r>
            <w:r>
              <w:rPr>
                <w:rFonts w:ascii="Arial" w:hAnsi="Arial" w:cs="Arial"/>
              </w:rPr>
              <w:t>)</w:t>
            </w:r>
            <w:r w:rsidRPr="00BE052B">
              <w:rPr>
                <w:rFonts w:ascii="Arial" w:hAnsi="Arial" w:cs="Arial"/>
              </w:rPr>
              <w:t xml:space="preserve"> event data for evolocumab.  The PBAC also noted that, while the trial did not demonstrate a reduction in mortality with evolocumab compared to placebo, the effect on all other cardiovascular outcomes was robust and consistent with the extensive body of knowledge of the benefits of LDL-c lowering.  However, the PBAC noted that any benefits on mortality would not be realised immediately and the economic model needed to reflect this.  The PBAC also felt that the definition of statin intolerance</w:t>
            </w:r>
            <w:r>
              <w:rPr>
                <w:rFonts w:ascii="Arial" w:hAnsi="Arial" w:cs="Arial"/>
              </w:rPr>
              <w:t xml:space="preserve"> in the proposed PBS listing</w:t>
            </w:r>
            <w:r w:rsidRPr="00BE052B">
              <w:rPr>
                <w:rFonts w:ascii="Arial" w:hAnsi="Arial" w:cs="Arial"/>
              </w:rPr>
              <w:t xml:space="preserve"> should be revised to ensure that evolocumab is used in the most appropriate population.</w:t>
            </w:r>
          </w:p>
          <w:p w:rsidR="000F444A" w:rsidRPr="00BE052B" w:rsidRDefault="000F444A" w:rsidP="00704832">
            <w:pPr>
              <w:widowControl w:val="0"/>
              <w:jc w:val="both"/>
              <w:rPr>
                <w:rFonts w:ascii="Arial" w:hAnsi="Arial" w:cs="Arial"/>
              </w:rPr>
            </w:pPr>
          </w:p>
          <w:p w:rsidR="000F444A" w:rsidRPr="00971118" w:rsidRDefault="000F444A" w:rsidP="00704832">
            <w:pPr>
              <w:widowControl w:val="0"/>
              <w:jc w:val="both"/>
              <w:rPr>
                <w:rFonts w:ascii="Arial" w:hAnsi="Arial" w:cs="Arial"/>
                <w:highlight w:val="yellow"/>
              </w:rPr>
            </w:pPr>
            <w:r w:rsidRPr="00BE052B">
              <w:rPr>
                <w:rFonts w:ascii="Arial" w:hAnsi="Arial" w:cs="Arial"/>
              </w:rPr>
              <w:t xml:space="preserve">The PBAC did not recommend the listing of evolocumab for patients with non-familial hypercholesterolaemia with atherosclerotic disease on the basis of a high incremental cost effectiveness ratio </w:t>
            </w:r>
            <w:r>
              <w:rPr>
                <w:rFonts w:ascii="Arial" w:hAnsi="Arial" w:cs="Arial"/>
              </w:rPr>
              <w:t xml:space="preserve">(ICER) </w:t>
            </w:r>
            <w:r w:rsidRPr="00BE052B">
              <w:rPr>
                <w:rFonts w:ascii="Arial" w:hAnsi="Arial" w:cs="Arial"/>
              </w:rPr>
              <w:t>and high and uncertain patient population numbers. The PBAC considered this population required more refined eligibility criteria</w:t>
            </w:r>
            <w:r>
              <w:rPr>
                <w:rFonts w:ascii="Arial" w:hAnsi="Arial" w:cs="Arial"/>
              </w:rPr>
              <w:t xml:space="preserve"> in the proposed PBS listing</w:t>
            </w:r>
            <w:r w:rsidRPr="00BE052B">
              <w:rPr>
                <w:rFonts w:ascii="Arial" w:hAnsi="Arial" w:cs="Arial"/>
              </w:rPr>
              <w:t xml:space="preserve"> given the very high financial estimates. The PBAC also considered use of the CV outcomes data from the FOURIER trial would better inform the economic model.</w:t>
            </w:r>
          </w:p>
        </w:tc>
      </w:tr>
      <w:tr w:rsidR="000F444A" w:rsidRPr="00971118" w:rsidTr="00704832">
        <w:trPr>
          <w:cantSplit/>
          <w:trHeight w:val="477"/>
        </w:trPr>
        <w:tc>
          <w:tcPr>
            <w:tcW w:w="3076" w:type="dxa"/>
            <w:vMerge/>
            <w:tcMar>
              <w:top w:w="28" w:type="dxa"/>
              <w:bottom w:w="28" w:type="dxa"/>
            </w:tcMar>
          </w:tcPr>
          <w:p w:rsidR="000F444A" w:rsidRPr="00971118" w:rsidRDefault="000F444A" w:rsidP="00DA535C">
            <w:pPr>
              <w:widowControl w:val="0"/>
              <w:rPr>
                <w:rFonts w:ascii="Arial" w:hAnsi="Arial" w:cs="Arial"/>
                <w:snapToGrid w:val="0"/>
                <w:lang w:eastAsia="en-US"/>
              </w:rPr>
            </w:pPr>
          </w:p>
        </w:tc>
        <w:tc>
          <w:tcPr>
            <w:tcW w:w="2229" w:type="dxa"/>
            <w:vMerge/>
          </w:tcPr>
          <w:p w:rsidR="000F444A" w:rsidRPr="00971118" w:rsidRDefault="000F444A" w:rsidP="00DA535C">
            <w:pPr>
              <w:widowControl w:val="0"/>
              <w:rPr>
                <w:rFonts w:ascii="Arial" w:hAnsi="Arial" w:cs="Arial"/>
                <w:snapToGrid w:val="0"/>
                <w:lang w:eastAsia="en-US"/>
              </w:rPr>
            </w:pPr>
          </w:p>
        </w:tc>
        <w:tc>
          <w:tcPr>
            <w:tcW w:w="3202" w:type="dxa"/>
            <w:tcMar>
              <w:top w:w="28" w:type="dxa"/>
              <w:bottom w:w="28" w:type="dxa"/>
            </w:tcMar>
          </w:tcPr>
          <w:p w:rsidR="000F444A" w:rsidRPr="00971118" w:rsidRDefault="000F444A" w:rsidP="00DA535C">
            <w:pPr>
              <w:widowControl w:val="0"/>
              <w:jc w:val="right"/>
              <w:rPr>
                <w:rFonts w:ascii="Arial" w:hAnsi="Arial" w:cs="Arial"/>
                <w:snapToGrid w:val="0"/>
                <w:highlight w:val="yellow"/>
                <w:lang w:eastAsia="en-US"/>
              </w:rPr>
            </w:pPr>
            <w:r w:rsidRPr="00971118">
              <w:rPr>
                <w:rFonts w:ascii="Arial" w:hAnsi="Arial" w:cs="Arial"/>
                <w:snapToGrid w:val="0"/>
                <w:lang w:eastAsia="en-US"/>
              </w:rPr>
              <w:t>Sponsor Comment:</w:t>
            </w:r>
          </w:p>
        </w:tc>
        <w:tc>
          <w:tcPr>
            <w:tcW w:w="6802" w:type="dxa"/>
          </w:tcPr>
          <w:p w:rsidR="000F444A" w:rsidRPr="00727AA5" w:rsidRDefault="000F444A" w:rsidP="00704832">
            <w:pPr>
              <w:jc w:val="both"/>
              <w:rPr>
                <w:rFonts w:ascii="Arial" w:hAnsi="Arial" w:cs="Arial"/>
              </w:rPr>
            </w:pPr>
            <w:r w:rsidRPr="00727AA5">
              <w:rPr>
                <w:rFonts w:ascii="Arial" w:hAnsi="Arial" w:cs="Arial"/>
              </w:rPr>
              <w:t>Amgen is pleased that the PBAC has acknowledged the positive cardiovascular outcomes achieved in the FOURIER trial. Patients with familial hypercholesterolaemia are at very high CV risk and require access to effective therapy to achieve meaningful reductions in LDL-C. Amgen intends to work with PBAC to adjust the economic model to address the residual concerns as an immediate priority with the aim to extend the current PBS listing to include these patients.</w:t>
            </w:r>
          </w:p>
          <w:p w:rsidR="000F444A" w:rsidRPr="00727AA5" w:rsidRDefault="000F444A" w:rsidP="00704832">
            <w:pPr>
              <w:jc w:val="both"/>
              <w:rPr>
                <w:rFonts w:ascii="Arial" w:hAnsi="Arial" w:cs="Arial"/>
              </w:rPr>
            </w:pPr>
            <w:r w:rsidRPr="00727AA5">
              <w:rPr>
                <w:rFonts w:ascii="Arial" w:hAnsi="Arial" w:cs="Arial"/>
              </w:rPr>
              <w:t>Amgen will continue to work with PBAC towards achieving reimbursement for all patients in whom there is a clinical need.</w:t>
            </w:r>
          </w:p>
          <w:p w:rsidR="000F444A" w:rsidRPr="00971118" w:rsidRDefault="000F444A" w:rsidP="00704832">
            <w:pPr>
              <w:pStyle w:val="ListParagraph"/>
              <w:ind w:left="0"/>
              <w:jc w:val="both"/>
              <w:rPr>
                <w:rFonts w:ascii="Arial" w:hAnsi="Arial" w:cs="Arial"/>
                <w:sz w:val="20"/>
                <w:szCs w:val="20"/>
                <w:highlight w:val="yellow"/>
              </w:rPr>
            </w:pPr>
          </w:p>
        </w:tc>
      </w:tr>
      <w:tr w:rsidR="000F444A" w:rsidRPr="00971118" w:rsidTr="00704832">
        <w:trPr>
          <w:cantSplit/>
          <w:trHeight w:val="1880"/>
        </w:trPr>
        <w:tc>
          <w:tcPr>
            <w:tcW w:w="3076" w:type="dxa"/>
            <w:vMerge w:val="restart"/>
            <w:tcMar>
              <w:top w:w="28" w:type="dxa"/>
              <w:bottom w:w="28" w:type="dxa"/>
            </w:tcMar>
          </w:tcPr>
          <w:p w:rsidR="000F444A" w:rsidRDefault="000F444A" w:rsidP="00DA535C">
            <w:pPr>
              <w:rPr>
                <w:rFonts w:ascii="Arial" w:hAnsi="Arial" w:cs="Arial"/>
                <w:color w:val="000000"/>
              </w:rPr>
            </w:pPr>
            <w:r>
              <w:rPr>
                <w:rFonts w:ascii="Arial" w:hAnsi="Arial" w:cs="Arial"/>
                <w:color w:val="000000"/>
              </w:rPr>
              <w:lastRenderedPageBreak/>
              <w:t>LANREOTIDE</w:t>
            </w:r>
            <w:r>
              <w:rPr>
                <w:rFonts w:ascii="Arial" w:hAnsi="Arial" w:cs="Arial"/>
                <w:color w:val="000000"/>
              </w:rPr>
              <w:br/>
            </w:r>
            <w:r>
              <w:rPr>
                <w:rFonts w:ascii="Arial" w:hAnsi="Arial" w:cs="Arial"/>
                <w:color w:val="000000"/>
              </w:rPr>
              <w:br/>
              <w:t>Injection 120 mg (as acetate) in single dose pre-filled syringe</w:t>
            </w:r>
            <w:r>
              <w:rPr>
                <w:rFonts w:ascii="Arial" w:hAnsi="Arial" w:cs="Arial"/>
                <w:color w:val="000000"/>
              </w:rPr>
              <w:br/>
            </w:r>
            <w:r>
              <w:rPr>
                <w:rFonts w:ascii="Arial" w:hAnsi="Arial" w:cs="Arial"/>
                <w:color w:val="000000"/>
              </w:rPr>
              <w:br/>
              <w:t>Somatuline® Autogel®</w:t>
            </w:r>
            <w:r>
              <w:rPr>
                <w:rFonts w:ascii="Arial" w:hAnsi="Arial" w:cs="Arial"/>
                <w:color w:val="000000"/>
              </w:rPr>
              <w:br/>
            </w:r>
            <w:r>
              <w:rPr>
                <w:rFonts w:ascii="Arial" w:hAnsi="Arial" w:cs="Arial"/>
                <w:color w:val="000000"/>
              </w:rPr>
              <w:br/>
              <w:t>Ipsen Pty Ltd</w:t>
            </w:r>
          </w:p>
          <w:p w:rsidR="000F444A" w:rsidRDefault="000F444A" w:rsidP="00DA535C">
            <w:pPr>
              <w:rPr>
                <w:rFonts w:ascii="Arial" w:hAnsi="Arial" w:cs="Arial"/>
                <w:color w:val="000000"/>
              </w:rPr>
            </w:pPr>
          </w:p>
          <w:p w:rsidR="000F444A" w:rsidRDefault="000F444A" w:rsidP="00DA535C">
            <w:pPr>
              <w:rPr>
                <w:rFonts w:ascii="Arial" w:hAnsi="Arial" w:cs="Arial"/>
                <w:color w:val="000000"/>
              </w:rPr>
            </w:pPr>
            <w:r>
              <w:rPr>
                <w:rFonts w:ascii="Arial" w:hAnsi="Arial" w:cs="Arial"/>
                <w:color w:val="000000"/>
              </w:rPr>
              <w:t>Change to listing</w:t>
            </w:r>
            <w:r>
              <w:rPr>
                <w:rFonts w:ascii="Arial" w:hAnsi="Arial" w:cs="Arial"/>
                <w:color w:val="000000"/>
              </w:rPr>
              <w:br/>
              <w:t>(Minor Submission)</w:t>
            </w:r>
          </w:p>
        </w:tc>
        <w:tc>
          <w:tcPr>
            <w:tcW w:w="2229" w:type="dxa"/>
            <w:vMerge w:val="restart"/>
          </w:tcPr>
          <w:p w:rsidR="000F444A" w:rsidRDefault="000F444A" w:rsidP="00DA535C">
            <w:pPr>
              <w:rPr>
                <w:rFonts w:ascii="Arial" w:hAnsi="Arial" w:cs="Arial"/>
                <w:color w:val="000000"/>
              </w:rPr>
            </w:pPr>
            <w:r>
              <w:rPr>
                <w:rFonts w:ascii="Arial" w:hAnsi="Arial" w:cs="Arial"/>
                <w:color w:val="000000"/>
              </w:rPr>
              <w:t>Non-functional gastroentero-pancreatic neuroendocrine tumours (GEP-NETs)</w:t>
            </w:r>
          </w:p>
        </w:tc>
        <w:tc>
          <w:tcPr>
            <w:tcW w:w="3202" w:type="dxa"/>
            <w:tcMar>
              <w:top w:w="28" w:type="dxa"/>
              <w:bottom w:w="28" w:type="dxa"/>
            </w:tcMar>
          </w:tcPr>
          <w:p w:rsidR="000F444A" w:rsidRDefault="000F444A" w:rsidP="00DA535C">
            <w:pPr>
              <w:rPr>
                <w:rFonts w:ascii="Arial" w:hAnsi="Arial" w:cs="Arial"/>
                <w:color w:val="000000"/>
              </w:rPr>
            </w:pPr>
            <w:r>
              <w:rPr>
                <w:rFonts w:ascii="Arial" w:hAnsi="Arial" w:cs="Arial"/>
                <w:color w:val="000000"/>
              </w:rPr>
              <w:t>Resubmission to request a Section 100 (Highly Specialised Drugs Program) Authority Required (STREAMLINED) listing for the treatment of non-functional GEP-NETs in adult patients with un-resectable locally advanced or metastatic disease.</w:t>
            </w:r>
          </w:p>
        </w:tc>
        <w:tc>
          <w:tcPr>
            <w:tcW w:w="6802" w:type="dxa"/>
          </w:tcPr>
          <w:p w:rsidR="000F444A" w:rsidRPr="00B1390D" w:rsidRDefault="000F444A" w:rsidP="00704832">
            <w:pPr>
              <w:widowControl w:val="0"/>
              <w:spacing w:after="120"/>
              <w:jc w:val="both"/>
              <w:rPr>
                <w:rFonts w:ascii="Arial" w:hAnsi="Arial" w:cs="Arial"/>
                <w:bCs/>
                <w:snapToGrid w:val="0"/>
                <w:lang w:val="en-GB" w:eastAsia="en-US"/>
              </w:rPr>
            </w:pPr>
            <w:r w:rsidRPr="00B1390D">
              <w:rPr>
                <w:rFonts w:ascii="Arial" w:hAnsi="Arial" w:cs="Arial"/>
                <w:bCs/>
                <w:snapToGrid w:val="0"/>
                <w:lang w:val="en-GB" w:eastAsia="en-US"/>
              </w:rPr>
              <w:t xml:space="preserve">The PBAC deferred its decision on listing lanreotide on the PBS for the treatment of non-functional GEP-NETs on the basis that the cost-effectiveness of the proposed listing was uncertain. The PBAC advised that further negotiations between the Department and sponsor would be required to establish a price of lanreotide and Risk Sharing Arrangement which would adequately offset the uncertainty around cost-effectiveness. </w:t>
            </w:r>
          </w:p>
          <w:p w:rsidR="000F444A" w:rsidRPr="00B1390D" w:rsidRDefault="000F444A" w:rsidP="00704832">
            <w:pPr>
              <w:widowControl w:val="0"/>
              <w:spacing w:after="120"/>
              <w:jc w:val="both"/>
              <w:rPr>
                <w:rFonts w:ascii="Arial" w:hAnsi="Arial" w:cs="Arial"/>
                <w:bCs/>
                <w:snapToGrid w:val="0"/>
                <w:lang w:val="en-GB" w:eastAsia="en-US"/>
              </w:rPr>
            </w:pPr>
            <w:r w:rsidRPr="00B1390D">
              <w:rPr>
                <w:rFonts w:ascii="Arial" w:hAnsi="Arial" w:cs="Arial"/>
                <w:bCs/>
                <w:snapToGrid w:val="0"/>
                <w:lang w:val="en-GB" w:eastAsia="en-US"/>
              </w:rPr>
              <w:t>While the PBAC noted that the submission had not provided a new economic model to address its previous concerns regarding the applied post-</w:t>
            </w:r>
            <w:r>
              <w:rPr>
                <w:rFonts w:ascii="Arial" w:hAnsi="Arial" w:cs="Arial"/>
                <w:bCs/>
                <w:snapToGrid w:val="0"/>
                <w:lang w:val="en-GB" w:eastAsia="en-US"/>
              </w:rPr>
              <w:t xml:space="preserve">disease </w:t>
            </w:r>
            <w:r w:rsidRPr="00B1390D">
              <w:rPr>
                <w:rFonts w:ascii="Arial" w:hAnsi="Arial" w:cs="Arial"/>
                <w:bCs/>
                <w:snapToGrid w:val="0"/>
                <w:lang w:val="en-GB" w:eastAsia="en-US"/>
              </w:rPr>
              <w:t xml:space="preserve">progression treatment sequences, costs and durations, it considered that a substantial price reduction in conjunction with a Risk Sharing Arrangement would be adequate to address the uncertainty around cost-effectiveness. </w:t>
            </w:r>
          </w:p>
          <w:p w:rsidR="000F444A" w:rsidRPr="00B1390D" w:rsidRDefault="000F444A" w:rsidP="00704832">
            <w:pPr>
              <w:widowControl w:val="0"/>
              <w:jc w:val="both"/>
              <w:rPr>
                <w:rFonts w:ascii="Arial" w:hAnsi="Arial" w:cs="Arial"/>
                <w:highlight w:val="yellow"/>
              </w:rPr>
            </w:pPr>
          </w:p>
        </w:tc>
      </w:tr>
      <w:tr w:rsidR="000F444A" w:rsidRPr="00971118" w:rsidTr="00704832">
        <w:trPr>
          <w:cantSplit/>
          <w:trHeight w:val="477"/>
        </w:trPr>
        <w:tc>
          <w:tcPr>
            <w:tcW w:w="3076" w:type="dxa"/>
            <w:vMerge/>
            <w:tcMar>
              <w:top w:w="28" w:type="dxa"/>
              <w:bottom w:w="28" w:type="dxa"/>
            </w:tcMar>
          </w:tcPr>
          <w:p w:rsidR="000F444A" w:rsidRPr="00971118" w:rsidRDefault="000F444A" w:rsidP="00DA535C">
            <w:pPr>
              <w:widowControl w:val="0"/>
              <w:rPr>
                <w:rFonts w:ascii="Arial" w:hAnsi="Arial" w:cs="Arial"/>
                <w:snapToGrid w:val="0"/>
                <w:lang w:eastAsia="en-US"/>
              </w:rPr>
            </w:pPr>
          </w:p>
        </w:tc>
        <w:tc>
          <w:tcPr>
            <w:tcW w:w="2229" w:type="dxa"/>
            <w:vMerge/>
          </w:tcPr>
          <w:p w:rsidR="000F444A" w:rsidRPr="00971118" w:rsidRDefault="000F444A" w:rsidP="00DA535C">
            <w:pPr>
              <w:widowControl w:val="0"/>
              <w:rPr>
                <w:rFonts w:ascii="Arial" w:hAnsi="Arial" w:cs="Arial"/>
                <w:snapToGrid w:val="0"/>
                <w:lang w:eastAsia="en-US"/>
              </w:rPr>
            </w:pPr>
          </w:p>
        </w:tc>
        <w:tc>
          <w:tcPr>
            <w:tcW w:w="3202" w:type="dxa"/>
            <w:tcMar>
              <w:top w:w="28" w:type="dxa"/>
              <w:bottom w:w="28" w:type="dxa"/>
            </w:tcMar>
          </w:tcPr>
          <w:p w:rsidR="000F444A" w:rsidRPr="00971118" w:rsidRDefault="000F444A" w:rsidP="00DA535C">
            <w:pPr>
              <w:widowControl w:val="0"/>
              <w:jc w:val="right"/>
              <w:rPr>
                <w:rFonts w:ascii="Arial" w:hAnsi="Arial" w:cs="Arial"/>
                <w:snapToGrid w:val="0"/>
                <w:highlight w:val="yellow"/>
                <w:lang w:eastAsia="en-US"/>
              </w:rPr>
            </w:pPr>
            <w:r w:rsidRPr="00971118">
              <w:rPr>
                <w:rFonts w:ascii="Arial" w:hAnsi="Arial" w:cs="Arial"/>
                <w:snapToGrid w:val="0"/>
                <w:lang w:eastAsia="en-US"/>
              </w:rPr>
              <w:t>Sponsor Comment:</w:t>
            </w:r>
          </w:p>
        </w:tc>
        <w:tc>
          <w:tcPr>
            <w:tcW w:w="6802" w:type="dxa"/>
          </w:tcPr>
          <w:p w:rsidR="000F444A" w:rsidRPr="00971118" w:rsidRDefault="000F444A" w:rsidP="00704832">
            <w:pPr>
              <w:pStyle w:val="ListParagraph"/>
              <w:ind w:left="0"/>
              <w:jc w:val="both"/>
              <w:rPr>
                <w:rFonts w:ascii="Arial" w:hAnsi="Arial" w:cs="Arial"/>
                <w:sz w:val="20"/>
                <w:szCs w:val="20"/>
                <w:highlight w:val="yellow"/>
              </w:rPr>
            </w:pPr>
            <w:r>
              <w:rPr>
                <w:rFonts w:ascii="Arial" w:hAnsi="Arial" w:cs="Arial"/>
                <w:sz w:val="20"/>
                <w:szCs w:val="20"/>
              </w:rPr>
              <w:t>The Sponsor had no comment.</w:t>
            </w:r>
          </w:p>
        </w:tc>
      </w:tr>
      <w:tr w:rsidR="000F444A" w:rsidRPr="00971118" w:rsidTr="00704832">
        <w:trPr>
          <w:cantSplit/>
          <w:trHeight w:val="1880"/>
        </w:trPr>
        <w:tc>
          <w:tcPr>
            <w:tcW w:w="3076" w:type="dxa"/>
            <w:vMerge w:val="restart"/>
            <w:tcMar>
              <w:top w:w="28" w:type="dxa"/>
              <w:bottom w:w="28" w:type="dxa"/>
            </w:tcMar>
          </w:tcPr>
          <w:p w:rsidR="000F444A" w:rsidRPr="00411DC6" w:rsidRDefault="000F444A" w:rsidP="00DA535C">
            <w:pPr>
              <w:rPr>
                <w:rFonts w:ascii="Arial" w:hAnsi="Arial" w:cs="Arial"/>
                <w:color w:val="000000"/>
              </w:rPr>
            </w:pPr>
            <w:r w:rsidRPr="001C1D66">
              <w:rPr>
                <w:rFonts w:ascii="Arial" w:hAnsi="Arial" w:cs="Arial"/>
                <w:color w:val="000000"/>
              </w:rPr>
              <w:lastRenderedPageBreak/>
              <w:t>PEMBROLIZUMAB</w:t>
            </w:r>
            <w:r w:rsidRPr="001C1D66">
              <w:rPr>
                <w:rFonts w:ascii="Arial" w:hAnsi="Arial" w:cs="Arial"/>
                <w:color w:val="000000"/>
              </w:rPr>
              <w:br/>
            </w:r>
            <w:r w:rsidRPr="001C1D66">
              <w:rPr>
                <w:rFonts w:ascii="Arial" w:hAnsi="Arial" w:cs="Arial"/>
                <w:color w:val="000000"/>
              </w:rPr>
              <w:br/>
            </w:r>
            <w:r w:rsidRPr="00411DC6">
              <w:rPr>
                <w:rFonts w:ascii="Arial" w:hAnsi="Arial" w:cs="Arial"/>
                <w:color w:val="000000"/>
              </w:rPr>
              <w:t xml:space="preserve">Powder for injection 50 mg </w:t>
            </w:r>
          </w:p>
          <w:p w:rsidR="000F444A" w:rsidRDefault="000F444A" w:rsidP="00DA535C">
            <w:pPr>
              <w:rPr>
                <w:rFonts w:ascii="Arial" w:hAnsi="Arial" w:cs="Arial"/>
                <w:color w:val="000000"/>
              </w:rPr>
            </w:pPr>
            <w:r w:rsidRPr="00411DC6">
              <w:rPr>
                <w:rFonts w:ascii="Arial" w:hAnsi="Arial" w:cs="Arial"/>
                <w:color w:val="000000"/>
              </w:rPr>
              <w:t>Solution concentrate for I.V. infusion 100 mg in 4 mL</w:t>
            </w:r>
            <w:r w:rsidRPr="001C1D66">
              <w:rPr>
                <w:rFonts w:ascii="Arial" w:hAnsi="Arial" w:cs="Arial"/>
                <w:color w:val="000000"/>
              </w:rPr>
              <w:br/>
            </w:r>
            <w:r w:rsidRPr="001C1D66">
              <w:rPr>
                <w:rFonts w:ascii="Arial" w:hAnsi="Arial" w:cs="Arial"/>
                <w:color w:val="000000"/>
              </w:rPr>
              <w:br/>
              <w:t>Keytruda®</w:t>
            </w:r>
            <w:r w:rsidRPr="001C1D66">
              <w:rPr>
                <w:rFonts w:ascii="Arial" w:hAnsi="Arial" w:cs="Arial"/>
                <w:color w:val="000000"/>
              </w:rPr>
              <w:br/>
            </w:r>
            <w:r w:rsidRPr="001C1D66">
              <w:rPr>
                <w:rFonts w:ascii="Arial" w:hAnsi="Arial" w:cs="Arial"/>
                <w:color w:val="000000"/>
              </w:rPr>
              <w:br/>
              <w:t>Merck Sharp &amp; Dohme (Australia) Pty Ltd</w:t>
            </w:r>
          </w:p>
          <w:p w:rsidR="000F444A" w:rsidRDefault="000F444A" w:rsidP="00DA535C">
            <w:pPr>
              <w:rPr>
                <w:rFonts w:ascii="Arial" w:hAnsi="Arial" w:cs="Arial"/>
                <w:color w:val="000000"/>
              </w:rPr>
            </w:pPr>
          </w:p>
          <w:p w:rsidR="000F444A" w:rsidRPr="001C1D66" w:rsidRDefault="000F444A" w:rsidP="00DA535C">
            <w:pPr>
              <w:rPr>
                <w:rFonts w:ascii="Arial" w:hAnsi="Arial" w:cs="Arial"/>
                <w:color w:val="000000"/>
              </w:rPr>
            </w:pPr>
            <w:r>
              <w:rPr>
                <w:rFonts w:ascii="Arial" w:hAnsi="Arial" w:cs="Arial"/>
                <w:color w:val="000000"/>
              </w:rPr>
              <w:t>Change to listing</w:t>
            </w:r>
            <w:r w:rsidRPr="001C1D66">
              <w:rPr>
                <w:rFonts w:ascii="Arial" w:hAnsi="Arial" w:cs="Arial"/>
                <w:color w:val="000000"/>
              </w:rPr>
              <w:br/>
              <w:t>(Major Submission)</w:t>
            </w:r>
          </w:p>
        </w:tc>
        <w:tc>
          <w:tcPr>
            <w:tcW w:w="2229" w:type="dxa"/>
            <w:vMerge w:val="restart"/>
          </w:tcPr>
          <w:p w:rsidR="000F444A" w:rsidRPr="001C1D66" w:rsidRDefault="000F444A" w:rsidP="00DA535C">
            <w:pPr>
              <w:rPr>
                <w:rFonts w:ascii="Arial" w:hAnsi="Arial" w:cs="Arial"/>
                <w:color w:val="000000"/>
              </w:rPr>
            </w:pPr>
            <w:r w:rsidRPr="001C1D66">
              <w:rPr>
                <w:rFonts w:ascii="Arial" w:hAnsi="Arial" w:cs="Arial"/>
                <w:color w:val="000000"/>
              </w:rPr>
              <w:t xml:space="preserve">First-line treatment of patients with metastatic non-small cell lung </w:t>
            </w:r>
            <w:r>
              <w:rPr>
                <w:rFonts w:ascii="Arial" w:hAnsi="Arial" w:cs="Arial"/>
                <w:color w:val="000000"/>
              </w:rPr>
              <w:t>cancer</w:t>
            </w:r>
            <w:r w:rsidRPr="001C1D66">
              <w:rPr>
                <w:rFonts w:ascii="Arial" w:hAnsi="Arial" w:cs="Arial"/>
                <w:color w:val="000000"/>
              </w:rPr>
              <w:t xml:space="preserve"> (NSCLC)</w:t>
            </w:r>
          </w:p>
        </w:tc>
        <w:tc>
          <w:tcPr>
            <w:tcW w:w="3202" w:type="dxa"/>
            <w:tcMar>
              <w:top w:w="28" w:type="dxa"/>
              <w:bottom w:w="28" w:type="dxa"/>
            </w:tcMar>
          </w:tcPr>
          <w:p w:rsidR="000F444A" w:rsidRDefault="000F444A" w:rsidP="00DA535C">
            <w:pPr>
              <w:rPr>
                <w:rFonts w:ascii="Arial" w:hAnsi="Arial" w:cs="Arial"/>
                <w:color w:val="000000"/>
              </w:rPr>
            </w:pPr>
            <w:r>
              <w:rPr>
                <w:rFonts w:ascii="Arial" w:hAnsi="Arial" w:cs="Arial"/>
                <w:color w:val="000000"/>
              </w:rPr>
              <w:t>Resubmission to request a Section 100 (Efficient Funding of Chemotherapy) Authority Required (STREAMLINED) listing as first line monotherapy in patients expressing PD-L1 for NSCLC.</w:t>
            </w:r>
          </w:p>
          <w:p w:rsidR="000F444A" w:rsidRPr="001C1D66" w:rsidRDefault="000F444A" w:rsidP="00DA535C">
            <w:pPr>
              <w:rPr>
                <w:rFonts w:ascii="Arial" w:hAnsi="Arial" w:cs="Arial"/>
                <w:color w:val="000000"/>
              </w:rPr>
            </w:pPr>
          </w:p>
        </w:tc>
        <w:tc>
          <w:tcPr>
            <w:tcW w:w="6802" w:type="dxa"/>
          </w:tcPr>
          <w:p w:rsidR="000F444A" w:rsidRDefault="000F444A" w:rsidP="00704832">
            <w:pPr>
              <w:widowControl w:val="0"/>
              <w:jc w:val="both"/>
              <w:rPr>
                <w:rFonts w:ascii="Arial" w:hAnsi="Arial" w:cs="Arial"/>
              </w:rPr>
            </w:pPr>
            <w:r w:rsidRPr="00E17531">
              <w:rPr>
                <w:rFonts w:ascii="Arial" w:hAnsi="Arial" w:cs="Arial"/>
              </w:rPr>
              <w:t>The PBAC deferred</w:t>
            </w:r>
            <w:r>
              <w:rPr>
                <w:rFonts w:ascii="Arial" w:hAnsi="Arial" w:cs="Arial"/>
              </w:rPr>
              <w:t xml:space="preserve"> its decision as to whether to</w:t>
            </w:r>
            <w:r w:rsidRPr="00E17531">
              <w:rPr>
                <w:rFonts w:ascii="Arial" w:hAnsi="Arial" w:cs="Arial"/>
              </w:rPr>
              <w:t xml:space="preserve"> mak</w:t>
            </w:r>
            <w:r>
              <w:rPr>
                <w:rFonts w:ascii="Arial" w:hAnsi="Arial" w:cs="Arial"/>
              </w:rPr>
              <w:t>e</w:t>
            </w:r>
            <w:r w:rsidRPr="00E17531">
              <w:rPr>
                <w:rFonts w:ascii="Arial" w:hAnsi="Arial" w:cs="Arial"/>
              </w:rPr>
              <w:t xml:space="preserve"> a recommendation to list pembrolizumab for the first-line treatment of patients with metastatic (Stage IV) NSCLC, who do not have an activating epidermal growth factor receptor (</w:t>
            </w:r>
            <w:r w:rsidRPr="00E17531">
              <w:rPr>
                <w:rFonts w:ascii="Arial" w:hAnsi="Arial" w:cs="Arial"/>
                <w:i/>
              </w:rPr>
              <w:t>EGFR</w:t>
            </w:r>
            <w:r w:rsidRPr="00E17531">
              <w:rPr>
                <w:rFonts w:ascii="Arial" w:hAnsi="Arial" w:cs="Arial"/>
              </w:rPr>
              <w:t>) gene mutation or an anaplastic lymphoma kinase (</w:t>
            </w:r>
            <w:r w:rsidRPr="00E17531">
              <w:rPr>
                <w:rFonts w:ascii="Arial" w:hAnsi="Arial" w:cs="Arial"/>
                <w:i/>
              </w:rPr>
              <w:t>ALK</w:t>
            </w:r>
            <w:r w:rsidRPr="00E17531">
              <w:rPr>
                <w:rFonts w:ascii="Arial" w:hAnsi="Arial" w:cs="Arial"/>
              </w:rPr>
              <w:t xml:space="preserve">) gene rearrangement in tumour material, and </w:t>
            </w:r>
            <w:r>
              <w:rPr>
                <w:rFonts w:ascii="Arial" w:hAnsi="Arial" w:cs="Arial"/>
              </w:rPr>
              <w:t xml:space="preserve">whose tumours </w:t>
            </w:r>
            <w:r w:rsidRPr="00E17531">
              <w:rPr>
                <w:rFonts w:ascii="Arial" w:hAnsi="Arial" w:cs="Arial"/>
              </w:rPr>
              <w:t>express</w:t>
            </w:r>
            <w:r>
              <w:rPr>
                <w:rFonts w:ascii="Arial" w:hAnsi="Arial" w:cs="Arial"/>
              </w:rPr>
              <w:t xml:space="preserve"> high levels </w:t>
            </w:r>
            <w:r w:rsidRPr="00E17531">
              <w:rPr>
                <w:rFonts w:ascii="Arial" w:hAnsi="Arial" w:cs="Arial"/>
              </w:rPr>
              <w:t>of programmed cell death ligand 1 (PD-L1), defined as a tumour proportion score (TPS) of ≥50%. In deciding to defer</w:t>
            </w:r>
            <w:r>
              <w:rPr>
                <w:rFonts w:ascii="Arial" w:hAnsi="Arial" w:cs="Arial"/>
              </w:rPr>
              <w:t xml:space="preserve"> its decision</w:t>
            </w:r>
            <w:r w:rsidRPr="00E17531">
              <w:rPr>
                <w:rFonts w:ascii="Arial" w:hAnsi="Arial" w:cs="Arial"/>
              </w:rPr>
              <w:t>, the PBAC advised that a further price reduction would be required for acceptable cost</w:t>
            </w:r>
            <w:r>
              <w:rPr>
                <w:rFonts w:ascii="Arial" w:hAnsi="Arial" w:cs="Arial"/>
              </w:rPr>
              <w:t>-</w:t>
            </w:r>
            <w:r w:rsidRPr="00E17531">
              <w:rPr>
                <w:rFonts w:ascii="Arial" w:hAnsi="Arial" w:cs="Arial"/>
              </w:rPr>
              <w:t xml:space="preserve">effectiveness once necessary changes are made to the economic </w:t>
            </w:r>
            <w:r>
              <w:rPr>
                <w:rFonts w:ascii="Arial" w:hAnsi="Arial" w:cs="Arial"/>
              </w:rPr>
              <w:t>model</w:t>
            </w:r>
            <w:r w:rsidRPr="00E17531">
              <w:rPr>
                <w:rFonts w:ascii="Arial" w:hAnsi="Arial" w:cs="Arial"/>
              </w:rPr>
              <w:t xml:space="preserve">, </w:t>
            </w:r>
            <w:r>
              <w:rPr>
                <w:rFonts w:ascii="Arial" w:hAnsi="Arial" w:cs="Arial"/>
              </w:rPr>
              <w:t xml:space="preserve">and </w:t>
            </w:r>
            <w:r w:rsidRPr="00E17531">
              <w:rPr>
                <w:rFonts w:ascii="Arial" w:hAnsi="Arial" w:cs="Arial"/>
              </w:rPr>
              <w:t xml:space="preserve">that negotiations with the sponsor are required to determine the best approach for a Risk Sharing Agreement (RSA) in the context of the existing RSA for nivolumab </w:t>
            </w:r>
            <w:r>
              <w:rPr>
                <w:rFonts w:ascii="Arial" w:hAnsi="Arial" w:cs="Arial"/>
              </w:rPr>
              <w:t>which is PBS listed for</w:t>
            </w:r>
            <w:r w:rsidRPr="00E17531">
              <w:rPr>
                <w:rFonts w:ascii="Arial" w:hAnsi="Arial" w:cs="Arial"/>
              </w:rPr>
              <w:t xml:space="preserve"> NSCLC</w:t>
            </w:r>
            <w:r>
              <w:rPr>
                <w:rFonts w:ascii="Arial" w:hAnsi="Arial" w:cs="Arial"/>
              </w:rPr>
              <w:t>. The PBAC</w:t>
            </w:r>
            <w:r w:rsidRPr="00E17531">
              <w:rPr>
                <w:rFonts w:ascii="Arial" w:hAnsi="Arial" w:cs="Arial"/>
              </w:rPr>
              <w:t xml:space="preserve"> </w:t>
            </w:r>
            <w:r>
              <w:rPr>
                <w:rFonts w:ascii="Arial" w:hAnsi="Arial" w:cs="Arial"/>
              </w:rPr>
              <w:t>also noted</w:t>
            </w:r>
            <w:r w:rsidRPr="00E17531">
              <w:rPr>
                <w:rFonts w:ascii="Arial" w:hAnsi="Arial" w:cs="Arial"/>
              </w:rPr>
              <w:t xml:space="preserve"> that updated advice is needed from the Medical Advisory Services Committee (MSAC</w:t>
            </w:r>
            <w:r>
              <w:rPr>
                <w:rFonts w:ascii="Arial" w:hAnsi="Arial" w:cs="Arial"/>
              </w:rPr>
              <w:t>, meeting in</w:t>
            </w:r>
            <w:r w:rsidRPr="006F6419">
              <w:rPr>
                <w:rFonts w:ascii="Arial" w:hAnsi="Arial" w:cs="Arial"/>
              </w:rPr>
              <w:t xml:space="preserve"> late November 2017</w:t>
            </w:r>
            <w:r w:rsidRPr="00E17531">
              <w:rPr>
                <w:rFonts w:ascii="Arial" w:hAnsi="Arial" w:cs="Arial"/>
              </w:rPr>
              <w:t>) in relation to the codependent the PD-L1 test. The PBAC advised that, if MSAC subsequently decided to support the MBS listing for PD-L1, it would support the listing of pembrolizumab according to the circumstances supported by MSAC, once the PBAC’s other concerns were resolved.</w:t>
            </w:r>
          </w:p>
          <w:p w:rsidR="000F444A" w:rsidRDefault="000F444A" w:rsidP="00704832">
            <w:pPr>
              <w:widowControl w:val="0"/>
              <w:jc w:val="both"/>
              <w:rPr>
                <w:rFonts w:ascii="Arial" w:hAnsi="Arial" w:cs="Arial"/>
              </w:rPr>
            </w:pPr>
          </w:p>
          <w:p w:rsidR="000F444A" w:rsidRDefault="000F444A" w:rsidP="00704832">
            <w:pPr>
              <w:widowControl w:val="0"/>
              <w:jc w:val="both"/>
              <w:rPr>
                <w:rFonts w:ascii="Arial" w:hAnsi="Arial" w:cs="Arial"/>
              </w:rPr>
            </w:pPr>
            <w:r w:rsidRPr="00E17531">
              <w:rPr>
                <w:rFonts w:ascii="Arial" w:hAnsi="Arial" w:cs="Arial"/>
              </w:rPr>
              <w:t>The PBAC agreed with the submission’s nomination of platinum-based doublet chemotherapy as the main comparator for pembrolizumab in the proposed population. However, the PBAC also considered that pembrolizumab may displace rather than replace platinum-based doublet chemotherapy use.</w:t>
            </w:r>
          </w:p>
          <w:p w:rsidR="000F444A" w:rsidRDefault="000F444A" w:rsidP="00704832">
            <w:pPr>
              <w:widowControl w:val="0"/>
              <w:jc w:val="both"/>
              <w:rPr>
                <w:rFonts w:ascii="Arial" w:hAnsi="Arial" w:cs="Arial"/>
              </w:rPr>
            </w:pPr>
          </w:p>
          <w:p w:rsidR="000F444A" w:rsidRDefault="000F444A" w:rsidP="00704832">
            <w:pPr>
              <w:widowControl w:val="0"/>
              <w:jc w:val="both"/>
              <w:rPr>
                <w:rFonts w:ascii="Arial" w:hAnsi="Arial" w:cs="Arial"/>
              </w:rPr>
            </w:pPr>
            <w:r w:rsidRPr="00E17531">
              <w:rPr>
                <w:rFonts w:ascii="Arial" w:hAnsi="Arial" w:cs="Arial"/>
              </w:rPr>
              <w:t>The PBAC considered that the claims of superior comparative effectiveness (in terms of both progression-free survival and overall survival) and superior comparative safety were both reasonable.</w:t>
            </w:r>
          </w:p>
          <w:p w:rsidR="000F444A" w:rsidRDefault="000F444A" w:rsidP="00704832">
            <w:pPr>
              <w:widowControl w:val="0"/>
              <w:jc w:val="both"/>
              <w:rPr>
                <w:rFonts w:ascii="Arial" w:hAnsi="Arial" w:cs="Arial"/>
              </w:rPr>
            </w:pPr>
          </w:p>
          <w:p w:rsidR="000F444A" w:rsidRPr="00971118" w:rsidRDefault="000F444A" w:rsidP="00704832">
            <w:pPr>
              <w:widowControl w:val="0"/>
              <w:jc w:val="both"/>
              <w:rPr>
                <w:rFonts w:ascii="Arial" w:hAnsi="Arial" w:cs="Arial"/>
                <w:highlight w:val="yellow"/>
              </w:rPr>
            </w:pPr>
            <w:r w:rsidRPr="00E17531">
              <w:rPr>
                <w:rFonts w:ascii="Arial" w:hAnsi="Arial" w:cs="Arial"/>
              </w:rPr>
              <w:t xml:space="preserve">The PBAC considered the key issues with the economic </w:t>
            </w:r>
            <w:r>
              <w:rPr>
                <w:rFonts w:ascii="Arial" w:hAnsi="Arial" w:cs="Arial"/>
              </w:rPr>
              <w:t>model</w:t>
            </w:r>
            <w:r w:rsidRPr="00E17531">
              <w:rPr>
                <w:rFonts w:ascii="Arial" w:hAnsi="Arial" w:cs="Arial"/>
              </w:rPr>
              <w:t xml:space="preserve"> was the approach taken to extrapolate from the trial data, and the extent of cost offsets estimated for second-line nivolumab.</w:t>
            </w:r>
          </w:p>
        </w:tc>
      </w:tr>
      <w:tr w:rsidR="000F444A" w:rsidRPr="00971118" w:rsidTr="00704832">
        <w:trPr>
          <w:cantSplit/>
          <w:trHeight w:val="477"/>
        </w:trPr>
        <w:tc>
          <w:tcPr>
            <w:tcW w:w="3076" w:type="dxa"/>
            <w:vMerge/>
            <w:tcMar>
              <w:top w:w="28" w:type="dxa"/>
              <w:bottom w:w="28" w:type="dxa"/>
            </w:tcMar>
          </w:tcPr>
          <w:p w:rsidR="000F444A" w:rsidRPr="00971118" w:rsidRDefault="000F444A" w:rsidP="00DA535C">
            <w:pPr>
              <w:widowControl w:val="0"/>
              <w:rPr>
                <w:rFonts w:ascii="Arial" w:hAnsi="Arial" w:cs="Arial"/>
                <w:snapToGrid w:val="0"/>
                <w:lang w:eastAsia="en-US"/>
              </w:rPr>
            </w:pPr>
          </w:p>
        </w:tc>
        <w:tc>
          <w:tcPr>
            <w:tcW w:w="2229" w:type="dxa"/>
            <w:vMerge/>
          </w:tcPr>
          <w:p w:rsidR="000F444A" w:rsidRPr="00971118" w:rsidRDefault="000F444A" w:rsidP="00DA535C">
            <w:pPr>
              <w:widowControl w:val="0"/>
              <w:rPr>
                <w:rFonts w:ascii="Arial" w:hAnsi="Arial" w:cs="Arial"/>
                <w:snapToGrid w:val="0"/>
                <w:lang w:eastAsia="en-US"/>
              </w:rPr>
            </w:pPr>
          </w:p>
        </w:tc>
        <w:tc>
          <w:tcPr>
            <w:tcW w:w="3202" w:type="dxa"/>
            <w:tcMar>
              <w:top w:w="28" w:type="dxa"/>
              <w:bottom w:w="28" w:type="dxa"/>
            </w:tcMar>
          </w:tcPr>
          <w:p w:rsidR="000F444A" w:rsidRPr="00971118" w:rsidRDefault="000F444A" w:rsidP="00DA535C">
            <w:pPr>
              <w:widowControl w:val="0"/>
              <w:jc w:val="right"/>
              <w:rPr>
                <w:rFonts w:ascii="Arial" w:hAnsi="Arial" w:cs="Arial"/>
                <w:snapToGrid w:val="0"/>
                <w:highlight w:val="yellow"/>
                <w:lang w:eastAsia="en-US"/>
              </w:rPr>
            </w:pPr>
            <w:r w:rsidRPr="00971118">
              <w:rPr>
                <w:rFonts w:ascii="Arial" w:hAnsi="Arial" w:cs="Arial"/>
                <w:snapToGrid w:val="0"/>
                <w:lang w:eastAsia="en-US"/>
              </w:rPr>
              <w:t>Sponsor Comment:</w:t>
            </w:r>
          </w:p>
        </w:tc>
        <w:tc>
          <w:tcPr>
            <w:tcW w:w="6802" w:type="dxa"/>
          </w:tcPr>
          <w:p w:rsidR="000F444A" w:rsidRPr="00971118" w:rsidRDefault="000F444A" w:rsidP="00704832">
            <w:pPr>
              <w:pStyle w:val="ListParagraph"/>
              <w:ind w:left="0"/>
              <w:jc w:val="both"/>
              <w:rPr>
                <w:rFonts w:ascii="Arial" w:hAnsi="Arial" w:cs="Arial"/>
                <w:sz w:val="20"/>
                <w:szCs w:val="20"/>
                <w:highlight w:val="yellow"/>
              </w:rPr>
            </w:pPr>
            <w:r w:rsidRPr="009443B8">
              <w:rPr>
                <w:rFonts w:ascii="Arial" w:hAnsi="Arial" w:cs="Arial"/>
                <w:sz w:val="20"/>
                <w:szCs w:val="20"/>
              </w:rPr>
              <w:t>MSD is disappointed that access to Keytruda has not yet been achieved for 1L NSCLC patients in Australia.  MSD will continue to work with the Department to make this therapy available as soon as possible, so that Australian patients have comparable access to innovative NSCLC therapies as patients in other countries.</w:t>
            </w:r>
          </w:p>
        </w:tc>
      </w:tr>
      <w:tr w:rsidR="000F444A" w:rsidRPr="00971118" w:rsidTr="00704832">
        <w:trPr>
          <w:cantSplit/>
          <w:trHeight w:val="477"/>
        </w:trPr>
        <w:tc>
          <w:tcPr>
            <w:tcW w:w="3076" w:type="dxa"/>
            <w:tcMar>
              <w:top w:w="28" w:type="dxa"/>
              <w:bottom w:w="28" w:type="dxa"/>
            </w:tcMar>
          </w:tcPr>
          <w:p w:rsidR="000F444A" w:rsidRDefault="000F444A" w:rsidP="009A46AC">
            <w:pPr>
              <w:rPr>
                <w:rFonts w:ascii="Arial" w:hAnsi="Arial" w:cs="Arial"/>
                <w:color w:val="000000"/>
              </w:rPr>
            </w:pPr>
            <w:r>
              <w:rPr>
                <w:rFonts w:ascii="Arial" w:hAnsi="Arial" w:cs="Arial"/>
                <w:color w:val="000000"/>
              </w:rPr>
              <w:t>Evaluation of Post market review</w:t>
            </w:r>
          </w:p>
          <w:p w:rsidR="000F444A" w:rsidRDefault="000F444A" w:rsidP="009A46AC">
            <w:pPr>
              <w:rPr>
                <w:rFonts w:ascii="Arial" w:hAnsi="Arial" w:cs="Arial"/>
                <w:color w:val="000000"/>
              </w:rPr>
            </w:pPr>
          </w:p>
          <w:p w:rsidR="000F444A" w:rsidRDefault="000F444A" w:rsidP="009A46AC">
            <w:pPr>
              <w:rPr>
                <w:rFonts w:ascii="Arial" w:hAnsi="Arial" w:cs="Arial"/>
                <w:color w:val="000000"/>
              </w:rPr>
            </w:pPr>
            <w:r>
              <w:rPr>
                <w:rFonts w:ascii="Arial" w:hAnsi="Arial" w:cs="Arial"/>
                <w:color w:val="000000"/>
              </w:rPr>
              <w:t>Salbutamol</w:t>
            </w:r>
          </w:p>
          <w:p w:rsidR="000F444A" w:rsidRDefault="000F444A" w:rsidP="009A46AC">
            <w:pPr>
              <w:rPr>
                <w:rFonts w:ascii="Arial" w:hAnsi="Arial" w:cs="Arial"/>
                <w:color w:val="000000"/>
              </w:rPr>
            </w:pPr>
            <w:r>
              <w:rPr>
                <w:rFonts w:ascii="Arial" w:hAnsi="Arial" w:cs="Arial"/>
                <w:color w:val="000000"/>
              </w:rPr>
              <w:t>Terbutaline</w:t>
            </w:r>
          </w:p>
          <w:p w:rsidR="000F444A" w:rsidRDefault="000F444A" w:rsidP="009A46AC">
            <w:pPr>
              <w:rPr>
                <w:rFonts w:ascii="Arial" w:hAnsi="Arial" w:cs="Arial"/>
                <w:color w:val="000000"/>
              </w:rPr>
            </w:pPr>
            <w:r>
              <w:rPr>
                <w:rFonts w:ascii="Arial" w:hAnsi="Arial" w:cs="Arial"/>
                <w:color w:val="000000"/>
              </w:rPr>
              <w:t>Ipratropium</w:t>
            </w:r>
          </w:p>
          <w:p w:rsidR="000F444A" w:rsidRDefault="000F444A" w:rsidP="009A46AC">
            <w:pPr>
              <w:rPr>
                <w:rFonts w:ascii="Arial" w:hAnsi="Arial" w:cs="Arial"/>
                <w:color w:val="000000"/>
              </w:rPr>
            </w:pPr>
            <w:r>
              <w:rPr>
                <w:rFonts w:ascii="Arial" w:hAnsi="Arial" w:cs="Arial"/>
                <w:color w:val="000000"/>
              </w:rPr>
              <w:t>Beclomethasone</w:t>
            </w:r>
          </w:p>
          <w:p w:rsidR="000F444A" w:rsidRDefault="000F444A" w:rsidP="009A46AC">
            <w:pPr>
              <w:rPr>
                <w:rFonts w:ascii="Arial" w:hAnsi="Arial" w:cs="Arial"/>
                <w:color w:val="000000"/>
              </w:rPr>
            </w:pPr>
            <w:r>
              <w:rPr>
                <w:rFonts w:ascii="Arial" w:hAnsi="Arial" w:cs="Arial"/>
                <w:color w:val="000000"/>
              </w:rPr>
              <w:t>Fluticasone</w:t>
            </w:r>
          </w:p>
          <w:p w:rsidR="000F444A" w:rsidRDefault="000F444A" w:rsidP="009A46AC">
            <w:pPr>
              <w:rPr>
                <w:rFonts w:ascii="Arial" w:hAnsi="Arial" w:cs="Arial"/>
                <w:color w:val="000000"/>
              </w:rPr>
            </w:pPr>
            <w:r>
              <w:rPr>
                <w:rFonts w:ascii="Arial" w:hAnsi="Arial" w:cs="Arial"/>
                <w:color w:val="000000"/>
              </w:rPr>
              <w:t>Budesonide</w:t>
            </w:r>
          </w:p>
          <w:p w:rsidR="000F444A" w:rsidRDefault="000F444A" w:rsidP="009A46AC">
            <w:pPr>
              <w:rPr>
                <w:rFonts w:ascii="Arial" w:hAnsi="Arial" w:cs="Arial"/>
                <w:color w:val="000000"/>
              </w:rPr>
            </w:pPr>
            <w:r>
              <w:rPr>
                <w:rFonts w:ascii="Arial" w:hAnsi="Arial" w:cs="Arial"/>
                <w:color w:val="000000"/>
              </w:rPr>
              <w:t>Ciclesonide</w:t>
            </w:r>
          </w:p>
          <w:p w:rsidR="000F444A" w:rsidRDefault="000F444A" w:rsidP="009A46AC">
            <w:pPr>
              <w:rPr>
                <w:rFonts w:ascii="Arial" w:hAnsi="Arial" w:cs="Arial"/>
                <w:color w:val="000000"/>
              </w:rPr>
            </w:pPr>
            <w:r>
              <w:rPr>
                <w:rFonts w:ascii="Arial" w:hAnsi="Arial" w:cs="Arial"/>
                <w:color w:val="000000"/>
              </w:rPr>
              <w:t>Sodium cromoglycate</w:t>
            </w:r>
          </w:p>
          <w:p w:rsidR="000F444A" w:rsidRDefault="000F444A" w:rsidP="009A46AC">
            <w:pPr>
              <w:rPr>
                <w:rFonts w:ascii="Arial" w:hAnsi="Arial" w:cs="Arial"/>
                <w:color w:val="000000"/>
              </w:rPr>
            </w:pPr>
            <w:r>
              <w:rPr>
                <w:rFonts w:ascii="Arial" w:hAnsi="Arial" w:cs="Arial"/>
                <w:color w:val="000000"/>
              </w:rPr>
              <w:t>Nedocromil sodium</w:t>
            </w:r>
          </w:p>
          <w:p w:rsidR="000F444A" w:rsidRDefault="000F444A" w:rsidP="009A46AC">
            <w:pPr>
              <w:rPr>
                <w:rFonts w:ascii="Arial" w:hAnsi="Arial" w:cs="Arial"/>
                <w:color w:val="000000"/>
              </w:rPr>
            </w:pPr>
            <w:r>
              <w:rPr>
                <w:rFonts w:ascii="Arial" w:hAnsi="Arial" w:cs="Arial"/>
                <w:color w:val="000000"/>
              </w:rPr>
              <w:t>Montelukast</w:t>
            </w:r>
          </w:p>
          <w:p w:rsidR="000F444A" w:rsidRDefault="000F444A" w:rsidP="009A46AC">
            <w:pPr>
              <w:rPr>
                <w:rFonts w:ascii="Arial" w:hAnsi="Arial" w:cs="Arial"/>
                <w:color w:val="000000"/>
              </w:rPr>
            </w:pPr>
            <w:r>
              <w:rPr>
                <w:rFonts w:ascii="Arial" w:hAnsi="Arial" w:cs="Arial"/>
                <w:color w:val="000000"/>
              </w:rPr>
              <w:t>Salmeterol</w:t>
            </w:r>
          </w:p>
          <w:p w:rsidR="000F444A" w:rsidRDefault="000F444A" w:rsidP="009A46AC">
            <w:pPr>
              <w:rPr>
                <w:rFonts w:ascii="Arial" w:hAnsi="Arial" w:cs="Arial"/>
                <w:color w:val="000000"/>
              </w:rPr>
            </w:pPr>
            <w:r>
              <w:rPr>
                <w:rFonts w:ascii="Arial" w:hAnsi="Arial" w:cs="Arial"/>
                <w:color w:val="000000"/>
              </w:rPr>
              <w:t>Eformoterol</w:t>
            </w:r>
          </w:p>
          <w:p w:rsidR="000F444A" w:rsidRDefault="000F444A" w:rsidP="009A46AC">
            <w:pPr>
              <w:rPr>
                <w:rFonts w:ascii="Arial" w:hAnsi="Arial" w:cs="Arial"/>
                <w:color w:val="000000"/>
              </w:rPr>
            </w:pPr>
            <w:r>
              <w:rPr>
                <w:rFonts w:ascii="Arial" w:hAnsi="Arial" w:cs="Arial"/>
                <w:color w:val="000000"/>
              </w:rPr>
              <w:t>Fluticasone with Salmeterol</w:t>
            </w:r>
          </w:p>
          <w:p w:rsidR="000F444A" w:rsidRDefault="000F444A" w:rsidP="009A46AC">
            <w:pPr>
              <w:rPr>
                <w:rFonts w:ascii="Arial" w:hAnsi="Arial" w:cs="Arial"/>
                <w:color w:val="000000"/>
              </w:rPr>
            </w:pPr>
            <w:r>
              <w:rPr>
                <w:rFonts w:ascii="Arial" w:hAnsi="Arial" w:cs="Arial"/>
                <w:color w:val="000000"/>
              </w:rPr>
              <w:t>Fluticasone with Eformoterol</w:t>
            </w:r>
          </w:p>
          <w:p w:rsidR="000F444A" w:rsidRDefault="000F444A" w:rsidP="009A46AC">
            <w:pPr>
              <w:rPr>
                <w:rFonts w:ascii="Arial" w:hAnsi="Arial" w:cs="Arial"/>
                <w:color w:val="000000"/>
              </w:rPr>
            </w:pPr>
            <w:r>
              <w:rPr>
                <w:rFonts w:ascii="Arial" w:hAnsi="Arial" w:cs="Arial"/>
                <w:color w:val="000000"/>
              </w:rPr>
              <w:t>Fluticasone with Vilanterol</w:t>
            </w:r>
          </w:p>
          <w:p w:rsidR="000F444A" w:rsidRDefault="000F444A" w:rsidP="009A46AC">
            <w:pPr>
              <w:rPr>
                <w:rFonts w:ascii="Arial" w:hAnsi="Arial" w:cs="Arial"/>
                <w:color w:val="000000"/>
              </w:rPr>
            </w:pPr>
            <w:r>
              <w:rPr>
                <w:rFonts w:ascii="Arial" w:hAnsi="Arial" w:cs="Arial"/>
                <w:color w:val="000000"/>
              </w:rPr>
              <w:t>Budesonide with Eformoterol</w:t>
            </w:r>
          </w:p>
          <w:p w:rsidR="000F444A" w:rsidRDefault="000F444A" w:rsidP="009A46AC">
            <w:pPr>
              <w:rPr>
                <w:rFonts w:ascii="Arial" w:hAnsi="Arial" w:cs="Arial"/>
                <w:color w:val="000000"/>
              </w:rPr>
            </w:pPr>
            <w:r>
              <w:rPr>
                <w:rFonts w:ascii="Arial" w:hAnsi="Arial" w:cs="Arial"/>
                <w:color w:val="000000"/>
              </w:rPr>
              <w:t>Oral glucocorticoids, plain</w:t>
            </w:r>
          </w:p>
          <w:p w:rsidR="000F444A" w:rsidRPr="00971118" w:rsidRDefault="000F444A" w:rsidP="009A46AC">
            <w:pPr>
              <w:widowControl w:val="0"/>
              <w:rPr>
                <w:rFonts w:ascii="Arial" w:hAnsi="Arial" w:cs="Arial"/>
                <w:snapToGrid w:val="0"/>
                <w:lang w:eastAsia="en-US"/>
              </w:rPr>
            </w:pPr>
            <w:r>
              <w:rPr>
                <w:rFonts w:ascii="Arial" w:hAnsi="Arial" w:cs="Arial"/>
                <w:color w:val="000000"/>
              </w:rPr>
              <w:t>(all listed brands)</w:t>
            </w:r>
          </w:p>
        </w:tc>
        <w:tc>
          <w:tcPr>
            <w:tcW w:w="2229" w:type="dxa"/>
          </w:tcPr>
          <w:p w:rsidR="000F444A" w:rsidRPr="00971118" w:rsidRDefault="000F444A" w:rsidP="00DA535C">
            <w:pPr>
              <w:widowControl w:val="0"/>
              <w:rPr>
                <w:rFonts w:ascii="Arial" w:hAnsi="Arial" w:cs="Arial"/>
                <w:snapToGrid w:val="0"/>
                <w:lang w:eastAsia="en-US"/>
              </w:rPr>
            </w:pPr>
            <w:r>
              <w:rPr>
                <w:rFonts w:ascii="Arial" w:hAnsi="Arial" w:cs="Arial"/>
                <w:color w:val="000000"/>
              </w:rPr>
              <w:t>Asthma</w:t>
            </w:r>
          </w:p>
        </w:tc>
        <w:tc>
          <w:tcPr>
            <w:tcW w:w="3202" w:type="dxa"/>
            <w:tcMar>
              <w:top w:w="28" w:type="dxa"/>
              <w:bottom w:w="28" w:type="dxa"/>
            </w:tcMar>
          </w:tcPr>
          <w:p w:rsidR="000F444A" w:rsidRPr="00971118" w:rsidRDefault="000F444A" w:rsidP="009A46AC">
            <w:pPr>
              <w:widowControl w:val="0"/>
              <w:rPr>
                <w:rFonts w:ascii="Arial" w:hAnsi="Arial" w:cs="Arial"/>
                <w:snapToGrid w:val="0"/>
                <w:lang w:eastAsia="en-US"/>
              </w:rPr>
            </w:pPr>
            <w:r w:rsidRPr="009A46AC">
              <w:rPr>
                <w:rFonts w:ascii="Arial" w:hAnsi="Arial" w:cs="Arial"/>
                <w:snapToGrid w:val="0"/>
                <w:lang w:eastAsia="en-US"/>
              </w:rPr>
              <w:t>To consider the findings from the evaluation of the 2014 Post market review of PBS medicines used to treat asthma in children.</w:t>
            </w:r>
          </w:p>
        </w:tc>
        <w:tc>
          <w:tcPr>
            <w:tcW w:w="6802" w:type="dxa"/>
          </w:tcPr>
          <w:p w:rsidR="000F444A" w:rsidRPr="00971118" w:rsidRDefault="000F444A" w:rsidP="00704832">
            <w:pPr>
              <w:pStyle w:val="ListParagraph"/>
              <w:ind w:left="0"/>
              <w:jc w:val="both"/>
              <w:rPr>
                <w:rFonts w:ascii="Arial" w:hAnsi="Arial" w:cs="Arial"/>
                <w:sz w:val="20"/>
                <w:szCs w:val="20"/>
              </w:rPr>
            </w:pPr>
            <w:r w:rsidRPr="009A46AC">
              <w:rPr>
                <w:rFonts w:ascii="Arial" w:hAnsi="Arial" w:cs="Arial"/>
                <w:sz w:val="20"/>
                <w:szCs w:val="20"/>
              </w:rPr>
              <w:t>The PBAC deferred consideration of this item until a later date.</w:t>
            </w:r>
          </w:p>
        </w:tc>
      </w:tr>
    </w:tbl>
    <w:p w:rsidR="00C26FE5" w:rsidRPr="00F609BF" w:rsidRDefault="00C26FE5" w:rsidP="0065234B">
      <w:pPr>
        <w:tabs>
          <w:tab w:val="left" w:pos="5210"/>
        </w:tabs>
        <w:rPr>
          <w:rFonts w:ascii="Arial" w:hAnsi="Arial" w:cs="Arial"/>
          <w:lang w:val="en-US"/>
        </w:rPr>
      </w:pPr>
    </w:p>
    <w:sectPr w:rsidR="00C26FE5" w:rsidRPr="00F609BF" w:rsidSect="00281EE0">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CAC" w:rsidRDefault="00EC7CAC">
      <w:r>
        <w:separator/>
      </w:r>
    </w:p>
  </w:endnote>
  <w:endnote w:type="continuationSeparator" w:id="0">
    <w:p w:rsidR="00EC7CAC" w:rsidRDefault="00EC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FPE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1F3B" w:rsidRDefault="005E1F3B"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052D6F">
      <w:rPr>
        <w:rStyle w:val="PageNumber"/>
        <w:rFonts w:ascii="Arial" w:hAnsi="Arial" w:cs="Arial"/>
        <w:noProof/>
      </w:rPr>
      <w:t>1</w:t>
    </w:r>
    <w:r w:rsidRPr="00287C89">
      <w:rPr>
        <w:rStyle w:val="PageNumber"/>
        <w:rFonts w:ascii="Arial" w:hAnsi="Arial" w:cs="Arial"/>
      </w:rPr>
      <w:fldChar w:fldCharType="end"/>
    </w:r>
  </w:p>
  <w:p w:rsidR="005E1F3B" w:rsidRDefault="005E1F3B" w:rsidP="00FE2A8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21C" w:rsidRDefault="005722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CAC" w:rsidRDefault="00EC7CAC">
      <w:r>
        <w:separator/>
      </w:r>
    </w:p>
  </w:footnote>
  <w:footnote w:type="continuationSeparator" w:id="0">
    <w:p w:rsidR="00EC7CAC" w:rsidRDefault="00EC7C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21C" w:rsidRDefault="005722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500" w:rsidRDefault="00911282" w:rsidP="00BB0500">
    <w:pPr>
      <w:pStyle w:val="Header"/>
      <w:jc w:val="center"/>
      <w:rPr>
        <w:rFonts w:ascii="Arial" w:hAnsi="Arial" w:cs="Arial"/>
        <w:b/>
      </w:rPr>
    </w:pPr>
    <w:r>
      <w:rPr>
        <w:rFonts w:ascii="Arial" w:hAnsi="Arial" w:cs="Arial"/>
        <w:b/>
      </w:rPr>
      <w:t>NOVEMBER 2017</w:t>
    </w:r>
    <w:r w:rsidR="00F274E4">
      <w:rPr>
        <w:rFonts w:ascii="Arial" w:hAnsi="Arial" w:cs="Arial"/>
        <w:b/>
      </w:rPr>
      <w:t xml:space="preserve"> </w:t>
    </w:r>
    <w:r w:rsidR="00BB0500" w:rsidRPr="00BB0500">
      <w:rPr>
        <w:rFonts w:ascii="Arial" w:hAnsi="Arial" w:cs="Arial"/>
        <w:b/>
      </w:rPr>
      <w:t xml:space="preserve">PBAC OUTCOMES </w:t>
    </w:r>
    <w:r w:rsidR="0057221C">
      <w:rPr>
        <w:rFonts w:ascii="Arial" w:hAnsi="Arial" w:cs="Arial"/>
        <w:b/>
      </w:rPr>
      <w:t>–</w:t>
    </w:r>
    <w:r w:rsidR="00BB0500" w:rsidRPr="00BB0500">
      <w:rPr>
        <w:rFonts w:ascii="Arial" w:hAnsi="Arial" w:cs="Arial"/>
        <w:b/>
      </w:rPr>
      <w:t xml:space="preserve"> DEFERRALS</w:t>
    </w:r>
  </w:p>
  <w:p w:rsidR="0057221C" w:rsidRPr="00BB0500" w:rsidRDefault="0057221C" w:rsidP="00BB0500">
    <w:pPr>
      <w:pStyle w:val="Header"/>
      <w:jc w:val="center"/>
      <w:rPr>
        <w:rFonts w:ascii="Arial" w:hAnsi="Arial" w:cs="Arial"/>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21C" w:rsidRDefault="005722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7AF13F0"/>
    <w:multiLevelType w:val="hybridMultilevel"/>
    <w:tmpl w:val="04EAFF28"/>
    <w:lvl w:ilvl="0" w:tplc="34EA4568">
      <w:start w:val="10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12">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5">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D731EC4"/>
    <w:multiLevelType w:val="hybridMultilevel"/>
    <w:tmpl w:val="D898C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84D033C"/>
    <w:multiLevelType w:val="multilevel"/>
    <w:tmpl w:val="ECECA7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6"/>
  </w:num>
  <w:num w:numId="4">
    <w:abstractNumId w:val="10"/>
  </w:num>
  <w:num w:numId="5">
    <w:abstractNumId w:val="6"/>
  </w:num>
  <w:num w:numId="6">
    <w:abstractNumId w:val="2"/>
  </w:num>
  <w:num w:numId="7">
    <w:abstractNumId w:val="1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0"/>
  </w:num>
  <w:num w:numId="11">
    <w:abstractNumId w:val="12"/>
  </w:num>
  <w:num w:numId="12">
    <w:abstractNumId w:val="14"/>
  </w:num>
  <w:num w:numId="13">
    <w:abstractNumId w:val="3"/>
  </w:num>
  <w:num w:numId="14">
    <w:abstractNumId w:val="13"/>
  </w:num>
  <w:num w:numId="15">
    <w:abstractNumId w:val="15"/>
  </w:num>
  <w:num w:numId="16">
    <w:abstractNumId w:val="11"/>
  </w:num>
  <w:num w:numId="17">
    <w:abstractNumId w:val="22"/>
  </w:num>
  <w:num w:numId="18">
    <w:abstractNumId w:val="23"/>
  </w:num>
  <w:num w:numId="19">
    <w:abstractNumId w:val="1"/>
  </w:num>
  <w:num w:numId="20">
    <w:abstractNumId w:val="7"/>
  </w:num>
  <w:num w:numId="21">
    <w:abstractNumId w:val="9"/>
  </w:num>
  <w:num w:numId="22">
    <w:abstractNumId w:val="21"/>
  </w:num>
  <w:num w:numId="23">
    <w:abstractNumId w:val="19"/>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886"/>
    <w:rsid w:val="00010920"/>
    <w:rsid w:val="0001152D"/>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65B0"/>
    <w:rsid w:val="00036CF7"/>
    <w:rsid w:val="00037F52"/>
    <w:rsid w:val="0004019D"/>
    <w:rsid w:val="000407AC"/>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2D6F"/>
    <w:rsid w:val="0005661F"/>
    <w:rsid w:val="00057006"/>
    <w:rsid w:val="000575B4"/>
    <w:rsid w:val="000601EA"/>
    <w:rsid w:val="000603CB"/>
    <w:rsid w:val="0006084C"/>
    <w:rsid w:val="000608FE"/>
    <w:rsid w:val="000615B0"/>
    <w:rsid w:val="00061E01"/>
    <w:rsid w:val="0006239E"/>
    <w:rsid w:val="0006295A"/>
    <w:rsid w:val="000643D0"/>
    <w:rsid w:val="00065195"/>
    <w:rsid w:val="000672D3"/>
    <w:rsid w:val="0006744F"/>
    <w:rsid w:val="00067A06"/>
    <w:rsid w:val="00067E91"/>
    <w:rsid w:val="00070204"/>
    <w:rsid w:val="00070612"/>
    <w:rsid w:val="000714CE"/>
    <w:rsid w:val="00071D67"/>
    <w:rsid w:val="00072584"/>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87AC9"/>
    <w:rsid w:val="00090385"/>
    <w:rsid w:val="00090D21"/>
    <w:rsid w:val="00090F42"/>
    <w:rsid w:val="00091262"/>
    <w:rsid w:val="00092523"/>
    <w:rsid w:val="00093960"/>
    <w:rsid w:val="0009470A"/>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F97"/>
    <w:rsid w:val="000B3043"/>
    <w:rsid w:val="000B34FA"/>
    <w:rsid w:val="000B36FE"/>
    <w:rsid w:val="000B372D"/>
    <w:rsid w:val="000B38D3"/>
    <w:rsid w:val="000B5120"/>
    <w:rsid w:val="000B5B24"/>
    <w:rsid w:val="000B6487"/>
    <w:rsid w:val="000B7A91"/>
    <w:rsid w:val="000B7F45"/>
    <w:rsid w:val="000C040A"/>
    <w:rsid w:val="000C0497"/>
    <w:rsid w:val="000C0E21"/>
    <w:rsid w:val="000C0F98"/>
    <w:rsid w:val="000C1BA1"/>
    <w:rsid w:val="000C22B0"/>
    <w:rsid w:val="000C2786"/>
    <w:rsid w:val="000C3369"/>
    <w:rsid w:val="000C3CAA"/>
    <w:rsid w:val="000C45E3"/>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21D8"/>
    <w:rsid w:val="000E2C73"/>
    <w:rsid w:val="000E2C8F"/>
    <w:rsid w:val="000E2EA3"/>
    <w:rsid w:val="000E4B3E"/>
    <w:rsid w:val="000E539F"/>
    <w:rsid w:val="000E6CF9"/>
    <w:rsid w:val="000E73BD"/>
    <w:rsid w:val="000F069C"/>
    <w:rsid w:val="000F0B27"/>
    <w:rsid w:val="000F1D4F"/>
    <w:rsid w:val="000F2E82"/>
    <w:rsid w:val="000F305F"/>
    <w:rsid w:val="000F3A4F"/>
    <w:rsid w:val="000F3D50"/>
    <w:rsid w:val="000F444A"/>
    <w:rsid w:val="000F5D35"/>
    <w:rsid w:val="000F5DDE"/>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6FB"/>
    <w:rsid w:val="00130C57"/>
    <w:rsid w:val="0013141F"/>
    <w:rsid w:val="001317E4"/>
    <w:rsid w:val="00131CB1"/>
    <w:rsid w:val="00132052"/>
    <w:rsid w:val="0013270B"/>
    <w:rsid w:val="001329B7"/>
    <w:rsid w:val="00132A3A"/>
    <w:rsid w:val="00132DAB"/>
    <w:rsid w:val="00132FA5"/>
    <w:rsid w:val="001334F9"/>
    <w:rsid w:val="00133D7F"/>
    <w:rsid w:val="00134ECB"/>
    <w:rsid w:val="00134F08"/>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4E02"/>
    <w:rsid w:val="00145D66"/>
    <w:rsid w:val="00146F0E"/>
    <w:rsid w:val="0014776D"/>
    <w:rsid w:val="00147845"/>
    <w:rsid w:val="00147FC1"/>
    <w:rsid w:val="001500C8"/>
    <w:rsid w:val="001502B0"/>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3C35"/>
    <w:rsid w:val="0019441C"/>
    <w:rsid w:val="001950D9"/>
    <w:rsid w:val="00195379"/>
    <w:rsid w:val="00196144"/>
    <w:rsid w:val="001971B1"/>
    <w:rsid w:val="001971EA"/>
    <w:rsid w:val="00197975"/>
    <w:rsid w:val="001A0DC8"/>
    <w:rsid w:val="001A14F5"/>
    <w:rsid w:val="001A1777"/>
    <w:rsid w:val="001A1A8A"/>
    <w:rsid w:val="001A2649"/>
    <w:rsid w:val="001A307D"/>
    <w:rsid w:val="001A3986"/>
    <w:rsid w:val="001A3E19"/>
    <w:rsid w:val="001A4242"/>
    <w:rsid w:val="001A48FD"/>
    <w:rsid w:val="001A6DEF"/>
    <w:rsid w:val="001A7A6A"/>
    <w:rsid w:val="001B049D"/>
    <w:rsid w:val="001B04E4"/>
    <w:rsid w:val="001B0553"/>
    <w:rsid w:val="001B1577"/>
    <w:rsid w:val="001B16C3"/>
    <w:rsid w:val="001B1838"/>
    <w:rsid w:val="001B1C67"/>
    <w:rsid w:val="001B2234"/>
    <w:rsid w:val="001B3984"/>
    <w:rsid w:val="001B3FE9"/>
    <w:rsid w:val="001B46AE"/>
    <w:rsid w:val="001B5107"/>
    <w:rsid w:val="001B54F0"/>
    <w:rsid w:val="001B5950"/>
    <w:rsid w:val="001B6AAD"/>
    <w:rsid w:val="001B71B5"/>
    <w:rsid w:val="001B78E2"/>
    <w:rsid w:val="001B7BF2"/>
    <w:rsid w:val="001B7EED"/>
    <w:rsid w:val="001C0289"/>
    <w:rsid w:val="001C181C"/>
    <w:rsid w:val="001C27AF"/>
    <w:rsid w:val="001C30BA"/>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600F"/>
    <w:rsid w:val="001D6843"/>
    <w:rsid w:val="001D79BC"/>
    <w:rsid w:val="001E07B5"/>
    <w:rsid w:val="001E092F"/>
    <w:rsid w:val="001E0947"/>
    <w:rsid w:val="001E152C"/>
    <w:rsid w:val="001E24EA"/>
    <w:rsid w:val="001E25FF"/>
    <w:rsid w:val="001E35D6"/>
    <w:rsid w:val="001E411C"/>
    <w:rsid w:val="001E4BBC"/>
    <w:rsid w:val="001E5979"/>
    <w:rsid w:val="001E5C38"/>
    <w:rsid w:val="001E70C9"/>
    <w:rsid w:val="001E776D"/>
    <w:rsid w:val="001E77D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60A5"/>
    <w:rsid w:val="002070E4"/>
    <w:rsid w:val="0020721C"/>
    <w:rsid w:val="002072C3"/>
    <w:rsid w:val="00207813"/>
    <w:rsid w:val="0020790A"/>
    <w:rsid w:val="00207E86"/>
    <w:rsid w:val="00210594"/>
    <w:rsid w:val="00210F65"/>
    <w:rsid w:val="00212939"/>
    <w:rsid w:val="00212B8B"/>
    <w:rsid w:val="0021371C"/>
    <w:rsid w:val="002139E7"/>
    <w:rsid w:val="002144A1"/>
    <w:rsid w:val="002147A6"/>
    <w:rsid w:val="00214D4B"/>
    <w:rsid w:val="00215739"/>
    <w:rsid w:val="002157B5"/>
    <w:rsid w:val="00216869"/>
    <w:rsid w:val="0021720D"/>
    <w:rsid w:val="0022016A"/>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6374"/>
    <w:rsid w:val="00237E07"/>
    <w:rsid w:val="00237F8D"/>
    <w:rsid w:val="002400A1"/>
    <w:rsid w:val="00240222"/>
    <w:rsid w:val="0024218B"/>
    <w:rsid w:val="002425FE"/>
    <w:rsid w:val="00242CD9"/>
    <w:rsid w:val="0024349D"/>
    <w:rsid w:val="00243967"/>
    <w:rsid w:val="0024424C"/>
    <w:rsid w:val="002444C2"/>
    <w:rsid w:val="00244BE9"/>
    <w:rsid w:val="0024530D"/>
    <w:rsid w:val="00245A74"/>
    <w:rsid w:val="00246A8F"/>
    <w:rsid w:val="0024727D"/>
    <w:rsid w:val="00250912"/>
    <w:rsid w:val="00250DBA"/>
    <w:rsid w:val="00251087"/>
    <w:rsid w:val="00251294"/>
    <w:rsid w:val="00251AD5"/>
    <w:rsid w:val="002523E5"/>
    <w:rsid w:val="00253058"/>
    <w:rsid w:val="00253764"/>
    <w:rsid w:val="002546F2"/>
    <w:rsid w:val="002550D8"/>
    <w:rsid w:val="00256078"/>
    <w:rsid w:val="002564FB"/>
    <w:rsid w:val="0026049B"/>
    <w:rsid w:val="00260EFA"/>
    <w:rsid w:val="00261377"/>
    <w:rsid w:val="00261EFF"/>
    <w:rsid w:val="00262160"/>
    <w:rsid w:val="00262814"/>
    <w:rsid w:val="002629E0"/>
    <w:rsid w:val="00262E2E"/>
    <w:rsid w:val="00263457"/>
    <w:rsid w:val="00263EF4"/>
    <w:rsid w:val="00264A64"/>
    <w:rsid w:val="00265FE9"/>
    <w:rsid w:val="0026773E"/>
    <w:rsid w:val="00270D7C"/>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B0A"/>
    <w:rsid w:val="00281EE0"/>
    <w:rsid w:val="00282CDE"/>
    <w:rsid w:val="00283073"/>
    <w:rsid w:val="0028348A"/>
    <w:rsid w:val="00285478"/>
    <w:rsid w:val="0028663C"/>
    <w:rsid w:val="00287C89"/>
    <w:rsid w:val="002905B5"/>
    <w:rsid w:val="00293203"/>
    <w:rsid w:val="0029329A"/>
    <w:rsid w:val="00293A15"/>
    <w:rsid w:val="00295693"/>
    <w:rsid w:val="002969C0"/>
    <w:rsid w:val="002972D4"/>
    <w:rsid w:val="00297AEF"/>
    <w:rsid w:val="00297F02"/>
    <w:rsid w:val="002A06E1"/>
    <w:rsid w:val="002A21E8"/>
    <w:rsid w:val="002A3220"/>
    <w:rsid w:val="002A3596"/>
    <w:rsid w:val="002A3AA9"/>
    <w:rsid w:val="002A5AA2"/>
    <w:rsid w:val="002A5C85"/>
    <w:rsid w:val="002A5C87"/>
    <w:rsid w:val="002A5D50"/>
    <w:rsid w:val="002A5DE5"/>
    <w:rsid w:val="002A7542"/>
    <w:rsid w:val="002A7BE8"/>
    <w:rsid w:val="002B09C6"/>
    <w:rsid w:val="002B0F52"/>
    <w:rsid w:val="002B1071"/>
    <w:rsid w:val="002B129B"/>
    <w:rsid w:val="002B29E2"/>
    <w:rsid w:val="002B3708"/>
    <w:rsid w:val="002B5625"/>
    <w:rsid w:val="002B5F9C"/>
    <w:rsid w:val="002B6147"/>
    <w:rsid w:val="002C0170"/>
    <w:rsid w:val="002C0E18"/>
    <w:rsid w:val="002C2427"/>
    <w:rsid w:val="002C2773"/>
    <w:rsid w:val="002C2A4F"/>
    <w:rsid w:val="002C3502"/>
    <w:rsid w:val="002C397B"/>
    <w:rsid w:val="002C3BA0"/>
    <w:rsid w:val="002C436C"/>
    <w:rsid w:val="002C47C4"/>
    <w:rsid w:val="002C6E41"/>
    <w:rsid w:val="002C748E"/>
    <w:rsid w:val="002C7D3C"/>
    <w:rsid w:val="002D0DDF"/>
    <w:rsid w:val="002D17A5"/>
    <w:rsid w:val="002D1AC7"/>
    <w:rsid w:val="002D347E"/>
    <w:rsid w:val="002D3D17"/>
    <w:rsid w:val="002D42A0"/>
    <w:rsid w:val="002D440D"/>
    <w:rsid w:val="002D4C8C"/>
    <w:rsid w:val="002D545A"/>
    <w:rsid w:val="002D59E5"/>
    <w:rsid w:val="002D5C23"/>
    <w:rsid w:val="002D5CBC"/>
    <w:rsid w:val="002D5DC3"/>
    <w:rsid w:val="002D6B4D"/>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EA5"/>
    <w:rsid w:val="003022B8"/>
    <w:rsid w:val="003023C4"/>
    <w:rsid w:val="003023EB"/>
    <w:rsid w:val="003026B9"/>
    <w:rsid w:val="00302C73"/>
    <w:rsid w:val="003035B2"/>
    <w:rsid w:val="00303733"/>
    <w:rsid w:val="00303A2F"/>
    <w:rsid w:val="00303C94"/>
    <w:rsid w:val="00304BF7"/>
    <w:rsid w:val="00304FE8"/>
    <w:rsid w:val="00305FA4"/>
    <w:rsid w:val="0030662A"/>
    <w:rsid w:val="00306822"/>
    <w:rsid w:val="00310992"/>
    <w:rsid w:val="00311387"/>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1E0A"/>
    <w:rsid w:val="003225D5"/>
    <w:rsid w:val="0032271E"/>
    <w:rsid w:val="003229A0"/>
    <w:rsid w:val="003232F1"/>
    <w:rsid w:val="0032378E"/>
    <w:rsid w:val="00323C12"/>
    <w:rsid w:val="00323D04"/>
    <w:rsid w:val="003243CB"/>
    <w:rsid w:val="003245FB"/>
    <w:rsid w:val="003250E2"/>
    <w:rsid w:val="0032569E"/>
    <w:rsid w:val="00326522"/>
    <w:rsid w:val="003270BF"/>
    <w:rsid w:val="00327A0C"/>
    <w:rsid w:val="003301A3"/>
    <w:rsid w:val="0033063D"/>
    <w:rsid w:val="00332129"/>
    <w:rsid w:val="0033322F"/>
    <w:rsid w:val="00334912"/>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1A7F"/>
    <w:rsid w:val="003525C0"/>
    <w:rsid w:val="00352CFB"/>
    <w:rsid w:val="00352F20"/>
    <w:rsid w:val="003530B9"/>
    <w:rsid w:val="00353798"/>
    <w:rsid w:val="003541D1"/>
    <w:rsid w:val="003548D7"/>
    <w:rsid w:val="003548F0"/>
    <w:rsid w:val="00354D94"/>
    <w:rsid w:val="003550C7"/>
    <w:rsid w:val="003566E9"/>
    <w:rsid w:val="00357214"/>
    <w:rsid w:val="0035791D"/>
    <w:rsid w:val="00360CBD"/>
    <w:rsid w:val="00361072"/>
    <w:rsid w:val="003618B6"/>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7B8"/>
    <w:rsid w:val="00377BAD"/>
    <w:rsid w:val="00381DCB"/>
    <w:rsid w:val="00381F87"/>
    <w:rsid w:val="00383FF3"/>
    <w:rsid w:val="00384485"/>
    <w:rsid w:val="003845C3"/>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7572"/>
    <w:rsid w:val="003A074E"/>
    <w:rsid w:val="003A1CFF"/>
    <w:rsid w:val="003A2BB7"/>
    <w:rsid w:val="003A312D"/>
    <w:rsid w:val="003A360F"/>
    <w:rsid w:val="003A4AB4"/>
    <w:rsid w:val="003A4C61"/>
    <w:rsid w:val="003A546F"/>
    <w:rsid w:val="003A565B"/>
    <w:rsid w:val="003A5C29"/>
    <w:rsid w:val="003A5DEB"/>
    <w:rsid w:val="003A61D4"/>
    <w:rsid w:val="003A6240"/>
    <w:rsid w:val="003A648B"/>
    <w:rsid w:val="003A6A14"/>
    <w:rsid w:val="003A72E4"/>
    <w:rsid w:val="003A7535"/>
    <w:rsid w:val="003A7616"/>
    <w:rsid w:val="003A799B"/>
    <w:rsid w:val="003A7D18"/>
    <w:rsid w:val="003B0055"/>
    <w:rsid w:val="003B00C2"/>
    <w:rsid w:val="003B07D1"/>
    <w:rsid w:val="003B1AF6"/>
    <w:rsid w:val="003B1B75"/>
    <w:rsid w:val="003B2FBC"/>
    <w:rsid w:val="003B32CC"/>
    <w:rsid w:val="003B35CB"/>
    <w:rsid w:val="003B4DA2"/>
    <w:rsid w:val="003B4DDF"/>
    <w:rsid w:val="003B545C"/>
    <w:rsid w:val="003B57B7"/>
    <w:rsid w:val="003B5E19"/>
    <w:rsid w:val="003B64D8"/>
    <w:rsid w:val="003B78AC"/>
    <w:rsid w:val="003C08BD"/>
    <w:rsid w:val="003C1A62"/>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236D"/>
    <w:rsid w:val="003E2744"/>
    <w:rsid w:val="003E2E8C"/>
    <w:rsid w:val="003E3009"/>
    <w:rsid w:val="003E308A"/>
    <w:rsid w:val="003E367A"/>
    <w:rsid w:val="003E37A4"/>
    <w:rsid w:val="003E4136"/>
    <w:rsid w:val="003E4E45"/>
    <w:rsid w:val="003E61CB"/>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3BE9"/>
    <w:rsid w:val="00413E03"/>
    <w:rsid w:val="00414E73"/>
    <w:rsid w:val="00415367"/>
    <w:rsid w:val="004161C2"/>
    <w:rsid w:val="004170A6"/>
    <w:rsid w:val="004176BC"/>
    <w:rsid w:val="004177A1"/>
    <w:rsid w:val="00417896"/>
    <w:rsid w:val="00417CB0"/>
    <w:rsid w:val="00420584"/>
    <w:rsid w:val="00421048"/>
    <w:rsid w:val="00422A93"/>
    <w:rsid w:val="00422BB1"/>
    <w:rsid w:val="00424D21"/>
    <w:rsid w:val="00424F3C"/>
    <w:rsid w:val="00425C24"/>
    <w:rsid w:val="004273BF"/>
    <w:rsid w:val="004311FF"/>
    <w:rsid w:val="004314B6"/>
    <w:rsid w:val="00432447"/>
    <w:rsid w:val="00432D97"/>
    <w:rsid w:val="00432F21"/>
    <w:rsid w:val="004349D9"/>
    <w:rsid w:val="0043544F"/>
    <w:rsid w:val="004362C0"/>
    <w:rsid w:val="00436425"/>
    <w:rsid w:val="004364E6"/>
    <w:rsid w:val="00436B27"/>
    <w:rsid w:val="0043712E"/>
    <w:rsid w:val="004400BC"/>
    <w:rsid w:val="004412E8"/>
    <w:rsid w:val="00441947"/>
    <w:rsid w:val="00443331"/>
    <w:rsid w:val="00443561"/>
    <w:rsid w:val="00443591"/>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D4D"/>
    <w:rsid w:val="00454F1D"/>
    <w:rsid w:val="00455817"/>
    <w:rsid w:val="00455AE4"/>
    <w:rsid w:val="00457034"/>
    <w:rsid w:val="00457BAA"/>
    <w:rsid w:val="00460981"/>
    <w:rsid w:val="004609DE"/>
    <w:rsid w:val="00461DC0"/>
    <w:rsid w:val="004628F0"/>
    <w:rsid w:val="00462D54"/>
    <w:rsid w:val="00462D63"/>
    <w:rsid w:val="00463886"/>
    <w:rsid w:val="00464F36"/>
    <w:rsid w:val="0046568B"/>
    <w:rsid w:val="00466121"/>
    <w:rsid w:val="00466912"/>
    <w:rsid w:val="00467686"/>
    <w:rsid w:val="00467792"/>
    <w:rsid w:val="004679AB"/>
    <w:rsid w:val="00471665"/>
    <w:rsid w:val="0047195F"/>
    <w:rsid w:val="00471A9E"/>
    <w:rsid w:val="00471B86"/>
    <w:rsid w:val="00472227"/>
    <w:rsid w:val="00472E9C"/>
    <w:rsid w:val="004732E6"/>
    <w:rsid w:val="00474927"/>
    <w:rsid w:val="00474FBE"/>
    <w:rsid w:val="0047540F"/>
    <w:rsid w:val="004772FF"/>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2DF8"/>
    <w:rsid w:val="00493577"/>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81"/>
    <w:rsid w:val="004B47F4"/>
    <w:rsid w:val="004B50CC"/>
    <w:rsid w:val="004B5825"/>
    <w:rsid w:val="004B6415"/>
    <w:rsid w:val="004B64FA"/>
    <w:rsid w:val="004B7F9F"/>
    <w:rsid w:val="004C06CE"/>
    <w:rsid w:val="004C099B"/>
    <w:rsid w:val="004C0DB4"/>
    <w:rsid w:val="004C19DA"/>
    <w:rsid w:val="004C33E8"/>
    <w:rsid w:val="004C4A96"/>
    <w:rsid w:val="004C4E5F"/>
    <w:rsid w:val="004C5875"/>
    <w:rsid w:val="004C5F28"/>
    <w:rsid w:val="004C6997"/>
    <w:rsid w:val="004C6CDB"/>
    <w:rsid w:val="004C7C36"/>
    <w:rsid w:val="004C7D16"/>
    <w:rsid w:val="004D0132"/>
    <w:rsid w:val="004D080F"/>
    <w:rsid w:val="004D185E"/>
    <w:rsid w:val="004D4B61"/>
    <w:rsid w:val="004D606D"/>
    <w:rsid w:val="004D6B20"/>
    <w:rsid w:val="004D6C2F"/>
    <w:rsid w:val="004D71FE"/>
    <w:rsid w:val="004D7A80"/>
    <w:rsid w:val="004D7CA3"/>
    <w:rsid w:val="004E0388"/>
    <w:rsid w:val="004E0894"/>
    <w:rsid w:val="004E135A"/>
    <w:rsid w:val="004E1C50"/>
    <w:rsid w:val="004E20EE"/>
    <w:rsid w:val="004E251F"/>
    <w:rsid w:val="004E2B23"/>
    <w:rsid w:val="004E3390"/>
    <w:rsid w:val="004E416F"/>
    <w:rsid w:val="004E424D"/>
    <w:rsid w:val="004E5F45"/>
    <w:rsid w:val="004E64DC"/>
    <w:rsid w:val="004E6F86"/>
    <w:rsid w:val="004E706A"/>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659"/>
    <w:rsid w:val="00501733"/>
    <w:rsid w:val="00501B75"/>
    <w:rsid w:val="00501C39"/>
    <w:rsid w:val="00502203"/>
    <w:rsid w:val="005027B8"/>
    <w:rsid w:val="00503F42"/>
    <w:rsid w:val="00505A66"/>
    <w:rsid w:val="00506576"/>
    <w:rsid w:val="00506710"/>
    <w:rsid w:val="0050682B"/>
    <w:rsid w:val="00506E86"/>
    <w:rsid w:val="0050702C"/>
    <w:rsid w:val="0050723E"/>
    <w:rsid w:val="00507403"/>
    <w:rsid w:val="00507430"/>
    <w:rsid w:val="005101E5"/>
    <w:rsid w:val="00511D75"/>
    <w:rsid w:val="00512232"/>
    <w:rsid w:val="00513B7E"/>
    <w:rsid w:val="00513DAE"/>
    <w:rsid w:val="00514597"/>
    <w:rsid w:val="005150AB"/>
    <w:rsid w:val="0051769B"/>
    <w:rsid w:val="0052052F"/>
    <w:rsid w:val="00520571"/>
    <w:rsid w:val="00522C8A"/>
    <w:rsid w:val="00523AF8"/>
    <w:rsid w:val="00523F57"/>
    <w:rsid w:val="00523F8F"/>
    <w:rsid w:val="005248F8"/>
    <w:rsid w:val="00524E1E"/>
    <w:rsid w:val="0052565F"/>
    <w:rsid w:val="005261AC"/>
    <w:rsid w:val="00526E9C"/>
    <w:rsid w:val="005278F8"/>
    <w:rsid w:val="005300ED"/>
    <w:rsid w:val="00531706"/>
    <w:rsid w:val="00532121"/>
    <w:rsid w:val="00532429"/>
    <w:rsid w:val="00532850"/>
    <w:rsid w:val="005328A9"/>
    <w:rsid w:val="00532C7A"/>
    <w:rsid w:val="005332FA"/>
    <w:rsid w:val="005335ED"/>
    <w:rsid w:val="005339DB"/>
    <w:rsid w:val="00534668"/>
    <w:rsid w:val="005346BF"/>
    <w:rsid w:val="0053472D"/>
    <w:rsid w:val="00535189"/>
    <w:rsid w:val="005356B6"/>
    <w:rsid w:val="00535D75"/>
    <w:rsid w:val="00535FF9"/>
    <w:rsid w:val="0053609B"/>
    <w:rsid w:val="0053655A"/>
    <w:rsid w:val="00536ECF"/>
    <w:rsid w:val="0053740F"/>
    <w:rsid w:val="00540D9E"/>
    <w:rsid w:val="0054171A"/>
    <w:rsid w:val="005420CF"/>
    <w:rsid w:val="00542C2A"/>
    <w:rsid w:val="0054337D"/>
    <w:rsid w:val="005438E3"/>
    <w:rsid w:val="00543CAC"/>
    <w:rsid w:val="005440E4"/>
    <w:rsid w:val="00545BEC"/>
    <w:rsid w:val="005468A5"/>
    <w:rsid w:val="00546A1D"/>
    <w:rsid w:val="00546C8E"/>
    <w:rsid w:val="00546CB9"/>
    <w:rsid w:val="00546E83"/>
    <w:rsid w:val="00547725"/>
    <w:rsid w:val="00550292"/>
    <w:rsid w:val="00551309"/>
    <w:rsid w:val="00552426"/>
    <w:rsid w:val="005529F6"/>
    <w:rsid w:val="00552F1A"/>
    <w:rsid w:val="0055363B"/>
    <w:rsid w:val="00553693"/>
    <w:rsid w:val="00553934"/>
    <w:rsid w:val="00553B71"/>
    <w:rsid w:val="00554C4D"/>
    <w:rsid w:val="00556A43"/>
    <w:rsid w:val="0056087F"/>
    <w:rsid w:val="0056121A"/>
    <w:rsid w:val="00562195"/>
    <w:rsid w:val="0056261D"/>
    <w:rsid w:val="00562918"/>
    <w:rsid w:val="00563269"/>
    <w:rsid w:val="00564643"/>
    <w:rsid w:val="00564772"/>
    <w:rsid w:val="00564F32"/>
    <w:rsid w:val="00566518"/>
    <w:rsid w:val="005669DA"/>
    <w:rsid w:val="00567613"/>
    <w:rsid w:val="00571640"/>
    <w:rsid w:val="00571902"/>
    <w:rsid w:val="0057194C"/>
    <w:rsid w:val="005720AF"/>
    <w:rsid w:val="0057221C"/>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304"/>
    <w:rsid w:val="005824FB"/>
    <w:rsid w:val="00582686"/>
    <w:rsid w:val="005829C4"/>
    <w:rsid w:val="00582D45"/>
    <w:rsid w:val="005860BC"/>
    <w:rsid w:val="00587129"/>
    <w:rsid w:val="005879CE"/>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18A"/>
    <w:rsid w:val="005A1701"/>
    <w:rsid w:val="005A1897"/>
    <w:rsid w:val="005A3B97"/>
    <w:rsid w:val="005A45EC"/>
    <w:rsid w:val="005A4A89"/>
    <w:rsid w:val="005A55F6"/>
    <w:rsid w:val="005A57D4"/>
    <w:rsid w:val="005A5C31"/>
    <w:rsid w:val="005A5DB4"/>
    <w:rsid w:val="005A600A"/>
    <w:rsid w:val="005A74D9"/>
    <w:rsid w:val="005A7E88"/>
    <w:rsid w:val="005B01F4"/>
    <w:rsid w:val="005B05BE"/>
    <w:rsid w:val="005B0692"/>
    <w:rsid w:val="005B07C7"/>
    <w:rsid w:val="005B1B4F"/>
    <w:rsid w:val="005B2564"/>
    <w:rsid w:val="005B2E53"/>
    <w:rsid w:val="005B2F26"/>
    <w:rsid w:val="005B389B"/>
    <w:rsid w:val="005B4B88"/>
    <w:rsid w:val="005B4C25"/>
    <w:rsid w:val="005B52D8"/>
    <w:rsid w:val="005B57E9"/>
    <w:rsid w:val="005B5DAD"/>
    <w:rsid w:val="005B659A"/>
    <w:rsid w:val="005B65CA"/>
    <w:rsid w:val="005B79C6"/>
    <w:rsid w:val="005C04C0"/>
    <w:rsid w:val="005C0912"/>
    <w:rsid w:val="005C0AA2"/>
    <w:rsid w:val="005C1B46"/>
    <w:rsid w:val="005C1F7E"/>
    <w:rsid w:val="005C2057"/>
    <w:rsid w:val="005C20A0"/>
    <w:rsid w:val="005C2EF2"/>
    <w:rsid w:val="005C3AE2"/>
    <w:rsid w:val="005C5258"/>
    <w:rsid w:val="005C57F7"/>
    <w:rsid w:val="005C76FD"/>
    <w:rsid w:val="005C7A6D"/>
    <w:rsid w:val="005C7DC3"/>
    <w:rsid w:val="005D0DAF"/>
    <w:rsid w:val="005D0E2B"/>
    <w:rsid w:val="005D14A4"/>
    <w:rsid w:val="005D1D83"/>
    <w:rsid w:val="005D2E2B"/>
    <w:rsid w:val="005D3D10"/>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7EA"/>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406"/>
    <w:rsid w:val="006248E3"/>
    <w:rsid w:val="00625D3D"/>
    <w:rsid w:val="00625DB6"/>
    <w:rsid w:val="00626CAC"/>
    <w:rsid w:val="00627AD4"/>
    <w:rsid w:val="00630F33"/>
    <w:rsid w:val="006312A4"/>
    <w:rsid w:val="006312F8"/>
    <w:rsid w:val="006313C9"/>
    <w:rsid w:val="006317D2"/>
    <w:rsid w:val="00631C0F"/>
    <w:rsid w:val="006348ED"/>
    <w:rsid w:val="00636A18"/>
    <w:rsid w:val="00636C52"/>
    <w:rsid w:val="0063771E"/>
    <w:rsid w:val="006406A6"/>
    <w:rsid w:val="00640A5A"/>
    <w:rsid w:val="00640E6C"/>
    <w:rsid w:val="00642351"/>
    <w:rsid w:val="006424F7"/>
    <w:rsid w:val="00642C32"/>
    <w:rsid w:val="006433D0"/>
    <w:rsid w:val="00643467"/>
    <w:rsid w:val="00643A31"/>
    <w:rsid w:val="00643AAE"/>
    <w:rsid w:val="00644A9F"/>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4B40"/>
    <w:rsid w:val="006652FD"/>
    <w:rsid w:val="00665679"/>
    <w:rsid w:val="0066568C"/>
    <w:rsid w:val="0066590A"/>
    <w:rsid w:val="00665DB7"/>
    <w:rsid w:val="00666370"/>
    <w:rsid w:val="0066646F"/>
    <w:rsid w:val="00666775"/>
    <w:rsid w:val="00666A5B"/>
    <w:rsid w:val="00670EFB"/>
    <w:rsid w:val="00671380"/>
    <w:rsid w:val="006713F9"/>
    <w:rsid w:val="00672C5A"/>
    <w:rsid w:val="00672F3E"/>
    <w:rsid w:val="00673BF2"/>
    <w:rsid w:val="00673C58"/>
    <w:rsid w:val="0067494B"/>
    <w:rsid w:val="00674DB0"/>
    <w:rsid w:val="00675296"/>
    <w:rsid w:val="006766B8"/>
    <w:rsid w:val="00677143"/>
    <w:rsid w:val="006807E1"/>
    <w:rsid w:val="00680DE4"/>
    <w:rsid w:val="0068116A"/>
    <w:rsid w:val="006823D9"/>
    <w:rsid w:val="00683291"/>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5B23"/>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8A2"/>
    <w:rsid w:val="006A5A39"/>
    <w:rsid w:val="006A5C7F"/>
    <w:rsid w:val="006A6263"/>
    <w:rsid w:val="006A6484"/>
    <w:rsid w:val="006A652E"/>
    <w:rsid w:val="006A7EA3"/>
    <w:rsid w:val="006B022C"/>
    <w:rsid w:val="006B07D8"/>
    <w:rsid w:val="006B0CEB"/>
    <w:rsid w:val="006B13C1"/>
    <w:rsid w:val="006B1707"/>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D18"/>
    <w:rsid w:val="006D2594"/>
    <w:rsid w:val="006D2BD4"/>
    <w:rsid w:val="006D3530"/>
    <w:rsid w:val="006D407D"/>
    <w:rsid w:val="006D477F"/>
    <w:rsid w:val="006D47BC"/>
    <w:rsid w:val="006D4ACA"/>
    <w:rsid w:val="006D5843"/>
    <w:rsid w:val="006D6871"/>
    <w:rsid w:val="006D6CA2"/>
    <w:rsid w:val="006D71D3"/>
    <w:rsid w:val="006E1FB4"/>
    <w:rsid w:val="006E24D7"/>
    <w:rsid w:val="006E2C37"/>
    <w:rsid w:val="006E3415"/>
    <w:rsid w:val="006E3962"/>
    <w:rsid w:val="006E4059"/>
    <w:rsid w:val="006E464C"/>
    <w:rsid w:val="006E4970"/>
    <w:rsid w:val="006E4A6B"/>
    <w:rsid w:val="006E4CCB"/>
    <w:rsid w:val="006E4CCC"/>
    <w:rsid w:val="006E516B"/>
    <w:rsid w:val="006E64FC"/>
    <w:rsid w:val="006E6536"/>
    <w:rsid w:val="006E78A4"/>
    <w:rsid w:val="006E7A04"/>
    <w:rsid w:val="006F065D"/>
    <w:rsid w:val="006F0C10"/>
    <w:rsid w:val="006F29B4"/>
    <w:rsid w:val="006F6419"/>
    <w:rsid w:val="006F6DDA"/>
    <w:rsid w:val="006F7041"/>
    <w:rsid w:val="0070068B"/>
    <w:rsid w:val="00700990"/>
    <w:rsid w:val="00700CF4"/>
    <w:rsid w:val="007016BE"/>
    <w:rsid w:val="007025A3"/>
    <w:rsid w:val="007030B9"/>
    <w:rsid w:val="00703181"/>
    <w:rsid w:val="007042E7"/>
    <w:rsid w:val="007044EC"/>
    <w:rsid w:val="00704571"/>
    <w:rsid w:val="00704832"/>
    <w:rsid w:val="007048F0"/>
    <w:rsid w:val="00705362"/>
    <w:rsid w:val="0070604E"/>
    <w:rsid w:val="0070718C"/>
    <w:rsid w:val="00711526"/>
    <w:rsid w:val="0071165C"/>
    <w:rsid w:val="00711CAD"/>
    <w:rsid w:val="0071201B"/>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366C"/>
    <w:rsid w:val="00724291"/>
    <w:rsid w:val="00724D0C"/>
    <w:rsid w:val="0072590A"/>
    <w:rsid w:val="00725996"/>
    <w:rsid w:val="00726886"/>
    <w:rsid w:val="0072724E"/>
    <w:rsid w:val="00727381"/>
    <w:rsid w:val="00727924"/>
    <w:rsid w:val="00727AA5"/>
    <w:rsid w:val="00730896"/>
    <w:rsid w:val="007314BA"/>
    <w:rsid w:val="00732A2D"/>
    <w:rsid w:val="00732D06"/>
    <w:rsid w:val="00733E70"/>
    <w:rsid w:val="00733FFC"/>
    <w:rsid w:val="0073438B"/>
    <w:rsid w:val="007343F1"/>
    <w:rsid w:val="0073490E"/>
    <w:rsid w:val="0073536C"/>
    <w:rsid w:val="007357B9"/>
    <w:rsid w:val="007359A2"/>
    <w:rsid w:val="007360A9"/>
    <w:rsid w:val="0073699B"/>
    <w:rsid w:val="0073710F"/>
    <w:rsid w:val="00737362"/>
    <w:rsid w:val="00737753"/>
    <w:rsid w:val="007409AA"/>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A2F"/>
    <w:rsid w:val="007472EF"/>
    <w:rsid w:val="00747669"/>
    <w:rsid w:val="00751097"/>
    <w:rsid w:val="00751E1F"/>
    <w:rsid w:val="0075296E"/>
    <w:rsid w:val="00752F33"/>
    <w:rsid w:val="0075319C"/>
    <w:rsid w:val="007531A5"/>
    <w:rsid w:val="007535E3"/>
    <w:rsid w:val="00753FCB"/>
    <w:rsid w:val="007542B1"/>
    <w:rsid w:val="007550FE"/>
    <w:rsid w:val="00755EE8"/>
    <w:rsid w:val="00756407"/>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1689"/>
    <w:rsid w:val="00782394"/>
    <w:rsid w:val="00782848"/>
    <w:rsid w:val="007829B1"/>
    <w:rsid w:val="00783873"/>
    <w:rsid w:val="007847D1"/>
    <w:rsid w:val="00784924"/>
    <w:rsid w:val="0078503B"/>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A2A"/>
    <w:rsid w:val="007964B5"/>
    <w:rsid w:val="007972FB"/>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C29"/>
    <w:rsid w:val="007B2177"/>
    <w:rsid w:val="007B229B"/>
    <w:rsid w:val="007B2FF1"/>
    <w:rsid w:val="007B56E1"/>
    <w:rsid w:val="007B5E15"/>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729"/>
    <w:rsid w:val="007D7AA9"/>
    <w:rsid w:val="007E075D"/>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6F9A"/>
    <w:rsid w:val="007E7679"/>
    <w:rsid w:val="007E79F5"/>
    <w:rsid w:val="007E7AF0"/>
    <w:rsid w:val="007F02BF"/>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AE7"/>
    <w:rsid w:val="00811B7A"/>
    <w:rsid w:val="00811E77"/>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329"/>
    <w:rsid w:val="0083473D"/>
    <w:rsid w:val="00834AF4"/>
    <w:rsid w:val="00834BEC"/>
    <w:rsid w:val="00834D47"/>
    <w:rsid w:val="00834DC9"/>
    <w:rsid w:val="00835389"/>
    <w:rsid w:val="00835459"/>
    <w:rsid w:val="008356D1"/>
    <w:rsid w:val="008358DA"/>
    <w:rsid w:val="008373F3"/>
    <w:rsid w:val="00837AC7"/>
    <w:rsid w:val="00840350"/>
    <w:rsid w:val="00840409"/>
    <w:rsid w:val="0084055F"/>
    <w:rsid w:val="0084098C"/>
    <w:rsid w:val="008411FD"/>
    <w:rsid w:val="0084138C"/>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F3D"/>
    <w:rsid w:val="00860F08"/>
    <w:rsid w:val="008612F5"/>
    <w:rsid w:val="00861F9D"/>
    <w:rsid w:val="0086307F"/>
    <w:rsid w:val="008639AD"/>
    <w:rsid w:val="00863C1F"/>
    <w:rsid w:val="00870856"/>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7227"/>
    <w:rsid w:val="008900AA"/>
    <w:rsid w:val="00890427"/>
    <w:rsid w:val="0089096B"/>
    <w:rsid w:val="008919D4"/>
    <w:rsid w:val="00892157"/>
    <w:rsid w:val="0089225A"/>
    <w:rsid w:val="00892AC0"/>
    <w:rsid w:val="008934FE"/>
    <w:rsid w:val="00893B5D"/>
    <w:rsid w:val="00893E2F"/>
    <w:rsid w:val="008944DB"/>
    <w:rsid w:val="0089594E"/>
    <w:rsid w:val="008962D6"/>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80A"/>
    <w:rsid w:val="008B4F76"/>
    <w:rsid w:val="008B58D9"/>
    <w:rsid w:val="008B64DC"/>
    <w:rsid w:val="008B6AFD"/>
    <w:rsid w:val="008B70D9"/>
    <w:rsid w:val="008C07A9"/>
    <w:rsid w:val="008C0A39"/>
    <w:rsid w:val="008C1814"/>
    <w:rsid w:val="008C2D8D"/>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E02E0"/>
    <w:rsid w:val="008E0670"/>
    <w:rsid w:val="008E114F"/>
    <w:rsid w:val="008E1153"/>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536"/>
    <w:rsid w:val="008F6537"/>
    <w:rsid w:val="00900590"/>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282"/>
    <w:rsid w:val="00911691"/>
    <w:rsid w:val="009118B0"/>
    <w:rsid w:val="00911E0D"/>
    <w:rsid w:val="00912000"/>
    <w:rsid w:val="009124E6"/>
    <w:rsid w:val="00913944"/>
    <w:rsid w:val="00916440"/>
    <w:rsid w:val="00916748"/>
    <w:rsid w:val="00917332"/>
    <w:rsid w:val="009177FA"/>
    <w:rsid w:val="009202C5"/>
    <w:rsid w:val="00920773"/>
    <w:rsid w:val="009209C5"/>
    <w:rsid w:val="00921817"/>
    <w:rsid w:val="00922327"/>
    <w:rsid w:val="0092265F"/>
    <w:rsid w:val="0092359E"/>
    <w:rsid w:val="00923EA0"/>
    <w:rsid w:val="0092474D"/>
    <w:rsid w:val="0092598F"/>
    <w:rsid w:val="00925FF9"/>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325C"/>
    <w:rsid w:val="009443B8"/>
    <w:rsid w:val="00945766"/>
    <w:rsid w:val="009457AC"/>
    <w:rsid w:val="00945B1E"/>
    <w:rsid w:val="0094609D"/>
    <w:rsid w:val="00946484"/>
    <w:rsid w:val="00946970"/>
    <w:rsid w:val="00946B28"/>
    <w:rsid w:val="0094744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71118"/>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6AC"/>
    <w:rsid w:val="009A4908"/>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76A3"/>
    <w:rsid w:val="009C79E5"/>
    <w:rsid w:val="009C7ACB"/>
    <w:rsid w:val="009C7C85"/>
    <w:rsid w:val="009D03F6"/>
    <w:rsid w:val="009D0758"/>
    <w:rsid w:val="009D6353"/>
    <w:rsid w:val="009D6CF0"/>
    <w:rsid w:val="009D6E22"/>
    <w:rsid w:val="009D75A9"/>
    <w:rsid w:val="009E0A40"/>
    <w:rsid w:val="009E153F"/>
    <w:rsid w:val="009E19AE"/>
    <w:rsid w:val="009E1E60"/>
    <w:rsid w:val="009E1F86"/>
    <w:rsid w:val="009E3112"/>
    <w:rsid w:val="009E34B7"/>
    <w:rsid w:val="009E434B"/>
    <w:rsid w:val="009E480B"/>
    <w:rsid w:val="009E4C2E"/>
    <w:rsid w:val="009E5BAE"/>
    <w:rsid w:val="009E5BF5"/>
    <w:rsid w:val="009E5D18"/>
    <w:rsid w:val="009E5F8E"/>
    <w:rsid w:val="009E65CA"/>
    <w:rsid w:val="009E699D"/>
    <w:rsid w:val="009F1904"/>
    <w:rsid w:val="009F209E"/>
    <w:rsid w:val="009F2446"/>
    <w:rsid w:val="009F2450"/>
    <w:rsid w:val="009F2BF4"/>
    <w:rsid w:val="009F2C12"/>
    <w:rsid w:val="009F385D"/>
    <w:rsid w:val="009F4B7F"/>
    <w:rsid w:val="009F4DD4"/>
    <w:rsid w:val="009F555E"/>
    <w:rsid w:val="009F5C78"/>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17EB6"/>
    <w:rsid w:val="00A20573"/>
    <w:rsid w:val="00A207FA"/>
    <w:rsid w:val="00A20C94"/>
    <w:rsid w:val="00A21C4C"/>
    <w:rsid w:val="00A220B7"/>
    <w:rsid w:val="00A227D6"/>
    <w:rsid w:val="00A227E7"/>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244C"/>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EBD"/>
    <w:rsid w:val="00A40F98"/>
    <w:rsid w:val="00A43813"/>
    <w:rsid w:val="00A43D47"/>
    <w:rsid w:val="00A440A6"/>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71CDE"/>
    <w:rsid w:val="00A7252E"/>
    <w:rsid w:val="00A72BBC"/>
    <w:rsid w:val="00A72E18"/>
    <w:rsid w:val="00A730F3"/>
    <w:rsid w:val="00A74BE6"/>
    <w:rsid w:val="00A7557C"/>
    <w:rsid w:val="00A758A4"/>
    <w:rsid w:val="00A75BA0"/>
    <w:rsid w:val="00A768A2"/>
    <w:rsid w:val="00A76A55"/>
    <w:rsid w:val="00A773B4"/>
    <w:rsid w:val="00A80948"/>
    <w:rsid w:val="00A822AE"/>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FE5"/>
    <w:rsid w:val="00A93154"/>
    <w:rsid w:val="00A93214"/>
    <w:rsid w:val="00A93C27"/>
    <w:rsid w:val="00A93C2B"/>
    <w:rsid w:val="00A94D8C"/>
    <w:rsid w:val="00A96FC0"/>
    <w:rsid w:val="00A97BFA"/>
    <w:rsid w:val="00AA007C"/>
    <w:rsid w:val="00AA0B30"/>
    <w:rsid w:val="00AA25C9"/>
    <w:rsid w:val="00AA3726"/>
    <w:rsid w:val="00AA40AA"/>
    <w:rsid w:val="00AA4F09"/>
    <w:rsid w:val="00AA7A72"/>
    <w:rsid w:val="00AA7DCE"/>
    <w:rsid w:val="00AA7F8C"/>
    <w:rsid w:val="00AA7FA5"/>
    <w:rsid w:val="00AB01C9"/>
    <w:rsid w:val="00AB0725"/>
    <w:rsid w:val="00AB0807"/>
    <w:rsid w:val="00AB0FB2"/>
    <w:rsid w:val="00AB10E3"/>
    <w:rsid w:val="00AB18AB"/>
    <w:rsid w:val="00AB1FAD"/>
    <w:rsid w:val="00AB2AF8"/>
    <w:rsid w:val="00AB2AF9"/>
    <w:rsid w:val="00AB37FD"/>
    <w:rsid w:val="00AB41AF"/>
    <w:rsid w:val="00AB42BB"/>
    <w:rsid w:val="00AB4B6A"/>
    <w:rsid w:val="00AB50C3"/>
    <w:rsid w:val="00AB57D9"/>
    <w:rsid w:val="00AB6F61"/>
    <w:rsid w:val="00AB7601"/>
    <w:rsid w:val="00AB7957"/>
    <w:rsid w:val="00AB7A15"/>
    <w:rsid w:val="00AC0BD8"/>
    <w:rsid w:val="00AC1E53"/>
    <w:rsid w:val="00AC42FA"/>
    <w:rsid w:val="00AC455C"/>
    <w:rsid w:val="00AC4D66"/>
    <w:rsid w:val="00AC5C0E"/>
    <w:rsid w:val="00AC5FCE"/>
    <w:rsid w:val="00AC615E"/>
    <w:rsid w:val="00AC62B7"/>
    <w:rsid w:val="00AC6BDA"/>
    <w:rsid w:val="00AC6E20"/>
    <w:rsid w:val="00AC7A38"/>
    <w:rsid w:val="00AD07F1"/>
    <w:rsid w:val="00AD20E0"/>
    <w:rsid w:val="00AD2BE1"/>
    <w:rsid w:val="00AD3C49"/>
    <w:rsid w:val="00AD3D21"/>
    <w:rsid w:val="00AD68F8"/>
    <w:rsid w:val="00AD692B"/>
    <w:rsid w:val="00AE0B68"/>
    <w:rsid w:val="00AE10CD"/>
    <w:rsid w:val="00AE1499"/>
    <w:rsid w:val="00AE2D0A"/>
    <w:rsid w:val="00AE3725"/>
    <w:rsid w:val="00AE4E58"/>
    <w:rsid w:val="00AE5139"/>
    <w:rsid w:val="00AE54FA"/>
    <w:rsid w:val="00AE5C8B"/>
    <w:rsid w:val="00AE65CA"/>
    <w:rsid w:val="00AE6800"/>
    <w:rsid w:val="00AE6CDA"/>
    <w:rsid w:val="00AE72FC"/>
    <w:rsid w:val="00AE751E"/>
    <w:rsid w:val="00AF16A0"/>
    <w:rsid w:val="00AF239F"/>
    <w:rsid w:val="00AF23AA"/>
    <w:rsid w:val="00AF23C2"/>
    <w:rsid w:val="00AF3040"/>
    <w:rsid w:val="00AF39BC"/>
    <w:rsid w:val="00AF51E5"/>
    <w:rsid w:val="00AF52E7"/>
    <w:rsid w:val="00AF5D55"/>
    <w:rsid w:val="00AF605B"/>
    <w:rsid w:val="00AF741B"/>
    <w:rsid w:val="00AF7453"/>
    <w:rsid w:val="00AF7C3D"/>
    <w:rsid w:val="00AF7E72"/>
    <w:rsid w:val="00B0115C"/>
    <w:rsid w:val="00B02647"/>
    <w:rsid w:val="00B02EA1"/>
    <w:rsid w:val="00B0432F"/>
    <w:rsid w:val="00B043ED"/>
    <w:rsid w:val="00B054FF"/>
    <w:rsid w:val="00B05CB6"/>
    <w:rsid w:val="00B0633F"/>
    <w:rsid w:val="00B070A0"/>
    <w:rsid w:val="00B07CC0"/>
    <w:rsid w:val="00B102F5"/>
    <w:rsid w:val="00B103E9"/>
    <w:rsid w:val="00B11586"/>
    <w:rsid w:val="00B11E6D"/>
    <w:rsid w:val="00B11FA4"/>
    <w:rsid w:val="00B12242"/>
    <w:rsid w:val="00B1390D"/>
    <w:rsid w:val="00B1393B"/>
    <w:rsid w:val="00B140D2"/>
    <w:rsid w:val="00B14CD1"/>
    <w:rsid w:val="00B15491"/>
    <w:rsid w:val="00B1562F"/>
    <w:rsid w:val="00B16D63"/>
    <w:rsid w:val="00B17629"/>
    <w:rsid w:val="00B21D6E"/>
    <w:rsid w:val="00B22C39"/>
    <w:rsid w:val="00B22DE0"/>
    <w:rsid w:val="00B23D2D"/>
    <w:rsid w:val="00B24FEA"/>
    <w:rsid w:val="00B2540B"/>
    <w:rsid w:val="00B25B94"/>
    <w:rsid w:val="00B25FE6"/>
    <w:rsid w:val="00B2603E"/>
    <w:rsid w:val="00B26407"/>
    <w:rsid w:val="00B26CD6"/>
    <w:rsid w:val="00B27255"/>
    <w:rsid w:val="00B2749B"/>
    <w:rsid w:val="00B2763A"/>
    <w:rsid w:val="00B27A0A"/>
    <w:rsid w:val="00B30160"/>
    <w:rsid w:val="00B3068C"/>
    <w:rsid w:val="00B317DC"/>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56"/>
    <w:rsid w:val="00B42A22"/>
    <w:rsid w:val="00B45535"/>
    <w:rsid w:val="00B4553C"/>
    <w:rsid w:val="00B4572C"/>
    <w:rsid w:val="00B459C8"/>
    <w:rsid w:val="00B45BAB"/>
    <w:rsid w:val="00B46975"/>
    <w:rsid w:val="00B472EC"/>
    <w:rsid w:val="00B52046"/>
    <w:rsid w:val="00B5259A"/>
    <w:rsid w:val="00B52CB1"/>
    <w:rsid w:val="00B53B6D"/>
    <w:rsid w:val="00B53C9A"/>
    <w:rsid w:val="00B53D31"/>
    <w:rsid w:val="00B553DF"/>
    <w:rsid w:val="00B5563C"/>
    <w:rsid w:val="00B57D54"/>
    <w:rsid w:val="00B60946"/>
    <w:rsid w:val="00B609C3"/>
    <w:rsid w:val="00B609D4"/>
    <w:rsid w:val="00B60FB5"/>
    <w:rsid w:val="00B619B2"/>
    <w:rsid w:val="00B62014"/>
    <w:rsid w:val="00B629C9"/>
    <w:rsid w:val="00B6342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4ACF"/>
    <w:rsid w:val="00B86B7E"/>
    <w:rsid w:val="00B87DD5"/>
    <w:rsid w:val="00B90F96"/>
    <w:rsid w:val="00B9219F"/>
    <w:rsid w:val="00B926CB"/>
    <w:rsid w:val="00B933B2"/>
    <w:rsid w:val="00B936CB"/>
    <w:rsid w:val="00B93CAF"/>
    <w:rsid w:val="00B941B6"/>
    <w:rsid w:val="00B94A06"/>
    <w:rsid w:val="00B952E7"/>
    <w:rsid w:val="00B95B2F"/>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500"/>
    <w:rsid w:val="00BB0741"/>
    <w:rsid w:val="00BB17AD"/>
    <w:rsid w:val="00BB292D"/>
    <w:rsid w:val="00BB300F"/>
    <w:rsid w:val="00BB369B"/>
    <w:rsid w:val="00BB3919"/>
    <w:rsid w:val="00BB3A56"/>
    <w:rsid w:val="00BB3E2E"/>
    <w:rsid w:val="00BB49CB"/>
    <w:rsid w:val="00BB4CAE"/>
    <w:rsid w:val="00BB67F1"/>
    <w:rsid w:val="00BB79C2"/>
    <w:rsid w:val="00BB7F0F"/>
    <w:rsid w:val="00BC0EC7"/>
    <w:rsid w:val="00BC1722"/>
    <w:rsid w:val="00BC194A"/>
    <w:rsid w:val="00BC2214"/>
    <w:rsid w:val="00BC2825"/>
    <w:rsid w:val="00BC2E96"/>
    <w:rsid w:val="00BC365F"/>
    <w:rsid w:val="00BC406F"/>
    <w:rsid w:val="00BC4C88"/>
    <w:rsid w:val="00BC59CA"/>
    <w:rsid w:val="00BC6970"/>
    <w:rsid w:val="00BC6D81"/>
    <w:rsid w:val="00BC6F87"/>
    <w:rsid w:val="00BC734E"/>
    <w:rsid w:val="00BC7713"/>
    <w:rsid w:val="00BC7C93"/>
    <w:rsid w:val="00BD0286"/>
    <w:rsid w:val="00BD0A29"/>
    <w:rsid w:val="00BD1B3F"/>
    <w:rsid w:val="00BD33A9"/>
    <w:rsid w:val="00BD33BE"/>
    <w:rsid w:val="00BD3792"/>
    <w:rsid w:val="00BD3C72"/>
    <w:rsid w:val="00BD4E12"/>
    <w:rsid w:val="00BD5D4E"/>
    <w:rsid w:val="00BD7991"/>
    <w:rsid w:val="00BE052B"/>
    <w:rsid w:val="00BE0BDD"/>
    <w:rsid w:val="00BE21E3"/>
    <w:rsid w:val="00BE305B"/>
    <w:rsid w:val="00BE5F4E"/>
    <w:rsid w:val="00BE62B2"/>
    <w:rsid w:val="00BE6350"/>
    <w:rsid w:val="00BE67F1"/>
    <w:rsid w:val="00BE7287"/>
    <w:rsid w:val="00BE7C93"/>
    <w:rsid w:val="00BF0362"/>
    <w:rsid w:val="00BF0479"/>
    <w:rsid w:val="00BF0D73"/>
    <w:rsid w:val="00BF1D23"/>
    <w:rsid w:val="00BF1F82"/>
    <w:rsid w:val="00BF2520"/>
    <w:rsid w:val="00BF3470"/>
    <w:rsid w:val="00BF3B94"/>
    <w:rsid w:val="00BF3FF8"/>
    <w:rsid w:val="00BF4C53"/>
    <w:rsid w:val="00BF54DC"/>
    <w:rsid w:val="00BF5748"/>
    <w:rsid w:val="00BF6270"/>
    <w:rsid w:val="00BF67B7"/>
    <w:rsid w:val="00BF770B"/>
    <w:rsid w:val="00C011B4"/>
    <w:rsid w:val="00C01510"/>
    <w:rsid w:val="00C01CEB"/>
    <w:rsid w:val="00C01F6E"/>
    <w:rsid w:val="00C03249"/>
    <w:rsid w:val="00C04BAE"/>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D31"/>
    <w:rsid w:val="00C265D0"/>
    <w:rsid w:val="00C26FE5"/>
    <w:rsid w:val="00C3022B"/>
    <w:rsid w:val="00C30723"/>
    <w:rsid w:val="00C31756"/>
    <w:rsid w:val="00C31F7F"/>
    <w:rsid w:val="00C32186"/>
    <w:rsid w:val="00C335AE"/>
    <w:rsid w:val="00C34E1F"/>
    <w:rsid w:val="00C35C70"/>
    <w:rsid w:val="00C35E26"/>
    <w:rsid w:val="00C36684"/>
    <w:rsid w:val="00C36F0A"/>
    <w:rsid w:val="00C36F4F"/>
    <w:rsid w:val="00C372CB"/>
    <w:rsid w:val="00C4067A"/>
    <w:rsid w:val="00C41480"/>
    <w:rsid w:val="00C44052"/>
    <w:rsid w:val="00C44368"/>
    <w:rsid w:val="00C46111"/>
    <w:rsid w:val="00C46822"/>
    <w:rsid w:val="00C46CE5"/>
    <w:rsid w:val="00C47CFC"/>
    <w:rsid w:val="00C50260"/>
    <w:rsid w:val="00C51395"/>
    <w:rsid w:val="00C51553"/>
    <w:rsid w:val="00C518A5"/>
    <w:rsid w:val="00C51A60"/>
    <w:rsid w:val="00C52334"/>
    <w:rsid w:val="00C52C65"/>
    <w:rsid w:val="00C53110"/>
    <w:rsid w:val="00C53B12"/>
    <w:rsid w:val="00C541B2"/>
    <w:rsid w:val="00C54928"/>
    <w:rsid w:val="00C54A44"/>
    <w:rsid w:val="00C54E2A"/>
    <w:rsid w:val="00C5661F"/>
    <w:rsid w:val="00C57085"/>
    <w:rsid w:val="00C575AF"/>
    <w:rsid w:val="00C576FC"/>
    <w:rsid w:val="00C60361"/>
    <w:rsid w:val="00C60738"/>
    <w:rsid w:val="00C608D7"/>
    <w:rsid w:val="00C60D9F"/>
    <w:rsid w:val="00C61A8E"/>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2DD5"/>
    <w:rsid w:val="00C733A6"/>
    <w:rsid w:val="00C737B0"/>
    <w:rsid w:val="00C73D39"/>
    <w:rsid w:val="00C7675A"/>
    <w:rsid w:val="00C76E9D"/>
    <w:rsid w:val="00C816DF"/>
    <w:rsid w:val="00C820EE"/>
    <w:rsid w:val="00C84713"/>
    <w:rsid w:val="00C84758"/>
    <w:rsid w:val="00C853AB"/>
    <w:rsid w:val="00C85F72"/>
    <w:rsid w:val="00C86896"/>
    <w:rsid w:val="00C876E1"/>
    <w:rsid w:val="00C908A9"/>
    <w:rsid w:val="00C908BE"/>
    <w:rsid w:val="00C91507"/>
    <w:rsid w:val="00C940C2"/>
    <w:rsid w:val="00C952E9"/>
    <w:rsid w:val="00C95AC8"/>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A88"/>
    <w:rsid w:val="00CB277F"/>
    <w:rsid w:val="00CB3318"/>
    <w:rsid w:val="00CB3628"/>
    <w:rsid w:val="00CB407C"/>
    <w:rsid w:val="00CB46B4"/>
    <w:rsid w:val="00CB4940"/>
    <w:rsid w:val="00CB5D5B"/>
    <w:rsid w:val="00CB6E94"/>
    <w:rsid w:val="00CB7060"/>
    <w:rsid w:val="00CB77F2"/>
    <w:rsid w:val="00CB7DD6"/>
    <w:rsid w:val="00CC0438"/>
    <w:rsid w:val="00CC0563"/>
    <w:rsid w:val="00CC140D"/>
    <w:rsid w:val="00CC1E56"/>
    <w:rsid w:val="00CC2270"/>
    <w:rsid w:val="00CC3277"/>
    <w:rsid w:val="00CC385B"/>
    <w:rsid w:val="00CC4207"/>
    <w:rsid w:val="00CC5222"/>
    <w:rsid w:val="00CC5775"/>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F15DD"/>
    <w:rsid w:val="00CF223D"/>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8D"/>
    <w:rsid w:val="00D06EB9"/>
    <w:rsid w:val="00D1153F"/>
    <w:rsid w:val="00D11995"/>
    <w:rsid w:val="00D11CFD"/>
    <w:rsid w:val="00D12432"/>
    <w:rsid w:val="00D13808"/>
    <w:rsid w:val="00D14509"/>
    <w:rsid w:val="00D146FE"/>
    <w:rsid w:val="00D1581E"/>
    <w:rsid w:val="00D15D19"/>
    <w:rsid w:val="00D15D93"/>
    <w:rsid w:val="00D15DA1"/>
    <w:rsid w:val="00D15EEC"/>
    <w:rsid w:val="00D1635E"/>
    <w:rsid w:val="00D16380"/>
    <w:rsid w:val="00D163FF"/>
    <w:rsid w:val="00D166B5"/>
    <w:rsid w:val="00D16E87"/>
    <w:rsid w:val="00D17335"/>
    <w:rsid w:val="00D2079E"/>
    <w:rsid w:val="00D21356"/>
    <w:rsid w:val="00D216EE"/>
    <w:rsid w:val="00D220B5"/>
    <w:rsid w:val="00D232D8"/>
    <w:rsid w:val="00D233CD"/>
    <w:rsid w:val="00D23AD3"/>
    <w:rsid w:val="00D23FC0"/>
    <w:rsid w:val="00D23FCE"/>
    <w:rsid w:val="00D24364"/>
    <w:rsid w:val="00D2469E"/>
    <w:rsid w:val="00D2649E"/>
    <w:rsid w:val="00D27300"/>
    <w:rsid w:val="00D27875"/>
    <w:rsid w:val="00D27EED"/>
    <w:rsid w:val="00D307FD"/>
    <w:rsid w:val="00D30A3B"/>
    <w:rsid w:val="00D31E2D"/>
    <w:rsid w:val="00D321E8"/>
    <w:rsid w:val="00D328E1"/>
    <w:rsid w:val="00D32E01"/>
    <w:rsid w:val="00D33975"/>
    <w:rsid w:val="00D33A8C"/>
    <w:rsid w:val="00D35597"/>
    <w:rsid w:val="00D35689"/>
    <w:rsid w:val="00D365FA"/>
    <w:rsid w:val="00D37093"/>
    <w:rsid w:val="00D40425"/>
    <w:rsid w:val="00D40BC3"/>
    <w:rsid w:val="00D40D6B"/>
    <w:rsid w:val="00D4129E"/>
    <w:rsid w:val="00D418A3"/>
    <w:rsid w:val="00D41AB6"/>
    <w:rsid w:val="00D42946"/>
    <w:rsid w:val="00D43984"/>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4155"/>
    <w:rsid w:val="00D64BEA"/>
    <w:rsid w:val="00D65C02"/>
    <w:rsid w:val="00D661D2"/>
    <w:rsid w:val="00D66410"/>
    <w:rsid w:val="00D66550"/>
    <w:rsid w:val="00D66648"/>
    <w:rsid w:val="00D66FDA"/>
    <w:rsid w:val="00D67292"/>
    <w:rsid w:val="00D70026"/>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CB"/>
    <w:rsid w:val="00D74C9E"/>
    <w:rsid w:val="00D75F19"/>
    <w:rsid w:val="00D77AD8"/>
    <w:rsid w:val="00D80973"/>
    <w:rsid w:val="00D80BD8"/>
    <w:rsid w:val="00D82561"/>
    <w:rsid w:val="00D82A2B"/>
    <w:rsid w:val="00D8301D"/>
    <w:rsid w:val="00D8473E"/>
    <w:rsid w:val="00D86255"/>
    <w:rsid w:val="00D863D1"/>
    <w:rsid w:val="00D872B7"/>
    <w:rsid w:val="00D87DCF"/>
    <w:rsid w:val="00D87F5B"/>
    <w:rsid w:val="00D90125"/>
    <w:rsid w:val="00D9057B"/>
    <w:rsid w:val="00D9096B"/>
    <w:rsid w:val="00D90ED1"/>
    <w:rsid w:val="00D91C34"/>
    <w:rsid w:val="00D925C5"/>
    <w:rsid w:val="00D9279F"/>
    <w:rsid w:val="00D94E4C"/>
    <w:rsid w:val="00D95709"/>
    <w:rsid w:val="00D958D7"/>
    <w:rsid w:val="00D96B2B"/>
    <w:rsid w:val="00D96D46"/>
    <w:rsid w:val="00D97B72"/>
    <w:rsid w:val="00D97CF6"/>
    <w:rsid w:val="00DA0BBE"/>
    <w:rsid w:val="00DA11AE"/>
    <w:rsid w:val="00DA16E5"/>
    <w:rsid w:val="00DA1BE9"/>
    <w:rsid w:val="00DA283D"/>
    <w:rsid w:val="00DA3E12"/>
    <w:rsid w:val="00DA4141"/>
    <w:rsid w:val="00DA417B"/>
    <w:rsid w:val="00DA45BD"/>
    <w:rsid w:val="00DA52EB"/>
    <w:rsid w:val="00DA5CD6"/>
    <w:rsid w:val="00DA6868"/>
    <w:rsid w:val="00DB0312"/>
    <w:rsid w:val="00DB115A"/>
    <w:rsid w:val="00DB3213"/>
    <w:rsid w:val="00DB387C"/>
    <w:rsid w:val="00DB43F8"/>
    <w:rsid w:val="00DB46DA"/>
    <w:rsid w:val="00DB5A7F"/>
    <w:rsid w:val="00DB640B"/>
    <w:rsid w:val="00DB656B"/>
    <w:rsid w:val="00DB6A23"/>
    <w:rsid w:val="00DB75BE"/>
    <w:rsid w:val="00DB7D6B"/>
    <w:rsid w:val="00DC00C2"/>
    <w:rsid w:val="00DC01DD"/>
    <w:rsid w:val="00DC29D6"/>
    <w:rsid w:val="00DC3996"/>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367F"/>
    <w:rsid w:val="00DE3E2A"/>
    <w:rsid w:val="00DE5469"/>
    <w:rsid w:val="00DE5D83"/>
    <w:rsid w:val="00DE7DBA"/>
    <w:rsid w:val="00DE7FB5"/>
    <w:rsid w:val="00DF0953"/>
    <w:rsid w:val="00DF354D"/>
    <w:rsid w:val="00DF3B05"/>
    <w:rsid w:val="00DF44BC"/>
    <w:rsid w:val="00DF46D2"/>
    <w:rsid w:val="00DF5209"/>
    <w:rsid w:val="00DF5300"/>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510"/>
    <w:rsid w:val="00E072B0"/>
    <w:rsid w:val="00E07C90"/>
    <w:rsid w:val="00E111E7"/>
    <w:rsid w:val="00E111F8"/>
    <w:rsid w:val="00E12618"/>
    <w:rsid w:val="00E129DF"/>
    <w:rsid w:val="00E12B5D"/>
    <w:rsid w:val="00E13435"/>
    <w:rsid w:val="00E13F23"/>
    <w:rsid w:val="00E143D4"/>
    <w:rsid w:val="00E14773"/>
    <w:rsid w:val="00E1521D"/>
    <w:rsid w:val="00E154D2"/>
    <w:rsid w:val="00E155E5"/>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27C86"/>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6F8A"/>
    <w:rsid w:val="00E37A6A"/>
    <w:rsid w:val="00E37CC3"/>
    <w:rsid w:val="00E40479"/>
    <w:rsid w:val="00E40FB5"/>
    <w:rsid w:val="00E41884"/>
    <w:rsid w:val="00E4192C"/>
    <w:rsid w:val="00E41DF6"/>
    <w:rsid w:val="00E420CB"/>
    <w:rsid w:val="00E44C04"/>
    <w:rsid w:val="00E451B6"/>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A1B"/>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42E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6AC"/>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903"/>
    <w:rsid w:val="00EA1A5A"/>
    <w:rsid w:val="00EA2FC0"/>
    <w:rsid w:val="00EA3F5C"/>
    <w:rsid w:val="00EA4397"/>
    <w:rsid w:val="00EA499D"/>
    <w:rsid w:val="00EA4FFF"/>
    <w:rsid w:val="00EA54AD"/>
    <w:rsid w:val="00EA58A0"/>
    <w:rsid w:val="00EA5AE3"/>
    <w:rsid w:val="00EA5C8C"/>
    <w:rsid w:val="00EA5ECB"/>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3785"/>
    <w:rsid w:val="00EC3B2D"/>
    <w:rsid w:val="00EC3E5A"/>
    <w:rsid w:val="00EC458A"/>
    <w:rsid w:val="00EC51A1"/>
    <w:rsid w:val="00EC6178"/>
    <w:rsid w:val="00EC65DD"/>
    <w:rsid w:val="00EC6A56"/>
    <w:rsid w:val="00EC7166"/>
    <w:rsid w:val="00EC7CAC"/>
    <w:rsid w:val="00EC7E78"/>
    <w:rsid w:val="00ED06AD"/>
    <w:rsid w:val="00ED0BED"/>
    <w:rsid w:val="00ED1232"/>
    <w:rsid w:val="00ED1A7F"/>
    <w:rsid w:val="00ED22C5"/>
    <w:rsid w:val="00ED3503"/>
    <w:rsid w:val="00ED4DFC"/>
    <w:rsid w:val="00ED4E42"/>
    <w:rsid w:val="00ED5E54"/>
    <w:rsid w:val="00ED7786"/>
    <w:rsid w:val="00ED7EA9"/>
    <w:rsid w:val="00EE00E5"/>
    <w:rsid w:val="00EE0B31"/>
    <w:rsid w:val="00EE1E9C"/>
    <w:rsid w:val="00EE200B"/>
    <w:rsid w:val="00EE2083"/>
    <w:rsid w:val="00EE20A8"/>
    <w:rsid w:val="00EE23BC"/>
    <w:rsid w:val="00EE25D9"/>
    <w:rsid w:val="00EE433B"/>
    <w:rsid w:val="00EE46D0"/>
    <w:rsid w:val="00EE476D"/>
    <w:rsid w:val="00EE49A6"/>
    <w:rsid w:val="00EE4C2A"/>
    <w:rsid w:val="00EE4C73"/>
    <w:rsid w:val="00EE5C23"/>
    <w:rsid w:val="00EE67FE"/>
    <w:rsid w:val="00EE703E"/>
    <w:rsid w:val="00EE76F0"/>
    <w:rsid w:val="00EE7B1C"/>
    <w:rsid w:val="00EF02BD"/>
    <w:rsid w:val="00EF17B9"/>
    <w:rsid w:val="00EF1EB9"/>
    <w:rsid w:val="00EF274D"/>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F95"/>
    <w:rsid w:val="00F0256E"/>
    <w:rsid w:val="00F03681"/>
    <w:rsid w:val="00F03E2F"/>
    <w:rsid w:val="00F04D9B"/>
    <w:rsid w:val="00F05AB5"/>
    <w:rsid w:val="00F05BC9"/>
    <w:rsid w:val="00F0608B"/>
    <w:rsid w:val="00F0659C"/>
    <w:rsid w:val="00F06776"/>
    <w:rsid w:val="00F06CDD"/>
    <w:rsid w:val="00F06D5D"/>
    <w:rsid w:val="00F11AA5"/>
    <w:rsid w:val="00F11E55"/>
    <w:rsid w:val="00F128DE"/>
    <w:rsid w:val="00F12DF4"/>
    <w:rsid w:val="00F13400"/>
    <w:rsid w:val="00F1411B"/>
    <w:rsid w:val="00F149A9"/>
    <w:rsid w:val="00F14C07"/>
    <w:rsid w:val="00F14C0C"/>
    <w:rsid w:val="00F14CD6"/>
    <w:rsid w:val="00F154D7"/>
    <w:rsid w:val="00F1585C"/>
    <w:rsid w:val="00F15FFE"/>
    <w:rsid w:val="00F16901"/>
    <w:rsid w:val="00F17267"/>
    <w:rsid w:val="00F17526"/>
    <w:rsid w:val="00F2210C"/>
    <w:rsid w:val="00F231FB"/>
    <w:rsid w:val="00F243C4"/>
    <w:rsid w:val="00F243FF"/>
    <w:rsid w:val="00F25199"/>
    <w:rsid w:val="00F254D8"/>
    <w:rsid w:val="00F26A46"/>
    <w:rsid w:val="00F26F86"/>
    <w:rsid w:val="00F274E4"/>
    <w:rsid w:val="00F2780A"/>
    <w:rsid w:val="00F314EF"/>
    <w:rsid w:val="00F3167E"/>
    <w:rsid w:val="00F332B2"/>
    <w:rsid w:val="00F33DD2"/>
    <w:rsid w:val="00F33E94"/>
    <w:rsid w:val="00F33F0D"/>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52E7"/>
    <w:rsid w:val="00F456B0"/>
    <w:rsid w:val="00F4670C"/>
    <w:rsid w:val="00F467C0"/>
    <w:rsid w:val="00F47C6B"/>
    <w:rsid w:val="00F503D2"/>
    <w:rsid w:val="00F505AC"/>
    <w:rsid w:val="00F50603"/>
    <w:rsid w:val="00F50C03"/>
    <w:rsid w:val="00F50F47"/>
    <w:rsid w:val="00F51899"/>
    <w:rsid w:val="00F51E43"/>
    <w:rsid w:val="00F5253A"/>
    <w:rsid w:val="00F5325B"/>
    <w:rsid w:val="00F53AF0"/>
    <w:rsid w:val="00F55337"/>
    <w:rsid w:val="00F55C84"/>
    <w:rsid w:val="00F55F0A"/>
    <w:rsid w:val="00F5652C"/>
    <w:rsid w:val="00F57C49"/>
    <w:rsid w:val="00F57D6B"/>
    <w:rsid w:val="00F609BF"/>
    <w:rsid w:val="00F60A98"/>
    <w:rsid w:val="00F618C5"/>
    <w:rsid w:val="00F619E0"/>
    <w:rsid w:val="00F622E5"/>
    <w:rsid w:val="00F626FF"/>
    <w:rsid w:val="00F6380C"/>
    <w:rsid w:val="00F63E23"/>
    <w:rsid w:val="00F65D31"/>
    <w:rsid w:val="00F666A7"/>
    <w:rsid w:val="00F66A2E"/>
    <w:rsid w:val="00F67F09"/>
    <w:rsid w:val="00F706A0"/>
    <w:rsid w:val="00F709F5"/>
    <w:rsid w:val="00F717CC"/>
    <w:rsid w:val="00F72F11"/>
    <w:rsid w:val="00F72F51"/>
    <w:rsid w:val="00F73999"/>
    <w:rsid w:val="00F73AB3"/>
    <w:rsid w:val="00F73AB7"/>
    <w:rsid w:val="00F7566A"/>
    <w:rsid w:val="00F76268"/>
    <w:rsid w:val="00F76CF3"/>
    <w:rsid w:val="00F76DA3"/>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7B71"/>
    <w:rsid w:val="00F87EB0"/>
    <w:rsid w:val="00F9052C"/>
    <w:rsid w:val="00F9135D"/>
    <w:rsid w:val="00F91B71"/>
    <w:rsid w:val="00F91BA8"/>
    <w:rsid w:val="00F9260F"/>
    <w:rsid w:val="00F9308E"/>
    <w:rsid w:val="00F95E64"/>
    <w:rsid w:val="00F960B8"/>
    <w:rsid w:val="00F9649D"/>
    <w:rsid w:val="00F96A46"/>
    <w:rsid w:val="00F96BB8"/>
    <w:rsid w:val="00F97A19"/>
    <w:rsid w:val="00FA068B"/>
    <w:rsid w:val="00FA1B1B"/>
    <w:rsid w:val="00FA2534"/>
    <w:rsid w:val="00FA2BC2"/>
    <w:rsid w:val="00FA37EA"/>
    <w:rsid w:val="00FA381E"/>
    <w:rsid w:val="00FA52C8"/>
    <w:rsid w:val="00FA54B2"/>
    <w:rsid w:val="00FA5812"/>
    <w:rsid w:val="00FA59CD"/>
    <w:rsid w:val="00FA7990"/>
    <w:rsid w:val="00FB07FC"/>
    <w:rsid w:val="00FB1180"/>
    <w:rsid w:val="00FB15B5"/>
    <w:rsid w:val="00FB174F"/>
    <w:rsid w:val="00FB1FEB"/>
    <w:rsid w:val="00FB22AB"/>
    <w:rsid w:val="00FB4250"/>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AB4"/>
    <w:rsid w:val="00FD1DDF"/>
    <w:rsid w:val="00FD28E8"/>
    <w:rsid w:val="00FD3355"/>
    <w:rsid w:val="00FD3CF7"/>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5E6A"/>
    <w:rsid w:val="00FE64A9"/>
    <w:rsid w:val="00FE6BD7"/>
    <w:rsid w:val="00FE6C8F"/>
    <w:rsid w:val="00FF0644"/>
    <w:rsid w:val="00FF094E"/>
    <w:rsid w:val="00FF0A66"/>
    <w:rsid w:val="00FF1FCE"/>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5E15"/>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
    <w:basedOn w:val="Normal"/>
    <w:link w:val="ListParagraphChar"/>
    <w:uiPriority w:val="72"/>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ulletPoints Char"/>
    <w:link w:val="ListParagraph"/>
    <w:uiPriority w:val="72"/>
    <w:qFormat/>
    <w:rsid w:val="001E35D6"/>
    <w:rPr>
      <w:rFonts w:eastAsia="SimSun"/>
      <w:sz w:val="24"/>
      <w:szCs w:val="24"/>
    </w:rPr>
  </w:style>
  <w:style w:type="paragraph" w:customStyle="1" w:styleId="Char1">
    <w:name w:val="Char"/>
    <w:basedOn w:val="Normal"/>
    <w:rsid w:val="003A360F"/>
    <w:pPr>
      <w:spacing w:after="160" w:line="240" w:lineRule="exact"/>
    </w:pPr>
    <w:rPr>
      <w:rFonts w:ascii="Verdana" w:eastAsia="MS Mincho" w:hAnsi="Verdana" w:cs="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5E15"/>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
    <w:basedOn w:val="Normal"/>
    <w:link w:val="ListParagraphChar"/>
    <w:uiPriority w:val="72"/>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ulletPoints Char"/>
    <w:link w:val="ListParagraph"/>
    <w:uiPriority w:val="72"/>
    <w:qFormat/>
    <w:rsid w:val="001E35D6"/>
    <w:rPr>
      <w:rFonts w:eastAsia="SimSun"/>
      <w:sz w:val="24"/>
      <w:szCs w:val="24"/>
    </w:rPr>
  </w:style>
  <w:style w:type="paragraph" w:customStyle="1" w:styleId="Char1">
    <w:name w:val="Char"/>
    <w:basedOn w:val="Normal"/>
    <w:rsid w:val="003A360F"/>
    <w:pPr>
      <w:spacing w:after="160" w:line="240" w:lineRule="exact"/>
    </w:pPr>
    <w:rPr>
      <w:rFonts w:ascii="Verdana" w:eastAsia="MS Mincho"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81146260">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913879">
      <w:bodyDiv w:val="1"/>
      <w:marLeft w:val="0"/>
      <w:marRight w:val="0"/>
      <w:marTop w:val="0"/>
      <w:marBottom w:val="0"/>
      <w:divBdr>
        <w:top w:val="none" w:sz="0" w:space="0" w:color="auto"/>
        <w:left w:val="none" w:sz="0" w:space="0" w:color="auto"/>
        <w:bottom w:val="none" w:sz="0" w:space="0" w:color="auto"/>
        <w:right w:val="none" w:sz="0" w:space="0" w:color="auto"/>
      </w:divBdr>
    </w:div>
    <w:div w:id="21400400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51960741">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863365">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4641555">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87548562">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11237565">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5798087">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991C3-89E1-479A-ABF2-74BC4D164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2006</Words>
  <Characters>11473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2014-08-14T00:43:00Z</dcterms:created>
  <dcterms:modified xsi:type="dcterms:W3CDTF">2018-01-16T01:00:00Z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