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Pr="00BD7F4A" w:rsidRDefault="00464DA0" w:rsidP="00BD7F4A">
      <w:pPr>
        <w:pStyle w:val="Heading1"/>
        <w:rPr>
          <w:rFonts w:ascii="Arial" w:hAnsi="Arial" w:cs="Arial"/>
          <w:color w:val="auto"/>
          <w:szCs w:val="20"/>
          <w:lang w:val="en-AU" w:eastAsia="en-AU"/>
        </w:rPr>
      </w:pPr>
      <w:r w:rsidRPr="00BD7F4A">
        <w:rPr>
          <w:rFonts w:ascii="Arial" w:hAnsi="Arial" w:cs="Arial"/>
          <w:color w:val="auto"/>
          <w:lang w:val="en-AU" w:eastAsia="en-AU"/>
        </w:rPr>
        <w:t>PBAC CO</w:t>
      </w:r>
      <w:bookmarkStart w:id="0" w:name="_GoBack"/>
      <w:bookmarkEnd w:id="0"/>
      <w:r w:rsidRPr="00BD7F4A">
        <w:rPr>
          <w:rFonts w:ascii="Arial" w:hAnsi="Arial" w:cs="Arial"/>
          <w:color w:val="auto"/>
          <w:lang w:val="en-AU" w:eastAsia="en-AU"/>
        </w:rPr>
        <w:t xml:space="preserve">NSIDERATION OF THE </w:t>
      </w:r>
      <w:r w:rsidR="00D7136A" w:rsidRPr="00BD7F4A">
        <w:rPr>
          <w:rFonts w:ascii="Arial" w:hAnsi="Arial" w:cs="Arial"/>
          <w:color w:val="auto"/>
          <w:lang w:val="en-AU" w:eastAsia="en-AU"/>
        </w:rPr>
        <w:t>REPORT</w:t>
      </w:r>
      <w:r w:rsidR="00267A9D" w:rsidRPr="00BD7F4A">
        <w:rPr>
          <w:rFonts w:ascii="Arial" w:hAnsi="Arial" w:cs="Arial"/>
          <w:color w:val="auto"/>
          <w:lang w:val="en-AU" w:eastAsia="en-AU"/>
        </w:rPr>
        <w:t xml:space="preserve"> OF THE DRUG </w:t>
      </w:r>
      <w:r w:rsidR="00D7136A" w:rsidRPr="00BD7F4A">
        <w:rPr>
          <w:rFonts w:ascii="Arial" w:hAnsi="Arial" w:cs="Arial"/>
          <w:color w:val="auto"/>
          <w:lang w:val="en-AU" w:eastAsia="en-AU"/>
        </w:rPr>
        <w:t>UTILISATION SUB-COMMITTEE</w:t>
      </w:r>
    </w:p>
    <w:p w:rsidR="00D7136A" w:rsidRPr="00EB6E0E" w:rsidRDefault="00D7136A" w:rsidP="00D7136A">
      <w:pPr>
        <w:jc w:val="both"/>
        <w:rPr>
          <w:rFonts w:ascii="Arial" w:hAnsi="Arial"/>
          <w:b/>
          <w:sz w:val="28"/>
          <w:szCs w:val="20"/>
          <w:lang w:val="en-AU" w:eastAsia="en-AU"/>
        </w:rPr>
      </w:pPr>
    </w:p>
    <w:p w:rsidR="00D7136A" w:rsidRPr="00397836" w:rsidRDefault="00D7136A" w:rsidP="00D7136A">
      <w:pPr>
        <w:contextualSpacing/>
        <w:jc w:val="both"/>
        <w:rPr>
          <w:rFonts w:ascii="Arial" w:hAnsi="Arial" w:cs="Arial"/>
          <w:color w:val="A6A6A6"/>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A32269">
        <w:rPr>
          <w:rFonts w:ascii="Arial" w:hAnsi="Arial" w:cs="Arial"/>
          <w:sz w:val="22"/>
          <w:lang w:val="en-AU" w:eastAsia="en-AU"/>
        </w:rPr>
        <w:t>September</w:t>
      </w:r>
      <w:r w:rsidR="00A31269" w:rsidRPr="00A31269">
        <w:rPr>
          <w:rFonts w:ascii="Arial" w:hAnsi="Arial" w:cs="Arial"/>
          <w:sz w:val="22"/>
          <w:lang w:val="en-AU" w:eastAsia="en-AU"/>
        </w:rPr>
        <w:t xml:space="preserve"> 2017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Pr="00A31269">
        <w:rPr>
          <w:rFonts w:ascii="Arial" w:hAnsi="Arial" w:cs="Arial"/>
          <w:sz w:val="22"/>
          <w:lang w:val="en-AU" w:eastAsia="en-AU"/>
        </w:rPr>
        <w:t>3</w:t>
      </w:r>
      <w:r w:rsidR="00A31269" w:rsidRPr="00A31269">
        <w:rPr>
          <w:rFonts w:ascii="Arial" w:hAnsi="Arial" w:cs="Arial"/>
          <w:sz w:val="22"/>
          <w:lang w:val="en-AU" w:eastAsia="en-AU"/>
        </w:rPr>
        <w:t xml:space="preserve"> to 10.0</w:t>
      </w:r>
      <w:r w:rsidR="00A32269">
        <w:rPr>
          <w:rFonts w:ascii="Arial" w:hAnsi="Arial" w:cs="Arial"/>
          <w:sz w:val="22"/>
          <w:lang w:val="en-AU" w:eastAsia="en-AU"/>
        </w:rPr>
        <w:t>8</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w:t>
      </w:r>
      <w:r w:rsidR="00A32269">
        <w:rPr>
          <w:rFonts w:ascii="Arial" w:hAnsi="Arial" w:cs="Arial"/>
          <w:sz w:val="22"/>
          <w:lang w:val="en-AU" w:eastAsia="en-AU"/>
        </w:rPr>
        <w:t>September</w:t>
      </w:r>
      <w:r w:rsidR="00A31269" w:rsidRPr="00A31269">
        <w:rPr>
          <w:rFonts w:ascii="Arial" w:hAnsi="Arial" w:cs="Arial"/>
          <w:sz w:val="22"/>
          <w:lang w:val="en-AU" w:eastAsia="en-AU"/>
        </w:rPr>
        <w:t xml:space="preserve"> 2017 DUSC outcome statement </w:t>
      </w:r>
      <w:r w:rsidR="00A31269" w:rsidRPr="00A31269">
        <w:rPr>
          <w:rFonts w:ascii="Arial" w:hAnsi="Arial" w:cs="Arial"/>
          <w:snapToGrid w:val="0"/>
          <w:sz w:val="22"/>
          <w:szCs w:val="22"/>
          <w:lang w:val="en-AU"/>
        </w:rPr>
        <w:t xml:space="preserve">is </w:t>
      </w:r>
      <w:hyperlink r:id="rId9" w:history="1">
        <w:r w:rsidR="00A31269" w:rsidRPr="00A31269">
          <w:rPr>
            <w:rFonts w:ascii="Arial" w:hAnsi="Arial" w:cs="Arial"/>
            <w:snapToGrid w:val="0"/>
            <w:color w:val="0000FF" w:themeColor="hyperlink"/>
            <w:sz w:val="22"/>
            <w:szCs w:val="22"/>
            <w:u w:val="single"/>
            <w:lang w:val="en-AU"/>
          </w:rPr>
          <w:t xml:space="preserve">available </w:t>
        </w:r>
        <w:r w:rsidR="00A31269" w:rsidRPr="00A31269">
          <w:rPr>
            <w:rFonts w:ascii="Arial" w:hAnsi="Arial" w:cs="Arial"/>
            <w:snapToGrid w:val="0"/>
            <w:color w:val="0000FF" w:themeColor="hyperlink"/>
            <w:sz w:val="22"/>
            <w:u w:val="single"/>
            <w:lang w:val="en-AU"/>
          </w:rPr>
          <w:t>here</w:t>
        </w:r>
      </w:hyperlink>
      <w:r w:rsidR="00A31269" w:rsidRPr="00EB38E2">
        <w:rPr>
          <w:rFonts w:ascii="Arial" w:hAnsi="Arial" w:cs="Arial"/>
          <w:sz w:val="22"/>
          <w:lang w:val="en-AU" w:eastAsia="en-AU"/>
        </w:rPr>
        <w:t>.</w:t>
      </w:r>
    </w:p>
    <w:p w:rsidR="00D7136A" w:rsidRPr="00397836" w:rsidRDefault="00D7136A" w:rsidP="00D7136A">
      <w:pPr>
        <w:contextualSpacing/>
        <w:jc w:val="both"/>
        <w:rPr>
          <w:rFonts w:ascii="Arial" w:hAnsi="Arial" w:cs="Arial"/>
          <w:color w:val="A6A6A6"/>
          <w:sz w:val="22"/>
          <w:lang w:val="en-AU" w:eastAsia="en-AU"/>
        </w:rPr>
      </w:pPr>
    </w:p>
    <w:p w:rsidR="00A32269" w:rsidRDefault="00AF3B3E" w:rsidP="00BD7F4A">
      <w:pPr>
        <w:pStyle w:val="DepartmentalHeading2"/>
        <w:spacing w:before="0" w:after="0"/>
        <w:jc w:val="both"/>
        <w:rPr>
          <w:rFonts w:cs="Arial"/>
          <w:b w:val="0"/>
          <w:sz w:val="22"/>
        </w:rPr>
      </w:pPr>
      <w:r>
        <w:rPr>
          <w:rFonts w:cs="Arial"/>
          <w:sz w:val="22"/>
        </w:rPr>
        <w:t>5-</w:t>
      </w:r>
      <w:r w:rsidR="00A32269" w:rsidRPr="00BD7F4A">
        <w:rPr>
          <w:rFonts w:cs="Arial"/>
          <w:sz w:val="22"/>
          <w:szCs w:val="24"/>
        </w:rPr>
        <w:t>aminosalicylic</w:t>
      </w:r>
      <w:r w:rsidR="00A32269" w:rsidRPr="00A32269">
        <w:rPr>
          <w:rFonts w:cs="Arial"/>
          <w:sz w:val="22"/>
        </w:rPr>
        <w:t xml:space="preserve"> acid (5-ASA) medicines </w:t>
      </w:r>
      <w:r w:rsidR="00A32269">
        <w:rPr>
          <w:rFonts w:cs="Arial"/>
          <w:sz w:val="22"/>
        </w:rPr>
        <w:t>for</w:t>
      </w:r>
      <w:r w:rsidR="00A32269" w:rsidRPr="00A32269">
        <w:rPr>
          <w:rFonts w:cs="Arial"/>
          <w:sz w:val="22"/>
        </w:rPr>
        <w:t xml:space="preserve"> ulcerative colitis </w:t>
      </w:r>
    </w:p>
    <w:p w:rsidR="007C758A" w:rsidRDefault="007C758A" w:rsidP="00A31269">
      <w:pPr>
        <w:contextualSpacing/>
        <w:jc w:val="both"/>
        <w:rPr>
          <w:rFonts w:ascii="Arial" w:hAnsi="Arial" w:cs="Arial"/>
          <w:sz w:val="22"/>
          <w:lang w:val="en-AU" w:eastAsia="en-AU"/>
        </w:rPr>
      </w:pPr>
    </w:p>
    <w:p w:rsidR="006E57A3" w:rsidRDefault="006E57A3" w:rsidP="00A31269">
      <w:pPr>
        <w:contextualSpacing/>
        <w:jc w:val="both"/>
        <w:rPr>
          <w:rFonts w:ascii="Arial" w:hAnsi="Arial" w:cs="Arial"/>
          <w:sz w:val="22"/>
          <w:lang w:val="en-AU" w:eastAsia="en-AU"/>
        </w:rPr>
      </w:pPr>
      <w:r w:rsidRPr="006E57A3">
        <w:rPr>
          <w:rFonts w:ascii="Arial" w:hAnsi="Arial" w:cs="Arial"/>
          <w:sz w:val="22"/>
          <w:lang w:val="en-AU" w:eastAsia="en-AU"/>
        </w:rPr>
        <w:t>This report was in response to actions arising from the July 2017 consideration of the DUS</w:t>
      </w:r>
      <w:r w:rsidR="0070348A">
        <w:rPr>
          <w:rFonts w:ascii="Arial" w:hAnsi="Arial" w:cs="Arial"/>
          <w:sz w:val="22"/>
          <w:lang w:val="en-AU" w:eastAsia="en-AU"/>
        </w:rPr>
        <w:t xml:space="preserve">C ulcerative colitis analysis. Additional data were provided to the PBAC regarding 5-ASA dosing and the proportion of patients supplied </w:t>
      </w:r>
      <w:proofErr w:type="spellStart"/>
      <w:r w:rsidR="0070348A">
        <w:rPr>
          <w:rFonts w:ascii="Arial" w:hAnsi="Arial" w:cs="Arial"/>
          <w:sz w:val="22"/>
          <w:lang w:val="en-AU" w:eastAsia="en-AU"/>
        </w:rPr>
        <w:t>mesalazine</w:t>
      </w:r>
      <w:proofErr w:type="spellEnd"/>
      <w:r w:rsidR="0070348A">
        <w:rPr>
          <w:rFonts w:ascii="Arial" w:hAnsi="Arial" w:cs="Arial"/>
          <w:sz w:val="22"/>
          <w:lang w:val="en-AU" w:eastAsia="en-AU"/>
        </w:rPr>
        <w:t xml:space="preserve"> who received prior sulfasalazine.</w:t>
      </w:r>
      <w:r w:rsidR="007C758A">
        <w:rPr>
          <w:rFonts w:ascii="Arial" w:hAnsi="Arial" w:cs="Arial"/>
          <w:sz w:val="22"/>
          <w:lang w:val="en-AU" w:eastAsia="en-AU"/>
        </w:rPr>
        <w:t xml:space="preserve"> D</w:t>
      </w:r>
      <w:r w:rsidR="007C758A" w:rsidRPr="007C758A">
        <w:rPr>
          <w:rFonts w:ascii="Arial" w:hAnsi="Arial" w:cs="Arial"/>
          <w:sz w:val="22"/>
          <w:lang w:val="en-AU" w:eastAsia="en-AU"/>
        </w:rPr>
        <w:t xml:space="preserve">USC concluded the increasing utilisation of 5-ASAs is due to more patients being treated and patients using more </w:t>
      </w:r>
      <w:proofErr w:type="spellStart"/>
      <w:r w:rsidR="007C758A" w:rsidRPr="007C758A">
        <w:rPr>
          <w:rFonts w:ascii="Arial" w:hAnsi="Arial" w:cs="Arial"/>
          <w:sz w:val="22"/>
          <w:lang w:val="en-AU" w:eastAsia="en-AU"/>
        </w:rPr>
        <w:t>mesalazine</w:t>
      </w:r>
      <w:proofErr w:type="spellEnd"/>
      <w:r w:rsidR="007C758A" w:rsidRPr="007C758A">
        <w:rPr>
          <w:rFonts w:ascii="Arial" w:hAnsi="Arial" w:cs="Arial"/>
          <w:sz w:val="22"/>
          <w:lang w:val="en-AU" w:eastAsia="en-AU"/>
        </w:rPr>
        <w:t>.</w:t>
      </w:r>
    </w:p>
    <w:p w:rsidR="00A31269" w:rsidRPr="00A31269" w:rsidRDefault="00A31269" w:rsidP="00A31269">
      <w:pPr>
        <w:contextualSpacing/>
        <w:jc w:val="both"/>
        <w:rPr>
          <w:rFonts w:ascii="Arial" w:hAnsi="Arial" w:cs="Arial"/>
          <w:color w:val="A6A6A6"/>
          <w:sz w:val="22"/>
          <w:lang w:val="en-AU" w:eastAsia="en-AU"/>
        </w:rPr>
      </w:pPr>
    </w:p>
    <w:p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rsidR="00F46B04" w:rsidRDefault="008842CE" w:rsidP="00A31269">
      <w:pPr>
        <w:contextualSpacing/>
        <w:jc w:val="both"/>
        <w:rPr>
          <w:rFonts w:ascii="Arial" w:hAnsi="Arial" w:cs="Arial"/>
          <w:sz w:val="22"/>
          <w:lang w:val="en-AU" w:eastAsia="en-AU"/>
        </w:rPr>
      </w:pPr>
      <w:r>
        <w:rPr>
          <w:rFonts w:ascii="Arial" w:hAnsi="Arial" w:cs="Arial"/>
          <w:sz w:val="22"/>
          <w:lang w:val="en-AU" w:eastAsia="en-AU"/>
        </w:rPr>
        <w:t xml:space="preserve">The PBAC noted that </w:t>
      </w:r>
      <w:r w:rsidRPr="008842CE">
        <w:rPr>
          <w:rFonts w:ascii="Arial" w:hAnsi="Arial" w:cs="Arial"/>
          <w:bCs/>
          <w:sz w:val="22"/>
          <w:lang w:val="en-AU" w:eastAsia="en-AU"/>
        </w:rPr>
        <w:t xml:space="preserve">from 2007 to 2016 the proportion of patients who </w:t>
      </w:r>
      <w:r>
        <w:rPr>
          <w:rFonts w:ascii="Arial" w:hAnsi="Arial" w:cs="Arial"/>
          <w:bCs/>
          <w:sz w:val="22"/>
          <w:lang w:val="en-AU" w:eastAsia="en-AU"/>
        </w:rPr>
        <w:t>were previously supplied</w:t>
      </w:r>
      <w:r w:rsidRPr="008842CE">
        <w:rPr>
          <w:rFonts w:ascii="Arial" w:hAnsi="Arial" w:cs="Arial"/>
          <w:bCs/>
          <w:sz w:val="22"/>
          <w:lang w:val="en-AU" w:eastAsia="en-AU"/>
        </w:rPr>
        <w:t xml:space="preserve"> sulfasalazine at their first </w:t>
      </w:r>
      <w:proofErr w:type="spellStart"/>
      <w:r w:rsidRPr="008842CE">
        <w:rPr>
          <w:rFonts w:ascii="Arial" w:hAnsi="Arial" w:cs="Arial"/>
          <w:bCs/>
          <w:sz w:val="22"/>
          <w:lang w:val="en-AU" w:eastAsia="en-AU"/>
        </w:rPr>
        <w:t>mesalazine</w:t>
      </w:r>
      <w:proofErr w:type="spellEnd"/>
      <w:r w:rsidRPr="008842CE">
        <w:rPr>
          <w:rFonts w:ascii="Arial" w:hAnsi="Arial" w:cs="Arial"/>
          <w:bCs/>
          <w:sz w:val="22"/>
          <w:lang w:val="en-AU" w:eastAsia="en-AU"/>
        </w:rPr>
        <w:t xml:space="preserve"> prescription decreased from 37% to 24%. </w:t>
      </w:r>
      <w:r w:rsidR="00922E47" w:rsidRPr="00922E47">
        <w:rPr>
          <w:rFonts w:ascii="Arial" w:hAnsi="Arial" w:cs="Arial"/>
          <w:sz w:val="22"/>
          <w:lang w:val="en-AU" w:eastAsia="en-AU"/>
        </w:rPr>
        <w:t xml:space="preserve">The PBAC </w:t>
      </w:r>
      <w:r w:rsidRPr="008842CE">
        <w:rPr>
          <w:rFonts w:ascii="Arial" w:hAnsi="Arial" w:cs="Arial"/>
          <w:sz w:val="22"/>
          <w:lang w:val="en-AU" w:eastAsia="en-AU"/>
        </w:rPr>
        <w:t xml:space="preserve">recalled </w:t>
      </w:r>
      <w:r>
        <w:rPr>
          <w:rFonts w:ascii="Arial" w:hAnsi="Arial" w:cs="Arial"/>
          <w:sz w:val="22"/>
          <w:lang w:val="en-AU" w:eastAsia="en-AU"/>
        </w:rPr>
        <w:t xml:space="preserve">clinical advice from the previous meeting </w:t>
      </w:r>
      <w:r w:rsidRPr="008842CE">
        <w:rPr>
          <w:rFonts w:ascii="Arial" w:hAnsi="Arial" w:cs="Arial"/>
          <w:bCs/>
          <w:sz w:val="22"/>
          <w:lang w:eastAsia="en-AU"/>
        </w:rPr>
        <w:t xml:space="preserve">that </w:t>
      </w:r>
      <w:proofErr w:type="spellStart"/>
      <w:r w:rsidRPr="008842CE">
        <w:rPr>
          <w:rFonts w:ascii="Arial" w:hAnsi="Arial" w:cs="Arial"/>
          <w:bCs/>
          <w:sz w:val="22"/>
          <w:lang w:eastAsia="en-AU"/>
        </w:rPr>
        <w:t>mesalazine</w:t>
      </w:r>
      <w:proofErr w:type="spellEnd"/>
      <w:r w:rsidRPr="008842CE">
        <w:rPr>
          <w:rFonts w:ascii="Arial" w:hAnsi="Arial" w:cs="Arial"/>
          <w:bCs/>
          <w:sz w:val="22"/>
          <w:lang w:eastAsia="en-AU"/>
        </w:rPr>
        <w:t xml:space="preserve"> may be used in preference to sulfasalazine because it is better tolerated, requires less intensive monitoring, and has a lower pill burden; or when patients report prior adverse reactions to antibiotics. In addition, sulfasalazine reduces sperm count and the peak age for onset of inflammatory bowel disease coincides with peak reproductive years</w:t>
      </w:r>
      <w:r>
        <w:rPr>
          <w:rFonts w:ascii="Arial" w:hAnsi="Arial" w:cs="Arial"/>
          <w:sz w:val="22"/>
          <w:lang w:val="en-AU" w:eastAsia="en-AU"/>
        </w:rPr>
        <w:t xml:space="preserve">. </w:t>
      </w:r>
      <w:r w:rsidRPr="008842CE">
        <w:rPr>
          <w:rFonts w:ascii="Arial" w:hAnsi="Arial" w:cs="Arial"/>
          <w:sz w:val="22"/>
          <w:lang w:val="en-AU" w:eastAsia="en-AU"/>
        </w:rPr>
        <w:t xml:space="preserve">The PBAC considered </w:t>
      </w:r>
      <w:r>
        <w:rPr>
          <w:rFonts w:ascii="Arial" w:hAnsi="Arial" w:cs="Arial"/>
          <w:sz w:val="22"/>
          <w:lang w:val="en-AU" w:eastAsia="en-AU"/>
        </w:rPr>
        <w:t>this</w:t>
      </w:r>
      <w:r w:rsidRPr="008842CE">
        <w:rPr>
          <w:rFonts w:ascii="Arial" w:hAnsi="Arial" w:cs="Arial"/>
          <w:sz w:val="22"/>
          <w:lang w:val="en-AU" w:eastAsia="en-AU"/>
        </w:rPr>
        <w:t xml:space="preserve"> clinical reasoning was cogent.</w:t>
      </w:r>
      <w:r>
        <w:rPr>
          <w:rFonts w:ascii="Arial" w:hAnsi="Arial" w:cs="Arial"/>
          <w:sz w:val="22"/>
          <w:lang w:val="en-AU" w:eastAsia="en-AU"/>
        </w:rPr>
        <w:t xml:space="preserve"> </w:t>
      </w:r>
      <w:r w:rsidRPr="008842CE">
        <w:rPr>
          <w:rFonts w:ascii="Arial" w:hAnsi="Arial" w:cs="Arial"/>
          <w:sz w:val="22"/>
          <w:lang w:val="en-AU" w:eastAsia="en-AU"/>
        </w:rPr>
        <w:t xml:space="preserve">However, the PBAC noted that there is a substantial cost associated with patients starting with </w:t>
      </w:r>
      <w:proofErr w:type="spellStart"/>
      <w:r w:rsidRPr="008842CE">
        <w:rPr>
          <w:rFonts w:ascii="Arial" w:hAnsi="Arial" w:cs="Arial"/>
          <w:sz w:val="22"/>
          <w:lang w:val="en-AU" w:eastAsia="en-AU"/>
        </w:rPr>
        <w:t>mesalazine</w:t>
      </w:r>
      <w:proofErr w:type="spellEnd"/>
      <w:r w:rsidRPr="008842CE">
        <w:rPr>
          <w:rFonts w:ascii="Arial" w:hAnsi="Arial" w:cs="Arial"/>
          <w:sz w:val="22"/>
          <w:lang w:val="en-AU" w:eastAsia="en-AU"/>
        </w:rPr>
        <w:t xml:space="preserve"> instead of sulfasalazine. The PBAC recalled that this was not the setting in which </w:t>
      </w:r>
      <w:proofErr w:type="spellStart"/>
      <w:r w:rsidRPr="008842CE">
        <w:rPr>
          <w:rFonts w:ascii="Arial" w:hAnsi="Arial" w:cs="Arial"/>
          <w:sz w:val="22"/>
          <w:lang w:val="en-AU" w:eastAsia="en-AU"/>
        </w:rPr>
        <w:t>mesalazine</w:t>
      </w:r>
      <w:proofErr w:type="spellEnd"/>
      <w:r w:rsidRPr="008842CE">
        <w:rPr>
          <w:rFonts w:ascii="Arial" w:hAnsi="Arial" w:cs="Arial"/>
          <w:sz w:val="22"/>
          <w:lang w:val="en-AU" w:eastAsia="en-AU"/>
        </w:rPr>
        <w:t xml:space="preserve"> was deemed cost-effective. Therefore the PBAC </w:t>
      </w:r>
      <w:proofErr w:type="gramStart"/>
      <w:r w:rsidRPr="008842CE">
        <w:rPr>
          <w:rFonts w:ascii="Arial" w:hAnsi="Arial" w:cs="Arial"/>
          <w:sz w:val="22"/>
          <w:lang w:val="en-AU" w:eastAsia="en-AU"/>
        </w:rPr>
        <w:t>recommended</w:t>
      </w:r>
      <w:proofErr w:type="gramEnd"/>
      <w:r w:rsidRPr="008842CE">
        <w:rPr>
          <w:rFonts w:ascii="Arial" w:hAnsi="Arial" w:cs="Arial"/>
          <w:sz w:val="22"/>
          <w:lang w:val="en-AU" w:eastAsia="en-AU"/>
        </w:rPr>
        <w:t xml:space="preserve"> that a price reduction for </w:t>
      </w:r>
      <w:proofErr w:type="spellStart"/>
      <w:r w:rsidRPr="008842CE">
        <w:rPr>
          <w:rFonts w:ascii="Arial" w:hAnsi="Arial" w:cs="Arial"/>
          <w:sz w:val="22"/>
          <w:lang w:val="en-AU" w:eastAsia="en-AU"/>
        </w:rPr>
        <w:t>mesalazine</w:t>
      </w:r>
      <w:proofErr w:type="spellEnd"/>
      <w:r w:rsidRPr="008842CE">
        <w:rPr>
          <w:rFonts w:ascii="Arial" w:hAnsi="Arial" w:cs="Arial"/>
          <w:sz w:val="22"/>
          <w:lang w:val="en-AU" w:eastAsia="en-AU"/>
        </w:rPr>
        <w:t xml:space="preserve"> be sought based on the proportion of people who initiate </w:t>
      </w:r>
      <w:proofErr w:type="spellStart"/>
      <w:r w:rsidRPr="008842CE">
        <w:rPr>
          <w:rFonts w:ascii="Arial" w:hAnsi="Arial" w:cs="Arial"/>
          <w:sz w:val="22"/>
          <w:lang w:val="en-AU" w:eastAsia="en-AU"/>
        </w:rPr>
        <w:t>mesalazine</w:t>
      </w:r>
      <w:proofErr w:type="spellEnd"/>
      <w:r w:rsidRPr="008842CE">
        <w:rPr>
          <w:rFonts w:ascii="Arial" w:hAnsi="Arial" w:cs="Arial"/>
          <w:sz w:val="22"/>
          <w:lang w:val="en-AU" w:eastAsia="en-AU"/>
        </w:rPr>
        <w:t xml:space="preserve"> without prior sulfasalazine. The number of people would need to be adjusted to account for patients who are truly sulfasalazine-intolerant.</w:t>
      </w:r>
    </w:p>
    <w:p w:rsidR="00F514E4" w:rsidRPr="003172AB" w:rsidRDefault="00F46B04" w:rsidP="00A31269">
      <w:pPr>
        <w:contextualSpacing/>
        <w:jc w:val="both"/>
        <w:rPr>
          <w:rFonts w:ascii="Arial" w:hAnsi="Arial" w:cs="Arial"/>
          <w:sz w:val="22"/>
          <w:lang w:val="en-AU" w:eastAsia="en-AU"/>
        </w:rPr>
      </w:pPr>
      <w:r w:rsidRPr="003172AB">
        <w:rPr>
          <w:rFonts w:ascii="Arial" w:hAnsi="Arial" w:cs="Arial"/>
          <w:sz w:val="22"/>
          <w:lang w:val="en-AU" w:eastAsia="en-AU"/>
        </w:rPr>
        <w:t xml:space="preserve"> </w:t>
      </w:r>
    </w:p>
    <w:p w:rsidR="00D7136A" w:rsidRDefault="00385940" w:rsidP="00D7136A">
      <w:pPr>
        <w:pStyle w:val="DepartmentalHeading2"/>
        <w:spacing w:before="0" w:after="0"/>
        <w:jc w:val="both"/>
        <w:rPr>
          <w:rFonts w:cs="Arial"/>
          <w:sz w:val="22"/>
          <w:szCs w:val="24"/>
        </w:rPr>
      </w:pPr>
      <w:proofErr w:type="spellStart"/>
      <w:r>
        <w:rPr>
          <w:rFonts w:cs="Arial"/>
          <w:sz w:val="22"/>
          <w:szCs w:val="24"/>
        </w:rPr>
        <w:t>Everolimus</w:t>
      </w:r>
      <w:proofErr w:type="spellEnd"/>
      <w:r>
        <w:rPr>
          <w:rFonts w:cs="Arial"/>
          <w:sz w:val="22"/>
          <w:szCs w:val="24"/>
        </w:rPr>
        <w:t xml:space="preserve"> and </w:t>
      </w:r>
      <w:proofErr w:type="spellStart"/>
      <w:r>
        <w:rPr>
          <w:rFonts w:cs="Arial"/>
          <w:sz w:val="22"/>
          <w:szCs w:val="24"/>
        </w:rPr>
        <w:t>sunitinib</w:t>
      </w:r>
      <w:proofErr w:type="spellEnd"/>
      <w:r>
        <w:rPr>
          <w:rFonts w:cs="Arial"/>
          <w:sz w:val="22"/>
          <w:szCs w:val="24"/>
        </w:rPr>
        <w:t xml:space="preserve"> use in </w:t>
      </w:r>
      <w:r w:rsidR="00F46B04" w:rsidRPr="00385940">
        <w:rPr>
          <w:rFonts w:cs="Arial"/>
          <w:bCs/>
          <w:sz w:val="22"/>
        </w:rPr>
        <w:t>pancreatic neuroendocrine tumour</w:t>
      </w:r>
    </w:p>
    <w:p w:rsidR="00AD37E5" w:rsidRPr="00A31269" w:rsidRDefault="00AD37E5" w:rsidP="00BD7F4A"/>
    <w:p w:rsidR="00385940" w:rsidRPr="00385940" w:rsidRDefault="00F514E4" w:rsidP="00385940">
      <w:pPr>
        <w:jc w:val="both"/>
        <w:rPr>
          <w:rFonts w:ascii="Arial" w:hAnsi="Arial" w:cs="Arial"/>
          <w:bCs/>
          <w:sz w:val="22"/>
          <w:lang w:val="en-AU" w:eastAsia="en-AU"/>
        </w:rPr>
      </w:pPr>
      <w:r w:rsidRPr="00F514E4">
        <w:rPr>
          <w:rFonts w:ascii="Arial" w:hAnsi="Arial" w:cs="Arial"/>
          <w:bCs/>
          <w:sz w:val="22"/>
          <w:lang w:val="en-AU" w:eastAsia="en-AU"/>
        </w:rPr>
        <w:t xml:space="preserve">This report </w:t>
      </w:r>
      <w:r w:rsidR="00A74CCD">
        <w:rPr>
          <w:rFonts w:ascii="Arial" w:hAnsi="Arial" w:cs="Arial"/>
          <w:bCs/>
          <w:sz w:val="22"/>
          <w:lang w:val="en-AU" w:eastAsia="en-AU"/>
        </w:rPr>
        <w:t>considered</w:t>
      </w:r>
      <w:r w:rsidR="00A74CCD" w:rsidRPr="00A74CCD">
        <w:rPr>
          <w:rFonts w:ascii="Arial" w:hAnsi="Arial" w:cs="Arial"/>
          <w:bCs/>
          <w:sz w:val="22"/>
          <w:lang w:val="en-AU" w:eastAsia="en-AU"/>
        </w:rPr>
        <w:t xml:space="preserve"> </w:t>
      </w:r>
      <w:r w:rsidR="00385940" w:rsidRPr="00385940">
        <w:rPr>
          <w:rFonts w:ascii="Arial" w:hAnsi="Arial" w:cs="Arial"/>
          <w:bCs/>
          <w:sz w:val="22"/>
          <w:lang w:val="en-AU" w:eastAsia="en-AU"/>
        </w:rPr>
        <w:t xml:space="preserve">the predicted and actual use of </w:t>
      </w:r>
      <w:proofErr w:type="spellStart"/>
      <w:r w:rsidR="00385940" w:rsidRPr="00385940">
        <w:rPr>
          <w:rFonts w:ascii="Arial" w:hAnsi="Arial" w:cs="Arial"/>
          <w:bCs/>
          <w:sz w:val="22"/>
          <w:lang w:val="en-AU" w:eastAsia="en-AU"/>
        </w:rPr>
        <w:t>everolimus</w:t>
      </w:r>
      <w:proofErr w:type="spellEnd"/>
      <w:r w:rsidR="00385940" w:rsidRPr="00385940">
        <w:rPr>
          <w:rFonts w:ascii="Arial" w:hAnsi="Arial" w:cs="Arial"/>
          <w:bCs/>
          <w:sz w:val="22"/>
          <w:lang w:val="en-AU" w:eastAsia="en-AU"/>
        </w:rPr>
        <w:t xml:space="preserve"> and </w:t>
      </w:r>
      <w:proofErr w:type="spellStart"/>
      <w:r w:rsidR="00385940" w:rsidRPr="00385940">
        <w:rPr>
          <w:rFonts w:ascii="Arial" w:hAnsi="Arial" w:cs="Arial"/>
          <w:bCs/>
          <w:sz w:val="22"/>
          <w:lang w:val="en-AU" w:eastAsia="en-AU"/>
        </w:rPr>
        <w:t>sunitinib</w:t>
      </w:r>
      <w:proofErr w:type="spellEnd"/>
      <w:r w:rsidR="00385940" w:rsidRPr="00385940">
        <w:rPr>
          <w:rFonts w:ascii="Arial" w:hAnsi="Arial" w:cs="Arial"/>
          <w:bCs/>
          <w:sz w:val="22"/>
          <w:lang w:val="en-AU" w:eastAsia="en-AU"/>
        </w:rPr>
        <w:t xml:space="preserve"> for metastatic or </w:t>
      </w:r>
      <w:proofErr w:type="spellStart"/>
      <w:r w:rsidR="00385940" w:rsidRPr="00385940">
        <w:rPr>
          <w:rFonts w:ascii="Arial" w:hAnsi="Arial" w:cs="Arial"/>
          <w:bCs/>
          <w:sz w:val="22"/>
          <w:lang w:val="en-AU" w:eastAsia="en-AU"/>
        </w:rPr>
        <w:t>unresectable</w:t>
      </w:r>
      <w:proofErr w:type="spellEnd"/>
      <w:r w:rsidR="00385940" w:rsidRPr="00385940">
        <w:rPr>
          <w:rFonts w:ascii="Arial" w:hAnsi="Arial" w:cs="Arial"/>
          <w:bCs/>
          <w:sz w:val="22"/>
          <w:lang w:val="en-AU" w:eastAsia="en-AU"/>
        </w:rPr>
        <w:t>, well-differentiated malignant pancreatic neuroendocrine tumour (</w:t>
      </w:r>
      <w:proofErr w:type="spellStart"/>
      <w:r w:rsidR="00385940" w:rsidRPr="00385940">
        <w:rPr>
          <w:rFonts w:ascii="Arial" w:hAnsi="Arial" w:cs="Arial"/>
          <w:bCs/>
          <w:sz w:val="22"/>
          <w:lang w:val="en-AU" w:eastAsia="en-AU"/>
        </w:rPr>
        <w:t>pNET</w:t>
      </w:r>
      <w:proofErr w:type="spellEnd"/>
      <w:r w:rsidR="00385940" w:rsidRPr="00385940">
        <w:rPr>
          <w:rFonts w:ascii="Arial" w:hAnsi="Arial" w:cs="Arial"/>
          <w:bCs/>
          <w:sz w:val="22"/>
          <w:lang w:val="en-AU" w:eastAsia="en-AU"/>
        </w:rPr>
        <w:t>) since these medicines were PBS listed for this indication in December 2013 (</w:t>
      </w:r>
      <w:proofErr w:type="spellStart"/>
      <w:r w:rsidR="00385940" w:rsidRPr="00385940">
        <w:rPr>
          <w:rFonts w:ascii="Arial" w:hAnsi="Arial" w:cs="Arial"/>
          <w:bCs/>
          <w:sz w:val="22"/>
          <w:lang w:val="en-AU" w:eastAsia="en-AU"/>
        </w:rPr>
        <w:t>sunitinib</w:t>
      </w:r>
      <w:proofErr w:type="spellEnd"/>
      <w:r w:rsidR="00385940" w:rsidRPr="00385940">
        <w:rPr>
          <w:rFonts w:ascii="Arial" w:hAnsi="Arial" w:cs="Arial"/>
          <w:bCs/>
          <w:sz w:val="22"/>
          <w:lang w:val="en-AU" w:eastAsia="en-AU"/>
        </w:rPr>
        <w:t>) and April 2015 (</w:t>
      </w:r>
      <w:proofErr w:type="spellStart"/>
      <w:r w:rsidR="00385940" w:rsidRPr="00385940">
        <w:rPr>
          <w:rFonts w:ascii="Arial" w:hAnsi="Arial" w:cs="Arial"/>
          <w:bCs/>
          <w:sz w:val="22"/>
          <w:lang w:val="en-AU" w:eastAsia="en-AU"/>
        </w:rPr>
        <w:t>everolimus</w:t>
      </w:r>
      <w:proofErr w:type="spellEnd"/>
      <w:r w:rsidR="00385940" w:rsidRPr="00385940">
        <w:rPr>
          <w:rFonts w:ascii="Arial" w:hAnsi="Arial" w:cs="Arial"/>
          <w:bCs/>
          <w:sz w:val="22"/>
          <w:lang w:val="en-AU" w:eastAsia="en-AU"/>
        </w:rPr>
        <w:t>).</w:t>
      </w:r>
      <w:r w:rsidR="00AD37E5" w:rsidRPr="00AD37E5">
        <w:rPr>
          <w:rFonts w:ascii="Arial" w:hAnsi="Arial" w:cs="Arial"/>
          <w:bCs/>
          <w:sz w:val="22"/>
          <w:lang w:val="en-AU" w:eastAsia="en-AU"/>
        </w:rPr>
        <w:t xml:space="preserve"> </w:t>
      </w:r>
      <w:r w:rsidR="00AD37E5">
        <w:rPr>
          <w:rFonts w:ascii="Arial" w:hAnsi="Arial" w:cs="Arial"/>
          <w:bCs/>
          <w:sz w:val="22"/>
          <w:lang w:val="en-AU" w:eastAsia="en-AU"/>
        </w:rPr>
        <w:t>A</w:t>
      </w:r>
      <w:r w:rsidR="00AD37E5" w:rsidRPr="00385940">
        <w:rPr>
          <w:rFonts w:ascii="Arial" w:hAnsi="Arial" w:cs="Arial"/>
          <w:bCs/>
          <w:sz w:val="22"/>
          <w:lang w:val="en-AU" w:eastAsia="en-AU"/>
        </w:rPr>
        <w:t>ct</w:t>
      </w:r>
      <w:r w:rsidR="00AD37E5">
        <w:rPr>
          <w:rFonts w:ascii="Arial" w:hAnsi="Arial" w:cs="Arial"/>
          <w:bCs/>
          <w:sz w:val="22"/>
          <w:lang w:val="en-AU" w:eastAsia="en-AU"/>
        </w:rPr>
        <w:t>ual prescription utilisation and</w:t>
      </w:r>
      <w:r w:rsidR="00AD37E5" w:rsidRPr="00385940">
        <w:rPr>
          <w:rFonts w:ascii="Arial" w:hAnsi="Arial" w:cs="Arial"/>
          <w:bCs/>
          <w:sz w:val="22"/>
          <w:lang w:val="en-AU" w:eastAsia="en-AU"/>
        </w:rPr>
        <w:t xml:space="preserve"> expenditure was less than predicted for both medicines. In contrast, the number of patients treated was more than expected for both medicines. This was explained by the number of prescriptions per patient per year and the overall length of treatment per patient for both medicines being much less than predicted</w:t>
      </w:r>
      <w:r w:rsidR="00AD37E5">
        <w:rPr>
          <w:rFonts w:ascii="Arial" w:hAnsi="Arial" w:cs="Arial"/>
          <w:bCs/>
          <w:sz w:val="22"/>
          <w:lang w:val="en-AU" w:eastAsia="en-AU"/>
        </w:rPr>
        <w:t>.</w:t>
      </w:r>
    </w:p>
    <w:p w:rsidR="00F514E4" w:rsidRDefault="00F514E4" w:rsidP="00D7136A">
      <w:pPr>
        <w:jc w:val="both"/>
        <w:rPr>
          <w:rFonts w:ascii="Arial" w:hAnsi="Arial" w:cs="Arial"/>
          <w:bCs/>
          <w:color w:val="A6A6A6"/>
          <w:sz w:val="22"/>
          <w:lang w:val="en-AU" w:eastAsia="en-AU"/>
        </w:rPr>
      </w:pPr>
    </w:p>
    <w:p w:rsidR="008A4311" w:rsidRPr="008A4311" w:rsidRDefault="008A4311" w:rsidP="00D7136A">
      <w:pPr>
        <w:jc w:val="both"/>
        <w:rPr>
          <w:rFonts w:ascii="Arial" w:hAnsi="Arial" w:cs="Arial"/>
          <w:bCs/>
          <w:i/>
          <w:sz w:val="22"/>
          <w:lang w:val="en-AU" w:eastAsia="en-AU"/>
        </w:rPr>
      </w:pPr>
      <w:r w:rsidRPr="008A4311">
        <w:rPr>
          <w:rFonts w:ascii="Arial" w:hAnsi="Arial" w:cs="Arial"/>
          <w:bCs/>
          <w:i/>
          <w:sz w:val="22"/>
          <w:lang w:val="en-AU" w:eastAsia="en-AU"/>
        </w:rPr>
        <w:t>Outcome</w:t>
      </w:r>
    </w:p>
    <w:p w:rsidR="00AD37E5" w:rsidRPr="00DA2A81" w:rsidRDefault="00AD37E5" w:rsidP="00AD37E5">
      <w:pPr>
        <w:contextualSpacing/>
        <w:jc w:val="both"/>
        <w:rPr>
          <w:rFonts w:ascii="Arial" w:hAnsi="Arial" w:cs="Arial"/>
          <w:color w:val="A6A6A6"/>
          <w:sz w:val="22"/>
          <w:lang w:val="en-AU" w:eastAsia="en-AU"/>
        </w:rPr>
      </w:pPr>
      <w:r w:rsidRPr="00BC3BE5">
        <w:rPr>
          <w:rFonts w:ascii="Arial" w:hAnsi="Arial" w:cs="Arial"/>
          <w:sz w:val="22"/>
          <w:lang w:val="en-AU" w:eastAsia="en-AU"/>
        </w:rPr>
        <w:lastRenderedPageBreak/>
        <w:t xml:space="preserve">The PBAC </w:t>
      </w:r>
      <w:r w:rsidRPr="007178BA">
        <w:rPr>
          <w:rFonts w:ascii="Arial" w:hAnsi="Arial" w:cs="Arial"/>
          <w:sz w:val="22"/>
          <w:lang w:val="en-AU" w:eastAsia="en-AU"/>
        </w:rPr>
        <w:t>noted the report and recommended no further action.</w:t>
      </w:r>
    </w:p>
    <w:p w:rsidR="00D7136A" w:rsidRPr="00397836" w:rsidRDefault="00D7136A" w:rsidP="00D7136A">
      <w:pPr>
        <w:jc w:val="both"/>
        <w:rPr>
          <w:rFonts w:ascii="Arial" w:hAnsi="Arial" w:cs="Arial"/>
          <w:color w:val="A6A6A6"/>
          <w:sz w:val="22"/>
          <w:lang w:val="en-AU" w:eastAsia="en-AU"/>
        </w:rPr>
      </w:pPr>
    </w:p>
    <w:p w:rsidR="00A31269" w:rsidRDefault="00AD37E5" w:rsidP="00A31269">
      <w:pPr>
        <w:pStyle w:val="DepartmentalHeading2"/>
        <w:spacing w:before="0" w:after="0"/>
        <w:jc w:val="both"/>
        <w:rPr>
          <w:rFonts w:cs="Arial"/>
          <w:sz w:val="22"/>
          <w:szCs w:val="24"/>
        </w:rPr>
      </w:pPr>
      <w:proofErr w:type="spellStart"/>
      <w:r>
        <w:rPr>
          <w:rFonts w:cs="Arial"/>
          <w:sz w:val="22"/>
          <w:szCs w:val="24"/>
        </w:rPr>
        <w:t>Lenalidomide</w:t>
      </w:r>
      <w:proofErr w:type="spellEnd"/>
      <w:r>
        <w:rPr>
          <w:rFonts w:cs="Arial"/>
          <w:sz w:val="22"/>
          <w:szCs w:val="24"/>
        </w:rPr>
        <w:t xml:space="preserve"> for myelodysplastic syndrome</w:t>
      </w:r>
    </w:p>
    <w:p w:rsidR="00AD37E5" w:rsidRPr="00A31269" w:rsidRDefault="00AD37E5" w:rsidP="00BD7F4A"/>
    <w:p w:rsidR="0028590B" w:rsidRPr="0028590B" w:rsidRDefault="00641F0C" w:rsidP="0028590B">
      <w:pPr>
        <w:jc w:val="both"/>
        <w:rPr>
          <w:rFonts w:ascii="Arial" w:hAnsi="Arial" w:cs="Arial"/>
          <w:bCs/>
          <w:sz w:val="22"/>
          <w:lang w:val="en-AU" w:eastAsia="en-AU"/>
        </w:rPr>
      </w:pPr>
      <w:r w:rsidRPr="0028590B">
        <w:rPr>
          <w:rFonts w:ascii="Arial" w:hAnsi="Arial" w:cs="Arial"/>
          <w:sz w:val="22"/>
          <w:lang w:val="en-AU" w:eastAsia="en-AU"/>
        </w:rPr>
        <w:t xml:space="preserve">This report </w:t>
      </w:r>
      <w:r w:rsidR="001D0B69" w:rsidRPr="0028590B">
        <w:rPr>
          <w:rFonts w:ascii="Arial" w:hAnsi="Arial" w:cs="Arial"/>
          <w:sz w:val="22"/>
          <w:lang w:val="en-AU" w:eastAsia="en-AU"/>
        </w:rPr>
        <w:t>considered</w:t>
      </w:r>
      <w:r w:rsidR="001D0B69" w:rsidRPr="0028590B">
        <w:rPr>
          <w:rFonts w:ascii="Arial" w:hAnsi="Arial" w:cs="Arial"/>
          <w:bCs/>
          <w:sz w:val="22"/>
          <w:lang w:val="en-AU" w:eastAsia="en-AU"/>
        </w:rPr>
        <w:t xml:space="preserve"> </w:t>
      </w:r>
      <w:r w:rsidR="0028590B" w:rsidRPr="0028590B">
        <w:rPr>
          <w:rFonts w:ascii="Arial" w:hAnsi="Arial" w:cs="Arial"/>
          <w:bCs/>
          <w:sz w:val="22"/>
          <w:lang w:val="en-AU" w:eastAsia="en-AU"/>
        </w:rPr>
        <w:t xml:space="preserve">the predicted and actual use of </w:t>
      </w:r>
      <w:proofErr w:type="spellStart"/>
      <w:r w:rsidR="0028590B" w:rsidRPr="0028590B">
        <w:rPr>
          <w:rFonts w:ascii="Arial" w:hAnsi="Arial" w:cs="Arial"/>
          <w:bCs/>
          <w:sz w:val="22"/>
          <w:lang w:val="en-AU" w:eastAsia="en-AU"/>
        </w:rPr>
        <w:t>lenalidomide</w:t>
      </w:r>
      <w:proofErr w:type="spellEnd"/>
      <w:r w:rsidR="0028590B" w:rsidRPr="0028590B">
        <w:rPr>
          <w:rFonts w:ascii="Arial" w:hAnsi="Arial" w:cs="Arial"/>
          <w:bCs/>
          <w:sz w:val="22"/>
          <w:lang w:val="en-AU" w:eastAsia="en-AU"/>
        </w:rPr>
        <w:t xml:space="preserve"> for myelodysplastic syndrome (MDS) since it was PBS listed for this indication.</w:t>
      </w:r>
      <w:r w:rsidR="0028590B">
        <w:rPr>
          <w:rFonts w:ascii="Arial" w:hAnsi="Arial" w:cs="Arial"/>
          <w:bCs/>
          <w:sz w:val="22"/>
          <w:lang w:val="en-AU" w:eastAsia="en-AU"/>
        </w:rPr>
        <w:t xml:space="preserve"> </w:t>
      </w:r>
      <w:r w:rsidR="0028590B" w:rsidRPr="0028590B">
        <w:rPr>
          <w:rFonts w:ascii="Arial" w:hAnsi="Arial" w:cs="Arial"/>
          <w:bCs/>
          <w:sz w:val="22"/>
          <w:lang w:val="en-AU" w:eastAsia="en-AU"/>
        </w:rPr>
        <w:t xml:space="preserve">The actual prescription utilisation was much less than predicted. This was due </w:t>
      </w:r>
      <w:r w:rsidR="0028590B">
        <w:rPr>
          <w:rFonts w:ascii="Arial" w:hAnsi="Arial" w:cs="Arial"/>
          <w:bCs/>
          <w:sz w:val="22"/>
          <w:lang w:val="en-AU" w:eastAsia="en-AU"/>
        </w:rPr>
        <w:t xml:space="preserve">to </w:t>
      </w:r>
      <w:r w:rsidR="0028590B" w:rsidRPr="0028590B">
        <w:rPr>
          <w:rFonts w:ascii="Arial" w:hAnsi="Arial" w:cs="Arial"/>
          <w:bCs/>
          <w:sz w:val="22"/>
          <w:lang w:val="en-AU" w:eastAsia="en-AU"/>
        </w:rPr>
        <w:t>both a lower than predicted number of patients treated and lower than predicted number of prescriptions per patient per year.</w:t>
      </w:r>
    </w:p>
    <w:p w:rsidR="008A4311" w:rsidRPr="006847AC" w:rsidRDefault="008A4311" w:rsidP="008A4311">
      <w:pPr>
        <w:contextualSpacing/>
        <w:jc w:val="both"/>
        <w:rPr>
          <w:rFonts w:ascii="Arial" w:hAnsi="Arial" w:cs="Arial"/>
          <w:color w:val="A6A6A6"/>
          <w:sz w:val="22"/>
          <w:highlight w:val="yellow"/>
          <w:lang w:val="en-AU" w:eastAsia="en-AU"/>
        </w:rPr>
      </w:pPr>
    </w:p>
    <w:p w:rsidR="00641F0C" w:rsidRPr="00E65BFD" w:rsidRDefault="00641F0C" w:rsidP="008A4311">
      <w:pPr>
        <w:contextualSpacing/>
        <w:jc w:val="both"/>
        <w:rPr>
          <w:rFonts w:ascii="Arial" w:hAnsi="Arial" w:cs="Arial"/>
          <w:i/>
          <w:sz w:val="22"/>
          <w:lang w:val="en-AU" w:eastAsia="en-AU"/>
        </w:rPr>
      </w:pPr>
      <w:r w:rsidRPr="00E65BFD">
        <w:rPr>
          <w:rFonts w:ascii="Arial" w:hAnsi="Arial" w:cs="Arial"/>
          <w:i/>
          <w:sz w:val="22"/>
          <w:lang w:val="en-AU" w:eastAsia="en-AU"/>
        </w:rPr>
        <w:t>Outcome</w:t>
      </w:r>
    </w:p>
    <w:p w:rsidR="00E65BFD" w:rsidRPr="00E65BFD" w:rsidRDefault="00E65BFD" w:rsidP="00E65BFD">
      <w:pPr>
        <w:jc w:val="both"/>
        <w:rPr>
          <w:rFonts w:ascii="Arial" w:hAnsi="Arial" w:cs="Arial"/>
          <w:sz w:val="22"/>
          <w:lang w:val="en-AU" w:eastAsia="en-AU"/>
        </w:rPr>
      </w:pPr>
      <w:r w:rsidRPr="00E65BFD">
        <w:rPr>
          <w:rFonts w:ascii="Arial" w:hAnsi="Arial" w:cs="Arial"/>
          <w:sz w:val="22"/>
          <w:lang w:val="en-AU" w:eastAsia="en-AU"/>
        </w:rPr>
        <w:t xml:space="preserve">The PBAC considered that the lower than expected use in terms of both prescriptions and patients may indicate that clinicians are skilled in selecting the subgroup of patients who will most benefit from </w:t>
      </w:r>
      <w:proofErr w:type="spellStart"/>
      <w:r w:rsidRPr="00E65BFD">
        <w:rPr>
          <w:rFonts w:ascii="Arial" w:hAnsi="Arial" w:cs="Arial"/>
          <w:sz w:val="22"/>
          <w:lang w:val="en-AU" w:eastAsia="en-AU"/>
        </w:rPr>
        <w:t>lenalidomide</w:t>
      </w:r>
      <w:proofErr w:type="spellEnd"/>
      <w:r w:rsidRPr="00E65BFD">
        <w:rPr>
          <w:rFonts w:ascii="Arial" w:hAnsi="Arial" w:cs="Arial"/>
          <w:sz w:val="22"/>
          <w:lang w:val="en-AU" w:eastAsia="en-AU"/>
        </w:rPr>
        <w:t xml:space="preserve"> treatment (5q deletion syndrome). </w:t>
      </w:r>
    </w:p>
    <w:p w:rsidR="008A4311" w:rsidRPr="001D0B69" w:rsidRDefault="0028590B" w:rsidP="005642B3">
      <w:pPr>
        <w:contextualSpacing/>
        <w:jc w:val="both"/>
        <w:rPr>
          <w:rFonts w:ascii="Arial" w:hAnsi="Arial" w:cs="Arial"/>
          <w:bCs/>
          <w:sz w:val="22"/>
          <w:lang w:val="en-AU" w:eastAsia="en-AU"/>
        </w:rPr>
      </w:pPr>
      <w:r w:rsidRPr="0028590B">
        <w:rPr>
          <w:rFonts w:ascii="Arial" w:hAnsi="Arial" w:cs="Arial"/>
          <w:bCs/>
          <w:sz w:val="22"/>
          <w:lang w:val="en-AU" w:eastAsia="en-AU"/>
        </w:rPr>
        <w:t xml:space="preserve">While the PBAC noted that predicted cost savings from reduction of </w:t>
      </w:r>
      <w:proofErr w:type="spellStart"/>
      <w:r w:rsidRPr="0028590B">
        <w:rPr>
          <w:rFonts w:ascii="Arial" w:hAnsi="Arial" w:cs="Arial"/>
          <w:bCs/>
          <w:sz w:val="22"/>
          <w:lang w:val="en-AU" w:eastAsia="en-AU"/>
        </w:rPr>
        <w:t>deferasirox</w:t>
      </w:r>
      <w:proofErr w:type="spellEnd"/>
      <w:r w:rsidRPr="0028590B">
        <w:rPr>
          <w:rFonts w:ascii="Arial" w:hAnsi="Arial" w:cs="Arial"/>
          <w:bCs/>
          <w:sz w:val="22"/>
          <w:lang w:val="en-AU" w:eastAsia="en-AU"/>
        </w:rPr>
        <w:t xml:space="preserve"> use were not realised, there was a reduction in the number of </w:t>
      </w:r>
      <w:proofErr w:type="spellStart"/>
      <w:r w:rsidRPr="0028590B">
        <w:rPr>
          <w:rFonts w:ascii="Arial" w:hAnsi="Arial" w:cs="Arial"/>
          <w:bCs/>
          <w:sz w:val="22"/>
          <w:lang w:val="en-AU" w:eastAsia="en-AU"/>
        </w:rPr>
        <w:t>de</w:t>
      </w:r>
      <w:r>
        <w:rPr>
          <w:rFonts w:ascii="Arial" w:hAnsi="Arial" w:cs="Arial"/>
          <w:bCs/>
          <w:sz w:val="22"/>
          <w:lang w:val="en-AU" w:eastAsia="en-AU"/>
        </w:rPr>
        <w:t>ferasirox</w:t>
      </w:r>
      <w:proofErr w:type="spellEnd"/>
      <w:r>
        <w:rPr>
          <w:rFonts w:ascii="Arial" w:hAnsi="Arial" w:cs="Arial"/>
          <w:bCs/>
          <w:sz w:val="22"/>
          <w:lang w:val="en-AU" w:eastAsia="en-AU"/>
        </w:rPr>
        <w:t xml:space="preserve"> users by one third. T</w:t>
      </w:r>
      <w:r w:rsidRPr="0028590B">
        <w:rPr>
          <w:rFonts w:ascii="Arial" w:hAnsi="Arial" w:cs="Arial"/>
          <w:bCs/>
          <w:sz w:val="22"/>
          <w:lang w:val="en-AU" w:eastAsia="en-AU"/>
        </w:rPr>
        <w:t xml:space="preserve">he PBAC considered that patients who respond to </w:t>
      </w:r>
      <w:proofErr w:type="spellStart"/>
      <w:r w:rsidRPr="0028590B">
        <w:rPr>
          <w:rFonts w:ascii="Arial" w:hAnsi="Arial" w:cs="Arial"/>
          <w:bCs/>
          <w:sz w:val="22"/>
          <w:lang w:val="en-AU" w:eastAsia="en-AU"/>
        </w:rPr>
        <w:t>lenalidomide</w:t>
      </w:r>
      <w:proofErr w:type="spellEnd"/>
      <w:r w:rsidRPr="0028590B">
        <w:rPr>
          <w:rFonts w:ascii="Arial" w:hAnsi="Arial" w:cs="Arial"/>
          <w:bCs/>
          <w:sz w:val="22"/>
          <w:lang w:val="en-AU" w:eastAsia="en-AU"/>
        </w:rPr>
        <w:t xml:space="preserve"> and continue on treatment will reduce their use of </w:t>
      </w:r>
      <w:proofErr w:type="spellStart"/>
      <w:r w:rsidRPr="0028590B">
        <w:rPr>
          <w:rFonts w:ascii="Arial" w:hAnsi="Arial" w:cs="Arial"/>
          <w:bCs/>
          <w:sz w:val="22"/>
          <w:lang w:val="en-AU" w:eastAsia="en-AU"/>
        </w:rPr>
        <w:t>deferasirox</w:t>
      </w:r>
      <w:proofErr w:type="spellEnd"/>
      <w:r w:rsidRPr="0028590B">
        <w:rPr>
          <w:rFonts w:ascii="Arial" w:hAnsi="Arial" w:cs="Arial"/>
          <w:bCs/>
          <w:sz w:val="22"/>
          <w:lang w:val="en-AU" w:eastAsia="en-AU"/>
        </w:rPr>
        <w:t>.</w:t>
      </w:r>
      <w:r>
        <w:rPr>
          <w:rFonts w:ascii="Arial" w:hAnsi="Arial" w:cs="Arial"/>
          <w:bCs/>
          <w:sz w:val="22"/>
          <w:lang w:val="en-AU" w:eastAsia="en-AU"/>
        </w:rPr>
        <w:t xml:space="preserve"> </w:t>
      </w:r>
      <w:r>
        <w:rPr>
          <w:rFonts w:ascii="Arial" w:hAnsi="Arial" w:cs="Arial"/>
          <w:sz w:val="22"/>
          <w:lang w:val="en-AU" w:eastAsia="en-AU"/>
        </w:rPr>
        <w:t xml:space="preserve">The PBAC </w:t>
      </w:r>
      <w:r w:rsidRPr="007178BA">
        <w:rPr>
          <w:rFonts w:ascii="Arial" w:hAnsi="Arial" w:cs="Arial"/>
          <w:sz w:val="22"/>
          <w:lang w:val="en-AU" w:eastAsia="en-AU"/>
        </w:rPr>
        <w:t>recommended no further action</w:t>
      </w:r>
      <w:r>
        <w:rPr>
          <w:rFonts w:ascii="Arial" w:hAnsi="Arial" w:cs="Arial"/>
          <w:sz w:val="22"/>
          <w:lang w:val="en-AU" w:eastAsia="en-AU"/>
        </w:rPr>
        <w:t>.</w:t>
      </w:r>
    </w:p>
    <w:p w:rsidR="00464DA0" w:rsidRPr="00397836" w:rsidRDefault="00464DA0" w:rsidP="00D7136A">
      <w:pPr>
        <w:contextualSpacing/>
        <w:jc w:val="both"/>
        <w:rPr>
          <w:rFonts w:ascii="Arial" w:hAnsi="Arial" w:cs="Arial"/>
          <w:noProof/>
          <w:color w:val="A6A6A6"/>
          <w:sz w:val="22"/>
          <w:lang w:val="en-AU" w:eastAsia="en-AU"/>
        </w:rPr>
      </w:pPr>
    </w:p>
    <w:p w:rsidR="00DA2A81" w:rsidRPr="00DA2A81" w:rsidRDefault="00BA0860" w:rsidP="00BD7F4A">
      <w:pPr>
        <w:pStyle w:val="DepartmentalHeading2"/>
        <w:spacing w:before="0" w:after="0"/>
        <w:jc w:val="both"/>
        <w:rPr>
          <w:rFonts w:cs="Arial"/>
          <w:b w:val="0"/>
          <w:bCs/>
          <w:sz w:val="22"/>
        </w:rPr>
      </w:pPr>
      <w:proofErr w:type="spellStart"/>
      <w:r>
        <w:rPr>
          <w:rFonts w:cs="Arial"/>
          <w:bCs/>
          <w:sz w:val="22"/>
        </w:rPr>
        <w:t>Eculizumab</w:t>
      </w:r>
      <w:proofErr w:type="spellEnd"/>
      <w:r>
        <w:rPr>
          <w:rFonts w:cs="Arial"/>
          <w:bCs/>
          <w:sz w:val="22"/>
        </w:rPr>
        <w:t xml:space="preserve"> </w:t>
      </w:r>
      <w:r w:rsidRPr="00BA0860">
        <w:rPr>
          <w:rFonts w:cs="Arial"/>
          <w:bCs/>
          <w:sz w:val="22"/>
        </w:rPr>
        <w:t xml:space="preserve">for atypical haemolytic uraemic syndrome </w:t>
      </w:r>
    </w:p>
    <w:p w:rsidR="00D7136A" w:rsidRPr="00A31269" w:rsidRDefault="00D7136A" w:rsidP="00D7136A">
      <w:pPr>
        <w:contextualSpacing/>
        <w:jc w:val="both"/>
        <w:rPr>
          <w:rFonts w:ascii="Arial" w:hAnsi="Arial" w:cs="Arial"/>
          <w:b/>
          <w:sz w:val="22"/>
          <w:lang w:val="en-AU" w:eastAsia="en-AU"/>
        </w:rPr>
      </w:pPr>
    </w:p>
    <w:p w:rsidR="001416A4" w:rsidRPr="001416A4" w:rsidRDefault="00CB56CD" w:rsidP="001416A4">
      <w:pPr>
        <w:contextualSpacing/>
        <w:jc w:val="both"/>
        <w:rPr>
          <w:rFonts w:ascii="Arial" w:hAnsi="Arial" w:cs="Arial"/>
          <w:bCs/>
          <w:sz w:val="22"/>
          <w:lang w:val="en-AU" w:eastAsia="en-AU"/>
        </w:rPr>
      </w:pPr>
      <w:r w:rsidRPr="00CB56CD">
        <w:rPr>
          <w:rFonts w:ascii="Arial" w:hAnsi="Arial" w:cs="Arial"/>
          <w:sz w:val="22"/>
          <w:lang w:val="en-AU" w:eastAsia="en-AU"/>
        </w:rPr>
        <w:t xml:space="preserve">This report </w:t>
      </w:r>
      <w:r w:rsidR="001416A4" w:rsidRPr="001416A4">
        <w:rPr>
          <w:rFonts w:ascii="Arial" w:hAnsi="Arial" w:cs="Arial"/>
          <w:bCs/>
          <w:sz w:val="22"/>
          <w:lang w:val="en-AU" w:eastAsia="en-AU"/>
        </w:rPr>
        <w:t>consider</w:t>
      </w:r>
      <w:r w:rsidR="001416A4">
        <w:rPr>
          <w:rFonts w:ascii="Arial" w:hAnsi="Arial" w:cs="Arial"/>
          <w:bCs/>
          <w:sz w:val="22"/>
          <w:lang w:val="en-AU" w:eastAsia="en-AU"/>
        </w:rPr>
        <w:t>ed t</w:t>
      </w:r>
      <w:r w:rsidR="001416A4" w:rsidRPr="001416A4">
        <w:rPr>
          <w:rFonts w:ascii="Arial" w:hAnsi="Arial" w:cs="Arial"/>
          <w:bCs/>
          <w:sz w:val="22"/>
          <w:lang w:val="en-AU" w:eastAsia="en-AU"/>
        </w:rPr>
        <w:t xml:space="preserve">he predicted and actual use of </w:t>
      </w:r>
      <w:proofErr w:type="spellStart"/>
      <w:r w:rsidR="001416A4" w:rsidRPr="001416A4">
        <w:rPr>
          <w:rFonts w:ascii="Arial" w:hAnsi="Arial" w:cs="Arial"/>
          <w:bCs/>
          <w:sz w:val="22"/>
          <w:lang w:val="en-AU" w:eastAsia="en-AU"/>
        </w:rPr>
        <w:t>eculizumab</w:t>
      </w:r>
      <w:proofErr w:type="spellEnd"/>
      <w:r w:rsidR="001416A4" w:rsidRPr="001416A4">
        <w:rPr>
          <w:rFonts w:ascii="Arial" w:hAnsi="Arial" w:cs="Arial"/>
          <w:bCs/>
          <w:sz w:val="22"/>
          <w:lang w:val="en-AU" w:eastAsia="en-AU"/>
        </w:rPr>
        <w:t xml:space="preserve"> for atypical haemolytic uraemic syndrome (</w:t>
      </w:r>
      <w:proofErr w:type="spellStart"/>
      <w:r w:rsidR="001416A4" w:rsidRPr="001416A4">
        <w:rPr>
          <w:rFonts w:ascii="Arial" w:hAnsi="Arial" w:cs="Arial"/>
          <w:bCs/>
          <w:sz w:val="22"/>
          <w:lang w:val="en-AU" w:eastAsia="en-AU"/>
        </w:rPr>
        <w:t>aHUS</w:t>
      </w:r>
      <w:proofErr w:type="spellEnd"/>
      <w:r w:rsidR="001416A4" w:rsidRPr="001416A4">
        <w:rPr>
          <w:rFonts w:ascii="Arial" w:hAnsi="Arial" w:cs="Arial"/>
          <w:bCs/>
          <w:sz w:val="22"/>
          <w:lang w:val="en-AU" w:eastAsia="en-AU"/>
        </w:rPr>
        <w:t>) since it was PBS listed for this indication in December 2014.</w:t>
      </w:r>
    </w:p>
    <w:p w:rsidR="00CB56CD" w:rsidRDefault="00CB56CD" w:rsidP="00D7136A">
      <w:pPr>
        <w:contextualSpacing/>
        <w:jc w:val="both"/>
        <w:rPr>
          <w:rFonts w:ascii="Arial" w:hAnsi="Arial" w:cs="Arial"/>
          <w:sz w:val="22"/>
          <w:lang w:val="en-AU" w:eastAsia="en-AU"/>
        </w:rPr>
      </w:pPr>
    </w:p>
    <w:p w:rsidR="00BC3BE5" w:rsidRPr="00BC3BE5" w:rsidRDefault="00BC3BE5" w:rsidP="00BC3BE5">
      <w:pPr>
        <w:contextualSpacing/>
        <w:jc w:val="both"/>
        <w:rPr>
          <w:rFonts w:ascii="Arial" w:hAnsi="Arial" w:cs="Arial"/>
          <w:i/>
          <w:sz w:val="22"/>
          <w:lang w:val="en-AU" w:eastAsia="en-AU"/>
        </w:rPr>
      </w:pPr>
      <w:r w:rsidRPr="00BC3BE5">
        <w:rPr>
          <w:rFonts w:ascii="Arial" w:hAnsi="Arial" w:cs="Arial"/>
          <w:i/>
          <w:sz w:val="22"/>
          <w:lang w:val="en-AU" w:eastAsia="en-AU"/>
        </w:rPr>
        <w:t>Outcome</w:t>
      </w:r>
    </w:p>
    <w:p w:rsidR="004E76AE" w:rsidRDefault="00BC3BE5" w:rsidP="003B79EE">
      <w:pPr>
        <w:contextualSpacing/>
        <w:jc w:val="both"/>
        <w:rPr>
          <w:rFonts w:ascii="Arial" w:hAnsi="Arial" w:cs="Arial"/>
          <w:sz w:val="22"/>
          <w:lang w:val="en-AU" w:eastAsia="en-AU"/>
        </w:rPr>
      </w:pPr>
      <w:r w:rsidRPr="00BC3BE5">
        <w:rPr>
          <w:rFonts w:ascii="Arial" w:hAnsi="Arial" w:cs="Arial"/>
          <w:sz w:val="22"/>
          <w:lang w:val="en-AU" w:eastAsia="en-AU"/>
        </w:rPr>
        <w:t xml:space="preserve">The PBAC </w:t>
      </w:r>
      <w:r w:rsidR="003B79EE" w:rsidRPr="003B79EE">
        <w:rPr>
          <w:rFonts w:ascii="Arial" w:hAnsi="Arial" w:cs="Arial"/>
          <w:sz w:val="22"/>
          <w:lang w:val="en-AU" w:eastAsia="en-AU"/>
        </w:rPr>
        <w:t xml:space="preserve">noted the outcomes of the report; particularly that use was much higher than expected, especially in </w:t>
      </w:r>
      <w:r w:rsidR="003B79EE">
        <w:rPr>
          <w:rFonts w:ascii="Arial" w:hAnsi="Arial" w:cs="Arial"/>
          <w:sz w:val="22"/>
          <w:lang w:val="en-AU" w:eastAsia="en-AU"/>
        </w:rPr>
        <w:t>the first year</w:t>
      </w:r>
      <w:r w:rsidR="003B79EE" w:rsidRPr="003B79EE">
        <w:rPr>
          <w:rFonts w:ascii="Arial" w:hAnsi="Arial" w:cs="Arial"/>
          <w:sz w:val="22"/>
          <w:lang w:val="en-AU" w:eastAsia="en-AU"/>
        </w:rPr>
        <w:t xml:space="preserve"> of listing; and that there were fewer discontinuations and paediatric patients than expected. These factors all contributed t</w:t>
      </w:r>
      <w:r w:rsidR="003B79EE">
        <w:rPr>
          <w:rFonts w:ascii="Arial" w:hAnsi="Arial" w:cs="Arial"/>
          <w:sz w:val="22"/>
          <w:lang w:val="en-AU" w:eastAsia="en-AU"/>
        </w:rPr>
        <w:t xml:space="preserve">o higher than expected costs. </w:t>
      </w:r>
      <w:r w:rsidR="003B79EE" w:rsidRPr="003B79EE">
        <w:rPr>
          <w:rFonts w:ascii="Arial" w:hAnsi="Arial" w:cs="Arial"/>
          <w:sz w:val="22"/>
          <w:lang w:val="en-AU" w:eastAsia="en-AU"/>
        </w:rPr>
        <w:t>The PBAC recalled changes to the restrictions and administrative arrangements from 1 January 2017 and considered that further time is required to before the impact of these changes can be assessed. The PBAC suggested a brief review in 12 months’ time to report on the number of initiating and prevalent patients, and the extent of continuation, stopping and restarting therapy. The PBAC requested a more detailed</w:t>
      </w:r>
      <w:r w:rsidR="003B79EE">
        <w:rPr>
          <w:rFonts w:ascii="Arial" w:hAnsi="Arial" w:cs="Arial"/>
          <w:sz w:val="22"/>
          <w:lang w:val="en-AU" w:eastAsia="en-AU"/>
        </w:rPr>
        <w:t xml:space="preserve"> </w:t>
      </w:r>
      <w:r w:rsidR="003B79EE" w:rsidRPr="003B79EE">
        <w:rPr>
          <w:rFonts w:ascii="Arial" w:hAnsi="Arial" w:cs="Arial"/>
          <w:sz w:val="22"/>
          <w:lang w:val="en-AU" w:eastAsia="en-AU"/>
        </w:rPr>
        <w:t xml:space="preserve">review of </w:t>
      </w:r>
      <w:proofErr w:type="spellStart"/>
      <w:r w:rsidR="003B79EE" w:rsidRPr="003B79EE">
        <w:rPr>
          <w:rFonts w:ascii="Arial" w:hAnsi="Arial" w:cs="Arial"/>
          <w:sz w:val="22"/>
          <w:lang w:val="en-AU" w:eastAsia="en-AU"/>
        </w:rPr>
        <w:t>eculizumab</w:t>
      </w:r>
      <w:proofErr w:type="spellEnd"/>
      <w:r w:rsidR="003B79EE" w:rsidRPr="003B79EE">
        <w:rPr>
          <w:rFonts w:ascii="Arial" w:hAnsi="Arial" w:cs="Arial"/>
          <w:sz w:val="22"/>
          <w:lang w:val="en-AU" w:eastAsia="en-AU"/>
        </w:rPr>
        <w:t xml:space="preserve"> use when there are 24 months’ data post the January 2017 restriction changes.</w:t>
      </w:r>
    </w:p>
    <w:p w:rsidR="00AD37E5" w:rsidRDefault="00AD37E5" w:rsidP="00DA2A81">
      <w:pPr>
        <w:contextualSpacing/>
        <w:jc w:val="both"/>
        <w:rPr>
          <w:rFonts w:ascii="Arial" w:hAnsi="Arial" w:cs="Arial"/>
          <w:sz w:val="22"/>
          <w:lang w:val="en-AU" w:eastAsia="en-AU"/>
        </w:rPr>
      </w:pPr>
    </w:p>
    <w:p w:rsidR="00AD37E5" w:rsidRPr="00DA2A81" w:rsidRDefault="003C2B83" w:rsidP="00BD7F4A">
      <w:pPr>
        <w:pStyle w:val="DepartmentalHeading2"/>
        <w:spacing w:before="0" w:after="0"/>
        <w:jc w:val="both"/>
        <w:rPr>
          <w:rFonts w:cs="Arial"/>
          <w:b w:val="0"/>
          <w:bCs/>
          <w:sz w:val="22"/>
        </w:rPr>
      </w:pPr>
      <w:r>
        <w:rPr>
          <w:rFonts w:cs="Arial"/>
          <w:sz w:val="22"/>
        </w:rPr>
        <w:t>Nanoparticle albumin-bound paclitaxel for pancreatic cancer</w:t>
      </w:r>
      <w:r w:rsidR="00AD37E5" w:rsidRPr="00DA2A81">
        <w:rPr>
          <w:rFonts w:cs="Arial"/>
          <w:bCs/>
          <w:sz w:val="22"/>
        </w:rPr>
        <w:t xml:space="preserve"> </w:t>
      </w:r>
    </w:p>
    <w:p w:rsidR="00AD37E5" w:rsidRPr="00A31269" w:rsidRDefault="00AD37E5" w:rsidP="00AD37E5">
      <w:pPr>
        <w:contextualSpacing/>
        <w:jc w:val="both"/>
        <w:rPr>
          <w:rFonts w:ascii="Arial" w:hAnsi="Arial" w:cs="Arial"/>
          <w:b/>
          <w:sz w:val="22"/>
          <w:lang w:val="en-AU" w:eastAsia="en-AU"/>
        </w:rPr>
      </w:pPr>
    </w:p>
    <w:p w:rsidR="00AD37E5" w:rsidRPr="007178BA" w:rsidRDefault="00AD37E5" w:rsidP="00AD37E5">
      <w:pPr>
        <w:contextualSpacing/>
        <w:jc w:val="both"/>
        <w:rPr>
          <w:rFonts w:ascii="Arial" w:hAnsi="Arial" w:cs="Arial"/>
          <w:bCs/>
          <w:sz w:val="22"/>
          <w:lang w:val="en-AU" w:eastAsia="en-AU"/>
        </w:rPr>
      </w:pPr>
      <w:r w:rsidRPr="00CB56CD">
        <w:rPr>
          <w:rFonts w:ascii="Arial" w:hAnsi="Arial" w:cs="Arial"/>
          <w:sz w:val="22"/>
          <w:lang w:val="en-AU" w:eastAsia="en-AU"/>
        </w:rPr>
        <w:t>This report</w:t>
      </w:r>
      <w:r w:rsidR="005166A6">
        <w:rPr>
          <w:rFonts w:ascii="Arial" w:hAnsi="Arial" w:cs="Arial"/>
          <w:sz w:val="22"/>
          <w:lang w:val="en-AU" w:eastAsia="en-AU"/>
        </w:rPr>
        <w:t xml:space="preserve"> considered the</w:t>
      </w:r>
      <w:r w:rsidRPr="00CB56CD">
        <w:rPr>
          <w:rFonts w:ascii="Arial" w:hAnsi="Arial" w:cs="Arial"/>
          <w:sz w:val="22"/>
          <w:lang w:val="en-AU" w:eastAsia="en-AU"/>
        </w:rPr>
        <w:t xml:space="preserve"> </w:t>
      </w:r>
      <w:r w:rsidR="005166A6" w:rsidRPr="005166A6">
        <w:rPr>
          <w:rFonts w:ascii="Arial" w:hAnsi="Arial" w:cs="Arial"/>
          <w:sz w:val="22"/>
          <w:lang w:val="en-AU" w:eastAsia="en-AU"/>
        </w:rPr>
        <w:t>predicted and actual use of nanoparticle albumin-bound paclitaxel (nab-paclitaxel</w:t>
      </w:r>
      <w:r w:rsidR="005166A6">
        <w:rPr>
          <w:rFonts w:ascii="Arial" w:hAnsi="Arial" w:cs="Arial"/>
          <w:sz w:val="22"/>
          <w:lang w:val="en-AU" w:eastAsia="en-AU"/>
        </w:rPr>
        <w:t xml:space="preserve">) </w:t>
      </w:r>
      <w:r w:rsidR="005166A6" w:rsidRPr="005166A6">
        <w:rPr>
          <w:rFonts w:ascii="Arial" w:hAnsi="Arial" w:cs="Arial"/>
          <w:sz w:val="22"/>
          <w:lang w:val="en-AU" w:eastAsia="en-AU"/>
        </w:rPr>
        <w:t>for stage IV (metastatic) adenocarcinoma of the pancreas in the first 24 months of listing from November 2014.</w:t>
      </w:r>
    </w:p>
    <w:p w:rsidR="00AD37E5" w:rsidRDefault="00AD37E5" w:rsidP="00AD37E5">
      <w:pPr>
        <w:contextualSpacing/>
        <w:jc w:val="both"/>
        <w:rPr>
          <w:rFonts w:ascii="Arial" w:hAnsi="Arial" w:cs="Arial"/>
          <w:sz w:val="22"/>
          <w:lang w:val="en-AU" w:eastAsia="en-AU"/>
        </w:rPr>
      </w:pPr>
    </w:p>
    <w:p w:rsidR="00AD37E5" w:rsidRPr="00BC3BE5" w:rsidRDefault="00AD37E5" w:rsidP="00AD37E5">
      <w:pPr>
        <w:contextualSpacing/>
        <w:jc w:val="both"/>
        <w:rPr>
          <w:rFonts w:ascii="Arial" w:hAnsi="Arial" w:cs="Arial"/>
          <w:i/>
          <w:sz w:val="22"/>
          <w:lang w:val="en-AU" w:eastAsia="en-AU"/>
        </w:rPr>
      </w:pPr>
      <w:r w:rsidRPr="00BC3BE5">
        <w:rPr>
          <w:rFonts w:ascii="Arial" w:hAnsi="Arial" w:cs="Arial"/>
          <w:i/>
          <w:sz w:val="22"/>
          <w:lang w:val="en-AU" w:eastAsia="en-AU"/>
        </w:rPr>
        <w:t>Outcome</w:t>
      </w:r>
    </w:p>
    <w:p w:rsidR="005642B3" w:rsidRDefault="005166A6" w:rsidP="005642B3">
      <w:pPr>
        <w:contextualSpacing/>
        <w:jc w:val="both"/>
        <w:rPr>
          <w:rFonts w:ascii="Arial" w:hAnsi="Arial" w:cs="Arial"/>
          <w:sz w:val="22"/>
          <w:lang w:val="en-AU" w:eastAsia="en-AU"/>
        </w:rPr>
      </w:pPr>
      <w:r w:rsidRPr="00BC3BE5">
        <w:rPr>
          <w:rFonts w:ascii="Arial" w:hAnsi="Arial" w:cs="Arial"/>
          <w:sz w:val="22"/>
          <w:lang w:val="en-AU" w:eastAsia="en-AU"/>
        </w:rPr>
        <w:t xml:space="preserve">The PBAC </w:t>
      </w:r>
      <w:r w:rsidRPr="007178BA">
        <w:rPr>
          <w:rFonts w:ascii="Arial" w:hAnsi="Arial" w:cs="Arial"/>
          <w:sz w:val="22"/>
          <w:lang w:val="en-AU" w:eastAsia="en-AU"/>
        </w:rPr>
        <w:t>noted the report and recommended no further action.</w:t>
      </w:r>
    </w:p>
    <w:p w:rsidR="005642B3" w:rsidRDefault="005642B3" w:rsidP="005642B3">
      <w:pPr>
        <w:contextualSpacing/>
        <w:jc w:val="both"/>
        <w:rPr>
          <w:rFonts w:ascii="Arial" w:hAnsi="Arial" w:cs="Arial"/>
          <w:sz w:val="22"/>
          <w:lang w:val="en-AU" w:eastAsia="en-AU"/>
        </w:rPr>
      </w:pPr>
    </w:p>
    <w:p w:rsidR="00AD37E5" w:rsidRDefault="003C2B83" w:rsidP="00BD7F4A">
      <w:pPr>
        <w:pStyle w:val="DepartmentalHeading2"/>
        <w:spacing w:before="0" w:after="0"/>
        <w:jc w:val="both"/>
        <w:rPr>
          <w:rFonts w:cs="Arial"/>
          <w:b w:val="0"/>
          <w:sz w:val="22"/>
        </w:rPr>
      </w:pPr>
      <w:r w:rsidRPr="005642B3">
        <w:rPr>
          <w:rFonts w:cs="Arial"/>
          <w:sz w:val="22"/>
        </w:rPr>
        <w:lastRenderedPageBreak/>
        <w:t>Multiple myeloma</w:t>
      </w:r>
    </w:p>
    <w:p w:rsidR="005642B3" w:rsidRPr="005642B3" w:rsidRDefault="005642B3" w:rsidP="005642B3">
      <w:pPr>
        <w:keepNext/>
        <w:contextualSpacing/>
        <w:jc w:val="both"/>
        <w:rPr>
          <w:rFonts w:ascii="Arial" w:hAnsi="Arial" w:cs="Arial"/>
          <w:b/>
          <w:sz w:val="22"/>
          <w:lang w:val="en-AU" w:eastAsia="en-AU"/>
        </w:rPr>
      </w:pPr>
    </w:p>
    <w:p w:rsidR="005642B3" w:rsidRPr="005642B3" w:rsidRDefault="00AD37E5" w:rsidP="005642B3">
      <w:pPr>
        <w:contextualSpacing/>
        <w:jc w:val="both"/>
        <w:rPr>
          <w:rFonts w:ascii="Arial" w:hAnsi="Arial" w:cs="Arial"/>
          <w:bCs/>
          <w:sz w:val="22"/>
          <w:lang w:val="en-AU" w:eastAsia="en-AU"/>
        </w:rPr>
      </w:pPr>
      <w:r w:rsidRPr="005642B3">
        <w:rPr>
          <w:rFonts w:ascii="Arial" w:hAnsi="Arial" w:cs="Arial"/>
          <w:sz w:val="22"/>
          <w:lang w:val="en-AU" w:eastAsia="en-AU"/>
        </w:rPr>
        <w:t xml:space="preserve">This report </w:t>
      </w:r>
      <w:r w:rsidR="005642B3" w:rsidRPr="005642B3">
        <w:rPr>
          <w:rFonts w:ascii="Arial" w:hAnsi="Arial" w:cs="Arial"/>
          <w:sz w:val="22"/>
          <w:lang w:val="en-AU" w:eastAsia="en-AU"/>
        </w:rPr>
        <w:t xml:space="preserve">considered </w:t>
      </w:r>
      <w:r w:rsidR="005642B3" w:rsidRPr="005642B3">
        <w:rPr>
          <w:rFonts w:ascii="Arial" w:hAnsi="Arial" w:cs="Arial"/>
          <w:bCs/>
          <w:sz w:val="22"/>
          <w:lang w:val="en-AU" w:eastAsia="en-AU"/>
        </w:rPr>
        <w:t xml:space="preserve">the use of </w:t>
      </w:r>
      <w:proofErr w:type="spellStart"/>
      <w:r w:rsidR="005642B3" w:rsidRPr="005642B3">
        <w:rPr>
          <w:rFonts w:ascii="Arial" w:hAnsi="Arial" w:cs="Arial"/>
          <w:bCs/>
          <w:sz w:val="22"/>
          <w:lang w:val="en-AU" w:eastAsia="en-AU"/>
        </w:rPr>
        <w:t>bortezomib</w:t>
      </w:r>
      <w:proofErr w:type="spellEnd"/>
      <w:r w:rsidR="005642B3" w:rsidRPr="005642B3">
        <w:rPr>
          <w:rFonts w:ascii="Arial" w:hAnsi="Arial" w:cs="Arial"/>
          <w:bCs/>
          <w:sz w:val="22"/>
          <w:lang w:val="en-AU" w:eastAsia="en-AU"/>
        </w:rPr>
        <w:t xml:space="preserve">, </w:t>
      </w:r>
      <w:proofErr w:type="spellStart"/>
      <w:r w:rsidR="005642B3" w:rsidRPr="005642B3">
        <w:rPr>
          <w:rFonts w:ascii="Arial" w:hAnsi="Arial" w:cs="Arial"/>
          <w:bCs/>
          <w:sz w:val="22"/>
          <w:lang w:val="en-AU" w:eastAsia="en-AU"/>
        </w:rPr>
        <w:t>lenalidomide</w:t>
      </w:r>
      <w:proofErr w:type="spellEnd"/>
      <w:r w:rsidR="005642B3" w:rsidRPr="005642B3">
        <w:rPr>
          <w:rFonts w:ascii="Arial" w:hAnsi="Arial" w:cs="Arial"/>
          <w:bCs/>
          <w:sz w:val="22"/>
          <w:lang w:val="en-AU" w:eastAsia="en-AU"/>
        </w:rPr>
        <w:t xml:space="preserve">, </w:t>
      </w:r>
      <w:proofErr w:type="spellStart"/>
      <w:r w:rsidR="005642B3" w:rsidRPr="005642B3">
        <w:rPr>
          <w:rFonts w:ascii="Arial" w:hAnsi="Arial" w:cs="Arial"/>
          <w:bCs/>
          <w:sz w:val="22"/>
          <w:lang w:val="en-AU" w:eastAsia="en-AU"/>
        </w:rPr>
        <w:t>pomalidomide</w:t>
      </w:r>
      <w:proofErr w:type="spellEnd"/>
      <w:r w:rsidR="005642B3" w:rsidRPr="005642B3">
        <w:rPr>
          <w:rFonts w:ascii="Arial" w:hAnsi="Arial" w:cs="Arial"/>
          <w:bCs/>
          <w:sz w:val="22"/>
          <w:lang w:val="en-AU" w:eastAsia="en-AU"/>
        </w:rPr>
        <w:t xml:space="preserve"> and thalidomide for the treatment of multiple myeloma.</w:t>
      </w:r>
      <w:r w:rsidR="005642B3">
        <w:rPr>
          <w:rFonts w:ascii="Arial" w:hAnsi="Arial" w:cs="Arial"/>
          <w:bCs/>
          <w:sz w:val="22"/>
          <w:lang w:val="en-AU" w:eastAsia="en-AU"/>
        </w:rPr>
        <w:t xml:space="preserve"> T</w:t>
      </w:r>
      <w:r w:rsidR="005642B3" w:rsidRPr="005642B3">
        <w:rPr>
          <w:rFonts w:ascii="Arial" w:hAnsi="Arial" w:cs="Arial"/>
          <w:bCs/>
          <w:sz w:val="22"/>
          <w:lang w:val="en-AU" w:eastAsia="en-AU"/>
        </w:rPr>
        <w:t>he number of pa</w:t>
      </w:r>
      <w:r w:rsidR="005642B3">
        <w:rPr>
          <w:rFonts w:ascii="Arial" w:hAnsi="Arial" w:cs="Arial"/>
          <w:bCs/>
          <w:sz w:val="22"/>
          <w:lang w:val="en-AU" w:eastAsia="en-AU"/>
        </w:rPr>
        <w:t>tients with multiple myeloma has</w:t>
      </w:r>
      <w:r w:rsidR="005642B3" w:rsidRPr="005642B3">
        <w:rPr>
          <w:rFonts w:ascii="Arial" w:hAnsi="Arial" w:cs="Arial"/>
          <w:bCs/>
          <w:sz w:val="22"/>
          <w:lang w:val="en-AU" w:eastAsia="en-AU"/>
        </w:rPr>
        <w:t xml:space="preserve"> increased over time</w:t>
      </w:r>
      <w:r w:rsidR="005642B3">
        <w:rPr>
          <w:rFonts w:ascii="Arial" w:hAnsi="Arial" w:cs="Arial"/>
          <w:bCs/>
          <w:sz w:val="22"/>
          <w:lang w:val="en-AU" w:eastAsia="en-AU"/>
        </w:rPr>
        <w:t>, which</w:t>
      </w:r>
      <w:r w:rsidR="005642B3" w:rsidRPr="005642B3">
        <w:rPr>
          <w:rFonts w:ascii="Arial" w:hAnsi="Arial" w:cs="Arial"/>
          <w:bCs/>
          <w:sz w:val="22"/>
          <w:lang w:val="en-AU" w:eastAsia="en-AU"/>
        </w:rPr>
        <w:t xml:space="preserve"> may reflect an improving life expectancy of multiple myeloma patients from advances in treatment. </w:t>
      </w:r>
    </w:p>
    <w:p w:rsidR="005642B3" w:rsidRDefault="005642B3" w:rsidP="005642B3">
      <w:pPr>
        <w:contextualSpacing/>
        <w:jc w:val="both"/>
        <w:rPr>
          <w:rFonts w:ascii="Arial" w:hAnsi="Arial" w:cs="Arial"/>
          <w:bCs/>
          <w:sz w:val="22"/>
          <w:lang w:val="en-AU" w:eastAsia="en-AU"/>
        </w:rPr>
      </w:pPr>
    </w:p>
    <w:p w:rsidR="00AD37E5" w:rsidRDefault="005642B3" w:rsidP="00AD37E5">
      <w:pPr>
        <w:contextualSpacing/>
        <w:jc w:val="both"/>
        <w:rPr>
          <w:rFonts w:ascii="Arial" w:hAnsi="Arial" w:cs="Arial"/>
          <w:bCs/>
          <w:sz w:val="22"/>
          <w:lang w:val="en-AU" w:eastAsia="en-AU"/>
        </w:rPr>
      </w:pPr>
      <w:r w:rsidRPr="005642B3">
        <w:rPr>
          <w:rFonts w:ascii="Arial" w:hAnsi="Arial" w:cs="Arial"/>
          <w:bCs/>
          <w:sz w:val="22"/>
          <w:lang w:val="en-AU" w:eastAsia="en-AU"/>
        </w:rPr>
        <w:t>The DUSC noted that new clinical practice guidelines for the treatment of multiple myeloma were released by the Medical Scientific Advisory Group to the Myeloma Foundation of Australia in 2017. The DUSC considered that the introduction of the new guidelines had the potential to change the utilisation of medicines for multiple myeloma in the future.</w:t>
      </w:r>
    </w:p>
    <w:p w:rsidR="00F46B04" w:rsidRPr="00F46B04" w:rsidRDefault="00F46B04" w:rsidP="00AD37E5">
      <w:pPr>
        <w:contextualSpacing/>
        <w:jc w:val="both"/>
        <w:rPr>
          <w:rFonts w:ascii="Arial" w:hAnsi="Arial" w:cs="Arial"/>
          <w:bCs/>
          <w:sz w:val="22"/>
          <w:lang w:val="en-AU" w:eastAsia="en-AU"/>
        </w:rPr>
      </w:pPr>
    </w:p>
    <w:p w:rsidR="00AD37E5" w:rsidRPr="002F775E" w:rsidRDefault="00AD37E5" w:rsidP="00AD37E5">
      <w:pPr>
        <w:contextualSpacing/>
        <w:jc w:val="both"/>
        <w:rPr>
          <w:rFonts w:ascii="Arial" w:hAnsi="Arial" w:cs="Arial"/>
          <w:i/>
          <w:sz w:val="22"/>
          <w:lang w:val="en-AU" w:eastAsia="en-AU"/>
        </w:rPr>
      </w:pPr>
      <w:r w:rsidRPr="002F775E">
        <w:rPr>
          <w:rFonts w:ascii="Arial" w:hAnsi="Arial" w:cs="Arial"/>
          <w:i/>
          <w:sz w:val="22"/>
          <w:lang w:val="en-AU" w:eastAsia="en-AU"/>
        </w:rPr>
        <w:t>Outcome</w:t>
      </w:r>
    </w:p>
    <w:p w:rsidR="002F775E" w:rsidRPr="002F775E" w:rsidRDefault="005642B3" w:rsidP="002F775E">
      <w:pPr>
        <w:contextualSpacing/>
        <w:jc w:val="both"/>
        <w:rPr>
          <w:rFonts w:ascii="Arial" w:hAnsi="Arial" w:cs="Arial"/>
          <w:bCs/>
          <w:sz w:val="22"/>
          <w:lang w:val="en-AU" w:eastAsia="en-AU"/>
        </w:rPr>
      </w:pPr>
      <w:r w:rsidRPr="002F775E">
        <w:rPr>
          <w:rFonts w:ascii="Arial" w:hAnsi="Arial" w:cs="Arial"/>
          <w:bCs/>
          <w:sz w:val="22"/>
          <w:lang w:val="en-AU" w:eastAsia="en-AU"/>
        </w:rPr>
        <w:t xml:space="preserve">The PBAC noted that use of </w:t>
      </w:r>
      <w:proofErr w:type="spellStart"/>
      <w:r w:rsidRPr="002F775E">
        <w:rPr>
          <w:rFonts w:ascii="Arial" w:hAnsi="Arial" w:cs="Arial"/>
          <w:bCs/>
          <w:sz w:val="22"/>
          <w:lang w:val="en-AU" w:eastAsia="en-AU"/>
        </w:rPr>
        <w:t>bortezomib</w:t>
      </w:r>
      <w:proofErr w:type="spellEnd"/>
      <w:r w:rsidRPr="002F775E">
        <w:rPr>
          <w:rFonts w:ascii="Arial" w:hAnsi="Arial" w:cs="Arial"/>
          <w:bCs/>
          <w:sz w:val="22"/>
          <w:lang w:val="en-AU" w:eastAsia="en-AU"/>
        </w:rPr>
        <w:t xml:space="preserve">, </w:t>
      </w:r>
      <w:proofErr w:type="spellStart"/>
      <w:r w:rsidRPr="002F775E">
        <w:rPr>
          <w:rFonts w:ascii="Arial" w:hAnsi="Arial" w:cs="Arial"/>
          <w:bCs/>
          <w:sz w:val="22"/>
          <w:lang w:val="en-AU" w:eastAsia="en-AU"/>
        </w:rPr>
        <w:t>lenalidomide</w:t>
      </w:r>
      <w:proofErr w:type="spellEnd"/>
      <w:r w:rsidRPr="002F775E">
        <w:rPr>
          <w:rFonts w:ascii="Arial" w:hAnsi="Arial" w:cs="Arial"/>
          <w:bCs/>
          <w:sz w:val="22"/>
          <w:lang w:val="en-AU" w:eastAsia="en-AU"/>
        </w:rPr>
        <w:t xml:space="preserve">, </w:t>
      </w:r>
      <w:proofErr w:type="spellStart"/>
      <w:r w:rsidRPr="002F775E">
        <w:rPr>
          <w:rFonts w:ascii="Arial" w:hAnsi="Arial" w:cs="Arial"/>
          <w:bCs/>
          <w:sz w:val="22"/>
          <w:lang w:val="en-AU" w:eastAsia="en-AU"/>
        </w:rPr>
        <w:t>pomalidomide</w:t>
      </w:r>
      <w:proofErr w:type="spellEnd"/>
      <w:r w:rsidRPr="002F775E">
        <w:rPr>
          <w:rFonts w:ascii="Arial" w:hAnsi="Arial" w:cs="Arial"/>
          <w:bCs/>
          <w:sz w:val="22"/>
          <w:lang w:val="en-AU" w:eastAsia="en-AU"/>
        </w:rPr>
        <w:t xml:space="preserve"> and thalidomide for the treatment of multiple myeloma was consistent with restrictions. </w:t>
      </w:r>
      <w:r w:rsidR="002F775E" w:rsidRPr="002F775E">
        <w:rPr>
          <w:rFonts w:ascii="Arial" w:hAnsi="Arial" w:cs="Arial"/>
          <w:bCs/>
          <w:sz w:val="22"/>
          <w:lang w:val="en-AU" w:eastAsia="en-AU"/>
        </w:rPr>
        <w:t>The PBAC noted the availability of these medicines has improved survival for people with multiple myeloma.</w:t>
      </w:r>
    </w:p>
    <w:p w:rsidR="002F775E" w:rsidRDefault="002F775E" w:rsidP="002F775E">
      <w:pPr>
        <w:contextualSpacing/>
        <w:jc w:val="both"/>
        <w:rPr>
          <w:rFonts w:ascii="Arial" w:hAnsi="Arial" w:cs="Arial"/>
          <w:bCs/>
          <w:sz w:val="22"/>
          <w:lang w:val="en-AU" w:eastAsia="en-AU"/>
        </w:rPr>
      </w:pPr>
    </w:p>
    <w:p w:rsidR="002F775E" w:rsidRDefault="002F775E" w:rsidP="002F775E">
      <w:pPr>
        <w:contextualSpacing/>
        <w:jc w:val="both"/>
        <w:rPr>
          <w:rFonts w:ascii="Arial" w:hAnsi="Arial" w:cs="Arial"/>
          <w:bCs/>
          <w:sz w:val="22"/>
          <w:lang w:val="en-AU" w:eastAsia="en-AU"/>
        </w:rPr>
      </w:pPr>
      <w:r w:rsidRPr="002F775E">
        <w:rPr>
          <w:rFonts w:ascii="Arial" w:hAnsi="Arial" w:cs="Arial"/>
          <w:bCs/>
          <w:sz w:val="22"/>
          <w:lang w:val="en-AU" w:eastAsia="en-AU"/>
        </w:rPr>
        <w:t>The PBAC considered that the requirement for written authority approval had ensured that prescribing remained in accordance with subsidy criteria. The PBAC acknowledged the high administrative burden for haematologists seeking approval to prescribe these agents.</w:t>
      </w:r>
    </w:p>
    <w:p w:rsidR="002F775E" w:rsidRPr="002F775E" w:rsidRDefault="002F775E" w:rsidP="002F775E">
      <w:pPr>
        <w:contextualSpacing/>
        <w:jc w:val="both"/>
        <w:rPr>
          <w:rFonts w:ascii="Arial" w:hAnsi="Arial" w:cs="Arial"/>
          <w:bCs/>
          <w:sz w:val="22"/>
          <w:lang w:val="en-AU" w:eastAsia="en-AU"/>
        </w:rPr>
      </w:pPr>
      <w:r w:rsidRPr="002F775E">
        <w:rPr>
          <w:rFonts w:ascii="Arial" w:hAnsi="Arial" w:cs="Arial"/>
          <w:bCs/>
          <w:sz w:val="22"/>
          <w:lang w:val="en-AU" w:eastAsia="en-AU"/>
        </w:rPr>
        <w:t xml:space="preserve"> </w:t>
      </w:r>
    </w:p>
    <w:p w:rsidR="002F775E" w:rsidRPr="002F775E" w:rsidRDefault="002F775E" w:rsidP="002F775E">
      <w:pPr>
        <w:contextualSpacing/>
        <w:jc w:val="both"/>
        <w:rPr>
          <w:rFonts w:ascii="Arial" w:hAnsi="Arial" w:cs="Arial"/>
          <w:sz w:val="22"/>
          <w:lang w:val="en-AU" w:eastAsia="en-AU"/>
        </w:rPr>
      </w:pPr>
      <w:r w:rsidRPr="002F775E">
        <w:rPr>
          <w:rFonts w:ascii="Arial" w:hAnsi="Arial" w:cs="Arial"/>
          <w:sz w:val="22"/>
          <w:lang w:val="en-AU" w:eastAsia="en-AU"/>
        </w:rPr>
        <w:t>The PBAC noted that there are combination therapies and maintenance regimens recommended in the Guidelines that are not included the Product Information of the medicines, and are not allowable under the current PBS restrictions. The PBAC considered that the range of regimens used in practice would not be visible from PBAC utilisation data alone.</w:t>
      </w:r>
    </w:p>
    <w:p w:rsidR="002F775E" w:rsidRPr="002F775E" w:rsidRDefault="002F775E" w:rsidP="002F775E">
      <w:pPr>
        <w:contextualSpacing/>
        <w:jc w:val="both"/>
        <w:rPr>
          <w:rFonts w:ascii="Arial" w:hAnsi="Arial" w:cs="Arial"/>
          <w:sz w:val="22"/>
          <w:lang w:val="en-AU" w:eastAsia="en-AU"/>
        </w:rPr>
      </w:pPr>
    </w:p>
    <w:p w:rsidR="002F775E" w:rsidRPr="002F775E" w:rsidRDefault="002F775E" w:rsidP="002F775E">
      <w:pPr>
        <w:contextualSpacing/>
        <w:jc w:val="both"/>
        <w:rPr>
          <w:rFonts w:ascii="Arial" w:hAnsi="Arial" w:cs="Arial"/>
          <w:sz w:val="22"/>
          <w:lang w:val="en-AU" w:eastAsia="en-AU"/>
        </w:rPr>
      </w:pPr>
      <w:r w:rsidRPr="002F775E">
        <w:rPr>
          <w:rFonts w:ascii="Arial" w:hAnsi="Arial" w:cs="Arial"/>
          <w:sz w:val="22"/>
          <w:lang w:val="en-AU" w:eastAsia="en-AU"/>
        </w:rPr>
        <w:t xml:space="preserve">The PBAC requested advice is sought from </w:t>
      </w:r>
      <w:r>
        <w:rPr>
          <w:rFonts w:ascii="Arial" w:hAnsi="Arial" w:cs="Arial"/>
          <w:sz w:val="22"/>
          <w:lang w:val="en-AU" w:eastAsia="en-AU"/>
        </w:rPr>
        <w:t xml:space="preserve">relevant clinical groups </w:t>
      </w:r>
      <w:r w:rsidRPr="002F775E">
        <w:rPr>
          <w:rFonts w:ascii="Arial" w:hAnsi="Arial" w:cs="Arial"/>
          <w:sz w:val="22"/>
          <w:lang w:val="en-AU" w:eastAsia="en-AU"/>
        </w:rPr>
        <w:t>regarding whether the PBS restrictions for multiple myeloma medicines adequately reflect current clinical practice.</w:t>
      </w:r>
    </w:p>
    <w:sectPr w:rsidR="002F775E" w:rsidRPr="002F775E" w:rsidSect="007A2421">
      <w:headerReference w:type="default" r:id="rId10"/>
      <w:footerReference w:type="default" r:id="rId11"/>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DB4C41">
      <w:rPr>
        <w:rFonts w:ascii="Arial" w:hAnsi="Arial" w:cs="Arial"/>
        <w:noProof/>
        <w:sz w:val="22"/>
      </w:rPr>
      <w:t>1</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36" w:rsidRDefault="00397836">
      <w:r>
        <w:separator/>
      </w:r>
    </w:p>
  </w:footnote>
  <w:footnote w:type="continuationSeparator" w:id="0">
    <w:p w:rsidR="00397836" w:rsidRDefault="00397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A32269" w:rsidP="004630FE">
    <w:pPr>
      <w:tabs>
        <w:tab w:val="center" w:pos="4153"/>
        <w:tab w:val="right" w:pos="8306"/>
      </w:tabs>
      <w:jc w:val="center"/>
      <w:rPr>
        <w:rFonts w:ascii="Arial" w:hAnsi="Arial" w:cs="Arial"/>
        <w:b/>
        <w:sz w:val="20"/>
      </w:rPr>
    </w:pPr>
    <w:r>
      <w:rPr>
        <w:rFonts w:ascii="Arial" w:hAnsi="Arial" w:cs="Arial"/>
        <w:b/>
        <w:sz w:val="20"/>
      </w:rPr>
      <w:t xml:space="preserve">NOVEMBER </w:t>
    </w:r>
    <w:r w:rsidR="00341E66" w:rsidRPr="00341E66">
      <w:rPr>
        <w:rFonts w:ascii="Arial" w:hAnsi="Arial" w:cs="Arial"/>
        <w:b/>
        <w:sz w:val="20"/>
      </w:rPr>
      <w:t xml:space="preserve">2017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095F78"/>
    <w:rsid w:val="000A2CDC"/>
    <w:rsid w:val="000B2DD0"/>
    <w:rsid w:val="001304EB"/>
    <w:rsid w:val="001416A4"/>
    <w:rsid w:val="00156D69"/>
    <w:rsid w:val="001D0B69"/>
    <w:rsid w:val="001D45AF"/>
    <w:rsid w:val="00251848"/>
    <w:rsid w:val="00267A9D"/>
    <w:rsid w:val="0028590B"/>
    <w:rsid w:val="002D4006"/>
    <w:rsid w:val="002F775E"/>
    <w:rsid w:val="003172AB"/>
    <w:rsid w:val="00341E66"/>
    <w:rsid w:val="00385940"/>
    <w:rsid w:val="00397836"/>
    <w:rsid w:val="003B79EE"/>
    <w:rsid w:val="003C2B83"/>
    <w:rsid w:val="004630FE"/>
    <w:rsid w:val="00464DA0"/>
    <w:rsid w:val="004D4DEE"/>
    <w:rsid w:val="004E76AE"/>
    <w:rsid w:val="005166A6"/>
    <w:rsid w:val="005642B3"/>
    <w:rsid w:val="00565336"/>
    <w:rsid w:val="005959F6"/>
    <w:rsid w:val="006102C6"/>
    <w:rsid w:val="00641F0C"/>
    <w:rsid w:val="00666863"/>
    <w:rsid w:val="00677683"/>
    <w:rsid w:val="006847AC"/>
    <w:rsid w:val="006A2EB2"/>
    <w:rsid w:val="006E57A3"/>
    <w:rsid w:val="0070348A"/>
    <w:rsid w:val="007178BA"/>
    <w:rsid w:val="0072010F"/>
    <w:rsid w:val="007A2421"/>
    <w:rsid w:val="007C758A"/>
    <w:rsid w:val="007F4E20"/>
    <w:rsid w:val="00816A6C"/>
    <w:rsid w:val="008545D1"/>
    <w:rsid w:val="008842CE"/>
    <w:rsid w:val="00890D53"/>
    <w:rsid w:val="008A4311"/>
    <w:rsid w:val="00922E47"/>
    <w:rsid w:val="00933952"/>
    <w:rsid w:val="00970B9E"/>
    <w:rsid w:val="009E7E00"/>
    <w:rsid w:val="009F59FB"/>
    <w:rsid w:val="00A0539F"/>
    <w:rsid w:val="00A31269"/>
    <w:rsid w:val="00A32269"/>
    <w:rsid w:val="00A70179"/>
    <w:rsid w:val="00A74CCD"/>
    <w:rsid w:val="00A9331B"/>
    <w:rsid w:val="00AC0FFB"/>
    <w:rsid w:val="00AD37E5"/>
    <w:rsid w:val="00AF3B3E"/>
    <w:rsid w:val="00B532C3"/>
    <w:rsid w:val="00B94AFC"/>
    <w:rsid w:val="00BA0860"/>
    <w:rsid w:val="00BC3BE5"/>
    <w:rsid w:val="00BD7F4A"/>
    <w:rsid w:val="00BE4405"/>
    <w:rsid w:val="00CB56CD"/>
    <w:rsid w:val="00CD2ADF"/>
    <w:rsid w:val="00D47451"/>
    <w:rsid w:val="00D7136A"/>
    <w:rsid w:val="00DA2A81"/>
    <w:rsid w:val="00DB4C41"/>
    <w:rsid w:val="00DC7A41"/>
    <w:rsid w:val="00E16015"/>
    <w:rsid w:val="00E25A33"/>
    <w:rsid w:val="00E65BFD"/>
    <w:rsid w:val="00EA43F8"/>
    <w:rsid w:val="00EB38E2"/>
    <w:rsid w:val="00F46B04"/>
    <w:rsid w:val="00F514E4"/>
    <w:rsid w:val="00F628C7"/>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1">
    <w:name w:val="heading 1"/>
    <w:basedOn w:val="Normal"/>
    <w:next w:val="Normal"/>
    <w:link w:val="Heading1Char"/>
    <w:uiPriority w:val="9"/>
    <w:qFormat/>
    <w:rsid w:val="00BD7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 w:type="character" w:customStyle="1" w:styleId="Heading1Char">
    <w:name w:val="Heading 1 Char"/>
    <w:basedOn w:val="DefaultParagraphFont"/>
    <w:link w:val="Heading1"/>
    <w:uiPriority w:val="9"/>
    <w:rsid w:val="00BD7F4A"/>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1">
    <w:name w:val="heading 1"/>
    <w:basedOn w:val="Normal"/>
    <w:next w:val="Normal"/>
    <w:link w:val="Heading1Char"/>
    <w:uiPriority w:val="9"/>
    <w:qFormat/>
    <w:rsid w:val="00BD7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 w:type="character" w:customStyle="1" w:styleId="Heading1Char">
    <w:name w:val="Heading 1 Char"/>
    <w:basedOn w:val="DefaultParagraphFont"/>
    <w:link w:val="Heading1"/>
    <w:uiPriority w:val="9"/>
    <w:rsid w:val="00BD7F4A"/>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info/industry/listing/elements/dusc-meetings/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AC2C-1B8C-4565-A521-00398A9B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862003AF.dotm</Template>
  <TotalTime>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2017-08-07T05:24:00Z</dcterms:created>
  <dcterms:modified xsi:type="dcterms:W3CDTF">2017-12-11T12:24:00Z</dcterms:modified>
</cp:coreProperties>
</file>