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843" w:type="dxa"/>
        <w:tblLayout w:type="fixed"/>
        <w:tblLook w:val="04A0" w:firstRow="1" w:lastRow="0" w:firstColumn="1" w:lastColumn="0" w:noHBand="0" w:noVBand="1"/>
      </w:tblPr>
      <w:tblGrid>
        <w:gridCol w:w="2127"/>
        <w:gridCol w:w="2409"/>
        <w:gridCol w:w="2126"/>
        <w:gridCol w:w="3827"/>
        <w:gridCol w:w="5354"/>
      </w:tblGrid>
      <w:tr w:rsidR="0010394D" w:rsidRPr="00733A6B" w:rsidTr="00DC2A80">
        <w:trPr>
          <w:tblHeader/>
        </w:trPr>
        <w:tc>
          <w:tcPr>
            <w:tcW w:w="2127" w:type="dxa"/>
          </w:tcPr>
          <w:p w:rsidR="0010394D" w:rsidRPr="00733A6B" w:rsidRDefault="001047FA" w:rsidP="00400672">
            <w:pPr>
              <w:pStyle w:val="Header"/>
              <w:spacing w:after="240"/>
              <w:contextualSpacing/>
              <w:jc w:val="center"/>
              <w:rPr>
                <w:rFonts w:ascii="Arial" w:hAnsi="Arial" w:cs="Arial"/>
                <w:b/>
                <w:snapToGrid w:val="0"/>
                <w:sz w:val="20"/>
                <w:lang w:eastAsia="en-US"/>
              </w:rPr>
            </w:pPr>
            <w:r w:rsidRPr="00733A6B">
              <w:rPr>
                <w:rFonts w:ascii="Arial" w:hAnsi="Arial" w:cs="Arial"/>
                <w:b/>
                <w:snapToGrid w:val="0"/>
                <w:sz w:val="20"/>
                <w:lang w:eastAsia="en-US"/>
              </w:rPr>
              <w:t>DRUG NAME, FORM(S), STRENGTH(S), SPONSOR, TYPE OF SUBMISSION</w:t>
            </w:r>
          </w:p>
        </w:tc>
        <w:tc>
          <w:tcPr>
            <w:tcW w:w="2409" w:type="dxa"/>
          </w:tcPr>
          <w:p w:rsidR="001047FA" w:rsidRPr="00733A6B" w:rsidRDefault="001047FA" w:rsidP="00400672">
            <w:pPr>
              <w:pStyle w:val="Header"/>
              <w:spacing w:after="240"/>
              <w:contextualSpacing/>
              <w:jc w:val="center"/>
              <w:rPr>
                <w:rFonts w:ascii="Arial" w:hAnsi="Arial" w:cs="Arial"/>
                <w:b/>
                <w:snapToGrid w:val="0"/>
                <w:sz w:val="20"/>
                <w:lang w:eastAsia="en-US"/>
              </w:rPr>
            </w:pPr>
            <w:r w:rsidRPr="00733A6B">
              <w:rPr>
                <w:rFonts w:ascii="Arial" w:hAnsi="Arial" w:cs="Arial"/>
                <w:b/>
                <w:snapToGrid w:val="0"/>
                <w:sz w:val="20"/>
                <w:lang w:eastAsia="en-US"/>
              </w:rPr>
              <w:t>TGA INDICATION</w:t>
            </w:r>
          </w:p>
          <w:p w:rsidR="0010394D" w:rsidRPr="00733A6B" w:rsidRDefault="0010394D" w:rsidP="00400672">
            <w:pPr>
              <w:pStyle w:val="Header"/>
              <w:spacing w:after="240"/>
              <w:contextualSpacing/>
              <w:jc w:val="center"/>
              <w:rPr>
                <w:rFonts w:ascii="Arial" w:hAnsi="Arial" w:cs="Arial"/>
                <w:b/>
                <w:snapToGrid w:val="0"/>
                <w:sz w:val="20"/>
                <w:lang w:eastAsia="en-US"/>
              </w:rPr>
            </w:pPr>
          </w:p>
        </w:tc>
        <w:tc>
          <w:tcPr>
            <w:tcW w:w="2126" w:type="dxa"/>
          </w:tcPr>
          <w:p w:rsidR="0010394D" w:rsidRPr="00733A6B" w:rsidRDefault="001047FA" w:rsidP="00400672">
            <w:pPr>
              <w:pStyle w:val="Header"/>
              <w:spacing w:after="240"/>
              <w:contextualSpacing/>
              <w:jc w:val="center"/>
              <w:rPr>
                <w:rFonts w:ascii="Arial" w:hAnsi="Arial" w:cs="Arial"/>
                <w:b/>
                <w:snapToGrid w:val="0"/>
                <w:sz w:val="20"/>
                <w:lang w:eastAsia="en-US"/>
              </w:rPr>
            </w:pPr>
            <w:r w:rsidRPr="00733A6B">
              <w:rPr>
                <w:rFonts w:ascii="Arial" w:hAnsi="Arial" w:cs="Arial"/>
                <w:b/>
                <w:snapToGrid w:val="0"/>
                <w:sz w:val="20"/>
                <w:lang w:eastAsia="en-US"/>
              </w:rPr>
              <w:t>CURRENT PBS LISTING</w:t>
            </w:r>
          </w:p>
        </w:tc>
        <w:tc>
          <w:tcPr>
            <w:tcW w:w="3827" w:type="dxa"/>
          </w:tcPr>
          <w:p w:rsidR="0010394D" w:rsidRPr="00733A6B" w:rsidRDefault="001047FA" w:rsidP="00400672">
            <w:pPr>
              <w:pStyle w:val="Header"/>
              <w:spacing w:after="240"/>
              <w:contextualSpacing/>
              <w:jc w:val="center"/>
              <w:rPr>
                <w:rFonts w:ascii="Arial" w:hAnsi="Arial" w:cs="Arial"/>
                <w:b/>
                <w:snapToGrid w:val="0"/>
                <w:sz w:val="20"/>
                <w:lang w:eastAsia="en-US"/>
              </w:rPr>
            </w:pPr>
            <w:r w:rsidRPr="00733A6B">
              <w:rPr>
                <w:rFonts w:ascii="Arial" w:hAnsi="Arial" w:cs="Arial"/>
                <w:b/>
                <w:snapToGrid w:val="0"/>
                <w:sz w:val="20"/>
                <w:lang w:eastAsia="en-US"/>
              </w:rPr>
              <w:t>LISTING REQUESTED BY SPONSOR / PURPOSE OF SUBMISSION</w:t>
            </w:r>
          </w:p>
        </w:tc>
        <w:tc>
          <w:tcPr>
            <w:tcW w:w="5354" w:type="dxa"/>
          </w:tcPr>
          <w:p w:rsidR="0010394D" w:rsidRPr="00733A6B" w:rsidRDefault="0010394D" w:rsidP="00400672">
            <w:pPr>
              <w:pStyle w:val="Header"/>
              <w:spacing w:after="240"/>
              <w:contextualSpacing/>
              <w:jc w:val="center"/>
              <w:rPr>
                <w:rFonts w:ascii="Arial" w:hAnsi="Arial" w:cs="Arial"/>
                <w:b/>
                <w:snapToGrid w:val="0"/>
                <w:sz w:val="20"/>
                <w:lang w:eastAsia="en-US"/>
              </w:rPr>
            </w:pPr>
            <w:r w:rsidRPr="00733A6B">
              <w:rPr>
                <w:rFonts w:ascii="Arial" w:hAnsi="Arial" w:cs="Arial"/>
                <w:b/>
                <w:snapToGrid w:val="0"/>
                <w:sz w:val="20"/>
                <w:lang w:eastAsia="en-US"/>
              </w:rPr>
              <w:t xml:space="preserve">PBAC </w:t>
            </w:r>
            <w:r w:rsidR="001047FA" w:rsidRPr="00733A6B">
              <w:rPr>
                <w:rFonts w:ascii="Arial" w:hAnsi="Arial" w:cs="Arial"/>
                <w:b/>
                <w:snapToGrid w:val="0"/>
                <w:sz w:val="20"/>
                <w:lang w:eastAsia="en-US"/>
              </w:rPr>
              <w:t>OUTCOME</w:t>
            </w:r>
          </w:p>
        </w:tc>
      </w:tr>
      <w:tr w:rsidR="00B870AE" w:rsidRPr="00733A6B" w:rsidTr="00363695">
        <w:trPr>
          <w:trHeight w:val="433"/>
        </w:trPr>
        <w:tc>
          <w:tcPr>
            <w:tcW w:w="2127" w:type="dxa"/>
            <w:vMerge w:val="restart"/>
          </w:tcPr>
          <w:p w:rsidR="00B870AE" w:rsidRPr="00733A6B" w:rsidRDefault="00B870AE" w:rsidP="00400672">
            <w:pPr>
              <w:contextualSpacing/>
              <w:rPr>
                <w:rFonts w:ascii="Arial" w:hAnsi="Arial" w:cs="Arial"/>
                <w:sz w:val="20"/>
              </w:rPr>
            </w:pPr>
            <w:r w:rsidRPr="00733A6B">
              <w:rPr>
                <w:rFonts w:ascii="Arial" w:hAnsi="Arial" w:cs="Arial"/>
                <w:sz w:val="20"/>
              </w:rPr>
              <w:t>LANREOTIDE</w:t>
            </w:r>
          </w:p>
          <w:p w:rsidR="00F61AD2" w:rsidRPr="00733A6B" w:rsidRDefault="00F61AD2" w:rsidP="00400672">
            <w:pPr>
              <w:contextualSpacing/>
              <w:rPr>
                <w:rFonts w:ascii="Arial" w:hAnsi="Arial" w:cs="Arial"/>
                <w:sz w:val="20"/>
                <w:highlight w:val="yellow"/>
              </w:rPr>
            </w:pPr>
          </w:p>
          <w:p w:rsidR="00B870AE" w:rsidRPr="00733A6B" w:rsidRDefault="00B870AE" w:rsidP="00400672">
            <w:pPr>
              <w:rPr>
                <w:rFonts w:ascii="Arial" w:hAnsi="Arial" w:cs="Arial"/>
                <w:sz w:val="20"/>
              </w:rPr>
            </w:pPr>
            <w:r w:rsidRPr="00733A6B">
              <w:rPr>
                <w:rFonts w:ascii="Arial" w:hAnsi="Arial" w:cs="Arial"/>
                <w:sz w:val="20"/>
              </w:rPr>
              <w:t>Injection 120 mg (as acetate) in single dose pre-filled syringe</w:t>
            </w:r>
          </w:p>
          <w:p w:rsidR="00F61AD2" w:rsidRPr="00733A6B" w:rsidRDefault="00F61AD2" w:rsidP="00400672">
            <w:pPr>
              <w:rPr>
                <w:rFonts w:ascii="Arial" w:hAnsi="Arial" w:cs="Arial"/>
                <w:sz w:val="20"/>
              </w:rPr>
            </w:pPr>
          </w:p>
          <w:p w:rsidR="00B870AE" w:rsidRPr="00733A6B" w:rsidRDefault="00B870AE" w:rsidP="00400672">
            <w:pPr>
              <w:rPr>
                <w:rFonts w:ascii="Arial" w:hAnsi="Arial" w:cs="Arial"/>
                <w:sz w:val="20"/>
              </w:rPr>
            </w:pPr>
            <w:r w:rsidRPr="00733A6B">
              <w:rPr>
                <w:rFonts w:ascii="Arial" w:hAnsi="Arial" w:cs="Arial"/>
                <w:sz w:val="20"/>
              </w:rPr>
              <w:t>Somatuline® Autogel®</w:t>
            </w:r>
          </w:p>
          <w:p w:rsidR="00F61AD2" w:rsidRPr="00733A6B" w:rsidRDefault="00F61AD2" w:rsidP="00400672">
            <w:pPr>
              <w:rPr>
                <w:rFonts w:ascii="Arial" w:hAnsi="Arial" w:cs="Arial"/>
                <w:sz w:val="20"/>
              </w:rPr>
            </w:pPr>
          </w:p>
          <w:p w:rsidR="00B870AE" w:rsidRPr="00733A6B" w:rsidRDefault="00B870AE" w:rsidP="00400672">
            <w:pPr>
              <w:rPr>
                <w:rFonts w:ascii="Arial" w:hAnsi="Arial" w:cs="Arial"/>
                <w:sz w:val="20"/>
              </w:rPr>
            </w:pPr>
            <w:r w:rsidRPr="00733A6B">
              <w:rPr>
                <w:rFonts w:ascii="Arial" w:hAnsi="Arial" w:cs="Arial"/>
                <w:sz w:val="20"/>
              </w:rPr>
              <w:t>Ipsen Pty Ltd</w:t>
            </w:r>
          </w:p>
          <w:p w:rsidR="00E5280A" w:rsidRPr="00733A6B" w:rsidRDefault="00E5280A" w:rsidP="00400672">
            <w:pPr>
              <w:rPr>
                <w:rFonts w:ascii="Arial" w:hAnsi="Arial" w:cs="Arial"/>
                <w:sz w:val="20"/>
              </w:rPr>
            </w:pPr>
          </w:p>
          <w:p w:rsidR="00E5280A" w:rsidRPr="00733A6B" w:rsidRDefault="00E5280A" w:rsidP="00400672">
            <w:pPr>
              <w:rPr>
                <w:rFonts w:ascii="Arial" w:hAnsi="Arial" w:cs="Arial"/>
                <w:sz w:val="20"/>
              </w:rPr>
            </w:pPr>
            <w:r w:rsidRPr="00733A6B">
              <w:rPr>
                <w:rFonts w:ascii="Arial" w:hAnsi="Arial" w:cs="Arial"/>
                <w:sz w:val="20"/>
              </w:rPr>
              <w:t>Change to listing</w:t>
            </w:r>
          </w:p>
          <w:p w:rsidR="00F61AD2" w:rsidRPr="00733A6B" w:rsidRDefault="00F61AD2" w:rsidP="00400672">
            <w:pPr>
              <w:rPr>
                <w:rFonts w:ascii="Arial" w:hAnsi="Arial" w:cs="Arial"/>
                <w:sz w:val="20"/>
              </w:rPr>
            </w:pPr>
          </w:p>
          <w:p w:rsidR="00B870AE" w:rsidRPr="00733A6B" w:rsidRDefault="00B870AE" w:rsidP="00400672">
            <w:pPr>
              <w:rPr>
                <w:rFonts w:ascii="Arial" w:hAnsi="Arial" w:cs="Arial"/>
                <w:sz w:val="20"/>
                <w:highlight w:val="yellow"/>
              </w:rPr>
            </w:pPr>
            <w:r w:rsidRPr="00733A6B">
              <w:rPr>
                <w:rFonts w:ascii="Arial" w:hAnsi="Arial" w:cs="Arial"/>
                <w:sz w:val="20"/>
              </w:rPr>
              <w:t>(Major Submission)</w:t>
            </w:r>
          </w:p>
        </w:tc>
        <w:tc>
          <w:tcPr>
            <w:tcW w:w="2409" w:type="dxa"/>
            <w:vMerge w:val="restart"/>
          </w:tcPr>
          <w:p w:rsidR="00B870AE" w:rsidRPr="00733A6B" w:rsidRDefault="00B870AE" w:rsidP="00400672">
            <w:pPr>
              <w:rPr>
                <w:rFonts w:ascii="Arial" w:hAnsi="Arial" w:cs="Arial"/>
                <w:sz w:val="20"/>
              </w:rPr>
            </w:pPr>
            <w:r w:rsidRPr="00733A6B">
              <w:rPr>
                <w:rFonts w:ascii="Arial" w:hAnsi="Arial" w:cs="Arial"/>
                <w:sz w:val="20"/>
              </w:rPr>
              <w:t>Lanreotide is indicated</w:t>
            </w:r>
          </w:p>
          <w:p w:rsidR="00B870AE" w:rsidRPr="00733A6B" w:rsidRDefault="00B870AE" w:rsidP="00400672">
            <w:pPr>
              <w:rPr>
                <w:rFonts w:ascii="Arial" w:hAnsi="Arial" w:cs="Arial"/>
                <w:sz w:val="20"/>
              </w:rPr>
            </w:pPr>
            <w:r w:rsidRPr="00733A6B">
              <w:rPr>
                <w:rFonts w:ascii="Arial" w:hAnsi="Arial" w:cs="Arial"/>
                <w:sz w:val="20"/>
              </w:rPr>
              <w:t>for the treatment of</w:t>
            </w:r>
          </w:p>
          <w:p w:rsidR="00B870AE" w:rsidRPr="00733A6B" w:rsidRDefault="00B870AE" w:rsidP="00400672">
            <w:pPr>
              <w:rPr>
                <w:rFonts w:ascii="Arial" w:hAnsi="Arial" w:cs="Arial"/>
                <w:sz w:val="20"/>
              </w:rPr>
            </w:pPr>
            <w:r w:rsidRPr="00733A6B">
              <w:rPr>
                <w:rFonts w:ascii="Arial" w:hAnsi="Arial" w:cs="Arial"/>
                <w:sz w:val="20"/>
              </w:rPr>
              <w:t>acromegaly when</w:t>
            </w:r>
          </w:p>
          <w:p w:rsidR="00B870AE" w:rsidRPr="00733A6B" w:rsidRDefault="00B870AE" w:rsidP="00400672">
            <w:pPr>
              <w:rPr>
                <w:rFonts w:ascii="Arial" w:hAnsi="Arial" w:cs="Arial"/>
                <w:sz w:val="20"/>
              </w:rPr>
            </w:pPr>
            <w:r w:rsidRPr="00733A6B">
              <w:rPr>
                <w:rFonts w:ascii="Arial" w:hAnsi="Arial" w:cs="Arial"/>
                <w:sz w:val="20"/>
              </w:rPr>
              <w:t>circulating levels of</w:t>
            </w:r>
          </w:p>
          <w:p w:rsidR="00B870AE" w:rsidRPr="00733A6B" w:rsidRDefault="00B870AE" w:rsidP="00400672">
            <w:pPr>
              <w:rPr>
                <w:rFonts w:ascii="Arial" w:hAnsi="Arial" w:cs="Arial"/>
                <w:sz w:val="20"/>
              </w:rPr>
            </w:pPr>
            <w:r w:rsidRPr="00733A6B">
              <w:rPr>
                <w:rFonts w:ascii="Arial" w:hAnsi="Arial" w:cs="Arial"/>
                <w:sz w:val="20"/>
              </w:rPr>
              <w:t>growth hormone and</w:t>
            </w:r>
          </w:p>
          <w:p w:rsidR="00B870AE" w:rsidRPr="00733A6B" w:rsidRDefault="00B870AE" w:rsidP="00400672">
            <w:pPr>
              <w:rPr>
                <w:rFonts w:ascii="Arial" w:hAnsi="Arial" w:cs="Arial"/>
                <w:sz w:val="20"/>
              </w:rPr>
            </w:pPr>
            <w:r w:rsidRPr="00733A6B">
              <w:rPr>
                <w:rFonts w:ascii="Arial" w:hAnsi="Arial" w:cs="Arial"/>
                <w:sz w:val="20"/>
              </w:rPr>
              <w:t>IGF-1 remain abnormal</w:t>
            </w:r>
          </w:p>
          <w:p w:rsidR="00B870AE" w:rsidRPr="00733A6B" w:rsidRDefault="00B870AE" w:rsidP="00400672">
            <w:pPr>
              <w:rPr>
                <w:rFonts w:ascii="Arial" w:hAnsi="Arial" w:cs="Arial"/>
                <w:sz w:val="20"/>
              </w:rPr>
            </w:pPr>
            <w:r w:rsidRPr="00733A6B">
              <w:rPr>
                <w:rFonts w:ascii="Arial" w:hAnsi="Arial" w:cs="Arial"/>
                <w:sz w:val="20"/>
              </w:rPr>
              <w:t>after surgery and/or</w:t>
            </w:r>
          </w:p>
          <w:p w:rsidR="00B870AE" w:rsidRPr="00733A6B" w:rsidRDefault="00B870AE" w:rsidP="00400672">
            <w:pPr>
              <w:rPr>
                <w:rFonts w:ascii="Arial" w:hAnsi="Arial" w:cs="Arial"/>
                <w:sz w:val="20"/>
              </w:rPr>
            </w:pPr>
            <w:r w:rsidRPr="00733A6B">
              <w:rPr>
                <w:rFonts w:ascii="Arial" w:hAnsi="Arial" w:cs="Arial"/>
                <w:sz w:val="20"/>
              </w:rPr>
              <w:t>radiotherapy or in</w:t>
            </w:r>
          </w:p>
          <w:p w:rsidR="00B870AE" w:rsidRPr="00733A6B" w:rsidRDefault="00B870AE" w:rsidP="00400672">
            <w:pPr>
              <w:rPr>
                <w:rFonts w:ascii="Arial" w:hAnsi="Arial" w:cs="Arial"/>
                <w:sz w:val="20"/>
              </w:rPr>
            </w:pPr>
            <w:r w:rsidRPr="00733A6B">
              <w:rPr>
                <w:rFonts w:ascii="Arial" w:hAnsi="Arial" w:cs="Arial"/>
                <w:sz w:val="20"/>
              </w:rPr>
              <w:t>patients who are</w:t>
            </w:r>
          </w:p>
          <w:p w:rsidR="00B870AE" w:rsidRPr="00733A6B" w:rsidRDefault="00B870AE" w:rsidP="00400672">
            <w:pPr>
              <w:rPr>
                <w:rFonts w:ascii="Arial" w:hAnsi="Arial" w:cs="Arial"/>
                <w:sz w:val="20"/>
              </w:rPr>
            </w:pPr>
            <w:r w:rsidRPr="00733A6B">
              <w:rPr>
                <w:rFonts w:ascii="Arial" w:hAnsi="Arial" w:cs="Arial"/>
                <w:sz w:val="20"/>
              </w:rPr>
              <w:t>dopamine agonist</w:t>
            </w:r>
          </w:p>
          <w:p w:rsidR="00B870AE" w:rsidRPr="00733A6B" w:rsidRDefault="00B870AE" w:rsidP="00400672">
            <w:pPr>
              <w:rPr>
                <w:rFonts w:ascii="Arial" w:hAnsi="Arial" w:cs="Arial"/>
                <w:sz w:val="20"/>
              </w:rPr>
            </w:pPr>
            <w:r w:rsidRPr="00733A6B">
              <w:rPr>
                <w:rFonts w:ascii="Arial" w:hAnsi="Arial" w:cs="Arial"/>
                <w:sz w:val="20"/>
              </w:rPr>
              <w:t>treatment refractory;</w:t>
            </w:r>
          </w:p>
          <w:p w:rsidR="00B870AE" w:rsidRPr="00733A6B" w:rsidRDefault="00B870AE" w:rsidP="00400672">
            <w:pPr>
              <w:rPr>
                <w:rFonts w:ascii="Arial" w:hAnsi="Arial" w:cs="Arial"/>
                <w:sz w:val="20"/>
              </w:rPr>
            </w:pPr>
            <w:r w:rsidRPr="00733A6B">
              <w:rPr>
                <w:rFonts w:ascii="Arial" w:hAnsi="Arial" w:cs="Arial"/>
                <w:sz w:val="20"/>
              </w:rPr>
              <w:t>symptoms of carcinoid</w:t>
            </w:r>
          </w:p>
          <w:p w:rsidR="00B870AE" w:rsidRPr="00733A6B" w:rsidRDefault="00B870AE" w:rsidP="00400672">
            <w:pPr>
              <w:rPr>
                <w:rFonts w:ascii="Arial" w:hAnsi="Arial" w:cs="Arial"/>
                <w:sz w:val="20"/>
              </w:rPr>
            </w:pPr>
            <w:r w:rsidRPr="00733A6B">
              <w:rPr>
                <w:rFonts w:ascii="Arial" w:hAnsi="Arial" w:cs="Arial"/>
                <w:sz w:val="20"/>
              </w:rPr>
              <w:t>syndrome associated</w:t>
            </w:r>
          </w:p>
          <w:p w:rsidR="00B870AE" w:rsidRPr="00733A6B" w:rsidRDefault="00B870AE" w:rsidP="00400672">
            <w:pPr>
              <w:rPr>
                <w:rFonts w:ascii="Arial" w:hAnsi="Arial" w:cs="Arial"/>
                <w:sz w:val="20"/>
              </w:rPr>
            </w:pPr>
            <w:r w:rsidRPr="00733A6B">
              <w:rPr>
                <w:rFonts w:ascii="Arial" w:hAnsi="Arial" w:cs="Arial"/>
                <w:sz w:val="20"/>
              </w:rPr>
              <w:t>with carcinoid tumours;</w:t>
            </w:r>
          </w:p>
          <w:p w:rsidR="00B870AE" w:rsidRPr="00733A6B" w:rsidRDefault="00B870AE" w:rsidP="00400672">
            <w:pPr>
              <w:rPr>
                <w:rFonts w:ascii="Arial" w:hAnsi="Arial" w:cs="Arial"/>
                <w:sz w:val="20"/>
              </w:rPr>
            </w:pPr>
            <w:r w:rsidRPr="00733A6B">
              <w:rPr>
                <w:rFonts w:ascii="Arial" w:hAnsi="Arial" w:cs="Arial"/>
                <w:sz w:val="20"/>
              </w:rPr>
              <w:t>and gastroenteropancreatic</w:t>
            </w:r>
          </w:p>
          <w:p w:rsidR="00B870AE" w:rsidRPr="00733A6B" w:rsidRDefault="00B870AE" w:rsidP="00400672">
            <w:pPr>
              <w:rPr>
                <w:rFonts w:ascii="Arial" w:hAnsi="Arial" w:cs="Arial"/>
                <w:sz w:val="20"/>
              </w:rPr>
            </w:pPr>
            <w:r w:rsidRPr="00733A6B">
              <w:rPr>
                <w:rFonts w:ascii="Arial" w:hAnsi="Arial" w:cs="Arial"/>
                <w:sz w:val="20"/>
              </w:rPr>
              <w:t>neuroendocrine</w:t>
            </w:r>
          </w:p>
          <w:p w:rsidR="00B870AE" w:rsidRPr="00733A6B" w:rsidRDefault="00B870AE" w:rsidP="00400672">
            <w:pPr>
              <w:rPr>
                <w:rFonts w:ascii="Arial" w:hAnsi="Arial" w:cs="Arial"/>
                <w:sz w:val="20"/>
              </w:rPr>
            </w:pPr>
            <w:r w:rsidRPr="00733A6B">
              <w:rPr>
                <w:rFonts w:ascii="Arial" w:hAnsi="Arial" w:cs="Arial"/>
                <w:sz w:val="20"/>
              </w:rPr>
              <w:t>tumours (GEP-NETs)</w:t>
            </w:r>
          </w:p>
          <w:p w:rsidR="00B870AE" w:rsidRPr="00733A6B" w:rsidRDefault="00B870AE" w:rsidP="00400672">
            <w:pPr>
              <w:rPr>
                <w:rFonts w:ascii="Arial" w:hAnsi="Arial" w:cs="Arial"/>
                <w:sz w:val="20"/>
              </w:rPr>
            </w:pPr>
            <w:r w:rsidRPr="00733A6B">
              <w:rPr>
                <w:rFonts w:ascii="Arial" w:hAnsi="Arial" w:cs="Arial"/>
                <w:sz w:val="20"/>
              </w:rPr>
              <w:t>in adult patients with</w:t>
            </w:r>
          </w:p>
          <w:p w:rsidR="00B870AE" w:rsidRPr="00733A6B" w:rsidRDefault="00B870AE" w:rsidP="00400672">
            <w:pPr>
              <w:rPr>
                <w:rFonts w:ascii="Arial" w:hAnsi="Arial" w:cs="Arial"/>
                <w:sz w:val="20"/>
              </w:rPr>
            </w:pPr>
            <w:r w:rsidRPr="00733A6B">
              <w:rPr>
                <w:rFonts w:ascii="Arial" w:hAnsi="Arial" w:cs="Arial"/>
                <w:sz w:val="20"/>
              </w:rPr>
              <w:t>unresectable locally</w:t>
            </w:r>
          </w:p>
          <w:p w:rsidR="00B870AE" w:rsidRPr="00733A6B" w:rsidRDefault="00B870AE" w:rsidP="00400672">
            <w:pPr>
              <w:rPr>
                <w:rFonts w:ascii="Arial" w:hAnsi="Arial" w:cs="Arial"/>
                <w:sz w:val="20"/>
              </w:rPr>
            </w:pPr>
            <w:r w:rsidRPr="00733A6B">
              <w:rPr>
                <w:rFonts w:ascii="Arial" w:hAnsi="Arial" w:cs="Arial"/>
                <w:sz w:val="20"/>
              </w:rPr>
              <w:t>advanced or metastatic</w:t>
            </w:r>
          </w:p>
          <w:p w:rsidR="00B870AE" w:rsidRPr="00733A6B" w:rsidRDefault="00B870AE" w:rsidP="00400672">
            <w:pPr>
              <w:rPr>
                <w:rFonts w:ascii="Arial" w:hAnsi="Arial" w:cs="Arial"/>
                <w:sz w:val="20"/>
                <w:highlight w:val="yellow"/>
              </w:rPr>
            </w:pPr>
            <w:proofErr w:type="gramStart"/>
            <w:r w:rsidRPr="00733A6B">
              <w:rPr>
                <w:rFonts w:ascii="Arial" w:hAnsi="Arial" w:cs="Arial"/>
                <w:sz w:val="20"/>
              </w:rPr>
              <w:t>disease</w:t>
            </w:r>
            <w:proofErr w:type="gramEnd"/>
            <w:r w:rsidRPr="00733A6B">
              <w:rPr>
                <w:rFonts w:ascii="Arial" w:hAnsi="Arial" w:cs="Arial"/>
                <w:sz w:val="20"/>
              </w:rPr>
              <w:t>.</w:t>
            </w:r>
          </w:p>
        </w:tc>
        <w:tc>
          <w:tcPr>
            <w:tcW w:w="2126" w:type="dxa"/>
            <w:vMerge w:val="restart"/>
          </w:tcPr>
          <w:p w:rsidR="00B870AE" w:rsidRPr="00733A6B" w:rsidRDefault="00B870AE" w:rsidP="00400672">
            <w:pPr>
              <w:rPr>
                <w:rFonts w:ascii="Arial" w:hAnsi="Arial" w:cs="Arial"/>
                <w:sz w:val="20"/>
              </w:rPr>
            </w:pPr>
            <w:r w:rsidRPr="00733A6B">
              <w:rPr>
                <w:rFonts w:ascii="Arial" w:hAnsi="Arial" w:cs="Arial"/>
                <w:sz w:val="20"/>
              </w:rPr>
              <w:t>Lanreotide is</w:t>
            </w:r>
          </w:p>
          <w:p w:rsidR="00B870AE" w:rsidRPr="00733A6B" w:rsidRDefault="00B870AE" w:rsidP="00400672">
            <w:pPr>
              <w:rPr>
                <w:rFonts w:ascii="Arial" w:hAnsi="Arial" w:cs="Arial"/>
                <w:sz w:val="20"/>
              </w:rPr>
            </w:pPr>
            <w:r w:rsidRPr="00733A6B">
              <w:rPr>
                <w:rFonts w:ascii="Arial" w:hAnsi="Arial" w:cs="Arial"/>
                <w:sz w:val="20"/>
              </w:rPr>
              <w:t>currently PBS listed</w:t>
            </w:r>
          </w:p>
          <w:p w:rsidR="00B870AE" w:rsidRPr="00733A6B" w:rsidRDefault="00B870AE" w:rsidP="00400672">
            <w:pPr>
              <w:rPr>
                <w:rFonts w:ascii="Arial" w:hAnsi="Arial" w:cs="Arial"/>
                <w:sz w:val="20"/>
              </w:rPr>
            </w:pPr>
            <w:r w:rsidRPr="00733A6B">
              <w:rPr>
                <w:rFonts w:ascii="Arial" w:hAnsi="Arial" w:cs="Arial"/>
                <w:sz w:val="20"/>
              </w:rPr>
              <w:t>for the treatment of</w:t>
            </w:r>
          </w:p>
          <w:p w:rsidR="00B870AE" w:rsidRPr="00733A6B" w:rsidRDefault="00B870AE" w:rsidP="00400672">
            <w:pPr>
              <w:rPr>
                <w:rFonts w:ascii="Arial" w:hAnsi="Arial" w:cs="Arial"/>
                <w:sz w:val="20"/>
              </w:rPr>
            </w:pPr>
            <w:r w:rsidRPr="00733A6B">
              <w:rPr>
                <w:rFonts w:ascii="Arial" w:hAnsi="Arial" w:cs="Arial"/>
                <w:sz w:val="20"/>
              </w:rPr>
              <w:t>acromegaly and</w:t>
            </w:r>
          </w:p>
          <w:p w:rsidR="00B870AE" w:rsidRPr="00733A6B" w:rsidRDefault="00B870AE" w:rsidP="00400672">
            <w:pPr>
              <w:rPr>
                <w:rFonts w:ascii="Arial" w:hAnsi="Arial" w:cs="Arial"/>
                <w:sz w:val="20"/>
              </w:rPr>
            </w:pPr>
            <w:r w:rsidRPr="00733A6B">
              <w:rPr>
                <w:rFonts w:ascii="Arial" w:hAnsi="Arial" w:cs="Arial"/>
                <w:sz w:val="20"/>
              </w:rPr>
              <w:t>functional carcinoid</w:t>
            </w:r>
          </w:p>
          <w:p w:rsidR="00B870AE" w:rsidRPr="00733A6B" w:rsidRDefault="00B870AE" w:rsidP="00400672">
            <w:pPr>
              <w:rPr>
                <w:rFonts w:ascii="Arial" w:hAnsi="Arial" w:cs="Arial"/>
                <w:sz w:val="20"/>
                <w:highlight w:val="yellow"/>
              </w:rPr>
            </w:pPr>
            <w:proofErr w:type="gramStart"/>
            <w:r w:rsidRPr="00733A6B">
              <w:rPr>
                <w:rFonts w:ascii="Arial" w:hAnsi="Arial" w:cs="Arial"/>
                <w:sz w:val="20"/>
              </w:rPr>
              <w:t>tumour</w:t>
            </w:r>
            <w:proofErr w:type="gramEnd"/>
            <w:r w:rsidRPr="00733A6B">
              <w:rPr>
                <w:rFonts w:ascii="Arial" w:hAnsi="Arial" w:cs="Arial"/>
                <w:sz w:val="20"/>
              </w:rPr>
              <w:t>.</w:t>
            </w:r>
          </w:p>
        </w:tc>
        <w:tc>
          <w:tcPr>
            <w:tcW w:w="3827" w:type="dxa"/>
          </w:tcPr>
          <w:p w:rsidR="00532907" w:rsidRPr="00733A6B" w:rsidRDefault="00532907" w:rsidP="00400672">
            <w:pPr>
              <w:contextualSpacing/>
              <w:rPr>
                <w:rFonts w:ascii="Arial" w:hAnsi="Arial" w:cs="Arial"/>
                <w:color w:val="000000"/>
                <w:sz w:val="20"/>
              </w:rPr>
            </w:pPr>
            <w:r w:rsidRPr="00733A6B">
              <w:rPr>
                <w:rFonts w:ascii="Arial" w:hAnsi="Arial" w:cs="Arial"/>
                <w:color w:val="000000"/>
                <w:sz w:val="20"/>
              </w:rPr>
              <w:t>Resubmission to request a Section</w:t>
            </w:r>
          </w:p>
          <w:p w:rsidR="00532907" w:rsidRPr="00733A6B" w:rsidRDefault="00532907" w:rsidP="00400672">
            <w:pPr>
              <w:contextualSpacing/>
              <w:rPr>
                <w:rFonts w:ascii="Arial" w:hAnsi="Arial" w:cs="Arial"/>
                <w:color w:val="000000"/>
                <w:sz w:val="20"/>
              </w:rPr>
            </w:pPr>
            <w:r w:rsidRPr="00733A6B">
              <w:rPr>
                <w:rFonts w:ascii="Arial" w:hAnsi="Arial" w:cs="Arial"/>
                <w:color w:val="000000"/>
                <w:sz w:val="20"/>
              </w:rPr>
              <w:t>100 (Highly Specialised Drugs</w:t>
            </w:r>
          </w:p>
          <w:p w:rsidR="00532907" w:rsidRPr="00733A6B" w:rsidRDefault="00532907" w:rsidP="00400672">
            <w:pPr>
              <w:contextualSpacing/>
              <w:rPr>
                <w:rFonts w:ascii="Arial" w:hAnsi="Arial" w:cs="Arial"/>
                <w:color w:val="000000"/>
                <w:sz w:val="20"/>
              </w:rPr>
            </w:pPr>
            <w:r w:rsidRPr="00733A6B">
              <w:rPr>
                <w:rFonts w:ascii="Arial" w:hAnsi="Arial" w:cs="Arial"/>
                <w:color w:val="000000"/>
                <w:sz w:val="20"/>
              </w:rPr>
              <w:t>Program) Authority Required</w:t>
            </w:r>
          </w:p>
          <w:p w:rsidR="00532907" w:rsidRPr="00733A6B" w:rsidRDefault="00532907" w:rsidP="00400672">
            <w:pPr>
              <w:contextualSpacing/>
              <w:rPr>
                <w:rFonts w:ascii="Arial" w:hAnsi="Arial" w:cs="Arial"/>
                <w:color w:val="000000"/>
                <w:sz w:val="20"/>
              </w:rPr>
            </w:pPr>
            <w:r w:rsidRPr="00733A6B">
              <w:rPr>
                <w:rFonts w:ascii="Arial" w:hAnsi="Arial" w:cs="Arial"/>
                <w:color w:val="000000"/>
                <w:sz w:val="20"/>
              </w:rPr>
              <w:t>(STREAMLINED) listing for the</w:t>
            </w:r>
          </w:p>
          <w:p w:rsidR="00532907" w:rsidRPr="00733A6B" w:rsidRDefault="00532907" w:rsidP="00400672">
            <w:pPr>
              <w:contextualSpacing/>
              <w:rPr>
                <w:rFonts w:ascii="Arial" w:hAnsi="Arial" w:cs="Arial"/>
                <w:color w:val="000000"/>
                <w:sz w:val="20"/>
              </w:rPr>
            </w:pPr>
            <w:r w:rsidRPr="00733A6B">
              <w:rPr>
                <w:rFonts w:ascii="Arial" w:hAnsi="Arial" w:cs="Arial"/>
                <w:color w:val="000000"/>
                <w:sz w:val="20"/>
              </w:rPr>
              <w:t>treatment of non-functional</w:t>
            </w:r>
          </w:p>
          <w:p w:rsidR="00532907" w:rsidRPr="00733A6B" w:rsidRDefault="00532907" w:rsidP="00400672">
            <w:pPr>
              <w:contextualSpacing/>
              <w:rPr>
                <w:rFonts w:ascii="Arial" w:hAnsi="Arial" w:cs="Arial"/>
                <w:color w:val="000000"/>
                <w:sz w:val="20"/>
              </w:rPr>
            </w:pPr>
            <w:r w:rsidRPr="00733A6B">
              <w:rPr>
                <w:rFonts w:ascii="Arial" w:hAnsi="Arial" w:cs="Arial"/>
                <w:color w:val="000000"/>
                <w:sz w:val="20"/>
              </w:rPr>
              <w:t>GEP-NETs in adult patients with</w:t>
            </w:r>
          </w:p>
          <w:p w:rsidR="00532907" w:rsidRPr="00733A6B" w:rsidRDefault="00532907" w:rsidP="00400672">
            <w:pPr>
              <w:contextualSpacing/>
              <w:rPr>
                <w:rFonts w:ascii="Arial" w:hAnsi="Arial" w:cs="Arial"/>
                <w:color w:val="000000"/>
                <w:sz w:val="20"/>
              </w:rPr>
            </w:pPr>
            <w:r w:rsidRPr="00733A6B">
              <w:rPr>
                <w:rFonts w:ascii="Arial" w:hAnsi="Arial" w:cs="Arial"/>
                <w:color w:val="000000"/>
                <w:sz w:val="20"/>
              </w:rPr>
              <w:t>unresectable locally advanced or</w:t>
            </w:r>
          </w:p>
          <w:p w:rsidR="00B870AE" w:rsidRPr="00733A6B" w:rsidRDefault="00532907" w:rsidP="00400672">
            <w:pPr>
              <w:contextualSpacing/>
              <w:rPr>
                <w:rFonts w:ascii="Arial" w:hAnsi="Arial" w:cs="Arial"/>
                <w:color w:val="000000"/>
                <w:sz w:val="20"/>
              </w:rPr>
            </w:pPr>
            <w:proofErr w:type="gramStart"/>
            <w:r w:rsidRPr="00733A6B">
              <w:rPr>
                <w:rFonts w:ascii="Arial" w:hAnsi="Arial" w:cs="Arial"/>
                <w:color w:val="000000"/>
                <w:sz w:val="20"/>
              </w:rPr>
              <w:t>metastatic</w:t>
            </w:r>
            <w:proofErr w:type="gramEnd"/>
            <w:r w:rsidRPr="00733A6B">
              <w:rPr>
                <w:rFonts w:ascii="Arial" w:hAnsi="Arial" w:cs="Arial"/>
                <w:color w:val="000000"/>
                <w:sz w:val="20"/>
              </w:rPr>
              <w:t xml:space="preserve"> disease.</w:t>
            </w:r>
          </w:p>
        </w:tc>
        <w:tc>
          <w:tcPr>
            <w:tcW w:w="5354" w:type="dxa"/>
          </w:tcPr>
          <w:p w:rsidR="00532907" w:rsidRPr="00733A6B" w:rsidRDefault="00532907" w:rsidP="00400672">
            <w:pPr>
              <w:rPr>
                <w:rFonts w:ascii="Arial" w:hAnsi="Arial" w:cs="Arial"/>
                <w:sz w:val="20"/>
              </w:rPr>
            </w:pPr>
            <w:r w:rsidRPr="00733A6B">
              <w:rPr>
                <w:rFonts w:ascii="Arial" w:hAnsi="Arial" w:cs="Arial"/>
                <w:sz w:val="20"/>
              </w:rPr>
              <w:t>The PBAC did not recommend listing lanreotide on the PBS for the treatment of non-functional GEP-NETs on the basis of uncertain cost-effectiveness.</w:t>
            </w:r>
          </w:p>
          <w:p w:rsidR="00B870AE" w:rsidRPr="00733A6B" w:rsidRDefault="00532907" w:rsidP="00400672">
            <w:pPr>
              <w:rPr>
                <w:rFonts w:ascii="Arial" w:hAnsi="Arial" w:cs="Arial"/>
                <w:sz w:val="20"/>
                <w:highlight w:val="yellow"/>
              </w:rPr>
            </w:pPr>
            <w:r w:rsidRPr="00733A6B">
              <w:rPr>
                <w:rFonts w:ascii="Arial" w:hAnsi="Arial" w:cs="Arial"/>
                <w:sz w:val="20"/>
              </w:rPr>
              <w:t>The PBAC recognised from the many comments received from patients that there is strong support for subsidised access to lanreotide for this condition.</w:t>
            </w:r>
          </w:p>
        </w:tc>
      </w:tr>
      <w:tr w:rsidR="00E743F8" w:rsidRPr="00733A6B" w:rsidTr="00363695">
        <w:trPr>
          <w:trHeight w:val="433"/>
        </w:trPr>
        <w:tc>
          <w:tcPr>
            <w:tcW w:w="2127" w:type="dxa"/>
            <w:vMerge/>
          </w:tcPr>
          <w:p w:rsidR="00E743F8" w:rsidRPr="00733A6B" w:rsidRDefault="00E743F8" w:rsidP="00400672">
            <w:pPr>
              <w:rPr>
                <w:rFonts w:ascii="Arial" w:hAnsi="Arial" w:cs="Arial"/>
                <w:sz w:val="20"/>
              </w:rPr>
            </w:pPr>
          </w:p>
        </w:tc>
        <w:tc>
          <w:tcPr>
            <w:tcW w:w="2409" w:type="dxa"/>
            <w:vMerge/>
          </w:tcPr>
          <w:p w:rsidR="00E743F8" w:rsidRPr="00733A6B" w:rsidRDefault="00E743F8" w:rsidP="00400672">
            <w:pPr>
              <w:rPr>
                <w:rFonts w:ascii="Arial" w:hAnsi="Arial" w:cs="Arial"/>
                <w:sz w:val="20"/>
              </w:rPr>
            </w:pPr>
          </w:p>
        </w:tc>
        <w:tc>
          <w:tcPr>
            <w:tcW w:w="2126" w:type="dxa"/>
            <w:vMerge/>
          </w:tcPr>
          <w:p w:rsidR="00E743F8" w:rsidRPr="00733A6B" w:rsidRDefault="00E743F8" w:rsidP="00400672">
            <w:pPr>
              <w:rPr>
                <w:rFonts w:ascii="Arial" w:hAnsi="Arial" w:cs="Arial"/>
                <w:sz w:val="20"/>
              </w:rPr>
            </w:pPr>
          </w:p>
        </w:tc>
        <w:tc>
          <w:tcPr>
            <w:tcW w:w="3827" w:type="dxa"/>
          </w:tcPr>
          <w:p w:rsidR="00E743F8" w:rsidRPr="00733A6B" w:rsidRDefault="00532907" w:rsidP="00400672">
            <w:pPr>
              <w:contextualSpacing/>
              <w:rPr>
                <w:rFonts w:ascii="Arial" w:hAnsi="Arial" w:cs="Arial"/>
                <w:color w:val="000000"/>
                <w:sz w:val="20"/>
              </w:rPr>
            </w:pPr>
            <w:r w:rsidRPr="00733A6B">
              <w:rPr>
                <w:rFonts w:ascii="Arial" w:hAnsi="Arial" w:cs="Arial"/>
                <w:color w:val="000000"/>
                <w:sz w:val="20"/>
              </w:rPr>
              <w:t>Comparator: Watchful waiting/placebo</w:t>
            </w:r>
          </w:p>
        </w:tc>
        <w:tc>
          <w:tcPr>
            <w:tcW w:w="5354" w:type="dxa"/>
          </w:tcPr>
          <w:p w:rsidR="00E743F8" w:rsidRPr="00733A6B" w:rsidRDefault="00532907" w:rsidP="00400672">
            <w:pPr>
              <w:rPr>
                <w:rFonts w:ascii="Arial" w:hAnsi="Arial" w:cs="Arial"/>
                <w:sz w:val="20"/>
              </w:rPr>
            </w:pPr>
            <w:r w:rsidRPr="00733A6B">
              <w:rPr>
                <w:rFonts w:ascii="Arial" w:hAnsi="Arial" w:cs="Arial"/>
                <w:sz w:val="20"/>
              </w:rPr>
              <w:t xml:space="preserve">Accepted for first-line </w:t>
            </w:r>
            <w:r w:rsidR="00E53027" w:rsidRPr="00733A6B">
              <w:rPr>
                <w:rFonts w:ascii="Arial" w:hAnsi="Arial" w:cs="Arial"/>
                <w:sz w:val="20"/>
              </w:rPr>
              <w:t>treatment of non-functional GEP</w:t>
            </w:r>
            <w:r w:rsidR="00E53027" w:rsidRPr="00733A6B">
              <w:rPr>
                <w:rFonts w:ascii="Arial" w:hAnsi="Arial" w:cs="Arial"/>
                <w:sz w:val="20"/>
              </w:rPr>
              <w:noBreakHyphen/>
            </w:r>
            <w:r w:rsidRPr="00733A6B">
              <w:rPr>
                <w:rFonts w:ascii="Arial" w:hAnsi="Arial" w:cs="Arial"/>
                <w:sz w:val="20"/>
              </w:rPr>
              <w:t>NETs.</w:t>
            </w:r>
          </w:p>
        </w:tc>
      </w:tr>
      <w:tr w:rsidR="00E743F8" w:rsidRPr="00733A6B" w:rsidTr="00363695">
        <w:trPr>
          <w:trHeight w:val="433"/>
        </w:trPr>
        <w:tc>
          <w:tcPr>
            <w:tcW w:w="2127" w:type="dxa"/>
            <w:vMerge/>
          </w:tcPr>
          <w:p w:rsidR="00E743F8" w:rsidRPr="00733A6B" w:rsidRDefault="00E743F8" w:rsidP="00400672">
            <w:pPr>
              <w:rPr>
                <w:rFonts w:ascii="Arial" w:hAnsi="Arial" w:cs="Arial"/>
                <w:sz w:val="20"/>
              </w:rPr>
            </w:pPr>
          </w:p>
        </w:tc>
        <w:tc>
          <w:tcPr>
            <w:tcW w:w="2409" w:type="dxa"/>
            <w:vMerge/>
          </w:tcPr>
          <w:p w:rsidR="00E743F8" w:rsidRPr="00733A6B" w:rsidRDefault="00E743F8" w:rsidP="00400672">
            <w:pPr>
              <w:rPr>
                <w:rFonts w:ascii="Arial" w:hAnsi="Arial" w:cs="Arial"/>
                <w:sz w:val="20"/>
              </w:rPr>
            </w:pPr>
          </w:p>
        </w:tc>
        <w:tc>
          <w:tcPr>
            <w:tcW w:w="2126" w:type="dxa"/>
            <w:vMerge/>
          </w:tcPr>
          <w:p w:rsidR="00E743F8" w:rsidRPr="00733A6B" w:rsidRDefault="00E743F8" w:rsidP="00400672">
            <w:pPr>
              <w:rPr>
                <w:rFonts w:ascii="Arial" w:hAnsi="Arial" w:cs="Arial"/>
                <w:sz w:val="20"/>
              </w:rPr>
            </w:pPr>
          </w:p>
        </w:tc>
        <w:tc>
          <w:tcPr>
            <w:tcW w:w="3827" w:type="dxa"/>
          </w:tcPr>
          <w:p w:rsidR="00532907" w:rsidRPr="00733A6B" w:rsidRDefault="0090743A" w:rsidP="00400672">
            <w:pPr>
              <w:contextualSpacing/>
              <w:rPr>
                <w:rFonts w:ascii="Arial" w:hAnsi="Arial" w:cs="Arial"/>
                <w:color w:val="000000"/>
                <w:sz w:val="20"/>
              </w:rPr>
            </w:pPr>
            <w:r w:rsidRPr="00733A6B">
              <w:rPr>
                <w:rFonts w:ascii="Arial" w:hAnsi="Arial" w:cs="Arial"/>
                <w:color w:val="000000"/>
                <w:sz w:val="20"/>
              </w:rPr>
              <w:t>Clinical claim:</w:t>
            </w:r>
            <w:r w:rsidR="00532907" w:rsidRPr="00733A6B">
              <w:rPr>
                <w:rFonts w:ascii="Arial" w:hAnsi="Arial" w:cs="Arial"/>
                <w:sz w:val="20"/>
              </w:rPr>
              <w:t xml:space="preserve"> </w:t>
            </w:r>
            <w:r w:rsidR="00532907" w:rsidRPr="00733A6B">
              <w:rPr>
                <w:rFonts w:ascii="Arial" w:hAnsi="Arial" w:cs="Arial"/>
                <w:color w:val="000000"/>
                <w:sz w:val="20"/>
              </w:rPr>
              <w:t xml:space="preserve">Clinical claim: Superior efficacy in progression free survival (PFS) and </w:t>
            </w:r>
            <w:r w:rsidR="00E53027" w:rsidRPr="00733A6B">
              <w:rPr>
                <w:rFonts w:ascii="Arial" w:hAnsi="Arial" w:cs="Arial"/>
                <w:color w:val="000000"/>
                <w:sz w:val="20"/>
              </w:rPr>
              <w:t>inferior safety</w:t>
            </w:r>
          </w:p>
          <w:p w:rsidR="00E743F8" w:rsidRPr="00733A6B" w:rsidRDefault="00532907" w:rsidP="00400672">
            <w:pPr>
              <w:contextualSpacing/>
              <w:rPr>
                <w:rFonts w:ascii="Arial" w:hAnsi="Arial" w:cs="Arial"/>
                <w:color w:val="000000"/>
                <w:sz w:val="20"/>
              </w:rPr>
            </w:pPr>
            <w:proofErr w:type="gramStart"/>
            <w:r w:rsidRPr="00733A6B">
              <w:rPr>
                <w:rFonts w:ascii="Arial" w:hAnsi="Arial" w:cs="Arial"/>
                <w:color w:val="000000"/>
                <w:sz w:val="20"/>
              </w:rPr>
              <w:t>lanreotide</w:t>
            </w:r>
            <w:proofErr w:type="gramEnd"/>
            <w:r w:rsidRPr="00733A6B">
              <w:rPr>
                <w:rFonts w:ascii="Arial" w:hAnsi="Arial" w:cs="Arial"/>
                <w:color w:val="000000"/>
                <w:sz w:val="20"/>
              </w:rPr>
              <w:t xml:space="preserve"> compared with placebo.</w:t>
            </w:r>
          </w:p>
        </w:tc>
        <w:tc>
          <w:tcPr>
            <w:tcW w:w="5354" w:type="dxa"/>
          </w:tcPr>
          <w:p w:rsidR="00532907" w:rsidRPr="00733A6B" w:rsidRDefault="00532907" w:rsidP="00400672">
            <w:pPr>
              <w:rPr>
                <w:rFonts w:ascii="Arial" w:hAnsi="Arial" w:cs="Arial"/>
                <w:sz w:val="20"/>
              </w:rPr>
            </w:pPr>
            <w:r w:rsidRPr="00733A6B">
              <w:rPr>
                <w:rFonts w:ascii="Arial" w:hAnsi="Arial" w:cs="Arial"/>
                <w:sz w:val="20"/>
              </w:rPr>
              <w:t>The PBAC noted that the resubmission did not present any new clinical evidence in addition to the clinical</w:t>
            </w:r>
            <w:r w:rsidR="00E53027" w:rsidRPr="00733A6B">
              <w:rPr>
                <w:rFonts w:ascii="Arial" w:hAnsi="Arial" w:cs="Arial"/>
                <w:sz w:val="20"/>
              </w:rPr>
              <w:t xml:space="preserve"> evidence from the November 2015 and November 2016</w:t>
            </w:r>
            <w:r w:rsidRPr="00733A6B">
              <w:rPr>
                <w:rFonts w:ascii="Arial" w:hAnsi="Arial" w:cs="Arial"/>
                <w:sz w:val="20"/>
              </w:rPr>
              <w:t xml:space="preserve"> submissions. The PBAC recalled that the clinical data from the CLARINET trial did not support a difference in </w:t>
            </w:r>
            <w:r w:rsidR="0000024E" w:rsidRPr="00733A6B">
              <w:rPr>
                <w:rFonts w:ascii="Arial" w:hAnsi="Arial" w:cs="Arial"/>
                <w:sz w:val="20"/>
              </w:rPr>
              <w:t xml:space="preserve"> overall survival (</w:t>
            </w:r>
            <w:r w:rsidRPr="00733A6B">
              <w:rPr>
                <w:rFonts w:ascii="Arial" w:hAnsi="Arial" w:cs="Arial"/>
                <w:sz w:val="20"/>
              </w:rPr>
              <w:t>OS</w:t>
            </w:r>
            <w:r w:rsidR="0000024E" w:rsidRPr="00733A6B">
              <w:rPr>
                <w:rFonts w:ascii="Arial" w:hAnsi="Arial" w:cs="Arial"/>
                <w:sz w:val="20"/>
              </w:rPr>
              <w:t>)</w:t>
            </w:r>
            <w:r w:rsidRPr="00733A6B">
              <w:rPr>
                <w:rFonts w:ascii="Arial" w:hAnsi="Arial" w:cs="Arial"/>
                <w:sz w:val="20"/>
              </w:rPr>
              <w:t xml:space="preserve"> or quality of life between treatment arms however noted that lanreotide was associated with a statistically significant increase in radiological PFS compared with placebo (HR 0.47, 95% CI 0.30, 0.73). However, the PBAC considered that the clinical significance of the gain in PFS was unclear as radiologic progression assessed in the trial may not necessarily be directly associated with a change in clinical symptoms.</w:t>
            </w:r>
          </w:p>
          <w:p w:rsidR="00532907" w:rsidRPr="00733A6B" w:rsidRDefault="00532907" w:rsidP="00400672">
            <w:pPr>
              <w:rPr>
                <w:rFonts w:ascii="Arial" w:hAnsi="Arial" w:cs="Arial"/>
                <w:sz w:val="20"/>
              </w:rPr>
            </w:pPr>
          </w:p>
          <w:p w:rsidR="00532907" w:rsidRPr="00733A6B" w:rsidRDefault="00532907" w:rsidP="00400672">
            <w:pPr>
              <w:rPr>
                <w:rFonts w:ascii="Arial" w:hAnsi="Arial" w:cs="Arial"/>
                <w:sz w:val="20"/>
              </w:rPr>
            </w:pPr>
            <w:r w:rsidRPr="00733A6B">
              <w:rPr>
                <w:rFonts w:ascii="Arial" w:hAnsi="Arial" w:cs="Arial"/>
                <w:sz w:val="20"/>
              </w:rPr>
              <w:t>The PBAC considered lanreotide to be inferior compared</w:t>
            </w:r>
          </w:p>
          <w:p w:rsidR="00532907" w:rsidRPr="00733A6B" w:rsidRDefault="00532907" w:rsidP="00400672">
            <w:pPr>
              <w:rPr>
                <w:rFonts w:ascii="Arial" w:hAnsi="Arial" w:cs="Arial"/>
                <w:sz w:val="20"/>
              </w:rPr>
            </w:pPr>
            <w:proofErr w:type="gramStart"/>
            <w:r w:rsidRPr="00733A6B">
              <w:rPr>
                <w:rFonts w:ascii="Arial" w:hAnsi="Arial" w:cs="Arial"/>
                <w:sz w:val="20"/>
              </w:rPr>
              <w:t>with</w:t>
            </w:r>
            <w:proofErr w:type="gramEnd"/>
            <w:r w:rsidRPr="00733A6B">
              <w:rPr>
                <w:rFonts w:ascii="Arial" w:hAnsi="Arial" w:cs="Arial"/>
                <w:sz w:val="20"/>
              </w:rPr>
              <w:t xml:space="preserve"> placebo in terms of safety. The PBAC noted that on</w:t>
            </w:r>
          </w:p>
          <w:p w:rsidR="00532907" w:rsidRPr="00733A6B" w:rsidRDefault="00532907" w:rsidP="00400672">
            <w:pPr>
              <w:rPr>
                <w:rFonts w:ascii="Arial" w:hAnsi="Arial" w:cs="Arial"/>
                <w:sz w:val="20"/>
              </w:rPr>
            </w:pPr>
            <w:r w:rsidRPr="00733A6B">
              <w:rPr>
                <w:rFonts w:ascii="Arial" w:hAnsi="Arial" w:cs="Arial"/>
                <w:sz w:val="20"/>
              </w:rPr>
              <w:t>the basis of the direct evidence presented in the</w:t>
            </w:r>
          </w:p>
          <w:p w:rsidR="00532907" w:rsidRPr="00733A6B" w:rsidRDefault="00532907" w:rsidP="00400672">
            <w:pPr>
              <w:rPr>
                <w:rFonts w:ascii="Arial" w:hAnsi="Arial" w:cs="Arial"/>
                <w:sz w:val="20"/>
              </w:rPr>
            </w:pPr>
            <w:r w:rsidRPr="00733A6B">
              <w:rPr>
                <w:rFonts w:ascii="Arial" w:hAnsi="Arial" w:cs="Arial"/>
                <w:sz w:val="20"/>
              </w:rPr>
              <w:t>resubmission, every 100 patients treatment with</w:t>
            </w:r>
          </w:p>
          <w:p w:rsidR="00532907" w:rsidRPr="00733A6B" w:rsidRDefault="00532907" w:rsidP="00400672">
            <w:pPr>
              <w:rPr>
                <w:rFonts w:ascii="Arial" w:hAnsi="Arial" w:cs="Arial"/>
                <w:sz w:val="20"/>
              </w:rPr>
            </w:pPr>
            <w:r w:rsidRPr="00733A6B">
              <w:rPr>
                <w:rFonts w:ascii="Arial" w:hAnsi="Arial" w:cs="Arial"/>
                <w:sz w:val="20"/>
              </w:rPr>
              <w:t>lanreotide, compared with placebo (for watchful waiting)</w:t>
            </w:r>
          </w:p>
          <w:p w:rsidR="00532907" w:rsidRPr="00733A6B" w:rsidRDefault="00532907" w:rsidP="00400672">
            <w:pPr>
              <w:rPr>
                <w:rFonts w:ascii="Arial" w:hAnsi="Arial" w:cs="Arial"/>
                <w:sz w:val="20"/>
              </w:rPr>
            </w:pPr>
            <w:r w:rsidRPr="00733A6B">
              <w:rPr>
                <w:rFonts w:ascii="Arial" w:hAnsi="Arial" w:cs="Arial"/>
                <w:sz w:val="20"/>
              </w:rPr>
              <w:t>resulted in approximately:</w:t>
            </w:r>
          </w:p>
          <w:p w:rsidR="00532907" w:rsidRPr="00733A6B" w:rsidRDefault="00532907" w:rsidP="00400672">
            <w:pPr>
              <w:rPr>
                <w:rFonts w:ascii="Arial" w:hAnsi="Arial" w:cs="Arial"/>
                <w:sz w:val="20"/>
              </w:rPr>
            </w:pPr>
            <w:r w:rsidRPr="00733A6B">
              <w:rPr>
                <w:rFonts w:ascii="Arial" w:hAnsi="Arial" w:cs="Arial"/>
                <w:sz w:val="20"/>
              </w:rPr>
              <w:t>• 17 additional patients experiencing gastrointestinal</w:t>
            </w:r>
          </w:p>
          <w:p w:rsidR="00532907" w:rsidRPr="00733A6B" w:rsidRDefault="00532907" w:rsidP="00400672">
            <w:pPr>
              <w:rPr>
                <w:rFonts w:ascii="Arial" w:hAnsi="Arial" w:cs="Arial"/>
                <w:sz w:val="20"/>
              </w:rPr>
            </w:pPr>
            <w:r w:rsidRPr="00733A6B">
              <w:rPr>
                <w:rFonts w:ascii="Arial" w:hAnsi="Arial" w:cs="Arial"/>
                <w:sz w:val="20"/>
              </w:rPr>
              <w:t>disorders;</w:t>
            </w:r>
          </w:p>
          <w:p w:rsidR="00532907" w:rsidRPr="00733A6B" w:rsidRDefault="00532907" w:rsidP="00400672">
            <w:pPr>
              <w:rPr>
                <w:rFonts w:ascii="Arial" w:hAnsi="Arial" w:cs="Arial"/>
                <w:sz w:val="20"/>
              </w:rPr>
            </w:pPr>
            <w:r w:rsidRPr="00733A6B">
              <w:rPr>
                <w:rFonts w:ascii="Arial" w:hAnsi="Arial" w:cs="Arial"/>
                <w:sz w:val="20"/>
              </w:rPr>
              <w:t>• 7 patients experiencing injection site pain; and</w:t>
            </w:r>
          </w:p>
          <w:p w:rsidR="00532907" w:rsidRPr="00733A6B" w:rsidRDefault="00532907" w:rsidP="00400672">
            <w:pPr>
              <w:rPr>
                <w:rFonts w:ascii="Arial" w:hAnsi="Arial" w:cs="Arial"/>
                <w:sz w:val="20"/>
              </w:rPr>
            </w:pPr>
            <w:r w:rsidRPr="00733A6B">
              <w:rPr>
                <w:rFonts w:ascii="Arial" w:hAnsi="Arial" w:cs="Arial"/>
                <w:sz w:val="20"/>
              </w:rPr>
              <w:t>• 12 additional patients experiencing cholelithiasis</w:t>
            </w:r>
          </w:p>
          <w:p w:rsidR="00532907" w:rsidRPr="00733A6B" w:rsidRDefault="00532907" w:rsidP="00400672">
            <w:pPr>
              <w:rPr>
                <w:rFonts w:ascii="Arial" w:hAnsi="Arial" w:cs="Arial"/>
                <w:sz w:val="20"/>
              </w:rPr>
            </w:pPr>
            <w:r w:rsidRPr="00733A6B">
              <w:rPr>
                <w:rFonts w:ascii="Arial" w:hAnsi="Arial" w:cs="Arial"/>
                <w:sz w:val="20"/>
              </w:rPr>
              <w:t>(</w:t>
            </w:r>
            <w:proofErr w:type="gramStart"/>
            <w:r w:rsidRPr="00733A6B">
              <w:rPr>
                <w:rFonts w:ascii="Arial" w:hAnsi="Arial" w:cs="Arial"/>
                <w:sz w:val="20"/>
              </w:rPr>
              <w:t>gallstones</w:t>
            </w:r>
            <w:proofErr w:type="gramEnd"/>
            <w:r w:rsidRPr="00733A6B">
              <w:rPr>
                <w:rFonts w:ascii="Arial" w:hAnsi="Arial" w:cs="Arial"/>
                <w:sz w:val="20"/>
              </w:rPr>
              <w:t>).</w:t>
            </w:r>
          </w:p>
          <w:p w:rsidR="00532907" w:rsidRPr="00733A6B" w:rsidRDefault="00532907" w:rsidP="00400672">
            <w:pPr>
              <w:rPr>
                <w:rFonts w:ascii="Arial" w:hAnsi="Arial" w:cs="Arial"/>
                <w:sz w:val="20"/>
              </w:rPr>
            </w:pPr>
          </w:p>
          <w:p w:rsidR="0000024E" w:rsidRPr="00733A6B" w:rsidRDefault="00532907" w:rsidP="00400672">
            <w:pPr>
              <w:rPr>
                <w:rFonts w:ascii="Arial" w:hAnsi="Arial" w:cs="Arial"/>
                <w:sz w:val="20"/>
              </w:rPr>
            </w:pPr>
            <w:r w:rsidRPr="00733A6B">
              <w:rPr>
                <w:rFonts w:ascii="Arial" w:hAnsi="Arial" w:cs="Arial"/>
                <w:sz w:val="20"/>
              </w:rPr>
              <w:t>The PBAC reiterated from its previous consideration that there is likely to be a clinically meaningful, anti-proliferative benefit associated with treatment with lanreotide, which would outweigh the potential adverse events, for a small, well selected group of patients. The PBAC considered that, given the indolent and variable nature of the disease, not all patients within the broad population of patients with non-functional GEP-NETs would benefit from active treatment with lanreotide.</w:t>
            </w:r>
          </w:p>
        </w:tc>
      </w:tr>
      <w:tr w:rsidR="00E743F8" w:rsidRPr="00733A6B" w:rsidTr="00400672">
        <w:trPr>
          <w:trHeight w:val="218"/>
        </w:trPr>
        <w:tc>
          <w:tcPr>
            <w:tcW w:w="2127" w:type="dxa"/>
            <w:vMerge/>
          </w:tcPr>
          <w:p w:rsidR="00E743F8" w:rsidRPr="00733A6B" w:rsidRDefault="00E743F8" w:rsidP="00400672">
            <w:pPr>
              <w:rPr>
                <w:rFonts w:ascii="Arial" w:hAnsi="Arial" w:cs="Arial"/>
                <w:sz w:val="20"/>
              </w:rPr>
            </w:pPr>
          </w:p>
        </w:tc>
        <w:tc>
          <w:tcPr>
            <w:tcW w:w="2409" w:type="dxa"/>
            <w:vMerge/>
          </w:tcPr>
          <w:p w:rsidR="00E743F8" w:rsidRPr="00733A6B" w:rsidRDefault="00E743F8" w:rsidP="00400672">
            <w:pPr>
              <w:rPr>
                <w:rFonts w:ascii="Arial" w:hAnsi="Arial" w:cs="Arial"/>
                <w:sz w:val="20"/>
              </w:rPr>
            </w:pPr>
          </w:p>
        </w:tc>
        <w:tc>
          <w:tcPr>
            <w:tcW w:w="2126" w:type="dxa"/>
            <w:vMerge/>
          </w:tcPr>
          <w:p w:rsidR="00E743F8" w:rsidRPr="00733A6B" w:rsidRDefault="00E743F8" w:rsidP="00400672">
            <w:pPr>
              <w:rPr>
                <w:rFonts w:ascii="Arial" w:hAnsi="Arial" w:cs="Arial"/>
                <w:sz w:val="20"/>
              </w:rPr>
            </w:pPr>
          </w:p>
        </w:tc>
        <w:tc>
          <w:tcPr>
            <w:tcW w:w="3827" w:type="dxa"/>
          </w:tcPr>
          <w:p w:rsidR="00E743F8" w:rsidRPr="00733A6B" w:rsidRDefault="00532907" w:rsidP="00400672">
            <w:pPr>
              <w:contextualSpacing/>
              <w:rPr>
                <w:rFonts w:ascii="Arial" w:hAnsi="Arial" w:cs="Arial"/>
                <w:color w:val="000000"/>
                <w:sz w:val="20"/>
              </w:rPr>
            </w:pPr>
            <w:r w:rsidRPr="00733A6B">
              <w:rPr>
                <w:rFonts w:ascii="Arial" w:hAnsi="Arial" w:cs="Arial"/>
                <w:color w:val="000000"/>
                <w:sz w:val="20"/>
              </w:rPr>
              <w:t>Economic claim: Cost-utility analysis of lanreotide versus watchful waiting (placebo)</w:t>
            </w:r>
          </w:p>
        </w:tc>
        <w:tc>
          <w:tcPr>
            <w:tcW w:w="5354" w:type="dxa"/>
          </w:tcPr>
          <w:p w:rsidR="00532907" w:rsidRPr="00733A6B" w:rsidRDefault="00532907" w:rsidP="00400672">
            <w:pPr>
              <w:tabs>
                <w:tab w:val="left" w:pos="1547"/>
              </w:tabs>
              <w:rPr>
                <w:rFonts w:ascii="Arial" w:hAnsi="Arial" w:cs="Arial"/>
                <w:sz w:val="20"/>
              </w:rPr>
            </w:pPr>
            <w:bookmarkStart w:id="0" w:name="_GoBack"/>
            <w:bookmarkEnd w:id="0"/>
            <w:r w:rsidRPr="00733A6B">
              <w:rPr>
                <w:rFonts w:ascii="Arial" w:hAnsi="Arial" w:cs="Arial"/>
                <w:sz w:val="20"/>
              </w:rPr>
              <w:t>The PBAC considered the inputs in the economic model to estimate the cost-effectiveness of lanreotide were unreliable. Post-progression treatment sequences (based on a survey of three clinicians), costs and durations applied in the model were overestimated in favour of lanreotide. Further, the PBAC noted that resubmission did not adequately justify the rate of post-progression lanreotide use applied in the model (30% in the placebo arm and 48% in the lanreotide arm), particularly given that lanreotide is not currently PBS-subsidised for non-functional GEP-NETs.</w:t>
            </w:r>
          </w:p>
          <w:p w:rsidR="00532907" w:rsidRPr="00733A6B" w:rsidRDefault="00532907" w:rsidP="00400672">
            <w:pPr>
              <w:tabs>
                <w:tab w:val="left" w:pos="1547"/>
              </w:tabs>
              <w:rPr>
                <w:rFonts w:ascii="Arial" w:hAnsi="Arial" w:cs="Arial"/>
                <w:sz w:val="20"/>
              </w:rPr>
            </w:pPr>
          </w:p>
          <w:p w:rsidR="00532907" w:rsidRPr="00733A6B" w:rsidRDefault="00532907" w:rsidP="00400672">
            <w:pPr>
              <w:tabs>
                <w:tab w:val="left" w:pos="1547"/>
              </w:tabs>
              <w:rPr>
                <w:rFonts w:ascii="Arial" w:hAnsi="Arial" w:cs="Arial"/>
                <w:sz w:val="20"/>
              </w:rPr>
            </w:pPr>
            <w:r w:rsidRPr="00733A6B">
              <w:rPr>
                <w:rFonts w:ascii="Arial" w:hAnsi="Arial" w:cs="Arial"/>
                <w:sz w:val="20"/>
              </w:rPr>
              <w:t xml:space="preserve">In addition, the PBAC noted the utility value for progressive disease (and therefore the change from the stable disease health state) used in the model was poorly supported and that estimated overall survival remained a source of uncertainty. </w:t>
            </w:r>
          </w:p>
          <w:p w:rsidR="00532907" w:rsidRPr="00733A6B" w:rsidRDefault="00532907" w:rsidP="00400672">
            <w:pPr>
              <w:tabs>
                <w:tab w:val="left" w:pos="1547"/>
              </w:tabs>
              <w:rPr>
                <w:rFonts w:ascii="Arial" w:hAnsi="Arial" w:cs="Arial"/>
                <w:sz w:val="20"/>
              </w:rPr>
            </w:pPr>
          </w:p>
          <w:p w:rsidR="00532907" w:rsidRPr="00733A6B" w:rsidRDefault="00532907" w:rsidP="00400672">
            <w:pPr>
              <w:tabs>
                <w:tab w:val="left" w:pos="1547"/>
              </w:tabs>
              <w:rPr>
                <w:rFonts w:ascii="Arial" w:hAnsi="Arial" w:cs="Arial"/>
                <w:sz w:val="20"/>
              </w:rPr>
            </w:pPr>
            <w:r w:rsidRPr="00733A6B">
              <w:rPr>
                <w:rFonts w:ascii="Arial" w:hAnsi="Arial" w:cs="Arial"/>
                <w:sz w:val="20"/>
              </w:rPr>
              <w:t>Accordingly, the PBAC considered the economic model provided in the current resubmission (as well as the previous submissions) to be fundamentally unreliable for estimating the cost-effectiveness of lanreotide for the requested listing.</w:t>
            </w:r>
          </w:p>
          <w:p w:rsidR="00532907" w:rsidRPr="00733A6B" w:rsidRDefault="00532907" w:rsidP="00400672">
            <w:pPr>
              <w:tabs>
                <w:tab w:val="left" w:pos="1547"/>
              </w:tabs>
              <w:rPr>
                <w:rFonts w:ascii="Arial" w:hAnsi="Arial" w:cs="Arial"/>
                <w:sz w:val="20"/>
              </w:rPr>
            </w:pPr>
          </w:p>
          <w:p w:rsidR="00400672" w:rsidRPr="00733A6B" w:rsidRDefault="00532907" w:rsidP="00400672">
            <w:pPr>
              <w:tabs>
                <w:tab w:val="left" w:pos="1547"/>
              </w:tabs>
              <w:rPr>
                <w:rFonts w:ascii="Arial" w:hAnsi="Arial" w:cs="Arial"/>
                <w:sz w:val="20"/>
              </w:rPr>
            </w:pPr>
            <w:r w:rsidRPr="00733A6B">
              <w:rPr>
                <w:rFonts w:ascii="Arial" w:hAnsi="Arial" w:cs="Arial"/>
                <w:sz w:val="20"/>
              </w:rPr>
              <w:t xml:space="preserve">The PBAC considered a significant reduction in the requested price of lanreotide would be required to provide </w:t>
            </w:r>
            <w:r w:rsidRPr="00733A6B">
              <w:rPr>
                <w:rFonts w:ascii="Arial" w:hAnsi="Arial" w:cs="Arial"/>
                <w:sz w:val="20"/>
              </w:rPr>
              <w:lastRenderedPageBreak/>
              <w:t>greater confidence in its cost-effectiveness</w:t>
            </w:r>
            <w:r w:rsidR="00400672" w:rsidRPr="00733A6B">
              <w:rPr>
                <w:rFonts w:ascii="Arial" w:hAnsi="Arial" w:cs="Arial"/>
                <w:sz w:val="20"/>
              </w:rPr>
              <w:t>.</w:t>
            </w:r>
          </w:p>
        </w:tc>
      </w:tr>
      <w:tr w:rsidR="00E743F8" w:rsidRPr="00733A6B" w:rsidTr="00E5280A">
        <w:trPr>
          <w:trHeight w:val="433"/>
        </w:trPr>
        <w:tc>
          <w:tcPr>
            <w:tcW w:w="2127" w:type="dxa"/>
            <w:vMerge/>
          </w:tcPr>
          <w:p w:rsidR="00E743F8" w:rsidRPr="00733A6B" w:rsidRDefault="00E743F8" w:rsidP="00400672">
            <w:pPr>
              <w:rPr>
                <w:rFonts w:ascii="Arial" w:hAnsi="Arial" w:cs="Arial"/>
                <w:sz w:val="20"/>
              </w:rPr>
            </w:pPr>
          </w:p>
        </w:tc>
        <w:tc>
          <w:tcPr>
            <w:tcW w:w="2409" w:type="dxa"/>
            <w:vMerge/>
          </w:tcPr>
          <w:p w:rsidR="00E743F8" w:rsidRPr="00733A6B" w:rsidRDefault="00E743F8" w:rsidP="00400672">
            <w:pPr>
              <w:rPr>
                <w:rFonts w:ascii="Arial" w:hAnsi="Arial" w:cs="Arial"/>
                <w:sz w:val="20"/>
              </w:rPr>
            </w:pPr>
          </w:p>
        </w:tc>
        <w:tc>
          <w:tcPr>
            <w:tcW w:w="2126" w:type="dxa"/>
            <w:vMerge/>
          </w:tcPr>
          <w:p w:rsidR="00E743F8" w:rsidRPr="00733A6B" w:rsidRDefault="00E743F8" w:rsidP="00400672">
            <w:pPr>
              <w:rPr>
                <w:rFonts w:ascii="Arial" w:hAnsi="Arial" w:cs="Arial"/>
                <w:sz w:val="20"/>
              </w:rPr>
            </w:pPr>
          </w:p>
        </w:tc>
        <w:tc>
          <w:tcPr>
            <w:tcW w:w="3827" w:type="dxa"/>
          </w:tcPr>
          <w:p w:rsidR="00E743F8" w:rsidRPr="00733A6B" w:rsidRDefault="0090743A" w:rsidP="00400672">
            <w:pPr>
              <w:contextualSpacing/>
              <w:rPr>
                <w:rFonts w:ascii="Arial" w:hAnsi="Arial" w:cs="Arial"/>
                <w:color w:val="000000"/>
                <w:sz w:val="20"/>
              </w:rPr>
            </w:pPr>
            <w:r w:rsidRPr="00733A6B">
              <w:rPr>
                <w:rFonts w:ascii="Arial" w:hAnsi="Arial" w:cs="Arial"/>
                <w:color w:val="000000"/>
                <w:sz w:val="20"/>
              </w:rPr>
              <w:t>Sponsor’s comments</w:t>
            </w:r>
          </w:p>
        </w:tc>
        <w:tc>
          <w:tcPr>
            <w:tcW w:w="5354" w:type="dxa"/>
            <w:shd w:val="clear" w:color="auto" w:fill="auto"/>
          </w:tcPr>
          <w:p w:rsidR="00E743F8" w:rsidRPr="00733A6B" w:rsidRDefault="00C80290" w:rsidP="00400672">
            <w:pPr>
              <w:rPr>
                <w:rFonts w:ascii="Arial" w:hAnsi="Arial" w:cs="Arial"/>
                <w:sz w:val="20"/>
              </w:rPr>
            </w:pPr>
            <w:r w:rsidRPr="00733A6B">
              <w:rPr>
                <w:rFonts w:ascii="Arial" w:hAnsi="Arial" w:cs="Arial"/>
                <w:sz w:val="20"/>
              </w:rPr>
              <w:t>Whilst Ipsen is disappointed with the decision, we remain committed to working with the PBAC to ensure this important indication is made available to Australian patients with GEP-NETs.</w:t>
            </w:r>
          </w:p>
          <w:p w:rsidR="00400672" w:rsidRPr="00733A6B" w:rsidRDefault="00400672" w:rsidP="00400672">
            <w:pPr>
              <w:rPr>
                <w:rFonts w:ascii="Arial" w:hAnsi="Arial" w:cs="Arial"/>
                <w:sz w:val="20"/>
              </w:rPr>
            </w:pPr>
          </w:p>
        </w:tc>
      </w:tr>
      <w:tr w:rsidR="0090743A" w:rsidRPr="00733A6B" w:rsidTr="00363695">
        <w:trPr>
          <w:trHeight w:val="433"/>
        </w:trPr>
        <w:tc>
          <w:tcPr>
            <w:tcW w:w="2127" w:type="dxa"/>
            <w:vMerge w:val="restart"/>
          </w:tcPr>
          <w:p w:rsidR="0090743A" w:rsidRPr="00733A6B" w:rsidRDefault="00107644" w:rsidP="00400672">
            <w:pPr>
              <w:contextualSpacing/>
              <w:rPr>
                <w:rFonts w:ascii="Arial" w:hAnsi="Arial" w:cs="Arial"/>
                <w:sz w:val="20"/>
              </w:rPr>
            </w:pPr>
            <w:r w:rsidRPr="00733A6B">
              <w:rPr>
                <w:rFonts w:ascii="Arial" w:hAnsi="Arial" w:cs="Arial"/>
                <w:sz w:val="20"/>
              </w:rPr>
              <w:br w:type="page"/>
            </w:r>
            <w:r w:rsidR="0090743A" w:rsidRPr="00733A6B">
              <w:rPr>
                <w:rFonts w:ascii="Arial" w:hAnsi="Arial" w:cs="Arial"/>
                <w:sz w:val="20"/>
              </w:rPr>
              <w:t xml:space="preserve">LIRAGLUTIDE </w:t>
            </w:r>
          </w:p>
          <w:p w:rsidR="0090743A" w:rsidRPr="00733A6B" w:rsidRDefault="0090743A" w:rsidP="00400672">
            <w:pPr>
              <w:contextualSpacing/>
              <w:rPr>
                <w:rFonts w:ascii="Arial" w:hAnsi="Arial" w:cs="Arial"/>
                <w:sz w:val="20"/>
              </w:rPr>
            </w:pPr>
          </w:p>
          <w:p w:rsidR="0090743A" w:rsidRPr="00733A6B" w:rsidRDefault="0090743A" w:rsidP="00400672">
            <w:pPr>
              <w:contextualSpacing/>
              <w:rPr>
                <w:rFonts w:ascii="Arial" w:hAnsi="Arial" w:cs="Arial"/>
                <w:sz w:val="20"/>
              </w:rPr>
            </w:pPr>
            <w:r w:rsidRPr="00733A6B">
              <w:rPr>
                <w:rFonts w:ascii="Arial" w:hAnsi="Arial" w:cs="Arial"/>
                <w:sz w:val="20"/>
              </w:rPr>
              <w:t>Injection 6 mg/mL,</w:t>
            </w:r>
          </w:p>
          <w:p w:rsidR="0090743A" w:rsidRPr="00733A6B" w:rsidRDefault="0090743A" w:rsidP="00400672">
            <w:pPr>
              <w:contextualSpacing/>
              <w:rPr>
                <w:rFonts w:ascii="Arial" w:hAnsi="Arial" w:cs="Arial"/>
                <w:sz w:val="20"/>
              </w:rPr>
            </w:pPr>
            <w:r w:rsidRPr="00733A6B">
              <w:rPr>
                <w:rFonts w:ascii="Arial" w:hAnsi="Arial" w:cs="Arial"/>
                <w:sz w:val="20"/>
              </w:rPr>
              <w:t xml:space="preserve"> 3 mL pre-filled pen </w:t>
            </w:r>
          </w:p>
          <w:p w:rsidR="0090743A" w:rsidRPr="00733A6B" w:rsidRDefault="0090743A" w:rsidP="00400672">
            <w:pPr>
              <w:contextualSpacing/>
              <w:rPr>
                <w:rFonts w:ascii="Arial" w:hAnsi="Arial" w:cs="Arial"/>
                <w:sz w:val="20"/>
              </w:rPr>
            </w:pPr>
          </w:p>
          <w:p w:rsidR="0090743A" w:rsidRPr="00733A6B" w:rsidRDefault="0090743A" w:rsidP="00400672">
            <w:pPr>
              <w:contextualSpacing/>
              <w:rPr>
                <w:rFonts w:ascii="Arial" w:hAnsi="Arial" w:cs="Arial"/>
                <w:sz w:val="20"/>
              </w:rPr>
            </w:pPr>
            <w:r w:rsidRPr="00733A6B">
              <w:rPr>
                <w:rFonts w:ascii="Arial" w:hAnsi="Arial" w:cs="Arial"/>
                <w:sz w:val="20"/>
              </w:rPr>
              <w:t xml:space="preserve">Victoza® </w:t>
            </w:r>
          </w:p>
          <w:p w:rsidR="0090743A" w:rsidRPr="00733A6B" w:rsidRDefault="0090743A" w:rsidP="00400672">
            <w:pPr>
              <w:contextualSpacing/>
              <w:rPr>
                <w:rFonts w:ascii="Arial" w:hAnsi="Arial" w:cs="Arial"/>
                <w:sz w:val="20"/>
              </w:rPr>
            </w:pPr>
          </w:p>
          <w:p w:rsidR="0090743A" w:rsidRPr="00733A6B" w:rsidRDefault="0090743A" w:rsidP="00400672">
            <w:pPr>
              <w:contextualSpacing/>
              <w:rPr>
                <w:rFonts w:ascii="Arial" w:hAnsi="Arial" w:cs="Arial"/>
                <w:sz w:val="20"/>
              </w:rPr>
            </w:pPr>
            <w:r w:rsidRPr="00733A6B">
              <w:rPr>
                <w:rFonts w:ascii="Arial" w:hAnsi="Arial" w:cs="Arial"/>
                <w:sz w:val="20"/>
              </w:rPr>
              <w:t>Novo Nordisk Pharmaceuticals Pty Ltd</w:t>
            </w:r>
          </w:p>
          <w:p w:rsidR="00E5280A" w:rsidRPr="00733A6B" w:rsidRDefault="00E5280A" w:rsidP="00400672">
            <w:pPr>
              <w:contextualSpacing/>
              <w:rPr>
                <w:rFonts w:ascii="Arial" w:hAnsi="Arial" w:cs="Arial"/>
                <w:sz w:val="20"/>
              </w:rPr>
            </w:pPr>
          </w:p>
          <w:p w:rsidR="00E5280A" w:rsidRPr="00733A6B" w:rsidRDefault="00E5280A" w:rsidP="00400672">
            <w:pPr>
              <w:contextualSpacing/>
              <w:rPr>
                <w:rFonts w:ascii="Arial" w:hAnsi="Arial" w:cs="Arial"/>
                <w:sz w:val="20"/>
              </w:rPr>
            </w:pPr>
            <w:r w:rsidRPr="00733A6B">
              <w:rPr>
                <w:rFonts w:ascii="Arial" w:hAnsi="Arial" w:cs="Arial"/>
                <w:sz w:val="20"/>
              </w:rPr>
              <w:t>New listing</w:t>
            </w:r>
          </w:p>
          <w:p w:rsidR="0090743A" w:rsidRPr="00733A6B" w:rsidRDefault="0090743A" w:rsidP="00400672">
            <w:pPr>
              <w:contextualSpacing/>
              <w:rPr>
                <w:rFonts w:ascii="Arial" w:hAnsi="Arial" w:cs="Arial"/>
                <w:sz w:val="20"/>
              </w:rPr>
            </w:pPr>
          </w:p>
          <w:p w:rsidR="0090743A" w:rsidRPr="00733A6B" w:rsidRDefault="0090743A" w:rsidP="00400672">
            <w:pPr>
              <w:contextualSpacing/>
              <w:rPr>
                <w:rFonts w:ascii="Arial" w:hAnsi="Arial" w:cs="Arial"/>
                <w:sz w:val="20"/>
                <w:highlight w:val="yellow"/>
              </w:rPr>
            </w:pPr>
            <w:r w:rsidRPr="00733A6B">
              <w:rPr>
                <w:rFonts w:ascii="Arial" w:hAnsi="Arial" w:cs="Arial"/>
                <w:sz w:val="20"/>
              </w:rPr>
              <w:t>(Major Submission)</w:t>
            </w:r>
          </w:p>
        </w:tc>
        <w:tc>
          <w:tcPr>
            <w:tcW w:w="2409" w:type="dxa"/>
            <w:vMerge w:val="restart"/>
          </w:tcPr>
          <w:p w:rsidR="0090743A" w:rsidRPr="00733A6B" w:rsidRDefault="00AB70E2" w:rsidP="00400672">
            <w:pPr>
              <w:rPr>
                <w:rFonts w:ascii="Arial" w:hAnsi="Arial" w:cs="Arial"/>
                <w:sz w:val="20"/>
              </w:rPr>
            </w:pPr>
            <w:r w:rsidRPr="00733A6B">
              <w:rPr>
                <w:rFonts w:ascii="Arial" w:hAnsi="Arial" w:cs="Arial"/>
                <w:sz w:val="20"/>
              </w:rPr>
              <w:t>Liraglutide</w:t>
            </w:r>
            <w:r w:rsidR="0090743A" w:rsidRPr="00733A6B">
              <w:rPr>
                <w:rFonts w:ascii="Arial" w:hAnsi="Arial" w:cs="Arial"/>
                <w:sz w:val="20"/>
              </w:rPr>
              <w:t xml:space="preserve"> is indicated as an adjunct to diet and exercise for treatment of adults with type 2 diabetes mellitus to achieve glycaemic control:</w:t>
            </w:r>
          </w:p>
          <w:p w:rsidR="0090743A" w:rsidRPr="00733A6B" w:rsidRDefault="0090743A" w:rsidP="00400672">
            <w:pPr>
              <w:rPr>
                <w:rFonts w:ascii="Arial" w:hAnsi="Arial" w:cs="Arial"/>
                <w:sz w:val="20"/>
              </w:rPr>
            </w:pPr>
            <w:r w:rsidRPr="00733A6B">
              <w:rPr>
                <w:rFonts w:ascii="Arial" w:hAnsi="Arial" w:cs="Arial"/>
                <w:sz w:val="20"/>
              </w:rPr>
              <w:t xml:space="preserve">• </w:t>
            </w:r>
            <w:proofErr w:type="gramStart"/>
            <w:r w:rsidRPr="00733A6B">
              <w:rPr>
                <w:rFonts w:ascii="Arial" w:hAnsi="Arial" w:cs="Arial"/>
                <w:sz w:val="20"/>
              </w:rPr>
              <w:t>in</w:t>
            </w:r>
            <w:proofErr w:type="gramEnd"/>
            <w:r w:rsidRPr="00733A6B">
              <w:rPr>
                <w:rFonts w:ascii="Arial" w:hAnsi="Arial" w:cs="Arial"/>
                <w:sz w:val="20"/>
              </w:rPr>
              <w:t xml:space="preserve"> dual combination, added to metformin or a sulfonylurea, in patients with insufficient glycaemic control despite the use of maximally tolerated or clinically adequate doses of metformin or sulfonylurea monotherapy.</w:t>
            </w:r>
          </w:p>
          <w:p w:rsidR="0090743A" w:rsidRPr="00733A6B" w:rsidRDefault="0090743A" w:rsidP="00400672">
            <w:pPr>
              <w:rPr>
                <w:rFonts w:ascii="Arial" w:hAnsi="Arial" w:cs="Arial"/>
                <w:sz w:val="20"/>
              </w:rPr>
            </w:pPr>
            <w:r w:rsidRPr="00733A6B">
              <w:rPr>
                <w:rFonts w:ascii="Arial" w:hAnsi="Arial" w:cs="Arial"/>
                <w:sz w:val="20"/>
              </w:rPr>
              <w:t xml:space="preserve">• </w:t>
            </w:r>
            <w:proofErr w:type="gramStart"/>
            <w:r w:rsidRPr="00733A6B">
              <w:rPr>
                <w:rFonts w:ascii="Arial" w:hAnsi="Arial" w:cs="Arial"/>
                <w:sz w:val="20"/>
              </w:rPr>
              <w:t>in</w:t>
            </w:r>
            <w:proofErr w:type="gramEnd"/>
            <w:r w:rsidRPr="00733A6B">
              <w:rPr>
                <w:rFonts w:ascii="Arial" w:hAnsi="Arial" w:cs="Arial"/>
                <w:sz w:val="20"/>
              </w:rPr>
              <w:t xml:space="preserve"> triple combination, added to metformin and a sulfonylurea in patients with insufficient glycaemic control despite dual therapy.</w:t>
            </w:r>
          </w:p>
          <w:p w:rsidR="0090743A" w:rsidRPr="00733A6B" w:rsidRDefault="0090743A" w:rsidP="00400672">
            <w:pPr>
              <w:rPr>
                <w:rFonts w:ascii="Arial" w:hAnsi="Arial" w:cs="Arial"/>
                <w:sz w:val="20"/>
                <w:highlight w:val="yellow"/>
              </w:rPr>
            </w:pPr>
            <w:r w:rsidRPr="00733A6B">
              <w:rPr>
                <w:rFonts w:ascii="Arial" w:hAnsi="Arial" w:cs="Arial"/>
                <w:sz w:val="20"/>
              </w:rPr>
              <w:t xml:space="preserve">• </w:t>
            </w:r>
            <w:proofErr w:type="gramStart"/>
            <w:r w:rsidRPr="00733A6B">
              <w:rPr>
                <w:rFonts w:ascii="Arial" w:hAnsi="Arial" w:cs="Arial"/>
                <w:sz w:val="20"/>
              </w:rPr>
              <w:t>in</w:t>
            </w:r>
            <w:proofErr w:type="gramEnd"/>
            <w:r w:rsidRPr="00733A6B">
              <w:rPr>
                <w:rFonts w:ascii="Arial" w:hAnsi="Arial" w:cs="Arial"/>
                <w:sz w:val="20"/>
              </w:rPr>
              <w:t xml:space="preserve"> combination therapy with basal insulin, with or without metformin.</w:t>
            </w:r>
          </w:p>
        </w:tc>
        <w:tc>
          <w:tcPr>
            <w:tcW w:w="2126" w:type="dxa"/>
            <w:vMerge w:val="restart"/>
          </w:tcPr>
          <w:p w:rsidR="0090743A" w:rsidRPr="00733A6B" w:rsidRDefault="00E74274" w:rsidP="00400672">
            <w:pPr>
              <w:rPr>
                <w:rFonts w:ascii="Arial" w:hAnsi="Arial" w:cs="Arial"/>
                <w:sz w:val="20"/>
                <w:highlight w:val="yellow"/>
              </w:rPr>
            </w:pPr>
            <w:r w:rsidRPr="00733A6B">
              <w:rPr>
                <w:rFonts w:ascii="Arial" w:hAnsi="Arial" w:cs="Arial"/>
                <w:sz w:val="20"/>
              </w:rPr>
              <w:t>Liraglutide is not currently PBS listed.</w:t>
            </w:r>
          </w:p>
        </w:tc>
        <w:tc>
          <w:tcPr>
            <w:tcW w:w="3827" w:type="dxa"/>
          </w:tcPr>
          <w:p w:rsidR="0090743A" w:rsidRPr="00733A6B" w:rsidRDefault="0090743A" w:rsidP="00400672">
            <w:pPr>
              <w:contextualSpacing/>
              <w:rPr>
                <w:rFonts w:ascii="Arial" w:hAnsi="Arial" w:cs="Arial"/>
                <w:sz w:val="20"/>
              </w:rPr>
            </w:pPr>
            <w:r w:rsidRPr="00733A6B">
              <w:rPr>
                <w:rFonts w:ascii="Arial" w:hAnsi="Arial" w:cs="Arial"/>
                <w:sz w:val="20"/>
              </w:rPr>
              <w:t>Resubmission to request an Authority Required (STREAMLINED) listing in combination with metformin and/or a sulfonylurea, or insulin, for the treatment of patients with T2DM under certain conditions.</w:t>
            </w:r>
          </w:p>
        </w:tc>
        <w:tc>
          <w:tcPr>
            <w:tcW w:w="5354" w:type="dxa"/>
          </w:tcPr>
          <w:p w:rsidR="0090743A" w:rsidRPr="00733A6B" w:rsidRDefault="004E157F" w:rsidP="00400672">
            <w:pPr>
              <w:rPr>
                <w:rFonts w:ascii="Arial" w:hAnsi="Arial" w:cs="Arial"/>
                <w:sz w:val="20"/>
              </w:rPr>
            </w:pPr>
            <w:r w:rsidRPr="00733A6B">
              <w:rPr>
                <w:rFonts w:ascii="Arial" w:hAnsi="Arial" w:cs="Arial"/>
                <w:sz w:val="20"/>
              </w:rPr>
              <w:t xml:space="preserve">The PBAC did not recommend the listing of liraglutide 1.8 mg/day for treatment of patients with Type 2 diabetes mellitus and high cardiovascular risk based on inadequate clinical data and uncertain cost effectiveness. However, the </w:t>
            </w:r>
            <w:r w:rsidR="00400672" w:rsidRPr="00733A6B">
              <w:rPr>
                <w:rFonts w:ascii="Arial" w:hAnsi="Arial" w:cs="Arial"/>
                <w:sz w:val="20"/>
              </w:rPr>
              <w:t>PBAC</w:t>
            </w:r>
            <w:r w:rsidRPr="00733A6B">
              <w:rPr>
                <w:rFonts w:ascii="Arial" w:hAnsi="Arial" w:cs="Arial"/>
                <w:sz w:val="20"/>
              </w:rPr>
              <w:t xml:space="preserve"> reaffirmed </w:t>
            </w:r>
            <w:r w:rsidR="0000024E" w:rsidRPr="00733A6B">
              <w:rPr>
                <w:rFonts w:ascii="Arial" w:hAnsi="Arial" w:cs="Arial"/>
                <w:sz w:val="20"/>
              </w:rPr>
              <w:t xml:space="preserve">its prior </w:t>
            </w:r>
            <w:r w:rsidRPr="00733A6B">
              <w:rPr>
                <w:rFonts w:ascii="Arial" w:hAnsi="Arial" w:cs="Arial"/>
                <w:sz w:val="20"/>
              </w:rPr>
              <w:t xml:space="preserve">recommendation </w:t>
            </w:r>
            <w:r w:rsidR="00B143EA" w:rsidRPr="00733A6B">
              <w:rPr>
                <w:rFonts w:ascii="Arial" w:hAnsi="Arial" w:cs="Arial"/>
                <w:sz w:val="20"/>
              </w:rPr>
              <w:t xml:space="preserve">in </w:t>
            </w:r>
            <w:r w:rsidRPr="00733A6B">
              <w:rPr>
                <w:rFonts w:ascii="Arial" w:hAnsi="Arial" w:cs="Arial"/>
                <w:sz w:val="20"/>
              </w:rPr>
              <w:t xml:space="preserve">March 2013 that accepted the non-inferiority of </w:t>
            </w:r>
            <w:r w:rsidR="00B143EA" w:rsidRPr="00733A6B">
              <w:rPr>
                <w:rFonts w:ascii="Arial" w:hAnsi="Arial" w:cs="Arial"/>
                <w:sz w:val="20"/>
              </w:rPr>
              <w:t xml:space="preserve">the </w:t>
            </w:r>
            <w:r w:rsidRPr="00733A6B">
              <w:rPr>
                <w:rFonts w:ascii="Arial" w:hAnsi="Arial" w:cs="Arial"/>
                <w:sz w:val="20"/>
              </w:rPr>
              <w:t>effectiveness and safety of liraglutide 1.2 mg daily</w:t>
            </w:r>
            <w:r w:rsidR="00B143EA" w:rsidRPr="00733A6B">
              <w:rPr>
                <w:rFonts w:ascii="Arial" w:hAnsi="Arial" w:cs="Arial"/>
                <w:sz w:val="20"/>
              </w:rPr>
              <w:t>,</w:t>
            </w:r>
            <w:r w:rsidRPr="00733A6B">
              <w:rPr>
                <w:rFonts w:ascii="Arial" w:hAnsi="Arial" w:cs="Arial"/>
                <w:sz w:val="20"/>
              </w:rPr>
              <w:t xml:space="preserve"> </w:t>
            </w:r>
            <w:r w:rsidR="00B143EA" w:rsidRPr="00733A6B">
              <w:rPr>
                <w:rFonts w:ascii="Arial" w:hAnsi="Arial" w:cs="Arial"/>
                <w:sz w:val="20"/>
              </w:rPr>
              <w:t xml:space="preserve">when </w:t>
            </w:r>
            <w:r w:rsidRPr="00733A6B">
              <w:rPr>
                <w:rFonts w:ascii="Arial" w:hAnsi="Arial" w:cs="Arial"/>
                <w:sz w:val="20"/>
              </w:rPr>
              <w:t>compared with exenatide 10 µg twice daily in terms of glycaemic control.</w:t>
            </w:r>
          </w:p>
        </w:tc>
      </w:tr>
      <w:tr w:rsidR="0090743A" w:rsidRPr="00733A6B" w:rsidTr="00363695">
        <w:trPr>
          <w:trHeight w:val="433"/>
        </w:trPr>
        <w:tc>
          <w:tcPr>
            <w:tcW w:w="2127" w:type="dxa"/>
            <w:vMerge/>
          </w:tcPr>
          <w:p w:rsidR="0090743A" w:rsidRPr="00733A6B" w:rsidRDefault="0090743A" w:rsidP="00400672">
            <w:pPr>
              <w:rPr>
                <w:rFonts w:ascii="Arial" w:hAnsi="Arial" w:cs="Arial"/>
                <w:sz w:val="20"/>
              </w:rPr>
            </w:pPr>
          </w:p>
        </w:tc>
        <w:tc>
          <w:tcPr>
            <w:tcW w:w="2409" w:type="dxa"/>
            <w:vMerge/>
          </w:tcPr>
          <w:p w:rsidR="0090743A" w:rsidRPr="00733A6B" w:rsidRDefault="0090743A" w:rsidP="00400672">
            <w:pPr>
              <w:rPr>
                <w:rFonts w:ascii="Arial" w:hAnsi="Arial" w:cs="Arial"/>
                <w:sz w:val="20"/>
              </w:rPr>
            </w:pPr>
          </w:p>
        </w:tc>
        <w:tc>
          <w:tcPr>
            <w:tcW w:w="2126" w:type="dxa"/>
            <w:vMerge/>
          </w:tcPr>
          <w:p w:rsidR="0090743A" w:rsidRPr="00733A6B" w:rsidRDefault="0090743A" w:rsidP="00400672">
            <w:pPr>
              <w:rPr>
                <w:rFonts w:ascii="Arial" w:hAnsi="Arial" w:cs="Arial"/>
                <w:sz w:val="20"/>
              </w:rPr>
            </w:pPr>
          </w:p>
        </w:tc>
        <w:tc>
          <w:tcPr>
            <w:tcW w:w="3827" w:type="dxa"/>
          </w:tcPr>
          <w:p w:rsidR="0090743A" w:rsidRPr="00733A6B" w:rsidRDefault="0090743A" w:rsidP="00400672">
            <w:pPr>
              <w:contextualSpacing/>
              <w:rPr>
                <w:rFonts w:ascii="Arial" w:hAnsi="Arial" w:cs="Arial"/>
                <w:sz w:val="20"/>
              </w:rPr>
            </w:pPr>
            <w:r w:rsidRPr="00733A6B">
              <w:rPr>
                <w:rFonts w:ascii="Arial" w:hAnsi="Arial" w:cs="Arial"/>
                <w:sz w:val="20"/>
              </w:rPr>
              <w:t>Comparator:</w:t>
            </w:r>
            <w:r w:rsidR="004E157F" w:rsidRPr="00733A6B">
              <w:rPr>
                <w:rFonts w:ascii="Arial" w:hAnsi="Arial" w:cs="Arial"/>
                <w:sz w:val="20"/>
              </w:rPr>
              <w:t xml:space="preserve"> Exenatide</w:t>
            </w:r>
          </w:p>
          <w:p w:rsidR="0090743A" w:rsidRPr="00733A6B" w:rsidRDefault="0090743A" w:rsidP="00400672">
            <w:pPr>
              <w:contextualSpacing/>
              <w:rPr>
                <w:rFonts w:ascii="Arial" w:hAnsi="Arial" w:cs="Arial"/>
                <w:sz w:val="20"/>
              </w:rPr>
            </w:pPr>
          </w:p>
        </w:tc>
        <w:tc>
          <w:tcPr>
            <w:tcW w:w="5354" w:type="dxa"/>
          </w:tcPr>
          <w:p w:rsidR="0090743A" w:rsidRPr="00733A6B" w:rsidRDefault="004E157F" w:rsidP="00400672">
            <w:pPr>
              <w:rPr>
                <w:rFonts w:ascii="Arial" w:hAnsi="Arial" w:cs="Arial"/>
                <w:sz w:val="20"/>
              </w:rPr>
            </w:pPr>
            <w:r w:rsidRPr="00733A6B">
              <w:rPr>
                <w:rFonts w:ascii="Arial" w:hAnsi="Arial" w:cs="Arial"/>
                <w:sz w:val="20"/>
              </w:rPr>
              <w:t>The PBAC accepted exenatide was an appropriate comparator. However, PBAC also noted that despite not having a specific PBS listing for high CV risk patients, empagliflozin offers similar reductions in direct CV outcomes across the broader Type 2 diabetes population at a substantially lower price and may also be replaced in clinical practice.</w:t>
            </w:r>
          </w:p>
        </w:tc>
      </w:tr>
      <w:tr w:rsidR="0090743A" w:rsidRPr="00733A6B" w:rsidTr="00363695">
        <w:trPr>
          <w:trHeight w:val="433"/>
        </w:trPr>
        <w:tc>
          <w:tcPr>
            <w:tcW w:w="2127" w:type="dxa"/>
            <w:vMerge/>
          </w:tcPr>
          <w:p w:rsidR="0090743A" w:rsidRPr="00733A6B" w:rsidRDefault="0090743A" w:rsidP="00400672">
            <w:pPr>
              <w:rPr>
                <w:rFonts w:ascii="Arial" w:hAnsi="Arial" w:cs="Arial"/>
                <w:sz w:val="20"/>
              </w:rPr>
            </w:pPr>
          </w:p>
        </w:tc>
        <w:tc>
          <w:tcPr>
            <w:tcW w:w="2409" w:type="dxa"/>
            <w:vMerge/>
          </w:tcPr>
          <w:p w:rsidR="0090743A" w:rsidRPr="00733A6B" w:rsidRDefault="0090743A" w:rsidP="00400672">
            <w:pPr>
              <w:rPr>
                <w:rFonts w:ascii="Arial" w:hAnsi="Arial" w:cs="Arial"/>
                <w:sz w:val="20"/>
              </w:rPr>
            </w:pPr>
          </w:p>
        </w:tc>
        <w:tc>
          <w:tcPr>
            <w:tcW w:w="2126" w:type="dxa"/>
            <w:vMerge/>
          </w:tcPr>
          <w:p w:rsidR="0090743A" w:rsidRPr="00733A6B" w:rsidRDefault="0090743A" w:rsidP="00400672">
            <w:pPr>
              <w:rPr>
                <w:rFonts w:ascii="Arial" w:hAnsi="Arial" w:cs="Arial"/>
                <w:sz w:val="20"/>
              </w:rPr>
            </w:pPr>
          </w:p>
        </w:tc>
        <w:tc>
          <w:tcPr>
            <w:tcW w:w="3827" w:type="dxa"/>
          </w:tcPr>
          <w:p w:rsidR="0090743A" w:rsidRPr="00733A6B" w:rsidRDefault="0090743A" w:rsidP="00400672">
            <w:pPr>
              <w:contextualSpacing/>
              <w:rPr>
                <w:rFonts w:ascii="Arial" w:hAnsi="Arial" w:cs="Arial"/>
                <w:sz w:val="20"/>
              </w:rPr>
            </w:pPr>
            <w:r w:rsidRPr="00733A6B">
              <w:rPr>
                <w:rFonts w:ascii="Arial" w:hAnsi="Arial" w:cs="Arial"/>
                <w:sz w:val="20"/>
              </w:rPr>
              <w:t>Clinical claim:</w:t>
            </w:r>
            <w:r w:rsidR="004E157F" w:rsidRPr="00733A6B">
              <w:rPr>
                <w:rFonts w:ascii="Arial" w:hAnsi="Arial" w:cs="Arial"/>
                <w:sz w:val="20"/>
              </w:rPr>
              <w:t xml:space="preserve"> The submission described liraglutide as superior in terms of comparative effectiveness over exenatide, providing a statistically significant reduction in cardiovascular risk in patients with Type 2 diabetes and high cardiovascular risk.</w:t>
            </w:r>
          </w:p>
          <w:p w:rsidR="0090743A" w:rsidRPr="00733A6B" w:rsidRDefault="0090743A" w:rsidP="00400672">
            <w:pPr>
              <w:contextualSpacing/>
              <w:rPr>
                <w:rFonts w:ascii="Arial" w:hAnsi="Arial" w:cs="Arial"/>
                <w:sz w:val="20"/>
              </w:rPr>
            </w:pPr>
          </w:p>
        </w:tc>
        <w:tc>
          <w:tcPr>
            <w:tcW w:w="5354" w:type="dxa"/>
          </w:tcPr>
          <w:p w:rsidR="0090743A" w:rsidRPr="00733A6B" w:rsidRDefault="004E157F" w:rsidP="00400672">
            <w:pPr>
              <w:rPr>
                <w:rFonts w:ascii="Arial" w:hAnsi="Arial" w:cs="Arial"/>
                <w:sz w:val="20"/>
              </w:rPr>
            </w:pPr>
            <w:r w:rsidRPr="00733A6B">
              <w:rPr>
                <w:rFonts w:ascii="Arial" w:hAnsi="Arial" w:cs="Arial"/>
                <w:sz w:val="20"/>
              </w:rPr>
              <w:t>The PBAC considered that the claim of superior comparative effectiveness of liraglutide 1.8 mg daily for patients with type 2 diabetes mellitus at high cardiovascular risk compared with exenatide 10 µg twice daily was not adequately supported due to the lack of supporting clinical evidence that excludes the cardiovascular effects of exenatide.</w:t>
            </w:r>
          </w:p>
        </w:tc>
      </w:tr>
      <w:tr w:rsidR="0090743A" w:rsidRPr="00733A6B" w:rsidTr="00400672">
        <w:trPr>
          <w:trHeight w:val="1151"/>
        </w:trPr>
        <w:tc>
          <w:tcPr>
            <w:tcW w:w="2127" w:type="dxa"/>
            <w:vMerge/>
          </w:tcPr>
          <w:p w:rsidR="0090743A" w:rsidRPr="00733A6B" w:rsidRDefault="0090743A" w:rsidP="00400672">
            <w:pPr>
              <w:rPr>
                <w:rFonts w:ascii="Arial" w:hAnsi="Arial" w:cs="Arial"/>
                <w:sz w:val="20"/>
              </w:rPr>
            </w:pPr>
          </w:p>
        </w:tc>
        <w:tc>
          <w:tcPr>
            <w:tcW w:w="2409" w:type="dxa"/>
            <w:vMerge/>
          </w:tcPr>
          <w:p w:rsidR="0090743A" w:rsidRPr="00733A6B" w:rsidRDefault="0090743A" w:rsidP="00400672">
            <w:pPr>
              <w:rPr>
                <w:rFonts w:ascii="Arial" w:hAnsi="Arial" w:cs="Arial"/>
                <w:sz w:val="20"/>
              </w:rPr>
            </w:pPr>
          </w:p>
        </w:tc>
        <w:tc>
          <w:tcPr>
            <w:tcW w:w="2126" w:type="dxa"/>
            <w:vMerge/>
          </w:tcPr>
          <w:p w:rsidR="0090743A" w:rsidRPr="00733A6B" w:rsidRDefault="0090743A" w:rsidP="00400672">
            <w:pPr>
              <w:rPr>
                <w:rFonts w:ascii="Arial" w:hAnsi="Arial" w:cs="Arial"/>
                <w:sz w:val="20"/>
              </w:rPr>
            </w:pPr>
          </w:p>
        </w:tc>
        <w:tc>
          <w:tcPr>
            <w:tcW w:w="3827" w:type="dxa"/>
          </w:tcPr>
          <w:p w:rsidR="0090743A" w:rsidRPr="00733A6B" w:rsidRDefault="0090743A" w:rsidP="00DE13CA">
            <w:pPr>
              <w:contextualSpacing/>
              <w:rPr>
                <w:rFonts w:ascii="Arial" w:hAnsi="Arial" w:cs="Arial"/>
                <w:sz w:val="20"/>
              </w:rPr>
            </w:pPr>
            <w:r w:rsidRPr="00733A6B">
              <w:rPr>
                <w:rFonts w:ascii="Arial" w:hAnsi="Arial" w:cs="Arial"/>
                <w:sz w:val="20"/>
              </w:rPr>
              <w:t>Economic claim</w:t>
            </w:r>
            <w:r w:rsidR="004E157F" w:rsidRPr="00733A6B">
              <w:rPr>
                <w:rFonts w:ascii="Arial" w:hAnsi="Arial" w:cs="Arial"/>
                <w:sz w:val="20"/>
              </w:rPr>
              <w:t>: The submission presented a modelled cost utility analysis comparing the cardiovascular benefits o</w:t>
            </w:r>
            <w:r w:rsidR="0032022B" w:rsidRPr="00733A6B">
              <w:rPr>
                <w:rFonts w:ascii="Arial" w:hAnsi="Arial" w:cs="Arial"/>
                <w:sz w:val="20"/>
              </w:rPr>
              <w:t>f liraglutide with exenatide 10 </w:t>
            </w:r>
            <w:r w:rsidR="004E157F" w:rsidRPr="00733A6B">
              <w:rPr>
                <w:rFonts w:ascii="Arial" w:hAnsi="Arial" w:cs="Arial"/>
                <w:sz w:val="20"/>
              </w:rPr>
              <w:t>µg twice daily.</w:t>
            </w:r>
          </w:p>
        </w:tc>
        <w:tc>
          <w:tcPr>
            <w:tcW w:w="5354" w:type="dxa"/>
          </w:tcPr>
          <w:p w:rsidR="0090743A" w:rsidRPr="00733A6B" w:rsidRDefault="004E157F" w:rsidP="00400672">
            <w:pPr>
              <w:rPr>
                <w:rFonts w:ascii="Arial" w:hAnsi="Arial" w:cs="Arial"/>
                <w:sz w:val="20"/>
              </w:rPr>
            </w:pPr>
            <w:r w:rsidRPr="00733A6B">
              <w:rPr>
                <w:rFonts w:ascii="Arial" w:hAnsi="Arial" w:cs="Arial"/>
                <w:sz w:val="20"/>
              </w:rPr>
              <w:t>The PBAC considered that the base case economic model did not provide a reliable indication of the cost effectiveness of liraglutide versus exenatide in terms of cardiovascular risk.</w:t>
            </w:r>
          </w:p>
          <w:p w:rsidR="00B143EA" w:rsidRPr="00733A6B" w:rsidRDefault="00B143EA" w:rsidP="00400672">
            <w:pPr>
              <w:rPr>
                <w:rFonts w:ascii="Arial" w:hAnsi="Arial" w:cs="Arial"/>
                <w:sz w:val="20"/>
              </w:rPr>
            </w:pPr>
          </w:p>
        </w:tc>
      </w:tr>
      <w:tr w:rsidR="0090743A" w:rsidRPr="00733A6B" w:rsidTr="0029069A">
        <w:trPr>
          <w:trHeight w:val="1210"/>
        </w:trPr>
        <w:tc>
          <w:tcPr>
            <w:tcW w:w="2127" w:type="dxa"/>
            <w:vMerge/>
          </w:tcPr>
          <w:p w:rsidR="0090743A" w:rsidRPr="00733A6B" w:rsidRDefault="0090743A" w:rsidP="00400672">
            <w:pPr>
              <w:rPr>
                <w:rFonts w:ascii="Arial" w:hAnsi="Arial" w:cs="Arial"/>
                <w:sz w:val="20"/>
              </w:rPr>
            </w:pPr>
          </w:p>
        </w:tc>
        <w:tc>
          <w:tcPr>
            <w:tcW w:w="2409" w:type="dxa"/>
            <w:vMerge/>
          </w:tcPr>
          <w:p w:rsidR="0090743A" w:rsidRPr="00733A6B" w:rsidRDefault="0090743A" w:rsidP="00400672">
            <w:pPr>
              <w:rPr>
                <w:rFonts w:ascii="Arial" w:hAnsi="Arial" w:cs="Arial"/>
                <w:sz w:val="20"/>
              </w:rPr>
            </w:pPr>
          </w:p>
        </w:tc>
        <w:tc>
          <w:tcPr>
            <w:tcW w:w="2126" w:type="dxa"/>
            <w:vMerge/>
          </w:tcPr>
          <w:p w:rsidR="0090743A" w:rsidRPr="00733A6B" w:rsidRDefault="0090743A" w:rsidP="00400672">
            <w:pPr>
              <w:rPr>
                <w:rFonts w:ascii="Arial" w:hAnsi="Arial" w:cs="Arial"/>
                <w:sz w:val="20"/>
              </w:rPr>
            </w:pPr>
          </w:p>
        </w:tc>
        <w:tc>
          <w:tcPr>
            <w:tcW w:w="3827" w:type="dxa"/>
          </w:tcPr>
          <w:p w:rsidR="0090743A" w:rsidRPr="00733A6B" w:rsidRDefault="0090743A" w:rsidP="00400672">
            <w:pPr>
              <w:contextualSpacing/>
              <w:rPr>
                <w:rFonts w:ascii="Arial" w:hAnsi="Arial" w:cs="Arial"/>
                <w:sz w:val="20"/>
              </w:rPr>
            </w:pPr>
            <w:r w:rsidRPr="00733A6B">
              <w:rPr>
                <w:rFonts w:ascii="Arial" w:hAnsi="Arial" w:cs="Arial"/>
                <w:sz w:val="20"/>
              </w:rPr>
              <w:t>Sponsor’s comments</w:t>
            </w:r>
          </w:p>
        </w:tc>
        <w:tc>
          <w:tcPr>
            <w:tcW w:w="5354" w:type="dxa"/>
          </w:tcPr>
          <w:p w:rsidR="0090743A" w:rsidRPr="00733A6B" w:rsidRDefault="009A1127" w:rsidP="00400672">
            <w:pPr>
              <w:rPr>
                <w:rFonts w:ascii="Arial" w:hAnsi="Arial" w:cs="Arial"/>
                <w:sz w:val="20"/>
              </w:rPr>
            </w:pPr>
            <w:r w:rsidRPr="00733A6B">
              <w:rPr>
                <w:rFonts w:ascii="Arial" w:hAnsi="Arial" w:cs="Arial"/>
                <w:sz w:val="20"/>
              </w:rPr>
              <w:t>Novo Nordisk looks forward to working with the PBAC to determine the best approach to make Victoza® available for Australians with Type 2 Diabetes who would benefit from this product.</w:t>
            </w:r>
          </w:p>
        </w:tc>
      </w:tr>
      <w:tr w:rsidR="00E743F8" w:rsidRPr="00733A6B" w:rsidTr="00363695">
        <w:trPr>
          <w:trHeight w:val="435"/>
        </w:trPr>
        <w:tc>
          <w:tcPr>
            <w:tcW w:w="2127" w:type="dxa"/>
            <w:vMerge w:val="restart"/>
          </w:tcPr>
          <w:p w:rsidR="00C4170F" w:rsidRPr="00733A6B" w:rsidRDefault="00D34711" w:rsidP="00400672">
            <w:pPr>
              <w:contextualSpacing/>
              <w:rPr>
                <w:rFonts w:ascii="Arial" w:hAnsi="Arial" w:cs="Arial"/>
                <w:sz w:val="20"/>
              </w:rPr>
            </w:pPr>
            <w:r w:rsidRPr="00733A6B">
              <w:rPr>
                <w:rFonts w:ascii="Arial" w:hAnsi="Arial" w:cs="Arial"/>
                <w:sz w:val="20"/>
              </w:rPr>
              <w:br w:type="page"/>
            </w:r>
            <w:r w:rsidR="00C4170F" w:rsidRPr="00733A6B">
              <w:rPr>
                <w:rFonts w:ascii="Arial" w:hAnsi="Arial" w:cs="Arial"/>
                <w:sz w:val="20"/>
              </w:rPr>
              <w:t xml:space="preserve">LUMACAFTOR with IVACAFTOR </w:t>
            </w:r>
          </w:p>
          <w:p w:rsidR="00C4170F" w:rsidRPr="00733A6B" w:rsidRDefault="00C4170F" w:rsidP="00400672">
            <w:pPr>
              <w:contextualSpacing/>
              <w:rPr>
                <w:rFonts w:ascii="Arial" w:hAnsi="Arial" w:cs="Arial"/>
                <w:sz w:val="20"/>
              </w:rPr>
            </w:pPr>
          </w:p>
          <w:p w:rsidR="00C4170F" w:rsidRPr="00733A6B" w:rsidRDefault="00C4170F" w:rsidP="00400672">
            <w:pPr>
              <w:contextualSpacing/>
              <w:rPr>
                <w:rFonts w:ascii="Arial" w:hAnsi="Arial" w:cs="Arial"/>
                <w:sz w:val="20"/>
              </w:rPr>
            </w:pPr>
            <w:r w:rsidRPr="00733A6B">
              <w:rPr>
                <w:rFonts w:ascii="Arial" w:hAnsi="Arial" w:cs="Arial"/>
                <w:sz w:val="20"/>
              </w:rPr>
              <w:t xml:space="preserve">Tablet containing lumacaftor 200 mg with ivacaftor 125 mg </w:t>
            </w:r>
          </w:p>
          <w:p w:rsidR="00C4170F" w:rsidRPr="00733A6B" w:rsidRDefault="00C4170F" w:rsidP="00400672">
            <w:pPr>
              <w:contextualSpacing/>
              <w:rPr>
                <w:rFonts w:ascii="Arial" w:hAnsi="Arial" w:cs="Arial"/>
                <w:sz w:val="20"/>
              </w:rPr>
            </w:pPr>
          </w:p>
          <w:p w:rsidR="00C4170F" w:rsidRPr="00733A6B" w:rsidRDefault="00C4170F" w:rsidP="00400672">
            <w:pPr>
              <w:contextualSpacing/>
              <w:rPr>
                <w:rFonts w:ascii="Arial" w:hAnsi="Arial" w:cs="Arial"/>
                <w:sz w:val="20"/>
              </w:rPr>
            </w:pPr>
            <w:r w:rsidRPr="00733A6B">
              <w:rPr>
                <w:rFonts w:ascii="Arial" w:hAnsi="Arial" w:cs="Arial"/>
                <w:sz w:val="20"/>
              </w:rPr>
              <w:t xml:space="preserve">Orkambi® </w:t>
            </w:r>
          </w:p>
          <w:p w:rsidR="00C4170F" w:rsidRPr="00733A6B" w:rsidRDefault="00C4170F" w:rsidP="00400672">
            <w:pPr>
              <w:contextualSpacing/>
              <w:rPr>
                <w:rFonts w:ascii="Arial" w:hAnsi="Arial" w:cs="Arial"/>
                <w:sz w:val="20"/>
              </w:rPr>
            </w:pPr>
          </w:p>
          <w:p w:rsidR="00004F71" w:rsidRPr="00733A6B" w:rsidRDefault="00C4170F" w:rsidP="00400672">
            <w:pPr>
              <w:contextualSpacing/>
              <w:rPr>
                <w:rFonts w:ascii="Arial" w:hAnsi="Arial" w:cs="Arial"/>
                <w:sz w:val="20"/>
              </w:rPr>
            </w:pPr>
            <w:r w:rsidRPr="00733A6B">
              <w:rPr>
                <w:rFonts w:ascii="Arial" w:hAnsi="Arial" w:cs="Arial"/>
                <w:sz w:val="20"/>
              </w:rPr>
              <w:t>Vertex Pharmaceuticals (Australia) Pty Ltd</w:t>
            </w:r>
          </w:p>
          <w:p w:rsidR="00C763E4" w:rsidRPr="00733A6B" w:rsidRDefault="00C763E4" w:rsidP="00400672">
            <w:pPr>
              <w:contextualSpacing/>
              <w:rPr>
                <w:rFonts w:ascii="Arial" w:hAnsi="Arial" w:cs="Arial"/>
                <w:sz w:val="20"/>
              </w:rPr>
            </w:pPr>
          </w:p>
          <w:p w:rsidR="00C763E4" w:rsidRPr="00733A6B" w:rsidRDefault="00C763E4" w:rsidP="00400672">
            <w:pPr>
              <w:contextualSpacing/>
              <w:rPr>
                <w:rFonts w:ascii="Arial" w:hAnsi="Arial" w:cs="Arial"/>
                <w:sz w:val="20"/>
              </w:rPr>
            </w:pPr>
            <w:r w:rsidRPr="00733A6B">
              <w:rPr>
                <w:rFonts w:ascii="Arial" w:hAnsi="Arial" w:cs="Arial"/>
                <w:sz w:val="20"/>
              </w:rPr>
              <w:t>New listing</w:t>
            </w:r>
          </w:p>
          <w:p w:rsidR="00C4170F" w:rsidRPr="00733A6B" w:rsidRDefault="00C4170F" w:rsidP="00400672">
            <w:pPr>
              <w:contextualSpacing/>
              <w:rPr>
                <w:rFonts w:ascii="Arial" w:hAnsi="Arial" w:cs="Arial"/>
                <w:sz w:val="20"/>
              </w:rPr>
            </w:pPr>
          </w:p>
          <w:p w:rsidR="00C4170F" w:rsidRPr="00733A6B" w:rsidRDefault="00C4170F" w:rsidP="00400672">
            <w:pPr>
              <w:contextualSpacing/>
              <w:rPr>
                <w:rFonts w:ascii="Arial" w:hAnsi="Arial" w:cs="Arial"/>
                <w:sz w:val="20"/>
                <w:highlight w:val="yellow"/>
              </w:rPr>
            </w:pPr>
            <w:r w:rsidRPr="00733A6B">
              <w:rPr>
                <w:rFonts w:ascii="Arial" w:hAnsi="Arial" w:cs="Arial"/>
                <w:sz w:val="20"/>
              </w:rPr>
              <w:t>(Major Submission)</w:t>
            </w:r>
          </w:p>
        </w:tc>
        <w:tc>
          <w:tcPr>
            <w:tcW w:w="2409" w:type="dxa"/>
            <w:vMerge w:val="restart"/>
          </w:tcPr>
          <w:p w:rsidR="00E743F8" w:rsidRPr="00733A6B" w:rsidRDefault="00C03153" w:rsidP="00400672">
            <w:pPr>
              <w:rPr>
                <w:rFonts w:ascii="Arial" w:hAnsi="Arial" w:cs="Arial"/>
                <w:sz w:val="20"/>
              </w:rPr>
            </w:pPr>
            <w:r w:rsidRPr="00733A6B">
              <w:rPr>
                <w:rFonts w:ascii="Arial" w:hAnsi="Arial" w:cs="Arial"/>
                <w:sz w:val="20"/>
              </w:rPr>
              <w:t>ORKAMBI 200/125 is indicated for the treatment of cystic fibrosis (CF) in patients age</w:t>
            </w:r>
            <w:r w:rsidR="00E74274" w:rsidRPr="00733A6B">
              <w:rPr>
                <w:rFonts w:ascii="Arial" w:hAnsi="Arial" w:cs="Arial"/>
                <w:sz w:val="20"/>
              </w:rPr>
              <w:t xml:space="preserve"> </w:t>
            </w:r>
            <w:r w:rsidRPr="00733A6B">
              <w:rPr>
                <w:rFonts w:ascii="Arial" w:hAnsi="Arial" w:cs="Arial"/>
                <w:sz w:val="20"/>
              </w:rPr>
              <w:t>12 years and older who are homozygous for the F508del mutation in the CFTR gene.</w:t>
            </w:r>
          </w:p>
        </w:tc>
        <w:tc>
          <w:tcPr>
            <w:tcW w:w="2126" w:type="dxa"/>
            <w:vMerge w:val="restart"/>
          </w:tcPr>
          <w:p w:rsidR="00E743F8" w:rsidRPr="00733A6B" w:rsidRDefault="00400672" w:rsidP="00400672">
            <w:pPr>
              <w:contextualSpacing/>
              <w:rPr>
                <w:rFonts w:ascii="Arial" w:hAnsi="Arial" w:cs="Arial"/>
                <w:sz w:val="20"/>
              </w:rPr>
            </w:pPr>
            <w:r w:rsidRPr="00733A6B">
              <w:rPr>
                <w:rFonts w:ascii="Arial" w:hAnsi="Arial" w:cs="Arial"/>
                <w:sz w:val="20"/>
              </w:rPr>
              <w:t>LUMACAFTOR with IVACAFTOR</w:t>
            </w:r>
            <w:r w:rsidR="00E74274" w:rsidRPr="00733A6B">
              <w:rPr>
                <w:rFonts w:ascii="Arial" w:hAnsi="Arial" w:cs="Arial"/>
                <w:sz w:val="20"/>
              </w:rPr>
              <w:t xml:space="preserve"> is not currently PBS listed.</w:t>
            </w:r>
          </w:p>
        </w:tc>
        <w:tc>
          <w:tcPr>
            <w:tcW w:w="3827" w:type="dxa"/>
          </w:tcPr>
          <w:p w:rsidR="00E743F8" w:rsidRPr="00733A6B" w:rsidRDefault="000327A0" w:rsidP="00400672">
            <w:pPr>
              <w:keepLines/>
              <w:rPr>
                <w:rFonts w:ascii="Arial" w:hAnsi="Arial" w:cs="Arial"/>
                <w:sz w:val="20"/>
              </w:rPr>
            </w:pPr>
            <w:r w:rsidRPr="00733A6B">
              <w:rPr>
                <w:rFonts w:ascii="Arial" w:hAnsi="Arial" w:cs="Arial"/>
                <w:sz w:val="20"/>
              </w:rPr>
              <w:t>Resubmission to request a Section 100 (Highly Specialised Drugs Program) Authority Required listing for the treatment of cystic fibrosis in patients aged 12 years and over who are homozygous for the F508del mutation in the CFTR gene.</w:t>
            </w:r>
          </w:p>
        </w:tc>
        <w:tc>
          <w:tcPr>
            <w:tcW w:w="5354" w:type="dxa"/>
          </w:tcPr>
          <w:p w:rsidR="00E743F8" w:rsidRPr="00733A6B" w:rsidRDefault="00D34711" w:rsidP="00400672">
            <w:pPr>
              <w:rPr>
                <w:rFonts w:ascii="Arial" w:hAnsi="Arial" w:cs="Arial"/>
                <w:sz w:val="20"/>
              </w:rPr>
            </w:pPr>
            <w:r w:rsidRPr="00733A6B">
              <w:rPr>
                <w:rFonts w:ascii="Arial" w:hAnsi="Arial" w:cs="Arial"/>
                <w:sz w:val="20"/>
              </w:rPr>
              <w:t xml:space="preserve">Lumacaftor with ivacaftor was not recommended by the PBAC for listing on the PBS for the treatment of patients with </w:t>
            </w:r>
            <w:r w:rsidR="00B143EA" w:rsidRPr="00733A6B">
              <w:rPr>
                <w:rFonts w:ascii="Arial" w:hAnsi="Arial" w:cs="Arial"/>
                <w:sz w:val="20"/>
              </w:rPr>
              <w:t>cystic fibrosis (</w:t>
            </w:r>
            <w:r w:rsidRPr="00733A6B">
              <w:rPr>
                <w:rFonts w:ascii="Arial" w:hAnsi="Arial" w:cs="Arial"/>
                <w:sz w:val="20"/>
              </w:rPr>
              <w:t>CF</w:t>
            </w:r>
            <w:r w:rsidR="00B143EA" w:rsidRPr="00733A6B">
              <w:rPr>
                <w:rFonts w:ascii="Arial" w:hAnsi="Arial" w:cs="Arial"/>
                <w:sz w:val="20"/>
              </w:rPr>
              <w:t>)</w:t>
            </w:r>
            <w:r w:rsidRPr="00733A6B">
              <w:rPr>
                <w:rFonts w:ascii="Arial" w:hAnsi="Arial" w:cs="Arial"/>
                <w:sz w:val="20"/>
              </w:rPr>
              <w:t xml:space="preserve"> aged 12 years or older who are homozygous for the F508del mutation in the CFTR gene on the basis of </w:t>
            </w:r>
            <w:r w:rsidR="00B143EA" w:rsidRPr="00733A6B">
              <w:rPr>
                <w:rFonts w:ascii="Arial" w:hAnsi="Arial" w:cs="Arial"/>
                <w:sz w:val="20"/>
              </w:rPr>
              <w:t xml:space="preserve">uncertainty around the longer term impact of lumacaftor/ivacaftor on lung function and survival beyond 2 years of treatment and </w:t>
            </w:r>
            <w:r w:rsidRPr="00733A6B">
              <w:rPr>
                <w:rFonts w:ascii="Arial" w:hAnsi="Arial" w:cs="Arial"/>
                <w:sz w:val="20"/>
              </w:rPr>
              <w:t>unacceptable cost effectiveness at the requested price</w:t>
            </w:r>
            <w:r w:rsidR="00EF0B3E" w:rsidRPr="00733A6B">
              <w:rPr>
                <w:rFonts w:ascii="Arial" w:hAnsi="Arial" w:cs="Arial"/>
                <w:sz w:val="20"/>
              </w:rPr>
              <w:t>.</w:t>
            </w:r>
          </w:p>
        </w:tc>
      </w:tr>
      <w:tr w:rsidR="00E743F8" w:rsidRPr="00733A6B" w:rsidTr="00363695">
        <w:trPr>
          <w:trHeight w:val="433"/>
        </w:trPr>
        <w:tc>
          <w:tcPr>
            <w:tcW w:w="2127" w:type="dxa"/>
            <w:vMerge/>
          </w:tcPr>
          <w:p w:rsidR="00E743F8" w:rsidRPr="00733A6B" w:rsidRDefault="00E743F8" w:rsidP="00400672">
            <w:pPr>
              <w:rPr>
                <w:rFonts w:ascii="Arial" w:hAnsi="Arial" w:cs="Arial"/>
                <w:sz w:val="20"/>
              </w:rPr>
            </w:pPr>
          </w:p>
        </w:tc>
        <w:tc>
          <w:tcPr>
            <w:tcW w:w="2409" w:type="dxa"/>
            <w:vMerge/>
          </w:tcPr>
          <w:p w:rsidR="00E743F8" w:rsidRPr="00733A6B" w:rsidRDefault="00E743F8" w:rsidP="00400672">
            <w:pPr>
              <w:rPr>
                <w:rFonts w:ascii="Arial" w:hAnsi="Arial" w:cs="Arial"/>
                <w:sz w:val="20"/>
              </w:rPr>
            </w:pPr>
          </w:p>
        </w:tc>
        <w:tc>
          <w:tcPr>
            <w:tcW w:w="2126" w:type="dxa"/>
            <w:vMerge/>
          </w:tcPr>
          <w:p w:rsidR="00E743F8" w:rsidRPr="00733A6B" w:rsidRDefault="00E743F8" w:rsidP="00400672">
            <w:pPr>
              <w:rPr>
                <w:rFonts w:ascii="Arial" w:hAnsi="Arial" w:cs="Arial"/>
                <w:sz w:val="20"/>
              </w:rPr>
            </w:pPr>
          </w:p>
        </w:tc>
        <w:tc>
          <w:tcPr>
            <w:tcW w:w="3827" w:type="dxa"/>
          </w:tcPr>
          <w:p w:rsidR="00E743F8" w:rsidRPr="00733A6B" w:rsidRDefault="0090743A" w:rsidP="00400672">
            <w:pPr>
              <w:pStyle w:val="ListBullet"/>
            </w:pPr>
            <w:r w:rsidRPr="00733A6B">
              <w:t>Comparator:</w:t>
            </w:r>
            <w:r w:rsidR="004E157F" w:rsidRPr="00733A6B">
              <w:t xml:space="preserve"> </w:t>
            </w:r>
            <w:r w:rsidR="00D34711" w:rsidRPr="00733A6B">
              <w:t>Best supportive care (BSC)</w:t>
            </w:r>
          </w:p>
        </w:tc>
        <w:tc>
          <w:tcPr>
            <w:tcW w:w="5354" w:type="dxa"/>
          </w:tcPr>
          <w:p w:rsidR="00E743F8" w:rsidRPr="00733A6B" w:rsidRDefault="00D34711" w:rsidP="00400672">
            <w:pPr>
              <w:rPr>
                <w:rFonts w:ascii="Arial" w:hAnsi="Arial" w:cs="Arial"/>
                <w:sz w:val="20"/>
              </w:rPr>
            </w:pPr>
            <w:r w:rsidRPr="00733A6B">
              <w:rPr>
                <w:rFonts w:ascii="Arial" w:hAnsi="Arial" w:cs="Arial"/>
                <w:sz w:val="20"/>
              </w:rPr>
              <w:t>Accepted</w:t>
            </w:r>
          </w:p>
        </w:tc>
      </w:tr>
      <w:tr w:rsidR="00E743F8" w:rsidRPr="00733A6B" w:rsidTr="00363695">
        <w:trPr>
          <w:trHeight w:val="433"/>
        </w:trPr>
        <w:tc>
          <w:tcPr>
            <w:tcW w:w="2127" w:type="dxa"/>
            <w:vMerge/>
          </w:tcPr>
          <w:p w:rsidR="00E743F8" w:rsidRPr="00733A6B" w:rsidRDefault="00E743F8" w:rsidP="00400672">
            <w:pPr>
              <w:rPr>
                <w:rFonts w:ascii="Arial" w:hAnsi="Arial" w:cs="Arial"/>
                <w:sz w:val="20"/>
              </w:rPr>
            </w:pPr>
          </w:p>
        </w:tc>
        <w:tc>
          <w:tcPr>
            <w:tcW w:w="2409" w:type="dxa"/>
            <w:vMerge/>
          </w:tcPr>
          <w:p w:rsidR="00E743F8" w:rsidRPr="00733A6B" w:rsidRDefault="00E743F8" w:rsidP="00400672">
            <w:pPr>
              <w:rPr>
                <w:rFonts w:ascii="Arial" w:hAnsi="Arial" w:cs="Arial"/>
                <w:sz w:val="20"/>
              </w:rPr>
            </w:pPr>
          </w:p>
        </w:tc>
        <w:tc>
          <w:tcPr>
            <w:tcW w:w="2126" w:type="dxa"/>
            <w:vMerge/>
          </w:tcPr>
          <w:p w:rsidR="00E743F8" w:rsidRPr="00733A6B" w:rsidRDefault="00E743F8" w:rsidP="00400672">
            <w:pPr>
              <w:rPr>
                <w:rFonts w:ascii="Arial" w:hAnsi="Arial" w:cs="Arial"/>
                <w:sz w:val="20"/>
              </w:rPr>
            </w:pPr>
          </w:p>
        </w:tc>
        <w:tc>
          <w:tcPr>
            <w:tcW w:w="3827" w:type="dxa"/>
          </w:tcPr>
          <w:p w:rsidR="00E743F8" w:rsidRPr="00733A6B" w:rsidRDefault="0090743A" w:rsidP="00400672">
            <w:pPr>
              <w:pStyle w:val="ListBullet"/>
            </w:pPr>
            <w:r w:rsidRPr="00733A6B">
              <w:t>Clinical claim</w:t>
            </w:r>
            <w:r w:rsidR="00D34711" w:rsidRPr="00733A6B">
              <w:t>: The March 2016 submission claimed superior comparative effectiveness, in terms of improvements in lung function, as measured by ppFEV1, rate of pulmonary exacerbations and nutritional status, and that these outcomes are associated prolongation of life. The current resubmission claimed that the longer term data from the PROGRESS study provided further evidence that lumacaftor/ivacaftor is a disease modifying therapy which minimises the rate of deterioration over time.</w:t>
            </w:r>
          </w:p>
        </w:tc>
        <w:tc>
          <w:tcPr>
            <w:tcW w:w="5354" w:type="dxa"/>
          </w:tcPr>
          <w:p w:rsidR="00D34711" w:rsidRPr="00733A6B" w:rsidRDefault="00D34711" w:rsidP="00400672">
            <w:pPr>
              <w:rPr>
                <w:rFonts w:ascii="Arial" w:hAnsi="Arial" w:cs="Arial"/>
                <w:sz w:val="20"/>
              </w:rPr>
            </w:pPr>
            <w:r w:rsidRPr="00733A6B">
              <w:rPr>
                <w:rFonts w:ascii="Arial" w:hAnsi="Arial" w:cs="Arial"/>
                <w:sz w:val="20"/>
              </w:rPr>
              <w:t>The PBAC noted that updated evidence from the PROGRESS extension study demonstrated that the modest 2.81 percentage point improvement in ppFEV1 in lumacaftor/ivacaftor treated patients versus placebo at 24 weeks observed in TRAFFIC/TRANSPORT was not maintained after an additional 96 weeks of treatment. The PBAC considered the claim that lumacaftor/ivacaftor slows the rate of decline in ppFEV1 beyond 24 weeks, compared with patients treated with BSC, was not adequately supported by the</w:t>
            </w:r>
            <w:r w:rsidR="00B143EA" w:rsidRPr="00733A6B">
              <w:rPr>
                <w:rFonts w:ascii="Arial" w:hAnsi="Arial" w:cs="Arial"/>
                <w:sz w:val="20"/>
              </w:rPr>
              <w:t xml:space="preserve"> evidence presented in the</w:t>
            </w:r>
            <w:r w:rsidRPr="00733A6B">
              <w:rPr>
                <w:rFonts w:ascii="Arial" w:hAnsi="Arial" w:cs="Arial"/>
                <w:sz w:val="20"/>
              </w:rPr>
              <w:t xml:space="preserve"> resubmission. </w:t>
            </w:r>
          </w:p>
          <w:p w:rsidR="00D34711" w:rsidRPr="00733A6B" w:rsidRDefault="00D34711" w:rsidP="00400672">
            <w:pPr>
              <w:rPr>
                <w:rFonts w:ascii="Arial" w:hAnsi="Arial" w:cs="Arial"/>
                <w:sz w:val="20"/>
              </w:rPr>
            </w:pPr>
          </w:p>
          <w:p w:rsidR="00E743F8" w:rsidRPr="00733A6B" w:rsidRDefault="00D34711" w:rsidP="00400672">
            <w:pPr>
              <w:rPr>
                <w:rFonts w:ascii="Arial" w:hAnsi="Arial" w:cs="Arial"/>
                <w:sz w:val="20"/>
              </w:rPr>
            </w:pPr>
            <w:r w:rsidRPr="00733A6B">
              <w:rPr>
                <w:rFonts w:ascii="Arial" w:hAnsi="Arial" w:cs="Arial"/>
                <w:sz w:val="20"/>
              </w:rPr>
              <w:t>However, the PBAC noted that on the basis of the direct randomised trials presented by the resubmission, a patient treated with lumacaftor/ivacaftor could expect to have one fewer pulmonary exacerbation over 2.5 years</w:t>
            </w:r>
            <w:r w:rsidR="00B143EA" w:rsidRPr="00733A6B">
              <w:rPr>
                <w:rFonts w:ascii="Arial" w:hAnsi="Arial" w:cs="Arial"/>
                <w:sz w:val="20"/>
              </w:rPr>
              <w:t>,</w:t>
            </w:r>
            <w:r w:rsidRPr="00733A6B">
              <w:rPr>
                <w:rFonts w:ascii="Arial" w:hAnsi="Arial" w:cs="Arial"/>
                <w:sz w:val="20"/>
              </w:rPr>
              <w:t xml:space="preserve"> and one fewer hospitalisation due to a pulmonary exacerbation over 3 years. The PBAC therefore considered that the claim of superior comparative effectiveness was reasonable.</w:t>
            </w:r>
          </w:p>
        </w:tc>
      </w:tr>
      <w:tr w:rsidR="0012463D" w:rsidRPr="00733A6B" w:rsidTr="00363695">
        <w:trPr>
          <w:trHeight w:val="773"/>
        </w:trPr>
        <w:tc>
          <w:tcPr>
            <w:tcW w:w="2127" w:type="dxa"/>
            <w:vMerge/>
          </w:tcPr>
          <w:p w:rsidR="0012463D" w:rsidRPr="00733A6B" w:rsidRDefault="0012463D" w:rsidP="00400672">
            <w:pPr>
              <w:rPr>
                <w:rFonts w:ascii="Arial" w:hAnsi="Arial" w:cs="Arial"/>
                <w:sz w:val="20"/>
              </w:rPr>
            </w:pPr>
          </w:p>
        </w:tc>
        <w:tc>
          <w:tcPr>
            <w:tcW w:w="2409" w:type="dxa"/>
            <w:vMerge/>
          </w:tcPr>
          <w:p w:rsidR="0012463D" w:rsidRPr="00733A6B" w:rsidRDefault="0012463D" w:rsidP="00400672">
            <w:pPr>
              <w:rPr>
                <w:rFonts w:ascii="Arial" w:hAnsi="Arial" w:cs="Arial"/>
                <w:sz w:val="20"/>
              </w:rPr>
            </w:pPr>
          </w:p>
        </w:tc>
        <w:tc>
          <w:tcPr>
            <w:tcW w:w="2126" w:type="dxa"/>
            <w:vMerge/>
          </w:tcPr>
          <w:p w:rsidR="0012463D" w:rsidRPr="00733A6B" w:rsidRDefault="0012463D" w:rsidP="00400672">
            <w:pPr>
              <w:rPr>
                <w:rFonts w:ascii="Arial" w:hAnsi="Arial" w:cs="Arial"/>
                <w:sz w:val="20"/>
              </w:rPr>
            </w:pPr>
          </w:p>
        </w:tc>
        <w:tc>
          <w:tcPr>
            <w:tcW w:w="3827" w:type="dxa"/>
          </w:tcPr>
          <w:p w:rsidR="0012463D" w:rsidRPr="00733A6B" w:rsidRDefault="0090743A" w:rsidP="00400672">
            <w:pPr>
              <w:pStyle w:val="ListBullet"/>
            </w:pPr>
            <w:r w:rsidRPr="00733A6B">
              <w:t>Economic claim</w:t>
            </w:r>
            <w:r w:rsidR="00D34711" w:rsidRPr="00733A6B">
              <w:t>: Cost-utility analysis compared with best supportive care.</w:t>
            </w:r>
          </w:p>
        </w:tc>
        <w:tc>
          <w:tcPr>
            <w:tcW w:w="5354" w:type="dxa"/>
          </w:tcPr>
          <w:p w:rsidR="00B143EA" w:rsidRPr="00733A6B" w:rsidRDefault="00D34711" w:rsidP="00400672">
            <w:pPr>
              <w:rPr>
                <w:rFonts w:ascii="Arial" w:hAnsi="Arial" w:cs="Arial"/>
                <w:sz w:val="20"/>
              </w:rPr>
            </w:pPr>
            <w:r w:rsidRPr="00733A6B">
              <w:rPr>
                <w:rFonts w:ascii="Arial" w:hAnsi="Arial" w:cs="Arial"/>
                <w:sz w:val="20"/>
              </w:rPr>
              <w:t xml:space="preserve">The PBAC noted that the economic model included in the resubmission was based on the assumption that lung function was maintained for patients treated with lumacaftor/ivacaftor for the reminder of their life, and this was inconsistent with the longer-term clinical evidence. Accordingly, the PBAC defined a scenario which it considered more informative for decision making, by changing inputs to the resubmission’s economic model to better reflect the available clinical data. This scenario resulted in an unacceptably high </w:t>
            </w:r>
            <w:r w:rsidR="00B143EA" w:rsidRPr="00733A6B">
              <w:rPr>
                <w:rFonts w:ascii="Arial" w:hAnsi="Arial" w:cs="Arial"/>
                <w:sz w:val="20"/>
              </w:rPr>
              <w:t>incremental cost effectiveness ratio (</w:t>
            </w:r>
            <w:r w:rsidRPr="00733A6B">
              <w:rPr>
                <w:rFonts w:ascii="Arial" w:hAnsi="Arial" w:cs="Arial"/>
                <w:sz w:val="20"/>
              </w:rPr>
              <w:t>ICER</w:t>
            </w:r>
            <w:r w:rsidR="00B143EA" w:rsidRPr="00733A6B">
              <w:rPr>
                <w:rFonts w:ascii="Arial" w:hAnsi="Arial" w:cs="Arial"/>
                <w:sz w:val="20"/>
              </w:rPr>
              <w:t>)</w:t>
            </w:r>
            <w:r w:rsidRPr="00733A6B">
              <w:rPr>
                <w:rFonts w:ascii="Arial" w:hAnsi="Arial" w:cs="Arial"/>
                <w:sz w:val="20"/>
              </w:rPr>
              <w:t xml:space="preserve"> of significantly more than $1,000,000 per quality adjusted life year (QALY) gained.</w:t>
            </w:r>
          </w:p>
        </w:tc>
      </w:tr>
      <w:tr w:rsidR="00E743F8" w:rsidRPr="00733A6B" w:rsidTr="00363695">
        <w:trPr>
          <w:trHeight w:val="433"/>
        </w:trPr>
        <w:tc>
          <w:tcPr>
            <w:tcW w:w="2127" w:type="dxa"/>
            <w:vMerge/>
          </w:tcPr>
          <w:p w:rsidR="00E743F8" w:rsidRPr="00733A6B" w:rsidRDefault="00E743F8" w:rsidP="00400672">
            <w:pPr>
              <w:rPr>
                <w:rFonts w:ascii="Arial" w:hAnsi="Arial" w:cs="Arial"/>
                <w:sz w:val="20"/>
              </w:rPr>
            </w:pPr>
          </w:p>
        </w:tc>
        <w:tc>
          <w:tcPr>
            <w:tcW w:w="2409" w:type="dxa"/>
            <w:vMerge/>
          </w:tcPr>
          <w:p w:rsidR="00E743F8" w:rsidRPr="00733A6B" w:rsidRDefault="00E743F8" w:rsidP="00400672">
            <w:pPr>
              <w:rPr>
                <w:rFonts w:ascii="Arial" w:hAnsi="Arial" w:cs="Arial"/>
                <w:sz w:val="20"/>
              </w:rPr>
            </w:pPr>
          </w:p>
        </w:tc>
        <w:tc>
          <w:tcPr>
            <w:tcW w:w="2126" w:type="dxa"/>
            <w:vMerge/>
          </w:tcPr>
          <w:p w:rsidR="00E743F8" w:rsidRPr="00733A6B" w:rsidRDefault="00E743F8" w:rsidP="00400672">
            <w:pPr>
              <w:rPr>
                <w:rFonts w:ascii="Arial" w:hAnsi="Arial" w:cs="Arial"/>
                <w:sz w:val="20"/>
              </w:rPr>
            </w:pPr>
          </w:p>
        </w:tc>
        <w:tc>
          <w:tcPr>
            <w:tcW w:w="3827" w:type="dxa"/>
          </w:tcPr>
          <w:p w:rsidR="00E743F8" w:rsidRPr="00733A6B" w:rsidRDefault="0090743A" w:rsidP="00400672">
            <w:pPr>
              <w:pStyle w:val="ListBullet"/>
            </w:pPr>
            <w:r w:rsidRPr="00733A6B">
              <w:t>Sponsor’s comments</w:t>
            </w:r>
          </w:p>
        </w:tc>
        <w:tc>
          <w:tcPr>
            <w:tcW w:w="5354" w:type="dxa"/>
          </w:tcPr>
          <w:p w:rsidR="00E74FC5" w:rsidRPr="00733A6B" w:rsidRDefault="00312A6D" w:rsidP="00400672">
            <w:pPr>
              <w:rPr>
                <w:rFonts w:ascii="Arial" w:hAnsi="Arial" w:cs="Arial"/>
                <w:sz w:val="20"/>
              </w:rPr>
            </w:pPr>
            <w:r w:rsidRPr="00733A6B">
              <w:rPr>
                <w:rFonts w:ascii="Arial" w:hAnsi="Arial" w:cs="Arial"/>
                <w:sz w:val="20"/>
              </w:rPr>
              <w:t>The Sponsor is extremely disappointed in this decision which we believe is based on unreasonable assumptions that severely undervalue the long term systemic benefits of lumacaftor + ivacaftor. This medicine is unique in treating the underlying cause of CF - not just the symptoms - and fulfils a significant unmet need for the CF community.</w:t>
            </w:r>
          </w:p>
          <w:p w:rsidR="00400672" w:rsidRPr="00733A6B" w:rsidRDefault="00400672" w:rsidP="00400672">
            <w:pPr>
              <w:rPr>
                <w:rFonts w:ascii="Arial" w:hAnsi="Arial" w:cs="Arial"/>
                <w:sz w:val="20"/>
              </w:rPr>
            </w:pPr>
          </w:p>
        </w:tc>
      </w:tr>
      <w:tr w:rsidR="00E743F8" w:rsidRPr="00733A6B" w:rsidTr="00363695">
        <w:trPr>
          <w:trHeight w:val="433"/>
        </w:trPr>
        <w:tc>
          <w:tcPr>
            <w:tcW w:w="2127" w:type="dxa"/>
            <w:vMerge w:val="restart"/>
          </w:tcPr>
          <w:p w:rsidR="00974D3D" w:rsidRPr="00733A6B" w:rsidRDefault="00974D3D" w:rsidP="00400672">
            <w:pPr>
              <w:rPr>
                <w:rFonts w:ascii="Arial" w:hAnsi="Arial" w:cs="Arial"/>
                <w:sz w:val="20"/>
              </w:rPr>
            </w:pPr>
            <w:r w:rsidRPr="00733A6B">
              <w:rPr>
                <w:rFonts w:ascii="Arial" w:hAnsi="Arial" w:cs="Arial"/>
                <w:sz w:val="20"/>
              </w:rPr>
              <w:t xml:space="preserve">PRALATREXATE </w:t>
            </w:r>
          </w:p>
          <w:p w:rsidR="00974D3D" w:rsidRPr="00733A6B" w:rsidRDefault="00974D3D" w:rsidP="00400672">
            <w:pPr>
              <w:rPr>
                <w:rFonts w:ascii="Arial" w:hAnsi="Arial" w:cs="Arial"/>
                <w:sz w:val="20"/>
              </w:rPr>
            </w:pPr>
          </w:p>
          <w:p w:rsidR="00974D3D" w:rsidRPr="00733A6B" w:rsidRDefault="00974D3D" w:rsidP="00400672">
            <w:pPr>
              <w:rPr>
                <w:rFonts w:ascii="Arial" w:hAnsi="Arial" w:cs="Arial"/>
                <w:sz w:val="20"/>
              </w:rPr>
            </w:pPr>
            <w:r w:rsidRPr="00733A6B">
              <w:rPr>
                <w:rFonts w:ascii="Arial" w:hAnsi="Arial" w:cs="Arial"/>
                <w:sz w:val="20"/>
              </w:rPr>
              <w:t xml:space="preserve">Solution for I.V. infusion 20 mg in 1 mL </w:t>
            </w:r>
          </w:p>
          <w:p w:rsidR="00974D3D" w:rsidRPr="00733A6B" w:rsidRDefault="00974D3D" w:rsidP="00400672">
            <w:pPr>
              <w:rPr>
                <w:rFonts w:ascii="Arial" w:hAnsi="Arial" w:cs="Arial"/>
                <w:sz w:val="20"/>
              </w:rPr>
            </w:pPr>
          </w:p>
          <w:p w:rsidR="00974D3D" w:rsidRPr="00733A6B" w:rsidRDefault="00974D3D" w:rsidP="00400672">
            <w:pPr>
              <w:rPr>
                <w:rFonts w:ascii="Arial" w:hAnsi="Arial" w:cs="Arial"/>
                <w:sz w:val="20"/>
              </w:rPr>
            </w:pPr>
            <w:r w:rsidRPr="00733A6B">
              <w:rPr>
                <w:rFonts w:ascii="Arial" w:hAnsi="Arial" w:cs="Arial"/>
                <w:sz w:val="20"/>
              </w:rPr>
              <w:t xml:space="preserve">Folotyn® </w:t>
            </w:r>
          </w:p>
          <w:p w:rsidR="00974D3D" w:rsidRPr="00733A6B" w:rsidRDefault="00974D3D" w:rsidP="00400672">
            <w:pPr>
              <w:rPr>
                <w:rFonts w:ascii="Arial" w:hAnsi="Arial" w:cs="Arial"/>
                <w:sz w:val="20"/>
              </w:rPr>
            </w:pPr>
          </w:p>
          <w:p w:rsidR="00004F71" w:rsidRPr="00733A6B" w:rsidRDefault="00974D3D" w:rsidP="00400672">
            <w:pPr>
              <w:rPr>
                <w:rFonts w:ascii="Arial" w:hAnsi="Arial" w:cs="Arial"/>
                <w:sz w:val="20"/>
              </w:rPr>
            </w:pPr>
            <w:r w:rsidRPr="00733A6B">
              <w:rPr>
                <w:rFonts w:ascii="Arial" w:hAnsi="Arial" w:cs="Arial"/>
                <w:sz w:val="20"/>
              </w:rPr>
              <w:t>Mundipharma Pty Ltd</w:t>
            </w:r>
          </w:p>
          <w:p w:rsidR="00EB377B" w:rsidRPr="00733A6B" w:rsidRDefault="00EB377B" w:rsidP="00400672">
            <w:pPr>
              <w:rPr>
                <w:rFonts w:ascii="Arial" w:hAnsi="Arial" w:cs="Arial"/>
                <w:sz w:val="20"/>
              </w:rPr>
            </w:pPr>
          </w:p>
          <w:p w:rsidR="00EB377B" w:rsidRPr="00733A6B" w:rsidRDefault="00EB377B" w:rsidP="00400672">
            <w:pPr>
              <w:rPr>
                <w:rFonts w:ascii="Arial" w:hAnsi="Arial" w:cs="Arial"/>
                <w:sz w:val="20"/>
              </w:rPr>
            </w:pPr>
            <w:r w:rsidRPr="00733A6B">
              <w:rPr>
                <w:rFonts w:ascii="Arial" w:hAnsi="Arial" w:cs="Arial"/>
                <w:sz w:val="20"/>
              </w:rPr>
              <w:t>New listing</w:t>
            </w:r>
          </w:p>
          <w:p w:rsidR="00974D3D" w:rsidRPr="00733A6B" w:rsidRDefault="00974D3D" w:rsidP="00400672">
            <w:pPr>
              <w:rPr>
                <w:rFonts w:ascii="Arial" w:hAnsi="Arial" w:cs="Arial"/>
                <w:sz w:val="20"/>
              </w:rPr>
            </w:pPr>
          </w:p>
          <w:p w:rsidR="00974D3D" w:rsidRPr="00733A6B" w:rsidRDefault="00974D3D" w:rsidP="00400672">
            <w:pPr>
              <w:rPr>
                <w:rFonts w:ascii="Arial" w:hAnsi="Arial" w:cs="Arial"/>
                <w:sz w:val="20"/>
                <w:highlight w:val="yellow"/>
              </w:rPr>
            </w:pPr>
            <w:r w:rsidRPr="00733A6B">
              <w:rPr>
                <w:rFonts w:ascii="Arial" w:hAnsi="Arial" w:cs="Arial"/>
                <w:sz w:val="20"/>
              </w:rPr>
              <w:t>(Major Submission)</w:t>
            </w:r>
          </w:p>
        </w:tc>
        <w:tc>
          <w:tcPr>
            <w:tcW w:w="2409" w:type="dxa"/>
            <w:vMerge w:val="restart"/>
          </w:tcPr>
          <w:p w:rsidR="00E743F8" w:rsidRPr="00733A6B" w:rsidRDefault="009A2B54" w:rsidP="00400672">
            <w:pPr>
              <w:rPr>
                <w:rFonts w:ascii="Arial" w:hAnsi="Arial" w:cs="Arial"/>
                <w:color w:val="000000"/>
                <w:sz w:val="20"/>
              </w:rPr>
            </w:pPr>
            <w:r w:rsidRPr="00733A6B">
              <w:rPr>
                <w:rFonts w:ascii="Arial" w:hAnsi="Arial" w:cs="Arial"/>
                <w:color w:val="000000"/>
                <w:sz w:val="20"/>
              </w:rPr>
              <w:t>FOLOTYN is indicated for the treatment of adult patients with peripheral T-cell lymphoma (nodal, extranodal, and leukaemic/disseminated) who have progressed after at least one prior therapy.</w:t>
            </w:r>
          </w:p>
        </w:tc>
        <w:tc>
          <w:tcPr>
            <w:tcW w:w="2126" w:type="dxa"/>
            <w:vMerge w:val="restart"/>
          </w:tcPr>
          <w:p w:rsidR="00E743F8" w:rsidRPr="00733A6B" w:rsidRDefault="00E74274" w:rsidP="00400672">
            <w:pPr>
              <w:rPr>
                <w:rFonts w:ascii="Arial" w:hAnsi="Arial" w:cs="Arial"/>
                <w:sz w:val="20"/>
                <w:highlight w:val="yellow"/>
              </w:rPr>
            </w:pPr>
            <w:r w:rsidRPr="00733A6B">
              <w:rPr>
                <w:rFonts w:ascii="Arial" w:hAnsi="Arial" w:cs="Arial"/>
                <w:sz w:val="20"/>
              </w:rPr>
              <w:t>PRALATREXATE is not currently PBS listed.</w:t>
            </w:r>
          </w:p>
        </w:tc>
        <w:tc>
          <w:tcPr>
            <w:tcW w:w="3827" w:type="dxa"/>
          </w:tcPr>
          <w:p w:rsidR="00E743F8" w:rsidRPr="00733A6B" w:rsidRDefault="00974D3D" w:rsidP="00400672">
            <w:pPr>
              <w:contextualSpacing/>
              <w:rPr>
                <w:rFonts w:ascii="Arial" w:hAnsi="Arial" w:cs="Arial"/>
                <w:sz w:val="20"/>
              </w:rPr>
            </w:pPr>
            <w:r w:rsidRPr="00733A6B">
              <w:rPr>
                <w:rFonts w:ascii="Arial" w:hAnsi="Arial" w:cs="Arial"/>
                <w:sz w:val="20"/>
              </w:rPr>
              <w:t>Resubmission to request a Section 100 (Efficient Funding of Chemotherapy) Authority Required listing for the treatment of patients with peripheral T-cell lymphoma who are refractory to, or have relapsed following, first line chemotherapy.</w:t>
            </w:r>
          </w:p>
        </w:tc>
        <w:tc>
          <w:tcPr>
            <w:tcW w:w="5354" w:type="dxa"/>
          </w:tcPr>
          <w:p w:rsidR="00AB70E2" w:rsidRPr="00733A6B" w:rsidRDefault="00AB70E2" w:rsidP="00400672">
            <w:pPr>
              <w:rPr>
                <w:rFonts w:ascii="Arial" w:hAnsi="Arial" w:cs="Arial"/>
                <w:sz w:val="20"/>
              </w:rPr>
            </w:pPr>
            <w:r w:rsidRPr="00733A6B">
              <w:rPr>
                <w:rFonts w:ascii="Arial" w:hAnsi="Arial" w:cs="Arial"/>
                <w:sz w:val="20"/>
              </w:rPr>
              <w:t xml:space="preserve">The PBAC did not recommend the Authority Required listing for pralatrexate for treatment of relapsed or refractory peripheral T-cell lymphoma (PTCL), on the basis of inadequate evidence of improved clinical effectiveness over currently available alternative therapies, together with a high burden of adverse events, and </w:t>
            </w:r>
            <w:r w:rsidR="00B143EA" w:rsidRPr="00733A6B">
              <w:rPr>
                <w:rFonts w:ascii="Arial" w:hAnsi="Arial" w:cs="Arial"/>
                <w:sz w:val="20"/>
              </w:rPr>
              <w:t xml:space="preserve">unacceptable </w:t>
            </w:r>
            <w:r w:rsidRPr="00733A6B">
              <w:rPr>
                <w:rFonts w:ascii="Arial" w:hAnsi="Arial" w:cs="Arial"/>
                <w:sz w:val="20"/>
              </w:rPr>
              <w:t>cost-effectiveness</w:t>
            </w:r>
            <w:r w:rsidR="00B143EA" w:rsidRPr="00733A6B">
              <w:rPr>
                <w:rFonts w:ascii="Arial" w:hAnsi="Arial" w:cs="Arial"/>
                <w:sz w:val="20"/>
              </w:rPr>
              <w:t>.</w:t>
            </w:r>
            <w:r w:rsidRPr="00733A6B">
              <w:rPr>
                <w:rFonts w:ascii="Arial" w:hAnsi="Arial" w:cs="Arial"/>
                <w:sz w:val="20"/>
              </w:rPr>
              <w:t xml:space="preserve"> </w:t>
            </w:r>
          </w:p>
          <w:p w:rsidR="00107644" w:rsidRPr="00733A6B" w:rsidRDefault="00107644" w:rsidP="00400672">
            <w:pPr>
              <w:rPr>
                <w:rFonts w:ascii="Arial" w:hAnsi="Arial" w:cs="Arial"/>
                <w:sz w:val="20"/>
              </w:rPr>
            </w:pPr>
          </w:p>
          <w:p w:rsidR="00E743F8" w:rsidRPr="00733A6B" w:rsidRDefault="00AB70E2" w:rsidP="00400672">
            <w:pPr>
              <w:rPr>
                <w:rFonts w:ascii="Arial" w:hAnsi="Arial" w:cs="Arial"/>
                <w:sz w:val="20"/>
              </w:rPr>
            </w:pPr>
            <w:r w:rsidRPr="00733A6B">
              <w:rPr>
                <w:rFonts w:ascii="Arial" w:hAnsi="Arial" w:cs="Arial"/>
                <w:sz w:val="20"/>
              </w:rPr>
              <w:t xml:space="preserve">The PBAC recalled that the previous decisions to reject pralatrexate </w:t>
            </w:r>
            <w:r w:rsidR="00B143EA" w:rsidRPr="00733A6B">
              <w:rPr>
                <w:rFonts w:ascii="Arial" w:hAnsi="Arial" w:cs="Arial"/>
                <w:sz w:val="20"/>
              </w:rPr>
              <w:t>in</w:t>
            </w:r>
            <w:r w:rsidRPr="00733A6B">
              <w:rPr>
                <w:rFonts w:ascii="Arial" w:hAnsi="Arial" w:cs="Arial"/>
                <w:sz w:val="20"/>
              </w:rPr>
              <w:t xml:space="preserve"> November 2015 and March 2016 had considered that a future major resubmission should present more robust evidence to demonstrate the comparative efficacy and safety of pralatrexate over the comparators, ideally including other evidence of clinical benefit, such as </w:t>
            </w:r>
            <w:r w:rsidR="00B143EA" w:rsidRPr="00733A6B">
              <w:rPr>
                <w:rFonts w:ascii="Arial" w:hAnsi="Arial" w:cs="Arial"/>
                <w:sz w:val="20"/>
              </w:rPr>
              <w:t>quality of life (</w:t>
            </w:r>
            <w:r w:rsidRPr="00733A6B">
              <w:rPr>
                <w:rFonts w:ascii="Arial" w:hAnsi="Arial" w:cs="Arial"/>
                <w:sz w:val="20"/>
              </w:rPr>
              <w:t>QoL</w:t>
            </w:r>
            <w:r w:rsidR="00B143EA" w:rsidRPr="00733A6B">
              <w:rPr>
                <w:rFonts w:ascii="Arial" w:hAnsi="Arial" w:cs="Arial"/>
                <w:sz w:val="20"/>
              </w:rPr>
              <w:t>)</w:t>
            </w:r>
            <w:r w:rsidRPr="00733A6B">
              <w:rPr>
                <w:rFonts w:ascii="Arial" w:hAnsi="Arial" w:cs="Arial"/>
                <w:sz w:val="20"/>
              </w:rPr>
              <w:t xml:space="preserve"> data</w:t>
            </w:r>
            <w:r w:rsidR="00B143EA" w:rsidRPr="00733A6B">
              <w:rPr>
                <w:rFonts w:ascii="Arial" w:hAnsi="Arial" w:cs="Arial"/>
                <w:sz w:val="20"/>
              </w:rPr>
              <w:t xml:space="preserve">, </w:t>
            </w:r>
            <w:r w:rsidRPr="00733A6B">
              <w:rPr>
                <w:rFonts w:ascii="Arial" w:hAnsi="Arial" w:cs="Arial"/>
                <w:sz w:val="20"/>
              </w:rPr>
              <w:t xml:space="preserve">a substantially </w:t>
            </w:r>
            <w:r w:rsidRPr="00733A6B">
              <w:rPr>
                <w:rFonts w:ascii="Arial" w:hAnsi="Arial" w:cs="Arial"/>
                <w:sz w:val="20"/>
              </w:rPr>
              <w:lastRenderedPageBreak/>
              <w:t>updated economic evaluation and revised financial estimates. Furthermore, noting that brentuximab for the treatment of adult patients with relapsed or refractory small anaplastic large cell lymphoma (sALCL) was accepted in the ICER range of $45,000 to $75,000/QALY, the PBAC had</w:t>
            </w:r>
            <w:r w:rsidR="00A47B38" w:rsidRPr="00733A6B">
              <w:rPr>
                <w:rFonts w:ascii="Arial" w:hAnsi="Arial" w:cs="Arial"/>
                <w:sz w:val="20"/>
              </w:rPr>
              <w:t xml:space="preserve"> previously</w:t>
            </w:r>
            <w:r w:rsidRPr="00733A6B">
              <w:rPr>
                <w:rFonts w:ascii="Arial" w:hAnsi="Arial" w:cs="Arial"/>
                <w:sz w:val="20"/>
              </w:rPr>
              <w:t xml:space="preserve"> considered that given the uncertain clinical benefit of pralatrexate, an ICER at the lower end of this range would be needed in order for pralatrexate to be considered acceptably cost-effective. </w:t>
            </w:r>
            <w:r w:rsidR="00A47B38" w:rsidRPr="00733A6B">
              <w:rPr>
                <w:rFonts w:ascii="Arial" w:hAnsi="Arial" w:cs="Arial"/>
                <w:sz w:val="20"/>
              </w:rPr>
              <w:t>T</w:t>
            </w:r>
            <w:r w:rsidRPr="00733A6B">
              <w:rPr>
                <w:rFonts w:ascii="Arial" w:hAnsi="Arial" w:cs="Arial"/>
                <w:sz w:val="20"/>
              </w:rPr>
              <w:t>he PBAC noted these key considerations were not adequately met</w:t>
            </w:r>
            <w:r w:rsidR="00A47B38" w:rsidRPr="00733A6B">
              <w:rPr>
                <w:rFonts w:ascii="Arial" w:hAnsi="Arial" w:cs="Arial"/>
                <w:sz w:val="20"/>
              </w:rPr>
              <w:t xml:space="preserve"> in the July 2017 resubmission</w:t>
            </w:r>
            <w:r w:rsidRPr="00733A6B">
              <w:rPr>
                <w:rFonts w:ascii="Arial" w:hAnsi="Arial" w:cs="Arial"/>
                <w:sz w:val="20"/>
              </w:rPr>
              <w:t>.</w:t>
            </w:r>
          </w:p>
        </w:tc>
      </w:tr>
      <w:tr w:rsidR="0090743A" w:rsidRPr="00733A6B" w:rsidTr="00363695">
        <w:trPr>
          <w:trHeight w:val="433"/>
        </w:trPr>
        <w:tc>
          <w:tcPr>
            <w:tcW w:w="2127" w:type="dxa"/>
            <w:vMerge/>
          </w:tcPr>
          <w:p w:rsidR="0090743A" w:rsidRPr="00733A6B" w:rsidRDefault="0090743A" w:rsidP="00400672">
            <w:pPr>
              <w:rPr>
                <w:rFonts w:ascii="Arial" w:hAnsi="Arial" w:cs="Arial"/>
                <w:sz w:val="20"/>
              </w:rPr>
            </w:pPr>
          </w:p>
        </w:tc>
        <w:tc>
          <w:tcPr>
            <w:tcW w:w="2409" w:type="dxa"/>
            <w:vMerge/>
          </w:tcPr>
          <w:p w:rsidR="0090743A" w:rsidRPr="00733A6B" w:rsidRDefault="0090743A" w:rsidP="00400672">
            <w:pPr>
              <w:rPr>
                <w:rFonts w:ascii="Arial" w:hAnsi="Arial" w:cs="Arial"/>
                <w:sz w:val="20"/>
              </w:rPr>
            </w:pPr>
          </w:p>
        </w:tc>
        <w:tc>
          <w:tcPr>
            <w:tcW w:w="2126" w:type="dxa"/>
            <w:vMerge/>
          </w:tcPr>
          <w:p w:rsidR="0090743A" w:rsidRPr="00733A6B" w:rsidRDefault="0090743A" w:rsidP="00400672">
            <w:pPr>
              <w:rPr>
                <w:rFonts w:ascii="Arial" w:hAnsi="Arial" w:cs="Arial"/>
                <w:sz w:val="20"/>
              </w:rPr>
            </w:pPr>
          </w:p>
        </w:tc>
        <w:tc>
          <w:tcPr>
            <w:tcW w:w="3827" w:type="dxa"/>
          </w:tcPr>
          <w:p w:rsidR="0090743A" w:rsidRPr="00733A6B" w:rsidRDefault="0090743A" w:rsidP="00400672">
            <w:pPr>
              <w:contextualSpacing/>
              <w:rPr>
                <w:rFonts w:ascii="Arial" w:hAnsi="Arial" w:cs="Arial"/>
                <w:sz w:val="20"/>
              </w:rPr>
            </w:pPr>
            <w:r w:rsidRPr="00733A6B">
              <w:rPr>
                <w:rFonts w:ascii="Arial" w:hAnsi="Arial" w:cs="Arial"/>
                <w:sz w:val="20"/>
              </w:rPr>
              <w:t>Comparator:</w:t>
            </w:r>
            <w:r w:rsidR="00125770" w:rsidRPr="00733A6B">
              <w:rPr>
                <w:rFonts w:ascii="Arial" w:hAnsi="Arial" w:cs="Arial"/>
                <w:sz w:val="20"/>
              </w:rPr>
              <w:t xml:space="preserve"> </w:t>
            </w:r>
            <w:r w:rsidR="00E51CD9" w:rsidRPr="00733A6B">
              <w:rPr>
                <w:rFonts w:ascii="Arial" w:hAnsi="Arial" w:cs="Arial"/>
                <w:sz w:val="20"/>
              </w:rPr>
              <w:t>B</w:t>
            </w:r>
            <w:r w:rsidR="00125770" w:rsidRPr="00733A6B">
              <w:rPr>
                <w:rFonts w:ascii="Arial" w:hAnsi="Arial" w:cs="Arial"/>
                <w:sz w:val="20"/>
              </w:rPr>
              <w:t>asket of treatments</w:t>
            </w:r>
          </w:p>
          <w:p w:rsidR="0090743A" w:rsidRPr="00733A6B" w:rsidRDefault="0090743A" w:rsidP="00400672">
            <w:pPr>
              <w:contextualSpacing/>
              <w:rPr>
                <w:rFonts w:ascii="Arial" w:hAnsi="Arial" w:cs="Arial"/>
                <w:sz w:val="20"/>
              </w:rPr>
            </w:pPr>
          </w:p>
        </w:tc>
        <w:tc>
          <w:tcPr>
            <w:tcW w:w="5354" w:type="dxa"/>
          </w:tcPr>
          <w:p w:rsidR="0090743A" w:rsidRPr="00733A6B" w:rsidRDefault="00AB70E2" w:rsidP="00400672">
            <w:pPr>
              <w:rPr>
                <w:rFonts w:ascii="Arial" w:hAnsi="Arial" w:cs="Arial"/>
                <w:sz w:val="20"/>
              </w:rPr>
            </w:pPr>
            <w:r w:rsidRPr="00733A6B">
              <w:rPr>
                <w:rFonts w:ascii="Arial" w:hAnsi="Arial" w:cs="Arial"/>
                <w:sz w:val="20"/>
              </w:rPr>
              <w:t>The PBAC accepted that a basket of treatments was the appropriate the main comparator, noting that gemcitabine, vinorelbine, doxorubicin, and romidepsin were appropriate comparators for the potential use of pralatrexate in the third line setting, after progression on brentuximab or other treatments from the submission’s nominated basket of treatments in the second line. The PBAC advised that brentuximab was expected to remain the preferred choice of treatment for the sALCL subtype of PTCL and was most likely to be used prior to pralatrexate, as confirmed by the sponsor hearing for this resubmission, and therefore it was inappropriate to have included brentuximab in the nominated basket of comparators. This was reaffirmed by the fact that only one patient was treated with brentuximab in the evidence presented from historical control cohorts.</w:t>
            </w:r>
          </w:p>
        </w:tc>
      </w:tr>
      <w:tr w:rsidR="0090743A" w:rsidRPr="00733A6B" w:rsidTr="00363695">
        <w:trPr>
          <w:trHeight w:val="433"/>
        </w:trPr>
        <w:tc>
          <w:tcPr>
            <w:tcW w:w="2127" w:type="dxa"/>
            <w:vMerge/>
          </w:tcPr>
          <w:p w:rsidR="0090743A" w:rsidRPr="00733A6B" w:rsidRDefault="0090743A" w:rsidP="00400672">
            <w:pPr>
              <w:rPr>
                <w:rFonts w:ascii="Arial" w:hAnsi="Arial" w:cs="Arial"/>
                <w:sz w:val="20"/>
              </w:rPr>
            </w:pPr>
          </w:p>
        </w:tc>
        <w:tc>
          <w:tcPr>
            <w:tcW w:w="2409" w:type="dxa"/>
            <w:vMerge/>
          </w:tcPr>
          <w:p w:rsidR="0090743A" w:rsidRPr="00733A6B" w:rsidRDefault="0090743A" w:rsidP="00400672">
            <w:pPr>
              <w:rPr>
                <w:rFonts w:ascii="Arial" w:hAnsi="Arial" w:cs="Arial"/>
                <w:sz w:val="20"/>
              </w:rPr>
            </w:pPr>
          </w:p>
        </w:tc>
        <w:tc>
          <w:tcPr>
            <w:tcW w:w="2126" w:type="dxa"/>
            <w:vMerge/>
          </w:tcPr>
          <w:p w:rsidR="0090743A" w:rsidRPr="00733A6B" w:rsidRDefault="0090743A" w:rsidP="00400672">
            <w:pPr>
              <w:rPr>
                <w:rFonts w:ascii="Arial" w:hAnsi="Arial" w:cs="Arial"/>
                <w:sz w:val="20"/>
              </w:rPr>
            </w:pPr>
          </w:p>
        </w:tc>
        <w:tc>
          <w:tcPr>
            <w:tcW w:w="3827" w:type="dxa"/>
          </w:tcPr>
          <w:p w:rsidR="0090743A" w:rsidRPr="00733A6B" w:rsidRDefault="0090743A" w:rsidP="00400672">
            <w:pPr>
              <w:contextualSpacing/>
              <w:rPr>
                <w:rFonts w:ascii="Arial" w:hAnsi="Arial" w:cs="Arial"/>
                <w:sz w:val="20"/>
              </w:rPr>
            </w:pPr>
            <w:r w:rsidRPr="00733A6B">
              <w:rPr>
                <w:rFonts w:ascii="Arial" w:hAnsi="Arial" w:cs="Arial"/>
                <w:sz w:val="20"/>
              </w:rPr>
              <w:t>Clinical claim:</w:t>
            </w:r>
            <w:r w:rsidR="00125770" w:rsidRPr="00733A6B">
              <w:rPr>
                <w:rFonts w:ascii="Arial" w:hAnsi="Arial" w:cs="Arial"/>
                <w:sz w:val="20"/>
              </w:rPr>
              <w:t xml:space="preserve"> Superior efficacy and non-inferior safety compared with nominated basket of treatments</w:t>
            </w:r>
          </w:p>
          <w:p w:rsidR="0090743A" w:rsidRPr="00733A6B" w:rsidRDefault="0090743A" w:rsidP="00400672">
            <w:pPr>
              <w:contextualSpacing/>
              <w:rPr>
                <w:rFonts w:ascii="Arial" w:hAnsi="Arial" w:cs="Arial"/>
                <w:sz w:val="20"/>
              </w:rPr>
            </w:pPr>
          </w:p>
        </w:tc>
        <w:tc>
          <w:tcPr>
            <w:tcW w:w="5354" w:type="dxa"/>
          </w:tcPr>
          <w:p w:rsidR="00AB70E2" w:rsidRPr="00733A6B" w:rsidRDefault="00AB70E2" w:rsidP="00400672">
            <w:pPr>
              <w:rPr>
                <w:rFonts w:ascii="Arial" w:hAnsi="Arial" w:cs="Arial"/>
                <w:sz w:val="20"/>
              </w:rPr>
            </w:pPr>
            <w:r w:rsidRPr="00733A6B">
              <w:rPr>
                <w:rFonts w:ascii="Arial" w:hAnsi="Arial" w:cs="Arial"/>
                <w:sz w:val="20"/>
              </w:rPr>
              <w:t xml:space="preserve">The submission compares outcomes of patients receiving pralatrexate that were prospectively accrued into a clinical trial requiring strict entry criteria and who could receive further lines of therapy after pralatrexate, with patients receiving with a range of alternative therapies treated non-contemporaneously and without strict entry criteria, and only using data from their last line of therapy. This confounding cannot be overcome fully, neither by </w:t>
            </w:r>
            <w:r w:rsidRPr="00733A6B">
              <w:rPr>
                <w:rFonts w:ascii="Arial" w:hAnsi="Arial" w:cs="Arial"/>
                <w:sz w:val="20"/>
              </w:rPr>
              <w:lastRenderedPageBreak/>
              <w:t>approaches taken in the current resubmission, nor the matched analysis used previously. The PBAC considered that the survival benefit of pralatrexate over alternative therapies has not been proven and that the incremental clinical benefits are highly uncertain. The submission’s claim of superior comparative effectiveness against the nominated basket of treatments remained unsupported.</w:t>
            </w:r>
          </w:p>
          <w:p w:rsidR="0090743A" w:rsidRPr="00733A6B" w:rsidRDefault="00AB70E2" w:rsidP="00400672">
            <w:pPr>
              <w:rPr>
                <w:rFonts w:ascii="Arial" w:hAnsi="Arial" w:cs="Arial"/>
                <w:sz w:val="20"/>
              </w:rPr>
            </w:pPr>
            <w:r w:rsidRPr="00733A6B">
              <w:rPr>
                <w:rFonts w:ascii="Arial" w:hAnsi="Arial" w:cs="Arial"/>
                <w:sz w:val="20"/>
              </w:rPr>
              <w:t>The PBAC agreed that safety was overall no worse than alternative chemotherapy regimens, but that the rates of severe mucositis and discontinuations due to adverse events were substantial and indicated that the treatment had significant toxicity.</w:t>
            </w:r>
          </w:p>
        </w:tc>
      </w:tr>
      <w:tr w:rsidR="0090743A" w:rsidRPr="00733A6B" w:rsidTr="00363695">
        <w:trPr>
          <w:trHeight w:val="433"/>
        </w:trPr>
        <w:tc>
          <w:tcPr>
            <w:tcW w:w="2127" w:type="dxa"/>
            <w:vMerge/>
          </w:tcPr>
          <w:p w:rsidR="0090743A" w:rsidRPr="00733A6B" w:rsidRDefault="0090743A" w:rsidP="00400672">
            <w:pPr>
              <w:rPr>
                <w:rFonts w:ascii="Arial" w:hAnsi="Arial" w:cs="Arial"/>
                <w:sz w:val="20"/>
              </w:rPr>
            </w:pPr>
          </w:p>
        </w:tc>
        <w:tc>
          <w:tcPr>
            <w:tcW w:w="2409" w:type="dxa"/>
            <w:vMerge/>
          </w:tcPr>
          <w:p w:rsidR="0090743A" w:rsidRPr="00733A6B" w:rsidRDefault="0090743A" w:rsidP="00400672">
            <w:pPr>
              <w:rPr>
                <w:rFonts w:ascii="Arial" w:hAnsi="Arial" w:cs="Arial"/>
                <w:sz w:val="20"/>
              </w:rPr>
            </w:pPr>
          </w:p>
        </w:tc>
        <w:tc>
          <w:tcPr>
            <w:tcW w:w="2126" w:type="dxa"/>
            <w:vMerge/>
          </w:tcPr>
          <w:p w:rsidR="0090743A" w:rsidRPr="00733A6B" w:rsidRDefault="0090743A" w:rsidP="00400672">
            <w:pPr>
              <w:rPr>
                <w:rFonts w:ascii="Arial" w:hAnsi="Arial" w:cs="Arial"/>
                <w:sz w:val="20"/>
              </w:rPr>
            </w:pPr>
          </w:p>
        </w:tc>
        <w:tc>
          <w:tcPr>
            <w:tcW w:w="3827" w:type="dxa"/>
          </w:tcPr>
          <w:p w:rsidR="0090743A" w:rsidRPr="00733A6B" w:rsidRDefault="0090743A" w:rsidP="00400672">
            <w:pPr>
              <w:contextualSpacing/>
              <w:rPr>
                <w:rFonts w:ascii="Arial" w:hAnsi="Arial" w:cs="Arial"/>
                <w:sz w:val="20"/>
              </w:rPr>
            </w:pPr>
            <w:r w:rsidRPr="00733A6B">
              <w:rPr>
                <w:rFonts w:ascii="Arial" w:hAnsi="Arial" w:cs="Arial"/>
                <w:sz w:val="20"/>
              </w:rPr>
              <w:t>Economic claim</w:t>
            </w:r>
            <w:r w:rsidR="00125770" w:rsidRPr="00733A6B">
              <w:rPr>
                <w:rFonts w:ascii="Arial" w:hAnsi="Arial" w:cs="Arial"/>
                <w:sz w:val="20"/>
              </w:rPr>
              <w:t>: Cost-utility analysis based on a naïve indirect comparison of pralatrexate with a basket of comparator treatments</w:t>
            </w:r>
          </w:p>
          <w:p w:rsidR="0090743A" w:rsidRPr="00733A6B" w:rsidRDefault="0090743A" w:rsidP="00400672">
            <w:pPr>
              <w:contextualSpacing/>
              <w:rPr>
                <w:rFonts w:ascii="Arial" w:hAnsi="Arial" w:cs="Arial"/>
                <w:sz w:val="20"/>
              </w:rPr>
            </w:pPr>
          </w:p>
        </w:tc>
        <w:tc>
          <w:tcPr>
            <w:tcW w:w="5354" w:type="dxa"/>
          </w:tcPr>
          <w:p w:rsidR="00AB70E2" w:rsidRPr="00733A6B" w:rsidRDefault="00AB70E2" w:rsidP="00400672">
            <w:pPr>
              <w:rPr>
                <w:rFonts w:ascii="Arial" w:hAnsi="Arial" w:cs="Arial"/>
                <w:sz w:val="20"/>
              </w:rPr>
            </w:pPr>
            <w:r w:rsidRPr="00733A6B">
              <w:rPr>
                <w:rFonts w:ascii="Arial" w:hAnsi="Arial" w:cs="Arial"/>
                <w:sz w:val="20"/>
              </w:rPr>
              <w:t>The PBAC considered that although several structural improvements were incorporated in the economic model presented in this resubmission, the underlying lack of evidence to support the claim of superior efficacy resulted in unreliable inputs and optimistic extrapolations, leading to an economic model that did not provide a plausible basis for appropriately estimating the cost-effectiveness of pralatrexate.</w:t>
            </w:r>
          </w:p>
          <w:p w:rsidR="00EF0B3E" w:rsidRPr="00733A6B" w:rsidRDefault="00EF0B3E" w:rsidP="00400672">
            <w:pPr>
              <w:rPr>
                <w:rFonts w:ascii="Arial" w:hAnsi="Arial" w:cs="Arial"/>
                <w:sz w:val="20"/>
              </w:rPr>
            </w:pPr>
          </w:p>
          <w:p w:rsidR="00A47B38" w:rsidRPr="00733A6B" w:rsidRDefault="00AB70E2" w:rsidP="00400672">
            <w:pPr>
              <w:rPr>
                <w:rFonts w:ascii="Arial" w:hAnsi="Arial" w:cs="Arial"/>
                <w:sz w:val="20"/>
              </w:rPr>
            </w:pPr>
            <w:r w:rsidRPr="00733A6B">
              <w:rPr>
                <w:rFonts w:ascii="Arial" w:hAnsi="Arial" w:cs="Arial"/>
                <w:sz w:val="20"/>
              </w:rPr>
              <w:t xml:space="preserve">As such, notwithstanding the clinical need for new and effective treatments for relapsed or refractory PTCL, the PBAC remained unconvinced that pralatrexate was cost effective compared to current treatments available to patients, at the price proposed by the resubmission, which was unchanged from </w:t>
            </w:r>
            <w:r w:rsidR="00A47B38" w:rsidRPr="00733A6B">
              <w:rPr>
                <w:rFonts w:ascii="Arial" w:hAnsi="Arial" w:cs="Arial"/>
                <w:sz w:val="20"/>
              </w:rPr>
              <w:t xml:space="preserve">the </w:t>
            </w:r>
            <w:r w:rsidRPr="00733A6B">
              <w:rPr>
                <w:rFonts w:ascii="Arial" w:hAnsi="Arial" w:cs="Arial"/>
                <w:sz w:val="20"/>
              </w:rPr>
              <w:t>previous resubmission.</w:t>
            </w:r>
          </w:p>
        </w:tc>
      </w:tr>
      <w:tr w:rsidR="0090743A" w:rsidRPr="00733A6B" w:rsidTr="00363695">
        <w:trPr>
          <w:trHeight w:val="433"/>
        </w:trPr>
        <w:tc>
          <w:tcPr>
            <w:tcW w:w="2127" w:type="dxa"/>
            <w:vMerge/>
          </w:tcPr>
          <w:p w:rsidR="0090743A" w:rsidRPr="00733A6B" w:rsidRDefault="0090743A" w:rsidP="00400672">
            <w:pPr>
              <w:rPr>
                <w:rFonts w:ascii="Arial" w:hAnsi="Arial" w:cs="Arial"/>
                <w:sz w:val="20"/>
              </w:rPr>
            </w:pPr>
          </w:p>
        </w:tc>
        <w:tc>
          <w:tcPr>
            <w:tcW w:w="2409" w:type="dxa"/>
            <w:vMerge/>
          </w:tcPr>
          <w:p w:rsidR="0090743A" w:rsidRPr="00733A6B" w:rsidRDefault="0090743A" w:rsidP="00400672">
            <w:pPr>
              <w:rPr>
                <w:rFonts w:ascii="Arial" w:hAnsi="Arial" w:cs="Arial"/>
                <w:sz w:val="20"/>
              </w:rPr>
            </w:pPr>
          </w:p>
        </w:tc>
        <w:tc>
          <w:tcPr>
            <w:tcW w:w="2126" w:type="dxa"/>
            <w:vMerge/>
          </w:tcPr>
          <w:p w:rsidR="0090743A" w:rsidRPr="00733A6B" w:rsidRDefault="0090743A" w:rsidP="00400672">
            <w:pPr>
              <w:rPr>
                <w:rFonts w:ascii="Arial" w:hAnsi="Arial" w:cs="Arial"/>
                <w:sz w:val="20"/>
              </w:rPr>
            </w:pPr>
          </w:p>
        </w:tc>
        <w:tc>
          <w:tcPr>
            <w:tcW w:w="3827" w:type="dxa"/>
          </w:tcPr>
          <w:p w:rsidR="0090743A" w:rsidRPr="00733A6B" w:rsidRDefault="0090743A" w:rsidP="00400672">
            <w:pPr>
              <w:contextualSpacing/>
              <w:rPr>
                <w:rFonts w:ascii="Arial" w:hAnsi="Arial" w:cs="Arial"/>
                <w:sz w:val="20"/>
              </w:rPr>
            </w:pPr>
            <w:r w:rsidRPr="00733A6B">
              <w:rPr>
                <w:rFonts w:ascii="Arial" w:hAnsi="Arial" w:cs="Arial"/>
                <w:sz w:val="20"/>
              </w:rPr>
              <w:t>Sponsor’s comment</w:t>
            </w:r>
            <w:r w:rsidR="000965FE" w:rsidRPr="00733A6B">
              <w:rPr>
                <w:rFonts w:ascii="Arial" w:hAnsi="Arial" w:cs="Arial"/>
                <w:sz w:val="20"/>
              </w:rPr>
              <w:t>s</w:t>
            </w:r>
          </w:p>
          <w:p w:rsidR="00107644" w:rsidRPr="00733A6B" w:rsidRDefault="00107644" w:rsidP="00400672">
            <w:pPr>
              <w:contextualSpacing/>
              <w:rPr>
                <w:rFonts w:ascii="Arial" w:hAnsi="Arial" w:cs="Arial"/>
                <w:sz w:val="20"/>
              </w:rPr>
            </w:pPr>
          </w:p>
          <w:p w:rsidR="00107644" w:rsidRPr="00733A6B" w:rsidRDefault="00107644" w:rsidP="00400672">
            <w:pPr>
              <w:contextualSpacing/>
              <w:rPr>
                <w:rFonts w:ascii="Arial" w:hAnsi="Arial" w:cs="Arial"/>
                <w:sz w:val="20"/>
              </w:rPr>
            </w:pPr>
          </w:p>
          <w:p w:rsidR="0090743A" w:rsidRPr="00733A6B" w:rsidRDefault="0090743A" w:rsidP="00400672">
            <w:pPr>
              <w:contextualSpacing/>
              <w:rPr>
                <w:rFonts w:ascii="Arial" w:hAnsi="Arial" w:cs="Arial"/>
                <w:sz w:val="20"/>
              </w:rPr>
            </w:pPr>
          </w:p>
        </w:tc>
        <w:tc>
          <w:tcPr>
            <w:tcW w:w="5354" w:type="dxa"/>
          </w:tcPr>
          <w:p w:rsidR="0090743A" w:rsidRPr="00733A6B" w:rsidRDefault="001664DF" w:rsidP="00400672">
            <w:pPr>
              <w:rPr>
                <w:rFonts w:ascii="Arial" w:hAnsi="Arial" w:cs="Arial"/>
                <w:sz w:val="20"/>
              </w:rPr>
            </w:pPr>
            <w:r w:rsidRPr="00733A6B">
              <w:rPr>
                <w:rFonts w:ascii="Arial" w:hAnsi="Arial" w:cs="Arial"/>
                <w:sz w:val="20"/>
              </w:rPr>
              <w:t>As recognised by the PBAC, there is a clinical need for new effective treatments for the relapsed or refractory peripheral T-Cell lymphoma. Mundipharma remains committed to making pralatrexate available to patients with relapsed or refractory peripheral T-Cell lymphoma.</w:t>
            </w:r>
          </w:p>
          <w:p w:rsidR="00A1128E" w:rsidRPr="00733A6B" w:rsidRDefault="00A1128E" w:rsidP="00400672">
            <w:pPr>
              <w:rPr>
                <w:rFonts w:ascii="Arial" w:hAnsi="Arial" w:cs="Arial"/>
                <w:sz w:val="20"/>
              </w:rPr>
            </w:pPr>
          </w:p>
          <w:p w:rsidR="00400672" w:rsidRPr="00733A6B" w:rsidRDefault="00400672" w:rsidP="00400672">
            <w:pPr>
              <w:rPr>
                <w:rFonts w:ascii="Arial" w:hAnsi="Arial" w:cs="Arial"/>
                <w:sz w:val="20"/>
              </w:rPr>
            </w:pPr>
          </w:p>
          <w:p w:rsidR="00400672" w:rsidRPr="00733A6B" w:rsidRDefault="00400672" w:rsidP="00400672">
            <w:pPr>
              <w:rPr>
                <w:rFonts w:ascii="Arial" w:hAnsi="Arial" w:cs="Arial"/>
                <w:sz w:val="20"/>
              </w:rPr>
            </w:pPr>
          </w:p>
        </w:tc>
      </w:tr>
      <w:tr w:rsidR="00E743F8" w:rsidRPr="00733A6B" w:rsidTr="00B14733">
        <w:trPr>
          <w:trHeight w:val="433"/>
        </w:trPr>
        <w:tc>
          <w:tcPr>
            <w:tcW w:w="2127" w:type="dxa"/>
            <w:vMerge w:val="restart"/>
          </w:tcPr>
          <w:p w:rsidR="00974D3D" w:rsidRPr="00733A6B" w:rsidRDefault="00974D3D" w:rsidP="00400672">
            <w:pPr>
              <w:contextualSpacing/>
              <w:rPr>
                <w:rFonts w:ascii="Arial" w:hAnsi="Arial" w:cs="Arial"/>
                <w:sz w:val="20"/>
              </w:rPr>
            </w:pPr>
            <w:r w:rsidRPr="00733A6B">
              <w:rPr>
                <w:rFonts w:ascii="Arial" w:hAnsi="Arial" w:cs="Arial"/>
                <w:sz w:val="20"/>
              </w:rPr>
              <w:lastRenderedPageBreak/>
              <w:t>TRIFLURIDINE WITH TIPIRACIL</w:t>
            </w:r>
          </w:p>
          <w:p w:rsidR="00974D3D" w:rsidRPr="00733A6B" w:rsidRDefault="00974D3D" w:rsidP="00400672">
            <w:pPr>
              <w:contextualSpacing/>
              <w:rPr>
                <w:rFonts w:ascii="Arial" w:hAnsi="Arial" w:cs="Arial"/>
                <w:sz w:val="20"/>
              </w:rPr>
            </w:pPr>
          </w:p>
          <w:p w:rsidR="00974D3D" w:rsidRPr="00733A6B" w:rsidRDefault="00974D3D" w:rsidP="00400672">
            <w:pPr>
              <w:contextualSpacing/>
              <w:rPr>
                <w:rFonts w:ascii="Arial" w:hAnsi="Arial" w:cs="Arial"/>
                <w:sz w:val="20"/>
              </w:rPr>
            </w:pPr>
            <w:r w:rsidRPr="00733A6B">
              <w:rPr>
                <w:rFonts w:ascii="Arial" w:hAnsi="Arial" w:cs="Arial"/>
                <w:sz w:val="20"/>
              </w:rPr>
              <w:t xml:space="preserve">Tablet containing 15 mg trifluridine with 6.14 mg tipiracil (as hydrochloride) Tablet containing 20 mg trifluridine with 8.19 mg tipiracil (as hydrochloride) </w:t>
            </w:r>
          </w:p>
          <w:p w:rsidR="00974D3D" w:rsidRPr="00733A6B" w:rsidRDefault="00974D3D" w:rsidP="00400672">
            <w:pPr>
              <w:contextualSpacing/>
              <w:rPr>
                <w:rFonts w:ascii="Arial" w:hAnsi="Arial" w:cs="Arial"/>
                <w:sz w:val="20"/>
              </w:rPr>
            </w:pPr>
          </w:p>
          <w:p w:rsidR="00974D3D" w:rsidRPr="00733A6B" w:rsidRDefault="00974D3D" w:rsidP="00400672">
            <w:pPr>
              <w:contextualSpacing/>
              <w:rPr>
                <w:rFonts w:ascii="Arial" w:hAnsi="Arial" w:cs="Arial"/>
                <w:sz w:val="20"/>
              </w:rPr>
            </w:pPr>
            <w:r w:rsidRPr="00733A6B">
              <w:rPr>
                <w:rFonts w:ascii="Arial" w:hAnsi="Arial" w:cs="Arial"/>
                <w:sz w:val="20"/>
              </w:rPr>
              <w:t xml:space="preserve">Lonsurf® </w:t>
            </w:r>
          </w:p>
          <w:p w:rsidR="00974D3D" w:rsidRPr="00733A6B" w:rsidRDefault="00974D3D" w:rsidP="00400672">
            <w:pPr>
              <w:contextualSpacing/>
              <w:rPr>
                <w:rFonts w:ascii="Arial" w:hAnsi="Arial" w:cs="Arial"/>
                <w:sz w:val="20"/>
              </w:rPr>
            </w:pPr>
          </w:p>
          <w:p w:rsidR="00004F71" w:rsidRPr="00733A6B" w:rsidRDefault="00974D3D" w:rsidP="00400672">
            <w:pPr>
              <w:contextualSpacing/>
              <w:rPr>
                <w:rFonts w:ascii="Arial" w:hAnsi="Arial" w:cs="Arial"/>
                <w:sz w:val="20"/>
              </w:rPr>
            </w:pPr>
            <w:r w:rsidRPr="00733A6B">
              <w:rPr>
                <w:rFonts w:ascii="Arial" w:hAnsi="Arial" w:cs="Arial"/>
                <w:sz w:val="20"/>
              </w:rPr>
              <w:t>Servier Laboratories (Australia) Pty Ltd</w:t>
            </w:r>
          </w:p>
          <w:p w:rsidR="00EB377B" w:rsidRPr="00733A6B" w:rsidRDefault="00EB377B" w:rsidP="00400672">
            <w:pPr>
              <w:contextualSpacing/>
              <w:rPr>
                <w:rFonts w:ascii="Arial" w:hAnsi="Arial" w:cs="Arial"/>
                <w:sz w:val="20"/>
              </w:rPr>
            </w:pPr>
          </w:p>
          <w:p w:rsidR="00EB377B" w:rsidRPr="00733A6B" w:rsidRDefault="00EB377B" w:rsidP="00400672">
            <w:pPr>
              <w:contextualSpacing/>
              <w:rPr>
                <w:rFonts w:ascii="Arial" w:hAnsi="Arial" w:cs="Arial"/>
                <w:sz w:val="20"/>
              </w:rPr>
            </w:pPr>
            <w:r w:rsidRPr="00733A6B">
              <w:rPr>
                <w:rFonts w:ascii="Arial" w:hAnsi="Arial" w:cs="Arial"/>
                <w:sz w:val="20"/>
              </w:rPr>
              <w:t>New listing</w:t>
            </w:r>
          </w:p>
          <w:p w:rsidR="00974D3D" w:rsidRPr="00733A6B" w:rsidRDefault="00974D3D" w:rsidP="00400672">
            <w:pPr>
              <w:contextualSpacing/>
              <w:rPr>
                <w:rFonts w:ascii="Arial" w:hAnsi="Arial" w:cs="Arial"/>
                <w:sz w:val="20"/>
              </w:rPr>
            </w:pPr>
          </w:p>
          <w:p w:rsidR="00974D3D" w:rsidRPr="00733A6B" w:rsidRDefault="00974D3D" w:rsidP="00400672">
            <w:pPr>
              <w:contextualSpacing/>
              <w:rPr>
                <w:rFonts w:ascii="Arial" w:hAnsi="Arial" w:cs="Arial"/>
                <w:sz w:val="20"/>
                <w:highlight w:val="yellow"/>
              </w:rPr>
            </w:pPr>
            <w:r w:rsidRPr="00733A6B">
              <w:rPr>
                <w:rFonts w:ascii="Arial" w:hAnsi="Arial" w:cs="Arial"/>
                <w:sz w:val="20"/>
              </w:rPr>
              <w:t>(Minor Submission)</w:t>
            </w:r>
          </w:p>
        </w:tc>
        <w:tc>
          <w:tcPr>
            <w:tcW w:w="2409" w:type="dxa"/>
            <w:vMerge w:val="restart"/>
          </w:tcPr>
          <w:p w:rsidR="00063619" w:rsidRPr="00733A6B" w:rsidRDefault="00063619" w:rsidP="00400672">
            <w:pPr>
              <w:rPr>
                <w:rFonts w:ascii="Arial" w:hAnsi="Arial" w:cs="Arial"/>
                <w:sz w:val="20"/>
              </w:rPr>
            </w:pPr>
            <w:r w:rsidRPr="00733A6B">
              <w:rPr>
                <w:rFonts w:ascii="Arial" w:hAnsi="Arial" w:cs="Arial"/>
                <w:sz w:val="20"/>
              </w:rPr>
              <w:t>LONSURF is indicated for the treatment of adult patients with metastatic colorectal cancer (mCRC)</w:t>
            </w:r>
          </w:p>
          <w:p w:rsidR="00063619" w:rsidRPr="00733A6B" w:rsidRDefault="00063619" w:rsidP="00400672">
            <w:pPr>
              <w:rPr>
                <w:rFonts w:ascii="Arial" w:hAnsi="Arial" w:cs="Arial"/>
                <w:sz w:val="20"/>
              </w:rPr>
            </w:pPr>
            <w:r w:rsidRPr="00733A6B">
              <w:rPr>
                <w:rFonts w:ascii="Arial" w:hAnsi="Arial" w:cs="Arial"/>
                <w:sz w:val="20"/>
              </w:rPr>
              <w:t>who have been previously treated with, or are not considered candidates for fluoropyrimidine-,</w:t>
            </w:r>
          </w:p>
          <w:p w:rsidR="00E743F8" w:rsidRPr="00733A6B" w:rsidRDefault="00063619" w:rsidP="00400672">
            <w:pPr>
              <w:rPr>
                <w:rFonts w:ascii="Arial" w:hAnsi="Arial" w:cs="Arial"/>
                <w:sz w:val="20"/>
              </w:rPr>
            </w:pPr>
            <w:proofErr w:type="gramStart"/>
            <w:r w:rsidRPr="00733A6B">
              <w:rPr>
                <w:rFonts w:ascii="Arial" w:hAnsi="Arial" w:cs="Arial"/>
                <w:sz w:val="20"/>
              </w:rPr>
              <w:t>oxaliplatin</w:t>
            </w:r>
            <w:proofErr w:type="gramEnd"/>
            <w:r w:rsidRPr="00733A6B">
              <w:rPr>
                <w:rFonts w:ascii="Arial" w:hAnsi="Arial" w:cs="Arial"/>
                <w:sz w:val="20"/>
              </w:rPr>
              <w:t>- and irinotecan-based chemotherapies, anti-VEGF agents, and anti-EGFR agents.</w:t>
            </w:r>
          </w:p>
        </w:tc>
        <w:tc>
          <w:tcPr>
            <w:tcW w:w="2126" w:type="dxa"/>
            <w:vMerge w:val="restart"/>
          </w:tcPr>
          <w:p w:rsidR="00E743F8" w:rsidRPr="00733A6B" w:rsidRDefault="00E74274" w:rsidP="00400672">
            <w:pPr>
              <w:rPr>
                <w:rFonts w:ascii="Arial" w:hAnsi="Arial" w:cs="Arial"/>
                <w:sz w:val="20"/>
              </w:rPr>
            </w:pPr>
            <w:r w:rsidRPr="00733A6B">
              <w:rPr>
                <w:rFonts w:ascii="Arial" w:hAnsi="Arial" w:cs="Arial"/>
                <w:sz w:val="20"/>
              </w:rPr>
              <w:t>TRIFLURIDINE WITH TIPIRACIL is not currently PBS listed.</w:t>
            </w:r>
          </w:p>
        </w:tc>
        <w:tc>
          <w:tcPr>
            <w:tcW w:w="3827" w:type="dxa"/>
          </w:tcPr>
          <w:p w:rsidR="00E743F8" w:rsidRPr="00733A6B" w:rsidRDefault="00974D3D" w:rsidP="00400672">
            <w:pPr>
              <w:contextualSpacing/>
              <w:rPr>
                <w:rFonts w:ascii="Arial" w:hAnsi="Arial" w:cs="Arial"/>
                <w:sz w:val="20"/>
              </w:rPr>
            </w:pPr>
            <w:r w:rsidRPr="00733A6B">
              <w:rPr>
                <w:rFonts w:ascii="Arial" w:hAnsi="Arial" w:cs="Arial"/>
                <w:sz w:val="20"/>
              </w:rPr>
              <w:t>Resubmission to request an Authority Required (STREAMLINED) listing for the treatment of metastatic colorectal cancer.</w:t>
            </w:r>
          </w:p>
        </w:tc>
        <w:tc>
          <w:tcPr>
            <w:tcW w:w="5354" w:type="dxa"/>
            <w:shd w:val="clear" w:color="auto" w:fill="auto"/>
          </w:tcPr>
          <w:p w:rsidR="00E743F8" w:rsidRPr="00733A6B" w:rsidRDefault="005A3049" w:rsidP="00400672">
            <w:pPr>
              <w:rPr>
                <w:rFonts w:ascii="Arial" w:hAnsi="Arial" w:cs="Arial"/>
                <w:sz w:val="20"/>
              </w:rPr>
            </w:pPr>
            <w:r w:rsidRPr="00733A6B">
              <w:rPr>
                <w:rFonts w:ascii="Arial" w:hAnsi="Arial" w:cs="Arial"/>
                <w:sz w:val="20"/>
              </w:rPr>
              <w:t xml:space="preserve">The PBAC did not recommend the listing of trifluridine with tipiracil on the PBS for treatment of patients with metastatic colorectal cancer (mCRC) who have been treated previously with or are not considered suitable for current available therapies. The PBAC </w:t>
            </w:r>
            <w:r w:rsidR="00A47B38" w:rsidRPr="00733A6B">
              <w:rPr>
                <w:rFonts w:ascii="Arial" w:hAnsi="Arial" w:cs="Arial"/>
                <w:sz w:val="20"/>
              </w:rPr>
              <w:t>noted the</w:t>
            </w:r>
            <w:r w:rsidRPr="00733A6B">
              <w:rPr>
                <w:rFonts w:ascii="Arial" w:hAnsi="Arial" w:cs="Arial"/>
                <w:sz w:val="20"/>
              </w:rPr>
              <w:t xml:space="preserve"> modest clinical benefit in the context of substantial toxicity, and uncertain incremental cost-effectiveness given the extent of benefit observed in the trial and model may not be realised in clinical practice.</w:t>
            </w:r>
          </w:p>
        </w:tc>
      </w:tr>
      <w:tr w:rsidR="0090743A" w:rsidRPr="00733A6B" w:rsidTr="00363695">
        <w:trPr>
          <w:trHeight w:val="433"/>
        </w:trPr>
        <w:tc>
          <w:tcPr>
            <w:tcW w:w="2127" w:type="dxa"/>
            <w:vMerge/>
          </w:tcPr>
          <w:p w:rsidR="0090743A" w:rsidRPr="00733A6B" w:rsidRDefault="0090743A" w:rsidP="00400672">
            <w:pPr>
              <w:contextualSpacing/>
              <w:rPr>
                <w:rFonts w:ascii="Arial" w:hAnsi="Arial" w:cs="Arial"/>
                <w:sz w:val="20"/>
              </w:rPr>
            </w:pPr>
          </w:p>
        </w:tc>
        <w:tc>
          <w:tcPr>
            <w:tcW w:w="2409" w:type="dxa"/>
            <w:vMerge/>
          </w:tcPr>
          <w:p w:rsidR="0090743A" w:rsidRPr="00733A6B" w:rsidRDefault="0090743A" w:rsidP="00400672">
            <w:pPr>
              <w:rPr>
                <w:rFonts w:ascii="Arial" w:hAnsi="Arial" w:cs="Arial"/>
                <w:sz w:val="20"/>
              </w:rPr>
            </w:pPr>
          </w:p>
        </w:tc>
        <w:tc>
          <w:tcPr>
            <w:tcW w:w="2126" w:type="dxa"/>
            <w:vMerge/>
          </w:tcPr>
          <w:p w:rsidR="0090743A" w:rsidRPr="00733A6B" w:rsidRDefault="0090743A" w:rsidP="00400672">
            <w:pPr>
              <w:rPr>
                <w:rFonts w:ascii="Arial" w:hAnsi="Arial" w:cs="Arial"/>
                <w:sz w:val="20"/>
              </w:rPr>
            </w:pPr>
          </w:p>
        </w:tc>
        <w:tc>
          <w:tcPr>
            <w:tcW w:w="3827" w:type="dxa"/>
          </w:tcPr>
          <w:p w:rsidR="00107644" w:rsidRPr="00733A6B" w:rsidRDefault="0090743A" w:rsidP="00400672">
            <w:pPr>
              <w:pStyle w:val="ListBullet"/>
            </w:pPr>
            <w:r w:rsidRPr="00733A6B">
              <w:t>Comparator:</w:t>
            </w:r>
            <w:r w:rsidR="00107644" w:rsidRPr="00733A6B">
              <w:t xml:space="preserve"> Best supportive care</w:t>
            </w:r>
          </w:p>
          <w:p w:rsidR="0090743A" w:rsidRPr="00733A6B" w:rsidRDefault="00107644" w:rsidP="00400672">
            <w:pPr>
              <w:pStyle w:val="ListBullet"/>
            </w:pPr>
            <w:r w:rsidRPr="00733A6B">
              <w:t>(BSC)</w:t>
            </w:r>
          </w:p>
        </w:tc>
        <w:tc>
          <w:tcPr>
            <w:tcW w:w="5354" w:type="dxa"/>
          </w:tcPr>
          <w:p w:rsidR="0090743A" w:rsidRPr="00733A6B" w:rsidRDefault="00107644" w:rsidP="00400672">
            <w:pPr>
              <w:rPr>
                <w:rFonts w:ascii="Arial" w:hAnsi="Arial" w:cs="Arial"/>
                <w:sz w:val="20"/>
              </w:rPr>
            </w:pPr>
            <w:r w:rsidRPr="00733A6B">
              <w:rPr>
                <w:rFonts w:ascii="Arial" w:hAnsi="Arial" w:cs="Arial"/>
                <w:sz w:val="20"/>
              </w:rPr>
              <w:t>Accepted</w:t>
            </w:r>
          </w:p>
        </w:tc>
      </w:tr>
      <w:tr w:rsidR="0090743A" w:rsidRPr="00733A6B" w:rsidTr="00363695">
        <w:trPr>
          <w:trHeight w:val="433"/>
        </w:trPr>
        <w:tc>
          <w:tcPr>
            <w:tcW w:w="2127" w:type="dxa"/>
            <w:vMerge/>
          </w:tcPr>
          <w:p w:rsidR="0090743A" w:rsidRPr="00733A6B" w:rsidRDefault="0090743A" w:rsidP="00400672">
            <w:pPr>
              <w:rPr>
                <w:rFonts w:ascii="Arial" w:hAnsi="Arial" w:cs="Arial"/>
                <w:sz w:val="20"/>
              </w:rPr>
            </w:pPr>
          </w:p>
        </w:tc>
        <w:tc>
          <w:tcPr>
            <w:tcW w:w="2409" w:type="dxa"/>
            <w:vMerge/>
          </w:tcPr>
          <w:p w:rsidR="0090743A" w:rsidRPr="00733A6B" w:rsidRDefault="0090743A" w:rsidP="00400672">
            <w:pPr>
              <w:rPr>
                <w:rFonts w:ascii="Arial" w:hAnsi="Arial" w:cs="Arial"/>
                <w:sz w:val="20"/>
              </w:rPr>
            </w:pPr>
          </w:p>
        </w:tc>
        <w:tc>
          <w:tcPr>
            <w:tcW w:w="2126" w:type="dxa"/>
            <w:vMerge/>
          </w:tcPr>
          <w:p w:rsidR="0090743A" w:rsidRPr="00733A6B" w:rsidRDefault="0090743A" w:rsidP="00400672">
            <w:pPr>
              <w:rPr>
                <w:rFonts w:ascii="Arial" w:hAnsi="Arial" w:cs="Arial"/>
                <w:sz w:val="20"/>
              </w:rPr>
            </w:pPr>
          </w:p>
        </w:tc>
        <w:tc>
          <w:tcPr>
            <w:tcW w:w="3827" w:type="dxa"/>
          </w:tcPr>
          <w:p w:rsidR="00107644" w:rsidRPr="00733A6B" w:rsidRDefault="0090743A" w:rsidP="00400672">
            <w:pPr>
              <w:pStyle w:val="ListBullet"/>
            </w:pPr>
            <w:r w:rsidRPr="00733A6B">
              <w:t>Clinical claim</w:t>
            </w:r>
            <w:r w:rsidR="00107644" w:rsidRPr="00733A6B">
              <w:t>: Superior efficacy and</w:t>
            </w:r>
          </w:p>
          <w:p w:rsidR="00107644" w:rsidRPr="00733A6B" w:rsidRDefault="00107644" w:rsidP="00400672">
            <w:pPr>
              <w:pStyle w:val="ListBullet"/>
            </w:pPr>
            <w:r w:rsidRPr="00733A6B">
              <w:t>inferior safety of trifluridine/tipiracil</w:t>
            </w:r>
          </w:p>
          <w:p w:rsidR="0090743A" w:rsidRPr="00733A6B" w:rsidRDefault="00107644" w:rsidP="00400672">
            <w:pPr>
              <w:pStyle w:val="ListBullet"/>
            </w:pPr>
            <w:proofErr w:type="gramStart"/>
            <w:r w:rsidRPr="00733A6B">
              <w:t>compared</w:t>
            </w:r>
            <w:proofErr w:type="gramEnd"/>
            <w:r w:rsidRPr="00733A6B">
              <w:t xml:space="preserve"> with BSC.</w:t>
            </w:r>
          </w:p>
        </w:tc>
        <w:tc>
          <w:tcPr>
            <w:tcW w:w="5354" w:type="dxa"/>
          </w:tcPr>
          <w:p w:rsidR="00107644" w:rsidRPr="00733A6B" w:rsidRDefault="00107644" w:rsidP="00400672">
            <w:pPr>
              <w:rPr>
                <w:rFonts w:ascii="Arial" w:hAnsi="Arial" w:cs="Arial"/>
                <w:sz w:val="20"/>
              </w:rPr>
            </w:pPr>
            <w:r w:rsidRPr="00733A6B">
              <w:rPr>
                <w:rFonts w:ascii="Arial" w:hAnsi="Arial" w:cs="Arial"/>
                <w:sz w:val="20"/>
              </w:rPr>
              <w:t>There was no change to the clinical claim from March 2017 resubmission. The PBAC previously accepted the claim of superior comparativeeffectiveness and inferior safety. However the PBAC</w:t>
            </w:r>
            <w:r w:rsidR="00EF0B3E" w:rsidRPr="00733A6B">
              <w:rPr>
                <w:rFonts w:ascii="Arial" w:hAnsi="Arial" w:cs="Arial"/>
                <w:sz w:val="20"/>
              </w:rPr>
              <w:t xml:space="preserve"> </w:t>
            </w:r>
            <w:r w:rsidRPr="00733A6B">
              <w:rPr>
                <w:rFonts w:ascii="Arial" w:hAnsi="Arial" w:cs="Arial"/>
                <w:sz w:val="20"/>
              </w:rPr>
              <w:t>considered the magnitude of benefit to be modest.</w:t>
            </w:r>
          </w:p>
          <w:p w:rsidR="0090743A" w:rsidRPr="00733A6B" w:rsidRDefault="0090743A" w:rsidP="00400672">
            <w:pPr>
              <w:rPr>
                <w:rFonts w:ascii="Arial" w:hAnsi="Arial" w:cs="Arial"/>
                <w:sz w:val="20"/>
              </w:rPr>
            </w:pPr>
          </w:p>
        </w:tc>
      </w:tr>
      <w:tr w:rsidR="0090743A" w:rsidRPr="00733A6B" w:rsidTr="00363695">
        <w:trPr>
          <w:trHeight w:val="433"/>
        </w:trPr>
        <w:tc>
          <w:tcPr>
            <w:tcW w:w="2127" w:type="dxa"/>
            <w:vMerge/>
          </w:tcPr>
          <w:p w:rsidR="0090743A" w:rsidRPr="00733A6B" w:rsidRDefault="0090743A" w:rsidP="00400672">
            <w:pPr>
              <w:rPr>
                <w:rFonts w:ascii="Arial" w:hAnsi="Arial" w:cs="Arial"/>
                <w:sz w:val="20"/>
              </w:rPr>
            </w:pPr>
          </w:p>
        </w:tc>
        <w:tc>
          <w:tcPr>
            <w:tcW w:w="2409" w:type="dxa"/>
            <w:vMerge/>
          </w:tcPr>
          <w:p w:rsidR="0090743A" w:rsidRPr="00733A6B" w:rsidRDefault="0090743A" w:rsidP="00400672">
            <w:pPr>
              <w:rPr>
                <w:rFonts w:ascii="Arial" w:hAnsi="Arial" w:cs="Arial"/>
                <w:sz w:val="20"/>
              </w:rPr>
            </w:pPr>
          </w:p>
        </w:tc>
        <w:tc>
          <w:tcPr>
            <w:tcW w:w="2126" w:type="dxa"/>
            <w:vMerge/>
          </w:tcPr>
          <w:p w:rsidR="0090743A" w:rsidRPr="00733A6B" w:rsidRDefault="0090743A" w:rsidP="00400672">
            <w:pPr>
              <w:rPr>
                <w:rFonts w:ascii="Arial" w:hAnsi="Arial" w:cs="Arial"/>
                <w:sz w:val="20"/>
              </w:rPr>
            </w:pPr>
          </w:p>
        </w:tc>
        <w:tc>
          <w:tcPr>
            <w:tcW w:w="3827" w:type="dxa"/>
          </w:tcPr>
          <w:p w:rsidR="00107644" w:rsidRPr="00733A6B" w:rsidRDefault="0090743A" w:rsidP="00400672">
            <w:pPr>
              <w:pStyle w:val="ListBullet"/>
            </w:pPr>
            <w:r w:rsidRPr="00733A6B">
              <w:t>Economic claim</w:t>
            </w:r>
            <w:r w:rsidR="00107644" w:rsidRPr="00733A6B">
              <w:t>: Cost-utility analysis of</w:t>
            </w:r>
          </w:p>
          <w:p w:rsidR="0090743A" w:rsidRPr="00733A6B" w:rsidRDefault="00107644" w:rsidP="00400672">
            <w:pPr>
              <w:pStyle w:val="ListBullet"/>
            </w:pPr>
            <w:proofErr w:type="gramStart"/>
            <w:r w:rsidRPr="00733A6B">
              <w:t>trifluridine/tipiracil</w:t>
            </w:r>
            <w:proofErr w:type="gramEnd"/>
            <w:r w:rsidRPr="00733A6B">
              <w:t>.</w:t>
            </w:r>
          </w:p>
        </w:tc>
        <w:tc>
          <w:tcPr>
            <w:tcW w:w="5354" w:type="dxa"/>
          </w:tcPr>
          <w:p w:rsidR="0090743A" w:rsidRPr="00733A6B" w:rsidRDefault="00107644" w:rsidP="00400672">
            <w:pPr>
              <w:rPr>
                <w:rFonts w:ascii="Arial" w:hAnsi="Arial" w:cs="Arial"/>
                <w:sz w:val="20"/>
              </w:rPr>
            </w:pPr>
            <w:r w:rsidRPr="00733A6B">
              <w:rPr>
                <w:rFonts w:ascii="Arial" w:hAnsi="Arial" w:cs="Arial"/>
                <w:sz w:val="20"/>
              </w:rPr>
              <w:t>The PBAC noted that the economic model incorporated a reduced price for trifluridine/tipiracil from the March 2017 resubmission. However the PBAC considered that the base case ICER presented in the submission was uncertain and that the true ICER would be higher than what would be considered cost-effective.</w:t>
            </w:r>
          </w:p>
          <w:p w:rsidR="00A47B38" w:rsidRPr="00733A6B" w:rsidRDefault="00A47B38" w:rsidP="00400672">
            <w:pPr>
              <w:rPr>
                <w:rFonts w:ascii="Arial" w:hAnsi="Arial" w:cs="Arial"/>
                <w:sz w:val="20"/>
              </w:rPr>
            </w:pPr>
          </w:p>
        </w:tc>
      </w:tr>
      <w:tr w:rsidR="0090743A" w:rsidRPr="00733A6B" w:rsidTr="00363695">
        <w:trPr>
          <w:trHeight w:val="433"/>
        </w:trPr>
        <w:tc>
          <w:tcPr>
            <w:tcW w:w="2127" w:type="dxa"/>
            <w:vMerge/>
          </w:tcPr>
          <w:p w:rsidR="0090743A" w:rsidRPr="00733A6B" w:rsidRDefault="0090743A" w:rsidP="00400672">
            <w:pPr>
              <w:rPr>
                <w:rFonts w:ascii="Arial" w:hAnsi="Arial" w:cs="Arial"/>
                <w:sz w:val="20"/>
              </w:rPr>
            </w:pPr>
          </w:p>
        </w:tc>
        <w:tc>
          <w:tcPr>
            <w:tcW w:w="2409" w:type="dxa"/>
            <w:vMerge/>
          </w:tcPr>
          <w:p w:rsidR="0090743A" w:rsidRPr="00733A6B" w:rsidRDefault="0090743A" w:rsidP="00400672">
            <w:pPr>
              <w:rPr>
                <w:rFonts w:ascii="Arial" w:hAnsi="Arial" w:cs="Arial"/>
                <w:sz w:val="20"/>
              </w:rPr>
            </w:pPr>
          </w:p>
        </w:tc>
        <w:tc>
          <w:tcPr>
            <w:tcW w:w="2126" w:type="dxa"/>
            <w:vMerge/>
          </w:tcPr>
          <w:p w:rsidR="0090743A" w:rsidRPr="00733A6B" w:rsidRDefault="0090743A" w:rsidP="00400672">
            <w:pPr>
              <w:rPr>
                <w:rFonts w:ascii="Arial" w:hAnsi="Arial" w:cs="Arial"/>
                <w:sz w:val="20"/>
              </w:rPr>
            </w:pPr>
          </w:p>
        </w:tc>
        <w:tc>
          <w:tcPr>
            <w:tcW w:w="3827" w:type="dxa"/>
          </w:tcPr>
          <w:p w:rsidR="0090743A" w:rsidRPr="00733A6B" w:rsidRDefault="0090743A" w:rsidP="00400672">
            <w:pPr>
              <w:pStyle w:val="ListBullet"/>
            </w:pPr>
            <w:r w:rsidRPr="00733A6B">
              <w:t>Sponsor’s comments</w:t>
            </w:r>
            <w:r w:rsidR="000965FE" w:rsidRPr="00733A6B">
              <w:t>.</w:t>
            </w:r>
          </w:p>
        </w:tc>
        <w:tc>
          <w:tcPr>
            <w:tcW w:w="5354" w:type="dxa"/>
          </w:tcPr>
          <w:p w:rsidR="00E51CD9" w:rsidRPr="00733A6B" w:rsidRDefault="00E51CD9" w:rsidP="00400672">
            <w:pPr>
              <w:rPr>
                <w:rFonts w:ascii="Arial" w:hAnsi="Arial" w:cs="Arial"/>
                <w:sz w:val="20"/>
              </w:rPr>
            </w:pPr>
            <w:r w:rsidRPr="00733A6B">
              <w:rPr>
                <w:rFonts w:ascii="Arial" w:hAnsi="Arial" w:cs="Arial"/>
                <w:sz w:val="20"/>
              </w:rPr>
              <w:t xml:space="preserve">Servier will address the uncertainties raised by PBAC. </w:t>
            </w:r>
          </w:p>
          <w:p w:rsidR="0090743A" w:rsidRPr="00733A6B" w:rsidRDefault="0090743A" w:rsidP="00400672">
            <w:pPr>
              <w:rPr>
                <w:rFonts w:ascii="Arial" w:hAnsi="Arial" w:cs="Arial"/>
                <w:sz w:val="20"/>
              </w:rPr>
            </w:pPr>
          </w:p>
        </w:tc>
      </w:tr>
      <w:tr w:rsidR="00363695" w:rsidRPr="00733A6B" w:rsidTr="009233B8">
        <w:trPr>
          <w:trHeight w:val="433"/>
        </w:trPr>
        <w:tc>
          <w:tcPr>
            <w:tcW w:w="2127" w:type="dxa"/>
            <w:vMerge w:val="restart"/>
          </w:tcPr>
          <w:p w:rsidR="00363695" w:rsidRPr="00733A6B" w:rsidRDefault="00363695" w:rsidP="00400672">
            <w:pPr>
              <w:pStyle w:val="Title"/>
              <w:jc w:val="left"/>
              <w:rPr>
                <w:rFonts w:cs="Arial"/>
                <w:b w:val="0"/>
              </w:rPr>
            </w:pPr>
            <w:r w:rsidRPr="00733A6B">
              <w:rPr>
                <w:rFonts w:cs="Arial"/>
                <w:b w:val="0"/>
              </w:rPr>
              <w:t xml:space="preserve">VINFLUNINE </w:t>
            </w:r>
          </w:p>
          <w:p w:rsidR="00363695" w:rsidRPr="00733A6B" w:rsidRDefault="00363695" w:rsidP="00400672">
            <w:pPr>
              <w:pStyle w:val="Title"/>
              <w:jc w:val="left"/>
              <w:rPr>
                <w:rFonts w:cs="Arial"/>
                <w:b w:val="0"/>
              </w:rPr>
            </w:pPr>
          </w:p>
          <w:p w:rsidR="00363695" w:rsidRPr="00733A6B" w:rsidRDefault="00363695" w:rsidP="00400672">
            <w:pPr>
              <w:pStyle w:val="Title"/>
              <w:jc w:val="left"/>
              <w:rPr>
                <w:rFonts w:cs="Arial"/>
                <w:b w:val="0"/>
              </w:rPr>
            </w:pPr>
            <w:r w:rsidRPr="00733A6B">
              <w:rPr>
                <w:rFonts w:cs="Arial"/>
                <w:b w:val="0"/>
              </w:rPr>
              <w:t>Solution concentrate (as ditartrat</w:t>
            </w:r>
            <w:r w:rsidR="00400672" w:rsidRPr="00733A6B">
              <w:rPr>
                <w:rFonts w:cs="Arial"/>
                <w:b w:val="0"/>
              </w:rPr>
              <w:t>e) for I.V. infusion 50 mg in 2 </w:t>
            </w:r>
            <w:r w:rsidRPr="00733A6B">
              <w:rPr>
                <w:rFonts w:cs="Arial"/>
                <w:b w:val="0"/>
              </w:rPr>
              <w:t xml:space="preserve">mL </w:t>
            </w:r>
          </w:p>
          <w:p w:rsidR="00400672" w:rsidRPr="00733A6B" w:rsidRDefault="00400672" w:rsidP="00400672">
            <w:pPr>
              <w:pStyle w:val="Title"/>
              <w:jc w:val="left"/>
              <w:rPr>
                <w:rFonts w:cs="Arial"/>
                <w:b w:val="0"/>
              </w:rPr>
            </w:pPr>
          </w:p>
          <w:p w:rsidR="00400672" w:rsidRPr="00733A6B" w:rsidRDefault="00400672" w:rsidP="00400672">
            <w:pPr>
              <w:pStyle w:val="Title"/>
              <w:jc w:val="left"/>
              <w:rPr>
                <w:rFonts w:cs="Arial"/>
                <w:b w:val="0"/>
              </w:rPr>
            </w:pPr>
          </w:p>
          <w:p w:rsidR="00400672" w:rsidRPr="00733A6B" w:rsidRDefault="00400672" w:rsidP="00400672">
            <w:pPr>
              <w:pStyle w:val="Title"/>
              <w:jc w:val="left"/>
              <w:rPr>
                <w:rFonts w:cs="Arial"/>
                <w:b w:val="0"/>
              </w:rPr>
            </w:pPr>
          </w:p>
          <w:p w:rsidR="00363695" w:rsidRPr="00733A6B" w:rsidRDefault="00363695" w:rsidP="00400672">
            <w:pPr>
              <w:pStyle w:val="Title"/>
              <w:jc w:val="left"/>
              <w:rPr>
                <w:rFonts w:cs="Arial"/>
                <w:b w:val="0"/>
              </w:rPr>
            </w:pPr>
            <w:r w:rsidRPr="00733A6B">
              <w:rPr>
                <w:rFonts w:cs="Arial"/>
                <w:b w:val="0"/>
              </w:rPr>
              <w:lastRenderedPageBreak/>
              <w:t xml:space="preserve">Solution concentrate (as ditartrate) for I.V. infusion 250 mg in 10mL </w:t>
            </w:r>
          </w:p>
          <w:p w:rsidR="00363695" w:rsidRPr="00733A6B" w:rsidRDefault="00363695" w:rsidP="00400672">
            <w:pPr>
              <w:pStyle w:val="Title"/>
              <w:jc w:val="left"/>
              <w:rPr>
                <w:rFonts w:cs="Arial"/>
                <w:b w:val="0"/>
              </w:rPr>
            </w:pPr>
          </w:p>
          <w:p w:rsidR="00363695" w:rsidRPr="00733A6B" w:rsidRDefault="00363695" w:rsidP="00400672">
            <w:pPr>
              <w:pStyle w:val="Title"/>
              <w:jc w:val="left"/>
              <w:rPr>
                <w:rFonts w:cs="Arial"/>
                <w:b w:val="0"/>
              </w:rPr>
            </w:pPr>
            <w:r w:rsidRPr="00733A6B">
              <w:rPr>
                <w:rFonts w:cs="Arial"/>
                <w:b w:val="0"/>
              </w:rPr>
              <w:t xml:space="preserve">Javlor® </w:t>
            </w:r>
          </w:p>
          <w:p w:rsidR="00363695" w:rsidRPr="00733A6B" w:rsidRDefault="00363695" w:rsidP="00400672">
            <w:pPr>
              <w:pStyle w:val="Title"/>
              <w:jc w:val="left"/>
              <w:rPr>
                <w:rFonts w:cs="Arial"/>
                <w:b w:val="0"/>
              </w:rPr>
            </w:pPr>
          </w:p>
          <w:p w:rsidR="00363695" w:rsidRPr="00733A6B" w:rsidRDefault="00363695" w:rsidP="00400672">
            <w:pPr>
              <w:pStyle w:val="Title"/>
              <w:jc w:val="left"/>
              <w:rPr>
                <w:rFonts w:cs="Arial"/>
                <w:b w:val="0"/>
              </w:rPr>
            </w:pPr>
            <w:r w:rsidRPr="00733A6B">
              <w:rPr>
                <w:rFonts w:cs="Arial"/>
                <w:b w:val="0"/>
              </w:rPr>
              <w:t>Pierre Fabre Medicament Australia Pty Ltd</w:t>
            </w:r>
          </w:p>
          <w:p w:rsidR="00EB377B" w:rsidRPr="00733A6B" w:rsidRDefault="00EB377B" w:rsidP="00400672">
            <w:pPr>
              <w:pStyle w:val="Title"/>
              <w:jc w:val="left"/>
              <w:rPr>
                <w:rFonts w:cs="Arial"/>
                <w:b w:val="0"/>
              </w:rPr>
            </w:pPr>
          </w:p>
          <w:p w:rsidR="00EB377B" w:rsidRPr="00733A6B" w:rsidRDefault="00EB377B" w:rsidP="00400672">
            <w:pPr>
              <w:pStyle w:val="Title"/>
              <w:jc w:val="left"/>
              <w:rPr>
                <w:rFonts w:cs="Arial"/>
                <w:b w:val="0"/>
              </w:rPr>
            </w:pPr>
            <w:r w:rsidRPr="00733A6B">
              <w:rPr>
                <w:rFonts w:cs="Arial"/>
                <w:b w:val="0"/>
              </w:rPr>
              <w:t>New listing</w:t>
            </w:r>
          </w:p>
          <w:p w:rsidR="00363695" w:rsidRPr="00733A6B" w:rsidRDefault="00363695" w:rsidP="00400672">
            <w:pPr>
              <w:pStyle w:val="Title"/>
              <w:jc w:val="left"/>
              <w:rPr>
                <w:rFonts w:cs="Arial"/>
                <w:b w:val="0"/>
              </w:rPr>
            </w:pPr>
          </w:p>
          <w:p w:rsidR="00363695" w:rsidRPr="00733A6B" w:rsidRDefault="00363695" w:rsidP="00400672">
            <w:pPr>
              <w:contextualSpacing/>
              <w:rPr>
                <w:rFonts w:ascii="Arial" w:hAnsi="Arial" w:cs="Arial"/>
                <w:sz w:val="20"/>
                <w:highlight w:val="yellow"/>
              </w:rPr>
            </w:pPr>
            <w:r w:rsidRPr="00733A6B">
              <w:rPr>
                <w:rFonts w:ascii="Arial" w:hAnsi="Arial" w:cs="Arial"/>
                <w:sz w:val="20"/>
              </w:rPr>
              <w:t>(Major Submission)</w:t>
            </w:r>
          </w:p>
        </w:tc>
        <w:tc>
          <w:tcPr>
            <w:tcW w:w="2409" w:type="dxa"/>
            <w:vMerge w:val="restart"/>
          </w:tcPr>
          <w:p w:rsidR="00363695" w:rsidRPr="00733A6B" w:rsidRDefault="00063619" w:rsidP="00400672">
            <w:pPr>
              <w:rPr>
                <w:rFonts w:ascii="Arial" w:hAnsi="Arial" w:cs="Arial"/>
                <w:sz w:val="20"/>
              </w:rPr>
            </w:pPr>
            <w:r w:rsidRPr="00733A6B">
              <w:rPr>
                <w:rFonts w:ascii="Arial" w:hAnsi="Arial" w:cs="Arial"/>
                <w:sz w:val="20"/>
              </w:rPr>
              <w:lastRenderedPageBreak/>
              <w:t>Treatment of adult patients with advanced or metastatic transitional cell carcinoma of the urothelial tract after failure of a prior platinum-containing regimen.</w:t>
            </w:r>
          </w:p>
        </w:tc>
        <w:tc>
          <w:tcPr>
            <w:tcW w:w="2126" w:type="dxa"/>
            <w:vMerge w:val="restart"/>
          </w:tcPr>
          <w:p w:rsidR="00363695" w:rsidRPr="00733A6B" w:rsidRDefault="00E74274" w:rsidP="00400672">
            <w:pPr>
              <w:rPr>
                <w:rFonts w:ascii="Arial" w:hAnsi="Arial" w:cs="Arial"/>
                <w:sz w:val="20"/>
              </w:rPr>
            </w:pPr>
            <w:r w:rsidRPr="00733A6B">
              <w:rPr>
                <w:rFonts w:ascii="Arial" w:hAnsi="Arial" w:cs="Arial"/>
                <w:sz w:val="20"/>
              </w:rPr>
              <w:t>VINFLUNINE is not currently PBS listed.</w:t>
            </w:r>
          </w:p>
        </w:tc>
        <w:tc>
          <w:tcPr>
            <w:tcW w:w="3827" w:type="dxa"/>
          </w:tcPr>
          <w:p w:rsidR="00363695" w:rsidRPr="00733A6B" w:rsidRDefault="00363695" w:rsidP="00400672">
            <w:pPr>
              <w:contextualSpacing/>
              <w:rPr>
                <w:rFonts w:ascii="Arial" w:hAnsi="Arial" w:cs="Arial"/>
                <w:sz w:val="20"/>
              </w:rPr>
            </w:pPr>
            <w:r w:rsidRPr="00733A6B">
              <w:rPr>
                <w:rFonts w:ascii="Arial" w:hAnsi="Arial" w:cs="Arial"/>
                <w:sz w:val="20"/>
              </w:rPr>
              <w:t>Resubmission to request a Section 100 (Efficient Funding of Chemotherapy) listing for the treatment of locally advanced or metastatic transitional cell carcinoma of the urothelial tract after failure of a prior platinum-containing regimen.</w:t>
            </w:r>
          </w:p>
        </w:tc>
        <w:tc>
          <w:tcPr>
            <w:tcW w:w="5354" w:type="dxa"/>
            <w:shd w:val="clear" w:color="auto" w:fill="auto"/>
          </w:tcPr>
          <w:p w:rsidR="00363695" w:rsidRPr="00733A6B" w:rsidRDefault="009233B8" w:rsidP="00400672">
            <w:pPr>
              <w:rPr>
                <w:rFonts w:ascii="Arial" w:hAnsi="Arial" w:cs="Arial"/>
                <w:sz w:val="20"/>
              </w:rPr>
            </w:pPr>
            <w:r w:rsidRPr="00733A6B">
              <w:rPr>
                <w:rFonts w:ascii="Arial" w:hAnsi="Arial" w:cs="Arial"/>
                <w:sz w:val="20"/>
              </w:rPr>
              <w:t>The PBAC did not recommend listing vinflunine on the PBS for the treatment of locally advanced or metastatic transitional cell carcinoma of the urothelial tract (TCCU), on the basis of lack of evidence of an incremental gain in overall survival versus currently available alternative active chemotherapy. The PBAC noted that compared with best supportive care (BSC) the incremental benefit was small for both overall survival and progression free survival</w:t>
            </w:r>
            <w:r w:rsidR="00190DCD" w:rsidRPr="00733A6B">
              <w:rPr>
                <w:rFonts w:ascii="Arial" w:hAnsi="Arial" w:cs="Arial"/>
                <w:sz w:val="20"/>
              </w:rPr>
              <w:t xml:space="preserve"> in the context of the</w:t>
            </w:r>
            <w:r w:rsidRPr="00733A6B">
              <w:rPr>
                <w:rFonts w:ascii="Arial" w:hAnsi="Arial" w:cs="Arial"/>
                <w:sz w:val="20"/>
              </w:rPr>
              <w:t xml:space="preserve"> significant toxicity of the </w:t>
            </w:r>
            <w:r w:rsidRPr="00733A6B">
              <w:rPr>
                <w:rFonts w:ascii="Arial" w:hAnsi="Arial" w:cs="Arial"/>
                <w:sz w:val="20"/>
              </w:rPr>
              <w:lastRenderedPageBreak/>
              <w:t xml:space="preserve">drug. The PBAC concluded that the </w:t>
            </w:r>
            <w:r w:rsidR="00190DCD" w:rsidRPr="00733A6B">
              <w:rPr>
                <w:rFonts w:ascii="Arial" w:hAnsi="Arial" w:cs="Arial"/>
                <w:sz w:val="20"/>
              </w:rPr>
              <w:t xml:space="preserve">incremental </w:t>
            </w:r>
            <w:r w:rsidRPr="00733A6B">
              <w:rPr>
                <w:rFonts w:ascii="Arial" w:hAnsi="Arial" w:cs="Arial"/>
                <w:sz w:val="20"/>
              </w:rPr>
              <w:t>cost-effectiveness ratio</w:t>
            </w:r>
            <w:r w:rsidR="00190DCD" w:rsidRPr="00733A6B">
              <w:rPr>
                <w:rFonts w:ascii="Arial" w:hAnsi="Arial" w:cs="Arial"/>
                <w:sz w:val="20"/>
              </w:rPr>
              <w:t xml:space="preserve"> (ICER)</w:t>
            </w:r>
            <w:r w:rsidRPr="00733A6B">
              <w:rPr>
                <w:rFonts w:ascii="Arial" w:hAnsi="Arial" w:cs="Arial"/>
                <w:sz w:val="20"/>
              </w:rPr>
              <w:t xml:space="preserve"> was high and underestimated in the submission.</w:t>
            </w:r>
          </w:p>
        </w:tc>
      </w:tr>
      <w:tr w:rsidR="0090743A" w:rsidRPr="00733A6B" w:rsidTr="00363695">
        <w:trPr>
          <w:trHeight w:val="433"/>
        </w:trPr>
        <w:tc>
          <w:tcPr>
            <w:tcW w:w="2127" w:type="dxa"/>
            <w:vMerge/>
          </w:tcPr>
          <w:p w:rsidR="0090743A" w:rsidRPr="00733A6B" w:rsidRDefault="0090743A" w:rsidP="00400672">
            <w:pPr>
              <w:contextualSpacing/>
              <w:rPr>
                <w:rFonts w:ascii="Arial" w:hAnsi="Arial" w:cs="Arial"/>
                <w:sz w:val="20"/>
              </w:rPr>
            </w:pPr>
          </w:p>
        </w:tc>
        <w:tc>
          <w:tcPr>
            <w:tcW w:w="2409" w:type="dxa"/>
            <w:vMerge/>
          </w:tcPr>
          <w:p w:rsidR="0090743A" w:rsidRPr="00733A6B" w:rsidRDefault="0090743A" w:rsidP="00400672">
            <w:pPr>
              <w:rPr>
                <w:rFonts w:ascii="Arial" w:hAnsi="Arial" w:cs="Arial"/>
                <w:sz w:val="20"/>
              </w:rPr>
            </w:pPr>
          </w:p>
        </w:tc>
        <w:tc>
          <w:tcPr>
            <w:tcW w:w="2126" w:type="dxa"/>
            <w:vMerge/>
          </w:tcPr>
          <w:p w:rsidR="0090743A" w:rsidRPr="00733A6B" w:rsidRDefault="0090743A" w:rsidP="00400672">
            <w:pPr>
              <w:rPr>
                <w:rFonts w:ascii="Arial" w:hAnsi="Arial" w:cs="Arial"/>
                <w:sz w:val="20"/>
              </w:rPr>
            </w:pPr>
          </w:p>
        </w:tc>
        <w:tc>
          <w:tcPr>
            <w:tcW w:w="3827" w:type="dxa"/>
          </w:tcPr>
          <w:p w:rsidR="0090743A" w:rsidRPr="00733A6B" w:rsidRDefault="0090743A" w:rsidP="00400672">
            <w:pPr>
              <w:pStyle w:val="ListBullet"/>
            </w:pPr>
            <w:r w:rsidRPr="00733A6B">
              <w:t>Comparator:</w:t>
            </w:r>
            <w:r w:rsidR="006B6C4A" w:rsidRPr="00733A6B">
              <w:t xml:space="preserve"> best supportive care (BSC) and active chemotherapy</w:t>
            </w:r>
            <w:r w:rsidR="006B6C4A" w:rsidRPr="00733A6B">
              <w:tab/>
            </w:r>
          </w:p>
        </w:tc>
        <w:tc>
          <w:tcPr>
            <w:tcW w:w="5354" w:type="dxa"/>
          </w:tcPr>
          <w:p w:rsidR="0090743A" w:rsidRPr="00733A6B" w:rsidRDefault="006B6C4A" w:rsidP="00400672">
            <w:pPr>
              <w:rPr>
                <w:rFonts w:ascii="Arial" w:hAnsi="Arial" w:cs="Arial"/>
                <w:sz w:val="20"/>
              </w:rPr>
            </w:pPr>
            <w:r w:rsidRPr="00733A6B">
              <w:rPr>
                <w:rFonts w:ascii="Arial" w:hAnsi="Arial" w:cs="Arial"/>
                <w:sz w:val="20"/>
              </w:rPr>
              <w:t>Active chemotherapy but not best supportive care accepted as relevant comparator.</w:t>
            </w:r>
          </w:p>
        </w:tc>
      </w:tr>
      <w:tr w:rsidR="0090743A" w:rsidRPr="00733A6B" w:rsidTr="00363695">
        <w:trPr>
          <w:trHeight w:val="433"/>
        </w:trPr>
        <w:tc>
          <w:tcPr>
            <w:tcW w:w="2127" w:type="dxa"/>
            <w:vMerge/>
          </w:tcPr>
          <w:p w:rsidR="0090743A" w:rsidRPr="00733A6B" w:rsidRDefault="0090743A" w:rsidP="00400672">
            <w:pPr>
              <w:rPr>
                <w:rFonts w:ascii="Arial" w:hAnsi="Arial" w:cs="Arial"/>
                <w:sz w:val="20"/>
              </w:rPr>
            </w:pPr>
          </w:p>
        </w:tc>
        <w:tc>
          <w:tcPr>
            <w:tcW w:w="2409" w:type="dxa"/>
            <w:vMerge/>
          </w:tcPr>
          <w:p w:rsidR="0090743A" w:rsidRPr="00733A6B" w:rsidRDefault="0090743A" w:rsidP="00400672">
            <w:pPr>
              <w:rPr>
                <w:rFonts w:ascii="Arial" w:hAnsi="Arial" w:cs="Arial"/>
                <w:sz w:val="20"/>
              </w:rPr>
            </w:pPr>
          </w:p>
        </w:tc>
        <w:tc>
          <w:tcPr>
            <w:tcW w:w="2126" w:type="dxa"/>
            <w:vMerge/>
          </w:tcPr>
          <w:p w:rsidR="0090743A" w:rsidRPr="00733A6B" w:rsidRDefault="0090743A" w:rsidP="00400672">
            <w:pPr>
              <w:rPr>
                <w:rFonts w:ascii="Arial" w:hAnsi="Arial" w:cs="Arial"/>
                <w:sz w:val="20"/>
              </w:rPr>
            </w:pPr>
          </w:p>
        </w:tc>
        <w:tc>
          <w:tcPr>
            <w:tcW w:w="3827" w:type="dxa"/>
          </w:tcPr>
          <w:p w:rsidR="006B6C4A" w:rsidRPr="00733A6B" w:rsidRDefault="0090743A" w:rsidP="00400672">
            <w:pPr>
              <w:pStyle w:val="ListBullet"/>
            </w:pPr>
            <w:r w:rsidRPr="00733A6B">
              <w:t>Clinical claim</w:t>
            </w:r>
            <w:r w:rsidR="006B6C4A" w:rsidRPr="00733A6B">
              <w:t>: superior efficacy and</w:t>
            </w:r>
          </w:p>
          <w:p w:rsidR="006B6C4A" w:rsidRPr="00733A6B" w:rsidRDefault="006B6C4A" w:rsidP="00400672">
            <w:pPr>
              <w:pStyle w:val="ListBullet"/>
            </w:pPr>
            <w:r w:rsidRPr="00733A6B">
              <w:t>inferior safety of vinflunine</w:t>
            </w:r>
          </w:p>
          <w:p w:rsidR="0090743A" w:rsidRPr="00733A6B" w:rsidRDefault="006B6C4A" w:rsidP="00400672">
            <w:pPr>
              <w:pStyle w:val="ListBullet"/>
            </w:pPr>
            <w:proofErr w:type="gramStart"/>
            <w:r w:rsidRPr="00733A6B">
              <w:t>compared</w:t>
            </w:r>
            <w:proofErr w:type="gramEnd"/>
            <w:r w:rsidRPr="00733A6B">
              <w:t xml:space="preserve"> with BSC. No clinical claim was made regarding vinflunine compared to active chemotherapy.</w:t>
            </w:r>
          </w:p>
        </w:tc>
        <w:tc>
          <w:tcPr>
            <w:tcW w:w="5354" w:type="dxa"/>
          </w:tcPr>
          <w:p w:rsidR="0090743A" w:rsidRPr="00733A6B" w:rsidRDefault="006B6C4A" w:rsidP="00400672">
            <w:pPr>
              <w:rPr>
                <w:rFonts w:ascii="Arial" w:hAnsi="Arial" w:cs="Arial"/>
                <w:sz w:val="20"/>
              </w:rPr>
            </w:pPr>
            <w:r w:rsidRPr="00733A6B">
              <w:rPr>
                <w:rFonts w:ascii="Arial" w:hAnsi="Arial" w:cs="Arial"/>
                <w:sz w:val="20"/>
              </w:rPr>
              <w:t>The PBAC considered there was insufficient evidence of an incremental gain in overall survival compared with BSC. The PBAC further noted that the incremental effectiveness of vinflunine versus the relevant comparator of alternative active chemotherapy was unknown, but considered it likely to be insignificant.</w:t>
            </w:r>
          </w:p>
        </w:tc>
      </w:tr>
      <w:tr w:rsidR="0090743A" w:rsidRPr="00733A6B" w:rsidTr="00363695">
        <w:trPr>
          <w:trHeight w:val="433"/>
        </w:trPr>
        <w:tc>
          <w:tcPr>
            <w:tcW w:w="2127" w:type="dxa"/>
            <w:vMerge/>
          </w:tcPr>
          <w:p w:rsidR="0090743A" w:rsidRPr="00733A6B" w:rsidRDefault="0090743A" w:rsidP="00400672">
            <w:pPr>
              <w:rPr>
                <w:rFonts w:ascii="Arial" w:hAnsi="Arial" w:cs="Arial"/>
                <w:sz w:val="20"/>
              </w:rPr>
            </w:pPr>
          </w:p>
        </w:tc>
        <w:tc>
          <w:tcPr>
            <w:tcW w:w="2409" w:type="dxa"/>
            <w:vMerge/>
          </w:tcPr>
          <w:p w:rsidR="0090743A" w:rsidRPr="00733A6B" w:rsidRDefault="0090743A" w:rsidP="00400672">
            <w:pPr>
              <w:rPr>
                <w:rFonts w:ascii="Arial" w:hAnsi="Arial" w:cs="Arial"/>
                <w:sz w:val="20"/>
              </w:rPr>
            </w:pPr>
          </w:p>
        </w:tc>
        <w:tc>
          <w:tcPr>
            <w:tcW w:w="2126" w:type="dxa"/>
            <w:vMerge/>
          </w:tcPr>
          <w:p w:rsidR="0090743A" w:rsidRPr="00733A6B" w:rsidRDefault="0090743A" w:rsidP="00400672">
            <w:pPr>
              <w:rPr>
                <w:rFonts w:ascii="Arial" w:hAnsi="Arial" w:cs="Arial"/>
                <w:sz w:val="20"/>
              </w:rPr>
            </w:pPr>
          </w:p>
        </w:tc>
        <w:tc>
          <w:tcPr>
            <w:tcW w:w="3827" w:type="dxa"/>
          </w:tcPr>
          <w:p w:rsidR="0090743A" w:rsidRPr="00733A6B" w:rsidRDefault="0090743A" w:rsidP="00400672">
            <w:pPr>
              <w:pStyle w:val="ListBullet"/>
            </w:pPr>
            <w:r w:rsidRPr="00733A6B">
              <w:t>Economic claim</w:t>
            </w:r>
            <w:r w:rsidR="006B6C4A" w:rsidRPr="00733A6B">
              <w:t>: cost-utility analysis of vinflunine using a ‘mixed’ 50:50 ITT/mITT population.</w:t>
            </w:r>
          </w:p>
        </w:tc>
        <w:tc>
          <w:tcPr>
            <w:tcW w:w="5354" w:type="dxa"/>
          </w:tcPr>
          <w:p w:rsidR="0090743A" w:rsidRPr="00733A6B" w:rsidRDefault="006B6C4A" w:rsidP="00400672">
            <w:pPr>
              <w:rPr>
                <w:rFonts w:ascii="Arial" w:hAnsi="Arial" w:cs="Arial"/>
                <w:sz w:val="20"/>
              </w:rPr>
            </w:pPr>
            <w:r w:rsidRPr="00733A6B">
              <w:rPr>
                <w:rFonts w:ascii="Arial" w:hAnsi="Arial" w:cs="Arial"/>
                <w:sz w:val="20"/>
              </w:rPr>
              <w:t xml:space="preserve">The PBAC considered that use of the mixed ITT/mITT population in the economic model favoured vinflunine. The PBAC maintained its views from November 2011 and November 2015 that the ITT population is the appropriate basis for assessing the clinical and cost effectiveness of vinflunine versus BSC. The PBAC considered that the cost-effectiveness ratio for the ITT population was high and highly uncertain, given the Committee’s concerns about the uncertainty in the incremental gain in overall survival of vinflunine over BSC. The PBAC noted </w:t>
            </w:r>
            <w:r w:rsidR="00EF0B3E" w:rsidRPr="00733A6B">
              <w:rPr>
                <w:rFonts w:ascii="Arial" w:hAnsi="Arial" w:cs="Arial"/>
                <w:sz w:val="20"/>
              </w:rPr>
              <w:t xml:space="preserve">the </w:t>
            </w:r>
            <w:r w:rsidRPr="00733A6B">
              <w:rPr>
                <w:rFonts w:ascii="Arial" w:hAnsi="Arial" w:cs="Arial"/>
                <w:sz w:val="20"/>
              </w:rPr>
              <w:t>absence of an informative cost-utility analysis versus active chemotherapy.</w:t>
            </w:r>
          </w:p>
          <w:p w:rsidR="00190DCD" w:rsidRPr="00733A6B" w:rsidRDefault="00190DCD" w:rsidP="00400672">
            <w:pPr>
              <w:rPr>
                <w:rFonts w:ascii="Arial" w:hAnsi="Arial" w:cs="Arial"/>
                <w:sz w:val="20"/>
              </w:rPr>
            </w:pPr>
          </w:p>
        </w:tc>
      </w:tr>
      <w:tr w:rsidR="0090743A" w:rsidRPr="00733A6B" w:rsidTr="000965FE">
        <w:trPr>
          <w:trHeight w:val="433"/>
        </w:trPr>
        <w:tc>
          <w:tcPr>
            <w:tcW w:w="2127" w:type="dxa"/>
            <w:vMerge/>
          </w:tcPr>
          <w:p w:rsidR="0090743A" w:rsidRPr="00733A6B" w:rsidRDefault="0090743A" w:rsidP="00400672">
            <w:pPr>
              <w:rPr>
                <w:rFonts w:ascii="Arial" w:hAnsi="Arial" w:cs="Arial"/>
                <w:sz w:val="20"/>
              </w:rPr>
            </w:pPr>
          </w:p>
        </w:tc>
        <w:tc>
          <w:tcPr>
            <w:tcW w:w="2409" w:type="dxa"/>
            <w:vMerge/>
          </w:tcPr>
          <w:p w:rsidR="0090743A" w:rsidRPr="00733A6B" w:rsidRDefault="0090743A" w:rsidP="00400672">
            <w:pPr>
              <w:rPr>
                <w:rFonts w:ascii="Arial" w:hAnsi="Arial" w:cs="Arial"/>
                <w:sz w:val="20"/>
              </w:rPr>
            </w:pPr>
          </w:p>
        </w:tc>
        <w:tc>
          <w:tcPr>
            <w:tcW w:w="2126" w:type="dxa"/>
            <w:vMerge/>
          </w:tcPr>
          <w:p w:rsidR="0090743A" w:rsidRPr="00733A6B" w:rsidRDefault="0090743A" w:rsidP="00400672">
            <w:pPr>
              <w:rPr>
                <w:rFonts w:ascii="Arial" w:hAnsi="Arial" w:cs="Arial"/>
                <w:sz w:val="20"/>
              </w:rPr>
            </w:pPr>
          </w:p>
        </w:tc>
        <w:tc>
          <w:tcPr>
            <w:tcW w:w="3827" w:type="dxa"/>
          </w:tcPr>
          <w:p w:rsidR="0090743A" w:rsidRPr="00733A6B" w:rsidRDefault="0090743A" w:rsidP="00400672">
            <w:pPr>
              <w:pStyle w:val="ListBullet"/>
            </w:pPr>
            <w:r w:rsidRPr="00733A6B">
              <w:t>Sponsor’s comments</w:t>
            </w:r>
            <w:r w:rsidR="000965FE" w:rsidRPr="00733A6B">
              <w:t>.</w:t>
            </w:r>
          </w:p>
          <w:p w:rsidR="006B6C4A" w:rsidRPr="00733A6B" w:rsidRDefault="006B6C4A" w:rsidP="00400672">
            <w:pPr>
              <w:pStyle w:val="ListBullet"/>
            </w:pPr>
          </w:p>
        </w:tc>
        <w:tc>
          <w:tcPr>
            <w:tcW w:w="5354" w:type="dxa"/>
            <w:shd w:val="clear" w:color="auto" w:fill="auto"/>
          </w:tcPr>
          <w:p w:rsidR="0090743A" w:rsidRPr="00733A6B" w:rsidRDefault="000965FE" w:rsidP="00400672">
            <w:pPr>
              <w:rPr>
                <w:rFonts w:ascii="Arial" w:hAnsi="Arial" w:cs="Arial"/>
                <w:sz w:val="20"/>
              </w:rPr>
            </w:pPr>
            <w:r w:rsidRPr="00733A6B">
              <w:rPr>
                <w:rFonts w:ascii="Arial" w:hAnsi="Arial" w:cs="Arial"/>
                <w:sz w:val="20"/>
              </w:rPr>
              <w:t>The sponsor had no comment.</w:t>
            </w:r>
          </w:p>
        </w:tc>
      </w:tr>
    </w:tbl>
    <w:p w:rsidR="00E743F8" w:rsidRPr="00733A6B" w:rsidRDefault="00E743F8" w:rsidP="00400672">
      <w:pPr>
        <w:pStyle w:val="Title"/>
        <w:jc w:val="left"/>
        <w:rPr>
          <w:rFonts w:cs="Arial"/>
        </w:rPr>
      </w:pPr>
    </w:p>
    <w:sectPr w:rsidR="00E743F8" w:rsidRPr="00733A6B" w:rsidSect="000805C6">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FC5" w:rsidRDefault="00E74FC5">
      <w:r>
        <w:separator/>
      </w:r>
    </w:p>
  </w:endnote>
  <w:endnote w:type="continuationSeparator" w:id="0">
    <w:p w:rsidR="00E74FC5" w:rsidRDefault="00E7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CA" w:rsidRDefault="00DE13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FC5" w:rsidRDefault="00E74FC5" w:rsidP="000805C6">
    <w:pPr>
      <w:pStyle w:val="Footer"/>
      <w:jc w:val="right"/>
    </w:pPr>
  </w:p>
  <w:p w:rsidR="00E74FC5" w:rsidRPr="000805C6" w:rsidRDefault="00E74FC5" w:rsidP="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DE13CA">
      <w:rPr>
        <w:rFonts w:ascii="Arial" w:hAnsi="Arial" w:cs="Arial"/>
        <w:noProof/>
        <w:sz w:val="22"/>
      </w:rPr>
      <w:t>4</w:t>
    </w:r>
    <w:r w:rsidRPr="000805C6">
      <w:rPr>
        <w:rFonts w:ascii="Arial" w:hAnsi="Arial" w:cs="Arial"/>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FC5" w:rsidRDefault="00E74FC5">
    <w:pPr>
      <w:pStyle w:val="Footer"/>
      <w:jc w:val="right"/>
    </w:pPr>
  </w:p>
  <w:p w:rsidR="00E74FC5" w:rsidRPr="000805C6" w:rsidRDefault="00E74FC5">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DE13CA">
      <w:rPr>
        <w:rFonts w:ascii="Arial" w:hAnsi="Arial" w:cs="Arial"/>
        <w:noProof/>
        <w:sz w:val="22"/>
      </w:rPr>
      <w:t>1</w:t>
    </w:r>
    <w:r w:rsidRPr="000805C6">
      <w:rPr>
        <w:rFonts w:ascii="Arial" w:hAnsi="Arial" w:cs="Arial"/>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FC5" w:rsidRDefault="00E74FC5">
      <w:r>
        <w:separator/>
      </w:r>
    </w:p>
  </w:footnote>
  <w:footnote w:type="continuationSeparator" w:id="0">
    <w:p w:rsidR="00E74FC5" w:rsidRDefault="00E74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CA" w:rsidRDefault="00DE13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FC5" w:rsidRDefault="00F61AD2" w:rsidP="000805C6">
    <w:pPr>
      <w:pStyle w:val="Header"/>
      <w:jc w:val="center"/>
      <w:rPr>
        <w:rFonts w:ascii="Arial" w:hAnsi="Arial" w:cs="Arial"/>
        <w:b/>
        <w:sz w:val="20"/>
      </w:rPr>
    </w:pPr>
    <w:r>
      <w:rPr>
        <w:rFonts w:ascii="Arial" w:hAnsi="Arial" w:cs="Arial"/>
        <w:b/>
        <w:sz w:val="20"/>
      </w:rPr>
      <w:t>JULY 2017</w:t>
    </w:r>
    <w:r w:rsidR="00E74FC5">
      <w:rPr>
        <w:rFonts w:ascii="Arial" w:hAnsi="Arial" w:cs="Arial"/>
        <w:b/>
        <w:sz w:val="20"/>
      </w:rPr>
      <w:t xml:space="preserve"> PBAC OUTCOMES – SUBSEQUENT</w:t>
    </w:r>
    <w:r w:rsidR="00E74FC5" w:rsidRPr="004C071C">
      <w:rPr>
        <w:rFonts w:ascii="Arial" w:hAnsi="Arial" w:cs="Arial"/>
        <w:b/>
        <w:sz w:val="20"/>
      </w:rPr>
      <w:t xml:space="preserve"> DECISIONS NOT TO RECOMMEND</w:t>
    </w:r>
  </w:p>
  <w:p w:rsidR="00E74FC5" w:rsidRPr="004C071C" w:rsidRDefault="00E74FC5" w:rsidP="000805C6">
    <w:pPr>
      <w:pStyle w:val="Header"/>
      <w:jc w:val="center"/>
      <w:rPr>
        <w:rFonts w:ascii="Arial" w:hAnsi="Arial" w:cs="Arial"/>
        <w:b/>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FC5" w:rsidRDefault="00BF5555" w:rsidP="0029069A">
    <w:pPr>
      <w:pStyle w:val="Header"/>
      <w:jc w:val="center"/>
      <w:rPr>
        <w:rFonts w:ascii="Arial" w:hAnsi="Arial" w:cs="Arial"/>
        <w:b/>
        <w:sz w:val="20"/>
      </w:rPr>
    </w:pPr>
    <w:r>
      <w:rPr>
        <w:rFonts w:ascii="Arial" w:hAnsi="Arial" w:cs="Arial"/>
        <w:b/>
        <w:sz w:val="20"/>
      </w:rPr>
      <w:t>JULY</w:t>
    </w:r>
    <w:r w:rsidR="00E74FC5" w:rsidRPr="0063020E">
      <w:rPr>
        <w:rFonts w:ascii="Arial" w:hAnsi="Arial" w:cs="Arial"/>
        <w:b/>
        <w:sz w:val="20"/>
      </w:rPr>
      <w:t xml:space="preserve"> 2017 </w:t>
    </w:r>
    <w:r w:rsidR="00E74FC5" w:rsidRPr="00A24F2E">
      <w:rPr>
        <w:rFonts w:ascii="Arial" w:hAnsi="Arial" w:cs="Arial"/>
        <w:b/>
        <w:sz w:val="20"/>
      </w:rPr>
      <w:t xml:space="preserve">PBAC MEETING </w:t>
    </w:r>
    <w:r w:rsidR="00E74FC5">
      <w:rPr>
        <w:rFonts w:ascii="Arial" w:hAnsi="Arial" w:cs="Arial"/>
        <w:b/>
        <w:sz w:val="20"/>
      </w:rPr>
      <w:t>PBAC OUTCOMES – SUBSEQUENT</w:t>
    </w:r>
    <w:r w:rsidR="00E74FC5" w:rsidRPr="004C071C">
      <w:rPr>
        <w:rFonts w:ascii="Arial" w:hAnsi="Arial" w:cs="Arial"/>
        <w:b/>
        <w:sz w:val="20"/>
      </w:rPr>
      <w:t xml:space="preserve"> DECISIONS NOT TO RECOMMEND</w:t>
    </w:r>
  </w:p>
  <w:p w:rsidR="00E74FC5" w:rsidRPr="004C071C" w:rsidRDefault="00E74FC5" w:rsidP="00613975">
    <w:pPr>
      <w:pStyle w:val="Header"/>
      <w:jc w:val="center"/>
      <w:rPr>
        <w:rFonts w:ascii="Arial" w:hAnsi="Arial" w:cs="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34204E4"/>
    <w:lvl w:ilvl="0">
      <w:start w:val="1"/>
      <w:numFmt w:val="bullet"/>
      <w:lvlText w:val=""/>
      <w:lvlJc w:val="left"/>
      <w:pPr>
        <w:tabs>
          <w:tab w:val="num" w:pos="360"/>
        </w:tabs>
        <w:ind w:left="360" w:hanging="360"/>
      </w:pPr>
      <w:rPr>
        <w:rFonts w:ascii="Symbol" w:hAnsi="Symbol" w:hint="default"/>
      </w:rPr>
    </w:lvl>
  </w:abstractNum>
  <w:abstractNum w:abstractNumId="1">
    <w:nsid w:val="0EA32E10"/>
    <w:multiLevelType w:val="hybridMultilevel"/>
    <w:tmpl w:val="A380E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E530E9"/>
    <w:multiLevelType w:val="hybridMultilevel"/>
    <w:tmpl w:val="08ECA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BF12DE7"/>
    <w:multiLevelType w:val="hybridMultilevel"/>
    <w:tmpl w:val="C78E1162"/>
    <w:lvl w:ilvl="0" w:tplc="FFFFFFFF">
      <w:start w:val="1"/>
      <w:numFmt w:val="bullet"/>
      <w:lvlText w:val=""/>
      <w:lvlJc w:val="left"/>
      <w:pPr>
        <w:tabs>
          <w:tab w:val="num" w:pos="1211"/>
        </w:tabs>
        <w:ind w:left="1211" w:hanging="851"/>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BFE1CB1"/>
    <w:multiLevelType w:val="hybridMultilevel"/>
    <w:tmpl w:val="CDC21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5BB3FC9"/>
    <w:multiLevelType w:val="hybridMultilevel"/>
    <w:tmpl w:val="753C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0E45B9D"/>
    <w:multiLevelType w:val="hybridMultilevel"/>
    <w:tmpl w:val="B6CAE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3532F5D"/>
    <w:multiLevelType w:val="hybridMultilevel"/>
    <w:tmpl w:val="9048B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C9C6F2B"/>
    <w:multiLevelType w:val="hybridMultilevel"/>
    <w:tmpl w:val="4D122A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498414F6"/>
    <w:multiLevelType w:val="hybridMultilevel"/>
    <w:tmpl w:val="5E1A699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nsid w:val="61A41D69"/>
    <w:multiLevelType w:val="singleLevel"/>
    <w:tmpl w:val="04090011"/>
    <w:lvl w:ilvl="0">
      <w:start w:val="1"/>
      <w:numFmt w:val="decimal"/>
      <w:lvlText w:val="%1)"/>
      <w:lvlJc w:val="left"/>
      <w:pPr>
        <w:tabs>
          <w:tab w:val="num" w:pos="360"/>
        </w:tabs>
        <w:ind w:left="360" w:hanging="360"/>
      </w:pPr>
      <w:rPr>
        <w:rFonts w:hint="default"/>
      </w:rPr>
    </w:lvl>
  </w:abstractNum>
  <w:abstractNum w:abstractNumId="11">
    <w:nsid w:val="784D033C"/>
    <w:multiLevelType w:val="multilevel"/>
    <w:tmpl w:val="F942F08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0"/>
  </w:num>
  <w:num w:numId="3">
    <w:abstractNumId w:val="9"/>
  </w:num>
  <w:num w:numId="4">
    <w:abstractNumId w:val="8"/>
  </w:num>
  <w:num w:numId="5">
    <w:abstractNumId w:val="3"/>
  </w:num>
  <w:num w:numId="6">
    <w:abstractNumId w:val="11"/>
  </w:num>
  <w:num w:numId="7">
    <w:abstractNumId w:val="6"/>
  </w:num>
  <w:num w:numId="8">
    <w:abstractNumId w:val="4"/>
  </w:num>
  <w:num w:numId="9">
    <w:abstractNumId w:val="1"/>
  </w:num>
  <w:num w:numId="10">
    <w:abstractNumId w:val="7"/>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27D"/>
    <w:rsid w:val="0000024E"/>
    <w:rsid w:val="0000028A"/>
    <w:rsid w:val="00004F71"/>
    <w:rsid w:val="0001162E"/>
    <w:rsid w:val="00014389"/>
    <w:rsid w:val="00016ABD"/>
    <w:rsid w:val="00024634"/>
    <w:rsid w:val="00024F1C"/>
    <w:rsid w:val="00030555"/>
    <w:rsid w:val="00031E49"/>
    <w:rsid w:val="000327A0"/>
    <w:rsid w:val="00044066"/>
    <w:rsid w:val="00046D30"/>
    <w:rsid w:val="000632B7"/>
    <w:rsid w:val="00063619"/>
    <w:rsid w:val="00063F01"/>
    <w:rsid w:val="000703F3"/>
    <w:rsid w:val="0007616D"/>
    <w:rsid w:val="000805C6"/>
    <w:rsid w:val="00084E9F"/>
    <w:rsid w:val="0009305C"/>
    <w:rsid w:val="00094052"/>
    <w:rsid w:val="000965FE"/>
    <w:rsid w:val="000B4313"/>
    <w:rsid w:val="000B6738"/>
    <w:rsid w:val="000D1304"/>
    <w:rsid w:val="000D3717"/>
    <w:rsid w:val="000E406F"/>
    <w:rsid w:val="000E52C4"/>
    <w:rsid w:val="0010394D"/>
    <w:rsid w:val="001047FA"/>
    <w:rsid w:val="00107644"/>
    <w:rsid w:val="00120488"/>
    <w:rsid w:val="001214A2"/>
    <w:rsid w:val="0012463D"/>
    <w:rsid w:val="00125770"/>
    <w:rsid w:val="0013153C"/>
    <w:rsid w:val="00134B27"/>
    <w:rsid w:val="0014225E"/>
    <w:rsid w:val="00144E78"/>
    <w:rsid w:val="00152C38"/>
    <w:rsid w:val="001646D5"/>
    <w:rsid w:val="001664DF"/>
    <w:rsid w:val="00167882"/>
    <w:rsid w:val="00170906"/>
    <w:rsid w:val="001810B2"/>
    <w:rsid w:val="00190DCD"/>
    <w:rsid w:val="001C0908"/>
    <w:rsid w:val="001C41E8"/>
    <w:rsid w:val="001D38D0"/>
    <w:rsid w:val="001F5344"/>
    <w:rsid w:val="002007BA"/>
    <w:rsid w:val="00204DB4"/>
    <w:rsid w:val="002075FB"/>
    <w:rsid w:val="00220228"/>
    <w:rsid w:val="00220C3F"/>
    <w:rsid w:val="00223C4D"/>
    <w:rsid w:val="00224A78"/>
    <w:rsid w:val="00237031"/>
    <w:rsid w:val="00241E9E"/>
    <w:rsid w:val="002440EA"/>
    <w:rsid w:val="002460D4"/>
    <w:rsid w:val="00255313"/>
    <w:rsid w:val="00256ACE"/>
    <w:rsid w:val="002743B5"/>
    <w:rsid w:val="002861D6"/>
    <w:rsid w:val="00287BC5"/>
    <w:rsid w:val="0029069A"/>
    <w:rsid w:val="002A1CF2"/>
    <w:rsid w:val="002A42C5"/>
    <w:rsid w:val="002A46E6"/>
    <w:rsid w:val="002A5152"/>
    <w:rsid w:val="002A7FDE"/>
    <w:rsid w:val="002B3076"/>
    <w:rsid w:val="002E5B33"/>
    <w:rsid w:val="002F0F71"/>
    <w:rsid w:val="002F1167"/>
    <w:rsid w:val="002F5086"/>
    <w:rsid w:val="002F62A6"/>
    <w:rsid w:val="00301066"/>
    <w:rsid w:val="00302B1F"/>
    <w:rsid w:val="00303527"/>
    <w:rsid w:val="00305656"/>
    <w:rsid w:val="00312A6D"/>
    <w:rsid w:val="00312E87"/>
    <w:rsid w:val="0032022B"/>
    <w:rsid w:val="00320F76"/>
    <w:rsid w:val="00322CA5"/>
    <w:rsid w:val="003335F7"/>
    <w:rsid w:val="00337EC3"/>
    <w:rsid w:val="003419C9"/>
    <w:rsid w:val="00347546"/>
    <w:rsid w:val="00356807"/>
    <w:rsid w:val="00363695"/>
    <w:rsid w:val="00367CA3"/>
    <w:rsid w:val="00382C49"/>
    <w:rsid w:val="0039594A"/>
    <w:rsid w:val="0039641E"/>
    <w:rsid w:val="003A5F7D"/>
    <w:rsid w:val="003A74F3"/>
    <w:rsid w:val="003B6CFA"/>
    <w:rsid w:val="003C3492"/>
    <w:rsid w:val="003E2DEC"/>
    <w:rsid w:val="003E3C69"/>
    <w:rsid w:val="003E5ACC"/>
    <w:rsid w:val="003F12A1"/>
    <w:rsid w:val="003F7763"/>
    <w:rsid w:val="00400672"/>
    <w:rsid w:val="004074CD"/>
    <w:rsid w:val="00416C9D"/>
    <w:rsid w:val="00432244"/>
    <w:rsid w:val="004344D9"/>
    <w:rsid w:val="0043706A"/>
    <w:rsid w:val="00446F57"/>
    <w:rsid w:val="0044777F"/>
    <w:rsid w:val="00460500"/>
    <w:rsid w:val="00467522"/>
    <w:rsid w:val="00475539"/>
    <w:rsid w:val="00476130"/>
    <w:rsid w:val="00477C5E"/>
    <w:rsid w:val="004874F1"/>
    <w:rsid w:val="0049673E"/>
    <w:rsid w:val="004968F4"/>
    <w:rsid w:val="004A05A0"/>
    <w:rsid w:val="004A3010"/>
    <w:rsid w:val="004A7506"/>
    <w:rsid w:val="004A76AD"/>
    <w:rsid w:val="004C071C"/>
    <w:rsid w:val="004C0A09"/>
    <w:rsid w:val="004C3700"/>
    <w:rsid w:val="004C5D47"/>
    <w:rsid w:val="004C69D5"/>
    <w:rsid w:val="004D08BF"/>
    <w:rsid w:val="004D2DFC"/>
    <w:rsid w:val="004E157F"/>
    <w:rsid w:val="004E4BB3"/>
    <w:rsid w:val="004E58AE"/>
    <w:rsid w:val="004E61E5"/>
    <w:rsid w:val="004E7F92"/>
    <w:rsid w:val="004F22AF"/>
    <w:rsid w:val="004F53A2"/>
    <w:rsid w:val="005060C3"/>
    <w:rsid w:val="005156A1"/>
    <w:rsid w:val="00524927"/>
    <w:rsid w:val="00532907"/>
    <w:rsid w:val="005334F6"/>
    <w:rsid w:val="00533EC6"/>
    <w:rsid w:val="00551121"/>
    <w:rsid w:val="0055335A"/>
    <w:rsid w:val="00556A91"/>
    <w:rsid w:val="0056006F"/>
    <w:rsid w:val="00565922"/>
    <w:rsid w:val="00575B97"/>
    <w:rsid w:val="00583A1F"/>
    <w:rsid w:val="00591511"/>
    <w:rsid w:val="005A3049"/>
    <w:rsid w:val="005A4700"/>
    <w:rsid w:val="005B1359"/>
    <w:rsid w:val="005C51C0"/>
    <w:rsid w:val="005C529C"/>
    <w:rsid w:val="005C583B"/>
    <w:rsid w:val="005D0350"/>
    <w:rsid w:val="005E4292"/>
    <w:rsid w:val="00606B1D"/>
    <w:rsid w:val="00613975"/>
    <w:rsid w:val="0062060A"/>
    <w:rsid w:val="006227C5"/>
    <w:rsid w:val="0063020E"/>
    <w:rsid w:val="00636B27"/>
    <w:rsid w:val="006378CF"/>
    <w:rsid w:val="00655D5C"/>
    <w:rsid w:val="0066582B"/>
    <w:rsid w:val="00670168"/>
    <w:rsid w:val="00674FEC"/>
    <w:rsid w:val="00680915"/>
    <w:rsid w:val="00695D28"/>
    <w:rsid w:val="006A4BE8"/>
    <w:rsid w:val="006B6C4A"/>
    <w:rsid w:val="006C196C"/>
    <w:rsid w:val="006C1CD8"/>
    <w:rsid w:val="006E0C7B"/>
    <w:rsid w:val="006F35CB"/>
    <w:rsid w:val="006F3F91"/>
    <w:rsid w:val="006F40D1"/>
    <w:rsid w:val="00704ABF"/>
    <w:rsid w:val="00704E74"/>
    <w:rsid w:val="00720097"/>
    <w:rsid w:val="00724DE9"/>
    <w:rsid w:val="00733A6B"/>
    <w:rsid w:val="00735D52"/>
    <w:rsid w:val="00743998"/>
    <w:rsid w:val="00751128"/>
    <w:rsid w:val="0075364D"/>
    <w:rsid w:val="007572F6"/>
    <w:rsid w:val="007605AB"/>
    <w:rsid w:val="0076473F"/>
    <w:rsid w:val="00770B47"/>
    <w:rsid w:val="007717F4"/>
    <w:rsid w:val="0078027D"/>
    <w:rsid w:val="00784382"/>
    <w:rsid w:val="0079164A"/>
    <w:rsid w:val="007A29FA"/>
    <w:rsid w:val="007A361E"/>
    <w:rsid w:val="007C0EDE"/>
    <w:rsid w:val="007C72A3"/>
    <w:rsid w:val="007D085A"/>
    <w:rsid w:val="007D2A0B"/>
    <w:rsid w:val="0080031A"/>
    <w:rsid w:val="0080046E"/>
    <w:rsid w:val="008068F2"/>
    <w:rsid w:val="008156C6"/>
    <w:rsid w:val="00815D6B"/>
    <w:rsid w:val="0081702A"/>
    <w:rsid w:val="00821E75"/>
    <w:rsid w:val="00826000"/>
    <w:rsid w:val="00831D04"/>
    <w:rsid w:val="00842F8C"/>
    <w:rsid w:val="00850073"/>
    <w:rsid w:val="0086299E"/>
    <w:rsid w:val="0086603E"/>
    <w:rsid w:val="008A5929"/>
    <w:rsid w:val="008B0E22"/>
    <w:rsid w:val="008B7160"/>
    <w:rsid w:val="008C185A"/>
    <w:rsid w:val="008C6E23"/>
    <w:rsid w:val="008D676E"/>
    <w:rsid w:val="008D72BA"/>
    <w:rsid w:val="008E0965"/>
    <w:rsid w:val="008E2C25"/>
    <w:rsid w:val="009044AF"/>
    <w:rsid w:val="0090743A"/>
    <w:rsid w:val="009121E7"/>
    <w:rsid w:val="009224BE"/>
    <w:rsid w:val="0092251B"/>
    <w:rsid w:val="009233B8"/>
    <w:rsid w:val="00924932"/>
    <w:rsid w:val="00934AD5"/>
    <w:rsid w:val="00937667"/>
    <w:rsid w:val="00941DE2"/>
    <w:rsid w:val="00942B77"/>
    <w:rsid w:val="00947987"/>
    <w:rsid w:val="00957F9F"/>
    <w:rsid w:val="00972B1B"/>
    <w:rsid w:val="00974D3D"/>
    <w:rsid w:val="0098248A"/>
    <w:rsid w:val="00991AFC"/>
    <w:rsid w:val="009A1127"/>
    <w:rsid w:val="009A2B54"/>
    <w:rsid w:val="009A75BE"/>
    <w:rsid w:val="009B2F04"/>
    <w:rsid w:val="009B4F6F"/>
    <w:rsid w:val="009B6E95"/>
    <w:rsid w:val="009B735A"/>
    <w:rsid w:val="009B7CBE"/>
    <w:rsid w:val="009C73A4"/>
    <w:rsid w:val="009C7FD0"/>
    <w:rsid w:val="009D1D30"/>
    <w:rsid w:val="009E299C"/>
    <w:rsid w:val="009E6539"/>
    <w:rsid w:val="009E7B18"/>
    <w:rsid w:val="009F0ED6"/>
    <w:rsid w:val="009F42BE"/>
    <w:rsid w:val="009F45E2"/>
    <w:rsid w:val="009F5E7E"/>
    <w:rsid w:val="00A02424"/>
    <w:rsid w:val="00A07C14"/>
    <w:rsid w:val="00A1128E"/>
    <w:rsid w:val="00A24F2E"/>
    <w:rsid w:val="00A26805"/>
    <w:rsid w:val="00A3308E"/>
    <w:rsid w:val="00A42D88"/>
    <w:rsid w:val="00A47B38"/>
    <w:rsid w:val="00A55002"/>
    <w:rsid w:val="00A56ED7"/>
    <w:rsid w:val="00A62091"/>
    <w:rsid w:val="00A62D7E"/>
    <w:rsid w:val="00A706C5"/>
    <w:rsid w:val="00A74BD3"/>
    <w:rsid w:val="00A90F44"/>
    <w:rsid w:val="00A913CA"/>
    <w:rsid w:val="00A96C72"/>
    <w:rsid w:val="00AB70E2"/>
    <w:rsid w:val="00AC3048"/>
    <w:rsid w:val="00AD3357"/>
    <w:rsid w:val="00AE346B"/>
    <w:rsid w:val="00AE3F52"/>
    <w:rsid w:val="00AF4A3C"/>
    <w:rsid w:val="00B10521"/>
    <w:rsid w:val="00B143EA"/>
    <w:rsid w:val="00B14733"/>
    <w:rsid w:val="00B16DB7"/>
    <w:rsid w:val="00B26FF7"/>
    <w:rsid w:val="00B43E46"/>
    <w:rsid w:val="00B44CA8"/>
    <w:rsid w:val="00B77A97"/>
    <w:rsid w:val="00B8053C"/>
    <w:rsid w:val="00B80FE3"/>
    <w:rsid w:val="00B870AE"/>
    <w:rsid w:val="00BC0474"/>
    <w:rsid w:val="00BC1FB7"/>
    <w:rsid w:val="00BC55C3"/>
    <w:rsid w:val="00BD6EBF"/>
    <w:rsid w:val="00BE1DE9"/>
    <w:rsid w:val="00BE58B8"/>
    <w:rsid w:val="00BE7D88"/>
    <w:rsid w:val="00BF5555"/>
    <w:rsid w:val="00C03153"/>
    <w:rsid w:val="00C110F0"/>
    <w:rsid w:val="00C2561B"/>
    <w:rsid w:val="00C26A1C"/>
    <w:rsid w:val="00C333D1"/>
    <w:rsid w:val="00C355A7"/>
    <w:rsid w:val="00C4170F"/>
    <w:rsid w:val="00C4326C"/>
    <w:rsid w:val="00C44762"/>
    <w:rsid w:val="00C46277"/>
    <w:rsid w:val="00C464A5"/>
    <w:rsid w:val="00C50685"/>
    <w:rsid w:val="00C763E4"/>
    <w:rsid w:val="00C80290"/>
    <w:rsid w:val="00C80F0B"/>
    <w:rsid w:val="00C9315F"/>
    <w:rsid w:val="00C9450F"/>
    <w:rsid w:val="00C94838"/>
    <w:rsid w:val="00C94D2C"/>
    <w:rsid w:val="00CA0C65"/>
    <w:rsid w:val="00CA2B5C"/>
    <w:rsid w:val="00CD3345"/>
    <w:rsid w:val="00CE3D26"/>
    <w:rsid w:val="00D05D78"/>
    <w:rsid w:val="00D06895"/>
    <w:rsid w:val="00D230A2"/>
    <w:rsid w:val="00D3127D"/>
    <w:rsid w:val="00D34711"/>
    <w:rsid w:val="00D36ACF"/>
    <w:rsid w:val="00D5330C"/>
    <w:rsid w:val="00D641C2"/>
    <w:rsid w:val="00D65DDC"/>
    <w:rsid w:val="00D66839"/>
    <w:rsid w:val="00D85166"/>
    <w:rsid w:val="00D905C6"/>
    <w:rsid w:val="00D976F0"/>
    <w:rsid w:val="00DB0BAD"/>
    <w:rsid w:val="00DB3394"/>
    <w:rsid w:val="00DB589E"/>
    <w:rsid w:val="00DB63C7"/>
    <w:rsid w:val="00DC2A80"/>
    <w:rsid w:val="00DD5B1D"/>
    <w:rsid w:val="00DD66E2"/>
    <w:rsid w:val="00DE13CA"/>
    <w:rsid w:val="00DE6421"/>
    <w:rsid w:val="00DE6C5F"/>
    <w:rsid w:val="00DF1E51"/>
    <w:rsid w:val="00DF703C"/>
    <w:rsid w:val="00E07E8B"/>
    <w:rsid w:val="00E16367"/>
    <w:rsid w:val="00E224FF"/>
    <w:rsid w:val="00E22F6D"/>
    <w:rsid w:val="00E239BA"/>
    <w:rsid w:val="00E331E0"/>
    <w:rsid w:val="00E47E9A"/>
    <w:rsid w:val="00E508BC"/>
    <w:rsid w:val="00E51CD9"/>
    <w:rsid w:val="00E5280A"/>
    <w:rsid w:val="00E53027"/>
    <w:rsid w:val="00E60ACD"/>
    <w:rsid w:val="00E74274"/>
    <w:rsid w:val="00E743F8"/>
    <w:rsid w:val="00E74FC5"/>
    <w:rsid w:val="00E7686D"/>
    <w:rsid w:val="00E77EAA"/>
    <w:rsid w:val="00E83F44"/>
    <w:rsid w:val="00E86609"/>
    <w:rsid w:val="00E90E35"/>
    <w:rsid w:val="00EA02A3"/>
    <w:rsid w:val="00EA6994"/>
    <w:rsid w:val="00EB013F"/>
    <w:rsid w:val="00EB377B"/>
    <w:rsid w:val="00EE1E65"/>
    <w:rsid w:val="00EE5442"/>
    <w:rsid w:val="00EF026E"/>
    <w:rsid w:val="00EF0B3E"/>
    <w:rsid w:val="00F06CBF"/>
    <w:rsid w:val="00F075EB"/>
    <w:rsid w:val="00F20487"/>
    <w:rsid w:val="00F215D2"/>
    <w:rsid w:val="00F23F38"/>
    <w:rsid w:val="00F25545"/>
    <w:rsid w:val="00F40665"/>
    <w:rsid w:val="00F43732"/>
    <w:rsid w:val="00F52E0A"/>
    <w:rsid w:val="00F61AD2"/>
    <w:rsid w:val="00F65F8E"/>
    <w:rsid w:val="00F72B54"/>
    <w:rsid w:val="00F75206"/>
    <w:rsid w:val="00F82673"/>
    <w:rsid w:val="00F83FA8"/>
    <w:rsid w:val="00F924D9"/>
    <w:rsid w:val="00FC4900"/>
    <w:rsid w:val="00FD6C20"/>
    <w:rsid w:val="00FD7D78"/>
    <w:rsid w:val="00FE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0965FE"/>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link w:val="TitleChar"/>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basedOn w:val="Normal"/>
    <w:link w:val="ListParagraphChar"/>
    <w:uiPriority w:val="34"/>
    <w:qFormat/>
    <w:rsid w:val="001810B2"/>
    <w:pPr>
      <w:ind w:left="720"/>
      <w:contextualSpacing/>
    </w:pPr>
    <w:rPr>
      <w:szCs w:val="24"/>
    </w:rPr>
  </w:style>
  <w:style w:type="character" w:customStyle="1" w:styleId="ListParagraphChar">
    <w:name w:val="List Paragraph Char"/>
    <w:link w:val="ListParagraph"/>
    <w:uiPriority w:val="34"/>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 w:type="character" w:styleId="CommentReference">
    <w:name w:val="annotation reference"/>
    <w:basedOn w:val="DefaultParagraphFont"/>
    <w:rsid w:val="00460500"/>
    <w:rPr>
      <w:sz w:val="16"/>
      <w:szCs w:val="16"/>
    </w:rPr>
  </w:style>
  <w:style w:type="paragraph" w:styleId="CommentText">
    <w:name w:val="annotation text"/>
    <w:basedOn w:val="Normal"/>
    <w:link w:val="CommentTextChar"/>
    <w:rsid w:val="00460500"/>
    <w:rPr>
      <w:sz w:val="20"/>
    </w:rPr>
  </w:style>
  <w:style w:type="character" w:customStyle="1" w:styleId="CommentTextChar">
    <w:name w:val="Comment Text Char"/>
    <w:basedOn w:val="DefaultParagraphFont"/>
    <w:link w:val="CommentText"/>
    <w:rsid w:val="00460500"/>
  </w:style>
  <w:style w:type="paragraph" w:styleId="CommentSubject">
    <w:name w:val="annotation subject"/>
    <w:basedOn w:val="CommentText"/>
    <w:next w:val="CommentText"/>
    <w:link w:val="CommentSubjectChar"/>
    <w:rsid w:val="00460500"/>
    <w:rPr>
      <w:b/>
      <w:bCs/>
    </w:rPr>
  </w:style>
  <w:style w:type="character" w:customStyle="1" w:styleId="CommentSubjectChar">
    <w:name w:val="Comment Subject Char"/>
    <w:basedOn w:val="CommentTextChar"/>
    <w:link w:val="CommentSubject"/>
    <w:rsid w:val="00460500"/>
    <w:rPr>
      <w:b/>
      <w:bCs/>
    </w:rPr>
  </w:style>
  <w:style w:type="character" w:customStyle="1" w:styleId="TitleChar">
    <w:name w:val="Title Char"/>
    <w:basedOn w:val="DefaultParagraphFont"/>
    <w:link w:val="Title"/>
    <w:rsid w:val="00363695"/>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0965FE"/>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link w:val="TitleChar"/>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basedOn w:val="Normal"/>
    <w:link w:val="ListParagraphChar"/>
    <w:uiPriority w:val="34"/>
    <w:qFormat/>
    <w:rsid w:val="001810B2"/>
    <w:pPr>
      <w:ind w:left="720"/>
      <w:contextualSpacing/>
    </w:pPr>
    <w:rPr>
      <w:szCs w:val="24"/>
    </w:rPr>
  </w:style>
  <w:style w:type="character" w:customStyle="1" w:styleId="ListParagraphChar">
    <w:name w:val="List Paragraph Char"/>
    <w:link w:val="ListParagraph"/>
    <w:uiPriority w:val="34"/>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 w:type="character" w:styleId="CommentReference">
    <w:name w:val="annotation reference"/>
    <w:basedOn w:val="DefaultParagraphFont"/>
    <w:rsid w:val="00460500"/>
    <w:rPr>
      <w:sz w:val="16"/>
      <w:szCs w:val="16"/>
    </w:rPr>
  </w:style>
  <w:style w:type="paragraph" w:styleId="CommentText">
    <w:name w:val="annotation text"/>
    <w:basedOn w:val="Normal"/>
    <w:link w:val="CommentTextChar"/>
    <w:rsid w:val="00460500"/>
    <w:rPr>
      <w:sz w:val="20"/>
    </w:rPr>
  </w:style>
  <w:style w:type="character" w:customStyle="1" w:styleId="CommentTextChar">
    <w:name w:val="Comment Text Char"/>
    <w:basedOn w:val="DefaultParagraphFont"/>
    <w:link w:val="CommentText"/>
    <w:rsid w:val="00460500"/>
  </w:style>
  <w:style w:type="paragraph" w:styleId="CommentSubject">
    <w:name w:val="annotation subject"/>
    <w:basedOn w:val="CommentText"/>
    <w:next w:val="CommentText"/>
    <w:link w:val="CommentSubjectChar"/>
    <w:rsid w:val="00460500"/>
    <w:rPr>
      <w:b/>
      <w:bCs/>
    </w:rPr>
  </w:style>
  <w:style w:type="character" w:customStyle="1" w:styleId="CommentSubjectChar">
    <w:name w:val="Comment Subject Char"/>
    <w:basedOn w:val="CommentTextChar"/>
    <w:link w:val="CommentSubject"/>
    <w:rsid w:val="00460500"/>
    <w:rPr>
      <w:b/>
      <w:bCs/>
    </w:rPr>
  </w:style>
  <w:style w:type="character" w:customStyle="1" w:styleId="TitleChar">
    <w:name w:val="Title Char"/>
    <w:basedOn w:val="DefaultParagraphFont"/>
    <w:link w:val="Title"/>
    <w:rsid w:val="00363695"/>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0661">
      <w:bodyDiv w:val="1"/>
      <w:marLeft w:val="0"/>
      <w:marRight w:val="0"/>
      <w:marTop w:val="0"/>
      <w:marBottom w:val="0"/>
      <w:divBdr>
        <w:top w:val="none" w:sz="0" w:space="0" w:color="auto"/>
        <w:left w:val="none" w:sz="0" w:space="0" w:color="auto"/>
        <w:bottom w:val="none" w:sz="0" w:space="0" w:color="auto"/>
        <w:right w:val="none" w:sz="0" w:space="0" w:color="auto"/>
      </w:divBdr>
    </w:div>
    <w:div w:id="82998889">
      <w:bodyDiv w:val="1"/>
      <w:marLeft w:val="0"/>
      <w:marRight w:val="0"/>
      <w:marTop w:val="0"/>
      <w:marBottom w:val="0"/>
      <w:divBdr>
        <w:top w:val="none" w:sz="0" w:space="0" w:color="auto"/>
        <w:left w:val="none" w:sz="0" w:space="0" w:color="auto"/>
        <w:bottom w:val="none" w:sz="0" w:space="0" w:color="auto"/>
        <w:right w:val="none" w:sz="0" w:space="0" w:color="auto"/>
      </w:divBdr>
      <w:divsChild>
        <w:div w:id="728114355">
          <w:marLeft w:val="0"/>
          <w:marRight w:val="0"/>
          <w:marTop w:val="0"/>
          <w:marBottom w:val="0"/>
          <w:divBdr>
            <w:top w:val="none" w:sz="0" w:space="0" w:color="auto"/>
            <w:left w:val="none" w:sz="0" w:space="0" w:color="auto"/>
            <w:bottom w:val="none" w:sz="0" w:space="0" w:color="auto"/>
            <w:right w:val="none" w:sz="0" w:space="0" w:color="auto"/>
          </w:divBdr>
        </w:div>
      </w:divsChild>
    </w:div>
    <w:div w:id="393938144">
      <w:bodyDiv w:val="1"/>
      <w:marLeft w:val="0"/>
      <w:marRight w:val="0"/>
      <w:marTop w:val="0"/>
      <w:marBottom w:val="0"/>
      <w:divBdr>
        <w:top w:val="none" w:sz="0" w:space="0" w:color="auto"/>
        <w:left w:val="none" w:sz="0" w:space="0" w:color="auto"/>
        <w:bottom w:val="none" w:sz="0" w:space="0" w:color="auto"/>
        <w:right w:val="none" w:sz="0" w:space="0" w:color="auto"/>
      </w:divBdr>
    </w:div>
    <w:div w:id="417556839">
      <w:bodyDiv w:val="1"/>
      <w:marLeft w:val="0"/>
      <w:marRight w:val="0"/>
      <w:marTop w:val="0"/>
      <w:marBottom w:val="0"/>
      <w:divBdr>
        <w:top w:val="none" w:sz="0" w:space="0" w:color="auto"/>
        <w:left w:val="none" w:sz="0" w:space="0" w:color="auto"/>
        <w:bottom w:val="none" w:sz="0" w:space="0" w:color="auto"/>
        <w:right w:val="none" w:sz="0" w:space="0" w:color="auto"/>
      </w:divBdr>
    </w:div>
    <w:div w:id="737243584">
      <w:bodyDiv w:val="1"/>
      <w:marLeft w:val="0"/>
      <w:marRight w:val="0"/>
      <w:marTop w:val="0"/>
      <w:marBottom w:val="0"/>
      <w:divBdr>
        <w:top w:val="none" w:sz="0" w:space="0" w:color="auto"/>
        <w:left w:val="none" w:sz="0" w:space="0" w:color="auto"/>
        <w:bottom w:val="none" w:sz="0" w:space="0" w:color="auto"/>
        <w:right w:val="none" w:sz="0" w:space="0" w:color="auto"/>
      </w:divBdr>
    </w:div>
    <w:div w:id="846987985">
      <w:bodyDiv w:val="1"/>
      <w:marLeft w:val="0"/>
      <w:marRight w:val="0"/>
      <w:marTop w:val="0"/>
      <w:marBottom w:val="0"/>
      <w:divBdr>
        <w:top w:val="none" w:sz="0" w:space="0" w:color="auto"/>
        <w:left w:val="none" w:sz="0" w:space="0" w:color="auto"/>
        <w:bottom w:val="none" w:sz="0" w:space="0" w:color="auto"/>
        <w:right w:val="none" w:sz="0" w:space="0" w:color="auto"/>
      </w:divBdr>
    </w:div>
    <w:div w:id="936983669">
      <w:bodyDiv w:val="1"/>
      <w:marLeft w:val="0"/>
      <w:marRight w:val="0"/>
      <w:marTop w:val="0"/>
      <w:marBottom w:val="0"/>
      <w:divBdr>
        <w:top w:val="none" w:sz="0" w:space="0" w:color="auto"/>
        <w:left w:val="none" w:sz="0" w:space="0" w:color="auto"/>
        <w:bottom w:val="none" w:sz="0" w:space="0" w:color="auto"/>
        <w:right w:val="none" w:sz="0" w:space="0" w:color="auto"/>
      </w:divBdr>
    </w:div>
    <w:div w:id="961495338">
      <w:bodyDiv w:val="1"/>
      <w:marLeft w:val="0"/>
      <w:marRight w:val="0"/>
      <w:marTop w:val="0"/>
      <w:marBottom w:val="0"/>
      <w:divBdr>
        <w:top w:val="none" w:sz="0" w:space="0" w:color="auto"/>
        <w:left w:val="none" w:sz="0" w:space="0" w:color="auto"/>
        <w:bottom w:val="none" w:sz="0" w:space="0" w:color="auto"/>
        <w:right w:val="none" w:sz="0" w:space="0" w:color="auto"/>
      </w:divBdr>
      <w:divsChild>
        <w:div w:id="330333071">
          <w:marLeft w:val="0"/>
          <w:marRight w:val="0"/>
          <w:marTop w:val="0"/>
          <w:marBottom w:val="0"/>
          <w:divBdr>
            <w:top w:val="none" w:sz="0" w:space="0" w:color="auto"/>
            <w:left w:val="none" w:sz="0" w:space="0" w:color="auto"/>
            <w:bottom w:val="none" w:sz="0" w:space="0" w:color="auto"/>
            <w:right w:val="none" w:sz="0" w:space="0" w:color="auto"/>
          </w:divBdr>
          <w:divsChild>
            <w:div w:id="637498246">
              <w:marLeft w:val="0"/>
              <w:marRight w:val="0"/>
              <w:marTop w:val="0"/>
              <w:marBottom w:val="0"/>
              <w:divBdr>
                <w:top w:val="none" w:sz="0" w:space="0" w:color="auto"/>
                <w:left w:val="none" w:sz="0" w:space="0" w:color="auto"/>
                <w:bottom w:val="none" w:sz="0" w:space="0" w:color="auto"/>
                <w:right w:val="none" w:sz="0" w:space="0" w:color="auto"/>
              </w:divBdr>
              <w:divsChild>
                <w:div w:id="141579187">
                  <w:marLeft w:val="0"/>
                  <w:marRight w:val="0"/>
                  <w:marTop w:val="0"/>
                  <w:marBottom w:val="0"/>
                  <w:divBdr>
                    <w:top w:val="none" w:sz="0" w:space="0" w:color="auto"/>
                    <w:left w:val="none" w:sz="0" w:space="0" w:color="auto"/>
                    <w:bottom w:val="none" w:sz="0" w:space="0" w:color="auto"/>
                    <w:right w:val="none" w:sz="0" w:space="0" w:color="auto"/>
                  </w:divBdr>
                  <w:divsChild>
                    <w:div w:id="337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83502">
      <w:bodyDiv w:val="1"/>
      <w:marLeft w:val="0"/>
      <w:marRight w:val="0"/>
      <w:marTop w:val="0"/>
      <w:marBottom w:val="0"/>
      <w:divBdr>
        <w:top w:val="none" w:sz="0" w:space="0" w:color="auto"/>
        <w:left w:val="none" w:sz="0" w:space="0" w:color="auto"/>
        <w:bottom w:val="none" w:sz="0" w:space="0" w:color="auto"/>
        <w:right w:val="none" w:sz="0" w:space="0" w:color="auto"/>
      </w:divBdr>
    </w:div>
    <w:div w:id="1021473491">
      <w:bodyDiv w:val="1"/>
      <w:marLeft w:val="0"/>
      <w:marRight w:val="0"/>
      <w:marTop w:val="0"/>
      <w:marBottom w:val="0"/>
      <w:divBdr>
        <w:top w:val="none" w:sz="0" w:space="0" w:color="auto"/>
        <w:left w:val="none" w:sz="0" w:space="0" w:color="auto"/>
        <w:bottom w:val="none" w:sz="0" w:space="0" w:color="auto"/>
        <w:right w:val="none" w:sz="0" w:space="0" w:color="auto"/>
      </w:divBdr>
    </w:div>
    <w:div w:id="1675231607">
      <w:bodyDiv w:val="1"/>
      <w:marLeft w:val="0"/>
      <w:marRight w:val="0"/>
      <w:marTop w:val="0"/>
      <w:marBottom w:val="0"/>
      <w:divBdr>
        <w:top w:val="none" w:sz="0" w:space="0" w:color="auto"/>
        <w:left w:val="none" w:sz="0" w:space="0" w:color="auto"/>
        <w:bottom w:val="none" w:sz="0" w:space="0" w:color="auto"/>
        <w:right w:val="none" w:sz="0" w:space="0" w:color="auto"/>
      </w:divBdr>
    </w:div>
    <w:div w:id="1682900680">
      <w:bodyDiv w:val="1"/>
      <w:marLeft w:val="0"/>
      <w:marRight w:val="0"/>
      <w:marTop w:val="0"/>
      <w:marBottom w:val="0"/>
      <w:divBdr>
        <w:top w:val="none" w:sz="0" w:space="0" w:color="auto"/>
        <w:left w:val="none" w:sz="0" w:space="0" w:color="auto"/>
        <w:bottom w:val="none" w:sz="0" w:space="0" w:color="auto"/>
        <w:right w:val="none" w:sz="0" w:space="0" w:color="auto"/>
      </w:divBdr>
      <w:divsChild>
        <w:div w:id="1397242686">
          <w:marLeft w:val="0"/>
          <w:marRight w:val="0"/>
          <w:marTop w:val="0"/>
          <w:marBottom w:val="0"/>
          <w:divBdr>
            <w:top w:val="none" w:sz="0" w:space="0" w:color="auto"/>
            <w:left w:val="none" w:sz="0" w:space="0" w:color="auto"/>
            <w:bottom w:val="none" w:sz="0" w:space="0" w:color="auto"/>
            <w:right w:val="none" w:sz="0" w:space="0" w:color="auto"/>
          </w:divBdr>
          <w:divsChild>
            <w:div w:id="1273249715">
              <w:marLeft w:val="0"/>
              <w:marRight w:val="0"/>
              <w:marTop w:val="0"/>
              <w:marBottom w:val="0"/>
              <w:divBdr>
                <w:top w:val="none" w:sz="0" w:space="0" w:color="auto"/>
                <w:left w:val="none" w:sz="0" w:space="0" w:color="auto"/>
                <w:bottom w:val="none" w:sz="0" w:space="0" w:color="auto"/>
                <w:right w:val="none" w:sz="0" w:space="0" w:color="auto"/>
              </w:divBdr>
              <w:divsChild>
                <w:div w:id="245069027">
                  <w:marLeft w:val="0"/>
                  <w:marRight w:val="0"/>
                  <w:marTop w:val="0"/>
                  <w:marBottom w:val="0"/>
                  <w:divBdr>
                    <w:top w:val="none" w:sz="0" w:space="0" w:color="auto"/>
                    <w:left w:val="none" w:sz="0" w:space="0" w:color="auto"/>
                    <w:bottom w:val="none" w:sz="0" w:space="0" w:color="auto"/>
                    <w:right w:val="none" w:sz="0" w:space="0" w:color="auto"/>
                  </w:divBdr>
                  <w:divsChild>
                    <w:div w:id="71358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486251">
      <w:bodyDiv w:val="1"/>
      <w:marLeft w:val="0"/>
      <w:marRight w:val="0"/>
      <w:marTop w:val="0"/>
      <w:marBottom w:val="0"/>
      <w:divBdr>
        <w:top w:val="none" w:sz="0" w:space="0" w:color="auto"/>
        <w:left w:val="none" w:sz="0" w:space="0" w:color="auto"/>
        <w:bottom w:val="none" w:sz="0" w:space="0" w:color="auto"/>
        <w:right w:val="none" w:sz="0" w:space="0" w:color="auto"/>
      </w:divBdr>
    </w:div>
    <w:div w:id="2008828191">
      <w:bodyDiv w:val="1"/>
      <w:marLeft w:val="0"/>
      <w:marRight w:val="0"/>
      <w:marTop w:val="0"/>
      <w:marBottom w:val="0"/>
      <w:divBdr>
        <w:top w:val="none" w:sz="0" w:space="0" w:color="auto"/>
        <w:left w:val="none" w:sz="0" w:space="0" w:color="auto"/>
        <w:bottom w:val="none" w:sz="0" w:space="0" w:color="auto"/>
        <w:right w:val="none" w:sz="0" w:space="0" w:color="auto"/>
      </w:divBdr>
    </w:div>
    <w:div w:id="21020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71991-8392-4353-89A9-D2BF683EF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3033</Words>
  <Characters>18290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2017-03-27T02:52:00Z</dcterms:created>
  <dcterms:modified xsi:type="dcterms:W3CDTF">2017-08-16T23:48:00Z</dcterms:modified>
</cp:coreProperties>
</file>