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409"/>
        <w:gridCol w:w="3261"/>
        <w:gridCol w:w="5953"/>
      </w:tblGrid>
      <w:tr w:rsidR="006D4562" w:rsidRPr="000B6FCE" w:rsidTr="00B412BD">
        <w:trPr>
          <w:trHeight w:val="912"/>
          <w:tblHeader/>
        </w:trPr>
        <w:tc>
          <w:tcPr>
            <w:tcW w:w="3828" w:type="dxa"/>
            <w:tcMar>
              <w:top w:w="28" w:type="dxa"/>
              <w:bottom w:w="28" w:type="dxa"/>
            </w:tcMar>
          </w:tcPr>
          <w:p w:rsidR="006D4562" w:rsidRPr="000B6FCE" w:rsidRDefault="006D4562" w:rsidP="002960C3">
            <w:pPr>
              <w:widowControl w:val="0"/>
              <w:jc w:val="center"/>
              <w:rPr>
                <w:rFonts w:ascii="Arial" w:hAnsi="Arial" w:cs="Arial"/>
                <w:b/>
              </w:rPr>
            </w:pPr>
            <w:r w:rsidRPr="000B6FCE">
              <w:rPr>
                <w:rFonts w:ascii="Arial" w:hAnsi="Arial" w:cs="Arial"/>
                <w:b/>
              </w:rPr>
              <w:t>DRUG NAME, FORM(S), STRENGTH(S), SPONSOR, TYPE OF SUBMISSION</w:t>
            </w:r>
          </w:p>
          <w:p w:rsidR="006D4562" w:rsidRPr="000B6FCE" w:rsidRDefault="006D4562" w:rsidP="002960C3">
            <w:pPr>
              <w:widowControl w:val="0"/>
              <w:jc w:val="center"/>
              <w:rPr>
                <w:rFonts w:ascii="Arial" w:hAnsi="Arial" w:cs="Arial"/>
                <w:b/>
              </w:rPr>
            </w:pPr>
          </w:p>
        </w:tc>
        <w:tc>
          <w:tcPr>
            <w:tcW w:w="2409" w:type="dxa"/>
            <w:tcMar>
              <w:top w:w="28" w:type="dxa"/>
              <w:bottom w:w="28" w:type="dxa"/>
            </w:tcMar>
          </w:tcPr>
          <w:p w:rsidR="006D4562" w:rsidRPr="000B6FCE" w:rsidRDefault="006D4562" w:rsidP="002960C3">
            <w:pPr>
              <w:widowControl w:val="0"/>
              <w:jc w:val="center"/>
              <w:rPr>
                <w:rFonts w:ascii="Arial" w:hAnsi="Arial" w:cs="Arial"/>
                <w:b/>
                <w:snapToGrid w:val="0"/>
                <w:lang w:eastAsia="en-US"/>
              </w:rPr>
            </w:pPr>
            <w:r w:rsidRPr="000B6FCE">
              <w:rPr>
                <w:rFonts w:ascii="Arial" w:hAnsi="Arial" w:cs="Arial"/>
                <w:b/>
                <w:snapToGrid w:val="0"/>
                <w:lang w:eastAsia="en-US"/>
              </w:rPr>
              <w:t>DRUG TYPE AND USE</w:t>
            </w:r>
          </w:p>
          <w:p w:rsidR="006D4562" w:rsidRPr="000B6FCE" w:rsidRDefault="006D4562" w:rsidP="002960C3">
            <w:pPr>
              <w:widowControl w:val="0"/>
              <w:jc w:val="center"/>
              <w:rPr>
                <w:rFonts w:ascii="Arial" w:hAnsi="Arial" w:cs="Arial"/>
                <w:b/>
                <w:snapToGrid w:val="0"/>
                <w:lang w:eastAsia="en-US"/>
              </w:rPr>
            </w:pPr>
          </w:p>
        </w:tc>
        <w:tc>
          <w:tcPr>
            <w:tcW w:w="3261" w:type="dxa"/>
            <w:tcMar>
              <w:top w:w="28" w:type="dxa"/>
              <w:bottom w:w="28" w:type="dxa"/>
            </w:tcMar>
          </w:tcPr>
          <w:p w:rsidR="006D4562" w:rsidRPr="000B6FCE" w:rsidRDefault="006D4562" w:rsidP="002960C3">
            <w:pPr>
              <w:widowControl w:val="0"/>
              <w:jc w:val="center"/>
              <w:rPr>
                <w:rFonts w:ascii="Arial" w:hAnsi="Arial" w:cs="Arial"/>
                <w:b/>
                <w:snapToGrid w:val="0"/>
                <w:lang w:eastAsia="en-US"/>
              </w:rPr>
            </w:pPr>
            <w:r w:rsidRPr="000B6FCE">
              <w:rPr>
                <w:rFonts w:ascii="Arial" w:hAnsi="Arial" w:cs="Arial"/>
                <w:b/>
                <w:snapToGrid w:val="0"/>
                <w:lang w:eastAsia="en-US"/>
              </w:rPr>
              <w:t>LISTING REQUESTED BY SPONSOR / PURPOSE OF SUBMISSION</w:t>
            </w:r>
          </w:p>
        </w:tc>
        <w:tc>
          <w:tcPr>
            <w:tcW w:w="5953" w:type="dxa"/>
          </w:tcPr>
          <w:p w:rsidR="006D4562" w:rsidRPr="000B6FCE" w:rsidRDefault="006D4562" w:rsidP="00D167D0">
            <w:pPr>
              <w:pStyle w:val="Header"/>
              <w:jc w:val="center"/>
              <w:rPr>
                <w:rFonts w:ascii="Arial" w:hAnsi="Arial" w:cs="Arial"/>
                <w:b/>
                <w:snapToGrid w:val="0"/>
                <w:lang w:eastAsia="en-US"/>
              </w:rPr>
            </w:pPr>
            <w:r w:rsidRPr="000B6FCE">
              <w:rPr>
                <w:rFonts w:ascii="Arial" w:hAnsi="Arial" w:cs="Arial"/>
                <w:b/>
                <w:snapToGrid w:val="0"/>
                <w:lang w:eastAsia="en-US"/>
              </w:rPr>
              <w:t>PBAC OUTCOME</w:t>
            </w:r>
          </w:p>
        </w:tc>
      </w:tr>
      <w:tr w:rsidR="00F04FF3" w:rsidRPr="000B6FCE" w:rsidTr="00B412BD">
        <w:trPr>
          <w:trHeight w:val="1182"/>
        </w:trPr>
        <w:tc>
          <w:tcPr>
            <w:tcW w:w="3828" w:type="dxa"/>
            <w:vMerge w:val="restart"/>
            <w:tcMar>
              <w:top w:w="28" w:type="dxa"/>
              <w:bottom w:w="28" w:type="dxa"/>
            </w:tcMar>
          </w:tcPr>
          <w:p w:rsidR="00F04FF3" w:rsidRPr="000B6FCE" w:rsidRDefault="00F04FF3" w:rsidP="00AB756D">
            <w:pPr>
              <w:rPr>
                <w:rFonts w:ascii="Arial" w:hAnsi="Arial" w:cs="Arial"/>
                <w:color w:val="000000"/>
              </w:rPr>
            </w:pPr>
            <w:r w:rsidRPr="000B6FCE">
              <w:rPr>
                <w:rFonts w:ascii="Arial" w:hAnsi="Arial" w:cs="Arial"/>
                <w:color w:val="000000"/>
              </w:rPr>
              <w:t xml:space="preserve">ANAKINRA </w:t>
            </w:r>
          </w:p>
          <w:p w:rsidR="00F04FF3" w:rsidRPr="000B6FCE" w:rsidRDefault="00F04FF3" w:rsidP="00AB756D">
            <w:pPr>
              <w:rPr>
                <w:rFonts w:ascii="Arial" w:hAnsi="Arial" w:cs="Arial"/>
                <w:color w:val="000000"/>
              </w:rPr>
            </w:pPr>
          </w:p>
          <w:p w:rsidR="00F04FF3" w:rsidRPr="000B6FCE" w:rsidRDefault="00F04FF3" w:rsidP="00AB756D">
            <w:pPr>
              <w:rPr>
                <w:rFonts w:ascii="Arial" w:hAnsi="Arial" w:cs="Arial"/>
                <w:color w:val="000000"/>
              </w:rPr>
            </w:pPr>
            <w:r w:rsidRPr="000B6FCE">
              <w:rPr>
                <w:rFonts w:ascii="Arial" w:hAnsi="Arial" w:cs="Arial"/>
                <w:color w:val="000000"/>
              </w:rPr>
              <w:t xml:space="preserve">Injection 100 mg in 0.67 mL single use pre-filled syringe </w:t>
            </w:r>
          </w:p>
          <w:p w:rsidR="00F04FF3" w:rsidRPr="000B6FCE" w:rsidRDefault="00F04FF3" w:rsidP="00AB756D">
            <w:pPr>
              <w:rPr>
                <w:rFonts w:ascii="Arial" w:hAnsi="Arial" w:cs="Arial"/>
                <w:color w:val="000000"/>
              </w:rPr>
            </w:pPr>
          </w:p>
          <w:p w:rsidR="00F04FF3" w:rsidRPr="000B6FCE" w:rsidRDefault="00F04FF3" w:rsidP="00AB756D">
            <w:pPr>
              <w:rPr>
                <w:rFonts w:ascii="Arial" w:hAnsi="Arial" w:cs="Arial"/>
                <w:color w:val="000000"/>
              </w:rPr>
            </w:pPr>
            <w:proofErr w:type="spellStart"/>
            <w:r w:rsidRPr="000B6FCE">
              <w:rPr>
                <w:rFonts w:ascii="Arial" w:hAnsi="Arial" w:cs="Arial"/>
                <w:color w:val="000000"/>
              </w:rPr>
              <w:t>Kineret</w:t>
            </w:r>
            <w:proofErr w:type="spellEnd"/>
            <w:r w:rsidRPr="000B6FCE">
              <w:rPr>
                <w:rFonts w:ascii="Arial" w:hAnsi="Arial" w:cs="Arial"/>
                <w:color w:val="000000"/>
              </w:rPr>
              <w:t xml:space="preserve">® </w:t>
            </w:r>
          </w:p>
          <w:p w:rsidR="00F04FF3" w:rsidRPr="000B6FCE" w:rsidRDefault="00F04FF3" w:rsidP="00AB756D">
            <w:pPr>
              <w:rPr>
                <w:rFonts w:ascii="Arial" w:hAnsi="Arial" w:cs="Arial"/>
                <w:color w:val="000000"/>
              </w:rPr>
            </w:pPr>
          </w:p>
          <w:p w:rsidR="00F04FF3" w:rsidRPr="000B6FCE" w:rsidRDefault="00F04FF3" w:rsidP="00AB756D">
            <w:pPr>
              <w:rPr>
                <w:rFonts w:ascii="Arial" w:hAnsi="Arial" w:cs="Arial"/>
                <w:color w:val="000000"/>
              </w:rPr>
            </w:pPr>
            <w:proofErr w:type="spellStart"/>
            <w:r w:rsidRPr="000B6FCE">
              <w:rPr>
                <w:rFonts w:ascii="Arial" w:hAnsi="Arial" w:cs="Arial"/>
                <w:color w:val="000000"/>
              </w:rPr>
              <w:t>A.Menarini</w:t>
            </w:r>
            <w:proofErr w:type="spellEnd"/>
            <w:r w:rsidRPr="000B6FCE">
              <w:rPr>
                <w:rFonts w:ascii="Arial" w:hAnsi="Arial" w:cs="Arial"/>
                <w:color w:val="000000"/>
              </w:rPr>
              <w:t xml:space="preserve"> Australia Pty Ltd</w:t>
            </w:r>
          </w:p>
          <w:p w:rsidR="00230E50" w:rsidRPr="000B6FCE" w:rsidRDefault="00230E50" w:rsidP="00AB756D">
            <w:pPr>
              <w:rPr>
                <w:rFonts w:ascii="Arial" w:hAnsi="Arial" w:cs="Arial"/>
                <w:color w:val="000000"/>
              </w:rPr>
            </w:pPr>
          </w:p>
          <w:p w:rsidR="00230E50" w:rsidRPr="000B6FCE" w:rsidRDefault="00230E50" w:rsidP="00AB756D">
            <w:pPr>
              <w:rPr>
                <w:rFonts w:ascii="Arial" w:hAnsi="Arial" w:cs="Arial"/>
                <w:color w:val="000000"/>
              </w:rPr>
            </w:pPr>
            <w:r w:rsidRPr="000B6FCE">
              <w:rPr>
                <w:rFonts w:ascii="Arial" w:hAnsi="Arial" w:cs="Arial"/>
                <w:color w:val="000000"/>
              </w:rPr>
              <w:t>Change to listing</w:t>
            </w:r>
          </w:p>
          <w:p w:rsidR="00F04FF3" w:rsidRPr="000B6FCE" w:rsidRDefault="00F04FF3" w:rsidP="00AB756D">
            <w:pPr>
              <w:rPr>
                <w:rFonts w:ascii="Arial" w:hAnsi="Arial" w:cs="Arial"/>
                <w:color w:val="000000"/>
              </w:rPr>
            </w:pPr>
          </w:p>
          <w:p w:rsidR="00F04FF3" w:rsidRPr="000B6FCE" w:rsidRDefault="00F04FF3" w:rsidP="00AB756D">
            <w:pPr>
              <w:rPr>
                <w:rFonts w:ascii="Arial" w:hAnsi="Arial" w:cs="Arial"/>
                <w:color w:val="000000"/>
              </w:rPr>
            </w:pPr>
            <w:r w:rsidRPr="000B6FCE">
              <w:rPr>
                <w:rFonts w:ascii="Arial" w:hAnsi="Arial" w:cs="Arial"/>
                <w:color w:val="000000"/>
              </w:rPr>
              <w:t>(Minor Submission)</w:t>
            </w:r>
          </w:p>
        </w:tc>
        <w:tc>
          <w:tcPr>
            <w:tcW w:w="2409" w:type="dxa"/>
            <w:vMerge w:val="restart"/>
          </w:tcPr>
          <w:p w:rsidR="00F04FF3" w:rsidRPr="000B6FCE" w:rsidRDefault="00F04FF3" w:rsidP="00AF6ADE">
            <w:pPr>
              <w:rPr>
                <w:rFonts w:ascii="Arial" w:hAnsi="Arial" w:cs="Arial"/>
                <w:color w:val="000000"/>
              </w:rPr>
            </w:pPr>
            <w:r w:rsidRPr="000B6FCE">
              <w:rPr>
                <w:rFonts w:ascii="Arial" w:hAnsi="Arial" w:cs="Arial"/>
                <w:color w:val="000000"/>
              </w:rPr>
              <w:t xml:space="preserve">Moderate to severe </w:t>
            </w:r>
            <w:proofErr w:type="spellStart"/>
            <w:r w:rsidRPr="000B6FCE">
              <w:rPr>
                <w:rFonts w:ascii="Arial" w:hAnsi="Arial" w:cs="Arial"/>
                <w:color w:val="000000"/>
              </w:rPr>
              <w:t>cryopyrin</w:t>
            </w:r>
            <w:proofErr w:type="spellEnd"/>
            <w:r w:rsidRPr="000B6FCE">
              <w:rPr>
                <w:rFonts w:ascii="Arial" w:hAnsi="Arial" w:cs="Arial"/>
                <w:color w:val="000000"/>
              </w:rPr>
              <w:t xml:space="preserve"> associated periodic syndromes</w:t>
            </w:r>
          </w:p>
        </w:tc>
        <w:tc>
          <w:tcPr>
            <w:tcW w:w="3261" w:type="dxa"/>
            <w:tcMar>
              <w:top w:w="28" w:type="dxa"/>
              <w:bottom w:w="28" w:type="dxa"/>
            </w:tcMar>
          </w:tcPr>
          <w:p w:rsidR="00F04FF3" w:rsidRPr="000B6FCE" w:rsidRDefault="00F04FF3" w:rsidP="00AF6ADE">
            <w:pPr>
              <w:rPr>
                <w:rFonts w:ascii="Arial" w:hAnsi="Arial" w:cs="Arial"/>
                <w:color w:val="000000"/>
              </w:rPr>
            </w:pPr>
            <w:r w:rsidRPr="000B6FCE">
              <w:rPr>
                <w:rFonts w:ascii="Arial" w:hAnsi="Arial" w:cs="Arial"/>
                <w:color w:val="000000"/>
              </w:rPr>
              <w:t>To request the current Authority Required (STREAMLINED) listing be changed to Authority Required.</w:t>
            </w:r>
          </w:p>
          <w:p w:rsidR="00F04FF3" w:rsidRPr="000B6FCE" w:rsidRDefault="00F04FF3" w:rsidP="00AF6ADE">
            <w:pPr>
              <w:rPr>
                <w:rFonts w:ascii="Arial" w:hAnsi="Arial" w:cs="Arial"/>
                <w:color w:val="000000"/>
              </w:rPr>
            </w:pPr>
          </w:p>
        </w:tc>
        <w:tc>
          <w:tcPr>
            <w:tcW w:w="5953" w:type="dxa"/>
          </w:tcPr>
          <w:p w:rsidR="00797F81" w:rsidRDefault="00AE76C5" w:rsidP="00C417FE">
            <w:pPr>
              <w:rPr>
                <w:rFonts w:ascii="Arial" w:hAnsi="Arial" w:cs="Arial"/>
                <w:iCs/>
              </w:rPr>
            </w:pPr>
            <w:r w:rsidRPr="000B6FCE">
              <w:rPr>
                <w:rFonts w:ascii="Arial" w:hAnsi="Arial" w:cs="Arial"/>
                <w:iCs/>
              </w:rPr>
              <w:t xml:space="preserve">The PBAC did not recommend amending the Authority Required (STREAMLINED) listing of </w:t>
            </w:r>
            <w:proofErr w:type="spellStart"/>
            <w:r w:rsidRPr="000B6FCE">
              <w:rPr>
                <w:rFonts w:ascii="Arial" w:hAnsi="Arial" w:cs="Arial"/>
                <w:iCs/>
              </w:rPr>
              <w:t>anakinra</w:t>
            </w:r>
            <w:proofErr w:type="spellEnd"/>
            <w:r w:rsidRPr="000B6FCE">
              <w:rPr>
                <w:rFonts w:ascii="Arial" w:hAnsi="Arial" w:cs="Arial"/>
                <w:iCs/>
              </w:rPr>
              <w:t xml:space="preserve"> </w:t>
            </w:r>
            <w:r w:rsidR="00797F81" w:rsidRPr="000B6FCE">
              <w:rPr>
                <w:rFonts w:ascii="Arial" w:hAnsi="Arial" w:cs="Arial"/>
                <w:iCs/>
              </w:rPr>
              <w:t xml:space="preserve">for treatment of patients with moderate to severe </w:t>
            </w:r>
            <w:proofErr w:type="spellStart"/>
            <w:r w:rsidR="00797F81" w:rsidRPr="000B6FCE">
              <w:rPr>
                <w:rFonts w:ascii="Arial" w:hAnsi="Arial" w:cs="Arial"/>
                <w:iCs/>
              </w:rPr>
              <w:t>cryopyrin</w:t>
            </w:r>
            <w:proofErr w:type="spellEnd"/>
            <w:r w:rsidR="00797F81" w:rsidRPr="000B6FCE">
              <w:rPr>
                <w:rFonts w:ascii="Arial" w:hAnsi="Arial" w:cs="Arial"/>
                <w:iCs/>
              </w:rPr>
              <w:t xml:space="preserve"> associated periodic syndromes (CAPS) </w:t>
            </w:r>
            <w:r w:rsidRPr="000B6FCE">
              <w:rPr>
                <w:rFonts w:ascii="Arial" w:hAnsi="Arial" w:cs="Arial"/>
                <w:iCs/>
              </w:rPr>
              <w:t xml:space="preserve">to </w:t>
            </w:r>
            <w:r w:rsidR="00797F81" w:rsidRPr="000B6FCE">
              <w:rPr>
                <w:rFonts w:ascii="Arial" w:hAnsi="Arial" w:cs="Arial"/>
                <w:iCs/>
              </w:rPr>
              <w:t xml:space="preserve">be an </w:t>
            </w:r>
            <w:r w:rsidRPr="000B6FCE">
              <w:rPr>
                <w:rFonts w:ascii="Arial" w:hAnsi="Arial" w:cs="Arial"/>
                <w:iCs/>
              </w:rPr>
              <w:t>Authority Required listing. In making its decision, the PBAC did not consider that there was a clinical basis on which to change the restriction level. The PBAC considered the current restriction level is appropriate.</w:t>
            </w:r>
          </w:p>
          <w:p w:rsidR="00204F84" w:rsidRPr="000B6FCE" w:rsidRDefault="00204F84" w:rsidP="00C417FE">
            <w:pPr>
              <w:rPr>
                <w:rFonts w:ascii="Arial" w:hAnsi="Arial" w:cs="Arial"/>
                <w:iCs/>
              </w:rPr>
            </w:pPr>
          </w:p>
        </w:tc>
      </w:tr>
      <w:tr w:rsidR="00F04FF3" w:rsidRPr="000B6FCE" w:rsidTr="00B412BD">
        <w:trPr>
          <w:trHeight w:val="867"/>
        </w:trPr>
        <w:tc>
          <w:tcPr>
            <w:tcW w:w="3828" w:type="dxa"/>
            <w:vMerge/>
            <w:tcMar>
              <w:top w:w="28" w:type="dxa"/>
              <w:bottom w:w="28" w:type="dxa"/>
            </w:tcMar>
          </w:tcPr>
          <w:p w:rsidR="00F04FF3" w:rsidRPr="000B6FCE" w:rsidRDefault="00F04FF3" w:rsidP="00AB756D">
            <w:pPr>
              <w:rPr>
                <w:rFonts w:ascii="Arial" w:hAnsi="Arial" w:cs="Arial"/>
                <w:color w:val="000000"/>
              </w:rPr>
            </w:pPr>
          </w:p>
        </w:tc>
        <w:tc>
          <w:tcPr>
            <w:tcW w:w="2409" w:type="dxa"/>
            <w:vMerge/>
          </w:tcPr>
          <w:p w:rsidR="00F04FF3" w:rsidRPr="000B6FCE" w:rsidRDefault="00F04FF3" w:rsidP="00AF6ADE">
            <w:pPr>
              <w:rPr>
                <w:rFonts w:ascii="Arial" w:hAnsi="Arial" w:cs="Arial"/>
                <w:color w:val="000000"/>
              </w:rPr>
            </w:pPr>
          </w:p>
        </w:tc>
        <w:tc>
          <w:tcPr>
            <w:tcW w:w="3261" w:type="dxa"/>
            <w:tcMar>
              <w:top w:w="28" w:type="dxa"/>
              <w:bottom w:w="28" w:type="dxa"/>
            </w:tcMar>
          </w:tcPr>
          <w:p w:rsidR="00F04FF3" w:rsidRPr="000B6FCE" w:rsidRDefault="00F04FF3" w:rsidP="00F04FF3">
            <w:pPr>
              <w:jc w:val="right"/>
              <w:rPr>
                <w:rFonts w:ascii="Arial" w:hAnsi="Arial" w:cs="Arial"/>
                <w:color w:val="000000"/>
              </w:rPr>
            </w:pPr>
            <w:r w:rsidRPr="000B6FCE">
              <w:rPr>
                <w:rFonts w:ascii="Arial" w:hAnsi="Arial" w:cs="Arial"/>
                <w:color w:val="000000"/>
              </w:rPr>
              <w:t>Sponsor Response</w:t>
            </w:r>
          </w:p>
        </w:tc>
        <w:tc>
          <w:tcPr>
            <w:tcW w:w="5953" w:type="dxa"/>
          </w:tcPr>
          <w:p w:rsidR="00F04FF3" w:rsidRPr="000B6FCE" w:rsidRDefault="00691A45" w:rsidP="00691A45">
            <w:pPr>
              <w:rPr>
                <w:rFonts w:ascii="Arial" w:hAnsi="Arial" w:cs="Arial"/>
                <w:iCs/>
              </w:rPr>
            </w:pPr>
            <w:r w:rsidRPr="000B6FCE">
              <w:rPr>
                <w:rFonts w:ascii="Arial" w:hAnsi="Arial" w:cs="Arial"/>
                <w:iCs/>
              </w:rPr>
              <w:t>The sponsor had no comment.</w:t>
            </w:r>
          </w:p>
        </w:tc>
      </w:tr>
      <w:tr w:rsidR="00F04FF3" w:rsidRPr="000B6FCE" w:rsidTr="00B412BD">
        <w:trPr>
          <w:trHeight w:val="1494"/>
        </w:trPr>
        <w:tc>
          <w:tcPr>
            <w:tcW w:w="3828" w:type="dxa"/>
            <w:vMerge w:val="restart"/>
            <w:tcMar>
              <w:top w:w="28" w:type="dxa"/>
              <w:bottom w:w="28" w:type="dxa"/>
            </w:tcMar>
          </w:tcPr>
          <w:p w:rsidR="00F04FF3" w:rsidRPr="000B6FCE" w:rsidRDefault="00F04FF3" w:rsidP="00AF6ADE">
            <w:pPr>
              <w:rPr>
                <w:rFonts w:ascii="Arial" w:hAnsi="Arial" w:cs="Arial"/>
              </w:rPr>
            </w:pPr>
            <w:r w:rsidRPr="000B6FCE">
              <w:rPr>
                <w:rFonts w:ascii="Arial" w:hAnsi="Arial" w:cs="Arial"/>
              </w:rPr>
              <w:t>ASFOTASE ALFA</w:t>
            </w:r>
          </w:p>
          <w:p w:rsidR="00F04FF3" w:rsidRPr="000B6FCE" w:rsidRDefault="00F04FF3" w:rsidP="00AF6ADE">
            <w:pPr>
              <w:rPr>
                <w:rFonts w:ascii="Arial" w:hAnsi="Arial" w:cs="Arial"/>
              </w:rPr>
            </w:pPr>
            <w:r w:rsidRPr="000B6FCE">
              <w:rPr>
                <w:rFonts w:ascii="Arial" w:hAnsi="Arial" w:cs="Arial"/>
              </w:rPr>
              <w:t xml:space="preserve">Injection 18 mg in 0.45 mL, vial </w:t>
            </w:r>
          </w:p>
          <w:p w:rsidR="00F04FF3" w:rsidRPr="000B6FCE" w:rsidRDefault="00F04FF3" w:rsidP="00AF6ADE">
            <w:pPr>
              <w:rPr>
                <w:rFonts w:ascii="Arial" w:hAnsi="Arial" w:cs="Arial"/>
              </w:rPr>
            </w:pPr>
            <w:r w:rsidRPr="000B6FCE">
              <w:rPr>
                <w:rFonts w:ascii="Arial" w:hAnsi="Arial" w:cs="Arial"/>
              </w:rPr>
              <w:t>Injection 28 mg in 0.7 mL, vial</w:t>
            </w:r>
          </w:p>
          <w:p w:rsidR="00F04FF3" w:rsidRPr="000B6FCE" w:rsidRDefault="00F04FF3" w:rsidP="00AF6ADE">
            <w:pPr>
              <w:rPr>
                <w:rFonts w:ascii="Arial" w:hAnsi="Arial" w:cs="Arial"/>
              </w:rPr>
            </w:pPr>
            <w:r w:rsidRPr="000B6FCE">
              <w:rPr>
                <w:rFonts w:ascii="Arial" w:hAnsi="Arial" w:cs="Arial"/>
              </w:rPr>
              <w:t xml:space="preserve">Injection 40 mg in 1 mL, vial </w:t>
            </w:r>
          </w:p>
          <w:p w:rsidR="00F04FF3" w:rsidRPr="000B6FCE" w:rsidRDefault="00F04FF3" w:rsidP="00AF6ADE">
            <w:pPr>
              <w:rPr>
                <w:rFonts w:ascii="Arial" w:hAnsi="Arial" w:cs="Arial"/>
              </w:rPr>
            </w:pPr>
            <w:r w:rsidRPr="000B6FCE">
              <w:rPr>
                <w:rFonts w:ascii="Arial" w:hAnsi="Arial" w:cs="Arial"/>
              </w:rPr>
              <w:t xml:space="preserve">Injection 80 mg in 0.8 mL, vial </w:t>
            </w:r>
          </w:p>
          <w:p w:rsidR="00F04FF3" w:rsidRPr="000B6FCE" w:rsidRDefault="00F04FF3" w:rsidP="00AF6ADE">
            <w:pPr>
              <w:rPr>
                <w:rFonts w:ascii="Arial" w:hAnsi="Arial" w:cs="Arial"/>
              </w:rPr>
            </w:pPr>
          </w:p>
          <w:p w:rsidR="00F04FF3" w:rsidRPr="000B6FCE" w:rsidRDefault="00F04FF3" w:rsidP="00AF6ADE">
            <w:pPr>
              <w:rPr>
                <w:rFonts w:ascii="Arial" w:hAnsi="Arial" w:cs="Arial"/>
              </w:rPr>
            </w:pPr>
            <w:proofErr w:type="spellStart"/>
            <w:r w:rsidRPr="000B6FCE">
              <w:rPr>
                <w:rFonts w:ascii="Arial" w:hAnsi="Arial" w:cs="Arial"/>
              </w:rPr>
              <w:t>Strensiq</w:t>
            </w:r>
            <w:proofErr w:type="spellEnd"/>
            <w:r w:rsidRPr="000B6FCE">
              <w:rPr>
                <w:rFonts w:ascii="Arial" w:hAnsi="Arial" w:cs="Arial"/>
              </w:rPr>
              <w:t xml:space="preserve">® </w:t>
            </w:r>
          </w:p>
          <w:p w:rsidR="00F04FF3" w:rsidRPr="000B6FCE" w:rsidRDefault="00F04FF3" w:rsidP="00AF6ADE">
            <w:pPr>
              <w:rPr>
                <w:rFonts w:ascii="Arial" w:hAnsi="Arial" w:cs="Arial"/>
              </w:rPr>
            </w:pPr>
          </w:p>
          <w:p w:rsidR="00F04FF3" w:rsidRPr="000B6FCE" w:rsidRDefault="00F04FF3" w:rsidP="00AF6ADE">
            <w:pPr>
              <w:rPr>
                <w:rFonts w:ascii="Arial" w:hAnsi="Arial" w:cs="Arial"/>
              </w:rPr>
            </w:pPr>
            <w:r w:rsidRPr="000B6FCE">
              <w:rPr>
                <w:rFonts w:ascii="Arial" w:hAnsi="Arial" w:cs="Arial"/>
              </w:rPr>
              <w:t>Alexion Pharmaceuticals Australasia Pty Ltd</w:t>
            </w:r>
          </w:p>
          <w:p w:rsidR="00230E50" w:rsidRPr="000B6FCE" w:rsidRDefault="00230E50" w:rsidP="00AF6ADE">
            <w:pPr>
              <w:rPr>
                <w:rFonts w:ascii="Arial" w:hAnsi="Arial" w:cs="Arial"/>
              </w:rPr>
            </w:pPr>
          </w:p>
          <w:p w:rsidR="00230E50" w:rsidRPr="000B6FCE" w:rsidRDefault="00230E50" w:rsidP="00AF6ADE">
            <w:pPr>
              <w:rPr>
                <w:rFonts w:ascii="Arial" w:hAnsi="Arial" w:cs="Arial"/>
              </w:rPr>
            </w:pPr>
            <w:r w:rsidRPr="000B6FCE">
              <w:rPr>
                <w:rFonts w:ascii="Arial" w:hAnsi="Arial" w:cs="Arial"/>
              </w:rPr>
              <w:t>New listing</w:t>
            </w:r>
          </w:p>
          <w:p w:rsidR="00F04FF3" w:rsidRPr="000B6FCE" w:rsidRDefault="00F04FF3" w:rsidP="00AF6ADE">
            <w:pPr>
              <w:rPr>
                <w:rFonts w:ascii="Arial" w:hAnsi="Arial" w:cs="Arial"/>
              </w:rPr>
            </w:pPr>
          </w:p>
          <w:p w:rsidR="00F04FF3" w:rsidRPr="000B6FCE" w:rsidRDefault="00F04FF3" w:rsidP="0009404C">
            <w:pPr>
              <w:pStyle w:val="Default"/>
              <w:rPr>
                <w:rFonts w:ascii="Arial" w:hAnsi="Arial" w:cs="Arial"/>
                <w:sz w:val="20"/>
                <w:szCs w:val="20"/>
              </w:rPr>
            </w:pPr>
            <w:r w:rsidRPr="000B6FCE">
              <w:rPr>
                <w:rFonts w:ascii="Arial" w:hAnsi="Arial" w:cs="Arial"/>
                <w:sz w:val="20"/>
                <w:szCs w:val="20"/>
              </w:rPr>
              <w:t xml:space="preserve">(Major Submission) </w:t>
            </w:r>
          </w:p>
          <w:p w:rsidR="00F04FF3" w:rsidRPr="000B6FCE" w:rsidRDefault="00F04FF3" w:rsidP="00AF6ADE">
            <w:pPr>
              <w:rPr>
                <w:rFonts w:ascii="Arial" w:hAnsi="Arial" w:cs="Arial"/>
              </w:rPr>
            </w:pPr>
          </w:p>
        </w:tc>
        <w:tc>
          <w:tcPr>
            <w:tcW w:w="2409" w:type="dxa"/>
            <w:vMerge w:val="restart"/>
          </w:tcPr>
          <w:p w:rsidR="00F04FF3" w:rsidRPr="000B6FCE" w:rsidRDefault="00F04FF3" w:rsidP="00AF6ADE">
            <w:pPr>
              <w:rPr>
                <w:rFonts w:ascii="Arial" w:hAnsi="Arial" w:cs="Arial"/>
                <w:color w:val="000000"/>
              </w:rPr>
            </w:pPr>
            <w:proofErr w:type="spellStart"/>
            <w:r w:rsidRPr="000B6FCE">
              <w:rPr>
                <w:rFonts w:ascii="Arial" w:hAnsi="Arial" w:cs="Arial"/>
                <w:color w:val="000000"/>
              </w:rPr>
              <w:t>Hypophosphatasia</w:t>
            </w:r>
            <w:proofErr w:type="spellEnd"/>
            <w:r w:rsidRPr="000B6FCE">
              <w:rPr>
                <w:rFonts w:ascii="Arial" w:hAnsi="Arial" w:cs="Arial"/>
                <w:color w:val="000000"/>
              </w:rPr>
              <w:t xml:space="preserve"> (HPP)</w:t>
            </w:r>
          </w:p>
        </w:tc>
        <w:tc>
          <w:tcPr>
            <w:tcW w:w="3261" w:type="dxa"/>
            <w:tcMar>
              <w:top w:w="28" w:type="dxa"/>
              <w:bottom w:w="28" w:type="dxa"/>
            </w:tcMar>
          </w:tcPr>
          <w:p w:rsidR="00F04FF3" w:rsidRPr="000B6FCE" w:rsidRDefault="00F04FF3" w:rsidP="00AF6ADE">
            <w:pPr>
              <w:rPr>
                <w:rFonts w:ascii="Arial" w:hAnsi="Arial" w:cs="Arial"/>
              </w:rPr>
            </w:pPr>
            <w:r w:rsidRPr="000B6FCE">
              <w:rPr>
                <w:rFonts w:ascii="Arial" w:hAnsi="Arial" w:cs="Arial"/>
              </w:rPr>
              <w:t>To request a Section 100 (Highly Specialised Drugs Program) listing for the treatment of patients with paediatric-onset HPP who meet certain conditions.</w:t>
            </w:r>
          </w:p>
        </w:tc>
        <w:tc>
          <w:tcPr>
            <w:tcW w:w="5953" w:type="dxa"/>
          </w:tcPr>
          <w:p w:rsidR="00BE2285" w:rsidRDefault="00777B5C" w:rsidP="00C03553">
            <w:pPr>
              <w:rPr>
                <w:rFonts w:ascii="Arial" w:hAnsi="Arial" w:cs="Arial"/>
                <w:iCs/>
              </w:rPr>
            </w:pPr>
            <w:r w:rsidRPr="000B6FCE">
              <w:rPr>
                <w:rFonts w:ascii="Arial" w:hAnsi="Arial" w:cs="Arial"/>
                <w:iCs/>
              </w:rPr>
              <w:t xml:space="preserve">The PBAC did not recommend the requested Section 100 (Highly Specialised Drugs Program) listing of </w:t>
            </w:r>
            <w:proofErr w:type="spellStart"/>
            <w:r w:rsidRPr="000B6FCE">
              <w:rPr>
                <w:rFonts w:ascii="Arial" w:hAnsi="Arial" w:cs="Arial"/>
                <w:iCs/>
              </w:rPr>
              <w:t>asfotase</w:t>
            </w:r>
            <w:proofErr w:type="spellEnd"/>
            <w:r w:rsidRPr="000B6FCE">
              <w:rPr>
                <w:rFonts w:ascii="Arial" w:hAnsi="Arial" w:cs="Arial"/>
                <w:iCs/>
              </w:rPr>
              <w:t xml:space="preserve"> alfa </w:t>
            </w:r>
            <w:proofErr w:type="spellStart"/>
            <w:r w:rsidRPr="000B6FCE">
              <w:rPr>
                <w:rFonts w:ascii="Arial" w:hAnsi="Arial" w:cs="Arial"/>
                <w:iCs/>
              </w:rPr>
              <w:t>rch</w:t>
            </w:r>
            <w:proofErr w:type="spellEnd"/>
            <w:r w:rsidRPr="000B6FCE">
              <w:rPr>
                <w:rFonts w:ascii="Arial" w:hAnsi="Arial" w:cs="Arial"/>
                <w:iCs/>
              </w:rPr>
              <w:t xml:space="preserve"> for the treatment of patients with paediatric-onset </w:t>
            </w:r>
            <w:proofErr w:type="spellStart"/>
            <w:r w:rsidR="0011011A" w:rsidRPr="000B6FCE">
              <w:rPr>
                <w:rFonts w:ascii="Arial" w:hAnsi="Arial" w:cs="Arial"/>
                <w:iCs/>
              </w:rPr>
              <w:t>Hypophosphatasia</w:t>
            </w:r>
            <w:proofErr w:type="spellEnd"/>
            <w:r w:rsidR="0011011A" w:rsidRPr="000B6FCE">
              <w:rPr>
                <w:rFonts w:ascii="Arial" w:hAnsi="Arial" w:cs="Arial"/>
                <w:iCs/>
              </w:rPr>
              <w:t xml:space="preserve"> (</w:t>
            </w:r>
            <w:r w:rsidRPr="000B6FCE">
              <w:rPr>
                <w:rFonts w:ascii="Arial" w:hAnsi="Arial" w:cs="Arial"/>
                <w:iCs/>
              </w:rPr>
              <w:t>HPP</w:t>
            </w:r>
            <w:r w:rsidR="0011011A" w:rsidRPr="000B6FCE">
              <w:rPr>
                <w:rFonts w:ascii="Arial" w:hAnsi="Arial" w:cs="Arial"/>
                <w:iCs/>
              </w:rPr>
              <w:t>)</w:t>
            </w:r>
            <w:r w:rsidRPr="000B6FCE">
              <w:rPr>
                <w:rFonts w:ascii="Arial" w:hAnsi="Arial" w:cs="Arial"/>
                <w:iCs/>
              </w:rPr>
              <w:t xml:space="preserve">. The PBAC accepted that there is likely to be a survival benefit associated with treatment with </w:t>
            </w:r>
            <w:proofErr w:type="spellStart"/>
            <w:r w:rsidRPr="000B6FCE">
              <w:rPr>
                <w:rFonts w:ascii="Arial" w:hAnsi="Arial" w:cs="Arial"/>
                <w:iCs/>
              </w:rPr>
              <w:t>asfotase</w:t>
            </w:r>
            <w:proofErr w:type="spellEnd"/>
            <w:r w:rsidRPr="000B6FCE">
              <w:rPr>
                <w:rFonts w:ascii="Arial" w:hAnsi="Arial" w:cs="Arial"/>
                <w:iCs/>
              </w:rPr>
              <w:t xml:space="preserve"> alfa </w:t>
            </w:r>
            <w:proofErr w:type="spellStart"/>
            <w:r w:rsidRPr="000B6FCE">
              <w:rPr>
                <w:rFonts w:ascii="Arial" w:hAnsi="Arial" w:cs="Arial"/>
                <w:iCs/>
              </w:rPr>
              <w:t>rch</w:t>
            </w:r>
            <w:proofErr w:type="spellEnd"/>
            <w:r w:rsidRPr="000B6FCE">
              <w:rPr>
                <w:rFonts w:ascii="Arial" w:hAnsi="Arial" w:cs="Arial"/>
                <w:iCs/>
              </w:rPr>
              <w:t xml:space="preserve"> for children with perinatal- or infantile-onset (i.e. up to 6 months of age) HPP</w:t>
            </w:r>
            <w:r w:rsidR="009C29FE" w:rsidRPr="000B6FCE">
              <w:rPr>
                <w:rFonts w:ascii="Arial" w:hAnsi="Arial" w:cs="Arial"/>
                <w:iCs/>
              </w:rPr>
              <w:t>, but noted that the persistence of survival gains beyond 5 years of age was uncertain.</w:t>
            </w:r>
            <w:r w:rsidRPr="000B6FCE">
              <w:rPr>
                <w:rFonts w:ascii="Arial" w:hAnsi="Arial" w:cs="Arial"/>
                <w:iCs/>
              </w:rPr>
              <w:t xml:space="preserve"> </w:t>
            </w:r>
            <w:r w:rsidR="009C29FE" w:rsidRPr="000B6FCE">
              <w:rPr>
                <w:rFonts w:ascii="Arial" w:hAnsi="Arial" w:cs="Arial"/>
                <w:iCs/>
              </w:rPr>
              <w:t>T</w:t>
            </w:r>
            <w:r w:rsidRPr="000B6FCE">
              <w:rPr>
                <w:rFonts w:ascii="Arial" w:hAnsi="Arial" w:cs="Arial"/>
                <w:iCs/>
              </w:rPr>
              <w:t>he PBAC considered that the claim of superior comparative effectiveness</w:t>
            </w:r>
            <w:r w:rsidR="00C03553" w:rsidRPr="000B6FCE">
              <w:rPr>
                <w:rFonts w:ascii="Arial" w:hAnsi="Arial" w:cs="Arial"/>
                <w:iCs/>
              </w:rPr>
              <w:t xml:space="preserve"> over best supportive care</w:t>
            </w:r>
            <w:r w:rsidRPr="000B6FCE">
              <w:rPr>
                <w:rFonts w:ascii="Arial" w:hAnsi="Arial" w:cs="Arial"/>
                <w:iCs/>
              </w:rPr>
              <w:t xml:space="preserve"> in the broader paediatric-onset population (i.e. up to 18 years of age) was not adequately supported by the submission. </w:t>
            </w:r>
          </w:p>
          <w:p w:rsidR="00F9125F" w:rsidRPr="000B6FCE" w:rsidRDefault="00F9125F" w:rsidP="00C03553">
            <w:pPr>
              <w:rPr>
                <w:rFonts w:ascii="Arial" w:hAnsi="Arial" w:cs="Arial"/>
                <w:iCs/>
              </w:rPr>
            </w:pPr>
          </w:p>
          <w:p w:rsidR="00BE2285" w:rsidRDefault="00BE2285" w:rsidP="00BE2285">
            <w:pPr>
              <w:rPr>
                <w:rFonts w:ascii="Arial" w:hAnsi="Arial" w:cs="Arial"/>
                <w:iCs/>
              </w:rPr>
            </w:pPr>
            <w:r w:rsidRPr="000B6FCE">
              <w:rPr>
                <w:rFonts w:ascii="Arial" w:hAnsi="Arial" w:cs="Arial"/>
                <w:iCs/>
              </w:rPr>
              <w:t>T</w:t>
            </w:r>
            <w:r w:rsidR="00C03553" w:rsidRPr="000B6FCE">
              <w:rPr>
                <w:rFonts w:ascii="Arial" w:hAnsi="Arial" w:cs="Arial"/>
                <w:iCs/>
              </w:rPr>
              <w:t>he incremental cost-effectiveness ratio (ICER)</w:t>
            </w:r>
            <w:r w:rsidRPr="000B6FCE">
              <w:rPr>
                <w:rFonts w:ascii="Arial" w:hAnsi="Arial" w:cs="Arial"/>
                <w:iCs/>
              </w:rPr>
              <w:t xml:space="preserve"> presented by the submission was considered by the PBAC to be</w:t>
            </w:r>
            <w:r w:rsidR="00C03553" w:rsidRPr="000B6FCE">
              <w:rPr>
                <w:rFonts w:ascii="Arial" w:hAnsi="Arial" w:cs="Arial"/>
                <w:iCs/>
              </w:rPr>
              <w:t xml:space="preserve"> unacceptably high and very uncertain</w:t>
            </w:r>
            <w:r w:rsidR="00777B5C" w:rsidRPr="000B6FCE">
              <w:rPr>
                <w:rFonts w:ascii="Arial" w:hAnsi="Arial" w:cs="Arial"/>
                <w:iCs/>
              </w:rPr>
              <w:t>, especially in patients other than the perinatal and infantile</w:t>
            </w:r>
            <w:r w:rsidR="00C03553" w:rsidRPr="000B6FCE">
              <w:rPr>
                <w:rFonts w:ascii="Arial" w:hAnsi="Arial" w:cs="Arial"/>
                <w:iCs/>
              </w:rPr>
              <w:t xml:space="preserve">-onset </w:t>
            </w:r>
            <w:r w:rsidRPr="000B6FCE">
              <w:rPr>
                <w:rFonts w:ascii="Arial" w:hAnsi="Arial" w:cs="Arial"/>
                <w:iCs/>
              </w:rPr>
              <w:t>group</w:t>
            </w:r>
            <w:r w:rsidR="00777B5C" w:rsidRPr="000B6FCE">
              <w:rPr>
                <w:rFonts w:ascii="Arial" w:hAnsi="Arial" w:cs="Arial"/>
                <w:iCs/>
              </w:rPr>
              <w:t>. The PBAC also considered there was substantial uncertainty around the size of the patient population and financial estimates, and that both were likely to be considerably higher than estimated by the submission</w:t>
            </w:r>
            <w:r w:rsidRPr="000B6FCE">
              <w:rPr>
                <w:rFonts w:ascii="Arial" w:hAnsi="Arial" w:cs="Arial"/>
                <w:iCs/>
              </w:rPr>
              <w:t>.</w:t>
            </w:r>
          </w:p>
          <w:p w:rsidR="00204F84" w:rsidRPr="000B6FCE" w:rsidRDefault="00204F84" w:rsidP="00BE2285">
            <w:pPr>
              <w:rPr>
                <w:rFonts w:ascii="Arial" w:hAnsi="Arial" w:cs="Arial"/>
                <w:iCs/>
              </w:rPr>
            </w:pPr>
          </w:p>
        </w:tc>
      </w:tr>
      <w:tr w:rsidR="00F04FF3" w:rsidRPr="000B6FCE" w:rsidTr="00B412BD">
        <w:trPr>
          <w:trHeight w:val="1494"/>
        </w:trPr>
        <w:tc>
          <w:tcPr>
            <w:tcW w:w="3828" w:type="dxa"/>
            <w:vMerge/>
            <w:tcMar>
              <w:top w:w="28" w:type="dxa"/>
              <w:bottom w:w="28" w:type="dxa"/>
            </w:tcMar>
          </w:tcPr>
          <w:p w:rsidR="00F04FF3" w:rsidRPr="000B6FCE" w:rsidRDefault="00F04FF3" w:rsidP="00AF6ADE">
            <w:pPr>
              <w:rPr>
                <w:rFonts w:ascii="Arial" w:hAnsi="Arial" w:cs="Arial"/>
              </w:rPr>
            </w:pPr>
          </w:p>
        </w:tc>
        <w:tc>
          <w:tcPr>
            <w:tcW w:w="2409" w:type="dxa"/>
            <w:vMerge/>
          </w:tcPr>
          <w:p w:rsidR="00F04FF3" w:rsidRPr="000B6FCE" w:rsidRDefault="00F04FF3" w:rsidP="00AF6ADE">
            <w:pPr>
              <w:rPr>
                <w:rFonts w:ascii="Arial" w:hAnsi="Arial" w:cs="Arial"/>
                <w:color w:val="000000"/>
              </w:rPr>
            </w:pPr>
          </w:p>
        </w:tc>
        <w:tc>
          <w:tcPr>
            <w:tcW w:w="3261" w:type="dxa"/>
            <w:tcMar>
              <w:top w:w="28" w:type="dxa"/>
              <w:bottom w:w="28" w:type="dxa"/>
            </w:tcMar>
          </w:tcPr>
          <w:p w:rsidR="00F04FF3" w:rsidRPr="000B6FCE" w:rsidRDefault="00F04FF3" w:rsidP="00F04FF3">
            <w:pPr>
              <w:jc w:val="right"/>
              <w:rPr>
                <w:rFonts w:ascii="Arial" w:hAnsi="Arial" w:cs="Arial"/>
              </w:rPr>
            </w:pPr>
            <w:r w:rsidRPr="000B6FCE">
              <w:rPr>
                <w:rFonts w:ascii="Arial" w:hAnsi="Arial" w:cs="Arial"/>
              </w:rPr>
              <w:t>Sponsor Response</w:t>
            </w:r>
          </w:p>
        </w:tc>
        <w:tc>
          <w:tcPr>
            <w:tcW w:w="5953" w:type="dxa"/>
          </w:tcPr>
          <w:p w:rsidR="00F04FF3" w:rsidRPr="000B6FCE" w:rsidRDefault="002C4C8C" w:rsidP="00A93082">
            <w:pPr>
              <w:rPr>
                <w:rFonts w:ascii="Arial" w:hAnsi="Arial" w:cs="Arial"/>
                <w:iCs/>
              </w:rPr>
            </w:pPr>
            <w:r w:rsidRPr="000B6FCE">
              <w:rPr>
                <w:rFonts w:ascii="Arial" w:hAnsi="Arial" w:cs="Arial"/>
                <w:iCs/>
              </w:rPr>
              <w:t xml:space="preserve">Alexion looks forward to working with the Government to expedite availability of </w:t>
            </w:r>
            <w:proofErr w:type="spellStart"/>
            <w:r w:rsidRPr="000B6FCE">
              <w:rPr>
                <w:rFonts w:ascii="Arial" w:hAnsi="Arial" w:cs="Arial"/>
                <w:iCs/>
              </w:rPr>
              <w:t>Strensiq</w:t>
            </w:r>
            <w:proofErr w:type="spellEnd"/>
            <w:r w:rsidRPr="000B6FCE">
              <w:rPr>
                <w:rFonts w:ascii="Arial" w:hAnsi="Arial" w:cs="Arial"/>
                <w:iCs/>
              </w:rPr>
              <w:t xml:space="preserve"> on LSDP for patients with perinatal-/infantile-onset HPP. Alexion is also committed to addressing the PBAC’s concerns to make </w:t>
            </w:r>
            <w:proofErr w:type="spellStart"/>
            <w:r w:rsidRPr="000B6FCE">
              <w:rPr>
                <w:rFonts w:ascii="Arial" w:hAnsi="Arial" w:cs="Arial"/>
                <w:iCs/>
              </w:rPr>
              <w:t>Strensiq</w:t>
            </w:r>
            <w:proofErr w:type="spellEnd"/>
            <w:r w:rsidRPr="000B6FCE">
              <w:rPr>
                <w:rFonts w:ascii="Arial" w:hAnsi="Arial" w:cs="Arial"/>
                <w:iCs/>
              </w:rPr>
              <w:t xml:space="preserve"> available for patients suffering the debilitating effects of juvenile-onset HPP as soon as possible.</w:t>
            </w:r>
          </w:p>
        </w:tc>
      </w:tr>
      <w:tr w:rsidR="0073717D" w:rsidRPr="000B6FCE" w:rsidTr="00B412BD">
        <w:trPr>
          <w:trHeight w:val="1182"/>
        </w:trPr>
        <w:tc>
          <w:tcPr>
            <w:tcW w:w="3828" w:type="dxa"/>
            <w:vMerge w:val="restart"/>
            <w:tcMar>
              <w:top w:w="28" w:type="dxa"/>
              <w:bottom w:w="28" w:type="dxa"/>
            </w:tcMar>
          </w:tcPr>
          <w:p w:rsidR="0073717D" w:rsidRPr="000B6FCE" w:rsidRDefault="0073717D" w:rsidP="00AB756D">
            <w:pPr>
              <w:rPr>
                <w:rFonts w:ascii="Arial" w:hAnsi="Arial" w:cs="Arial"/>
                <w:color w:val="000000"/>
              </w:rPr>
            </w:pPr>
            <w:bookmarkStart w:id="0" w:name="_GoBack"/>
            <w:bookmarkEnd w:id="0"/>
            <w:r w:rsidRPr="000B6FCE">
              <w:rPr>
                <w:rFonts w:ascii="Arial" w:hAnsi="Arial" w:cs="Arial"/>
                <w:color w:val="000000"/>
              </w:rPr>
              <w:t xml:space="preserve">BUDESONIDE </w:t>
            </w:r>
          </w:p>
          <w:p w:rsidR="0073717D" w:rsidRPr="000B6FCE" w:rsidRDefault="0073717D" w:rsidP="00AB756D">
            <w:pPr>
              <w:rPr>
                <w:rFonts w:ascii="Arial" w:hAnsi="Arial" w:cs="Arial"/>
                <w:color w:val="000000"/>
              </w:rPr>
            </w:pPr>
          </w:p>
          <w:p w:rsidR="0073717D" w:rsidRPr="000B6FCE" w:rsidRDefault="0073717D" w:rsidP="00AB756D">
            <w:pPr>
              <w:rPr>
                <w:rFonts w:ascii="Arial" w:hAnsi="Arial" w:cs="Arial"/>
                <w:color w:val="000000"/>
              </w:rPr>
            </w:pPr>
            <w:r w:rsidRPr="000B6FCE">
              <w:rPr>
                <w:rFonts w:ascii="Arial" w:hAnsi="Arial" w:cs="Arial"/>
                <w:color w:val="000000"/>
              </w:rPr>
              <w:t xml:space="preserve">Tablet 9 mg </w:t>
            </w:r>
          </w:p>
          <w:p w:rsidR="0073717D" w:rsidRPr="000B6FCE" w:rsidRDefault="0073717D" w:rsidP="00AB756D">
            <w:pPr>
              <w:rPr>
                <w:rFonts w:ascii="Arial" w:hAnsi="Arial" w:cs="Arial"/>
                <w:color w:val="000000"/>
              </w:rPr>
            </w:pPr>
          </w:p>
          <w:p w:rsidR="0073717D" w:rsidRPr="000B6FCE" w:rsidRDefault="0073717D" w:rsidP="00AB756D">
            <w:pPr>
              <w:rPr>
                <w:rFonts w:ascii="Arial" w:hAnsi="Arial" w:cs="Arial"/>
                <w:color w:val="000000"/>
              </w:rPr>
            </w:pPr>
            <w:proofErr w:type="spellStart"/>
            <w:r w:rsidRPr="000B6FCE">
              <w:rPr>
                <w:rFonts w:ascii="Arial" w:hAnsi="Arial" w:cs="Arial"/>
                <w:color w:val="000000"/>
              </w:rPr>
              <w:t>Cortiment</w:t>
            </w:r>
            <w:proofErr w:type="spellEnd"/>
            <w:r w:rsidRPr="000B6FCE">
              <w:rPr>
                <w:rFonts w:ascii="Arial" w:hAnsi="Arial" w:cs="Arial"/>
                <w:color w:val="000000"/>
              </w:rPr>
              <w:t xml:space="preserve">® </w:t>
            </w:r>
          </w:p>
          <w:p w:rsidR="0073717D" w:rsidRPr="000B6FCE" w:rsidRDefault="0073717D" w:rsidP="00AB756D">
            <w:pPr>
              <w:rPr>
                <w:rFonts w:ascii="Arial" w:hAnsi="Arial" w:cs="Arial"/>
                <w:color w:val="000000"/>
              </w:rPr>
            </w:pPr>
          </w:p>
          <w:p w:rsidR="0073717D" w:rsidRPr="000B6FCE" w:rsidRDefault="0073717D" w:rsidP="00AB756D">
            <w:pPr>
              <w:rPr>
                <w:rFonts w:ascii="Arial" w:hAnsi="Arial" w:cs="Arial"/>
                <w:color w:val="000000"/>
              </w:rPr>
            </w:pPr>
            <w:proofErr w:type="spellStart"/>
            <w:r w:rsidRPr="000B6FCE">
              <w:rPr>
                <w:rFonts w:ascii="Arial" w:hAnsi="Arial" w:cs="Arial"/>
                <w:color w:val="000000"/>
              </w:rPr>
              <w:t>Ferring</w:t>
            </w:r>
            <w:proofErr w:type="spellEnd"/>
            <w:r w:rsidRPr="000B6FCE">
              <w:rPr>
                <w:rFonts w:ascii="Arial" w:hAnsi="Arial" w:cs="Arial"/>
                <w:color w:val="000000"/>
              </w:rPr>
              <w:t xml:space="preserve"> Pharmaceuticals Pty Ltd</w:t>
            </w:r>
          </w:p>
          <w:p w:rsidR="0073717D" w:rsidRPr="000B6FCE" w:rsidRDefault="0073717D" w:rsidP="00AB756D">
            <w:pPr>
              <w:rPr>
                <w:rFonts w:ascii="Arial" w:hAnsi="Arial" w:cs="Arial"/>
                <w:color w:val="000000"/>
              </w:rPr>
            </w:pPr>
          </w:p>
          <w:p w:rsidR="0073717D" w:rsidRPr="000B6FCE" w:rsidRDefault="0073717D" w:rsidP="00AB756D">
            <w:pPr>
              <w:rPr>
                <w:rFonts w:ascii="Arial" w:hAnsi="Arial" w:cs="Arial"/>
                <w:color w:val="000000"/>
              </w:rPr>
            </w:pPr>
            <w:r w:rsidRPr="000B6FCE">
              <w:rPr>
                <w:rFonts w:ascii="Arial" w:hAnsi="Arial" w:cs="Arial"/>
                <w:color w:val="000000"/>
              </w:rPr>
              <w:t>New listing</w:t>
            </w:r>
          </w:p>
          <w:p w:rsidR="0073717D" w:rsidRPr="000B6FCE" w:rsidRDefault="0073717D" w:rsidP="00AB756D">
            <w:pPr>
              <w:rPr>
                <w:rFonts w:ascii="Arial" w:hAnsi="Arial" w:cs="Arial"/>
                <w:color w:val="000000"/>
              </w:rPr>
            </w:pPr>
          </w:p>
          <w:p w:rsidR="0073717D" w:rsidRPr="000B6FCE" w:rsidRDefault="0073717D" w:rsidP="001A30BC">
            <w:pPr>
              <w:pStyle w:val="Default"/>
              <w:rPr>
                <w:rFonts w:ascii="Arial" w:hAnsi="Arial" w:cs="Arial"/>
                <w:sz w:val="20"/>
                <w:szCs w:val="20"/>
              </w:rPr>
            </w:pPr>
            <w:r w:rsidRPr="000B6FCE">
              <w:rPr>
                <w:rFonts w:ascii="Arial" w:hAnsi="Arial" w:cs="Arial"/>
                <w:sz w:val="20"/>
                <w:szCs w:val="20"/>
              </w:rPr>
              <w:t xml:space="preserve">(Major Submission) </w:t>
            </w:r>
          </w:p>
          <w:p w:rsidR="0073717D" w:rsidRPr="000B6FCE" w:rsidRDefault="0073717D" w:rsidP="00AB756D">
            <w:pPr>
              <w:rPr>
                <w:rFonts w:ascii="Arial" w:hAnsi="Arial" w:cs="Arial"/>
                <w:color w:val="000000"/>
              </w:rPr>
            </w:pPr>
          </w:p>
        </w:tc>
        <w:tc>
          <w:tcPr>
            <w:tcW w:w="2409" w:type="dxa"/>
            <w:vMerge w:val="restart"/>
          </w:tcPr>
          <w:p w:rsidR="0073717D" w:rsidRPr="000B6FCE" w:rsidRDefault="0073717D" w:rsidP="00AF6ADE">
            <w:pPr>
              <w:rPr>
                <w:rFonts w:ascii="Arial" w:hAnsi="Arial" w:cs="Arial"/>
                <w:color w:val="000000"/>
              </w:rPr>
            </w:pPr>
            <w:r w:rsidRPr="000B6FCE">
              <w:rPr>
                <w:rFonts w:ascii="Arial" w:hAnsi="Arial" w:cs="Arial"/>
                <w:color w:val="000000"/>
              </w:rPr>
              <w:t>Unrestricted</w:t>
            </w:r>
          </w:p>
        </w:tc>
        <w:tc>
          <w:tcPr>
            <w:tcW w:w="3261" w:type="dxa"/>
            <w:tcMar>
              <w:top w:w="28" w:type="dxa"/>
              <w:bottom w:w="28" w:type="dxa"/>
            </w:tcMar>
          </w:tcPr>
          <w:p w:rsidR="0073717D" w:rsidRPr="000B6FCE" w:rsidRDefault="0073717D" w:rsidP="00AF6ADE">
            <w:pPr>
              <w:rPr>
                <w:rFonts w:ascii="Arial" w:hAnsi="Arial" w:cs="Arial"/>
                <w:color w:val="000000"/>
              </w:rPr>
            </w:pPr>
            <w:r w:rsidRPr="000B6FCE">
              <w:rPr>
                <w:rFonts w:ascii="Arial" w:hAnsi="Arial" w:cs="Arial"/>
                <w:color w:val="000000"/>
              </w:rPr>
              <w:t>To request an unrestricted listing. The main indication for which listing is sought is for the treatment of patients with mild to moderate active ulcerative colitis.</w:t>
            </w:r>
          </w:p>
        </w:tc>
        <w:tc>
          <w:tcPr>
            <w:tcW w:w="5953" w:type="dxa"/>
          </w:tcPr>
          <w:p w:rsidR="0073717D" w:rsidRDefault="0073717D" w:rsidP="00204F84">
            <w:pPr>
              <w:rPr>
                <w:rFonts w:ascii="Arial" w:hAnsi="Arial" w:cs="Arial"/>
                <w:iCs/>
              </w:rPr>
            </w:pPr>
            <w:r w:rsidRPr="000B6FCE">
              <w:rPr>
                <w:rFonts w:ascii="Arial" w:hAnsi="Arial" w:cs="Arial"/>
                <w:iCs/>
              </w:rPr>
              <w:t>The PBAC did not recommend the listing of budesonide colonic release (CR) tablets on the PBS for the treatment of ulcerative colitis, as the clinical data did not support a claim of non-inferior effectiveness against the budesonide foam enema. The PBAC noted that the indirect comparison did not meet the non-inferiority margin previously accepted by PBAC for budesonide foam enema, and there was a trend toward inferior outcomes.</w:t>
            </w:r>
          </w:p>
          <w:p w:rsidR="00204F84" w:rsidRPr="000B6FCE" w:rsidRDefault="00204F84" w:rsidP="00204F84">
            <w:pPr>
              <w:rPr>
                <w:rFonts w:ascii="Arial" w:hAnsi="Arial" w:cs="Arial"/>
              </w:rPr>
            </w:pPr>
          </w:p>
        </w:tc>
      </w:tr>
      <w:tr w:rsidR="0073717D" w:rsidRPr="000B6FCE" w:rsidTr="00B412BD">
        <w:trPr>
          <w:trHeight w:val="1182"/>
        </w:trPr>
        <w:tc>
          <w:tcPr>
            <w:tcW w:w="3828" w:type="dxa"/>
            <w:vMerge/>
            <w:tcMar>
              <w:top w:w="28" w:type="dxa"/>
              <w:bottom w:w="28" w:type="dxa"/>
            </w:tcMar>
          </w:tcPr>
          <w:p w:rsidR="0073717D" w:rsidRPr="000B6FCE" w:rsidRDefault="0073717D" w:rsidP="00AB756D">
            <w:pPr>
              <w:rPr>
                <w:rFonts w:ascii="Arial" w:hAnsi="Arial" w:cs="Arial"/>
                <w:color w:val="000000"/>
              </w:rPr>
            </w:pPr>
          </w:p>
        </w:tc>
        <w:tc>
          <w:tcPr>
            <w:tcW w:w="2409" w:type="dxa"/>
            <w:vMerge/>
          </w:tcPr>
          <w:p w:rsidR="0073717D" w:rsidRPr="000B6FCE" w:rsidRDefault="0073717D" w:rsidP="00AF6ADE">
            <w:pPr>
              <w:rPr>
                <w:rFonts w:ascii="Arial" w:hAnsi="Arial" w:cs="Arial"/>
                <w:color w:val="000000"/>
              </w:rPr>
            </w:pPr>
          </w:p>
        </w:tc>
        <w:tc>
          <w:tcPr>
            <w:tcW w:w="3261" w:type="dxa"/>
            <w:tcMar>
              <w:top w:w="28" w:type="dxa"/>
              <w:bottom w:w="28" w:type="dxa"/>
            </w:tcMar>
          </w:tcPr>
          <w:p w:rsidR="0073717D" w:rsidRPr="000B6FCE" w:rsidRDefault="0073717D" w:rsidP="00F04FF3">
            <w:pPr>
              <w:jc w:val="right"/>
              <w:rPr>
                <w:rFonts w:ascii="Arial" w:hAnsi="Arial" w:cs="Arial"/>
                <w:color w:val="000000"/>
              </w:rPr>
            </w:pPr>
            <w:r w:rsidRPr="000B6FCE">
              <w:rPr>
                <w:rFonts w:ascii="Arial" w:hAnsi="Arial" w:cs="Arial"/>
                <w:color w:val="000000"/>
              </w:rPr>
              <w:t>Sponsor Response</w:t>
            </w:r>
          </w:p>
        </w:tc>
        <w:tc>
          <w:tcPr>
            <w:tcW w:w="5953" w:type="dxa"/>
            <w:shd w:val="clear" w:color="auto" w:fill="auto"/>
          </w:tcPr>
          <w:p w:rsidR="0073717D" w:rsidRDefault="0073717D" w:rsidP="00204F84">
            <w:pPr>
              <w:pStyle w:val="ListParagraph"/>
              <w:ind w:left="33"/>
              <w:rPr>
                <w:rFonts w:ascii="Arial" w:hAnsi="Arial" w:cs="Arial"/>
                <w:iCs/>
                <w:sz w:val="20"/>
                <w:szCs w:val="20"/>
              </w:rPr>
            </w:pPr>
            <w:proofErr w:type="spellStart"/>
            <w:r w:rsidRPr="000B6FCE">
              <w:rPr>
                <w:rFonts w:ascii="Arial" w:hAnsi="Arial" w:cs="Arial"/>
                <w:iCs/>
                <w:sz w:val="20"/>
                <w:szCs w:val="20"/>
              </w:rPr>
              <w:t>Ferring</w:t>
            </w:r>
            <w:proofErr w:type="spellEnd"/>
            <w:r w:rsidRPr="000B6FCE">
              <w:rPr>
                <w:rFonts w:ascii="Arial" w:hAnsi="Arial" w:cs="Arial"/>
                <w:iCs/>
                <w:sz w:val="20"/>
                <w:szCs w:val="20"/>
              </w:rPr>
              <w:t xml:space="preserve"> is disappointed that the PBAC decided not to recommend CORTIMENT® (budesonide) for the treatment of active ulcerative colitis. Patient bodies and HCPs have indicated that there is a clinical need for additional (orally delivered) therapies, such as CORTIMENT, that have demonstrated to be effective and well tolerated. </w:t>
            </w:r>
            <w:proofErr w:type="spellStart"/>
            <w:r w:rsidRPr="000B6FCE">
              <w:rPr>
                <w:rFonts w:ascii="Arial" w:hAnsi="Arial" w:cs="Arial"/>
                <w:iCs/>
                <w:sz w:val="20"/>
                <w:szCs w:val="20"/>
              </w:rPr>
              <w:t>Ferring</w:t>
            </w:r>
            <w:proofErr w:type="spellEnd"/>
            <w:r w:rsidRPr="000B6FCE">
              <w:rPr>
                <w:rFonts w:ascii="Arial" w:hAnsi="Arial" w:cs="Arial"/>
                <w:iCs/>
                <w:sz w:val="20"/>
                <w:szCs w:val="20"/>
              </w:rPr>
              <w:t xml:space="preserve"> will therefore continue to work with the PBAC to ensure that Australian patients with active ulcerative colitis have access to CORTIMENT.</w:t>
            </w:r>
          </w:p>
          <w:p w:rsidR="00204F84" w:rsidRPr="000B6FCE" w:rsidRDefault="00204F84" w:rsidP="00204F84">
            <w:pPr>
              <w:pStyle w:val="ListParagraph"/>
              <w:ind w:left="33"/>
              <w:rPr>
                <w:rFonts w:ascii="Arial" w:hAnsi="Arial" w:cs="Arial"/>
              </w:rPr>
            </w:pPr>
          </w:p>
        </w:tc>
      </w:tr>
      <w:tr w:rsidR="0073717D" w:rsidRPr="000B6FCE" w:rsidTr="00B412BD">
        <w:trPr>
          <w:trHeight w:val="1956"/>
        </w:trPr>
        <w:tc>
          <w:tcPr>
            <w:tcW w:w="3828" w:type="dxa"/>
            <w:vMerge w:val="restart"/>
            <w:tcMar>
              <w:top w:w="28" w:type="dxa"/>
              <w:bottom w:w="28" w:type="dxa"/>
            </w:tcMar>
          </w:tcPr>
          <w:p w:rsidR="0073717D" w:rsidRPr="000B6FCE" w:rsidRDefault="0073717D" w:rsidP="00AB756D">
            <w:pPr>
              <w:rPr>
                <w:rFonts w:ascii="Arial" w:hAnsi="Arial" w:cs="Arial"/>
                <w:color w:val="000000"/>
              </w:rPr>
            </w:pPr>
            <w:r w:rsidRPr="000B6FCE">
              <w:rPr>
                <w:rFonts w:ascii="Arial" w:hAnsi="Arial" w:cs="Arial"/>
                <w:color w:val="000000"/>
              </w:rPr>
              <w:t xml:space="preserve">BUDESONIDE with EFORMOTEROL </w:t>
            </w:r>
          </w:p>
          <w:p w:rsidR="0073717D" w:rsidRPr="000B6FCE" w:rsidRDefault="0073717D" w:rsidP="00AB756D">
            <w:pPr>
              <w:rPr>
                <w:rFonts w:ascii="Arial" w:hAnsi="Arial" w:cs="Arial"/>
                <w:color w:val="000000"/>
              </w:rPr>
            </w:pPr>
          </w:p>
          <w:p w:rsidR="0073717D" w:rsidRPr="000B6FCE" w:rsidRDefault="0073717D" w:rsidP="00AB756D">
            <w:pPr>
              <w:rPr>
                <w:rFonts w:ascii="Arial" w:hAnsi="Arial" w:cs="Arial"/>
                <w:color w:val="000000"/>
              </w:rPr>
            </w:pPr>
            <w:r w:rsidRPr="000B6FCE">
              <w:rPr>
                <w:rFonts w:ascii="Arial" w:hAnsi="Arial" w:cs="Arial"/>
                <w:color w:val="000000"/>
              </w:rPr>
              <w:t xml:space="preserve">Powder for oral inhalation in breath actuated device containing budesonide 200 micrograms with </w:t>
            </w:r>
            <w:proofErr w:type="spellStart"/>
            <w:r w:rsidRPr="000B6FCE">
              <w:rPr>
                <w:rFonts w:ascii="Arial" w:hAnsi="Arial" w:cs="Arial"/>
                <w:color w:val="000000"/>
              </w:rPr>
              <w:t>eformoterol</w:t>
            </w:r>
            <w:proofErr w:type="spellEnd"/>
            <w:r w:rsidRPr="000B6FCE">
              <w:rPr>
                <w:rFonts w:ascii="Arial" w:hAnsi="Arial" w:cs="Arial"/>
                <w:color w:val="000000"/>
              </w:rPr>
              <w:t xml:space="preserve"> fumarate </w:t>
            </w:r>
            <w:proofErr w:type="spellStart"/>
            <w:r w:rsidRPr="000B6FCE">
              <w:rPr>
                <w:rFonts w:ascii="Arial" w:hAnsi="Arial" w:cs="Arial"/>
                <w:color w:val="000000"/>
              </w:rPr>
              <w:t>dihydrate</w:t>
            </w:r>
            <w:proofErr w:type="spellEnd"/>
            <w:r w:rsidRPr="000B6FCE">
              <w:rPr>
                <w:rFonts w:ascii="Arial" w:hAnsi="Arial" w:cs="Arial"/>
                <w:color w:val="000000"/>
              </w:rPr>
              <w:t xml:space="preserve"> 6 micrograms per dose, 120 doses Powder for oral inhalation in breath actuated device containing budesonide 400 micrograms with </w:t>
            </w:r>
            <w:proofErr w:type="spellStart"/>
            <w:r w:rsidRPr="000B6FCE">
              <w:rPr>
                <w:rFonts w:ascii="Arial" w:hAnsi="Arial" w:cs="Arial"/>
                <w:color w:val="000000"/>
              </w:rPr>
              <w:t>eformoterol</w:t>
            </w:r>
            <w:proofErr w:type="spellEnd"/>
            <w:r w:rsidRPr="000B6FCE">
              <w:rPr>
                <w:rFonts w:ascii="Arial" w:hAnsi="Arial" w:cs="Arial"/>
                <w:color w:val="000000"/>
              </w:rPr>
              <w:t xml:space="preserve"> fumarate </w:t>
            </w:r>
            <w:proofErr w:type="spellStart"/>
            <w:r w:rsidRPr="000B6FCE">
              <w:rPr>
                <w:rFonts w:ascii="Arial" w:hAnsi="Arial" w:cs="Arial"/>
                <w:color w:val="000000"/>
              </w:rPr>
              <w:t>dihydrate</w:t>
            </w:r>
            <w:proofErr w:type="spellEnd"/>
            <w:r w:rsidRPr="000B6FCE">
              <w:rPr>
                <w:rFonts w:ascii="Arial" w:hAnsi="Arial" w:cs="Arial"/>
                <w:color w:val="000000"/>
              </w:rPr>
              <w:t xml:space="preserve"> 12 </w:t>
            </w:r>
            <w:r w:rsidRPr="000B6FCE">
              <w:rPr>
                <w:rFonts w:ascii="Arial" w:hAnsi="Arial" w:cs="Arial"/>
                <w:color w:val="000000"/>
              </w:rPr>
              <w:lastRenderedPageBreak/>
              <w:t xml:space="preserve">micrograms per dose, 120 doses </w:t>
            </w:r>
          </w:p>
          <w:p w:rsidR="0073717D" w:rsidRPr="000B6FCE" w:rsidRDefault="0073717D" w:rsidP="00AB756D">
            <w:pPr>
              <w:rPr>
                <w:rFonts w:ascii="Arial" w:hAnsi="Arial" w:cs="Arial"/>
                <w:color w:val="000000"/>
              </w:rPr>
            </w:pPr>
          </w:p>
          <w:p w:rsidR="0073717D" w:rsidRPr="000B6FCE" w:rsidRDefault="0073717D" w:rsidP="00AB756D">
            <w:pPr>
              <w:rPr>
                <w:rFonts w:ascii="Arial" w:hAnsi="Arial" w:cs="Arial"/>
                <w:color w:val="000000"/>
              </w:rPr>
            </w:pPr>
            <w:proofErr w:type="spellStart"/>
            <w:r w:rsidRPr="000B6FCE">
              <w:rPr>
                <w:rFonts w:ascii="Arial" w:hAnsi="Arial" w:cs="Arial"/>
                <w:color w:val="000000"/>
              </w:rPr>
              <w:t>DuoResp</w:t>
            </w:r>
            <w:proofErr w:type="spellEnd"/>
            <w:r w:rsidRPr="000B6FCE">
              <w:rPr>
                <w:rFonts w:ascii="Arial" w:hAnsi="Arial" w:cs="Arial"/>
                <w:color w:val="000000"/>
              </w:rPr>
              <w:t xml:space="preserve">® </w:t>
            </w:r>
            <w:proofErr w:type="spellStart"/>
            <w:r w:rsidRPr="000B6FCE">
              <w:rPr>
                <w:rFonts w:ascii="Arial" w:hAnsi="Arial" w:cs="Arial"/>
                <w:color w:val="000000"/>
              </w:rPr>
              <w:t>Spiromax</w:t>
            </w:r>
            <w:proofErr w:type="spellEnd"/>
            <w:r w:rsidRPr="000B6FCE">
              <w:rPr>
                <w:rFonts w:ascii="Arial" w:hAnsi="Arial" w:cs="Arial"/>
                <w:color w:val="000000"/>
              </w:rPr>
              <w:t xml:space="preserve"> </w:t>
            </w:r>
          </w:p>
          <w:p w:rsidR="0073717D" w:rsidRPr="000B6FCE" w:rsidRDefault="0073717D" w:rsidP="00AB756D">
            <w:pPr>
              <w:rPr>
                <w:rFonts w:ascii="Arial" w:hAnsi="Arial" w:cs="Arial"/>
                <w:color w:val="000000"/>
              </w:rPr>
            </w:pPr>
          </w:p>
          <w:p w:rsidR="0073717D" w:rsidRPr="000B6FCE" w:rsidRDefault="0073717D" w:rsidP="00AB756D">
            <w:pPr>
              <w:rPr>
                <w:rFonts w:ascii="Arial" w:hAnsi="Arial" w:cs="Arial"/>
                <w:color w:val="000000"/>
              </w:rPr>
            </w:pPr>
            <w:proofErr w:type="spellStart"/>
            <w:r w:rsidRPr="000B6FCE">
              <w:rPr>
                <w:rFonts w:ascii="Arial" w:hAnsi="Arial" w:cs="Arial"/>
                <w:color w:val="000000"/>
              </w:rPr>
              <w:t>Teva</w:t>
            </w:r>
            <w:proofErr w:type="spellEnd"/>
            <w:r w:rsidRPr="000B6FCE">
              <w:rPr>
                <w:rFonts w:ascii="Arial" w:hAnsi="Arial" w:cs="Arial"/>
                <w:color w:val="000000"/>
              </w:rPr>
              <w:t xml:space="preserve"> Pharma Australia Pty Ltd</w:t>
            </w:r>
          </w:p>
          <w:p w:rsidR="0073717D" w:rsidRPr="000B6FCE" w:rsidRDefault="0073717D" w:rsidP="00AB756D">
            <w:pPr>
              <w:rPr>
                <w:rFonts w:ascii="Arial" w:hAnsi="Arial" w:cs="Arial"/>
                <w:color w:val="000000"/>
              </w:rPr>
            </w:pPr>
          </w:p>
          <w:p w:rsidR="0073717D" w:rsidRPr="000B6FCE" w:rsidRDefault="0073717D" w:rsidP="00AB756D">
            <w:pPr>
              <w:rPr>
                <w:rFonts w:ascii="Arial" w:hAnsi="Arial" w:cs="Arial"/>
                <w:color w:val="000000"/>
              </w:rPr>
            </w:pPr>
            <w:r w:rsidRPr="000B6FCE">
              <w:rPr>
                <w:rFonts w:ascii="Arial" w:hAnsi="Arial" w:cs="Arial"/>
                <w:color w:val="000000"/>
              </w:rPr>
              <w:t>New listing</w:t>
            </w:r>
          </w:p>
          <w:p w:rsidR="0073717D" w:rsidRPr="000B6FCE" w:rsidRDefault="0073717D" w:rsidP="00AB756D">
            <w:pPr>
              <w:rPr>
                <w:rFonts w:ascii="Arial" w:hAnsi="Arial" w:cs="Arial"/>
                <w:color w:val="000000"/>
              </w:rPr>
            </w:pPr>
          </w:p>
          <w:p w:rsidR="0073717D" w:rsidRPr="000B6FCE" w:rsidRDefault="0073717D" w:rsidP="00C12F77">
            <w:pPr>
              <w:rPr>
                <w:rFonts w:ascii="Arial" w:hAnsi="Arial" w:cs="Arial"/>
                <w:color w:val="000000"/>
              </w:rPr>
            </w:pPr>
            <w:r w:rsidRPr="000B6FCE">
              <w:rPr>
                <w:rFonts w:ascii="Arial" w:hAnsi="Arial" w:cs="Arial"/>
                <w:color w:val="000000"/>
              </w:rPr>
              <w:t>(Minor Submission)</w:t>
            </w:r>
          </w:p>
        </w:tc>
        <w:tc>
          <w:tcPr>
            <w:tcW w:w="2409" w:type="dxa"/>
            <w:vMerge w:val="restart"/>
          </w:tcPr>
          <w:p w:rsidR="0073717D" w:rsidRPr="000B6FCE" w:rsidRDefault="0073717D" w:rsidP="00AF6ADE">
            <w:pPr>
              <w:rPr>
                <w:rFonts w:ascii="Arial" w:hAnsi="Arial" w:cs="Arial"/>
                <w:color w:val="000000"/>
              </w:rPr>
            </w:pPr>
            <w:r w:rsidRPr="000B6FCE">
              <w:rPr>
                <w:rFonts w:ascii="Arial" w:hAnsi="Arial" w:cs="Arial"/>
                <w:color w:val="000000"/>
              </w:rPr>
              <w:lastRenderedPageBreak/>
              <w:t>Asthma and chronic obstructive pulmonary disease (COPD)</w:t>
            </w:r>
          </w:p>
        </w:tc>
        <w:tc>
          <w:tcPr>
            <w:tcW w:w="3261" w:type="dxa"/>
            <w:tcMar>
              <w:top w:w="28" w:type="dxa"/>
              <w:bottom w:w="28" w:type="dxa"/>
            </w:tcMar>
          </w:tcPr>
          <w:p w:rsidR="0073717D" w:rsidRPr="000B6FCE" w:rsidRDefault="0073717D" w:rsidP="00AF6ADE">
            <w:pPr>
              <w:rPr>
                <w:rFonts w:ascii="Arial" w:hAnsi="Arial" w:cs="Arial"/>
                <w:color w:val="000000"/>
              </w:rPr>
            </w:pPr>
            <w:r w:rsidRPr="000B6FCE">
              <w:rPr>
                <w:rFonts w:ascii="Arial" w:hAnsi="Arial" w:cs="Arial"/>
                <w:color w:val="000000"/>
              </w:rPr>
              <w:t xml:space="preserve">To request a Restricted Benefit listing for a new brand of budesonide with </w:t>
            </w:r>
            <w:proofErr w:type="spellStart"/>
            <w:r w:rsidRPr="000B6FCE">
              <w:rPr>
                <w:rFonts w:ascii="Arial" w:hAnsi="Arial" w:cs="Arial"/>
                <w:color w:val="000000"/>
              </w:rPr>
              <w:t>eformoterol</w:t>
            </w:r>
            <w:proofErr w:type="spellEnd"/>
            <w:r w:rsidRPr="000B6FCE">
              <w:rPr>
                <w:rFonts w:ascii="Arial" w:hAnsi="Arial" w:cs="Arial"/>
                <w:color w:val="000000"/>
              </w:rPr>
              <w:t xml:space="preserve"> (</w:t>
            </w:r>
            <w:proofErr w:type="spellStart"/>
            <w:r w:rsidRPr="000B6FCE">
              <w:rPr>
                <w:rFonts w:ascii="Arial" w:hAnsi="Arial" w:cs="Arial"/>
                <w:color w:val="000000"/>
              </w:rPr>
              <w:t>DuoResp</w:t>
            </w:r>
            <w:proofErr w:type="spellEnd"/>
            <w:r w:rsidRPr="000B6FCE">
              <w:rPr>
                <w:rFonts w:ascii="Arial" w:hAnsi="Arial" w:cs="Arial"/>
                <w:color w:val="000000"/>
              </w:rPr>
              <w:t xml:space="preserve">® </w:t>
            </w:r>
            <w:proofErr w:type="spellStart"/>
            <w:r w:rsidRPr="000B6FCE">
              <w:rPr>
                <w:rFonts w:ascii="Arial" w:hAnsi="Arial" w:cs="Arial"/>
                <w:color w:val="000000"/>
              </w:rPr>
              <w:t>Spiromax</w:t>
            </w:r>
            <w:proofErr w:type="spellEnd"/>
            <w:r w:rsidRPr="000B6FCE">
              <w:rPr>
                <w:rFonts w:ascii="Arial" w:hAnsi="Arial" w:cs="Arial"/>
                <w:color w:val="000000"/>
              </w:rPr>
              <w:t>) for the treatment of patients with asthma and COPD aged 18 years and over.</w:t>
            </w:r>
          </w:p>
        </w:tc>
        <w:tc>
          <w:tcPr>
            <w:tcW w:w="5953" w:type="dxa"/>
          </w:tcPr>
          <w:p w:rsidR="0073717D" w:rsidRDefault="0073717D" w:rsidP="00204F84">
            <w:pPr>
              <w:rPr>
                <w:rFonts w:ascii="Arial" w:hAnsi="Arial" w:cs="Arial"/>
                <w:iCs/>
              </w:rPr>
            </w:pPr>
            <w:r w:rsidRPr="000B6FCE">
              <w:rPr>
                <w:rFonts w:ascii="Arial" w:hAnsi="Arial" w:cs="Arial"/>
                <w:iCs/>
              </w:rPr>
              <w:t xml:space="preserve">The PBAC decided not to recommend a Restricted Benefit listing of a new brand of budesonide with </w:t>
            </w:r>
            <w:proofErr w:type="spellStart"/>
            <w:r w:rsidRPr="000B6FCE">
              <w:rPr>
                <w:rFonts w:ascii="Arial" w:hAnsi="Arial" w:cs="Arial"/>
                <w:iCs/>
              </w:rPr>
              <w:t>eformoterol</w:t>
            </w:r>
            <w:proofErr w:type="spellEnd"/>
            <w:r w:rsidRPr="000B6FCE">
              <w:rPr>
                <w:rFonts w:ascii="Arial" w:hAnsi="Arial" w:cs="Arial"/>
                <w:iCs/>
              </w:rPr>
              <w:t xml:space="preserve">, </w:t>
            </w:r>
            <w:proofErr w:type="spellStart"/>
            <w:r w:rsidRPr="000B6FCE">
              <w:rPr>
                <w:rFonts w:ascii="Arial" w:hAnsi="Arial" w:cs="Arial"/>
                <w:iCs/>
              </w:rPr>
              <w:t>DuoResp</w:t>
            </w:r>
            <w:proofErr w:type="spellEnd"/>
            <w:r w:rsidRPr="000B6FCE">
              <w:rPr>
                <w:rFonts w:ascii="Arial" w:hAnsi="Arial" w:cs="Arial"/>
                <w:iCs/>
              </w:rPr>
              <w:t xml:space="preserve"> </w:t>
            </w:r>
            <w:proofErr w:type="spellStart"/>
            <w:r w:rsidRPr="000B6FCE">
              <w:rPr>
                <w:rFonts w:ascii="Arial" w:hAnsi="Arial" w:cs="Arial"/>
                <w:iCs/>
              </w:rPr>
              <w:t>Spiromax</w:t>
            </w:r>
            <w:proofErr w:type="spellEnd"/>
            <w:r w:rsidRPr="000B6FCE">
              <w:rPr>
                <w:rFonts w:ascii="Arial" w:hAnsi="Arial" w:cs="Arial"/>
                <w:iCs/>
              </w:rPr>
              <w:t xml:space="preserve">®, for the treatment of asthma and COPD due to the inability to back titrate the dose with a similar device. The PBAC also noted that the delivery device for </w:t>
            </w:r>
            <w:proofErr w:type="spellStart"/>
            <w:r w:rsidRPr="000B6FCE">
              <w:rPr>
                <w:rFonts w:ascii="Arial" w:hAnsi="Arial" w:cs="Arial"/>
                <w:iCs/>
              </w:rPr>
              <w:t>DuoResp</w:t>
            </w:r>
            <w:proofErr w:type="spellEnd"/>
            <w:r w:rsidRPr="000B6FCE">
              <w:rPr>
                <w:rFonts w:ascii="Arial" w:hAnsi="Arial" w:cs="Arial"/>
                <w:iCs/>
              </w:rPr>
              <w:t xml:space="preserve"> </w:t>
            </w:r>
            <w:proofErr w:type="spellStart"/>
            <w:r w:rsidRPr="000B6FCE">
              <w:rPr>
                <w:rFonts w:ascii="Arial" w:hAnsi="Arial" w:cs="Arial"/>
                <w:iCs/>
              </w:rPr>
              <w:t>Spiromax</w:t>
            </w:r>
            <w:proofErr w:type="spellEnd"/>
            <w:r w:rsidRPr="000B6FCE">
              <w:rPr>
                <w:rFonts w:ascii="Arial" w:hAnsi="Arial" w:cs="Arial"/>
                <w:iCs/>
              </w:rPr>
              <w:t xml:space="preserve">® was different to the delivery device for </w:t>
            </w:r>
            <w:proofErr w:type="spellStart"/>
            <w:r w:rsidRPr="000B6FCE">
              <w:rPr>
                <w:rFonts w:ascii="Arial" w:hAnsi="Arial" w:cs="Arial"/>
                <w:iCs/>
              </w:rPr>
              <w:t>Symbicort</w:t>
            </w:r>
            <w:proofErr w:type="spellEnd"/>
            <w:r w:rsidRPr="000B6FCE">
              <w:rPr>
                <w:rFonts w:ascii="Arial" w:hAnsi="Arial" w:cs="Arial"/>
                <w:iCs/>
              </w:rPr>
              <w:t xml:space="preserve">® </w:t>
            </w:r>
            <w:proofErr w:type="spellStart"/>
            <w:r w:rsidRPr="000B6FCE">
              <w:rPr>
                <w:rFonts w:ascii="Arial" w:hAnsi="Arial" w:cs="Arial"/>
                <w:iCs/>
              </w:rPr>
              <w:t>Turbuhaler</w:t>
            </w:r>
            <w:proofErr w:type="spellEnd"/>
            <w:r w:rsidRPr="000B6FCE">
              <w:rPr>
                <w:rFonts w:ascii="Arial" w:hAnsi="Arial" w:cs="Arial"/>
                <w:iCs/>
              </w:rPr>
              <w:t xml:space="preserve">® which would require additional patient training in its use which may be confusing to the consumer and compromise patient compliance. </w:t>
            </w:r>
          </w:p>
          <w:p w:rsidR="00204F84" w:rsidRPr="000B6FCE" w:rsidRDefault="00204F84" w:rsidP="00204F84">
            <w:pPr>
              <w:rPr>
                <w:rFonts w:ascii="Arial" w:hAnsi="Arial" w:cs="Arial"/>
                <w:iCs/>
              </w:rPr>
            </w:pPr>
          </w:p>
        </w:tc>
      </w:tr>
      <w:tr w:rsidR="0073717D" w:rsidRPr="000B6FCE" w:rsidTr="00B412BD">
        <w:trPr>
          <w:trHeight w:val="1956"/>
        </w:trPr>
        <w:tc>
          <w:tcPr>
            <w:tcW w:w="3828" w:type="dxa"/>
            <w:vMerge/>
            <w:tcMar>
              <w:top w:w="28" w:type="dxa"/>
              <w:bottom w:w="28" w:type="dxa"/>
            </w:tcMar>
          </w:tcPr>
          <w:p w:rsidR="0073717D" w:rsidRPr="000B6FCE" w:rsidRDefault="0073717D" w:rsidP="00AB756D">
            <w:pPr>
              <w:rPr>
                <w:rFonts w:ascii="Arial" w:hAnsi="Arial" w:cs="Arial"/>
                <w:color w:val="000000"/>
              </w:rPr>
            </w:pPr>
          </w:p>
        </w:tc>
        <w:tc>
          <w:tcPr>
            <w:tcW w:w="2409" w:type="dxa"/>
            <w:vMerge/>
          </w:tcPr>
          <w:p w:rsidR="0073717D" w:rsidRPr="000B6FCE" w:rsidRDefault="0073717D" w:rsidP="00AF6ADE">
            <w:pPr>
              <w:rPr>
                <w:rFonts w:ascii="Arial" w:hAnsi="Arial" w:cs="Arial"/>
                <w:color w:val="000000"/>
              </w:rPr>
            </w:pPr>
          </w:p>
        </w:tc>
        <w:tc>
          <w:tcPr>
            <w:tcW w:w="3261" w:type="dxa"/>
            <w:tcMar>
              <w:top w:w="28" w:type="dxa"/>
              <w:bottom w:w="28" w:type="dxa"/>
            </w:tcMar>
          </w:tcPr>
          <w:p w:rsidR="0073717D" w:rsidRPr="000B6FCE" w:rsidRDefault="0073717D" w:rsidP="00F04FF3">
            <w:pPr>
              <w:jc w:val="right"/>
              <w:rPr>
                <w:rFonts w:ascii="Arial" w:hAnsi="Arial" w:cs="Arial"/>
                <w:color w:val="000000"/>
              </w:rPr>
            </w:pPr>
            <w:r w:rsidRPr="000B6FCE">
              <w:rPr>
                <w:rFonts w:ascii="Arial" w:hAnsi="Arial" w:cs="Arial"/>
                <w:color w:val="000000"/>
              </w:rPr>
              <w:t>Sponsor Response</w:t>
            </w:r>
          </w:p>
        </w:tc>
        <w:tc>
          <w:tcPr>
            <w:tcW w:w="5953" w:type="dxa"/>
            <w:shd w:val="clear" w:color="auto" w:fill="auto"/>
          </w:tcPr>
          <w:p w:rsidR="0073717D" w:rsidRPr="000B6FCE" w:rsidRDefault="0073717D" w:rsidP="00F35AB7">
            <w:pPr>
              <w:pStyle w:val="ListParagraph"/>
              <w:ind w:left="33"/>
              <w:rPr>
                <w:rFonts w:ascii="Arial" w:hAnsi="Arial" w:cs="Arial"/>
                <w:iCs/>
                <w:sz w:val="20"/>
                <w:szCs w:val="20"/>
              </w:rPr>
            </w:pPr>
            <w:r w:rsidRPr="000B6FCE">
              <w:rPr>
                <w:rFonts w:ascii="Arial" w:hAnsi="Arial" w:cs="Arial"/>
                <w:iCs/>
                <w:sz w:val="20"/>
                <w:szCs w:val="20"/>
              </w:rPr>
              <w:t>The Sponsor will continue to work with the department to resolve the identified issues.</w:t>
            </w:r>
          </w:p>
        </w:tc>
      </w:tr>
      <w:tr w:rsidR="0073717D" w:rsidRPr="000B6FCE" w:rsidTr="00B412BD">
        <w:trPr>
          <w:trHeight w:val="1182"/>
        </w:trPr>
        <w:tc>
          <w:tcPr>
            <w:tcW w:w="3828" w:type="dxa"/>
            <w:vMerge w:val="restart"/>
            <w:tcMar>
              <w:top w:w="28" w:type="dxa"/>
              <w:bottom w:w="28" w:type="dxa"/>
            </w:tcMar>
          </w:tcPr>
          <w:p w:rsidR="0073717D" w:rsidRPr="000B6FCE" w:rsidRDefault="0073717D" w:rsidP="00AB756D">
            <w:pPr>
              <w:rPr>
                <w:rFonts w:ascii="Arial" w:hAnsi="Arial" w:cs="Arial"/>
                <w:color w:val="000000"/>
              </w:rPr>
            </w:pPr>
            <w:r w:rsidRPr="000B6FCE">
              <w:rPr>
                <w:rFonts w:ascii="Arial" w:hAnsi="Arial" w:cs="Arial"/>
                <w:color w:val="000000"/>
              </w:rPr>
              <w:lastRenderedPageBreak/>
              <w:t xml:space="preserve">FEBUXOSTAT </w:t>
            </w:r>
          </w:p>
          <w:p w:rsidR="0073717D" w:rsidRPr="000B6FCE" w:rsidRDefault="0073717D" w:rsidP="00AB756D">
            <w:pPr>
              <w:rPr>
                <w:rFonts w:ascii="Arial" w:hAnsi="Arial" w:cs="Arial"/>
                <w:color w:val="000000"/>
              </w:rPr>
            </w:pPr>
          </w:p>
          <w:p w:rsidR="0073717D" w:rsidRPr="000B6FCE" w:rsidRDefault="0073717D" w:rsidP="00AB756D">
            <w:pPr>
              <w:rPr>
                <w:rFonts w:ascii="Arial" w:hAnsi="Arial" w:cs="Arial"/>
                <w:color w:val="000000"/>
              </w:rPr>
            </w:pPr>
            <w:r w:rsidRPr="000B6FCE">
              <w:rPr>
                <w:rFonts w:ascii="Arial" w:hAnsi="Arial" w:cs="Arial"/>
                <w:color w:val="000000"/>
              </w:rPr>
              <w:t xml:space="preserve">Tablet 80 mg </w:t>
            </w:r>
          </w:p>
          <w:p w:rsidR="0073717D" w:rsidRPr="000B6FCE" w:rsidRDefault="0073717D" w:rsidP="00AB756D">
            <w:pPr>
              <w:rPr>
                <w:rFonts w:ascii="Arial" w:hAnsi="Arial" w:cs="Arial"/>
                <w:color w:val="000000"/>
              </w:rPr>
            </w:pPr>
          </w:p>
          <w:p w:rsidR="0073717D" w:rsidRPr="000B6FCE" w:rsidRDefault="0073717D" w:rsidP="00AB756D">
            <w:pPr>
              <w:rPr>
                <w:rFonts w:ascii="Arial" w:hAnsi="Arial" w:cs="Arial"/>
                <w:color w:val="000000"/>
              </w:rPr>
            </w:pPr>
            <w:proofErr w:type="spellStart"/>
            <w:r w:rsidRPr="000B6FCE">
              <w:rPr>
                <w:rFonts w:ascii="Arial" w:hAnsi="Arial" w:cs="Arial"/>
                <w:color w:val="000000"/>
              </w:rPr>
              <w:t>Adenuric</w:t>
            </w:r>
            <w:proofErr w:type="spellEnd"/>
            <w:r w:rsidRPr="000B6FCE">
              <w:rPr>
                <w:rFonts w:ascii="Arial" w:hAnsi="Arial" w:cs="Arial"/>
                <w:color w:val="000000"/>
              </w:rPr>
              <w:t xml:space="preserve">® </w:t>
            </w:r>
          </w:p>
          <w:p w:rsidR="0073717D" w:rsidRPr="000B6FCE" w:rsidRDefault="0073717D" w:rsidP="00AB756D">
            <w:pPr>
              <w:rPr>
                <w:rFonts w:ascii="Arial" w:hAnsi="Arial" w:cs="Arial"/>
                <w:color w:val="000000"/>
              </w:rPr>
            </w:pPr>
          </w:p>
          <w:p w:rsidR="0073717D" w:rsidRPr="000B6FCE" w:rsidRDefault="0073717D" w:rsidP="00AB756D">
            <w:pPr>
              <w:rPr>
                <w:rFonts w:ascii="Arial" w:hAnsi="Arial" w:cs="Arial"/>
                <w:color w:val="000000"/>
              </w:rPr>
            </w:pPr>
            <w:proofErr w:type="spellStart"/>
            <w:r w:rsidRPr="000B6FCE">
              <w:rPr>
                <w:rFonts w:ascii="Arial" w:hAnsi="Arial" w:cs="Arial"/>
                <w:color w:val="000000"/>
              </w:rPr>
              <w:t>A.Menarini</w:t>
            </w:r>
            <w:proofErr w:type="spellEnd"/>
            <w:r w:rsidRPr="000B6FCE">
              <w:rPr>
                <w:rFonts w:ascii="Arial" w:hAnsi="Arial" w:cs="Arial"/>
                <w:color w:val="000000"/>
              </w:rPr>
              <w:t xml:space="preserve"> Australia Pty Ltd</w:t>
            </w:r>
          </w:p>
          <w:p w:rsidR="0073717D" w:rsidRPr="000B6FCE" w:rsidRDefault="0073717D" w:rsidP="00AB756D">
            <w:pPr>
              <w:rPr>
                <w:rFonts w:ascii="Arial" w:hAnsi="Arial" w:cs="Arial"/>
                <w:color w:val="000000"/>
              </w:rPr>
            </w:pPr>
          </w:p>
          <w:p w:rsidR="0073717D" w:rsidRPr="000B6FCE" w:rsidRDefault="0073717D" w:rsidP="00AB756D">
            <w:pPr>
              <w:rPr>
                <w:rFonts w:ascii="Arial" w:hAnsi="Arial" w:cs="Arial"/>
                <w:color w:val="000000"/>
              </w:rPr>
            </w:pPr>
            <w:r w:rsidRPr="000B6FCE">
              <w:rPr>
                <w:rFonts w:ascii="Arial" w:hAnsi="Arial" w:cs="Arial"/>
                <w:color w:val="000000"/>
              </w:rPr>
              <w:t>Change to listing</w:t>
            </w:r>
          </w:p>
          <w:p w:rsidR="0073717D" w:rsidRPr="000B6FCE" w:rsidRDefault="0073717D" w:rsidP="00AB756D">
            <w:pPr>
              <w:rPr>
                <w:rFonts w:ascii="Arial" w:hAnsi="Arial" w:cs="Arial"/>
                <w:color w:val="000000"/>
              </w:rPr>
            </w:pPr>
          </w:p>
          <w:p w:rsidR="0073717D" w:rsidRPr="000B6FCE" w:rsidRDefault="0073717D" w:rsidP="00AB756D">
            <w:pPr>
              <w:rPr>
                <w:rFonts w:ascii="Arial" w:hAnsi="Arial" w:cs="Arial"/>
                <w:color w:val="000000"/>
              </w:rPr>
            </w:pPr>
            <w:r w:rsidRPr="000B6FCE">
              <w:rPr>
                <w:rFonts w:ascii="Arial" w:hAnsi="Arial" w:cs="Arial"/>
                <w:color w:val="000000"/>
              </w:rPr>
              <w:t>(Minor Submission)</w:t>
            </w:r>
          </w:p>
        </w:tc>
        <w:tc>
          <w:tcPr>
            <w:tcW w:w="2409" w:type="dxa"/>
            <w:vMerge w:val="restart"/>
          </w:tcPr>
          <w:p w:rsidR="0073717D" w:rsidRPr="000B6FCE" w:rsidRDefault="0073717D" w:rsidP="00AF6ADE">
            <w:pPr>
              <w:rPr>
                <w:rFonts w:ascii="Arial" w:hAnsi="Arial" w:cs="Arial"/>
                <w:color w:val="000000"/>
              </w:rPr>
            </w:pPr>
            <w:r w:rsidRPr="000B6FCE">
              <w:rPr>
                <w:rFonts w:ascii="Arial" w:hAnsi="Arial" w:cs="Arial"/>
                <w:color w:val="000000"/>
              </w:rPr>
              <w:t>Chronic gout</w:t>
            </w:r>
          </w:p>
        </w:tc>
        <w:tc>
          <w:tcPr>
            <w:tcW w:w="3261" w:type="dxa"/>
            <w:tcMar>
              <w:top w:w="28" w:type="dxa"/>
              <w:bottom w:w="28" w:type="dxa"/>
            </w:tcMar>
          </w:tcPr>
          <w:p w:rsidR="0073717D" w:rsidRPr="000B6FCE" w:rsidRDefault="0073717D" w:rsidP="00AF6ADE">
            <w:pPr>
              <w:rPr>
                <w:rFonts w:ascii="Arial" w:hAnsi="Arial" w:cs="Arial"/>
                <w:color w:val="000000"/>
              </w:rPr>
            </w:pPr>
            <w:r w:rsidRPr="000B6FCE">
              <w:rPr>
                <w:rFonts w:ascii="Arial" w:hAnsi="Arial" w:cs="Arial"/>
                <w:color w:val="000000"/>
              </w:rPr>
              <w:t>To request the current Authority Required listing be changed to Authority Required (STREAMLINED).</w:t>
            </w:r>
          </w:p>
        </w:tc>
        <w:tc>
          <w:tcPr>
            <w:tcW w:w="5953" w:type="dxa"/>
          </w:tcPr>
          <w:p w:rsidR="0073717D" w:rsidRPr="000B6FCE" w:rsidRDefault="0073717D" w:rsidP="006F0556">
            <w:pPr>
              <w:rPr>
                <w:rFonts w:ascii="Arial" w:hAnsi="Arial" w:cs="Arial"/>
                <w:iCs/>
              </w:rPr>
            </w:pPr>
            <w:r w:rsidRPr="000B6FCE">
              <w:rPr>
                <w:rFonts w:ascii="Arial" w:hAnsi="Arial" w:cs="Arial"/>
                <w:iCs/>
              </w:rPr>
              <w:t xml:space="preserve">The PBAC did not recommend amending the current Authority Required listing of </w:t>
            </w:r>
            <w:proofErr w:type="spellStart"/>
            <w:r w:rsidRPr="000B6FCE">
              <w:rPr>
                <w:rFonts w:ascii="Arial" w:hAnsi="Arial" w:cs="Arial"/>
                <w:iCs/>
              </w:rPr>
              <w:t>febuxostat</w:t>
            </w:r>
            <w:proofErr w:type="spellEnd"/>
            <w:r w:rsidRPr="000B6FCE">
              <w:rPr>
                <w:rFonts w:ascii="Arial" w:hAnsi="Arial" w:cs="Arial"/>
                <w:iCs/>
              </w:rPr>
              <w:t xml:space="preserve"> for treatment of chronic gout to Authority Required (STREAMLINED). The PBAC considered an Authority Required restriction remained appropriate to prevent the risk of prescribing behaviour outside of the current PBS restriction.</w:t>
            </w:r>
          </w:p>
          <w:p w:rsidR="0073717D" w:rsidRPr="000B6FCE" w:rsidRDefault="0073717D" w:rsidP="006F0556">
            <w:pPr>
              <w:rPr>
                <w:rFonts w:ascii="Arial" w:hAnsi="Arial" w:cs="Arial"/>
                <w:iCs/>
              </w:rPr>
            </w:pPr>
          </w:p>
        </w:tc>
      </w:tr>
      <w:tr w:rsidR="0073717D" w:rsidRPr="000B6FCE" w:rsidTr="00B412BD">
        <w:trPr>
          <w:trHeight w:val="1079"/>
        </w:trPr>
        <w:tc>
          <w:tcPr>
            <w:tcW w:w="3828" w:type="dxa"/>
            <w:vMerge/>
            <w:tcMar>
              <w:top w:w="28" w:type="dxa"/>
              <w:bottom w:w="28" w:type="dxa"/>
            </w:tcMar>
          </w:tcPr>
          <w:p w:rsidR="0073717D" w:rsidRPr="000B6FCE" w:rsidRDefault="0073717D" w:rsidP="00AB756D">
            <w:pPr>
              <w:rPr>
                <w:rFonts w:ascii="Arial" w:hAnsi="Arial" w:cs="Arial"/>
                <w:color w:val="000000"/>
              </w:rPr>
            </w:pPr>
          </w:p>
        </w:tc>
        <w:tc>
          <w:tcPr>
            <w:tcW w:w="2409" w:type="dxa"/>
            <w:vMerge/>
          </w:tcPr>
          <w:p w:rsidR="0073717D" w:rsidRPr="000B6FCE" w:rsidRDefault="0073717D" w:rsidP="00AF6ADE">
            <w:pPr>
              <w:rPr>
                <w:rFonts w:ascii="Arial" w:hAnsi="Arial" w:cs="Arial"/>
                <w:color w:val="000000"/>
              </w:rPr>
            </w:pPr>
          </w:p>
        </w:tc>
        <w:tc>
          <w:tcPr>
            <w:tcW w:w="3261" w:type="dxa"/>
            <w:tcMar>
              <w:top w:w="28" w:type="dxa"/>
              <w:bottom w:w="28" w:type="dxa"/>
            </w:tcMar>
          </w:tcPr>
          <w:p w:rsidR="0073717D" w:rsidRPr="000B6FCE" w:rsidRDefault="0073717D" w:rsidP="00F04FF3">
            <w:pPr>
              <w:jc w:val="right"/>
              <w:rPr>
                <w:rFonts w:ascii="Arial" w:hAnsi="Arial" w:cs="Arial"/>
                <w:color w:val="000000"/>
              </w:rPr>
            </w:pPr>
            <w:r w:rsidRPr="000B6FCE">
              <w:rPr>
                <w:rFonts w:ascii="Arial" w:hAnsi="Arial" w:cs="Arial"/>
                <w:color w:val="000000"/>
              </w:rPr>
              <w:t>Sponsor Response</w:t>
            </w:r>
          </w:p>
        </w:tc>
        <w:tc>
          <w:tcPr>
            <w:tcW w:w="5953" w:type="dxa"/>
          </w:tcPr>
          <w:p w:rsidR="0073717D" w:rsidRPr="000B6FCE" w:rsidRDefault="0073717D" w:rsidP="004658E6">
            <w:pPr>
              <w:rPr>
                <w:rFonts w:ascii="Arial" w:hAnsi="Arial" w:cs="Arial"/>
                <w:iCs/>
              </w:rPr>
            </w:pPr>
            <w:proofErr w:type="spellStart"/>
            <w:r w:rsidRPr="000B6FCE">
              <w:rPr>
                <w:rFonts w:ascii="Arial" w:hAnsi="Arial" w:cs="Arial"/>
                <w:iCs/>
              </w:rPr>
              <w:t>A.Menarini</w:t>
            </w:r>
            <w:proofErr w:type="spellEnd"/>
            <w:r w:rsidRPr="000B6FCE">
              <w:rPr>
                <w:rFonts w:ascii="Arial" w:hAnsi="Arial" w:cs="Arial"/>
                <w:iCs/>
              </w:rPr>
              <w:t xml:space="preserve"> remains committed to working with the PBAC to streamline access to </w:t>
            </w:r>
            <w:proofErr w:type="spellStart"/>
            <w:r w:rsidRPr="000B6FCE">
              <w:rPr>
                <w:rFonts w:ascii="Arial" w:hAnsi="Arial" w:cs="Arial"/>
                <w:iCs/>
              </w:rPr>
              <w:t>febuxostat</w:t>
            </w:r>
            <w:proofErr w:type="spellEnd"/>
            <w:r w:rsidRPr="000B6FCE">
              <w:rPr>
                <w:rFonts w:ascii="Arial" w:hAnsi="Arial" w:cs="Arial"/>
                <w:iCs/>
              </w:rPr>
              <w:t xml:space="preserve"> for all patients who qualify under the previously agreed clinical criteria.</w:t>
            </w:r>
          </w:p>
        </w:tc>
      </w:tr>
      <w:tr w:rsidR="0073717D" w:rsidRPr="000B6FCE" w:rsidTr="00B412BD">
        <w:trPr>
          <w:trHeight w:val="1722"/>
        </w:trPr>
        <w:tc>
          <w:tcPr>
            <w:tcW w:w="3828" w:type="dxa"/>
            <w:vMerge w:val="restart"/>
            <w:tcMar>
              <w:top w:w="28" w:type="dxa"/>
              <w:bottom w:w="28" w:type="dxa"/>
            </w:tcMar>
          </w:tcPr>
          <w:p w:rsidR="0073717D" w:rsidRPr="000B6FCE" w:rsidRDefault="0073717D" w:rsidP="001B4966">
            <w:pPr>
              <w:rPr>
                <w:rFonts w:ascii="Arial" w:hAnsi="Arial" w:cs="Arial"/>
                <w:color w:val="000000"/>
              </w:rPr>
            </w:pPr>
            <w:r w:rsidRPr="000B6FCE">
              <w:rPr>
                <w:rFonts w:ascii="Arial" w:hAnsi="Arial" w:cs="Arial"/>
              </w:rPr>
              <w:br w:type="page"/>
            </w:r>
            <w:r w:rsidRPr="000B6FCE">
              <w:rPr>
                <w:rFonts w:ascii="Arial" w:hAnsi="Arial" w:cs="Arial"/>
                <w:color w:val="000000"/>
              </w:rPr>
              <w:t xml:space="preserve">GLATIRAMER </w:t>
            </w:r>
          </w:p>
          <w:p w:rsidR="0073717D" w:rsidRPr="000B6FCE" w:rsidRDefault="0073717D" w:rsidP="001B4966">
            <w:pPr>
              <w:rPr>
                <w:rFonts w:ascii="Arial" w:hAnsi="Arial" w:cs="Arial"/>
                <w:color w:val="000000"/>
              </w:rPr>
            </w:pPr>
          </w:p>
          <w:p w:rsidR="0073717D" w:rsidRPr="000B6FCE" w:rsidRDefault="0073717D" w:rsidP="001B4966">
            <w:pPr>
              <w:rPr>
                <w:rFonts w:ascii="Arial" w:hAnsi="Arial" w:cs="Arial"/>
                <w:color w:val="000000"/>
              </w:rPr>
            </w:pPr>
            <w:r w:rsidRPr="000B6FCE">
              <w:rPr>
                <w:rFonts w:ascii="Arial" w:hAnsi="Arial" w:cs="Arial"/>
                <w:color w:val="000000"/>
              </w:rPr>
              <w:t xml:space="preserve">Injection containing </w:t>
            </w:r>
            <w:proofErr w:type="spellStart"/>
            <w:r w:rsidRPr="000B6FCE">
              <w:rPr>
                <w:rFonts w:ascii="Arial" w:hAnsi="Arial" w:cs="Arial"/>
                <w:color w:val="000000"/>
              </w:rPr>
              <w:t>glatiramer</w:t>
            </w:r>
            <w:proofErr w:type="spellEnd"/>
            <w:r w:rsidRPr="000B6FCE">
              <w:rPr>
                <w:rFonts w:ascii="Arial" w:hAnsi="Arial" w:cs="Arial"/>
                <w:color w:val="000000"/>
              </w:rPr>
              <w:t xml:space="preserve"> acetate 20 mg in 1 mL single dose pre-filled syringe </w:t>
            </w:r>
          </w:p>
          <w:p w:rsidR="0073717D" w:rsidRPr="000B6FCE" w:rsidRDefault="0073717D" w:rsidP="001B4966">
            <w:pPr>
              <w:rPr>
                <w:rFonts w:ascii="Arial" w:hAnsi="Arial" w:cs="Arial"/>
                <w:color w:val="000000"/>
              </w:rPr>
            </w:pPr>
            <w:r w:rsidRPr="000B6FCE">
              <w:rPr>
                <w:rFonts w:ascii="Arial" w:hAnsi="Arial" w:cs="Arial"/>
                <w:color w:val="000000"/>
              </w:rPr>
              <w:t xml:space="preserve">Injection containing </w:t>
            </w:r>
            <w:proofErr w:type="spellStart"/>
            <w:r w:rsidRPr="000B6FCE">
              <w:rPr>
                <w:rFonts w:ascii="Arial" w:hAnsi="Arial" w:cs="Arial"/>
                <w:color w:val="000000"/>
              </w:rPr>
              <w:t>glatiramer</w:t>
            </w:r>
            <w:proofErr w:type="spellEnd"/>
            <w:r w:rsidRPr="000B6FCE">
              <w:rPr>
                <w:rFonts w:ascii="Arial" w:hAnsi="Arial" w:cs="Arial"/>
                <w:color w:val="000000"/>
              </w:rPr>
              <w:t xml:space="preserve"> acetate 40 mg in 1 mL single dose pre-filled syringe</w:t>
            </w:r>
          </w:p>
          <w:p w:rsidR="0073717D" w:rsidRPr="000B6FCE" w:rsidRDefault="0073717D" w:rsidP="001B4966">
            <w:pPr>
              <w:rPr>
                <w:rFonts w:ascii="Arial" w:hAnsi="Arial" w:cs="Arial"/>
                <w:color w:val="000000"/>
              </w:rPr>
            </w:pPr>
          </w:p>
          <w:p w:rsidR="0073717D" w:rsidRPr="000B6FCE" w:rsidRDefault="0073717D" w:rsidP="001B4966">
            <w:pPr>
              <w:rPr>
                <w:rFonts w:ascii="Arial" w:hAnsi="Arial" w:cs="Arial"/>
                <w:color w:val="000000"/>
              </w:rPr>
            </w:pPr>
            <w:proofErr w:type="spellStart"/>
            <w:r w:rsidRPr="000B6FCE">
              <w:rPr>
                <w:rFonts w:ascii="Arial" w:hAnsi="Arial" w:cs="Arial"/>
                <w:color w:val="000000"/>
              </w:rPr>
              <w:t>Copaxone</w:t>
            </w:r>
            <w:proofErr w:type="spellEnd"/>
            <w:r w:rsidRPr="000B6FCE">
              <w:rPr>
                <w:rFonts w:ascii="Arial" w:hAnsi="Arial" w:cs="Arial"/>
                <w:color w:val="000000"/>
              </w:rPr>
              <w:t xml:space="preserve">® </w:t>
            </w:r>
          </w:p>
          <w:p w:rsidR="0073717D" w:rsidRPr="000B6FCE" w:rsidRDefault="0073717D" w:rsidP="001B4966">
            <w:pPr>
              <w:rPr>
                <w:rFonts w:ascii="Arial" w:hAnsi="Arial" w:cs="Arial"/>
                <w:color w:val="000000"/>
              </w:rPr>
            </w:pPr>
          </w:p>
          <w:p w:rsidR="0073717D" w:rsidRPr="000B6FCE" w:rsidRDefault="0073717D" w:rsidP="001B4966">
            <w:pPr>
              <w:rPr>
                <w:rFonts w:ascii="Arial" w:hAnsi="Arial" w:cs="Arial"/>
                <w:color w:val="000000"/>
              </w:rPr>
            </w:pPr>
            <w:proofErr w:type="spellStart"/>
            <w:r w:rsidRPr="000B6FCE">
              <w:rPr>
                <w:rFonts w:ascii="Arial" w:hAnsi="Arial" w:cs="Arial"/>
                <w:color w:val="000000"/>
              </w:rPr>
              <w:t>Teva</w:t>
            </w:r>
            <w:proofErr w:type="spellEnd"/>
            <w:r w:rsidRPr="000B6FCE">
              <w:rPr>
                <w:rFonts w:ascii="Arial" w:hAnsi="Arial" w:cs="Arial"/>
                <w:color w:val="000000"/>
              </w:rPr>
              <w:t xml:space="preserve"> Pharma Australia Pty Ltd</w:t>
            </w:r>
          </w:p>
          <w:p w:rsidR="0073717D" w:rsidRPr="000B6FCE" w:rsidRDefault="0073717D" w:rsidP="001B4966">
            <w:pPr>
              <w:rPr>
                <w:rFonts w:ascii="Arial" w:hAnsi="Arial" w:cs="Arial"/>
                <w:color w:val="000000"/>
              </w:rPr>
            </w:pPr>
          </w:p>
          <w:p w:rsidR="0073717D" w:rsidRPr="000B6FCE" w:rsidRDefault="0073717D" w:rsidP="001B4966">
            <w:pPr>
              <w:rPr>
                <w:rFonts w:ascii="Arial" w:hAnsi="Arial" w:cs="Arial"/>
                <w:color w:val="000000"/>
              </w:rPr>
            </w:pPr>
            <w:r w:rsidRPr="000B6FCE">
              <w:rPr>
                <w:rFonts w:ascii="Arial" w:hAnsi="Arial" w:cs="Arial"/>
                <w:color w:val="000000"/>
              </w:rPr>
              <w:t>Change to listing</w:t>
            </w:r>
          </w:p>
          <w:p w:rsidR="0073717D" w:rsidRPr="000B6FCE" w:rsidRDefault="0073717D" w:rsidP="001B4966">
            <w:pPr>
              <w:rPr>
                <w:rFonts w:ascii="Arial" w:hAnsi="Arial" w:cs="Arial"/>
                <w:color w:val="000000"/>
              </w:rPr>
            </w:pPr>
          </w:p>
          <w:p w:rsidR="0073717D" w:rsidRPr="000B6FCE" w:rsidRDefault="0073717D" w:rsidP="00F44804">
            <w:pPr>
              <w:pStyle w:val="Default"/>
              <w:rPr>
                <w:rFonts w:ascii="Arial" w:hAnsi="Arial" w:cs="Arial"/>
                <w:sz w:val="20"/>
                <w:szCs w:val="20"/>
              </w:rPr>
            </w:pPr>
            <w:r w:rsidRPr="000B6FCE">
              <w:rPr>
                <w:rFonts w:ascii="Arial" w:hAnsi="Arial" w:cs="Arial"/>
                <w:sz w:val="20"/>
                <w:szCs w:val="20"/>
              </w:rPr>
              <w:lastRenderedPageBreak/>
              <w:t xml:space="preserve">(Major Submission) </w:t>
            </w:r>
          </w:p>
          <w:p w:rsidR="0073717D" w:rsidRPr="000B6FCE" w:rsidRDefault="0073717D" w:rsidP="001B4966">
            <w:pPr>
              <w:rPr>
                <w:rFonts w:ascii="Arial" w:hAnsi="Arial" w:cs="Arial"/>
                <w:color w:val="000000"/>
              </w:rPr>
            </w:pPr>
          </w:p>
        </w:tc>
        <w:tc>
          <w:tcPr>
            <w:tcW w:w="2409" w:type="dxa"/>
            <w:vMerge w:val="restart"/>
          </w:tcPr>
          <w:p w:rsidR="0073717D" w:rsidRPr="000B6FCE" w:rsidRDefault="0073717D" w:rsidP="00F44804">
            <w:pPr>
              <w:jc w:val="center"/>
              <w:rPr>
                <w:rFonts w:ascii="Arial" w:hAnsi="Arial" w:cs="Arial"/>
              </w:rPr>
            </w:pPr>
            <w:r w:rsidRPr="000B6FCE">
              <w:rPr>
                <w:rFonts w:ascii="Arial" w:hAnsi="Arial" w:cs="Arial"/>
                <w:color w:val="000000"/>
              </w:rPr>
              <w:lastRenderedPageBreak/>
              <w:t>Clinically isolated syndrome (CIS)</w:t>
            </w:r>
          </w:p>
        </w:tc>
        <w:tc>
          <w:tcPr>
            <w:tcW w:w="3261" w:type="dxa"/>
            <w:tcMar>
              <w:top w:w="28" w:type="dxa"/>
              <w:bottom w:w="28" w:type="dxa"/>
            </w:tcMar>
          </w:tcPr>
          <w:p w:rsidR="0073717D" w:rsidRPr="000B6FCE" w:rsidRDefault="0073717D" w:rsidP="001B4966">
            <w:pPr>
              <w:rPr>
                <w:rFonts w:ascii="Arial" w:hAnsi="Arial" w:cs="Arial"/>
                <w:color w:val="000000"/>
              </w:rPr>
            </w:pPr>
            <w:r w:rsidRPr="000B6FCE">
              <w:rPr>
                <w:rFonts w:ascii="Arial" w:hAnsi="Arial" w:cs="Arial"/>
                <w:color w:val="000000"/>
              </w:rPr>
              <w:t>To request an Authority Required (STREAMLINED) listing for the treatment of patients with CIS under certain conditions.</w:t>
            </w:r>
          </w:p>
        </w:tc>
        <w:tc>
          <w:tcPr>
            <w:tcW w:w="5953" w:type="dxa"/>
          </w:tcPr>
          <w:p w:rsidR="0073717D" w:rsidRPr="000B6FCE" w:rsidRDefault="0073717D" w:rsidP="003118AD">
            <w:pPr>
              <w:rPr>
                <w:rFonts w:ascii="Arial" w:hAnsi="Arial" w:cs="Arial"/>
                <w:color w:val="222222"/>
              </w:rPr>
            </w:pPr>
            <w:r w:rsidRPr="000B6FCE">
              <w:rPr>
                <w:rFonts w:ascii="Arial" w:hAnsi="Arial" w:cs="Arial"/>
                <w:color w:val="222222"/>
              </w:rPr>
              <w:t xml:space="preserve">The PBAC did not recommend the listing of </w:t>
            </w:r>
            <w:proofErr w:type="spellStart"/>
            <w:r w:rsidRPr="000B6FCE">
              <w:rPr>
                <w:rFonts w:ascii="Arial" w:hAnsi="Arial" w:cs="Arial"/>
                <w:color w:val="222222"/>
              </w:rPr>
              <w:t>glatiramer</w:t>
            </w:r>
            <w:proofErr w:type="spellEnd"/>
            <w:r w:rsidRPr="000B6FCE">
              <w:rPr>
                <w:rFonts w:ascii="Arial" w:hAnsi="Arial" w:cs="Arial"/>
                <w:color w:val="222222"/>
              </w:rPr>
              <w:t xml:space="preserve"> acetate for the treatment of patients with clinically isolated syndrome (CIS), on the basis of uncertainty regarding the clinical benefit and resulting cost-effectiveness, concerns about the plausibility of assumptions used in the economic model, and uncertainty with the utilisation estimates associated with difficulties in defining the target PBS population.</w:t>
            </w:r>
          </w:p>
          <w:p w:rsidR="0073717D" w:rsidRPr="000B6FCE" w:rsidRDefault="0073717D" w:rsidP="003118AD">
            <w:pPr>
              <w:rPr>
                <w:rFonts w:ascii="Arial" w:hAnsi="Arial" w:cs="Arial"/>
                <w:color w:val="222222"/>
              </w:rPr>
            </w:pPr>
          </w:p>
          <w:p w:rsidR="0073717D" w:rsidRPr="000B6FCE" w:rsidRDefault="0073717D" w:rsidP="003118AD">
            <w:pPr>
              <w:rPr>
                <w:rFonts w:ascii="Arial" w:hAnsi="Arial" w:cs="Arial"/>
                <w:color w:val="222222"/>
              </w:rPr>
            </w:pPr>
            <w:r w:rsidRPr="000B6FCE">
              <w:rPr>
                <w:rFonts w:ascii="Arial" w:hAnsi="Arial" w:cs="Arial"/>
                <w:color w:val="222222"/>
              </w:rPr>
              <w:t xml:space="preserve">The PBAC noted the consumer comments and acknowledged that there was a need to address the current PBS criteria for treatments for relapsing remitting multiple sclerosis (RRMS). However, the PBAC considered that this was an issue applicable for all PBS listed medicines for RRMS, and not isolated to </w:t>
            </w:r>
            <w:proofErr w:type="spellStart"/>
            <w:r w:rsidRPr="000B6FCE">
              <w:rPr>
                <w:rFonts w:ascii="Arial" w:hAnsi="Arial" w:cs="Arial"/>
                <w:color w:val="222222"/>
              </w:rPr>
              <w:t>glatiramer</w:t>
            </w:r>
            <w:proofErr w:type="spellEnd"/>
            <w:r w:rsidRPr="000B6FCE">
              <w:rPr>
                <w:rFonts w:ascii="Arial" w:hAnsi="Arial" w:cs="Arial"/>
                <w:color w:val="222222"/>
              </w:rPr>
              <w:t xml:space="preserve"> acetate.</w:t>
            </w:r>
          </w:p>
          <w:p w:rsidR="0073717D" w:rsidRPr="000B6FCE" w:rsidRDefault="0073717D" w:rsidP="003118AD">
            <w:pPr>
              <w:rPr>
                <w:rFonts w:ascii="Arial" w:hAnsi="Arial" w:cs="Arial"/>
                <w:color w:val="222222"/>
              </w:rPr>
            </w:pPr>
          </w:p>
          <w:p w:rsidR="0073717D" w:rsidRPr="000B6FCE" w:rsidRDefault="0073717D" w:rsidP="003118AD">
            <w:pPr>
              <w:rPr>
                <w:rFonts w:ascii="Arial" w:hAnsi="Arial" w:cs="Arial"/>
                <w:color w:val="222222"/>
              </w:rPr>
            </w:pPr>
            <w:r w:rsidRPr="000B6FCE">
              <w:rPr>
                <w:rFonts w:ascii="Arial" w:hAnsi="Arial" w:cs="Arial"/>
                <w:color w:val="222222"/>
              </w:rPr>
              <w:lastRenderedPageBreak/>
              <w:t xml:space="preserve">The PBAC considered that the requested restriction, which included only patients with clinically isolated syndrome at high risk of developing clinically definite multiple sclerosis, was narrowly defined and may exclude patients likely to benefit from treatment. The PBAC was concerned that there was insufficient clinical evidence to determine whether the treatment effect of </w:t>
            </w:r>
            <w:proofErr w:type="spellStart"/>
            <w:r w:rsidRPr="000B6FCE">
              <w:rPr>
                <w:rFonts w:ascii="Arial" w:hAnsi="Arial" w:cs="Arial"/>
                <w:color w:val="222222"/>
              </w:rPr>
              <w:t>glatiramer</w:t>
            </w:r>
            <w:proofErr w:type="spellEnd"/>
            <w:r w:rsidRPr="000B6FCE">
              <w:rPr>
                <w:rFonts w:ascii="Arial" w:hAnsi="Arial" w:cs="Arial"/>
                <w:color w:val="222222"/>
              </w:rPr>
              <w:t xml:space="preserve"> acetate in the overall trial population would be the same in the proposed high risk group.</w:t>
            </w:r>
          </w:p>
          <w:p w:rsidR="0073717D" w:rsidRPr="000B6FCE" w:rsidRDefault="0073717D" w:rsidP="003118AD">
            <w:pPr>
              <w:rPr>
                <w:rFonts w:ascii="Arial" w:hAnsi="Arial" w:cs="Arial"/>
                <w:color w:val="222222"/>
              </w:rPr>
            </w:pPr>
          </w:p>
          <w:p w:rsidR="0073717D" w:rsidRPr="000B6FCE" w:rsidRDefault="0073717D" w:rsidP="003118AD">
            <w:pPr>
              <w:rPr>
                <w:rFonts w:ascii="Arial" w:hAnsi="Arial" w:cs="Arial"/>
                <w:color w:val="222222"/>
              </w:rPr>
            </w:pPr>
            <w:r w:rsidRPr="000B6FCE">
              <w:rPr>
                <w:rFonts w:ascii="Arial" w:hAnsi="Arial" w:cs="Arial"/>
                <w:color w:val="222222"/>
              </w:rPr>
              <w:t>The PBAC accepted placebo as the appropriate main comparator.</w:t>
            </w:r>
          </w:p>
          <w:p w:rsidR="0073717D" w:rsidRPr="000B6FCE" w:rsidRDefault="0073717D" w:rsidP="003118AD">
            <w:pPr>
              <w:rPr>
                <w:rFonts w:ascii="Arial" w:hAnsi="Arial" w:cs="Arial"/>
                <w:color w:val="222222"/>
              </w:rPr>
            </w:pPr>
          </w:p>
          <w:p w:rsidR="0073717D" w:rsidRPr="000B6FCE" w:rsidRDefault="0073717D" w:rsidP="003118AD">
            <w:pPr>
              <w:rPr>
                <w:rFonts w:ascii="Arial" w:hAnsi="Arial" w:cs="Arial"/>
                <w:color w:val="222222"/>
              </w:rPr>
            </w:pPr>
            <w:r w:rsidRPr="000B6FCE">
              <w:rPr>
                <w:rFonts w:ascii="Arial" w:hAnsi="Arial" w:cs="Arial"/>
                <w:color w:val="222222"/>
              </w:rPr>
              <w:t xml:space="preserve">The PBAC considered that the claim of superior comparative effectiveness of </w:t>
            </w:r>
            <w:proofErr w:type="spellStart"/>
            <w:r w:rsidRPr="000B6FCE">
              <w:rPr>
                <w:rFonts w:ascii="Arial" w:hAnsi="Arial" w:cs="Arial"/>
                <w:color w:val="222222"/>
              </w:rPr>
              <w:t>glatiramer</w:t>
            </w:r>
            <w:proofErr w:type="spellEnd"/>
            <w:r w:rsidRPr="000B6FCE">
              <w:rPr>
                <w:rFonts w:ascii="Arial" w:hAnsi="Arial" w:cs="Arial"/>
                <w:color w:val="222222"/>
              </w:rPr>
              <w:t xml:space="preserve"> acetate compared to placebo was reasonable only for the primary outcome of extension of time to diagnosis with clinically definite multiple sclerosis as defined by the Poser criteria (not the McDonald criteria) within the placebo-controlled phase of the supporting trial. The PBAC considered the claims of superior comparative effectiveness for the outcomes of disability progression and quality of life outcomes were not adequately supported. The PBAC considered the claim of inferior, but tolerable, comparative safety of </w:t>
            </w:r>
            <w:proofErr w:type="spellStart"/>
            <w:r w:rsidRPr="000B6FCE">
              <w:rPr>
                <w:rFonts w:ascii="Arial" w:hAnsi="Arial" w:cs="Arial"/>
                <w:color w:val="222222"/>
              </w:rPr>
              <w:t>glatiramer</w:t>
            </w:r>
            <w:proofErr w:type="spellEnd"/>
            <w:r w:rsidRPr="000B6FCE">
              <w:rPr>
                <w:rFonts w:ascii="Arial" w:hAnsi="Arial" w:cs="Arial"/>
                <w:color w:val="222222"/>
              </w:rPr>
              <w:t xml:space="preserve"> acetate versus placebo was adequately supported.</w:t>
            </w:r>
          </w:p>
          <w:p w:rsidR="0073717D" w:rsidRPr="000B6FCE" w:rsidRDefault="0073717D" w:rsidP="003118AD">
            <w:pPr>
              <w:rPr>
                <w:rFonts w:ascii="Arial" w:hAnsi="Arial" w:cs="Arial"/>
                <w:color w:val="222222"/>
              </w:rPr>
            </w:pPr>
          </w:p>
          <w:p w:rsidR="0073717D" w:rsidRDefault="0073717D" w:rsidP="00B412BD">
            <w:pPr>
              <w:rPr>
                <w:rFonts w:ascii="Arial" w:hAnsi="Arial" w:cs="Arial"/>
                <w:color w:val="222222"/>
              </w:rPr>
            </w:pPr>
            <w:r w:rsidRPr="000B6FCE">
              <w:rPr>
                <w:rFonts w:ascii="Arial" w:hAnsi="Arial" w:cs="Arial"/>
                <w:color w:val="222222"/>
              </w:rPr>
              <w:t>The PBAC considered that the incremental cost effectiveness ratio (ICER) presented in the submission’s base case analysis was highly uncertain and was likely to be significantly underestimated.</w:t>
            </w:r>
          </w:p>
          <w:p w:rsidR="00204F84" w:rsidRPr="000B6FCE" w:rsidRDefault="00204F84" w:rsidP="00B412BD">
            <w:pPr>
              <w:rPr>
                <w:rFonts w:ascii="Arial" w:hAnsi="Arial" w:cs="Arial"/>
                <w:color w:val="222222"/>
              </w:rPr>
            </w:pPr>
          </w:p>
        </w:tc>
      </w:tr>
      <w:tr w:rsidR="0073717D" w:rsidRPr="000B6FCE" w:rsidTr="00B412BD">
        <w:trPr>
          <w:trHeight w:val="571"/>
        </w:trPr>
        <w:tc>
          <w:tcPr>
            <w:tcW w:w="3828" w:type="dxa"/>
            <w:vMerge/>
            <w:tcMar>
              <w:top w:w="28" w:type="dxa"/>
              <w:bottom w:w="28" w:type="dxa"/>
            </w:tcMar>
          </w:tcPr>
          <w:p w:rsidR="0073717D" w:rsidRPr="000B6FCE" w:rsidRDefault="0073717D" w:rsidP="001B4966">
            <w:pPr>
              <w:rPr>
                <w:rFonts w:ascii="Arial" w:hAnsi="Arial" w:cs="Arial"/>
                <w:color w:val="000000"/>
              </w:rPr>
            </w:pPr>
          </w:p>
        </w:tc>
        <w:tc>
          <w:tcPr>
            <w:tcW w:w="2409" w:type="dxa"/>
            <w:vMerge/>
          </w:tcPr>
          <w:p w:rsidR="0073717D" w:rsidRPr="000B6FCE" w:rsidRDefault="0073717D" w:rsidP="00F44804">
            <w:pPr>
              <w:jc w:val="center"/>
              <w:rPr>
                <w:rFonts w:ascii="Arial" w:hAnsi="Arial" w:cs="Arial"/>
                <w:color w:val="000000"/>
              </w:rPr>
            </w:pPr>
          </w:p>
        </w:tc>
        <w:tc>
          <w:tcPr>
            <w:tcW w:w="3261" w:type="dxa"/>
            <w:tcMar>
              <w:top w:w="28" w:type="dxa"/>
              <w:bottom w:w="28" w:type="dxa"/>
            </w:tcMar>
          </w:tcPr>
          <w:p w:rsidR="0073717D" w:rsidRPr="000B6FCE" w:rsidRDefault="0073717D" w:rsidP="00F04FF3">
            <w:pPr>
              <w:jc w:val="right"/>
              <w:rPr>
                <w:rFonts w:ascii="Arial" w:hAnsi="Arial" w:cs="Arial"/>
                <w:color w:val="000000"/>
              </w:rPr>
            </w:pPr>
            <w:r w:rsidRPr="000B6FCE">
              <w:rPr>
                <w:rFonts w:ascii="Arial" w:hAnsi="Arial" w:cs="Arial"/>
                <w:color w:val="000000"/>
              </w:rPr>
              <w:t>Sponsor Response</w:t>
            </w:r>
          </w:p>
        </w:tc>
        <w:tc>
          <w:tcPr>
            <w:tcW w:w="5953" w:type="dxa"/>
            <w:tcBorders>
              <w:bottom w:val="single" w:sz="4" w:space="0" w:color="auto"/>
            </w:tcBorders>
            <w:shd w:val="clear" w:color="auto" w:fill="auto"/>
          </w:tcPr>
          <w:p w:rsidR="0073717D" w:rsidRPr="000B6FCE" w:rsidRDefault="0073717D" w:rsidP="001B4966">
            <w:pPr>
              <w:rPr>
                <w:rFonts w:ascii="Arial" w:hAnsi="Arial" w:cs="Arial"/>
                <w:color w:val="222222"/>
              </w:rPr>
            </w:pPr>
            <w:r w:rsidRPr="000B6FCE">
              <w:rPr>
                <w:rFonts w:ascii="Arial" w:hAnsi="Arial" w:cs="Arial"/>
                <w:color w:val="222222"/>
              </w:rPr>
              <w:t>The Sponsor will continue to work with the department to resolve the identified issues.</w:t>
            </w:r>
          </w:p>
        </w:tc>
      </w:tr>
      <w:tr w:rsidR="0073717D" w:rsidRPr="000B6FCE" w:rsidTr="00B412BD">
        <w:trPr>
          <w:trHeight w:val="1266"/>
        </w:trPr>
        <w:tc>
          <w:tcPr>
            <w:tcW w:w="3828" w:type="dxa"/>
            <w:vMerge w:val="restart"/>
            <w:tcMar>
              <w:top w:w="28" w:type="dxa"/>
              <w:bottom w:w="28" w:type="dxa"/>
            </w:tcMar>
          </w:tcPr>
          <w:p w:rsidR="0073717D" w:rsidRPr="000B6FCE" w:rsidRDefault="0073717D" w:rsidP="00AB756D">
            <w:pPr>
              <w:rPr>
                <w:rFonts w:ascii="Arial" w:hAnsi="Arial" w:cs="Arial"/>
                <w:color w:val="000000"/>
              </w:rPr>
            </w:pPr>
            <w:r w:rsidRPr="000B6FCE">
              <w:rPr>
                <w:rFonts w:ascii="Arial" w:hAnsi="Arial" w:cs="Arial"/>
                <w:color w:val="000000"/>
              </w:rPr>
              <w:lastRenderedPageBreak/>
              <w:t xml:space="preserve">MIGALASTAT </w:t>
            </w:r>
          </w:p>
          <w:p w:rsidR="0073717D" w:rsidRPr="000B6FCE" w:rsidRDefault="0073717D" w:rsidP="00AB756D">
            <w:pPr>
              <w:rPr>
                <w:rFonts w:ascii="Arial" w:hAnsi="Arial" w:cs="Arial"/>
                <w:color w:val="000000"/>
              </w:rPr>
            </w:pPr>
          </w:p>
          <w:p w:rsidR="0073717D" w:rsidRPr="000B6FCE" w:rsidRDefault="0073717D" w:rsidP="00AB756D">
            <w:pPr>
              <w:rPr>
                <w:rFonts w:ascii="Arial" w:hAnsi="Arial" w:cs="Arial"/>
                <w:color w:val="000000"/>
              </w:rPr>
            </w:pPr>
            <w:r w:rsidRPr="000B6FCE">
              <w:rPr>
                <w:rFonts w:ascii="Arial" w:hAnsi="Arial" w:cs="Arial"/>
                <w:color w:val="000000"/>
              </w:rPr>
              <w:t xml:space="preserve">Capsule containing </w:t>
            </w:r>
            <w:proofErr w:type="spellStart"/>
            <w:r w:rsidRPr="000B6FCE">
              <w:rPr>
                <w:rFonts w:ascii="Arial" w:hAnsi="Arial" w:cs="Arial"/>
                <w:color w:val="000000"/>
              </w:rPr>
              <w:t>migalastat</w:t>
            </w:r>
            <w:proofErr w:type="spellEnd"/>
            <w:r w:rsidRPr="000B6FCE">
              <w:rPr>
                <w:rFonts w:ascii="Arial" w:hAnsi="Arial" w:cs="Arial"/>
                <w:color w:val="000000"/>
              </w:rPr>
              <w:t xml:space="preserve"> hydrochloride 150 mg </w:t>
            </w:r>
          </w:p>
          <w:p w:rsidR="0073717D" w:rsidRPr="000B6FCE" w:rsidRDefault="0073717D" w:rsidP="00AB756D">
            <w:pPr>
              <w:rPr>
                <w:rFonts w:ascii="Arial" w:hAnsi="Arial" w:cs="Arial"/>
                <w:color w:val="000000"/>
              </w:rPr>
            </w:pPr>
          </w:p>
          <w:p w:rsidR="0073717D" w:rsidRPr="000B6FCE" w:rsidRDefault="0073717D" w:rsidP="00AB756D">
            <w:pPr>
              <w:rPr>
                <w:rFonts w:ascii="Arial" w:hAnsi="Arial" w:cs="Arial"/>
                <w:color w:val="000000"/>
              </w:rPr>
            </w:pPr>
            <w:proofErr w:type="spellStart"/>
            <w:r w:rsidRPr="000B6FCE">
              <w:rPr>
                <w:rFonts w:ascii="Arial" w:hAnsi="Arial" w:cs="Arial"/>
                <w:color w:val="000000"/>
              </w:rPr>
              <w:t>Galafold</w:t>
            </w:r>
            <w:proofErr w:type="spellEnd"/>
            <w:r w:rsidRPr="000B6FCE">
              <w:rPr>
                <w:rFonts w:ascii="Arial" w:hAnsi="Arial" w:cs="Arial"/>
                <w:color w:val="000000"/>
              </w:rPr>
              <w:t xml:space="preserve">® </w:t>
            </w:r>
          </w:p>
          <w:p w:rsidR="0073717D" w:rsidRPr="000B6FCE" w:rsidRDefault="0073717D" w:rsidP="00AB756D">
            <w:pPr>
              <w:rPr>
                <w:rFonts w:ascii="Arial" w:hAnsi="Arial" w:cs="Arial"/>
                <w:color w:val="000000"/>
              </w:rPr>
            </w:pPr>
          </w:p>
          <w:p w:rsidR="0073717D" w:rsidRPr="000B6FCE" w:rsidRDefault="0073717D" w:rsidP="00AB756D">
            <w:pPr>
              <w:rPr>
                <w:rFonts w:ascii="Arial" w:hAnsi="Arial" w:cs="Arial"/>
                <w:color w:val="000000"/>
              </w:rPr>
            </w:pPr>
            <w:r w:rsidRPr="000B6FCE">
              <w:rPr>
                <w:rFonts w:ascii="Arial" w:hAnsi="Arial" w:cs="Arial"/>
                <w:color w:val="000000"/>
              </w:rPr>
              <w:t>Amicus Therapeutics</w:t>
            </w:r>
          </w:p>
          <w:p w:rsidR="0073717D" w:rsidRPr="000B6FCE" w:rsidRDefault="0073717D" w:rsidP="00AB756D">
            <w:pPr>
              <w:rPr>
                <w:rFonts w:ascii="Arial" w:hAnsi="Arial" w:cs="Arial"/>
                <w:color w:val="000000"/>
              </w:rPr>
            </w:pPr>
          </w:p>
          <w:p w:rsidR="0073717D" w:rsidRPr="000B6FCE" w:rsidRDefault="0073717D" w:rsidP="00AB756D">
            <w:pPr>
              <w:rPr>
                <w:rFonts w:ascii="Arial" w:hAnsi="Arial" w:cs="Arial"/>
                <w:color w:val="000000"/>
              </w:rPr>
            </w:pPr>
            <w:r w:rsidRPr="000B6FCE">
              <w:rPr>
                <w:rFonts w:ascii="Arial" w:hAnsi="Arial" w:cs="Arial"/>
                <w:color w:val="000000"/>
              </w:rPr>
              <w:t>New listing</w:t>
            </w:r>
          </w:p>
          <w:p w:rsidR="0073717D" w:rsidRPr="000B6FCE" w:rsidRDefault="0073717D" w:rsidP="00AB756D">
            <w:pPr>
              <w:rPr>
                <w:rFonts w:ascii="Arial" w:hAnsi="Arial" w:cs="Arial"/>
                <w:color w:val="000000"/>
              </w:rPr>
            </w:pPr>
          </w:p>
          <w:p w:rsidR="0073717D" w:rsidRPr="000B6FCE" w:rsidRDefault="0073717D" w:rsidP="00C9389B">
            <w:pPr>
              <w:pStyle w:val="Default"/>
              <w:rPr>
                <w:rFonts w:ascii="Arial" w:hAnsi="Arial" w:cs="Arial"/>
                <w:sz w:val="20"/>
                <w:szCs w:val="20"/>
              </w:rPr>
            </w:pPr>
            <w:r w:rsidRPr="000B6FCE">
              <w:rPr>
                <w:rFonts w:ascii="Arial" w:hAnsi="Arial" w:cs="Arial"/>
                <w:sz w:val="20"/>
                <w:szCs w:val="20"/>
              </w:rPr>
              <w:t xml:space="preserve">(Minor Submission) </w:t>
            </w:r>
          </w:p>
          <w:p w:rsidR="0073717D" w:rsidRPr="000B6FCE" w:rsidRDefault="0073717D" w:rsidP="00AB756D">
            <w:pPr>
              <w:rPr>
                <w:rFonts w:ascii="Arial" w:hAnsi="Arial" w:cs="Arial"/>
                <w:color w:val="000000"/>
              </w:rPr>
            </w:pPr>
          </w:p>
        </w:tc>
        <w:tc>
          <w:tcPr>
            <w:tcW w:w="2409" w:type="dxa"/>
            <w:vMerge w:val="restart"/>
          </w:tcPr>
          <w:p w:rsidR="0073717D" w:rsidRPr="000B6FCE" w:rsidRDefault="0073717D" w:rsidP="00AF6ADE">
            <w:pPr>
              <w:rPr>
                <w:rFonts w:ascii="Arial" w:hAnsi="Arial" w:cs="Arial"/>
                <w:color w:val="000000"/>
              </w:rPr>
            </w:pPr>
            <w:proofErr w:type="spellStart"/>
            <w:r w:rsidRPr="000B6FCE">
              <w:rPr>
                <w:rFonts w:ascii="Arial" w:hAnsi="Arial" w:cs="Arial"/>
                <w:color w:val="000000"/>
              </w:rPr>
              <w:t>Fabry</w:t>
            </w:r>
            <w:proofErr w:type="spellEnd"/>
            <w:r w:rsidRPr="000B6FCE">
              <w:rPr>
                <w:rFonts w:ascii="Arial" w:hAnsi="Arial" w:cs="Arial"/>
                <w:color w:val="000000"/>
              </w:rPr>
              <w:t xml:space="preserve"> disease</w:t>
            </w:r>
          </w:p>
        </w:tc>
        <w:tc>
          <w:tcPr>
            <w:tcW w:w="3261" w:type="dxa"/>
            <w:tcMar>
              <w:top w:w="28" w:type="dxa"/>
              <w:bottom w:w="28" w:type="dxa"/>
            </w:tcMar>
          </w:tcPr>
          <w:p w:rsidR="0073717D" w:rsidRPr="000B6FCE" w:rsidRDefault="0073717D" w:rsidP="00AF6ADE">
            <w:pPr>
              <w:rPr>
                <w:rFonts w:ascii="Arial" w:hAnsi="Arial" w:cs="Arial"/>
                <w:color w:val="000000"/>
              </w:rPr>
            </w:pPr>
            <w:r w:rsidRPr="000B6FCE">
              <w:rPr>
                <w:rFonts w:ascii="Arial" w:hAnsi="Arial" w:cs="Arial"/>
                <w:color w:val="000000"/>
              </w:rPr>
              <w:t xml:space="preserve">Resubmission to request a Section 100 (Highly Specialised Drug Program) Authority Required listing for the treatment of </w:t>
            </w:r>
            <w:proofErr w:type="spellStart"/>
            <w:r w:rsidRPr="000B6FCE">
              <w:rPr>
                <w:rFonts w:ascii="Arial" w:hAnsi="Arial" w:cs="Arial"/>
                <w:color w:val="000000"/>
              </w:rPr>
              <w:t>Fabry</w:t>
            </w:r>
            <w:proofErr w:type="spellEnd"/>
            <w:r w:rsidRPr="000B6FCE">
              <w:rPr>
                <w:rFonts w:ascii="Arial" w:hAnsi="Arial" w:cs="Arial"/>
                <w:color w:val="000000"/>
              </w:rPr>
              <w:t xml:space="preserve"> disease.</w:t>
            </w:r>
          </w:p>
        </w:tc>
        <w:tc>
          <w:tcPr>
            <w:tcW w:w="5953" w:type="dxa"/>
          </w:tcPr>
          <w:p w:rsidR="0073717D" w:rsidRPr="000B6FCE" w:rsidRDefault="0073717D" w:rsidP="007A3DB5">
            <w:pPr>
              <w:rPr>
                <w:rFonts w:ascii="Arial" w:hAnsi="Arial" w:cs="Arial"/>
                <w:iCs/>
              </w:rPr>
            </w:pPr>
            <w:r w:rsidRPr="000B6FCE">
              <w:rPr>
                <w:rFonts w:ascii="Arial" w:hAnsi="Arial" w:cs="Arial"/>
                <w:iCs/>
              </w:rPr>
              <w:t xml:space="preserve">The PBAC did not recommend the Section 100 (Highly Specialised Drug Program) Authority Required listing of </w:t>
            </w:r>
            <w:proofErr w:type="spellStart"/>
            <w:r w:rsidRPr="000B6FCE">
              <w:rPr>
                <w:rFonts w:ascii="Arial" w:hAnsi="Arial" w:cs="Arial"/>
                <w:iCs/>
              </w:rPr>
              <w:t>migalastat</w:t>
            </w:r>
            <w:proofErr w:type="spellEnd"/>
            <w:r w:rsidRPr="000B6FCE">
              <w:rPr>
                <w:rFonts w:ascii="Arial" w:hAnsi="Arial" w:cs="Arial"/>
                <w:iCs/>
              </w:rPr>
              <w:t xml:space="preserve"> for the treatment of </w:t>
            </w:r>
            <w:proofErr w:type="spellStart"/>
            <w:r w:rsidRPr="000B6FCE">
              <w:rPr>
                <w:rFonts w:ascii="Arial" w:hAnsi="Arial" w:cs="Arial"/>
                <w:iCs/>
              </w:rPr>
              <w:t>Fabry</w:t>
            </w:r>
            <w:proofErr w:type="spellEnd"/>
            <w:r w:rsidRPr="000B6FCE">
              <w:rPr>
                <w:rFonts w:ascii="Arial" w:hAnsi="Arial" w:cs="Arial"/>
                <w:iCs/>
              </w:rPr>
              <w:t xml:space="preserve"> disease. </w:t>
            </w:r>
          </w:p>
          <w:p w:rsidR="0073717D" w:rsidRPr="000B6FCE" w:rsidRDefault="0073717D" w:rsidP="007A3DB5">
            <w:pPr>
              <w:rPr>
                <w:rFonts w:ascii="Arial" w:hAnsi="Arial" w:cs="Arial"/>
                <w:iCs/>
              </w:rPr>
            </w:pPr>
          </w:p>
          <w:p w:rsidR="0073717D" w:rsidRPr="000B6FCE" w:rsidRDefault="0073717D" w:rsidP="007A3DB5">
            <w:pPr>
              <w:rPr>
                <w:rFonts w:ascii="Arial" w:hAnsi="Arial" w:cs="Arial"/>
                <w:iCs/>
              </w:rPr>
            </w:pPr>
            <w:proofErr w:type="spellStart"/>
            <w:r w:rsidRPr="000B6FCE">
              <w:rPr>
                <w:rFonts w:ascii="Arial" w:hAnsi="Arial" w:cs="Arial"/>
                <w:iCs/>
              </w:rPr>
              <w:t>Agalsidase</w:t>
            </w:r>
            <w:proofErr w:type="spellEnd"/>
            <w:r w:rsidRPr="000B6FCE">
              <w:rPr>
                <w:rFonts w:ascii="Arial" w:hAnsi="Arial" w:cs="Arial"/>
                <w:iCs/>
              </w:rPr>
              <w:t xml:space="preserve"> alfa and </w:t>
            </w:r>
            <w:proofErr w:type="spellStart"/>
            <w:r w:rsidRPr="000B6FCE">
              <w:rPr>
                <w:rFonts w:ascii="Arial" w:hAnsi="Arial" w:cs="Arial"/>
                <w:iCs/>
              </w:rPr>
              <w:t>agalsidase</w:t>
            </w:r>
            <w:proofErr w:type="spellEnd"/>
            <w:r w:rsidRPr="000B6FCE">
              <w:rPr>
                <w:rFonts w:ascii="Arial" w:hAnsi="Arial" w:cs="Arial"/>
                <w:iCs/>
              </w:rPr>
              <w:t xml:space="preserve"> beta are available for patients for </w:t>
            </w:r>
            <w:proofErr w:type="spellStart"/>
            <w:r w:rsidRPr="000B6FCE">
              <w:rPr>
                <w:rFonts w:ascii="Arial" w:hAnsi="Arial" w:cs="Arial"/>
                <w:iCs/>
              </w:rPr>
              <w:t>Fabry</w:t>
            </w:r>
            <w:proofErr w:type="spellEnd"/>
            <w:r w:rsidRPr="000B6FCE">
              <w:rPr>
                <w:rFonts w:ascii="Arial" w:hAnsi="Arial" w:cs="Arial"/>
                <w:iCs/>
              </w:rPr>
              <w:t xml:space="preserve"> Disease via the Life Saving Drugs Program. The PBAC recognised that these enzyme replacement therapies (ERT) are not listed on the PBS and have not been considered to be cost-effective for listing on the PBS, but accepted that these two treatments were the appropriate comparators.</w:t>
            </w:r>
          </w:p>
          <w:p w:rsidR="0073717D" w:rsidRPr="000B6FCE" w:rsidRDefault="0073717D" w:rsidP="007A3DB5">
            <w:pPr>
              <w:rPr>
                <w:rFonts w:ascii="Arial" w:hAnsi="Arial" w:cs="Arial"/>
                <w:iCs/>
              </w:rPr>
            </w:pPr>
          </w:p>
          <w:p w:rsidR="0073717D" w:rsidRDefault="0073717D" w:rsidP="007A3DB5">
            <w:pPr>
              <w:rPr>
                <w:rFonts w:ascii="Arial" w:hAnsi="Arial" w:cs="Arial"/>
                <w:iCs/>
              </w:rPr>
            </w:pPr>
            <w:r w:rsidRPr="000B6FCE">
              <w:rPr>
                <w:rFonts w:ascii="Arial" w:hAnsi="Arial" w:cs="Arial"/>
                <w:iCs/>
              </w:rPr>
              <w:t xml:space="preserve">In making this decision, the PBAC did not accept the clinical claim that </w:t>
            </w:r>
            <w:proofErr w:type="spellStart"/>
            <w:r w:rsidRPr="000B6FCE">
              <w:rPr>
                <w:rFonts w:ascii="Arial" w:hAnsi="Arial" w:cs="Arial"/>
                <w:iCs/>
              </w:rPr>
              <w:t>migalastat</w:t>
            </w:r>
            <w:proofErr w:type="spellEnd"/>
            <w:r w:rsidRPr="000B6FCE">
              <w:rPr>
                <w:rFonts w:ascii="Arial" w:hAnsi="Arial" w:cs="Arial"/>
                <w:iCs/>
              </w:rPr>
              <w:t xml:space="preserve"> would provide a similar extent of benefit as ERT in either treatment naïve patients or in treatment experienced or patients switching from one treatment to another. Accordingly, the PBAC did not accept the submission’s request for </w:t>
            </w:r>
            <w:proofErr w:type="spellStart"/>
            <w:r w:rsidRPr="000B6FCE">
              <w:rPr>
                <w:rFonts w:ascii="Arial" w:hAnsi="Arial" w:cs="Arial"/>
                <w:iCs/>
              </w:rPr>
              <w:t>migalastat</w:t>
            </w:r>
            <w:proofErr w:type="spellEnd"/>
            <w:r w:rsidRPr="000B6FCE">
              <w:rPr>
                <w:rFonts w:ascii="Arial" w:hAnsi="Arial" w:cs="Arial"/>
                <w:iCs/>
              </w:rPr>
              <w:t xml:space="preserve"> to be cost-minimised against ERT.</w:t>
            </w:r>
          </w:p>
          <w:p w:rsidR="00204F84" w:rsidRPr="000B6FCE" w:rsidRDefault="00204F84" w:rsidP="007A3DB5">
            <w:pPr>
              <w:rPr>
                <w:rFonts w:ascii="Arial" w:hAnsi="Arial" w:cs="Arial"/>
                <w:iCs/>
              </w:rPr>
            </w:pPr>
          </w:p>
        </w:tc>
      </w:tr>
      <w:tr w:rsidR="0073717D" w:rsidRPr="000B6FCE" w:rsidTr="00B412BD">
        <w:trPr>
          <w:trHeight w:val="925"/>
        </w:trPr>
        <w:tc>
          <w:tcPr>
            <w:tcW w:w="3828" w:type="dxa"/>
            <w:vMerge/>
            <w:tcMar>
              <w:top w:w="28" w:type="dxa"/>
              <w:bottom w:w="28" w:type="dxa"/>
            </w:tcMar>
          </w:tcPr>
          <w:p w:rsidR="0073717D" w:rsidRPr="000B6FCE" w:rsidRDefault="0073717D" w:rsidP="00AB756D">
            <w:pPr>
              <w:rPr>
                <w:rFonts w:ascii="Arial" w:hAnsi="Arial" w:cs="Arial"/>
                <w:color w:val="000000"/>
              </w:rPr>
            </w:pPr>
          </w:p>
        </w:tc>
        <w:tc>
          <w:tcPr>
            <w:tcW w:w="2409" w:type="dxa"/>
            <w:vMerge/>
          </w:tcPr>
          <w:p w:rsidR="0073717D" w:rsidRPr="000B6FCE" w:rsidRDefault="0073717D" w:rsidP="00AF6ADE">
            <w:pPr>
              <w:rPr>
                <w:rFonts w:ascii="Arial" w:hAnsi="Arial" w:cs="Arial"/>
                <w:color w:val="000000"/>
              </w:rPr>
            </w:pPr>
          </w:p>
        </w:tc>
        <w:tc>
          <w:tcPr>
            <w:tcW w:w="3261" w:type="dxa"/>
            <w:tcMar>
              <w:top w:w="28" w:type="dxa"/>
              <w:bottom w:w="28" w:type="dxa"/>
            </w:tcMar>
          </w:tcPr>
          <w:p w:rsidR="0073717D" w:rsidRPr="000B6FCE" w:rsidRDefault="0073717D" w:rsidP="00F04FF3">
            <w:pPr>
              <w:jc w:val="right"/>
              <w:rPr>
                <w:rFonts w:ascii="Arial" w:hAnsi="Arial" w:cs="Arial"/>
                <w:color w:val="000000"/>
              </w:rPr>
            </w:pPr>
            <w:r w:rsidRPr="000B6FCE">
              <w:rPr>
                <w:rFonts w:ascii="Arial" w:hAnsi="Arial" w:cs="Arial"/>
                <w:color w:val="000000"/>
              </w:rPr>
              <w:t>Sponsor Response</w:t>
            </w:r>
          </w:p>
        </w:tc>
        <w:tc>
          <w:tcPr>
            <w:tcW w:w="5953" w:type="dxa"/>
          </w:tcPr>
          <w:p w:rsidR="0073717D" w:rsidRPr="000B6FCE" w:rsidRDefault="0073717D" w:rsidP="00FC47F2">
            <w:pPr>
              <w:rPr>
                <w:rFonts w:ascii="Arial" w:hAnsi="Arial" w:cs="Arial"/>
                <w:iCs/>
              </w:rPr>
            </w:pPr>
            <w:r w:rsidRPr="000B6FCE">
              <w:rPr>
                <w:rFonts w:ascii="Arial" w:hAnsi="Arial" w:cs="Arial"/>
                <w:iCs/>
              </w:rPr>
              <w:t xml:space="preserve">Amicus Therapeutics is disappointed with the PBAC’s decision, but will continue to work with the Department of Health to make </w:t>
            </w:r>
            <w:proofErr w:type="spellStart"/>
            <w:r w:rsidRPr="000B6FCE">
              <w:rPr>
                <w:rFonts w:ascii="Arial" w:hAnsi="Arial" w:cs="Arial"/>
                <w:iCs/>
              </w:rPr>
              <w:t>migalastat</w:t>
            </w:r>
            <w:proofErr w:type="spellEnd"/>
            <w:r w:rsidRPr="000B6FCE">
              <w:rPr>
                <w:rFonts w:ascii="Arial" w:hAnsi="Arial" w:cs="Arial"/>
                <w:iCs/>
              </w:rPr>
              <w:t xml:space="preserve"> available to eligible Australian patients diagnosed with </w:t>
            </w:r>
            <w:proofErr w:type="spellStart"/>
            <w:r w:rsidRPr="000B6FCE">
              <w:rPr>
                <w:rFonts w:ascii="Arial" w:hAnsi="Arial" w:cs="Arial"/>
                <w:iCs/>
              </w:rPr>
              <w:t>Fabry</w:t>
            </w:r>
            <w:proofErr w:type="spellEnd"/>
            <w:r w:rsidRPr="000B6FCE">
              <w:rPr>
                <w:rFonts w:ascii="Arial" w:hAnsi="Arial" w:cs="Arial"/>
                <w:iCs/>
              </w:rPr>
              <w:t xml:space="preserve"> Disease.</w:t>
            </w:r>
          </w:p>
        </w:tc>
      </w:tr>
      <w:tr w:rsidR="0093483D" w:rsidRPr="000B6FCE" w:rsidTr="00B412BD">
        <w:trPr>
          <w:cantSplit/>
          <w:trHeight w:val="3564"/>
        </w:trPr>
        <w:tc>
          <w:tcPr>
            <w:tcW w:w="3828" w:type="dxa"/>
            <w:vMerge w:val="restart"/>
            <w:tcMar>
              <w:top w:w="28" w:type="dxa"/>
              <w:bottom w:w="28" w:type="dxa"/>
            </w:tcMar>
          </w:tcPr>
          <w:p w:rsidR="0093483D" w:rsidRPr="000B6FCE" w:rsidRDefault="00204F84" w:rsidP="00632700">
            <w:pPr>
              <w:tabs>
                <w:tab w:val="left" w:pos="5210"/>
              </w:tabs>
              <w:rPr>
                <w:rFonts w:ascii="Arial" w:hAnsi="Arial" w:cs="Arial"/>
              </w:rPr>
            </w:pPr>
            <w:r>
              <w:rPr>
                <w:rFonts w:ascii="Arial" w:hAnsi="Arial" w:cs="Arial"/>
              </w:rPr>
              <w:lastRenderedPageBreak/>
              <w:t>R</w:t>
            </w:r>
            <w:r w:rsidR="0093483D" w:rsidRPr="000B6FCE">
              <w:rPr>
                <w:rFonts w:ascii="Arial" w:hAnsi="Arial" w:cs="Arial"/>
              </w:rPr>
              <w:t xml:space="preserve">IBOCICLIB </w:t>
            </w:r>
          </w:p>
          <w:p w:rsidR="0093483D" w:rsidRPr="000B6FCE" w:rsidRDefault="0093483D" w:rsidP="00632700">
            <w:pPr>
              <w:tabs>
                <w:tab w:val="left" w:pos="5210"/>
              </w:tabs>
              <w:rPr>
                <w:rFonts w:ascii="Arial" w:hAnsi="Arial" w:cs="Arial"/>
              </w:rPr>
            </w:pPr>
          </w:p>
          <w:p w:rsidR="0093483D" w:rsidRPr="000B6FCE" w:rsidRDefault="0093483D" w:rsidP="00632700">
            <w:pPr>
              <w:tabs>
                <w:tab w:val="left" w:pos="5210"/>
              </w:tabs>
              <w:rPr>
                <w:rFonts w:ascii="Arial" w:hAnsi="Arial" w:cs="Arial"/>
              </w:rPr>
            </w:pPr>
            <w:r w:rsidRPr="000B6FCE">
              <w:rPr>
                <w:rFonts w:ascii="Arial" w:hAnsi="Arial" w:cs="Arial"/>
              </w:rPr>
              <w:t xml:space="preserve">Tablet 200 mg </w:t>
            </w:r>
          </w:p>
          <w:p w:rsidR="0093483D" w:rsidRPr="000B6FCE" w:rsidRDefault="0093483D" w:rsidP="00632700">
            <w:pPr>
              <w:tabs>
                <w:tab w:val="left" w:pos="5210"/>
              </w:tabs>
              <w:rPr>
                <w:rFonts w:ascii="Arial" w:hAnsi="Arial" w:cs="Arial"/>
              </w:rPr>
            </w:pPr>
          </w:p>
          <w:p w:rsidR="0093483D" w:rsidRPr="000B6FCE" w:rsidRDefault="0093483D" w:rsidP="00632700">
            <w:pPr>
              <w:tabs>
                <w:tab w:val="left" w:pos="5210"/>
              </w:tabs>
              <w:rPr>
                <w:rFonts w:ascii="Arial" w:hAnsi="Arial" w:cs="Arial"/>
              </w:rPr>
            </w:pPr>
            <w:proofErr w:type="spellStart"/>
            <w:r w:rsidRPr="000B6FCE">
              <w:rPr>
                <w:rFonts w:ascii="Arial" w:hAnsi="Arial" w:cs="Arial"/>
              </w:rPr>
              <w:t>Kisqali</w:t>
            </w:r>
            <w:proofErr w:type="spellEnd"/>
            <w:r w:rsidRPr="000B6FCE">
              <w:rPr>
                <w:rFonts w:ascii="Arial" w:hAnsi="Arial" w:cs="Arial"/>
              </w:rPr>
              <w:t xml:space="preserve">® </w:t>
            </w:r>
          </w:p>
          <w:p w:rsidR="0093483D" w:rsidRPr="000B6FCE" w:rsidRDefault="0093483D" w:rsidP="00632700">
            <w:pPr>
              <w:tabs>
                <w:tab w:val="left" w:pos="5210"/>
              </w:tabs>
              <w:rPr>
                <w:rFonts w:ascii="Arial" w:hAnsi="Arial" w:cs="Arial"/>
              </w:rPr>
            </w:pPr>
          </w:p>
          <w:p w:rsidR="0093483D" w:rsidRPr="000B6FCE" w:rsidRDefault="0093483D" w:rsidP="00632700">
            <w:pPr>
              <w:tabs>
                <w:tab w:val="left" w:pos="5210"/>
              </w:tabs>
              <w:rPr>
                <w:rFonts w:ascii="Arial" w:hAnsi="Arial" w:cs="Arial"/>
              </w:rPr>
            </w:pPr>
            <w:r w:rsidRPr="000B6FCE">
              <w:rPr>
                <w:rFonts w:ascii="Arial" w:hAnsi="Arial" w:cs="Arial"/>
              </w:rPr>
              <w:t>Novartis Pharmaceuticals Australia Pty Ltd</w:t>
            </w:r>
          </w:p>
          <w:p w:rsidR="0093483D" w:rsidRPr="000B6FCE" w:rsidRDefault="0093483D" w:rsidP="00632700">
            <w:pPr>
              <w:tabs>
                <w:tab w:val="left" w:pos="5210"/>
              </w:tabs>
              <w:rPr>
                <w:rFonts w:ascii="Arial" w:hAnsi="Arial" w:cs="Arial"/>
              </w:rPr>
            </w:pPr>
          </w:p>
          <w:p w:rsidR="00184358" w:rsidRPr="000B6FCE" w:rsidRDefault="00184358" w:rsidP="00632700">
            <w:pPr>
              <w:tabs>
                <w:tab w:val="left" w:pos="5210"/>
              </w:tabs>
              <w:rPr>
                <w:rFonts w:ascii="Arial" w:hAnsi="Arial" w:cs="Arial"/>
              </w:rPr>
            </w:pPr>
            <w:r w:rsidRPr="000B6FCE">
              <w:rPr>
                <w:rFonts w:ascii="Arial" w:hAnsi="Arial" w:cs="Arial"/>
              </w:rPr>
              <w:t>New listing</w:t>
            </w:r>
          </w:p>
          <w:p w:rsidR="00184358" w:rsidRPr="000B6FCE" w:rsidRDefault="00184358" w:rsidP="00632700">
            <w:pPr>
              <w:tabs>
                <w:tab w:val="left" w:pos="5210"/>
              </w:tabs>
              <w:rPr>
                <w:rFonts w:ascii="Arial" w:hAnsi="Arial" w:cs="Arial"/>
              </w:rPr>
            </w:pPr>
          </w:p>
          <w:p w:rsidR="0093483D" w:rsidRPr="000B6FCE" w:rsidRDefault="0093483D" w:rsidP="00B412BD">
            <w:pPr>
              <w:pStyle w:val="Default"/>
              <w:rPr>
                <w:rFonts w:ascii="Arial" w:hAnsi="Arial" w:cs="Arial"/>
              </w:rPr>
            </w:pPr>
            <w:r w:rsidRPr="000B6FCE">
              <w:rPr>
                <w:rFonts w:ascii="Arial" w:hAnsi="Arial" w:cs="Arial"/>
                <w:sz w:val="20"/>
                <w:szCs w:val="20"/>
              </w:rPr>
              <w:t xml:space="preserve">(Major Submission) </w:t>
            </w:r>
          </w:p>
        </w:tc>
        <w:tc>
          <w:tcPr>
            <w:tcW w:w="2409" w:type="dxa"/>
            <w:vMerge w:val="restart"/>
          </w:tcPr>
          <w:p w:rsidR="0093483D" w:rsidRPr="000B6FCE" w:rsidRDefault="0093483D" w:rsidP="00632700">
            <w:pPr>
              <w:tabs>
                <w:tab w:val="left" w:pos="5210"/>
              </w:tabs>
              <w:rPr>
                <w:rFonts w:ascii="Arial" w:hAnsi="Arial" w:cs="Arial"/>
              </w:rPr>
            </w:pPr>
            <w:r w:rsidRPr="000B6FCE">
              <w:rPr>
                <w:rFonts w:ascii="Arial" w:hAnsi="Arial" w:cs="Arial"/>
              </w:rPr>
              <w:t>Hormone receptor-positive (HR+), human epidermal growth factor receptor-2 negative (HER2-) advanced or metastatic breast cancer</w:t>
            </w:r>
          </w:p>
        </w:tc>
        <w:tc>
          <w:tcPr>
            <w:tcW w:w="3261" w:type="dxa"/>
            <w:tcMar>
              <w:top w:w="28" w:type="dxa"/>
              <w:bottom w:w="28" w:type="dxa"/>
            </w:tcMar>
          </w:tcPr>
          <w:p w:rsidR="00B412BD" w:rsidRPr="000B6FCE" w:rsidRDefault="0093483D" w:rsidP="00B412BD">
            <w:pPr>
              <w:tabs>
                <w:tab w:val="left" w:pos="5210"/>
              </w:tabs>
              <w:rPr>
                <w:rFonts w:ascii="Arial" w:hAnsi="Arial" w:cs="Arial"/>
              </w:rPr>
            </w:pPr>
            <w:r w:rsidRPr="000B6FCE">
              <w:rPr>
                <w:rFonts w:ascii="Arial" w:hAnsi="Arial" w:cs="Arial"/>
              </w:rPr>
              <w:t>To request an Authority Required listing for ribociclib in combination with letrozole for the treatment of patients with HR+, HER2- advanced or metastatic breast cancer who are not premenopausal.</w:t>
            </w:r>
          </w:p>
          <w:p w:rsidR="0093483D" w:rsidRPr="000B6FCE" w:rsidRDefault="0093483D" w:rsidP="00D96043">
            <w:pPr>
              <w:tabs>
                <w:tab w:val="left" w:pos="2244"/>
              </w:tabs>
              <w:rPr>
                <w:rFonts w:ascii="Arial" w:hAnsi="Arial" w:cs="Arial"/>
              </w:rPr>
            </w:pPr>
          </w:p>
        </w:tc>
        <w:tc>
          <w:tcPr>
            <w:tcW w:w="5953" w:type="dxa"/>
          </w:tcPr>
          <w:p w:rsidR="005F4899" w:rsidRPr="000B6FCE" w:rsidRDefault="0093483D" w:rsidP="00F9125F">
            <w:pPr>
              <w:pStyle w:val="ListParagraph"/>
              <w:ind w:left="60"/>
              <w:rPr>
                <w:rFonts w:ascii="Arial" w:hAnsi="Arial" w:cs="Arial"/>
                <w:iCs/>
                <w:sz w:val="20"/>
                <w:szCs w:val="20"/>
              </w:rPr>
            </w:pPr>
            <w:r w:rsidRPr="000B6FCE">
              <w:rPr>
                <w:rFonts w:ascii="Arial" w:hAnsi="Arial" w:cs="Arial"/>
                <w:iCs/>
                <w:sz w:val="20"/>
                <w:szCs w:val="20"/>
              </w:rPr>
              <w:t xml:space="preserve">The PBAC did not recommend the listing of ribociclib on the PBS as initial endocrine-based therapy for patients with </w:t>
            </w:r>
            <w:proofErr w:type="spellStart"/>
            <w:r w:rsidRPr="000B6FCE">
              <w:rPr>
                <w:rFonts w:ascii="Arial" w:hAnsi="Arial" w:cs="Arial"/>
                <w:iCs/>
                <w:sz w:val="20"/>
                <w:szCs w:val="20"/>
              </w:rPr>
              <w:t>non premenopausal</w:t>
            </w:r>
            <w:proofErr w:type="spellEnd"/>
            <w:r w:rsidRPr="000B6FCE">
              <w:rPr>
                <w:rFonts w:ascii="Arial" w:hAnsi="Arial" w:cs="Arial"/>
                <w:iCs/>
                <w:sz w:val="20"/>
                <w:szCs w:val="20"/>
              </w:rPr>
              <w:t xml:space="preserve">, hormone receptor positive (HR+), human epidermal growth factor receptor 2 negative (HER2-) advanced breast cancer on the basis of unfavourable and uncertain cost-effectiveness, and uncertainties regarding the effect of ribociclib on overall survival based on </w:t>
            </w:r>
            <w:r w:rsidR="005F4899" w:rsidRPr="000B6FCE">
              <w:rPr>
                <w:rFonts w:ascii="Arial" w:hAnsi="Arial" w:cs="Arial"/>
                <w:iCs/>
                <w:sz w:val="20"/>
                <w:szCs w:val="20"/>
              </w:rPr>
              <w:t xml:space="preserve">the </w:t>
            </w:r>
            <w:r w:rsidRPr="000B6FCE">
              <w:rPr>
                <w:rFonts w:ascii="Arial" w:hAnsi="Arial" w:cs="Arial"/>
                <w:iCs/>
                <w:sz w:val="20"/>
                <w:szCs w:val="20"/>
              </w:rPr>
              <w:t xml:space="preserve">data presented in the submission. The PBAC considered that the incremental cost-effectiveness ratio (ICER) was unacceptably high, noting that this was largely driven by the high cost of ribociclib. </w:t>
            </w:r>
          </w:p>
          <w:p w:rsidR="005F4899" w:rsidRPr="000B6FCE" w:rsidRDefault="005F4899" w:rsidP="00F9125F">
            <w:pPr>
              <w:pStyle w:val="ListParagraph"/>
              <w:ind w:left="60"/>
              <w:rPr>
                <w:rFonts w:ascii="Arial" w:hAnsi="Arial" w:cs="Arial"/>
                <w:iCs/>
                <w:sz w:val="20"/>
                <w:szCs w:val="20"/>
              </w:rPr>
            </w:pPr>
          </w:p>
          <w:p w:rsidR="0093483D" w:rsidRPr="000B6FCE" w:rsidRDefault="0093483D" w:rsidP="00F9125F">
            <w:pPr>
              <w:pStyle w:val="ListParagraph"/>
              <w:ind w:left="60"/>
              <w:rPr>
                <w:rFonts w:ascii="Arial" w:hAnsi="Arial" w:cs="Arial"/>
                <w:iCs/>
                <w:sz w:val="20"/>
                <w:szCs w:val="20"/>
              </w:rPr>
            </w:pPr>
            <w:r w:rsidRPr="000B6FCE">
              <w:rPr>
                <w:rFonts w:ascii="Arial" w:hAnsi="Arial" w:cs="Arial"/>
                <w:iCs/>
                <w:sz w:val="20"/>
                <w:szCs w:val="20"/>
              </w:rPr>
              <w:t>The PBAC considered that although ribociclib treatment resulted in slower disease progression, this was not associated with better quality of life or proven extension of life expectancy, and the addition of ribociclib resulted in a significant increase in treatment-related toxicity. Additionally, the PBAC considered that the likely net cost of listing ribociclib on the PBS would be more than $100 million in each of the first six years of listing and as such, there would be a significant opportunity cost to the Commonwealth. The PBAC further noted there is a strong clinical benefit of endocrine-based therapy alone as first-line therapy in many patients, and a number of effective and well-tolerated second-line therapies (including oral treatments) are currently available for patients who progress after first-line endocrine-based therapy.</w:t>
            </w:r>
          </w:p>
          <w:p w:rsidR="0093483D" w:rsidRPr="000B6FCE" w:rsidRDefault="0093483D" w:rsidP="00F9125F">
            <w:pPr>
              <w:pStyle w:val="ListParagraph"/>
              <w:ind w:left="60"/>
              <w:rPr>
                <w:rFonts w:ascii="Arial" w:hAnsi="Arial" w:cs="Arial"/>
                <w:iCs/>
                <w:sz w:val="20"/>
                <w:szCs w:val="20"/>
              </w:rPr>
            </w:pPr>
          </w:p>
          <w:p w:rsidR="0093483D" w:rsidRPr="000B6FCE" w:rsidRDefault="0093483D" w:rsidP="00B412BD">
            <w:pPr>
              <w:pStyle w:val="ListParagraph"/>
              <w:ind w:left="60"/>
              <w:rPr>
                <w:rFonts w:ascii="Arial" w:hAnsi="Arial" w:cs="Arial"/>
                <w:iCs/>
                <w:sz w:val="20"/>
                <w:szCs w:val="20"/>
              </w:rPr>
            </w:pPr>
            <w:r w:rsidRPr="000B6FCE">
              <w:rPr>
                <w:rFonts w:ascii="Arial" w:hAnsi="Arial" w:cs="Arial"/>
                <w:iCs/>
                <w:sz w:val="20"/>
                <w:szCs w:val="20"/>
              </w:rPr>
              <w:t xml:space="preserve">The PBAC advised that while the submission’s claim of superior efficacy against letrozole alone was likely to be reasonable for progression-free survival (PFS), the immaturity of the </w:t>
            </w:r>
            <w:r w:rsidR="005F4899" w:rsidRPr="000B6FCE">
              <w:rPr>
                <w:rFonts w:ascii="Arial" w:hAnsi="Arial" w:cs="Arial"/>
                <w:iCs/>
                <w:sz w:val="20"/>
                <w:szCs w:val="20"/>
              </w:rPr>
              <w:t xml:space="preserve">overall survival </w:t>
            </w:r>
            <w:r w:rsidRPr="000B6FCE">
              <w:rPr>
                <w:rFonts w:ascii="Arial" w:hAnsi="Arial" w:cs="Arial"/>
                <w:iCs/>
                <w:sz w:val="20"/>
                <w:szCs w:val="20"/>
              </w:rPr>
              <w:t xml:space="preserve">data </w:t>
            </w:r>
            <w:r w:rsidR="005F4899" w:rsidRPr="000B6FCE">
              <w:rPr>
                <w:rFonts w:ascii="Arial" w:hAnsi="Arial" w:cs="Arial"/>
                <w:iCs/>
                <w:sz w:val="20"/>
                <w:szCs w:val="20"/>
              </w:rPr>
              <w:t xml:space="preserve">presented </w:t>
            </w:r>
            <w:r w:rsidRPr="000B6FCE">
              <w:rPr>
                <w:rFonts w:ascii="Arial" w:hAnsi="Arial" w:cs="Arial"/>
                <w:iCs/>
                <w:sz w:val="20"/>
                <w:szCs w:val="20"/>
              </w:rPr>
              <w:t xml:space="preserve">resulted in a high degree of uncertainty in </w:t>
            </w:r>
            <w:r w:rsidR="005F4899" w:rsidRPr="000B6FCE">
              <w:rPr>
                <w:rFonts w:ascii="Arial" w:hAnsi="Arial" w:cs="Arial"/>
                <w:iCs/>
                <w:sz w:val="20"/>
                <w:szCs w:val="20"/>
              </w:rPr>
              <w:t>terms of the</w:t>
            </w:r>
            <w:r w:rsidRPr="000B6FCE">
              <w:rPr>
                <w:rFonts w:ascii="Arial" w:hAnsi="Arial" w:cs="Arial"/>
                <w:iCs/>
                <w:sz w:val="20"/>
                <w:szCs w:val="20"/>
              </w:rPr>
              <w:t xml:space="preserve"> magnitude of </w:t>
            </w:r>
            <w:r w:rsidR="005F4899" w:rsidRPr="000B6FCE">
              <w:rPr>
                <w:rFonts w:ascii="Arial" w:hAnsi="Arial" w:cs="Arial"/>
                <w:iCs/>
                <w:sz w:val="20"/>
                <w:szCs w:val="20"/>
              </w:rPr>
              <w:t xml:space="preserve">the </w:t>
            </w:r>
            <w:r w:rsidRPr="000B6FCE">
              <w:rPr>
                <w:rFonts w:ascii="Arial" w:hAnsi="Arial" w:cs="Arial"/>
                <w:iCs/>
                <w:sz w:val="20"/>
                <w:szCs w:val="20"/>
              </w:rPr>
              <w:t>long-term benefit. On the basis of direct evidence presented by the submission, there would be approximately nine months difference in median PFS (based on median follow up of around 2</w:t>
            </w:r>
            <w:r w:rsidR="00D44BD6" w:rsidRPr="000B6FCE">
              <w:rPr>
                <w:rFonts w:ascii="Arial" w:hAnsi="Arial" w:cs="Arial"/>
                <w:iCs/>
                <w:sz w:val="20"/>
                <w:szCs w:val="20"/>
              </w:rPr>
              <w:t xml:space="preserve">6 </w:t>
            </w:r>
            <w:r w:rsidRPr="000B6FCE">
              <w:rPr>
                <w:rFonts w:ascii="Arial" w:hAnsi="Arial" w:cs="Arial"/>
                <w:iCs/>
                <w:sz w:val="20"/>
                <w:szCs w:val="20"/>
              </w:rPr>
              <w:t>months) in patients treated with ribociclib + letrozole in comparison with letrozole alone. A trend towards improved overall survival was observed, but it was not statistically significant.</w:t>
            </w:r>
          </w:p>
        </w:tc>
      </w:tr>
      <w:tr w:rsidR="0093483D" w:rsidRPr="000B6FCE" w:rsidTr="00B412BD">
        <w:trPr>
          <w:cantSplit/>
          <w:trHeight w:val="358"/>
        </w:trPr>
        <w:tc>
          <w:tcPr>
            <w:tcW w:w="3828" w:type="dxa"/>
            <w:vMerge/>
            <w:tcMar>
              <w:top w:w="28" w:type="dxa"/>
              <w:bottom w:w="28" w:type="dxa"/>
            </w:tcMar>
          </w:tcPr>
          <w:p w:rsidR="0093483D" w:rsidRPr="000B6FCE" w:rsidRDefault="0093483D" w:rsidP="00632700">
            <w:pPr>
              <w:tabs>
                <w:tab w:val="left" w:pos="5210"/>
              </w:tabs>
              <w:rPr>
                <w:rFonts w:ascii="Arial" w:hAnsi="Arial" w:cs="Arial"/>
              </w:rPr>
            </w:pPr>
          </w:p>
        </w:tc>
        <w:tc>
          <w:tcPr>
            <w:tcW w:w="2409" w:type="dxa"/>
            <w:vMerge/>
          </w:tcPr>
          <w:p w:rsidR="0093483D" w:rsidRPr="000B6FCE" w:rsidRDefault="0093483D" w:rsidP="00632700">
            <w:pPr>
              <w:tabs>
                <w:tab w:val="left" w:pos="5210"/>
              </w:tabs>
              <w:rPr>
                <w:rFonts w:ascii="Arial" w:hAnsi="Arial" w:cs="Arial"/>
              </w:rPr>
            </w:pPr>
          </w:p>
        </w:tc>
        <w:tc>
          <w:tcPr>
            <w:tcW w:w="3261" w:type="dxa"/>
            <w:tcMar>
              <w:top w:w="28" w:type="dxa"/>
              <w:bottom w:w="28" w:type="dxa"/>
            </w:tcMar>
          </w:tcPr>
          <w:p w:rsidR="0093483D" w:rsidRPr="000B6FCE" w:rsidRDefault="0093483D" w:rsidP="00A97AF7">
            <w:pPr>
              <w:tabs>
                <w:tab w:val="left" w:pos="5210"/>
              </w:tabs>
              <w:jc w:val="right"/>
              <w:rPr>
                <w:rFonts w:ascii="Arial" w:hAnsi="Arial" w:cs="Arial"/>
              </w:rPr>
            </w:pPr>
            <w:r w:rsidRPr="000B6FCE">
              <w:rPr>
                <w:rFonts w:ascii="Arial" w:hAnsi="Arial" w:cs="Arial"/>
              </w:rPr>
              <w:t>Sponsor Response</w:t>
            </w:r>
          </w:p>
        </w:tc>
        <w:tc>
          <w:tcPr>
            <w:tcW w:w="5953" w:type="dxa"/>
            <w:shd w:val="clear" w:color="auto" w:fill="auto"/>
          </w:tcPr>
          <w:p w:rsidR="0093483D" w:rsidRPr="000B6FCE" w:rsidRDefault="00A97AF7" w:rsidP="00BA41EF">
            <w:pPr>
              <w:pStyle w:val="ListParagraph"/>
              <w:ind w:left="177"/>
              <w:rPr>
                <w:rFonts w:ascii="Arial" w:hAnsi="Arial" w:cs="Arial"/>
                <w:iCs/>
                <w:sz w:val="20"/>
                <w:szCs w:val="20"/>
              </w:rPr>
            </w:pPr>
            <w:r w:rsidRPr="000B6FCE">
              <w:rPr>
                <w:rFonts w:ascii="Arial" w:hAnsi="Arial" w:cs="Arial"/>
                <w:iCs/>
                <w:sz w:val="20"/>
                <w:szCs w:val="20"/>
              </w:rPr>
              <w:t>The sponsor had no comment.</w:t>
            </w:r>
          </w:p>
        </w:tc>
      </w:tr>
      <w:tr w:rsidR="007618FA" w:rsidRPr="000B6FCE" w:rsidTr="00B412BD">
        <w:trPr>
          <w:trHeight w:val="1266"/>
        </w:trPr>
        <w:tc>
          <w:tcPr>
            <w:tcW w:w="3828" w:type="dxa"/>
            <w:vMerge w:val="restart"/>
            <w:tcMar>
              <w:top w:w="28" w:type="dxa"/>
              <w:bottom w:w="28" w:type="dxa"/>
            </w:tcMar>
          </w:tcPr>
          <w:p w:rsidR="007618FA" w:rsidRPr="000B6FCE" w:rsidRDefault="007618FA" w:rsidP="00F44804">
            <w:pPr>
              <w:rPr>
                <w:rFonts w:ascii="Arial" w:hAnsi="Arial" w:cs="Arial"/>
                <w:color w:val="000000"/>
              </w:rPr>
            </w:pPr>
            <w:r w:rsidRPr="000B6FCE">
              <w:rPr>
                <w:rFonts w:ascii="Arial" w:hAnsi="Arial" w:cs="Arial"/>
                <w:color w:val="000000"/>
              </w:rPr>
              <w:t>SECUKINUMAB</w:t>
            </w:r>
          </w:p>
          <w:p w:rsidR="007618FA" w:rsidRPr="000B6FCE" w:rsidRDefault="007618FA" w:rsidP="00F44804">
            <w:pPr>
              <w:rPr>
                <w:rFonts w:ascii="Arial" w:hAnsi="Arial" w:cs="Arial"/>
                <w:color w:val="000000"/>
              </w:rPr>
            </w:pPr>
          </w:p>
          <w:p w:rsidR="007618FA" w:rsidRPr="000B6FCE" w:rsidRDefault="007618FA" w:rsidP="00F44804">
            <w:pPr>
              <w:rPr>
                <w:rFonts w:ascii="Arial" w:hAnsi="Arial" w:cs="Arial"/>
                <w:color w:val="000000"/>
              </w:rPr>
            </w:pPr>
            <w:r w:rsidRPr="000B6FCE">
              <w:rPr>
                <w:rFonts w:ascii="Arial" w:hAnsi="Arial" w:cs="Arial"/>
                <w:color w:val="000000"/>
              </w:rPr>
              <w:t>Injection 150 mg in 1 mL pre-filled pen</w:t>
            </w:r>
          </w:p>
          <w:p w:rsidR="007618FA" w:rsidRPr="000B6FCE" w:rsidRDefault="007618FA" w:rsidP="00F44804">
            <w:pPr>
              <w:rPr>
                <w:rFonts w:ascii="Arial" w:hAnsi="Arial" w:cs="Arial"/>
                <w:color w:val="000000"/>
              </w:rPr>
            </w:pPr>
          </w:p>
          <w:p w:rsidR="007618FA" w:rsidRPr="000B6FCE" w:rsidRDefault="007618FA" w:rsidP="00F44804">
            <w:pPr>
              <w:rPr>
                <w:rFonts w:ascii="Arial" w:hAnsi="Arial" w:cs="Arial"/>
                <w:color w:val="000000"/>
              </w:rPr>
            </w:pPr>
            <w:proofErr w:type="spellStart"/>
            <w:r w:rsidRPr="000B6FCE">
              <w:rPr>
                <w:rFonts w:ascii="Arial" w:hAnsi="Arial" w:cs="Arial"/>
                <w:color w:val="000000"/>
              </w:rPr>
              <w:t>Cosentyx</w:t>
            </w:r>
            <w:proofErr w:type="spellEnd"/>
            <w:r w:rsidRPr="000B6FCE">
              <w:rPr>
                <w:rFonts w:ascii="Arial" w:hAnsi="Arial" w:cs="Arial"/>
                <w:color w:val="000000"/>
              </w:rPr>
              <w:t>®</w:t>
            </w:r>
          </w:p>
          <w:p w:rsidR="007618FA" w:rsidRPr="000B6FCE" w:rsidRDefault="007618FA" w:rsidP="00F44804">
            <w:pPr>
              <w:rPr>
                <w:rFonts w:ascii="Arial" w:hAnsi="Arial" w:cs="Arial"/>
                <w:color w:val="000000"/>
              </w:rPr>
            </w:pPr>
          </w:p>
          <w:p w:rsidR="007618FA" w:rsidRPr="000B6FCE" w:rsidRDefault="007618FA" w:rsidP="00F44804">
            <w:pPr>
              <w:rPr>
                <w:rFonts w:ascii="Arial" w:hAnsi="Arial" w:cs="Arial"/>
                <w:color w:val="000000"/>
              </w:rPr>
            </w:pPr>
            <w:r w:rsidRPr="000B6FCE">
              <w:rPr>
                <w:rFonts w:ascii="Arial" w:hAnsi="Arial" w:cs="Arial"/>
                <w:color w:val="000000"/>
              </w:rPr>
              <w:t>Novartis Pharmaceuticals Australia Pty Ltd</w:t>
            </w:r>
          </w:p>
          <w:p w:rsidR="00184358" w:rsidRPr="000B6FCE" w:rsidRDefault="00184358" w:rsidP="00F44804">
            <w:pPr>
              <w:rPr>
                <w:rFonts w:ascii="Arial" w:hAnsi="Arial" w:cs="Arial"/>
                <w:color w:val="000000"/>
              </w:rPr>
            </w:pPr>
          </w:p>
          <w:p w:rsidR="00184358" w:rsidRPr="000B6FCE" w:rsidRDefault="00184358" w:rsidP="00F44804">
            <w:pPr>
              <w:rPr>
                <w:rFonts w:ascii="Arial" w:hAnsi="Arial" w:cs="Arial"/>
                <w:color w:val="000000"/>
              </w:rPr>
            </w:pPr>
            <w:r w:rsidRPr="000B6FCE">
              <w:rPr>
                <w:rFonts w:ascii="Arial" w:hAnsi="Arial" w:cs="Arial"/>
                <w:color w:val="000000"/>
              </w:rPr>
              <w:t>Change to listing</w:t>
            </w:r>
          </w:p>
          <w:p w:rsidR="007618FA" w:rsidRPr="000B6FCE" w:rsidRDefault="007618FA" w:rsidP="00F44804">
            <w:pPr>
              <w:rPr>
                <w:rFonts w:ascii="Arial" w:hAnsi="Arial" w:cs="Arial"/>
                <w:color w:val="000000"/>
              </w:rPr>
            </w:pPr>
          </w:p>
          <w:p w:rsidR="007618FA" w:rsidRPr="000B6FCE" w:rsidRDefault="007618FA" w:rsidP="00F44804">
            <w:pPr>
              <w:pStyle w:val="Default"/>
              <w:rPr>
                <w:rFonts w:ascii="Arial" w:hAnsi="Arial" w:cs="Arial"/>
                <w:sz w:val="20"/>
                <w:szCs w:val="20"/>
              </w:rPr>
            </w:pPr>
            <w:r w:rsidRPr="000B6FCE">
              <w:rPr>
                <w:rFonts w:ascii="Arial" w:hAnsi="Arial" w:cs="Arial"/>
                <w:sz w:val="20"/>
                <w:szCs w:val="20"/>
              </w:rPr>
              <w:t xml:space="preserve">(Minor Submission) </w:t>
            </w:r>
          </w:p>
          <w:p w:rsidR="007618FA" w:rsidRPr="000B6FCE" w:rsidRDefault="007618FA" w:rsidP="00F44804">
            <w:pPr>
              <w:rPr>
                <w:rFonts w:ascii="Arial" w:hAnsi="Arial" w:cs="Arial"/>
                <w:color w:val="000000"/>
              </w:rPr>
            </w:pPr>
          </w:p>
        </w:tc>
        <w:tc>
          <w:tcPr>
            <w:tcW w:w="2409" w:type="dxa"/>
            <w:vMerge w:val="restart"/>
          </w:tcPr>
          <w:p w:rsidR="007618FA" w:rsidRPr="000B6FCE" w:rsidRDefault="007618FA" w:rsidP="00AF6ADE">
            <w:pPr>
              <w:rPr>
                <w:rFonts w:ascii="Arial" w:hAnsi="Arial" w:cs="Arial"/>
                <w:color w:val="000000"/>
              </w:rPr>
            </w:pPr>
            <w:r w:rsidRPr="000B6FCE">
              <w:rPr>
                <w:rFonts w:ascii="Arial" w:hAnsi="Arial" w:cs="Arial"/>
                <w:color w:val="000000"/>
              </w:rPr>
              <w:t>Severe chronic plaque psoriasis</w:t>
            </w:r>
          </w:p>
        </w:tc>
        <w:tc>
          <w:tcPr>
            <w:tcW w:w="3261" w:type="dxa"/>
            <w:tcMar>
              <w:top w:w="28" w:type="dxa"/>
              <w:bottom w:w="28" w:type="dxa"/>
            </w:tcMar>
          </w:tcPr>
          <w:p w:rsidR="007618FA" w:rsidRPr="000B6FCE" w:rsidRDefault="007618FA" w:rsidP="00AF6ADE">
            <w:pPr>
              <w:rPr>
                <w:rFonts w:ascii="Arial" w:hAnsi="Arial" w:cs="Arial"/>
                <w:color w:val="000000"/>
              </w:rPr>
            </w:pPr>
            <w:r w:rsidRPr="000B6FCE">
              <w:rPr>
                <w:rFonts w:ascii="Arial" w:hAnsi="Arial" w:cs="Arial"/>
                <w:color w:val="000000"/>
              </w:rPr>
              <w:t>To request a change in the maximum quantity of packs per script for severe chronic plaque psoriasis continuing treatment to provide 8 weeks of treatment.</w:t>
            </w:r>
          </w:p>
        </w:tc>
        <w:tc>
          <w:tcPr>
            <w:tcW w:w="5953" w:type="dxa"/>
            <w:tcBorders>
              <w:right w:val="single" w:sz="4" w:space="0" w:color="auto"/>
            </w:tcBorders>
          </w:tcPr>
          <w:p w:rsidR="0013707E" w:rsidRDefault="0013707E" w:rsidP="0013707E">
            <w:pPr>
              <w:pStyle w:val="ListParagraph"/>
              <w:ind w:left="33"/>
              <w:rPr>
                <w:rFonts w:ascii="Arial" w:hAnsi="Arial" w:cs="Arial"/>
                <w:iCs/>
                <w:sz w:val="20"/>
                <w:szCs w:val="20"/>
              </w:rPr>
            </w:pPr>
            <w:r w:rsidRPr="000B6FCE">
              <w:rPr>
                <w:rFonts w:ascii="Arial" w:hAnsi="Arial" w:cs="Arial"/>
                <w:iCs/>
                <w:sz w:val="20"/>
                <w:szCs w:val="20"/>
              </w:rPr>
              <w:t xml:space="preserve">The PBAC did not recommend the request to change the maximum quantity and number of repeats per prescription of </w:t>
            </w:r>
            <w:proofErr w:type="spellStart"/>
            <w:r w:rsidRPr="000B6FCE">
              <w:rPr>
                <w:rFonts w:ascii="Arial" w:hAnsi="Arial" w:cs="Arial"/>
                <w:iCs/>
                <w:sz w:val="20"/>
                <w:szCs w:val="20"/>
              </w:rPr>
              <w:t>secukinumab</w:t>
            </w:r>
            <w:proofErr w:type="spellEnd"/>
            <w:r w:rsidRPr="000B6FCE">
              <w:rPr>
                <w:rFonts w:ascii="Arial" w:hAnsi="Arial" w:cs="Arial"/>
                <w:iCs/>
                <w:sz w:val="20"/>
                <w:szCs w:val="20"/>
              </w:rPr>
              <w:t xml:space="preserve"> for the continuing treatment of severe chronic plaque psoriasis. The PBAC noted that the current maximum quantity of </w:t>
            </w:r>
            <w:proofErr w:type="spellStart"/>
            <w:r w:rsidRPr="000B6FCE">
              <w:rPr>
                <w:rFonts w:ascii="Arial" w:hAnsi="Arial" w:cs="Arial"/>
                <w:iCs/>
                <w:sz w:val="20"/>
                <w:szCs w:val="20"/>
              </w:rPr>
              <w:t>secukinumab</w:t>
            </w:r>
            <w:proofErr w:type="spellEnd"/>
            <w:r w:rsidRPr="000B6FCE">
              <w:rPr>
                <w:rFonts w:ascii="Arial" w:hAnsi="Arial" w:cs="Arial"/>
                <w:iCs/>
                <w:sz w:val="20"/>
                <w:szCs w:val="20"/>
              </w:rPr>
              <w:t xml:space="preserve"> for the continuing treatment of severe chronic plaque psoriasis provides for one months’ treatment which is usual practice for drugs listed under the general schedule. The PBAC therefore considered that the current maximum quantity of one injection with five repeats for the </w:t>
            </w:r>
            <w:proofErr w:type="spellStart"/>
            <w:r w:rsidRPr="000B6FCE">
              <w:rPr>
                <w:rFonts w:ascii="Arial" w:hAnsi="Arial" w:cs="Arial"/>
                <w:iCs/>
                <w:sz w:val="20"/>
                <w:szCs w:val="20"/>
              </w:rPr>
              <w:t>secukinumab</w:t>
            </w:r>
            <w:proofErr w:type="spellEnd"/>
            <w:r w:rsidRPr="000B6FCE">
              <w:rPr>
                <w:rFonts w:ascii="Arial" w:hAnsi="Arial" w:cs="Arial"/>
                <w:iCs/>
                <w:sz w:val="20"/>
                <w:szCs w:val="20"/>
              </w:rPr>
              <w:t xml:space="preserve"> for this indication and treatment phase should remain unchanged.</w:t>
            </w:r>
          </w:p>
          <w:p w:rsidR="00B71316" w:rsidRPr="000B6FCE" w:rsidRDefault="00B71316" w:rsidP="0013707E">
            <w:pPr>
              <w:pStyle w:val="ListParagraph"/>
              <w:ind w:left="33"/>
              <w:rPr>
                <w:rFonts w:ascii="Arial" w:hAnsi="Arial" w:cs="Arial"/>
                <w:iCs/>
                <w:sz w:val="20"/>
                <w:szCs w:val="20"/>
              </w:rPr>
            </w:pPr>
          </w:p>
          <w:p w:rsidR="00D3567F" w:rsidRDefault="0013707E" w:rsidP="00B412BD">
            <w:pPr>
              <w:pStyle w:val="ListParagraph"/>
              <w:ind w:left="33"/>
              <w:rPr>
                <w:rFonts w:ascii="Arial" w:hAnsi="Arial" w:cs="Arial"/>
                <w:iCs/>
                <w:sz w:val="20"/>
                <w:szCs w:val="20"/>
              </w:rPr>
            </w:pPr>
            <w:r w:rsidRPr="000B6FCE">
              <w:rPr>
                <w:rFonts w:ascii="Arial" w:hAnsi="Arial" w:cs="Arial"/>
                <w:iCs/>
                <w:sz w:val="20"/>
                <w:szCs w:val="20"/>
              </w:rPr>
              <w:t xml:space="preserve">The PBAC recommended amending the maximum quantity PBS listing of </w:t>
            </w:r>
            <w:proofErr w:type="spellStart"/>
            <w:r w:rsidRPr="000B6FCE">
              <w:rPr>
                <w:rFonts w:ascii="Arial" w:hAnsi="Arial" w:cs="Arial"/>
                <w:iCs/>
                <w:sz w:val="20"/>
                <w:szCs w:val="20"/>
              </w:rPr>
              <w:t>ixekizumab</w:t>
            </w:r>
            <w:proofErr w:type="spellEnd"/>
            <w:r w:rsidRPr="000B6FCE">
              <w:rPr>
                <w:rFonts w:ascii="Arial" w:hAnsi="Arial" w:cs="Arial"/>
                <w:iCs/>
                <w:sz w:val="20"/>
                <w:szCs w:val="20"/>
              </w:rPr>
              <w:t xml:space="preserve"> for the continuing treatment of severe chronic plaque psoriasis from two to one injection to align the </w:t>
            </w:r>
            <w:proofErr w:type="spellStart"/>
            <w:r w:rsidRPr="000B6FCE">
              <w:rPr>
                <w:rFonts w:ascii="Arial" w:hAnsi="Arial" w:cs="Arial"/>
                <w:iCs/>
                <w:sz w:val="20"/>
                <w:szCs w:val="20"/>
              </w:rPr>
              <w:t>ixekizumab</w:t>
            </w:r>
            <w:proofErr w:type="spellEnd"/>
            <w:r w:rsidRPr="000B6FCE">
              <w:rPr>
                <w:rFonts w:ascii="Arial" w:hAnsi="Arial" w:cs="Arial"/>
                <w:iCs/>
                <w:sz w:val="20"/>
                <w:szCs w:val="20"/>
              </w:rPr>
              <w:t xml:space="preserve"> listing for severe chronic plaque psoriasis with the PBS listings of other </w:t>
            </w:r>
            <w:proofErr w:type="spellStart"/>
            <w:r w:rsidRPr="000B6FCE">
              <w:rPr>
                <w:rFonts w:ascii="Arial" w:hAnsi="Arial" w:cs="Arial"/>
                <w:iCs/>
                <w:sz w:val="20"/>
                <w:szCs w:val="20"/>
              </w:rPr>
              <w:t>bDMARDs</w:t>
            </w:r>
            <w:proofErr w:type="spellEnd"/>
            <w:r w:rsidRPr="000B6FCE">
              <w:rPr>
                <w:rFonts w:ascii="Arial" w:hAnsi="Arial" w:cs="Arial"/>
                <w:iCs/>
                <w:sz w:val="20"/>
                <w:szCs w:val="20"/>
              </w:rPr>
              <w:t>, and with usual practice to supply one months’ treatment per script.</w:t>
            </w:r>
          </w:p>
          <w:p w:rsidR="00B71316" w:rsidRPr="000B6FCE" w:rsidRDefault="00B71316" w:rsidP="00B412BD">
            <w:pPr>
              <w:pStyle w:val="ListParagraph"/>
              <w:ind w:left="33"/>
              <w:rPr>
                <w:rFonts w:ascii="Arial" w:hAnsi="Arial" w:cs="Arial"/>
                <w:iCs/>
                <w:sz w:val="20"/>
                <w:szCs w:val="20"/>
              </w:rPr>
            </w:pPr>
          </w:p>
        </w:tc>
      </w:tr>
      <w:tr w:rsidR="007618FA" w:rsidRPr="000B6FCE" w:rsidTr="00B412BD">
        <w:trPr>
          <w:trHeight w:val="687"/>
        </w:trPr>
        <w:tc>
          <w:tcPr>
            <w:tcW w:w="3828" w:type="dxa"/>
            <w:vMerge/>
            <w:tcMar>
              <w:top w:w="28" w:type="dxa"/>
              <w:bottom w:w="28" w:type="dxa"/>
            </w:tcMar>
          </w:tcPr>
          <w:p w:rsidR="007618FA" w:rsidRPr="000B6FCE" w:rsidRDefault="007618FA" w:rsidP="00F44804">
            <w:pPr>
              <w:rPr>
                <w:rFonts w:ascii="Arial" w:hAnsi="Arial" w:cs="Arial"/>
                <w:color w:val="000000"/>
              </w:rPr>
            </w:pPr>
          </w:p>
        </w:tc>
        <w:tc>
          <w:tcPr>
            <w:tcW w:w="2409" w:type="dxa"/>
            <w:vMerge/>
          </w:tcPr>
          <w:p w:rsidR="007618FA" w:rsidRPr="000B6FCE" w:rsidRDefault="007618FA" w:rsidP="00AF6ADE">
            <w:pPr>
              <w:rPr>
                <w:rFonts w:ascii="Arial" w:hAnsi="Arial" w:cs="Arial"/>
                <w:color w:val="000000"/>
              </w:rPr>
            </w:pPr>
          </w:p>
        </w:tc>
        <w:tc>
          <w:tcPr>
            <w:tcW w:w="3261" w:type="dxa"/>
            <w:tcMar>
              <w:top w:w="28" w:type="dxa"/>
              <w:bottom w:w="28" w:type="dxa"/>
            </w:tcMar>
          </w:tcPr>
          <w:p w:rsidR="007618FA" w:rsidRPr="000B6FCE" w:rsidRDefault="007618FA" w:rsidP="007618FA">
            <w:pPr>
              <w:jc w:val="right"/>
              <w:rPr>
                <w:rFonts w:ascii="Arial" w:hAnsi="Arial" w:cs="Arial"/>
                <w:color w:val="000000"/>
              </w:rPr>
            </w:pPr>
            <w:r w:rsidRPr="000B6FCE">
              <w:rPr>
                <w:rFonts w:ascii="Arial" w:hAnsi="Arial" w:cs="Arial"/>
                <w:color w:val="000000"/>
              </w:rPr>
              <w:t>Sponsor Response</w:t>
            </w:r>
          </w:p>
        </w:tc>
        <w:tc>
          <w:tcPr>
            <w:tcW w:w="5953" w:type="dxa"/>
            <w:tcBorders>
              <w:right w:val="single" w:sz="4" w:space="0" w:color="auto"/>
            </w:tcBorders>
            <w:shd w:val="clear" w:color="auto" w:fill="auto"/>
          </w:tcPr>
          <w:p w:rsidR="007618FA" w:rsidRPr="000B6FCE" w:rsidRDefault="00184358" w:rsidP="00C77424">
            <w:pPr>
              <w:pStyle w:val="ListParagraph"/>
              <w:ind w:left="33"/>
              <w:rPr>
                <w:rFonts w:ascii="Arial" w:hAnsi="Arial" w:cs="Arial"/>
                <w:iCs/>
                <w:sz w:val="20"/>
                <w:szCs w:val="20"/>
              </w:rPr>
            </w:pPr>
            <w:r w:rsidRPr="000B6FCE">
              <w:rPr>
                <w:rFonts w:ascii="Arial" w:hAnsi="Arial" w:cs="Arial"/>
                <w:iCs/>
                <w:sz w:val="20"/>
                <w:szCs w:val="20"/>
              </w:rPr>
              <w:t>The sponsor had no comment.</w:t>
            </w:r>
          </w:p>
        </w:tc>
      </w:tr>
      <w:tr w:rsidR="007618FA" w:rsidRPr="000B6FCE" w:rsidTr="00E5736E">
        <w:trPr>
          <w:trHeight w:val="1152"/>
        </w:trPr>
        <w:tc>
          <w:tcPr>
            <w:tcW w:w="3828" w:type="dxa"/>
            <w:vMerge w:val="restart"/>
            <w:tcMar>
              <w:top w:w="28" w:type="dxa"/>
              <w:bottom w:w="28" w:type="dxa"/>
            </w:tcMar>
          </w:tcPr>
          <w:p w:rsidR="007618FA" w:rsidRPr="000B6FCE" w:rsidRDefault="00390169" w:rsidP="00AB756D">
            <w:pPr>
              <w:rPr>
                <w:rFonts w:ascii="Arial" w:hAnsi="Arial" w:cs="Arial"/>
              </w:rPr>
            </w:pPr>
            <w:r w:rsidRPr="000B6FCE">
              <w:rPr>
                <w:rFonts w:ascii="Arial" w:hAnsi="Arial" w:cs="Arial"/>
              </w:rPr>
              <w:br w:type="page"/>
            </w:r>
            <w:r w:rsidR="007618FA" w:rsidRPr="000B6FCE">
              <w:rPr>
                <w:rFonts w:ascii="Arial" w:hAnsi="Arial" w:cs="Arial"/>
              </w:rPr>
              <w:t xml:space="preserve">SOFOSBUVIR with VELPATASVIR </w:t>
            </w:r>
          </w:p>
          <w:p w:rsidR="007618FA" w:rsidRPr="000B6FCE" w:rsidRDefault="007618FA" w:rsidP="00AB756D">
            <w:pPr>
              <w:rPr>
                <w:rFonts w:ascii="Arial" w:hAnsi="Arial" w:cs="Arial"/>
              </w:rPr>
            </w:pPr>
          </w:p>
          <w:p w:rsidR="007618FA" w:rsidRPr="000B6FCE" w:rsidRDefault="007618FA" w:rsidP="00AB756D">
            <w:pPr>
              <w:rPr>
                <w:rFonts w:ascii="Arial" w:hAnsi="Arial" w:cs="Arial"/>
              </w:rPr>
            </w:pPr>
            <w:r w:rsidRPr="000B6FCE">
              <w:rPr>
                <w:rFonts w:ascii="Arial" w:hAnsi="Arial" w:cs="Arial"/>
              </w:rPr>
              <w:t xml:space="preserve">Tablet containing 400 mg </w:t>
            </w:r>
            <w:proofErr w:type="spellStart"/>
            <w:r w:rsidRPr="000B6FCE">
              <w:rPr>
                <w:rFonts w:ascii="Arial" w:hAnsi="Arial" w:cs="Arial"/>
              </w:rPr>
              <w:t>sofosbuvir</w:t>
            </w:r>
            <w:proofErr w:type="spellEnd"/>
            <w:r w:rsidRPr="000B6FCE">
              <w:rPr>
                <w:rFonts w:ascii="Arial" w:hAnsi="Arial" w:cs="Arial"/>
              </w:rPr>
              <w:t xml:space="preserve"> with 100 mg </w:t>
            </w:r>
            <w:proofErr w:type="spellStart"/>
            <w:r w:rsidRPr="000B6FCE">
              <w:rPr>
                <w:rFonts w:ascii="Arial" w:hAnsi="Arial" w:cs="Arial"/>
              </w:rPr>
              <w:t>velpatasvir</w:t>
            </w:r>
            <w:proofErr w:type="spellEnd"/>
          </w:p>
          <w:p w:rsidR="007618FA" w:rsidRPr="000B6FCE" w:rsidRDefault="007618FA" w:rsidP="00AB756D">
            <w:pPr>
              <w:rPr>
                <w:rFonts w:ascii="Arial" w:hAnsi="Arial" w:cs="Arial"/>
              </w:rPr>
            </w:pPr>
            <w:r w:rsidRPr="000B6FCE">
              <w:rPr>
                <w:rFonts w:ascii="Arial" w:hAnsi="Arial" w:cs="Arial"/>
              </w:rPr>
              <w:t xml:space="preserve"> </w:t>
            </w:r>
          </w:p>
          <w:p w:rsidR="007618FA" w:rsidRPr="000B6FCE" w:rsidRDefault="007618FA" w:rsidP="00AB756D">
            <w:pPr>
              <w:rPr>
                <w:rFonts w:ascii="Arial" w:hAnsi="Arial" w:cs="Arial"/>
              </w:rPr>
            </w:pPr>
            <w:proofErr w:type="spellStart"/>
            <w:r w:rsidRPr="000B6FCE">
              <w:rPr>
                <w:rFonts w:ascii="Arial" w:hAnsi="Arial" w:cs="Arial"/>
              </w:rPr>
              <w:t>Epclusa</w:t>
            </w:r>
            <w:proofErr w:type="spellEnd"/>
            <w:r w:rsidRPr="000B6FCE">
              <w:rPr>
                <w:rFonts w:ascii="Arial" w:hAnsi="Arial" w:cs="Arial"/>
              </w:rPr>
              <w:t xml:space="preserve">® </w:t>
            </w:r>
          </w:p>
          <w:p w:rsidR="007618FA" w:rsidRPr="000B6FCE" w:rsidRDefault="007618FA" w:rsidP="00AB756D">
            <w:pPr>
              <w:rPr>
                <w:rFonts w:ascii="Arial" w:hAnsi="Arial" w:cs="Arial"/>
              </w:rPr>
            </w:pPr>
          </w:p>
          <w:p w:rsidR="007618FA" w:rsidRPr="000B6FCE" w:rsidRDefault="007618FA" w:rsidP="00AB756D">
            <w:pPr>
              <w:rPr>
                <w:rFonts w:ascii="Arial" w:hAnsi="Arial" w:cs="Arial"/>
              </w:rPr>
            </w:pPr>
            <w:r w:rsidRPr="000B6FCE">
              <w:rPr>
                <w:rFonts w:ascii="Arial" w:hAnsi="Arial" w:cs="Arial"/>
              </w:rPr>
              <w:t>Gilead Sciences Pty Ltd</w:t>
            </w:r>
          </w:p>
          <w:p w:rsidR="00184358" w:rsidRPr="000B6FCE" w:rsidRDefault="00184358" w:rsidP="00AB756D">
            <w:pPr>
              <w:rPr>
                <w:rFonts w:ascii="Arial" w:hAnsi="Arial" w:cs="Arial"/>
              </w:rPr>
            </w:pPr>
          </w:p>
          <w:p w:rsidR="00184358" w:rsidRPr="000B6FCE" w:rsidRDefault="00184358" w:rsidP="00AB756D">
            <w:pPr>
              <w:rPr>
                <w:rFonts w:ascii="Arial" w:hAnsi="Arial" w:cs="Arial"/>
              </w:rPr>
            </w:pPr>
            <w:r w:rsidRPr="000B6FCE">
              <w:rPr>
                <w:rFonts w:ascii="Arial" w:hAnsi="Arial" w:cs="Arial"/>
              </w:rPr>
              <w:lastRenderedPageBreak/>
              <w:t>Change to recommended listing</w:t>
            </w:r>
          </w:p>
          <w:p w:rsidR="007618FA" w:rsidRPr="000B6FCE" w:rsidRDefault="007618FA" w:rsidP="00AB756D">
            <w:pPr>
              <w:rPr>
                <w:rFonts w:ascii="Arial" w:hAnsi="Arial" w:cs="Arial"/>
              </w:rPr>
            </w:pPr>
          </w:p>
          <w:p w:rsidR="007618FA" w:rsidRPr="000B6FCE" w:rsidRDefault="007618FA" w:rsidP="00AB756D">
            <w:pPr>
              <w:rPr>
                <w:rFonts w:ascii="Arial" w:hAnsi="Arial" w:cs="Arial"/>
              </w:rPr>
            </w:pPr>
            <w:r w:rsidRPr="000B6FCE">
              <w:rPr>
                <w:rFonts w:ascii="Arial" w:hAnsi="Arial" w:cs="Arial"/>
              </w:rPr>
              <w:t>(Minor Submission)</w:t>
            </w:r>
          </w:p>
        </w:tc>
        <w:tc>
          <w:tcPr>
            <w:tcW w:w="2409" w:type="dxa"/>
            <w:vMerge w:val="restart"/>
          </w:tcPr>
          <w:p w:rsidR="007618FA" w:rsidRPr="000B6FCE" w:rsidRDefault="007618FA" w:rsidP="00AF6ADE">
            <w:pPr>
              <w:rPr>
                <w:rFonts w:ascii="Arial" w:hAnsi="Arial" w:cs="Arial"/>
                <w:color w:val="000000"/>
              </w:rPr>
            </w:pPr>
            <w:r w:rsidRPr="000B6FCE">
              <w:rPr>
                <w:rFonts w:ascii="Arial" w:hAnsi="Arial" w:cs="Arial"/>
                <w:color w:val="000000"/>
              </w:rPr>
              <w:lastRenderedPageBreak/>
              <w:t>Chronic hepatitis C virus (HCV) infection</w:t>
            </w:r>
          </w:p>
        </w:tc>
        <w:tc>
          <w:tcPr>
            <w:tcW w:w="3261" w:type="dxa"/>
            <w:tcMar>
              <w:top w:w="28" w:type="dxa"/>
              <w:bottom w:w="28" w:type="dxa"/>
            </w:tcMar>
          </w:tcPr>
          <w:p w:rsidR="007618FA" w:rsidRDefault="007618FA" w:rsidP="00AF6ADE">
            <w:pPr>
              <w:rPr>
                <w:rFonts w:ascii="Arial" w:hAnsi="Arial" w:cs="Arial"/>
                <w:color w:val="000000"/>
              </w:rPr>
            </w:pPr>
            <w:r w:rsidRPr="000B6FCE">
              <w:rPr>
                <w:rFonts w:ascii="Arial" w:hAnsi="Arial" w:cs="Arial"/>
                <w:color w:val="000000"/>
              </w:rPr>
              <w:t xml:space="preserve">To request that the PBAC review its advice that </w:t>
            </w:r>
            <w:proofErr w:type="spellStart"/>
            <w:r w:rsidRPr="000B6FCE">
              <w:rPr>
                <w:rFonts w:ascii="Arial" w:hAnsi="Arial" w:cs="Arial"/>
                <w:color w:val="000000"/>
              </w:rPr>
              <w:t>sofosbuvir</w:t>
            </w:r>
            <w:proofErr w:type="spellEnd"/>
            <w:r w:rsidRPr="000B6FCE">
              <w:rPr>
                <w:rFonts w:ascii="Arial" w:hAnsi="Arial" w:cs="Arial"/>
                <w:color w:val="000000"/>
              </w:rPr>
              <w:t xml:space="preserve"> with </w:t>
            </w:r>
            <w:proofErr w:type="spellStart"/>
            <w:r w:rsidRPr="000B6FCE">
              <w:rPr>
                <w:rFonts w:ascii="Arial" w:hAnsi="Arial" w:cs="Arial"/>
                <w:color w:val="000000"/>
              </w:rPr>
              <w:t>velpatasvir</w:t>
            </w:r>
            <w:proofErr w:type="spellEnd"/>
            <w:r w:rsidRPr="000B6FCE">
              <w:rPr>
                <w:rFonts w:ascii="Arial" w:hAnsi="Arial" w:cs="Arial"/>
                <w:color w:val="000000"/>
              </w:rPr>
              <w:t xml:space="preserve"> should be treated as interchangeable on an individual patient basis with other direct-acting antiviral regimens under Section 101(3BA) of the National Health Act 1953.</w:t>
            </w:r>
          </w:p>
          <w:p w:rsidR="00C12F77" w:rsidRPr="000B6FCE" w:rsidRDefault="00C12F77" w:rsidP="00AF6ADE">
            <w:pPr>
              <w:rPr>
                <w:rFonts w:ascii="Arial" w:hAnsi="Arial" w:cs="Arial"/>
                <w:color w:val="000000"/>
              </w:rPr>
            </w:pPr>
          </w:p>
        </w:tc>
        <w:tc>
          <w:tcPr>
            <w:tcW w:w="5953" w:type="dxa"/>
          </w:tcPr>
          <w:p w:rsidR="007618FA" w:rsidRPr="000B6FCE" w:rsidRDefault="00390169" w:rsidP="00AE76C5">
            <w:pPr>
              <w:rPr>
                <w:rFonts w:ascii="Arial" w:hAnsi="Arial" w:cs="Arial"/>
                <w:iCs/>
              </w:rPr>
            </w:pPr>
            <w:r w:rsidRPr="000B6FCE">
              <w:rPr>
                <w:rFonts w:ascii="Arial" w:hAnsi="Arial" w:cs="Arial"/>
                <w:iCs/>
              </w:rPr>
              <w:t xml:space="preserve">The PBAC decided to confirm its previous advice to the Minister under Section 101(3BA) of the </w:t>
            </w:r>
            <w:r w:rsidRPr="000B6FCE">
              <w:rPr>
                <w:rFonts w:ascii="Arial" w:hAnsi="Arial" w:cs="Arial"/>
                <w:i/>
                <w:iCs/>
              </w:rPr>
              <w:t>National Health Act 1953</w:t>
            </w:r>
            <w:r w:rsidRPr="000B6FCE">
              <w:rPr>
                <w:rFonts w:ascii="Arial" w:hAnsi="Arial" w:cs="Arial"/>
                <w:iCs/>
              </w:rPr>
              <w:t xml:space="preserve"> regarding the interchangeability of </w:t>
            </w:r>
            <w:proofErr w:type="spellStart"/>
            <w:r w:rsidRPr="000B6FCE">
              <w:rPr>
                <w:rFonts w:ascii="Arial" w:hAnsi="Arial" w:cs="Arial"/>
                <w:iCs/>
              </w:rPr>
              <w:t>sofosbuvir</w:t>
            </w:r>
            <w:proofErr w:type="spellEnd"/>
            <w:r w:rsidRPr="000B6FCE">
              <w:rPr>
                <w:rFonts w:ascii="Arial" w:hAnsi="Arial" w:cs="Arial"/>
                <w:iCs/>
              </w:rPr>
              <w:t xml:space="preserve"> with </w:t>
            </w:r>
            <w:proofErr w:type="spellStart"/>
            <w:r w:rsidRPr="000B6FCE">
              <w:rPr>
                <w:rFonts w:ascii="Arial" w:hAnsi="Arial" w:cs="Arial"/>
                <w:iCs/>
              </w:rPr>
              <w:t>velpatasvir</w:t>
            </w:r>
            <w:proofErr w:type="spellEnd"/>
            <w:r w:rsidRPr="000B6FCE">
              <w:rPr>
                <w:rFonts w:ascii="Arial" w:hAnsi="Arial" w:cs="Arial"/>
                <w:iCs/>
              </w:rPr>
              <w:t xml:space="preserve"> with other PBS-listed direct-acting antiviral (DAA) treatment regimens for chronic hepatitis C (CHC) infection.</w:t>
            </w:r>
          </w:p>
        </w:tc>
      </w:tr>
      <w:tr w:rsidR="007618FA" w:rsidRPr="000B6FCE" w:rsidTr="00B412BD">
        <w:trPr>
          <w:cantSplit/>
          <w:trHeight w:val="1152"/>
        </w:trPr>
        <w:tc>
          <w:tcPr>
            <w:tcW w:w="3828" w:type="dxa"/>
            <w:vMerge/>
            <w:tcMar>
              <w:top w:w="28" w:type="dxa"/>
              <w:bottom w:w="28" w:type="dxa"/>
            </w:tcMar>
          </w:tcPr>
          <w:p w:rsidR="007618FA" w:rsidRPr="000B6FCE" w:rsidRDefault="007618FA" w:rsidP="00AB756D">
            <w:pPr>
              <w:rPr>
                <w:rFonts w:ascii="Arial" w:hAnsi="Arial" w:cs="Arial"/>
              </w:rPr>
            </w:pPr>
          </w:p>
        </w:tc>
        <w:tc>
          <w:tcPr>
            <w:tcW w:w="2409" w:type="dxa"/>
            <w:vMerge/>
          </w:tcPr>
          <w:p w:rsidR="007618FA" w:rsidRPr="000B6FCE" w:rsidRDefault="007618FA" w:rsidP="00AF6ADE">
            <w:pPr>
              <w:rPr>
                <w:rFonts w:ascii="Arial" w:hAnsi="Arial" w:cs="Arial"/>
                <w:color w:val="000000"/>
              </w:rPr>
            </w:pPr>
          </w:p>
        </w:tc>
        <w:tc>
          <w:tcPr>
            <w:tcW w:w="3261" w:type="dxa"/>
            <w:tcMar>
              <w:top w:w="28" w:type="dxa"/>
              <w:bottom w:w="28" w:type="dxa"/>
            </w:tcMar>
          </w:tcPr>
          <w:p w:rsidR="007618FA" w:rsidRPr="000B6FCE" w:rsidRDefault="007618FA" w:rsidP="007618FA">
            <w:pPr>
              <w:jc w:val="right"/>
              <w:rPr>
                <w:rFonts w:ascii="Arial" w:hAnsi="Arial" w:cs="Arial"/>
                <w:color w:val="000000"/>
              </w:rPr>
            </w:pPr>
            <w:r w:rsidRPr="000B6FCE">
              <w:rPr>
                <w:rFonts w:ascii="Arial" w:hAnsi="Arial" w:cs="Arial"/>
                <w:color w:val="000000"/>
              </w:rPr>
              <w:t>Sponsor Response</w:t>
            </w:r>
          </w:p>
        </w:tc>
        <w:tc>
          <w:tcPr>
            <w:tcW w:w="5953" w:type="dxa"/>
            <w:shd w:val="clear" w:color="auto" w:fill="auto"/>
          </w:tcPr>
          <w:p w:rsidR="007618FA" w:rsidRDefault="007E640C" w:rsidP="007E640C">
            <w:pPr>
              <w:pStyle w:val="ListParagraph"/>
              <w:ind w:left="60"/>
              <w:rPr>
                <w:rFonts w:ascii="Arial" w:hAnsi="Arial" w:cs="Arial"/>
                <w:iCs/>
                <w:sz w:val="20"/>
                <w:szCs w:val="20"/>
              </w:rPr>
            </w:pPr>
            <w:r w:rsidRPr="000B6FCE">
              <w:rPr>
                <w:rFonts w:ascii="Arial" w:hAnsi="Arial" w:cs="Arial"/>
                <w:iCs/>
                <w:sz w:val="20"/>
                <w:szCs w:val="20"/>
              </w:rPr>
              <w:t>The submission sought to understand on what evidence the PBAC made the original determination and to request that the determination be reconsidered based on information provided in the minor submission. Gilead remains unclear as to the evidentiary basis and criteria on which this determination was been made. Gilead maintains that the determination is not supportable on all the evidence.</w:t>
            </w:r>
          </w:p>
          <w:p w:rsidR="00E5736E" w:rsidRPr="000B6FCE" w:rsidRDefault="00E5736E" w:rsidP="007E640C">
            <w:pPr>
              <w:pStyle w:val="ListParagraph"/>
              <w:ind w:left="60"/>
              <w:rPr>
                <w:rFonts w:ascii="Arial" w:hAnsi="Arial" w:cs="Arial"/>
                <w:iCs/>
                <w:sz w:val="20"/>
                <w:szCs w:val="20"/>
              </w:rPr>
            </w:pPr>
          </w:p>
        </w:tc>
      </w:tr>
      <w:tr w:rsidR="007618FA" w:rsidRPr="000B6FCE" w:rsidTr="00B412BD">
        <w:trPr>
          <w:cantSplit/>
          <w:trHeight w:val="1266"/>
        </w:trPr>
        <w:tc>
          <w:tcPr>
            <w:tcW w:w="3828" w:type="dxa"/>
            <w:vMerge w:val="restart"/>
            <w:tcMar>
              <w:top w:w="28" w:type="dxa"/>
              <w:bottom w:w="28" w:type="dxa"/>
            </w:tcMar>
          </w:tcPr>
          <w:p w:rsidR="007618FA" w:rsidRPr="000B6FCE" w:rsidRDefault="007618FA" w:rsidP="00AB756D">
            <w:pPr>
              <w:rPr>
                <w:rFonts w:ascii="Arial" w:hAnsi="Arial" w:cs="Arial"/>
                <w:color w:val="000000"/>
              </w:rPr>
            </w:pPr>
            <w:r w:rsidRPr="000B6FCE">
              <w:rPr>
                <w:rFonts w:ascii="Arial" w:hAnsi="Arial" w:cs="Arial"/>
                <w:color w:val="000000"/>
              </w:rPr>
              <w:lastRenderedPageBreak/>
              <w:t xml:space="preserve">TIOTROPIUM </w:t>
            </w:r>
          </w:p>
          <w:p w:rsidR="007618FA" w:rsidRPr="000B6FCE" w:rsidRDefault="007618FA" w:rsidP="00AB756D">
            <w:pPr>
              <w:rPr>
                <w:rFonts w:ascii="Arial" w:hAnsi="Arial" w:cs="Arial"/>
                <w:color w:val="000000"/>
              </w:rPr>
            </w:pPr>
          </w:p>
          <w:p w:rsidR="007618FA" w:rsidRPr="000B6FCE" w:rsidRDefault="007618FA" w:rsidP="00AB756D">
            <w:pPr>
              <w:rPr>
                <w:rFonts w:ascii="Arial" w:hAnsi="Arial" w:cs="Arial"/>
                <w:color w:val="000000"/>
              </w:rPr>
            </w:pPr>
            <w:r w:rsidRPr="000B6FCE">
              <w:rPr>
                <w:rFonts w:ascii="Arial" w:hAnsi="Arial" w:cs="Arial"/>
                <w:color w:val="000000"/>
              </w:rPr>
              <w:t xml:space="preserve">Solution for oral inhalation 2.5 micrograms (as bromide monohydrate) per actuation (60 actuations) </w:t>
            </w:r>
          </w:p>
          <w:p w:rsidR="007618FA" w:rsidRPr="000B6FCE" w:rsidRDefault="007618FA" w:rsidP="00AB756D">
            <w:pPr>
              <w:rPr>
                <w:rFonts w:ascii="Arial" w:hAnsi="Arial" w:cs="Arial"/>
                <w:color w:val="000000"/>
              </w:rPr>
            </w:pPr>
          </w:p>
          <w:p w:rsidR="007618FA" w:rsidRPr="000B6FCE" w:rsidRDefault="007618FA" w:rsidP="00AB756D">
            <w:pPr>
              <w:rPr>
                <w:rFonts w:ascii="Arial" w:hAnsi="Arial" w:cs="Arial"/>
                <w:color w:val="000000"/>
              </w:rPr>
            </w:pPr>
            <w:r w:rsidRPr="000B6FCE">
              <w:rPr>
                <w:rFonts w:ascii="Arial" w:hAnsi="Arial" w:cs="Arial"/>
                <w:color w:val="000000"/>
              </w:rPr>
              <w:t xml:space="preserve">Spiriva® </w:t>
            </w:r>
            <w:proofErr w:type="spellStart"/>
            <w:r w:rsidRPr="000B6FCE">
              <w:rPr>
                <w:rFonts w:ascii="Arial" w:hAnsi="Arial" w:cs="Arial"/>
                <w:color w:val="000000"/>
              </w:rPr>
              <w:t>Respimat</w:t>
            </w:r>
            <w:proofErr w:type="spellEnd"/>
            <w:r w:rsidRPr="000B6FCE">
              <w:rPr>
                <w:rFonts w:ascii="Arial" w:hAnsi="Arial" w:cs="Arial"/>
                <w:color w:val="000000"/>
              </w:rPr>
              <w:t>®</w:t>
            </w:r>
          </w:p>
          <w:p w:rsidR="007618FA" w:rsidRPr="000B6FCE" w:rsidRDefault="007618FA" w:rsidP="00AB756D">
            <w:pPr>
              <w:rPr>
                <w:rFonts w:ascii="Arial" w:hAnsi="Arial" w:cs="Arial"/>
                <w:color w:val="000000"/>
              </w:rPr>
            </w:pPr>
          </w:p>
          <w:p w:rsidR="007618FA" w:rsidRPr="000B6FCE" w:rsidRDefault="007618FA" w:rsidP="00AB756D">
            <w:pPr>
              <w:rPr>
                <w:rFonts w:ascii="Arial" w:hAnsi="Arial" w:cs="Arial"/>
                <w:color w:val="000000"/>
              </w:rPr>
            </w:pPr>
            <w:proofErr w:type="spellStart"/>
            <w:r w:rsidRPr="000B6FCE">
              <w:rPr>
                <w:rFonts w:ascii="Arial" w:hAnsi="Arial" w:cs="Arial"/>
                <w:color w:val="000000"/>
              </w:rPr>
              <w:t>Boehringer</w:t>
            </w:r>
            <w:proofErr w:type="spellEnd"/>
            <w:r w:rsidRPr="000B6FCE">
              <w:rPr>
                <w:rFonts w:ascii="Arial" w:hAnsi="Arial" w:cs="Arial"/>
                <w:color w:val="000000"/>
              </w:rPr>
              <w:t xml:space="preserve"> </w:t>
            </w:r>
            <w:proofErr w:type="spellStart"/>
            <w:r w:rsidRPr="000B6FCE">
              <w:rPr>
                <w:rFonts w:ascii="Arial" w:hAnsi="Arial" w:cs="Arial"/>
                <w:color w:val="000000"/>
              </w:rPr>
              <w:t>lngelheim</w:t>
            </w:r>
            <w:proofErr w:type="spellEnd"/>
            <w:r w:rsidRPr="000B6FCE">
              <w:rPr>
                <w:rFonts w:ascii="Arial" w:hAnsi="Arial" w:cs="Arial"/>
                <w:color w:val="000000"/>
              </w:rPr>
              <w:t xml:space="preserve"> Pty Ltd</w:t>
            </w:r>
          </w:p>
          <w:p w:rsidR="007618FA" w:rsidRPr="000B6FCE" w:rsidRDefault="007618FA" w:rsidP="00AB756D">
            <w:pPr>
              <w:rPr>
                <w:rFonts w:ascii="Arial" w:hAnsi="Arial" w:cs="Arial"/>
                <w:color w:val="000000"/>
              </w:rPr>
            </w:pPr>
          </w:p>
          <w:p w:rsidR="00184358" w:rsidRPr="000B6FCE" w:rsidRDefault="00184358" w:rsidP="00AB756D">
            <w:pPr>
              <w:rPr>
                <w:rFonts w:ascii="Arial" w:hAnsi="Arial" w:cs="Arial"/>
                <w:color w:val="000000"/>
              </w:rPr>
            </w:pPr>
            <w:r w:rsidRPr="000B6FCE">
              <w:rPr>
                <w:rFonts w:ascii="Arial" w:hAnsi="Arial" w:cs="Arial"/>
                <w:color w:val="000000"/>
              </w:rPr>
              <w:t>Change to listing</w:t>
            </w:r>
          </w:p>
          <w:p w:rsidR="00184358" w:rsidRPr="000B6FCE" w:rsidRDefault="00184358" w:rsidP="00AB756D">
            <w:pPr>
              <w:rPr>
                <w:rFonts w:ascii="Arial" w:hAnsi="Arial" w:cs="Arial"/>
                <w:color w:val="000000"/>
              </w:rPr>
            </w:pPr>
          </w:p>
          <w:p w:rsidR="007618FA" w:rsidRPr="000B6FCE" w:rsidRDefault="007618FA" w:rsidP="00AB756D">
            <w:pPr>
              <w:rPr>
                <w:rFonts w:ascii="Arial" w:hAnsi="Arial" w:cs="Arial"/>
                <w:color w:val="000000"/>
              </w:rPr>
            </w:pPr>
            <w:r w:rsidRPr="000B6FCE">
              <w:rPr>
                <w:rFonts w:ascii="Arial" w:hAnsi="Arial" w:cs="Arial"/>
                <w:color w:val="000000"/>
              </w:rPr>
              <w:t>(Minor Submission)</w:t>
            </w:r>
          </w:p>
        </w:tc>
        <w:tc>
          <w:tcPr>
            <w:tcW w:w="2409" w:type="dxa"/>
            <w:vMerge w:val="restart"/>
          </w:tcPr>
          <w:p w:rsidR="007618FA" w:rsidRPr="000B6FCE" w:rsidRDefault="007618FA" w:rsidP="00AF6ADE">
            <w:pPr>
              <w:rPr>
                <w:rFonts w:ascii="Arial" w:hAnsi="Arial" w:cs="Arial"/>
                <w:color w:val="000000"/>
              </w:rPr>
            </w:pPr>
            <w:r w:rsidRPr="000B6FCE">
              <w:rPr>
                <w:rFonts w:ascii="Arial" w:hAnsi="Arial" w:cs="Arial"/>
                <w:color w:val="000000"/>
              </w:rPr>
              <w:t>Severe asthma</w:t>
            </w:r>
          </w:p>
        </w:tc>
        <w:tc>
          <w:tcPr>
            <w:tcW w:w="3261" w:type="dxa"/>
            <w:tcMar>
              <w:top w:w="28" w:type="dxa"/>
              <w:bottom w:w="28" w:type="dxa"/>
            </w:tcMar>
          </w:tcPr>
          <w:p w:rsidR="007618FA" w:rsidRPr="000B6FCE" w:rsidRDefault="007618FA" w:rsidP="00AF6ADE">
            <w:pPr>
              <w:rPr>
                <w:rFonts w:ascii="Arial" w:hAnsi="Arial" w:cs="Arial"/>
                <w:color w:val="000000"/>
              </w:rPr>
            </w:pPr>
            <w:r w:rsidRPr="000B6FCE">
              <w:rPr>
                <w:rFonts w:ascii="Arial" w:hAnsi="Arial" w:cs="Arial"/>
                <w:color w:val="000000"/>
              </w:rPr>
              <w:t>To request the current Restricted Benefit listing to be changed to Authority Required (STREAMLINED).</w:t>
            </w:r>
          </w:p>
        </w:tc>
        <w:tc>
          <w:tcPr>
            <w:tcW w:w="5953" w:type="dxa"/>
          </w:tcPr>
          <w:p w:rsidR="007618FA" w:rsidRDefault="00AE76C5" w:rsidP="00AE76C5">
            <w:pPr>
              <w:rPr>
                <w:rFonts w:ascii="Arial" w:hAnsi="Arial" w:cs="Arial"/>
                <w:iCs/>
              </w:rPr>
            </w:pPr>
            <w:r w:rsidRPr="000B6FCE">
              <w:rPr>
                <w:rFonts w:ascii="Arial" w:hAnsi="Arial" w:cs="Arial"/>
                <w:iCs/>
              </w:rPr>
              <w:t xml:space="preserve">The PBAC did not recommend amending the </w:t>
            </w:r>
            <w:r w:rsidR="00D3567F" w:rsidRPr="000B6FCE">
              <w:rPr>
                <w:rFonts w:ascii="Arial" w:hAnsi="Arial" w:cs="Arial"/>
                <w:iCs/>
              </w:rPr>
              <w:t xml:space="preserve">Restricted Benefit </w:t>
            </w:r>
            <w:r w:rsidRPr="000B6FCE">
              <w:rPr>
                <w:rFonts w:ascii="Arial" w:hAnsi="Arial" w:cs="Arial"/>
                <w:iCs/>
              </w:rPr>
              <w:t>listing of tiotropium for severe asthma to an Authority Required (STREAMLINED) listing. The PBAC did not consider that the use of different restriction levels to manage a Risk Sharing Arrangement was appropriate and may lead to confusion for consumers and prescribers. Further, the PBAC considered that this approach may not adequately address the sponsors concerns, which could be met by other approaches.</w:t>
            </w:r>
          </w:p>
          <w:p w:rsidR="00E5736E" w:rsidRPr="000B6FCE" w:rsidRDefault="00E5736E" w:rsidP="00AE76C5">
            <w:pPr>
              <w:rPr>
                <w:rFonts w:ascii="Arial" w:hAnsi="Arial" w:cs="Arial"/>
                <w:iCs/>
              </w:rPr>
            </w:pPr>
          </w:p>
        </w:tc>
      </w:tr>
      <w:tr w:rsidR="007618FA" w:rsidRPr="000B6FCE" w:rsidTr="00150780">
        <w:trPr>
          <w:cantSplit/>
          <w:trHeight w:val="855"/>
        </w:trPr>
        <w:tc>
          <w:tcPr>
            <w:tcW w:w="3828" w:type="dxa"/>
            <w:vMerge/>
            <w:tcMar>
              <w:top w:w="28" w:type="dxa"/>
              <w:bottom w:w="28" w:type="dxa"/>
            </w:tcMar>
          </w:tcPr>
          <w:p w:rsidR="007618FA" w:rsidRPr="000B6FCE" w:rsidRDefault="007618FA" w:rsidP="00AB756D">
            <w:pPr>
              <w:rPr>
                <w:rFonts w:ascii="Arial" w:hAnsi="Arial" w:cs="Arial"/>
                <w:color w:val="000000"/>
              </w:rPr>
            </w:pPr>
          </w:p>
        </w:tc>
        <w:tc>
          <w:tcPr>
            <w:tcW w:w="2409" w:type="dxa"/>
            <w:vMerge/>
          </w:tcPr>
          <w:p w:rsidR="007618FA" w:rsidRPr="000B6FCE" w:rsidRDefault="007618FA" w:rsidP="00AF6ADE">
            <w:pPr>
              <w:rPr>
                <w:rFonts w:ascii="Arial" w:hAnsi="Arial" w:cs="Arial"/>
                <w:color w:val="000000"/>
              </w:rPr>
            </w:pPr>
          </w:p>
        </w:tc>
        <w:tc>
          <w:tcPr>
            <w:tcW w:w="3261" w:type="dxa"/>
            <w:tcMar>
              <w:top w:w="28" w:type="dxa"/>
              <w:bottom w:w="28" w:type="dxa"/>
            </w:tcMar>
          </w:tcPr>
          <w:p w:rsidR="007618FA" w:rsidRPr="000B6FCE" w:rsidRDefault="007618FA" w:rsidP="007618FA">
            <w:pPr>
              <w:jc w:val="right"/>
              <w:rPr>
                <w:rFonts w:ascii="Arial" w:hAnsi="Arial" w:cs="Arial"/>
                <w:color w:val="000000"/>
              </w:rPr>
            </w:pPr>
            <w:r w:rsidRPr="000B6FCE">
              <w:rPr>
                <w:rFonts w:ascii="Arial" w:hAnsi="Arial" w:cs="Arial"/>
                <w:color w:val="000000"/>
              </w:rPr>
              <w:t>Sponsor Response</w:t>
            </w:r>
          </w:p>
        </w:tc>
        <w:tc>
          <w:tcPr>
            <w:tcW w:w="5953" w:type="dxa"/>
          </w:tcPr>
          <w:p w:rsidR="007618FA" w:rsidRPr="000B6FCE" w:rsidRDefault="003F0575" w:rsidP="003F0575">
            <w:pPr>
              <w:rPr>
                <w:rFonts w:ascii="Arial" w:hAnsi="Arial" w:cs="Arial"/>
                <w:iCs/>
              </w:rPr>
            </w:pPr>
            <w:r w:rsidRPr="000B6FCE">
              <w:rPr>
                <w:rFonts w:ascii="Arial" w:hAnsi="Arial" w:cs="Arial"/>
                <w:iCs/>
              </w:rPr>
              <w:t>The sponsor had no comment.</w:t>
            </w:r>
          </w:p>
        </w:tc>
      </w:tr>
    </w:tbl>
    <w:p w:rsidR="005E59B9" w:rsidRPr="000B6FCE" w:rsidRDefault="005E59B9" w:rsidP="00B412BD">
      <w:pPr>
        <w:tabs>
          <w:tab w:val="left" w:pos="5210"/>
        </w:tabs>
        <w:rPr>
          <w:rFonts w:ascii="Arial" w:hAnsi="Arial" w:cs="Arial"/>
          <w:lang w:val="en-US"/>
        </w:rPr>
      </w:pPr>
    </w:p>
    <w:sectPr w:rsidR="005E59B9" w:rsidRPr="000B6FCE" w:rsidSect="00257615">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ACC" w:rsidRDefault="00F04ACC">
      <w:r>
        <w:separator/>
      </w:r>
    </w:p>
  </w:endnote>
  <w:endnote w:type="continuationSeparator" w:id="0">
    <w:p w:rsidR="00F04ACC" w:rsidRDefault="00F0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ACC" w:rsidRDefault="00F04ACC"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4ACC" w:rsidRDefault="00F04ACC"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ACC" w:rsidRPr="00287C89" w:rsidRDefault="00F04ACC"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0C7A78">
      <w:rPr>
        <w:rStyle w:val="PageNumber"/>
        <w:rFonts w:ascii="Arial" w:hAnsi="Arial" w:cs="Arial"/>
        <w:noProof/>
      </w:rPr>
      <w:t>8</w:t>
    </w:r>
    <w:r w:rsidRPr="00287C89">
      <w:rPr>
        <w:rStyle w:val="PageNumber"/>
        <w:rFonts w:ascii="Arial" w:hAnsi="Arial" w:cs="Arial"/>
      </w:rPr>
      <w:fldChar w:fldCharType="end"/>
    </w:r>
  </w:p>
  <w:p w:rsidR="00F04ACC" w:rsidRDefault="00F04ACC" w:rsidP="00FE2A81">
    <w:pPr>
      <w:pStyle w:val="Footer"/>
      <w:ind w:right="360"/>
    </w:pPr>
  </w:p>
  <w:p w:rsidR="00F04ACC" w:rsidRDefault="00F04ACC"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5F" w:rsidRDefault="00F912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ACC" w:rsidRDefault="00F04ACC">
      <w:r>
        <w:separator/>
      </w:r>
    </w:p>
  </w:footnote>
  <w:footnote w:type="continuationSeparator" w:id="0">
    <w:p w:rsidR="00F04ACC" w:rsidRDefault="00F04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5F" w:rsidRDefault="00F912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ACC" w:rsidRDefault="0003559A" w:rsidP="00EB4928">
    <w:pPr>
      <w:pStyle w:val="Header"/>
      <w:jc w:val="center"/>
      <w:rPr>
        <w:rFonts w:ascii="Arial" w:hAnsi="Arial" w:cs="Arial"/>
        <w:b/>
      </w:rPr>
    </w:pPr>
    <w:r>
      <w:rPr>
        <w:rFonts w:ascii="Arial" w:hAnsi="Arial" w:cs="Arial"/>
        <w:b/>
      </w:rPr>
      <w:t>July</w:t>
    </w:r>
    <w:r w:rsidR="00F04ACC" w:rsidRPr="00C02C26">
      <w:rPr>
        <w:rFonts w:ascii="Arial" w:hAnsi="Arial" w:cs="Arial"/>
        <w:b/>
      </w:rPr>
      <w:t xml:space="preserve"> 2017 </w:t>
    </w:r>
    <w:r w:rsidR="00F04ACC" w:rsidRPr="0071356F">
      <w:rPr>
        <w:rFonts w:ascii="Arial" w:hAnsi="Arial" w:cs="Arial"/>
        <w:b/>
      </w:rPr>
      <w:t>PBAC OUTCOMES –</w:t>
    </w:r>
    <w:r w:rsidR="00F04ACC">
      <w:rPr>
        <w:rFonts w:ascii="Arial" w:hAnsi="Arial" w:cs="Arial"/>
        <w:b/>
      </w:rPr>
      <w:t xml:space="preserve"> </w:t>
    </w:r>
    <w:r w:rsidR="00F04ACC" w:rsidRPr="0071356F">
      <w:rPr>
        <w:rFonts w:ascii="Arial" w:hAnsi="Arial" w:cs="Arial"/>
        <w:b/>
      </w:rPr>
      <w:t>1</w:t>
    </w:r>
    <w:r w:rsidR="00F04ACC" w:rsidRPr="0071356F">
      <w:rPr>
        <w:rFonts w:ascii="Arial" w:hAnsi="Arial" w:cs="Arial"/>
        <w:b/>
        <w:vertAlign w:val="superscript"/>
      </w:rPr>
      <w:t>ST</w:t>
    </w:r>
    <w:r w:rsidR="00F04ACC">
      <w:rPr>
        <w:rFonts w:ascii="Arial" w:hAnsi="Arial" w:cs="Arial"/>
        <w:b/>
      </w:rPr>
      <w:t xml:space="preserve"> TIME</w:t>
    </w:r>
    <w:r w:rsidR="00F04ACC" w:rsidRPr="0071356F">
      <w:rPr>
        <w:rFonts w:ascii="Arial" w:hAnsi="Arial" w:cs="Arial"/>
        <w:b/>
      </w:rPr>
      <w:t xml:space="preserve"> DECISIONS NOT TO RECOMMEND</w:t>
    </w:r>
  </w:p>
  <w:p w:rsidR="00F04ACC" w:rsidRPr="0071356F" w:rsidRDefault="00F04ACC" w:rsidP="0071356F">
    <w:pPr>
      <w:pStyle w:val="Header"/>
      <w:jc w:val="center"/>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5F" w:rsidRDefault="00F912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AF64332"/>
    <w:multiLevelType w:val="hybridMultilevel"/>
    <w:tmpl w:val="3D0E8A86"/>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6">
    <w:nsid w:val="0C0415AE"/>
    <w:multiLevelType w:val="hybridMultilevel"/>
    <w:tmpl w:val="815C359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nsid w:val="10B054A1"/>
    <w:multiLevelType w:val="hybridMultilevel"/>
    <w:tmpl w:val="374CCD14"/>
    <w:lvl w:ilvl="0" w:tplc="B6488492">
      <w:numFmt w:val="bullet"/>
      <w:lvlText w:val=""/>
      <w:lvlJc w:val="left"/>
      <w:pPr>
        <w:ind w:left="573" w:hanging="540"/>
      </w:pPr>
      <w:rPr>
        <w:rFonts w:ascii="Symbol" w:eastAsia="SimSun" w:hAnsi="Symbol" w:cs="Arial"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9">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68E3460"/>
    <w:multiLevelType w:val="hybridMultilevel"/>
    <w:tmpl w:val="29947A1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7">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7">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BBD0F3A"/>
    <w:multiLevelType w:val="hybridMultilevel"/>
    <w:tmpl w:val="DE54EE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6">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9">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31"/>
  </w:num>
  <w:num w:numId="4">
    <w:abstractNumId w:val="25"/>
  </w:num>
  <w:num w:numId="5">
    <w:abstractNumId w:val="14"/>
  </w:num>
  <w:num w:numId="6">
    <w:abstractNumId w:val="9"/>
  </w:num>
  <w:num w:numId="7">
    <w:abstractNumId w:val="3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7"/>
  </w:num>
  <w:num w:numId="11">
    <w:abstractNumId w:val="27"/>
  </w:num>
  <w:num w:numId="12">
    <w:abstractNumId w:val="29"/>
  </w:num>
  <w:num w:numId="13">
    <w:abstractNumId w:val="10"/>
  </w:num>
  <w:num w:numId="14">
    <w:abstractNumId w:val="28"/>
  </w:num>
  <w:num w:numId="15">
    <w:abstractNumId w:val="30"/>
  </w:num>
  <w:num w:numId="16">
    <w:abstractNumId w:val="26"/>
  </w:num>
  <w:num w:numId="17">
    <w:abstractNumId w:val="41"/>
  </w:num>
  <w:num w:numId="18">
    <w:abstractNumId w:val="43"/>
  </w:num>
  <w:num w:numId="19">
    <w:abstractNumId w:val="7"/>
  </w:num>
  <w:num w:numId="20">
    <w:abstractNumId w:val="15"/>
  </w:num>
  <w:num w:numId="21">
    <w:abstractNumId w:val="18"/>
  </w:num>
  <w:num w:numId="22">
    <w:abstractNumId w:val="39"/>
  </w:num>
  <w:num w:numId="23">
    <w:abstractNumId w:val="4"/>
  </w:num>
  <w:num w:numId="24">
    <w:abstractNumId w:val="21"/>
  </w:num>
  <w:num w:numId="25">
    <w:abstractNumId w:val="13"/>
  </w:num>
  <w:num w:numId="26">
    <w:abstractNumId w:val="11"/>
  </w:num>
  <w:num w:numId="27">
    <w:abstractNumId w:val="23"/>
  </w:num>
  <w:num w:numId="28">
    <w:abstractNumId w:val="24"/>
  </w:num>
  <w:num w:numId="29">
    <w:abstractNumId w:val="22"/>
  </w:num>
  <w:num w:numId="30">
    <w:abstractNumId w:val="42"/>
  </w:num>
  <w:num w:numId="31">
    <w:abstractNumId w:val="19"/>
  </w:num>
  <w:num w:numId="32">
    <w:abstractNumId w:val="35"/>
  </w:num>
  <w:num w:numId="33">
    <w:abstractNumId w:val="40"/>
  </w:num>
  <w:num w:numId="34">
    <w:abstractNumId w:val="38"/>
  </w:num>
  <w:num w:numId="35">
    <w:abstractNumId w:val="3"/>
  </w:num>
  <w:num w:numId="36">
    <w:abstractNumId w:val="36"/>
  </w:num>
  <w:num w:numId="37">
    <w:abstractNumId w:val="2"/>
  </w:num>
  <w:num w:numId="38">
    <w:abstractNumId w:val="20"/>
  </w:num>
  <w:num w:numId="39">
    <w:abstractNumId w:val="1"/>
  </w:num>
  <w:num w:numId="40">
    <w:abstractNumId w:val="5"/>
  </w:num>
  <w:num w:numId="41">
    <w:abstractNumId w:val="8"/>
  </w:num>
  <w:num w:numId="42">
    <w:abstractNumId w:val="34"/>
  </w:num>
  <w:num w:numId="43">
    <w:abstractNumId w:val="16"/>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559A"/>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8AC"/>
    <w:rsid w:val="00072F02"/>
    <w:rsid w:val="00074126"/>
    <w:rsid w:val="0007567B"/>
    <w:rsid w:val="000757B3"/>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2523"/>
    <w:rsid w:val="00093960"/>
    <w:rsid w:val="0009404C"/>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36"/>
    <w:rsid w:val="000A59CC"/>
    <w:rsid w:val="000A64C7"/>
    <w:rsid w:val="000A7C8A"/>
    <w:rsid w:val="000A7F23"/>
    <w:rsid w:val="000B1170"/>
    <w:rsid w:val="000B1811"/>
    <w:rsid w:val="000B1A6E"/>
    <w:rsid w:val="000B21DD"/>
    <w:rsid w:val="000B2C76"/>
    <w:rsid w:val="000B2F97"/>
    <w:rsid w:val="000B3043"/>
    <w:rsid w:val="000B34FA"/>
    <w:rsid w:val="000B36FE"/>
    <w:rsid w:val="000B372D"/>
    <w:rsid w:val="000B38D3"/>
    <w:rsid w:val="000B5120"/>
    <w:rsid w:val="000B5B24"/>
    <w:rsid w:val="000B6487"/>
    <w:rsid w:val="000B6FCE"/>
    <w:rsid w:val="000B7A91"/>
    <w:rsid w:val="000B7F45"/>
    <w:rsid w:val="000C040A"/>
    <w:rsid w:val="000C0497"/>
    <w:rsid w:val="000C0E21"/>
    <w:rsid w:val="000C1BA1"/>
    <w:rsid w:val="000C219D"/>
    <w:rsid w:val="000C22B0"/>
    <w:rsid w:val="000C2786"/>
    <w:rsid w:val="000C3369"/>
    <w:rsid w:val="000C3CAA"/>
    <w:rsid w:val="000C45E3"/>
    <w:rsid w:val="000C56B4"/>
    <w:rsid w:val="000C586F"/>
    <w:rsid w:val="000C5B48"/>
    <w:rsid w:val="000C661A"/>
    <w:rsid w:val="000C77A9"/>
    <w:rsid w:val="000C7A78"/>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7038"/>
    <w:rsid w:val="00107219"/>
    <w:rsid w:val="0011011A"/>
    <w:rsid w:val="001101E1"/>
    <w:rsid w:val="00110379"/>
    <w:rsid w:val="001103CF"/>
    <w:rsid w:val="00111E94"/>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28"/>
    <w:rsid w:val="00132FA5"/>
    <w:rsid w:val="001334F9"/>
    <w:rsid w:val="00133B4C"/>
    <w:rsid w:val="00133D7F"/>
    <w:rsid w:val="00134ECB"/>
    <w:rsid w:val="00134F08"/>
    <w:rsid w:val="001357A1"/>
    <w:rsid w:val="001362A6"/>
    <w:rsid w:val="00136B3F"/>
    <w:rsid w:val="00136DF8"/>
    <w:rsid w:val="0013707E"/>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2B0"/>
    <w:rsid w:val="00150381"/>
    <w:rsid w:val="0015078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358"/>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0BC"/>
    <w:rsid w:val="001A3986"/>
    <w:rsid w:val="001A3E19"/>
    <w:rsid w:val="001A4242"/>
    <w:rsid w:val="001A48FD"/>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4F84"/>
    <w:rsid w:val="002060A5"/>
    <w:rsid w:val="002068F5"/>
    <w:rsid w:val="00206E0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0E50"/>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720DA"/>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86BA3"/>
    <w:rsid w:val="00287C89"/>
    <w:rsid w:val="002905B5"/>
    <w:rsid w:val="002911D8"/>
    <w:rsid w:val="00293203"/>
    <w:rsid w:val="0029329A"/>
    <w:rsid w:val="00293A15"/>
    <w:rsid w:val="00295693"/>
    <w:rsid w:val="002960C3"/>
    <w:rsid w:val="002969C0"/>
    <w:rsid w:val="002972D4"/>
    <w:rsid w:val="00297AEF"/>
    <w:rsid w:val="00297F02"/>
    <w:rsid w:val="002A06E1"/>
    <w:rsid w:val="002A1091"/>
    <w:rsid w:val="002A17DB"/>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0F1"/>
    <w:rsid w:val="002C3502"/>
    <w:rsid w:val="002C397B"/>
    <w:rsid w:val="002C3BA0"/>
    <w:rsid w:val="002C436C"/>
    <w:rsid w:val="002C47C4"/>
    <w:rsid w:val="002C4C8C"/>
    <w:rsid w:val="002C6E41"/>
    <w:rsid w:val="002C748E"/>
    <w:rsid w:val="002C7D3C"/>
    <w:rsid w:val="002D0DDF"/>
    <w:rsid w:val="002D17A5"/>
    <w:rsid w:val="002D1AC7"/>
    <w:rsid w:val="002D347E"/>
    <w:rsid w:val="002D3D17"/>
    <w:rsid w:val="002D42A0"/>
    <w:rsid w:val="002D440D"/>
    <w:rsid w:val="002D4C8C"/>
    <w:rsid w:val="002D545A"/>
    <w:rsid w:val="002D56D6"/>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FA4"/>
    <w:rsid w:val="00310992"/>
    <w:rsid w:val="00311387"/>
    <w:rsid w:val="003118AD"/>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1B24"/>
    <w:rsid w:val="003225D5"/>
    <w:rsid w:val="0032271E"/>
    <w:rsid w:val="003229A0"/>
    <w:rsid w:val="003232F1"/>
    <w:rsid w:val="0032378E"/>
    <w:rsid w:val="00323C12"/>
    <w:rsid w:val="00323D04"/>
    <w:rsid w:val="003243CB"/>
    <w:rsid w:val="003245FB"/>
    <w:rsid w:val="003250E2"/>
    <w:rsid w:val="0032569E"/>
    <w:rsid w:val="00326522"/>
    <w:rsid w:val="00326AEF"/>
    <w:rsid w:val="003270BF"/>
    <w:rsid w:val="00327A0C"/>
    <w:rsid w:val="003301A3"/>
    <w:rsid w:val="00330353"/>
    <w:rsid w:val="0033063D"/>
    <w:rsid w:val="00331DCA"/>
    <w:rsid w:val="00331DF2"/>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169"/>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2B5"/>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4F4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39B8"/>
    <w:rsid w:val="003E4136"/>
    <w:rsid w:val="003E4E45"/>
    <w:rsid w:val="003E61CB"/>
    <w:rsid w:val="003E7AFC"/>
    <w:rsid w:val="003E7C04"/>
    <w:rsid w:val="003E7FDA"/>
    <w:rsid w:val="003F01F7"/>
    <w:rsid w:val="003F0570"/>
    <w:rsid w:val="003F0575"/>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2E35"/>
    <w:rsid w:val="0042489B"/>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2E7E"/>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3886"/>
    <w:rsid w:val="00464F36"/>
    <w:rsid w:val="0046568B"/>
    <w:rsid w:val="004658E6"/>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C7FA8"/>
    <w:rsid w:val="004D0132"/>
    <w:rsid w:val="004D080F"/>
    <w:rsid w:val="004D185E"/>
    <w:rsid w:val="004D29F9"/>
    <w:rsid w:val="004D4B61"/>
    <w:rsid w:val="004D606D"/>
    <w:rsid w:val="004D6B20"/>
    <w:rsid w:val="004D6C2F"/>
    <w:rsid w:val="004D71FE"/>
    <w:rsid w:val="004D72C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0377"/>
    <w:rsid w:val="00551309"/>
    <w:rsid w:val="00552426"/>
    <w:rsid w:val="00552F1A"/>
    <w:rsid w:val="0055363B"/>
    <w:rsid w:val="00553693"/>
    <w:rsid w:val="00553934"/>
    <w:rsid w:val="00553B71"/>
    <w:rsid w:val="00554C4D"/>
    <w:rsid w:val="0055562E"/>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13E"/>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59B9"/>
    <w:rsid w:val="005E6369"/>
    <w:rsid w:val="005E652A"/>
    <w:rsid w:val="005E68B2"/>
    <w:rsid w:val="005E6C14"/>
    <w:rsid w:val="005E6F87"/>
    <w:rsid w:val="005E7038"/>
    <w:rsid w:val="005F043C"/>
    <w:rsid w:val="005F0593"/>
    <w:rsid w:val="005F1BE8"/>
    <w:rsid w:val="005F1C1F"/>
    <w:rsid w:val="005F2ABB"/>
    <w:rsid w:val="005F3375"/>
    <w:rsid w:val="005F354A"/>
    <w:rsid w:val="005F4899"/>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37EA"/>
    <w:rsid w:val="006348ED"/>
    <w:rsid w:val="00636A18"/>
    <w:rsid w:val="00636C52"/>
    <w:rsid w:val="0063771E"/>
    <w:rsid w:val="006406A6"/>
    <w:rsid w:val="00640978"/>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1A45"/>
    <w:rsid w:val="00692DE1"/>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2D5"/>
    <w:rsid w:val="006C348B"/>
    <w:rsid w:val="006C34C1"/>
    <w:rsid w:val="006C374C"/>
    <w:rsid w:val="006C4E73"/>
    <w:rsid w:val="006C4EB7"/>
    <w:rsid w:val="006C5014"/>
    <w:rsid w:val="006C565B"/>
    <w:rsid w:val="006C5D35"/>
    <w:rsid w:val="006C75FA"/>
    <w:rsid w:val="006C7FAC"/>
    <w:rsid w:val="006D002D"/>
    <w:rsid w:val="006D0421"/>
    <w:rsid w:val="006D047B"/>
    <w:rsid w:val="006D1D18"/>
    <w:rsid w:val="006D2594"/>
    <w:rsid w:val="006D2BD4"/>
    <w:rsid w:val="006D3530"/>
    <w:rsid w:val="006D407D"/>
    <w:rsid w:val="006D4562"/>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556"/>
    <w:rsid w:val="006F065D"/>
    <w:rsid w:val="006F0C10"/>
    <w:rsid w:val="006F28C2"/>
    <w:rsid w:val="006F29B4"/>
    <w:rsid w:val="006F6D3E"/>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17D"/>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18FA"/>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77B5C"/>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97F81"/>
    <w:rsid w:val="007A02BC"/>
    <w:rsid w:val="007A099F"/>
    <w:rsid w:val="007A0ADA"/>
    <w:rsid w:val="007A0F0F"/>
    <w:rsid w:val="007A16EB"/>
    <w:rsid w:val="007A26C4"/>
    <w:rsid w:val="007A2742"/>
    <w:rsid w:val="007A2F96"/>
    <w:rsid w:val="007A33C4"/>
    <w:rsid w:val="007A3DB5"/>
    <w:rsid w:val="007A49D9"/>
    <w:rsid w:val="007A5620"/>
    <w:rsid w:val="007A68F5"/>
    <w:rsid w:val="007B01E7"/>
    <w:rsid w:val="007B0810"/>
    <w:rsid w:val="007B104F"/>
    <w:rsid w:val="007B1291"/>
    <w:rsid w:val="007B1418"/>
    <w:rsid w:val="007B1C29"/>
    <w:rsid w:val="007B2177"/>
    <w:rsid w:val="007B2FF1"/>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089"/>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40C"/>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640"/>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C8E"/>
    <w:rsid w:val="0085729A"/>
    <w:rsid w:val="00857373"/>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290F"/>
    <w:rsid w:val="008B4220"/>
    <w:rsid w:val="008B480A"/>
    <w:rsid w:val="008B4F76"/>
    <w:rsid w:val="008B58D9"/>
    <w:rsid w:val="008B64DC"/>
    <w:rsid w:val="008B69DA"/>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1F15"/>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83D"/>
    <w:rsid w:val="0093661E"/>
    <w:rsid w:val="00936789"/>
    <w:rsid w:val="00936EF5"/>
    <w:rsid w:val="009372E1"/>
    <w:rsid w:val="00937FBA"/>
    <w:rsid w:val="00942273"/>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29FE"/>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3564"/>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378"/>
    <w:rsid w:val="00A007E7"/>
    <w:rsid w:val="00A00F2E"/>
    <w:rsid w:val="00A035DE"/>
    <w:rsid w:val="00A035EA"/>
    <w:rsid w:val="00A04F59"/>
    <w:rsid w:val="00A05597"/>
    <w:rsid w:val="00A05B20"/>
    <w:rsid w:val="00A066BA"/>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20B7"/>
    <w:rsid w:val="00A227D6"/>
    <w:rsid w:val="00A227E7"/>
    <w:rsid w:val="00A22D55"/>
    <w:rsid w:val="00A22F6E"/>
    <w:rsid w:val="00A239DB"/>
    <w:rsid w:val="00A24008"/>
    <w:rsid w:val="00A24078"/>
    <w:rsid w:val="00A24543"/>
    <w:rsid w:val="00A2475E"/>
    <w:rsid w:val="00A258E0"/>
    <w:rsid w:val="00A25FCF"/>
    <w:rsid w:val="00A269B5"/>
    <w:rsid w:val="00A26A3F"/>
    <w:rsid w:val="00A26E8D"/>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371BB"/>
    <w:rsid w:val="00A40F98"/>
    <w:rsid w:val="00A42AD8"/>
    <w:rsid w:val="00A43813"/>
    <w:rsid w:val="00A43D47"/>
    <w:rsid w:val="00A440A6"/>
    <w:rsid w:val="00A45B00"/>
    <w:rsid w:val="00A4618D"/>
    <w:rsid w:val="00A46321"/>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B5C"/>
    <w:rsid w:val="00A90DEF"/>
    <w:rsid w:val="00A91FE5"/>
    <w:rsid w:val="00A92095"/>
    <w:rsid w:val="00A93082"/>
    <w:rsid w:val="00A93154"/>
    <w:rsid w:val="00A93214"/>
    <w:rsid w:val="00A93C27"/>
    <w:rsid w:val="00A93C2B"/>
    <w:rsid w:val="00A94D8C"/>
    <w:rsid w:val="00A96FC0"/>
    <w:rsid w:val="00A97AF7"/>
    <w:rsid w:val="00A97BFA"/>
    <w:rsid w:val="00AA007C"/>
    <w:rsid w:val="00AA0B30"/>
    <w:rsid w:val="00AA25C9"/>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56D"/>
    <w:rsid w:val="00AB7601"/>
    <w:rsid w:val="00AB7957"/>
    <w:rsid w:val="00AB7A15"/>
    <w:rsid w:val="00AC0BD8"/>
    <w:rsid w:val="00AC1E53"/>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C49"/>
    <w:rsid w:val="00AD3D21"/>
    <w:rsid w:val="00AD68F8"/>
    <w:rsid w:val="00AD692B"/>
    <w:rsid w:val="00AE0B68"/>
    <w:rsid w:val="00AE0CA2"/>
    <w:rsid w:val="00AE10CD"/>
    <w:rsid w:val="00AE1290"/>
    <w:rsid w:val="00AE1499"/>
    <w:rsid w:val="00AE2D0A"/>
    <w:rsid w:val="00AE3725"/>
    <w:rsid w:val="00AE448F"/>
    <w:rsid w:val="00AE4E58"/>
    <w:rsid w:val="00AE5139"/>
    <w:rsid w:val="00AE54FA"/>
    <w:rsid w:val="00AE5C8B"/>
    <w:rsid w:val="00AE65CA"/>
    <w:rsid w:val="00AE6800"/>
    <w:rsid w:val="00AE6CDA"/>
    <w:rsid w:val="00AE72FC"/>
    <w:rsid w:val="00AE751E"/>
    <w:rsid w:val="00AE76C5"/>
    <w:rsid w:val="00AF16A0"/>
    <w:rsid w:val="00AF239F"/>
    <w:rsid w:val="00AF23AA"/>
    <w:rsid w:val="00AF23C2"/>
    <w:rsid w:val="00AF3040"/>
    <w:rsid w:val="00AF31DB"/>
    <w:rsid w:val="00AF39BC"/>
    <w:rsid w:val="00AF51E5"/>
    <w:rsid w:val="00AF52E7"/>
    <w:rsid w:val="00AF5D55"/>
    <w:rsid w:val="00AF605B"/>
    <w:rsid w:val="00AF6ADE"/>
    <w:rsid w:val="00AF741B"/>
    <w:rsid w:val="00AF7453"/>
    <w:rsid w:val="00AF7C3D"/>
    <w:rsid w:val="00AF7E72"/>
    <w:rsid w:val="00B0115C"/>
    <w:rsid w:val="00B01F83"/>
    <w:rsid w:val="00B0432F"/>
    <w:rsid w:val="00B043ED"/>
    <w:rsid w:val="00B054FF"/>
    <w:rsid w:val="00B05CB6"/>
    <w:rsid w:val="00B0633F"/>
    <w:rsid w:val="00B070A0"/>
    <w:rsid w:val="00B07CC0"/>
    <w:rsid w:val="00B102F5"/>
    <w:rsid w:val="00B103E9"/>
    <w:rsid w:val="00B10DB9"/>
    <w:rsid w:val="00B11586"/>
    <w:rsid w:val="00B11E6D"/>
    <w:rsid w:val="00B11FA4"/>
    <w:rsid w:val="00B12242"/>
    <w:rsid w:val="00B125FE"/>
    <w:rsid w:val="00B1393B"/>
    <w:rsid w:val="00B140D2"/>
    <w:rsid w:val="00B1462C"/>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0B3"/>
    <w:rsid w:val="00B412BD"/>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316"/>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1EF"/>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2285"/>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168"/>
    <w:rsid w:val="00BF4C53"/>
    <w:rsid w:val="00BF54DC"/>
    <w:rsid w:val="00BF5748"/>
    <w:rsid w:val="00BF6270"/>
    <w:rsid w:val="00BF67B7"/>
    <w:rsid w:val="00BF770B"/>
    <w:rsid w:val="00BF7932"/>
    <w:rsid w:val="00C01510"/>
    <w:rsid w:val="00C01CEB"/>
    <w:rsid w:val="00C01F6E"/>
    <w:rsid w:val="00C02C26"/>
    <w:rsid w:val="00C0313B"/>
    <w:rsid w:val="00C03249"/>
    <w:rsid w:val="00C03553"/>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2F77"/>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26A"/>
    <w:rsid w:val="00C36684"/>
    <w:rsid w:val="00C36F0A"/>
    <w:rsid w:val="00C36F4F"/>
    <w:rsid w:val="00C372CB"/>
    <w:rsid w:val="00C4067A"/>
    <w:rsid w:val="00C41480"/>
    <w:rsid w:val="00C417FE"/>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391"/>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77424"/>
    <w:rsid w:val="00C816DF"/>
    <w:rsid w:val="00C820EE"/>
    <w:rsid w:val="00C84380"/>
    <w:rsid w:val="00C84713"/>
    <w:rsid w:val="00C84758"/>
    <w:rsid w:val="00C853AB"/>
    <w:rsid w:val="00C85F72"/>
    <w:rsid w:val="00C86896"/>
    <w:rsid w:val="00C876E1"/>
    <w:rsid w:val="00C90162"/>
    <w:rsid w:val="00C908A9"/>
    <w:rsid w:val="00C908BE"/>
    <w:rsid w:val="00C91507"/>
    <w:rsid w:val="00C9279D"/>
    <w:rsid w:val="00C9389B"/>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3CC4"/>
    <w:rsid w:val="00CC4207"/>
    <w:rsid w:val="00CC5222"/>
    <w:rsid w:val="00CC5775"/>
    <w:rsid w:val="00CC62CD"/>
    <w:rsid w:val="00CC7881"/>
    <w:rsid w:val="00CC7971"/>
    <w:rsid w:val="00CD0422"/>
    <w:rsid w:val="00CD0982"/>
    <w:rsid w:val="00CD124B"/>
    <w:rsid w:val="00CD19CF"/>
    <w:rsid w:val="00CD2987"/>
    <w:rsid w:val="00CD2A22"/>
    <w:rsid w:val="00CD2A3D"/>
    <w:rsid w:val="00CD2C8B"/>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CF736B"/>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2EA8"/>
    <w:rsid w:val="00D232D8"/>
    <w:rsid w:val="00D233CD"/>
    <w:rsid w:val="00D23500"/>
    <w:rsid w:val="00D23AD3"/>
    <w:rsid w:val="00D23FC0"/>
    <w:rsid w:val="00D23FCE"/>
    <w:rsid w:val="00D24364"/>
    <w:rsid w:val="00D2469E"/>
    <w:rsid w:val="00D2649E"/>
    <w:rsid w:val="00D27300"/>
    <w:rsid w:val="00D27875"/>
    <w:rsid w:val="00D27958"/>
    <w:rsid w:val="00D307FD"/>
    <w:rsid w:val="00D30A3B"/>
    <w:rsid w:val="00D31E2D"/>
    <w:rsid w:val="00D321E8"/>
    <w:rsid w:val="00D328E1"/>
    <w:rsid w:val="00D32E01"/>
    <w:rsid w:val="00D33975"/>
    <w:rsid w:val="00D33A8C"/>
    <w:rsid w:val="00D35597"/>
    <w:rsid w:val="00D3567F"/>
    <w:rsid w:val="00D35689"/>
    <w:rsid w:val="00D365FA"/>
    <w:rsid w:val="00D36FC6"/>
    <w:rsid w:val="00D37093"/>
    <w:rsid w:val="00D40425"/>
    <w:rsid w:val="00D40BC3"/>
    <w:rsid w:val="00D40D6B"/>
    <w:rsid w:val="00D4129E"/>
    <w:rsid w:val="00D418A3"/>
    <w:rsid w:val="00D41AB6"/>
    <w:rsid w:val="00D42946"/>
    <w:rsid w:val="00D42BB2"/>
    <w:rsid w:val="00D43453"/>
    <w:rsid w:val="00D43984"/>
    <w:rsid w:val="00D44189"/>
    <w:rsid w:val="00D4459D"/>
    <w:rsid w:val="00D44BD6"/>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1C3E"/>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B2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043"/>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21FF"/>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39B"/>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5AB8"/>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2B36"/>
    <w:rsid w:val="00E42FB9"/>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5736E"/>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1C"/>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4928"/>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5CF4"/>
    <w:rsid w:val="00EE67FE"/>
    <w:rsid w:val="00EE703E"/>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C0D"/>
    <w:rsid w:val="00F01F95"/>
    <w:rsid w:val="00F0256E"/>
    <w:rsid w:val="00F03681"/>
    <w:rsid w:val="00F03E2F"/>
    <w:rsid w:val="00F04ACC"/>
    <w:rsid w:val="00F04D9B"/>
    <w:rsid w:val="00F04FF3"/>
    <w:rsid w:val="00F0588E"/>
    <w:rsid w:val="00F05AB5"/>
    <w:rsid w:val="00F05BC9"/>
    <w:rsid w:val="00F0608B"/>
    <w:rsid w:val="00F0659C"/>
    <w:rsid w:val="00F06776"/>
    <w:rsid w:val="00F06CDD"/>
    <w:rsid w:val="00F06D5D"/>
    <w:rsid w:val="00F06E9A"/>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F86"/>
    <w:rsid w:val="00F2780A"/>
    <w:rsid w:val="00F314EF"/>
    <w:rsid w:val="00F3167E"/>
    <w:rsid w:val="00F332B2"/>
    <w:rsid w:val="00F33DD2"/>
    <w:rsid w:val="00F33E94"/>
    <w:rsid w:val="00F33F0D"/>
    <w:rsid w:val="00F352BD"/>
    <w:rsid w:val="00F3589E"/>
    <w:rsid w:val="00F35AB7"/>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849"/>
    <w:rsid w:val="00F4392C"/>
    <w:rsid w:val="00F44804"/>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9D5"/>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004"/>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25F"/>
    <w:rsid w:val="00F9135D"/>
    <w:rsid w:val="00F91B71"/>
    <w:rsid w:val="00F91BA8"/>
    <w:rsid w:val="00F9260F"/>
    <w:rsid w:val="00F9308E"/>
    <w:rsid w:val="00F95E64"/>
    <w:rsid w:val="00F960B8"/>
    <w:rsid w:val="00F9649D"/>
    <w:rsid w:val="00F96A46"/>
    <w:rsid w:val="00F96BB8"/>
    <w:rsid w:val="00F97307"/>
    <w:rsid w:val="00F97647"/>
    <w:rsid w:val="00F97A19"/>
    <w:rsid w:val="00FA068B"/>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47F2"/>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34"/>
    <w:rsid w:val="001E35D6"/>
    <w:rPr>
      <w:rFonts w:eastAsia="SimSun"/>
      <w:sz w:val="24"/>
      <w:szCs w:val="24"/>
    </w:rPr>
  </w:style>
  <w:style w:type="character" w:customStyle="1" w:styleId="CommentTextChar">
    <w:name w:val="Comment Text Char"/>
    <w:basedOn w:val="DefaultParagraphFont"/>
    <w:link w:val="CommentText"/>
    <w:rsid w:val="005E59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34"/>
    <w:rsid w:val="001E35D6"/>
    <w:rPr>
      <w:rFonts w:eastAsia="SimSun"/>
      <w:sz w:val="24"/>
      <w:szCs w:val="24"/>
    </w:rPr>
  </w:style>
  <w:style w:type="character" w:customStyle="1" w:styleId="CommentTextChar">
    <w:name w:val="Comment Text Char"/>
    <w:basedOn w:val="DefaultParagraphFont"/>
    <w:link w:val="CommentText"/>
    <w:rsid w:val="005E5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3290">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5431172">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66275568">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18255544">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0995328">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529884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3144773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E8CCF-E51D-4782-847E-59973D40B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2337</Words>
  <Characters>13701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2017-04-13T05:29:00Z</dcterms:created>
  <dcterms:modified xsi:type="dcterms:W3CDTF">2018-02-07T23:03:00Z</dcterms:modified>
</cp:coreProperties>
</file>