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828"/>
        <w:gridCol w:w="2947"/>
        <w:gridCol w:w="6581"/>
      </w:tblGrid>
      <w:tr w:rsidR="00BE4C86" w:rsidRPr="00E01B22" w:rsidTr="00C00315">
        <w:trPr>
          <w:tblHeader/>
        </w:trPr>
        <w:tc>
          <w:tcPr>
            <w:tcW w:w="3402" w:type="dxa"/>
            <w:tcMar>
              <w:top w:w="28" w:type="dxa"/>
              <w:bottom w:w="28" w:type="dxa"/>
            </w:tcMar>
          </w:tcPr>
          <w:p w:rsidR="00BE4C86" w:rsidRPr="00E01B22" w:rsidRDefault="00BE4C86" w:rsidP="0065234B">
            <w:pPr>
              <w:widowControl w:val="0"/>
              <w:jc w:val="center"/>
              <w:rPr>
                <w:rFonts w:ascii="Arial" w:hAnsi="Arial" w:cs="Arial"/>
                <w:b/>
              </w:rPr>
            </w:pPr>
            <w:r w:rsidRPr="00E01B22">
              <w:rPr>
                <w:rFonts w:ascii="Arial" w:hAnsi="Arial" w:cs="Arial"/>
                <w:b/>
              </w:rPr>
              <w:t>DRUG NAME, FORM(S), STRENGTH(S), SPONSOR, TYPE OF SUBMISSION</w:t>
            </w:r>
          </w:p>
          <w:p w:rsidR="00BE4C86" w:rsidRPr="00E01B22" w:rsidRDefault="00BE4C86" w:rsidP="0065234B">
            <w:pPr>
              <w:widowControl w:val="0"/>
              <w:jc w:val="center"/>
              <w:rPr>
                <w:rFonts w:ascii="Arial" w:hAnsi="Arial" w:cs="Arial"/>
                <w:b/>
              </w:rPr>
            </w:pPr>
          </w:p>
        </w:tc>
        <w:tc>
          <w:tcPr>
            <w:tcW w:w="1828" w:type="dxa"/>
            <w:tcMar>
              <w:top w:w="28" w:type="dxa"/>
              <w:bottom w:w="28" w:type="dxa"/>
            </w:tcMar>
          </w:tcPr>
          <w:p w:rsidR="00BE4C86" w:rsidRPr="00E01B22" w:rsidRDefault="00BE4C86" w:rsidP="0065234B">
            <w:pPr>
              <w:widowControl w:val="0"/>
              <w:jc w:val="center"/>
              <w:rPr>
                <w:rFonts w:ascii="Arial" w:hAnsi="Arial" w:cs="Arial"/>
                <w:b/>
                <w:snapToGrid w:val="0"/>
                <w:lang w:eastAsia="en-US"/>
              </w:rPr>
            </w:pPr>
            <w:r w:rsidRPr="00E01B22">
              <w:rPr>
                <w:rFonts w:ascii="Arial" w:hAnsi="Arial" w:cs="Arial"/>
                <w:b/>
                <w:snapToGrid w:val="0"/>
                <w:lang w:eastAsia="en-US"/>
              </w:rPr>
              <w:t>DRUG TYPE AND USE</w:t>
            </w:r>
          </w:p>
          <w:p w:rsidR="00BE4C86" w:rsidRPr="00E01B22" w:rsidRDefault="00BE4C86" w:rsidP="0065234B">
            <w:pPr>
              <w:widowControl w:val="0"/>
              <w:jc w:val="center"/>
              <w:rPr>
                <w:rFonts w:ascii="Arial" w:hAnsi="Arial" w:cs="Arial"/>
                <w:b/>
                <w:snapToGrid w:val="0"/>
                <w:lang w:eastAsia="en-US"/>
              </w:rPr>
            </w:pPr>
          </w:p>
        </w:tc>
        <w:tc>
          <w:tcPr>
            <w:tcW w:w="2947" w:type="dxa"/>
            <w:tcMar>
              <w:top w:w="28" w:type="dxa"/>
              <w:bottom w:w="28" w:type="dxa"/>
            </w:tcMar>
          </w:tcPr>
          <w:p w:rsidR="00BE4C86" w:rsidRPr="00E01B22" w:rsidRDefault="00BE4C86" w:rsidP="0065234B">
            <w:pPr>
              <w:widowControl w:val="0"/>
              <w:jc w:val="center"/>
              <w:rPr>
                <w:rFonts w:ascii="Arial" w:hAnsi="Arial" w:cs="Arial"/>
                <w:b/>
                <w:snapToGrid w:val="0"/>
                <w:lang w:eastAsia="en-US"/>
              </w:rPr>
            </w:pPr>
            <w:r w:rsidRPr="00E01B22">
              <w:rPr>
                <w:rFonts w:ascii="Arial" w:hAnsi="Arial" w:cs="Arial"/>
                <w:b/>
                <w:snapToGrid w:val="0"/>
                <w:lang w:eastAsia="en-US"/>
              </w:rPr>
              <w:t>LISTING REQUESTED BY SPONSOR / PURPOSE OF SUBMISSION</w:t>
            </w:r>
          </w:p>
          <w:p w:rsidR="00BE4C86" w:rsidRPr="00E01B22" w:rsidRDefault="00BE4C86" w:rsidP="0065234B">
            <w:pPr>
              <w:widowControl w:val="0"/>
              <w:jc w:val="center"/>
              <w:rPr>
                <w:rFonts w:ascii="Arial" w:hAnsi="Arial" w:cs="Arial"/>
                <w:b/>
                <w:snapToGrid w:val="0"/>
                <w:lang w:eastAsia="en-US"/>
              </w:rPr>
            </w:pPr>
          </w:p>
        </w:tc>
        <w:tc>
          <w:tcPr>
            <w:tcW w:w="6581" w:type="dxa"/>
          </w:tcPr>
          <w:p w:rsidR="00BE4C86" w:rsidRPr="00E01B22" w:rsidRDefault="00BE4C86" w:rsidP="00E836AC">
            <w:pPr>
              <w:pStyle w:val="Header"/>
              <w:jc w:val="center"/>
              <w:rPr>
                <w:rFonts w:ascii="Arial" w:hAnsi="Arial" w:cs="Arial"/>
                <w:b/>
                <w:snapToGrid w:val="0"/>
                <w:lang w:eastAsia="en-US"/>
              </w:rPr>
            </w:pPr>
            <w:r w:rsidRPr="00E01B22">
              <w:rPr>
                <w:rFonts w:ascii="Arial" w:hAnsi="Arial" w:cs="Arial"/>
                <w:b/>
                <w:snapToGrid w:val="0"/>
                <w:lang w:eastAsia="en-US"/>
              </w:rPr>
              <w:t>PBAC OUTCOME</w:t>
            </w:r>
          </w:p>
        </w:tc>
      </w:tr>
      <w:tr w:rsidR="00B442BE" w:rsidRPr="00E01B22" w:rsidTr="00B442BE">
        <w:trPr>
          <w:trHeight w:val="1722"/>
        </w:trPr>
        <w:tc>
          <w:tcPr>
            <w:tcW w:w="3402" w:type="dxa"/>
            <w:vMerge w:val="restart"/>
            <w:tcMar>
              <w:top w:w="28" w:type="dxa"/>
              <w:bottom w:w="28" w:type="dxa"/>
            </w:tcMar>
          </w:tcPr>
          <w:p w:rsidR="00B442BE" w:rsidRPr="00E01B22" w:rsidRDefault="00B442BE" w:rsidP="003F27D2">
            <w:pPr>
              <w:rPr>
                <w:rFonts w:ascii="Arial" w:hAnsi="Arial" w:cs="Arial"/>
                <w:color w:val="000000"/>
              </w:rPr>
            </w:pPr>
            <w:r w:rsidRPr="00E01B22">
              <w:rPr>
                <w:rFonts w:ascii="Arial" w:hAnsi="Arial" w:cs="Arial"/>
                <w:color w:val="000000"/>
              </w:rPr>
              <w:t>AMINO ACID FORMULA with CARBOHYDRATE, VITAMINS, MINERALS and TRACE ELEMENTS WITHOUT PHENYLALANINE, SUPPLEMENTED WITH DOCOSAHEXAENOIC ACID</w:t>
            </w:r>
          </w:p>
          <w:p w:rsidR="00B442BE" w:rsidRPr="00E01B22" w:rsidRDefault="00B442BE" w:rsidP="003F27D2">
            <w:pPr>
              <w:rPr>
                <w:rFonts w:ascii="Arial" w:hAnsi="Arial" w:cs="Arial"/>
                <w:color w:val="000000"/>
              </w:rPr>
            </w:pPr>
          </w:p>
          <w:p w:rsidR="00B442BE" w:rsidRPr="00E01B22" w:rsidRDefault="00B442BE" w:rsidP="003F27D2">
            <w:pPr>
              <w:rPr>
                <w:rFonts w:ascii="Arial" w:hAnsi="Arial" w:cs="Arial"/>
                <w:color w:val="000000"/>
              </w:rPr>
            </w:pPr>
            <w:r w:rsidRPr="00E01B22">
              <w:rPr>
                <w:rFonts w:ascii="Arial" w:hAnsi="Arial" w:cs="Arial"/>
                <w:color w:val="000000"/>
              </w:rPr>
              <w:t>Sachets containing oral powder 33 g, 30 (PKU Synergy)</w:t>
            </w:r>
          </w:p>
          <w:p w:rsidR="00B442BE" w:rsidRPr="00E01B22" w:rsidRDefault="00B442BE" w:rsidP="003F27D2">
            <w:pPr>
              <w:rPr>
                <w:rFonts w:ascii="Arial" w:hAnsi="Arial" w:cs="Arial"/>
                <w:color w:val="000000"/>
              </w:rPr>
            </w:pPr>
            <w:r w:rsidRPr="00E01B22">
              <w:rPr>
                <w:rFonts w:ascii="Arial" w:hAnsi="Arial" w:cs="Arial"/>
                <w:color w:val="000000"/>
              </w:rPr>
              <w:t>PKU Synergy®</w:t>
            </w:r>
          </w:p>
          <w:p w:rsidR="00B442BE" w:rsidRPr="00E01B22" w:rsidRDefault="00B442BE" w:rsidP="003F27D2">
            <w:pPr>
              <w:rPr>
                <w:rFonts w:ascii="Arial" w:hAnsi="Arial" w:cs="Arial"/>
                <w:color w:val="000000"/>
              </w:rPr>
            </w:pPr>
          </w:p>
          <w:p w:rsidR="00B442BE" w:rsidRPr="00E01B22" w:rsidRDefault="00B442BE" w:rsidP="003F27D2">
            <w:pPr>
              <w:rPr>
                <w:rFonts w:ascii="Arial" w:hAnsi="Arial" w:cs="Arial"/>
                <w:color w:val="000000"/>
              </w:rPr>
            </w:pPr>
            <w:r w:rsidRPr="00E01B22">
              <w:rPr>
                <w:rFonts w:ascii="Arial" w:hAnsi="Arial" w:cs="Arial"/>
                <w:color w:val="000000"/>
              </w:rPr>
              <w:t>Nutricia Australia Pty Ltd</w:t>
            </w:r>
          </w:p>
          <w:p w:rsidR="007F0CE6" w:rsidRPr="00E01B22" w:rsidRDefault="007F0CE6" w:rsidP="003F27D2">
            <w:pPr>
              <w:rPr>
                <w:rFonts w:ascii="Arial" w:hAnsi="Arial" w:cs="Arial"/>
                <w:color w:val="000000"/>
              </w:rPr>
            </w:pPr>
          </w:p>
          <w:p w:rsidR="007F0CE6" w:rsidRPr="00E01B22" w:rsidRDefault="007F0CE6" w:rsidP="003F27D2">
            <w:pPr>
              <w:rPr>
                <w:rFonts w:ascii="Arial" w:hAnsi="Arial" w:cs="Arial"/>
                <w:color w:val="000000"/>
              </w:rPr>
            </w:pPr>
            <w:r w:rsidRPr="00E01B22">
              <w:rPr>
                <w:rFonts w:ascii="Arial" w:hAnsi="Arial" w:cs="Arial"/>
                <w:color w:val="000000"/>
              </w:rPr>
              <w:t>New Listing</w:t>
            </w:r>
          </w:p>
          <w:p w:rsidR="00B442BE" w:rsidRPr="00E01B22" w:rsidRDefault="00B442BE" w:rsidP="003F27D2">
            <w:pPr>
              <w:rPr>
                <w:rFonts w:ascii="Arial" w:hAnsi="Arial" w:cs="Arial"/>
                <w:color w:val="000000"/>
              </w:rPr>
            </w:pPr>
          </w:p>
          <w:p w:rsidR="00B442BE" w:rsidRPr="00E01B22" w:rsidRDefault="00B442BE" w:rsidP="003F27D2">
            <w:pPr>
              <w:rPr>
                <w:rFonts w:ascii="Arial" w:hAnsi="Arial" w:cs="Arial"/>
                <w:color w:val="000000"/>
              </w:rPr>
            </w:pPr>
            <w:r w:rsidRPr="00E01B22">
              <w:rPr>
                <w:rFonts w:ascii="Arial" w:hAnsi="Arial" w:cs="Arial"/>
                <w:color w:val="000000"/>
              </w:rPr>
              <w:t>(Minor Submission)</w:t>
            </w:r>
          </w:p>
        </w:tc>
        <w:tc>
          <w:tcPr>
            <w:tcW w:w="1828" w:type="dxa"/>
            <w:vMerge w:val="restart"/>
          </w:tcPr>
          <w:p w:rsidR="00B442BE" w:rsidRPr="00E01B22" w:rsidRDefault="00B442BE" w:rsidP="003F27D2">
            <w:pPr>
              <w:pStyle w:val="Default"/>
              <w:rPr>
                <w:rFonts w:ascii="Arial" w:hAnsi="Arial" w:cs="Arial"/>
                <w:sz w:val="20"/>
                <w:szCs w:val="20"/>
              </w:rPr>
            </w:pPr>
            <w:r w:rsidRPr="00E01B22">
              <w:rPr>
                <w:rFonts w:ascii="Arial" w:hAnsi="Arial" w:cs="Arial"/>
                <w:sz w:val="20"/>
                <w:szCs w:val="20"/>
              </w:rPr>
              <w:t xml:space="preserve">Phenylketonuria </w:t>
            </w:r>
          </w:p>
          <w:p w:rsidR="00B442BE" w:rsidRPr="00E01B22" w:rsidRDefault="00B442BE" w:rsidP="000C0C54">
            <w:pPr>
              <w:rPr>
                <w:rFonts w:ascii="Arial" w:hAnsi="Arial" w:cs="Arial"/>
                <w:color w:val="000000"/>
              </w:rPr>
            </w:pPr>
          </w:p>
        </w:tc>
        <w:tc>
          <w:tcPr>
            <w:tcW w:w="2947" w:type="dxa"/>
            <w:tcMar>
              <w:top w:w="28" w:type="dxa"/>
              <w:bottom w:w="28" w:type="dxa"/>
            </w:tcMar>
          </w:tcPr>
          <w:p w:rsidR="00B442BE" w:rsidRPr="00E01B22" w:rsidRDefault="00B442BE" w:rsidP="000C0C54">
            <w:pPr>
              <w:rPr>
                <w:rFonts w:ascii="Arial" w:hAnsi="Arial" w:cs="Arial"/>
                <w:color w:val="000000"/>
              </w:rPr>
            </w:pPr>
            <w:r w:rsidRPr="00E01B22">
              <w:rPr>
                <w:rFonts w:ascii="Arial" w:hAnsi="Arial" w:cs="Arial"/>
                <w:color w:val="000000"/>
              </w:rPr>
              <w:t>To request a Restricted Benefit listing of PKU Synergy for the dietary management of patients with phenylketonuria.</w:t>
            </w:r>
          </w:p>
        </w:tc>
        <w:tc>
          <w:tcPr>
            <w:tcW w:w="6581" w:type="dxa"/>
          </w:tcPr>
          <w:p w:rsidR="00B442BE" w:rsidRPr="00E01B22" w:rsidRDefault="00B442BE" w:rsidP="00911E0D">
            <w:pPr>
              <w:pStyle w:val="ListParagraph"/>
              <w:ind w:left="0"/>
              <w:rPr>
                <w:rFonts w:ascii="Arial" w:hAnsi="Arial" w:cs="Arial"/>
                <w:color w:val="000000"/>
                <w:sz w:val="20"/>
                <w:szCs w:val="20"/>
              </w:rPr>
            </w:pPr>
            <w:r w:rsidRPr="00E01B22">
              <w:rPr>
                <w:rFonts w:ascii="Arial" w:hAnsi="Arial" w:cs="Arial"/>
                <w:color w:val="000000"/>
                <w:sz w:val="20"/>
                <w:szCs w:val="20"/>
              </w:rPr>
              <w:t>The PBAC deferred making a decision on the listing of PKU Synergy® for the dietary management of Phenylketonuria (PKU) or hyperphenylalaninaemia in children from 10 years of age. The PBAC considered it would be appropriate to seek advice from the Nutritional Products Working Party, regarding matters raised in the sponsor’s pre-PBAC advice, prior to making its decision.</w:t>
            </w:r>
          </w:p>
          <w:p w:rsidR="00B442BE" w:rsidRPr="00E01B22" w:rsidRDefault="00B442BE" w:rsidP="00911E0D">
            <w:pPr>
              <w:pStyle w:val="ListParagraph"/>
              <w:ind w:left="0"/>
              <w:rPr>
                <w:rFonts w:ascii="Arial" w:eastAsia="Times New Roman" w:hAnsi="Arial" w:cs="Arial"/>
                <w:sz w:val="20"/>
                <w:szCs w:val="20"/>
              </w:rPr>
            </w:pPr>
          </w:p>
        </w:tc>
      </w:tr>
      <w:tr w:rsidR="00B442BE" w:rsidRPr="00E01B22" w:rsidTr="00D12498">
        <w:trPr>
          <w:trHeight w:val="1722"/>
        </w:trPr>
        <w:tc>
          <w:tcPr>
            <w:tcW w:w="3402" w:type="dxa"/>
            <w:vMerge/>
            <w:tcMar>
              <w:top w:w="28" w:type="dxa"/>
              <w:bottom w:w="28" w:type="dxa"/>
            </w:tcMar>
          </w:tcPr>
          <w:p w:rsidR="00B442BE" w:rsidRPr="00E01B22" w:rsidRDefault="00B442BE" w:rsidP="003F27D2">
            <w:pPr>
              <w:rPr>
                <w:rFonts w:ascii="Arial" w:hAnsi="Arial" w:cs="Arial"/>
                <w:color w:val="000000"/>
              </w:rPr>
            </w:pPr>
          </w:p>
        </w:tc>
        <w:tc>
          <w:tcPr>
            <w:tcW w:w="1828" w:type="dxa"/>
            <w:vMerge/>
          </w:tcPr>
          <w:p w:rsidR="00B442BE" w:rsidRPr="00E01B22" w:rsidRDefault="00B442BE" w:rsidP="003F27D2">
            <w:pPr>
              <w:pStyle w:val="Default"/>
              <w:rPr>
                <w:rFonts w:ascii="Arial" w:hAnsi="Arial" w:cs="Arial"/>
                <w:sz w:val="20"/>
                <w:szCs w:val="20"/>
              </w:rPr>
            </w:pPr>
          </w:p>
        </w:tc>
        <w:tc>
          <w:tcPr>
            <w:tcW w:w="2947" w:type="dxa"/>
            <w:tcMar>
              <w:top w:w="28" w:type="dxa"/>
              <w:bottom w:w="28" w:type="dxa"/>
            </w:tcMar>
          </w:tcPr>
          <w:p w:rsidR="00B442BE" w:rsidRPr="00E01B22" w:rsidRDefault="00FE1A3A" w:rsidP="00FE1A3A">
            <w:pPr>
              <w:jc w:val="right"/>
              <w:rPr>
                <w:rFonts w:ascii="Arial" w:hAnsi="Arial" w:cs="Arial"/>
                <w:color w:val="000000"/>
              </w:rPr>
            </w:pPr>
            <w:r w:rsidRPr="00E01B22">
              <w:rPr>
                <w:rFonts w:ascii="Arial" w:hAnsi="Arial" w:cs="Arial"/>
                <w:color w:val="000000"/>
              </w:rPr>
              <w:t>Sponsor comment</w:t>
            </w:r>
          </w:p>
        </w:tc>
        <w:tc>
          <w:tcPr>
            <w:tcW w:w="6581" w:type="dxa"/>
            <w:shd w:val="clear" w:color="auto" w:fill="auto"/>
          </w:tcPr>
          <w:p w:rsidR="00B442BE" w:rsidRPr="00E01B22" w:rsidRDefault="00D12498" w:rsidP="00911E0D">
            <w:pPr>
              <w:pStyle w:val="ListParagraph"/>
              <w:ind w:left="0"/>
              <w:rPr>
                <w:rFonts w:ascii="Arial" w:hAnsi="Arial" w:cs="Arial"/>
                <w:color w:val="000000"/>
                <w:sz w:val="20"/>
                <w:szCs w:val="20"/>
              </w:rPr>
            </w:pPr>
            <w:r w:rsidRPr="00E01B22">
              <w:rPr>
                <w:rFonts w:ascii="Arial" w:hAnsi="Arial" w:cs="Arial"/>
                <w:color w:val="000000"/>
                <w:sz w:val="20"/>
                <w:szCs w:val="20"/>
              </w:rPr>
              <w:t xml:space="preserve">Nutricia will continue to work with the PBAC and the Nutritional Products Working Party regarding the matters </w:t>
            </w:r>
            <w:proofErr w:type="gramStart"/>
            <w:r w:rsidRPr="00E01B22">
              <w:rPr>
                <w:rFonts w:ascii="Arial" w:hAnsi="Arial" w:cs="Arial"/>
                <w:color w:val="000000"/>
                <w:sz w:val="20"/>
                <w:szCs w:val="20"/>
              </w:rPr>
              <w:t>raised</w:t>
            </w:r>
            <w:proofErr w:type="gramEnd"/>
            <w:r w:rsidRPr="00E01B22">
              <w:rPr>
                <w:rFonts w:ascii="Arial" w:hAnsi="Arial" w:cs="Arial"/>
                <w:color w:val="000000"/>
                <w:sz w:val="20"/>
                <w:szCs w:val="20"/>
              </w:rPr>
              <w:t xml:space="preserve"> in the pre-PBAC advice.</w:t>
            </w:r>
          </w:p>
        </w:tc>
      </w:tr>
      <w:tr w:rsidR="0051266B" w:rsidRPr="00E01B22" w:rsidTr="00342340">
        <w:trPr>
          <w:trHeight w:val="1266"/>
        </w:trPr>
        <w:tc>
          <w:tcPr>
            <w:tcW w:w="3402" w:type="dxa"/>
            <w:vMerge w:val="restart"/>
            <w:tcBorders>
              <w:top w:val="single" w:sz="4" w:space="0" w:color="auto"/>
              <w:left w:val="single" w:sz="4" w:space="0" w:color="auto"/>
              <w:right w:val="single" w:sz="4" w:space="0" w:color="auto"/>
            </w:tcBorders>
            <w:tcMar>
              <w:top w:w="28" w:type="dxa"/>
              <w:bottom w:w="28" w:type="dxa"/>
            </w:tcMar>
          </w:tcPr>
          <w:p w:rsidR="0051266B" w:rsidRPr="00E01B22" w:rsidRDefault="0051266B" w:rsidP="00632700">
            <w:pPr>
              <w:tabs>
                <w:tab w:val="left" w:pos="5210"/>
              </w:tabs>
              <w:rPr>
                <w:rFonts w:ascii="Arial" w:hAnsi="Arial" w:cs="Arial"/>
              </w:rPr>
            </w:pPr>
            <w:r w:rsidRPr="00E01B22">
              <w:rPr>
                <w:rFonts w:ascii="Arial" w:hAnsi="Arial" w:cs="Arial"/>
              </w:rPr>
              <w:t xml:space="preserve">BALSALAZIDE </w:t>
            </w:r>
          </w:p>
          <w:p w:rsidR="0051266B" w:rsidRPr="00E01B22" w:rsidRDefault="0051266B" w:rsidP="00632700">
            <w:pPr>
              <w:tabs>
                <w:tab w:val="left" w:pos="5210"/>
              </w:tabs>
              <w:rPr>
                <w:rFonts w:ascii="Arial" w:hAnsi="Arial" w:cs="Arial"/>
              </w:rPr>
            </w:pPr>
          </w:p>
          <w:p w:rsidR="0051266B" w:rsidRPr="00E01B22" w:rsidRDefault="0051266B" w:rsidP="00632700">
            <w:pPr>
              <w:tabs>
                <w:tab w:val="left" w:pos="5210"/>
              </w:tabs>
              <w:rPr>
                <w:rFonts w:ascii="Arial" w:hAnsi="Arial" w:cs="Arial"/>
              </w:rPr>
            </w:pPr>
            <w:r w:rsidRPr="00E01B22">
              <w:rPr>
                <w:rFonts w:ascii="Arial" w:hAnsi="Arial" w:cs="Arial"/>
              </w:rPr>
              <w:t>Capsule containing balsalazide sodium 750 mg</w:t>
            </w:r>
          </w:p>
          <w:p w:rsidR="0051266B" w:rsidRPr="00E01B22" w:rsidRDefault="0051266B" w:rsidP="00632700">
            <w:pPr>
              <w:tabs>
                <w:tab w:val="left" w:pos="5210"/>
              </w:tabs>
              <w:rPr>
                <w:rFonts w:ascii="Arial" w:hAnsi="Arial" w:cs="Arial"/>
              </w:rPr>
            </w:pPr>
          </w:p>
          <w:p w:rsidR="0051266B" w:rsidRPr="00E01B22" w:rsidRDefault="0051266B" w:rsidP="00632700">
            <w:pPr>
              <w:tabs>
                <w:tab w:val="left" w:pos="5210"/>
              </w:tabs>
              <w:rPr>
                <w:rFonts w:ascii="Arial" w:hAnsi="Arial" w:cs="Arial"/>
              </w:rPr>
            </w:pPr>
            <w:r w:rsidRPr="00E01B22">
              <w:rPr>
                <w:rFonts w:ascii="Arial" w:hAnsi="Arial" w:cs="Arial"/>
              </w:rPr>
              <w:t xml:space="preserve"> Colazide® </w:t>
            </w:r>
          </w:p>
          <w:p w:rsidR="0051266B" w:rsidRPr="00E01B22" w:rsidRDefault="0051266B" w:rsidP="00632700">
            <w:pPr>
              <w:tabs>
                <w:tab w:val="left" w:pos="5210"/>
              </w:tabs>
              <w:rPr>
                <w:rFonts w:ascii="Arial" w:hAnsi="Arial" w:cs="Arial"/>
              </w:rPr>
            </w:pPr>
          </w:p>
          <w:p w:rsidR="0051266B" w:rsidRPr="00E01B22" w:rsidRDefault="0051266B" w:rsidP="00632700">
            <w:pPr>
              <w:tabs>
                <w:tab w:val="left" w:pos="5210"/>
              </w:tabs>
              <w:rPr>
                <w:rFonts w:ascii="Arial" w:hAnsi="Arial" w:cs="Arial"/>
              </w:rPr>
            </w:pPr>
            <w:r w:rsidRPr="00E01B22">
              <w:rPr>
                <w:rFonts w:ascii="Arial" w:hAnsi="Arial" w:cs="Arial"/>
              </w:rPr>
              <w:t>Fresenius Kabi Australia Pty Ltd</w:t>
            </w:r>
          </w:p>
          <w:p w:rsidR="007F0CE6" w:rsidRPr="00E01B22" w:rsidRDefault="007F0CE6" w:rsidP="00632700">
            <w:pPr>
              <w:tabs>
                <w:tab w:val="left" w:pos="5210"/>
              </w:tabs>
              <w:rPr>
                <w:rFonts w:ascii="Arial" w:hAnsi="Arial" w:cs="Arial"/>
              </w:rPr>
            </w:pPr>
          </w:p>
          <w:p w:rsidR="007F0CE6" w:rsidRPr="00E01B22" w:rsidRDefault="007F0CE6" w:rsidP="007F0CE6">
            <w:pPr>
              <w:rPr>
                <w:rFonts w:ascii="Arial" w:hAnsi="Arial" w:cs="Arial"/>
                <w:color w:val="000000"/>
              </w:rPr>
            </w:pPr>
            <w:r w:rsidRPr="00E01B22">
              <w:rPr>
                <w:rFonts w:ascii="Arial" w:hAnsi="Arial" w:cs="Arial"/>
                <w:color w:val="000000"/>
              </w:rPr>
              <w:t>New Listing</w:t>
            </w:r>
          </w:p>
          <w:p w:rsidR="0051266B" w:rsidRPr="00E01B22" w:rsidRDefault="0051266B" w:rsidP="00632700">
            <w:pPr>
              <w:tabs>
                <w:tab w:val="left" w:pos="5210"/>
              </w:tabs>
              <w:rPr>
                <w:rFonts w:ascii="Arial" w:hAnsi="Arial" w:cs="Arial"/>
              </w:rPr>
            </w:pPr>
          </w:p>
          <w:p w:rsidR="0051266B" w:rsidRPr="00E01B22" w:rsidRDefault="0051266B" w:rsidP="0014769E">
            <w:pPr>
              <w:pStyle w:val="Default"/>
              <w:rPr>
                <w:rFonts w:ascii="Arial" w:hAnsi="Arial" w:cs="Arial"/>
                <w:sz w:val="20"/>
                <w:szCs w:val="20"/>
              </w:rPr>
            </w:pPr>
            <w:r w:rsidRPr="00E01B22">
              <w:rPr>
                <w:rFonts w:ascii="Arial" w:hAnsi="Arial" w:cs="Arial"/>
                <w:sz w:val="20"/>
                <w:szCs w:val="20"/>
              </w:rPr>
              <w:t xml:space="preserve">(Major Submission) </w:t>
            </w:r>
          </w:p>
          <w:p w:rsidR="0051266B" w:rsidRPr="00E01B22" w:rsidRDefault="0051266B" w:rsidP="00632700">
            <w:pPr>
              <w:tabs>
                <w:tab w:val="left" w:pos="5210"/>
              </w:tabs>
              <w:rPr>
                <w:rFonts w:ascii="Arial" w:hAnsi="Arial" w:cs="Arial"/>
              </w:rPr>
            </w:pPr>
          </w:p>
        </w:tc>
        <w:tc>
          <w:tcPr>
            <w:tcW w:w="1828" w:type="dxa"/>
            <w:vMerge w:val="restart"/>
            <w:tcBorders>
              <w:top w:val="single" w:sz="4" w:space="0" w:color="auto"/>
              <w:left w:val="single" w:sz="4" w:space="0" w:color="auto"/>
              <w:right w:val="single" w:sz="4" w:space="0" w:color="auto"/>
            </w:tcBorders>
          </w:tcPr>
          <w:p w:rsidR="0051266B" w:rsidRPr="00E01B22" w:rsidRDefault="0051266B" w:rsidP="00632700">
            <w:pPr>
              <w:tabs>
                <w:tab w:val="left" w:pos="5210"/>
              </w:tabs>
              <w:rPr>
                <w:rFonts w:ascii="Arial" w:hAnsi="Arial" w:cs="Arial"/>
              </w:rPr>
            </w:pPr>
            <w:r w:rsidRPr="00E01B22">
              <w:rPr>
                <w:rFonts w:ascii="Arial" w:hAnsi="Arial" w:cs="Arial"/>
              </w:rPr>
              <w:t>Ulcerative colitis</w:t>
            </w:r>
          </w:p>
        </w:tc>
        <w:tc>
          <w:tcPr>
            <w:tcW w:w="2947" w:type="dxa"/>
            <w:tcBorders>
              <w:top w:val="single" w:sz="4" w:space="0" w:color="auto"/>
              <w:left w:val="single" w:sz="4" w:space="0" w:color="auto"/>
              <w:right w:val="single" w:sz="4" w:space="0" w:color="auto"/>
            </w:tcBorders>
            <w:tcMar>
              <w:top w:w="28" w:type="dxa"/>
              <w:bottom w:w="28" w:type="dxa"/>
            </w:tcMar>
          </w:tcPr>
          <w:p w:rsidR="0051266B" w:rsidRPr="00E01B22" w:rsidRDefault="0051266B" w:rsidP="00632700">
            <w:pPr>
              <w:tabs>
                <w:tab w:val="left" w:pos="5210"/>
              </w:tabs>
              <w:rPr>
                <w:rFonts w:ascii="Arial" w:hAnsi="Arial" w:cs="Arial"/>
              </w:rPr>
            </w:pPr>
            <w:r w:rsidRPr="00E01B22">
              <w:rPr>
                <w:rFonts w:ascii="Arial" w:hAnsi="Arial" w:cs="Arial"/>
              </w:rPr>
              <w:t>To request a new maximum quantity for the current Authority Required (Streamlined) listing.</w:t>
            </w:r>
          </w:p>
        </w:tc>
        <w:tc>
          <w:tcPr>
            <w:tcW w:w="6581" w:type="dxa"/>
            <w:tcBorders>
              <w:top w:val="single" w:sz="4" w:space="0" w:color="auto"/>
              <w:left w:val="single" w:sz="4" w:space="0" w:color="auto"/>
              <w:right w:val="single" w:sz="4" w:space="0" w:color="auto"/>
            </w:tcBorders>
            <w:shd w:val="clear" w:color="auto" w:fill="auto"/>
          </w:tcPr>
          <w:p w:rsidR="0051266B" w:rsidRPr="00E01B22" w:rsidRDefault="0051266B" w:rsidP="00632700">
            <w:pPr>
              <w:tabs>
                <w:tab w:val="left" w:pos="5210"/>
              </w:tabs>
              <w:rPr>
                <w:rFonts w:ascii="Arial" w:hAnsi="Arial" w:cs="Arial"/>
              </w:rPr>
            </w:pPr>
            <w:r w:rsidRPr="00E01B22">
              <w:rPr>
                <w:rFonts w:ascii="Arial" w:hAnsi="Arial" w:cs="Arial"/>
              </w:rPr>
              <w:t>The PBAC deferred making a decision on the request to increase the maximum quantity of the currently listed pharmaceutical item balsalazide (Colazide®) to 280 capsules, to allow further analysis of utilisation and consideration of the impact that an increase in maximum quantity may have on wastage, as well as allow for consideration of the impact of higher doses on the quality use of medicines and the cost-effectiveness of balsalazide treatment.</w:t>
            </w:r>
          </w:p>
          <w:p w:rsidR="0051266B" w:rsidRPr="00E01B22" w:rsidRDefault="0051266B" w:rsidP="00632700">
            <w:pPr>
              <w:tabs>
                <w:tab w:val="left" w:pos="5210"/>
              </w:tabs>
              <w:rPr>
                <w:rFonts w:ascii="Arial" w:hAnsi="Arial" w:cs="Arial"/>
              </w:rPr>
            </w:pPr>
          </w:p>
        </w:tc>
      </w:tr>
      <w:tr w:rsidR="0051266B" w:rsidRPr="00E01B22" w:rsidTr="00B442BE">
        <w:trPr>
          <w:trHeight w:val="929"/>
        </w:trPr>
        <w:tc>
          <w:tcPr>
            <w:tcW w:w="3402" w:type="dxa"/>
            <w:vMerge/>
            <w:tcBorders>
              <w:left w:val="single" w:sz="4" w:space="0" w:color="auto"/>
              <w:right w:val="single" w:sz="4" w:space="0" w:color="auto"/>
            </w:tcBorders>
            <w:tcMar>
              <w:top w:w="28" w:type="dxa"/>
              <w:bottom w:w="28" w:type="dxa"/>
            </w:tcMar>
          </w:tcPr>
          <w:p w:rsidR="0051266B" w:rsidRPr="00E01B22" w:rsidRDefault="0051266B" w:rsidP="00632700">
            <w:pPr>
              <w:tabs>
                <w:tab w:val="left" w:pos="5210"/>
              </w:tabs>
              <w:rPr>
                <w:rFonts w:ascii="Arial" w:hAnsi="Arial" w:cs="Arial"/>
              </w:rPr>
            </w:pPr>
          </w:p>
        </w:tc>
        <w:tc>
          <w:tcPr>
            <w:tcW w:w="1828" w:type="dxa"/>
            <w:vMerge/>
            <w:tcBorders>
              <w:left w:val="single" w:sz="4" w:space="0" w:color="auto"/>
              <w:right w:val="single" w:sz="4" w:space="0" w:color="auto"/>
            </w:tcBorders>
          </w:tcPr>
          <w:p w:rsidR="0051266B" w:rsidRPr="00E01B22" w:rsidRDefault="0051266B" w:rsidP="00632700">
            <w:pPr>
              <w:tabs>
                <w:tab w:val="left" w:pos="5210"/>
              </w:tabs>
              <w:rPr>
                <w:rFonts w:ascii="Arial" w:hAnsi="Arial" w:cs="Arial"/>
              </w:rPr>
            </w:pPr>
          </w:p>
        </w:tc>
        <w:tc>
          <w:tcPr>
            <w:tcW w:w="2947" w:type="dxa"/>
            <w:tcBorders>
              <w:left w:val="single" w:sz="4" w:space="0" w:color="auto"/>
              <w:bottom w:val="single" w:sz="4" w:space="0" w:color="auto"/>
              <w:right w:val="single" w:sz="4" w:space="0" w:color="auto"/>
            </w:tcBorders>
            <w:tcMar>
              <w:top w:w="28" w:type="dxa"/>
              <w:bottom w:w="28" w:type="dxa"/>
            </w:tcMar>
          </w:tcPr>
          <w:p w:rsidR="0051266B" w:rsidRPr="00E01B22" w:rsidRDefault="00FE1A3A" w:rsidP="00FE1A3A">
            <w:pPr>
              <w:tabs>
                <w:tab w:val="left" w:pos="5210"/>
              </w:tabs>
              <w:jc w:val="right"/>
              <w:rPr>
                <w:rFonts w:ascii="Arial" w:hAnsi="Arial" w:cs="Arial"/>
              </w:rPr>
            </w:pPr>
            <w:r w:rsidRPr="00E01B22">
              <w:rPr>
                <w:rFonts w:ascii="Arial" w:hAnsi="Arial" w:cs="Arial"/>
              </w:rPr>
              <w:t>Sponsor comment</w:t>
            </w:r>
          </w:p>
        </w:tc>
        <w:tc>
          <w:tcPr>
            <w:tcW w:w="6581" w:type="dxa"/>
            <w:tcBorders>
              <w:top w:val="single" w:sz="4" w:space="0" w:color="auto"/>
              <w:left w:val="single" w:sz="4" w:space="0" w:color="auto"/>
              <w:right w:val="single" w:sz="4" w:space="0" w:color="auto"/>
            </w:tcBorders>
            <w:shd w:val="clear" w:color="auto" w:fill="auto"/>
          </w:tcPr>
          <w:p w:rsidR="0051266B" w:rsidRPr="00E01B22" w:rsidRDefault="0051266B" w:rsidP="00632700">
            <w:pPr>
              <w:tabs>
                <w:tab w:val="left" w:pos="5210"/>
              </w:tabs>
              <w:rPr>
                <w:rFonts w:ascii="Arial" w:hAnsi="Arial" w:cs="Arial"/>
              </w:rPr>
            </w:pPr>
            <w:r w:rsidRPr="00E01B22">
              <w:rPr>
                <w:rFonts w:ascii="Arial" w:hAnsi="Arial" w:cs="Arial"/>
              </w:rPr>
              <w:t>The company looks forward to working with the PBAC on this application.</w:t>
            </w:r>
          </w:p>
        </w:tc>
      </w:tr>
      <w:tr w:rsidR="00AA7FB4" w:rsidRPr="00E01B22" w:rsidTr="004C5738">
        <w:trPr>
          <w:trHeight w:val="2646"/>
        </w:trPr>
        <w:tc>
          <w:tcPr>
            <w:tcW w:w="3402" w:type="dxa"/>
            <w:vMerge w:val="restart"/>
            <w:tcBorders>
              <w:top w:val="single" w:sz="4" w:space="0" w:color="auto"/>
              <w:left w:val="single" w:sz="4" w:space="0" w:color="auto"/>
              <w:right w:val="single" w:sz="4" w:space="0" w:color="auto"/>
            </w:tcBorders>
            <w:tcMar>
              <w:top w:w="28" w:type="dxa"/>
              <w:bottom w:w="28" w:type="dxa"/>
            </w:tcMar>
          </w:tcPr>
          <w:p w:rsidR="00AA7FB4" w:rsidRPr="003F27D2" w:rsidRDefault="00AA7FB4" w:rsidP="00FC18F8">
            <w:pPr>
              <w:tabs>
                <w:tab w:val="left" w:pos="5210"/>
              </w:tabs>
              <w:rPr>
                <w:rFonts w:ascii="Arial" w:hAnsi="Arial" w:cs="Arial"/>
              </w:rPr>
            </w:pPr>
            <w:r w:rsidRPr="003F27D2">
              <w:rPr>
                <w:rFonts w:ascii="Arial" w:hAnsi="Arial" w:cs="Arial"/>
              </w:rPr>
              <w:t>BARICITINIB</w:t>
            </w:r>
          </w:p>
          <w:p w:rsidR="00AA7FB4" w:rsidRPr="003F27D2" w:rsidRDefault="00AA7FB4" w:rsidP="00FC18F8">
            <w:pPr>
              <w:tabs>
                <w:tab w:val="left" w:pos="5210"/>
              </w:tabs>
              <w:rPr>
                <w:rFonts w:ascii="Arial" w:hAnsi="Arial" w:cs="Arial"/>
              </w:rPr>
            </w:pPr>
          </w:p>
          <w:p w:rsidR="00AA7FB4" w:rsidRPr="003F27D2" w:rsidRDefault="00AA7FB4" w:rsidP="00FC18F8">
            <w:pPr>
              <w:tabs>
                <w:tab w:val="left" w:pos="5210"/>
              </w:tabs>
              <w:rPr>
                <w:rFonts w:ascii="Arial" w:hAnsi="Arial" w:cs="Arial"/>
              </w:rPr>
            </w:pPr>
            <w:r w:rsidRPr="003F27D2">
              <w:rPr>
                <w:rFonts w:ascii="Arial" w:hAnsi="Arial" w:cs="Arial"/>
              </w:rPr>
              <w:t>Tablet 2 mg</w:t>
            </w:r>
          </w:p>
          <w:p w:rsidR="00AA7FB4" w:rsidRPr="003F27D2" w:rsidRDefault="00AA7FB4" w:rsidP="00FC18F8">
            <w:pPr>
              <w:tabs>
                <w:tab w:val="left" w:pos="5210"/>
              </w:tabs>
              <w:rPr>
                <w:rFonts w:ascii="Arial" w:hAnsi="Arial" w:cs="Arial"/>
              </w:rPr>
            </w:pPr>
            <w:r w:rsidRPr="003F27D2">
              <w:rPr>
                <w:rFonts w:ascii="Arial" w:hAnsi="Arial" w:cs="Arial"/>
              </w:rPr>
              <w:t>Tablet 4 mg</w:t>
            </w:r>
          </w:p>
          <w:p w:rsidR="00AA7FB4" w:rsidRPr="003F27D2" w:rsidRDefault="00AA7FB4" w:rsidP="00FC18F8">
            <w:pPr>
              <w:tabs>
                <w:tab w:val="left" w:pos="5210"/>
              </w:tabs>
              <w:rPr>
                <w:rFonts w:ascii="Arial" w:hAnsi="Arial" w:cs="Arial"/>
              </w:rPr>
            </w:pPr>
          </w:p>
          <w:p w:rsidR="00AA7FB4" w:rsidRPr="003F27D2" w:rsidRDefault="00AA7FB4" w:rsidP="00FC18F8">
            <w:pPr>
              <w:tabs>
                <w:tab w:val="left" w:pos="5210"/>
              </w:tabs>
              <w:rPr>
                <w:rFonts w:ascii="Arial" w:hAnsi="Arial" w:cs="Arial"/>
              </w:rPr>
            </w:pPr>
            <w:proofErr w:type="spellStart"/>
            <w:r w:rsidRPr="003F27D2">
              <w:rPr>
                <w:rFonts w:ascii="Arial" w:hAnsi="Arial" w:cs="Arial"/>
              </w:rPr>
              <w:t>Olumiant</w:t>
            </w:r>
            <w:proofErr w:type="spellEnd"/>
            <w:r w:rsidRPr="003F27D2">
              <w:rPr>
                <w:rFonts w:ascii="Arial" w:hAnsi="Arial" w:cs="Arial"/>
              </w:rPr>
              <w:t>®</w:t>
            </w:r>
          </w:p>
          <w:p w:rsidR="00AA7FB4" w:rsidRPr="003F27D2" w:rsidRDefault="00AA7FB4" w:rsidP="00FC18F8">
            <w:pPr>
              <w:tabs>
                <w:tab w:val="left" w:pos="5210"/>
              </w:tabs>
              <w:rPr>
                <w:rFonts w:ascii="Arial" w:hAnsi="Arial" w:cs="Arial"/>
              </w:rPr>
            </w:pPr>
          </w:p>
          <w:p w:rsidR="00AA7FB4" w:rsidRPr="003F27D2" w:rsidRDefault="00AA7FB4" w:rsidP="00FC18F8">
            <w:pPr>
              <w:tabs>
                <w:tab w:val="left" w:pos="5210"/>
              </w:tabs>
              <w:rPr>
                <w:rFonts w:ascii="Arial" w:hAnsi="Arial" w:cs="Arial"/>
              </w:rPr>
            </w:pPr>
            <w:r w:rsidRPr="003F27D2">
              <w:rPr>
                <w:rFonts w:ascii="Arial" w:hAnsi="Arial" w:cs="Arial"/>
              </w:rPr>
              <w:t>Eli Lilly Australia Pty Ltd</w:t>
            </w:r>
          </w:p>
          <w:p w:rsidR="00AA7FB4" w:rsidRPr="003F27D2" w:rsidRDefault="00AA7FB4" w:rsidP="00FC18F8">
            <w:pPr>
              <w:tabs>
                <w:tab w:val="left" w:pos="5210"/>
              </w:tabs>
              <w:rPr>
                <w:rFonts w:ascii="Arial" w:hAnsi="Arial" w:cs="Arial"/>
              </w:rPr>
            </w:pPr>
          </w:p>
          <w:p w:rsidR="00AA7FB4" w:rsidRPr="003F27D2" w:rsidRDefault="00AA7FB4" w:rsidP="00FC18F8">
            <w:pPr>
              <w:tabs>
                <w:tab w:val="left" w:pos="5210"/>
              </w:tabs>
              <w:rPr>
                <w:rFonts w:ascii="Arial" w:hAnsi="Arial" w:cs="Arial"/>
              </w:rPr>
            </w:pPr>
            <w:r w:rsidRPr="003F27D2">
              <w:rPr>
                <w:rFonts w:ascii="Arial" w:hAnsi="Arial" w:cs="Arial"/>
              </w:rPr>
              <w:t>(Major Submission)</w:t>
            </w:r>
          </w:p>
        </w:tc>
        <w:tc>
          <w:tcPr>
            <w:tcW w:w="1828" w:type="dxa"/>
            <w:vMerge w:val="restart"/>
            <w:tcBorders>
              <w:top w:val="single" w:sz="4" w:space="0" w:color="auto"/>
              <w:left w:val="single" w:sz="4" w:space="0" w:color="auto"/>
              <w:right w:val="single" w:sz="4" w:space="0" w:color="auto"/>
            </w:tcBorders>
          </w:tcPr>
          <w:p w:rsidR="00AA7FB4" w:rsidRPr="003F27D2" w:rsidRDefault="00AA7FB4" w:rsidP="00FC18F8">
            <w:pPr>
              <w:tabs>
                <w:tab w:val="left" w:pos="5210"/>
              </w:tabs>
              <w:rPr>
                <w:rFonts w:ascii="Arial" w:hAnsi="Arial" w:cs="Arial"/>
              </w:rPr>
            </w:pPr>
            <w:r w:rsidRPr="003F27D2">
              <w:rPr>
                <w:rFonts w:ascii="Arial" w:hAnsi="Arial" w:cs="Arial"/>
              </w:rPr>
              <w:t>Severe active rheumatoid arthritis</w:t>
            </w:r>
          </w:p>
        </w:tc>
        <w:tc>
          <w:tcPr>
            <w:tcW w:w="2947" w:type="dxa"/>
            <w:tcBorders>
              <w:top w:val="single" w:sz="4" w:space="0" w:color="auto"/>
              <w:left w:val="single" w:sz="4" w:space="0" w:color="auto"/>
              <w:right w:val="single" w:sz="4" w:space="0" w:color="auto"/>
            </w:tcBorders>
            <w:tcMar>
              <w:top w:w="28" w:type="dxa"/>
              <w:bottom w:w="28" w:type="dxa"/>
            </w:tcMar>
          </w:tcPr>
          <w:p w:rsidR="00AA7FB4" w:rsidRPr="003F27D2" w:rsidRDefault="00AA7FB4" w:rsidP="00FC18F8">
            <w:pPr>
              <w:tabs>
                <w:tab w:val="left" w:pos="5210"/>
              </w:tabs>
              <w:rPr>
                <w:rFonts w:ascii="Arial" w:hAnsi="Arial" w:cs="Arial"/>
              </w:rPr>
            </w:pPr>
            <w:r w:rsidRPr="003F27D2">
              <w:rPr>
                <w:rFonts w:ascii="Arial" w:hAnsi="Arial" w:cs="Arial"/>
              </w:rPr>
              <w:t>To request an Authority Required listing for the treatment of severe active rheumatoid arthritis under certain conditions.</w:t>
            </w:r>
          </w:p>
        </w:tc>
        <w:tc>
          <w:tcPr>
            <w:tcW w:w="6581" w:type="dxa"/>
            <w:tcBorders>
              <w:top w:val="single" w:sz="4" w:space="0" w:color="auto"/>
              <w:left w:val="single" w:sz="4" w:space="0" w:color="auto"/>
              <w:right w:val="single" w:sz="4" w:space="0" w:color="auto"/>
            </w:tcBorders>
            <w:shd w:val="clear" w:color="auto" w:fill="auto"/>
          </w:tcPr>
          <w:p w:rsidR="00AA7FB4" w:rsidRDefault="00AA7FB4" w:rsidP="00FC18F8">
            <w:pPr>
              <w:rPr>
                <w:rFonts w:ascii="Arial" w:hAnsi="Arial" w:cs="Arial"/>
                <w:szCs w:val="22"/>
              </w:rPr>
            </w:pPr>
            <w:r w:rsidRPr="00741B71">
              <w:rPr>
                <w:rFonts w:ascii="Arial" w:hAnsi="Arial" w:cs="Arial"/>
                <w:szCs w:val="22"/>
              </w:rPr>
              <w:t xml:space="preserve">The PBAC was of a mind to reject </w:t>
            </w:r>
            <w:proofErr w:type="spellStart"/>
            <w:r w:rsidRPr="00741B71">
              <w:rPr>
                <w:rFonts w:ascii="Arial" w:hAnsi="Arial" w:cs="Arial"/>
                <w:szCs w:val="22"/>
              </w:rPr>
              <w:t>baricitinib</w:t>
            </w:r>
            <w:proofErr w:type="spellEnd"/>
            <w:r w:rsidRPr="00741B71">
              <w:rPr>
                <w:rFonts w:ascii="Arial" w:hAnsi="Arial" w:cs="Arial"/>
                <w:szCs w:val="22"/>
              </w:rPr>
              <w:t xml:space="preserve"> for treatment of severe rheumatoid arthritis (RA) based on uncertain clinical need and efficacy and concerns about the safety profile, particularly in relation to serious adverse events. However, the PBAC deferred making a recommendation on the listing of </w:t>
            </w:r>
            <w:proofErr w:type="spellStart"/>
            <w:r w:rsidRPr="00741B71">
              <w:rPr>
                <w:rFonts w:ascii="Arial" w:hAnsi="Arial" w:cs="Arial"/>
                <w:szCs w:val="22"/>
              </w:rPr>
              <w:t>baricitinib</w:t>
            </w:r>
            <w:proofErr w:type="spellEnd"/>
            <w:r w:rsidRPr="00741B71">
              <w:rPr>
                <w:rFonts w:ascii="Arial" w:hAnsi="Arial" w:cs="Arial"/>
                <w:szCs w:val="22"/>
              </w:rPr>
              <w:t xml:space="preserve"> pending the provision of the relevant TGA delegate’s overview.</w:t>
            </w:r>
          </w:p>
          <w:p w:rsidR="00AA7FB4" w:rsidRPr="00741B71" w:rsidRDefault="00AA7FB4" w:rsidP="00FC18F8">
            <w:pPr>
              <w:rPr>
                <w:rFonts w:ascii="Arial" w:hAnsi="Arial" w:cs="Arial"/>
                <w:szCs w:val="22"/>
              </w:rPr>
            </w:pPr>
          </w:p>
          <w:p w:rsidR="00AA7FB4" w:rsidRPr="00741B71" w:rsidRDefault="00AA7FB4" w:rsidP="00FC18F8">
            <w:pPr>
              <w:rPr>
                <w:rFonts w:ascii="Arial" w:hAnsi="Arial" w:cs="Arial"/>
                <w:szCs w:val="22"/>
              </w:rPr>
            </w:pPr>
            <w:r w:rsidRPr="00741B71">
              <w:rPr>
                <w:rFonts w:ascii="Arial" w:hAnsi="Arial" w:cs="Arial"/>
                <w:szCs w:val="22"/>
              </w:rPr>
              <w:t xml:space="preserve">Although the PBAC considered an alternative cost-minimisation approach against the cheapest listed bDMARD might be appropriate, more detail would be required to establish the </w:t>
            </w:r>
            <w:proofErr w:type="spellStart"/>
            <w:r w:rsidRPr="00741B71">
              <w:rPr>
                <w:rFonts w:ascii="Arial" w:hAnsi="Arial" w:cs="Arial"/>
                <w:szCs w:val="22"/>
              </w:rPr>
              <w:t>equi</w:t>
            </w:r>
            <w:proofErr w:type="spellEnd"/>
            <w:r w:rsidRPr="00741B71">
              <w:rPr>
                <w:rFonts w:ascii="Arial" w:hAnsi="Arial" w:cs="Arial"/>
                <w:szCs w:val="22"/>
              </w:rPr>
              <w:t>-effective doses. However, the PBAC did not finalise its view at this time, pending any further input from the sponsor in response to the committee’s views about incorporating the safety differences into the economic evaluation.</w:t>
            </w:r>
          </w:p>
        </w:tc>
      </w:tr>
      <w:tr w:rsidR="00AA7FB4" w:rsidRPr="00E01B22" w:rsidTr="00EA2BB2">
        <w:trPr>
          <w:trHeight w:val="796"/>
        </w:trPr>
        <w:tc>
          <w:tcPr>
            <w:tcW w:w="3402" w:type="dxa"/>
            <w:vMerge/>
            <w:tcBorders>
              <w:left w:val="single" w:sz="4" w:space="0" w:color="auto"/>
              <w:right w:val="single" w:sz="4" w:space="0" w:color="auto"/>
            </w:tcBorders>
            <w:tcMar>
              <w:top w:w="28" w:type="dxa"/>
              <w:bottom w:w="28" w:type="dxa"/>
            </w:tcMar>
          </w:tcPr>
          <w:p w:rsidR="00AA7FB4" w:rsidRPr="003F27D2" w:rsidRDefault="00AA7FB4" w:rsidP="00FC18F8">
            <w:pPr>
              <w:tabs>
                <w:tab w:val="left" w:pos="5210"/>
              </w:tabs>
              <w:rPr>
                <w:rFonts w:ascii="Arial" w:hAnsi="Arial" w:cs="Arial"/>
              </w:rPr>
            </w:pPr>
          </w:p>
        </w:tc>
        <w:tc>
          <w:tcPr>
            <w:tcW w:w="1828" w:type="dxa"/>
            <w:vMerge/>
            <w:tcBorders>
              <w:left w:val="single" w:sz="4" w:space="0" w:color="auto"/>
              <w:right w:val="single" w:sz="4" w:space="0" w:color="auto"/>
            </w:tcBorders>
          </w:tcPr>
          <w:p w:rsidR="00AA7FB4" w:rsidRPr="003F27D2" w:rsidRDefault="00AA7FB4" w:rsidP="00FC18F8">
            <w:pPr>
              <w:tabs>
                <w:tab w:val="left" w:pos="5210"/>
              </w:tabs>
              <w:rPr>
                <w:rFonts w:ascii="Arial" w:hAnsi="Arial" w:cs="Arial"/>
              </w:rPr>
            </w:pPr>
          </w:p>
        </w:tc>
        <w:tc>
          <w:tcPr>
            <w:tcW w:w="2947" w:type="dxa"/>
            <w:tcBorders>
              <w:top w:val="single" w:sz="4" w:space="0" w:color="auto"/>
              <w:left w:val="single" w:sz="4" w:space="0" w:color="auto"/>
              <w:right w:val="single" w:sz="4" w:space="0" w:color="auto"/>
            </w:tcBorders>
            <w:tcMar>
              <w:top w:w="28" w:type="dxa"/>
              <w:bottom w:w="28" w:type="dxa"/>
            </w:tcMar>
          </w:tcPr>
          <w:p w:rsidR="00AA7FB4" w:rsidRPr="003F27D2" w:rsidRDefault="00AA7FB4" w:rsidP="00FC18F8">
            <w:pPr>
              <w:tabs>
                <w:tab w:val="left" w:pos="5210"/>
              </w:tabs>
              <w:jc w:val="right"/>
              <w:rPr>
                <w:rFonts w:ascii="Arial" w:hAnsi="Arial" w:cs="Arial"/>
              </w:rPr>
            </w:pPr>
            <w:r w:rsidRPr="000B6FCE">
              <w:rPr>
                <w:rFonts w:ascii="Arial" w:hAnsi="Arial" w:cs="Arial"/>
              </w:rPr>
              <w:t>Sponsor Response</w:t>
            </w:r>
          </w:p>
        </w:tc>
        <w:tc>
          <w:tcPr>
            <w:tcW w:w="6581" w:type="dxa"/>
            <w:tcBorders>
              <w:top w:val="nil"/>
              <w:left w:val="single" w:sz="4" w:space="0" w:color="auto"/>
              <w:right w:val="single" w:sz="4" w:space="0" w:color="auto"/>
            </w:tcBorders>
            <w:shd w:val="clear" w:color="auto" w:fill="auto"/>
          </w:tcPr>
          <w:p w:rsidR="00AA7FB4" w:rsidRPr="00741B71" w:rsidRDefault="00AA7FB4" w:rsidP="00FC18F8">
            <w:pPr>
              <w:rPr>
                <w:rFonts w:ascii="Arial" w:hAnsi="Arial" w:cs="Arial"/>
                <w:szCs w:val="22"/>
              </w:rPr>
            </w:pPr>
            <w:r w:rsidRPr="0073717D">
              <w:rPr>
                <w:rFonts w:ascii="Arial" w:hAnsi="Arial" w:cs="Arial"/>
                <w:szCs w:val="22"/>
              </w:rPr>
              <w:t xml:space="preserve">Lilly expects full registration of </w:t>
            </w:r>
            <w:proofErr w:type="spellStart"/>
            <w:r w:rsidRPr="0073717D">
              <w:rPr>
                <w:rFonts w:ascii="Arial" w:hAnsi="Arial" w:cs="Arial"/>
                <w:szCs w:val="22"/>
              </w:rPr>
              <w:t>baricitinib</w:t>
            </w:r>
            <w:proofErr w:type="spellEnd"/>
            <w:r w:rsidRPr="0073717D">
              <w:rPr>
                <w:rFonts w:ascii="Arial" w:hAnsi="Arial" w:cs="Arial"/>
                <w:szCs w:val="22"/>
              </w:rPr>
              <w:t xml:space="preserve"> soon and looks forward to working with the PBAC on listing </w:t>
            </w:r>
            <w:proofErr w:type="spellStart"/>
            <w:r w:rsidRPr="0073717D">
              <w:rPr>
                <w:rFonts w:ascii="Arial" w:hAnsi="Arial" w:cs="Arial"/>
                <w:szCs w:val="22"/>
              </w:rPr>
              <w:t>baricitinib</w:t>
            </w:r>
            <w:proofErr w:type="spellEnd"/>
            <w:r w:rsidRPr="0073717D">
              <w:rPr>
                <w:rFonts w:ascii="Arial" w:hAnsi="Arial" w:cs="Arial"/>
                <w:szCs w:val="22"/>
              </w:rPr>
              <w:t xml:space="preserve"> following its consideration at the earliest possible opportunity.</w:t>
            </w:r>
          </w:p>
        </w:tc>
      </w:tr>
      <w:tr w:rsidR="00B442BE" w:rsidRPr="00E01B22" w:rsidTr="00C04513">
        <w:trPr>
          <w:trHeight w:val="961"/>
        </w:trPr>
        <w:tc>
          <w:tcPr>
            <w:tcW w:w="3402" w:type="dxa"/>
            <w:vMerge w:val="restart"/>
            <w:tcBorders>
              <w:top w:val="single" w:sz="4" w:space="0" w:color="auto"/>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 xml:space="preserve">DAPAGLIFLOZIN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 xml:space="preserve">Tablet 10 mg (as propanediol monohydrate)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 xml:space="preserve">Forxiga®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AstraZeneca Pty Ltd</w:t>
            </w:r>
          </w:p>
          <w:p w:rsidR="007F0CE6" w:rsidRPr="00E01B22" w:rsidRDefault="007F0CE6" w:rsidP="00632700">
            <w:pPr>
              <w:tabs>
                <w:tab w:val="left" w:pos="5210"/>
              </w:tabs>
              <w:rPr>
                <w:rFonts w:ascii="Arial" w:hAnsi="Arial" w:cs="Arial"/>
              </w:rPr>
            </w:pPr>
          </w:p>
          <w:p w:rsidR="007F0CE6" w:rsidRPr="00E01B22" w:rsidRDefault="007F0CE6" w:rsidP="00632700">
            <w:pPr>
              <w:tabs>
                <w:tab w:val="left" w:pos="5210"/>
              </w:tabs>
              <w:rPr>
                <w:rFonts w:ascii="Arial" w:hAnsi="Arial" w:cs="Arial"/>
              </w:rPr>
            </w:pPr>
            <w:r w:rsidRPr="00E01B22">
              <w:rPr>
                <w:rFonts w:ascii="Arial" w:hAnsi="Arial" w:cs="Arial"/>
              </w:rPr>
              <w:t>Change to listing</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(Major Submission)</w:t>
            </w:r>
          </w:p>
        </w:tc>
        <w:tc>
          <w:tcPr>
            <w:tcW w:w="1828" w:type="dxa"/>
            <w:vMerge w:val="restart"/>
            <w:tcBorders>
              <w:top w:val="single" w:sz="4" w:space="0" w:color="auto"/>
              <w:left w:val="single" w:sz="4" w:space="0" w:color="auto"/>
              <w:right w:val="single" w:sz="4" w:space="0" w:color="auto"/>
            </w:tcBorders>
          </w:tcPr>
          <w:p w:rsidR="00B442BE" w:rsidRPr="00E01B22" w:rsidRDefault="00B442BE" w:rsidP="00632700">
            <w:pPr>
              <w:tabs>
                <w:tab w:val="left" w:pos="5210"/>
              </w:tabs>
              <w:rPr>
                <w:rFonts w:ascii="Arial" w:hAnsi="Arial" w:cs="Arial"/>
              </w:rPr>
            </w:pPr>
            <w:r w:rsidRPr="00E01B22">
              <w:rPr>
                <w:rFonts w:ascii="Arial" w:hAnsi="Arial" w:cs="Arial"/>
              </w:rPr>
              <w:t>Type 2 diabetes mellitus (T2DM)</w:t>
            </w:r>
          </w:p>
        </w:tc>
        <w:tc>
          <w:tcPr>
            <w:tcW w:w="2947" w:type="dxa"/>
            <w:tcBorders>
              <w:top w:val="single" w:sz="4" w:space="0" w:color="auto"/>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To request an Authority Required (STREAMLINED) listing for dapagliflozin in combination with metformin and a dipeptidyl peptidase 4 inhibitor for the treatment of patients with T2DM.</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B442BE" w:rsidP="00522012">
            <w:pPr>
              <w:tabs>
                <w:tab w:val="left" w:pos="5210"/>
              </w:tabs>
              <w:rPr>
                <w:rFonts w:ascii="Arial" w:hAnsi="Arial" w:cs="Arial"/>
              </w:rPr>
            </w:pPr>
            <w:r w:rsidRPr="00E01B22">
              <w:rPr>
                <w:rFonts w:ascii="Arial" w:hAnsi="Arial" w:cs="Arial"/>
              </w:rPr>
              <w:t xml:space="preserve">The PBAC deferred making a decision regarding the Authority Required (STREAMLINED) listing for dapagliflozin for the treatment of type 2 diabetes, in combination with metformin and any dipeptidyl peptidase-4 (DPP4) inhibitor, to allow further work to establish a price for treatment with dapagliflozin + a DPP4 inhibitor + metformin that could be considered cost-effective. </w:t>
            </w:r>
          </w:p>
          <w:p w:rsidR="00B442BE" w:rsidRPr="00E01B22" w:rsidRDefault="00B442BE" w:rsidP="00522012">
            <w:pPr>
              <w:tabs>
                <w:tab w:val="left" w:pos="5210"/>
              </w:tabs>
              <w:rPr>
                <w:rFonts w:ascii="Arial" w:hAnsi="Arial" w:cs="Arial"/>
              </w:rPr>
            </w:pPr>
          </w:p>
          <w:p w:rsidR="00B442BE" w:rsidRPr="00E01B22" w:rsidRDefault="00B442BE" w:rsidP="0074769E">
            <w:pPr>
              <w:tabs>
                <w:tab w:val="left" w:pos="5210"/>
              </w:tabs>
              <w:rPr>
                <w:rFonts w:ascii="Arial" w:hAnsi="Arial" w:cs="Arial"/>
              </w:rPr>
            </w:pPr>
            <w:r w:rsidRPr="00E01B22">
              <w:rPr>
                <w:rFonts w:ascii="Arial" w:hAnsi="Arial" w:cs="Arial"/>
              </w:rPr>
              <w:t xml:space="preserve">The PBAC acknowledged that it was reasonable that the addition of dapagliflozin to metformin and a DPP4 inhibitor may have some therapeutic benefit. However, the PBAC considered that the non-inferiority of dapagliflozin + a DPP4 inhibitor + metformin compared to the nominated comparators was uncertain. </w:t>
            </w:r>
          </w:p>
          <w:p w:rsidR="00B442BE" w:rsidRPr="00E01B22" w:rsidRDefault="00B442BE" w:rsidP="00283009">
            <w:pPr>
              <w:tabs>
                <w:tab w:val="left" w:pos="5210"/>
              </w:tabs>
              <w:rPr>
                <w:rFonts w:ascii="Arial" w:hAnsi="Arial" w:cs="Arial"/>
              </w:rPr>
            </w:pPr>
            <w:r w:rsidRPr="00E01B22">
              <w:rPr>
                <w:rFonts w:ascii="Arial" w:hAnsi="Arial" w:cs="Arial"/>
              </w:rPr>
              <w:t>The PBAC considered that the approach to the cost-minimisation analysis was inappropriate and that although it was reasonable to assume that this triple therapy would have some therapeutic benefit, there was no evidence to suggest that the benefit of metformin + dapagliflozin + a DPP4 inhibitor would be of the same magnitude as the incremental benefit of adding either dapagliflozin or a DPP4 inhibitor to metformin. Therefore, the PBAC was of the view that it would not be cost effective for dapagliflozin + a DPP4 + metformin treatment to be at the same price as the sum of the component parts. In addition, the financial impacts remained underestimated.</w:t>
            </w:r>
          </w:p>
        </w:tc>
      </w:tr>
      <w:tr w:rsidR="00B442BE" w:rsidRPr="00E01B22" w:rsidTr="00C04513">
        <w:trPr>
          <w:trHeight w:val="366"/>
        </w:trPr>
        <w:tc>
          <w:tcPr>
            <w:tcW w:w="3402" w:type="dxa"/>
            <w:vMerge/>
            <w:tcBorders>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p>
        </w:tc>
        <w:tc>
          <w:tcPr>
            <w:tcW w:w="1828" w:type="dxa"/>
            <w:vMerge/>
            <w:tcBorders>
              <w:left w:val="single" w:sz="4" w:space="0" w:color="auto"/>
              <w:right w:val="single" w:sz="4" w:space="0" w:color="auto"/>
            </w:tcBorders>
          </w:tcPr>
          <w:p w:rsidR="00B442BE" w:rsidRPr="00E01B22" w:rsidRDefault="00B442BE" w:rsidP="00632700">
            <w:pPr>
              <w:tabs>
                <w:tab w:val="left" w:pos="5210"/>
              </w:tabs>
              <w:rPr>
                <w:rFonts w:ascii="Arial" w:hAnsi="Arial" w:cs="Arial"/>
              </w:rPr>
            </w:pPr>
          </w:p>
        </w:tc>
        <w:tc>
          <w:tcPr>
            <w:tcW w:w="2947" w:type="dxa"/>
            <w:tcBorders>
              <w:left w:val="single" w:sz="4" w:space="0" w:color="auto"/>
              <w:bottom w:val="single" w:sz="4" w:space="0" w:color="auto"/>
              <w:right w:val="single" w:sz="4" w:space="0" w:color="auto"/>
            </w:tcBorders>
            <w:tcMar>
              <w:top w:w="28" w:type="dxa"/>
              <w:bottom w:w="28" w:type="dxa"/>
            </w:tcMar>
          </w:tcPr>
          <w:p w:rsidR="00B442BE" w:rsidRPr="00E01B22" w:rsidRDefault="00FE1A3A" w:rsidP="00FE1A3A">
            <w:pPr>
              <w:tabs>
                <w:tab w:val="left" w:pos="5210"/>
              </w:tabs>
              <w:jc w:val="right"/>
              <w:rPr>
                <w:rFonts w:ascii="Arial" w:hAnsi="Arial" w:cs="Arial"/>
              </w:rPr>
            </w:pPr>
            <w:r w:rsidRPr="00E01B22">
              <w:rPr>
                <w:rFonts w:ascii="Arial" w:hAnsi="Arial" w:cs="Arial"/>
              </w:rPr>
              <w:t>Sponsor comment</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B65F32" w:rsidP="00522012">
            <w:pPr>
              <w:tabs>
                <w:tab w:val="left" w:pos="5210"/>
              </w:tabs>
              <w:rPr>
                <w:rFonts w:ascii="Arial" w:hAnsi="Arial" w:cs="Arial"/>
              </w:rPr>
            </w:pPr>
            <w:r w:rsidRPr="00E01B22">
              <w:rPr>
                <w:rFonts w:ascii="Arial" w:hAnsi="Arial" w:cs="Arial"/>
              </w:rPr>
              <w:t>The sponsor had no comment.</w:t>
            </w:r>
          </w:p>
        </w:tc>
      </w:tr>
      <w:tr w:rsidR="00B442BE" w:rsidRPr="00E01B22" w:rsidTr="00C04513">
        <w:trPr>
          <w:trHeight w:val="1775"/>
        </w:trPr>
        <w:tc>
          <w:tcPr>
            <w:tcW w:w="3402" w:type="dxa"/>
            <w:vMerge w:val="restart"/>
            <w:tcBorders>
              <w:top w:val="single" w:sz="4" w:space="0" w:color="auto"/>
              <w:left w:val="single" w:sz="4" w:space="0" w:color="auto"/>
              <w:right w:val="single" w:sz="4" w:space="0" w:color="auto"/>
            </w:tcBorders>
            <w:tcMar>
              <w:top w:w="28" w:type="dxa"/>
              <w:bottom w:w="28" w:type="dxa"/>
            </w:tcMar>
          </w:tcPr>
          <w:p w:rsidR="00B442BE" w:rsidRPr="00E01B22" w:rsidRDefault="00B442BE" w:rsidP="00421C74">
            <w:pPr>
              <w:tabs>
                <w:tab w:val="left" w:pos="5210"/>
              </w:tabs>
              <w:rPr>
                <w:rFonts w:ascii="Arial" w:hAnsi="Arial" w:cs="Arial"/>
              </w:rPr>
            </w:pPr>
            <w:r w:rsidRPr="00E01B22">
              <w:rPr>
                <w:rFonts w:ascii="Arial" w:hAnsi="Arial" w:cs="Arial"/>
              </w:rPr>
              <w:t>DAPAGLIFLOZIN with METFORMIN</w:t>
            </w:r>
          </w:p>
          <w:p w:rsidR="00B442BE" w:rsidRPr="00E01B22" w:rsidRDefault="00B442BE" w:rsidP="00421C74">
            <w:pPr>
              <w:tabs>
                <w:tab w:val="left" w:pos="5210"/>
              </w:tabs>
              <w:rPr>
                <w:rFonts w:ascii="Arial" w:hAnsi="Arial" w:cs="Arial"/>
              </w:rPr>
            </w:pPr>
          </w:p>
          <w:p w:rsidR="00B442BE" w:rsidRPr="00E01B22" w:rsidRDefault="00B442BE" w:rsidP="00421C74">
            <w:pPr>
              <w:tabs>
                <w:tab w:val="left" w:pos="5210"/>
              </w:tabs>
              <w:rPr>
                <w:rFonts w:ascii="Arial" w:hAnsi="Arial" w:cs="Arial"/>
              </w:rPr>
            </w:pPr>
            <w:r w:rsidRPr="00E01B22">
              <w:rPr>
                <w:rFonts w:ascii="Arial" w:hAnsi="Arial" w:cs="Arial"/>
              </w:rPr>
              <w:t>Tablet (modified release) containing 5 mg dapagliflozin (as propanediol monohydrate) with 1000 mg metformin hydrochloride</w:t>
            </w:r>
          </w:p>
          <w:p w:rsidR="00B442BE" w:rsidRPr="00E01B22" w:rsidRDefault="00B442BE" w:rsidP="00421C74">
            <w:pPr>
              <w:tabs>
                <w:tab w:val="left" w:pos="5210"/>
              </w:tabs>
              <w:rPr>
                <w:rFonts w:ascii="Arial" w:hAnsi="Arial" w:cs="Arial"/>
              </w:rPr>
            </w:pPr>
            <w:r w:rsidRPr="00E01B22">
              <w:rPr>
                <w:rFonts w:ascii="Arial" w:hAnsi="Arial" w:cs="Arial"/>
              </w:rPr>
              <w:t>Tablet (modified release) containing 10 mg dapagliflozin (as propanediol monohydrate) with 500 mg metformin hydrochloride</w:t>
            </w:r>
          </w:p>
          <w:p w:rsidR="00B442BE" w:rsidRPr="00E01B22" w:rsidRDefault="00B442BE" w:rsidP="00421C74">
            <w:pPr>
              <w:tabs>
                <w:tab w:val="left" w:pos="5210"/>
              </w:tabs>
              <w:rPr>
                <w:rFonts w:ascii="Arial" w:hAnsi="Arial" w:cs="Arial"/>
              </w:rPr>
            </w:pPr>
            <w:r w:rsidRPr="00E01B22">
              <w:rPr>
                <w:rFonts w:ascii="Arial" w:hAnsi="Arial" w:cs="Arial"/>
              </w:rPr>
              <w:t>Tablet (modified release) containing 10 mg dapagliflozin (as propanediol monohydrate) with 1000 mg metformin hydrochloride</w:t>
            </w:r>
          </w:p>
          <w:p w:rsidR="00B442BE" w:rsidRPr="00E01B22" w:rsidRDefault="00B442BE" w:rsidP="00421C74">
            <w:pPr>
              <w:tabs>
                <w:tab w:val="left" w:pos="5210"/>
              </w:tabs>
              <w:rPr>
                <w:rFonts w:ascii="Arial" w:hAnsi="Arial" w:cs="Arial"/>
              </w:rPr>
            </w:pPr>
          </w:p>
          <w:p w:rsidR="00B442BE" w:rsidRPr="00E01B22" w:rsidRDefault="00B442BE" w:rsidP="00421C74">
            <w:pPr>
              <w:tabs>
                <w:tab w:val="left" w:pos="5210"/>
              </w:tabs>
              <w:rPr>
                <w:rFonts w:ascii="Arial" w:hAnsi="Arial" w:cs="Arial"/>
              </w:rPr>
            </w:pPr>
            <w:r w:rsidRPr="00E01B22">
              <w:rPr>
                <w:rFonts w:ascii="Arial" w:hAnsi="Arial" w:cs="Arial"/>
              </w:rPr>
              <w:t>Xigduo® XR</w:t>
            </w:r>
          </w:p>
          <w:p w:rsidR="00B442BE" w:rsidRPr="00E01B22" w:rsidRDefault="00B442BE" w:rsidP="00421C74">
            <w:pPr>
              <w:tabs>
                <w:tab w:val="left" w:pos="5210"/>
              </w:tabs>
              <w:rPr>
                <w:rFonts w:ascii="Arial" w:hAnsi="Arial" w:cs="Arial"/>
              </w:rPr>
            </w:pPr>
          </w:p>
          <w:p w:rsidR="00B442BE" w:rsidRPr="00E01B22" w:rsidRDefault="00B442BE" w:rsidP="00421C74">
            <w:pPr>
              <w:tabs>
                <w:tab w:val="left" w:pos="5210"/>
              </w:tabs>
              <w:rPr>
                <w:rFonts w:ascii="Arial" w:hAnsi="Arial" w:cs="Arial"/>
              </w:rPr>
            </w:pPr>
            <w:r w:rsidRPr="00E01B22">
              <w:rPr>
                <w:rFonts w:ascii="Arial" w:hAnsi="Arial" w:cs="Arial"/>
              </w:rPr>
              <w:t>AstraZeneca Pty Ltd</w:t>
            </w:r>
          </w:p>
          <w:p w:rsidR="007F0CE6" w:rsidRPr="00E01B22" w:rsidRDefault="007F0CE6" w:rsidP="00421C74">
            <w:pPr>
              <w:tabs>
                <w:tab w:val="left" w:pos="5210"/>
              </w:tabs>
              <w:rPr>
                <w:rFonts w:ascii="Arial" w:hAnsi="Arial" w:cs="Arial"/>
              </w:rPr>
            </w:pPr>
          </w:p>
          <w:p w:rsidR="007F0CE6" w:rsidRPr="00E01B22" w:rsidRDefault="007F0CE6" w:rsidP="007F0CE6">
            <w:pPr>
              <w:rPr>
                <w:rFonts w:ascii="Arial" w:hAnsi="Arial" w:cs="Arial"/>
                <w:color w:val="000000"/>
              </w:rPr>
            </w:pPr>
            <w:r w:rsidRPr="00E01B22">
              <w:rPr>
                <w:rFonts w:ascii="Arial" w:hAnsi="Arial" w:cs="Arial"/>
                <w:color w:val="000000"/>
              </w:rPr>
              <w:t>Change to listing</w:t>
            </w:r>
          </w:p>
          <w:p w:rsidR="00B442BE" w:rsidRPr="00E01B22" w:rsidRDefault="00B442BE" w:rsidP="00421C74">
            <w:pPr>
              <w:tabs>
                <w:tab w:val="left" w:pos="5210"/>
              </w:tabs>
              <w:rPr>
                <w:rFonts w:ascii="Arial" w:hAnsi="Arial" w:cs="Arial"/>
              </w:rPr>
            </w:pPr>
          </w:p>
          <w:p w:rsidR="00B442BE" w:rsidRPr="00E01B22" w:rsidRDefault="00B442BE" w:rsidP="00A90629">
            <w:pPr>
              <w:pStyle w:val="Default"/>
              <w:rPr>
                <w:rFonts w:ascii="Arial" w:hAnsi="Arial" w:cs="Arial"/>
                <w:sz w:val="20"/>
                <w:szCs w:val="20"/>
              </w:rPr>
            </w:pPr>
            <w:r w:rsidRPr="00E01B22">
              <w:rPr>
                <w:rFonts w:ascii="Arial" w:hAnsi="Arial" w:cs="Arial"/>
                <w:sz w:val="20"/>
                <w:szCs w:val="20"/>
              </w:rPr>
              <w:t xml:space="preserve">(Minor Submission) </w:t>
            </w:r>
          </w:p>
        </w:tc>
        <w:tc>
          <w:tcPr>
            <w:tcW w:w="1828" w:type="dxa"/>
            <w:vMerge w:val="restart"/>
            <w:tcBorders>
              <w:top w:val="single" w:sz="4" w:space="0" w:color="auto"/>
              <w:left w:val="single" w:sz="4" w:space="0" w:color="auto"/>
              <w:right w:val="single" w:sz="4" w:space="0" w:color="auto"/>
            </w:tcBorders>
          </w:tcPr>
          <w:p w:rsidR="00B442BE" w:rsidRPr="00E01B22" w:rsidRDefault="00B442BE" w:rsidP="00421C74">
            <w:pPr>
              <w:tabs>
                <w:tab w:val="left" w:pos="5210"/>
              </w:tabs>
              <w:rPr>
                <w:rFonts w:ascii="Arial" w:hAnsi="Arial" w:cs="Arial"/>
              </w:rPr>
            </w:pPr>
            <w:r w:rsidRPr="00E01B22">
              <w:rPr>
                <w:rFonts w:ascii="Arial" w:hAnsi="Arial" w:cs="Arial"/>
              </w:rPr>
              <w:t>Type 2 diabetes mellitus (T2DM)</w:t>
            </w:r>
          </w:p>
          <w:p w:rsidR="00B442BE" w:rsidRPr="00E01B22" w:rsidRDefault="00B442BE" w:rsidP="00421C74">
            <w:pPr>
              <w:tabs>
                <w:tab w:val="left" w:pos="5210"/>
              </w:tabs>
              <w:rPr>
                <w:rFonts w:ascii="Arial" w:hAnsi="Arial" w:cs="Arial"/>
              </w:rPr>
            </w:pPr>
          </w:p>
        </w:tc>
        <w:tc>
          <w:tcPr>
            <w:tcW w:w="2947" w:type="dxa"/>
            <w:tcBorders>
              <w:top w:val="single" w:sz="4" w:space="0" w:color="auto"/>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To request an Authority Required (STREAMLINED) listing of dapagliflozin with metformin for the treatment of T2DM in combination with a dipeptidyl peptidase 4 inhibitor.</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B442BE" w:rsidP="00632700">
            <w:pPr>
              <w:tabs>
                <w:tab w:val="left" w:pos="5210"/>
              </w:tabs>
              <w:rPr>
                <w:rFonts w:ascii="Arial" w:hAnsi="Arial" w:cs="Arial"/>
              </w:rPr>
            </w:pPr>
            <w:r w:rsidRPr="00E01B22">
              <w:rPr>
                <w:rFonts w:ascii="Arial" w:hAnsi="Arial" w:cs="Arial"/>
              </w:rPr>
              <w:t>The PBAC deferred making a decision regarding the Authority Required (STREAMLINED) listing for dapagliflozin and metformin fixed dose combination (FDC) in combination with a dipetidyl peptidase 4 (DPP4) inhibitor for the treatment of type 2 diabetes mellitus (T2DM)  to allow further work to establish a price for treatment with dapagliflozin + a DPP4 inhibitor + metformin that could be considered cost-effective.</w:t>
            </w:r>
          </w:p>
          <w:p w:rsidR="00B442BE" w:rsidRPr="00E01B22" w:rsidRDefault="00B442BE" w:rsidP="00632700">
            <w:pPr>
              <w:tabs>
                <w:tab w:val="left" w:pos="5210"/>
              </w:tabs>
              <w:rPr>
                <w:rFonts w:ascii="Arial" w:hAnsi="Arial" w:cs="Arial"/>
              </w:rPr>
            </w:pPr>
          </w:p>
        </w:tc>
      </w:tr>
      <w:tr w:rsidR="00B442BE" w:rsidRPr="00E01B22" w:rsidTr="003603C3">
        <w:trPr>
          <w:trHeight w:val="2412"/>
        </w:trPr>
        <w:tc>
          <w:tcPr>
            <w:tcW w:w="3402" w:type="dxa"/>
            <w:vMerge/>
            <w:tcBorders>
              <w:left w:val="single" w:sz="4" w:space="0" w:color="auto"/>
              <w:right w:val="single" w:sz="4" w:space="0" w:color="auto"/>
            </w:tcBorders>
            <w:tcMar>
              <w:top w:w="28" w:type="dxa"/>
              <w:bottom w:w="28" w:type="dxa"/>
            </w:tcMar>
          </w:tcPr>
          <w:p w:rsidR="00B442BE" w:rsidRPr="00E01B22" w:rsidRDefault="00B442BE" w:rsidP="00421C74">
            <w:pPr>
              <w:tabs>
                <w:tab w:val="left" w:pos="5210"/>
              </w:tabs>
              <w:rPr>
                <w:rFonts w:ascii="Arial" w:hAnsi="Arial" w:cs="Arial"/>
              </w:rPr>
            </w:pPr>
          </w:p>
        </w:tc>
        <w:tc>
          <w:tcPr>
            <w:tcW w:w="1828" w:type="dxa"/>
            <w:vMerge/>
            <w:tcBorders>
              <w:left w:val="single" w:sz="4" w:space="0" w:color="auto"/>
              <w:right w:val="single" w:sz="4" w:space="0" w:color="auto"/>
            </w:tcBorders>
          </w:tcPr>
          <w:p w:rsidR="00B442BE" w:rsidRPr="00E01B22" w:rsidRDefault="00B442BE" w:rsidP="00421C74">
            <w:pPr>
              <w:tabs>
                <w:tab w:val="left" w:pos="5210"/>
              </w:tabs>
              <w:rPr>
                <w:rFonts w:ascii="Arial" w:hAnsi="Arial" w:cs="Arial"/>
              </w:rPr>
            </w:pPr>
          </w:p>
        </w:tc>
        <w:tc>
          <w:tcPr>
            <w:tcW w:w="2947" w:type="dxa"/>
            <w:tcBorders>
              <w:left w:val="single" w:sz="4" w:space="0" w:color="auto"/>
              <w:bottom w:val="single" w:sz="4" w:space="0" w:color="auto"/>
              <w:right w:val="single" w:sz="4" w:space="0" w:color="auto"/>
            </w:tcBorders>
            <w:tcMar>
              <w:top w:w="28" w:type="dxa"/>
              <w:bottom w:w="28" w:type="dxa"/>
            </w:tcMar>
          </w:tcPr>
          <w:p w:rsidR="00B442BE" w:rsidRPr="00E01B22" w:rsidRDefault="00FE1A3A" w:rsidP="00FE1A3A">
            <w:pPr>
              <w:tabs>
                <w:tab w:val="left" w:pos="5210"/>
              </w:tabs>
              <w:jc w:val="right"/>
              <w:rPr>
                <w:rFonts w:ascii="Arial" w:hAnsi="Arial" w:cs="Arial"/>
              </w:rPr>
            </w:pPr>
            <w:r w:rsidRPr="00E01B22">
              <w:rPr>
                <w:rFonts w:ascii="Arial" w:hAnsi="Arial" w:cs="Arial"/>
              </w:rPr>
              <w:t>Sponsor comment</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3603C3" w:rsidP="00632700">
            <w:pPr>
              <w:tabs>
                <w:tab w:val="left" w:pos="5210"/>
              </w:tabs>
              <w:rPr>
                <w:rFonts w:ascii="Arial" w:hAnsi="Arial" w:cs="Arial"/>
              </w:rPr>
            </w:pPr>
            <w:r w:rsidRPr="00E01B22">
              <w:rPr>
                <w:rFonts w:ascii="Arial" w:hAnsi="Arial" w:cs="Arial"/>
              </w:rPr>
              <w:t>The sponsor had no comment.</w:t>
            </w:r>
          </w:p>
        </w:tc>
      </w:tr>
      <w:tr w:rsidR="008D7777" w:rsidRPr="00E01B22" w:rsidTr="00B442BE">
        <w:trPr>
          <w:trHeight w:val="1968"/>
        </w:trPr>
        <w:tc>
          <w:tcPr>
            <w:tcW w:w="3402" w:type="dxa"/>
            <w:vMerge w:val="restart"/>
            <w:tcMar>
              <w:top w:w="28" w:type="dxa"/>
              <w:bottom w:w="28" w:type="dxa"/>
            </w:tcMar>
          </w:tcPr>
          <w:p w:rsidR="008D7777" w:rsidRPr="00E01B22" w:rsidRDefault="008D7777" w:rsidP="00632700">
            <w:pPr>
              <w:tabs>
                <w:tab w:val="left" w:pos="5210"/>
              </w:tabs>
              <w:rPr>
                <w:rFonts w:ascii="Arial" w:hAnsi="Arial" w:cs="Arial"/>
              </w:rPr>
            </w:pPr>
            <w:r w:rsidRPr="00E01B22">
              <w:rPr>
                <w:rFonts w:ascii="Arial" w:hAnsi="Arial" w:cs="Arial"/>
              </w:rPr>
              <w:t xml:space="preserve">ENZALUTAMIDE </w:t>
            </w:r>
          </w:p>
          <w:p w:rsidR="008D7777" w:rsidRPr="00E01B22" w:rsidRDefault="008D7777" w:rsidP="00632700">
            <w:pPr>
              <w:tabs>
                <w:tab w:val="left" w:pos="5210"/>
              </w:tabs>
              <w:rPr>
                <w:rFonts w:ascii="Arial" w:hAnsi="Arial" w:cs="Arial"/>
              </w:rPr>
            </w:pPr>
          </w:p>
          <w:p w:rsidR="008D7777" w:rsidRPr="00E01B22" w:rsidRDefault="008D7777" w:rsidP="00632700">
            <w:pPr>
              <w:tabs>
                <w:tab w:val="left" w:pos="5210"/>
              </w:tabs>
              <w:rPr>
                <w:rFonts w:ascii="Arial" w:hAnsi="Arial" w:cs="Arial"/>
              </w:rPr>
            </w:pPr>
            <w:r w:rsidRPr="00E01B22">
              <w:rPr>
                <w:rFonts w:ascii="Arial" w:hAnsi="Arial" w:cs="Arial"/>
              </w:rPr>
              <w:t xml:space="preserve">Capsule 40 mg </w:t>
            </w:r>
          </w:p>
          <w:p w:rsidR="008D7777" w:rsidRPr="00E01B22" w:rsidRDefault="008D7777" w:rsidP="00632700">
            <w:pPr>
              <w:tabs>
                <w:tab w:val="left" w:pos="5210"/>
              </w:tabs>
              <w:rPr>
                <w:rFonts w:ascii="Arial" w:hAnsi="Arial" w:cs="Arial"/>
              </w:rPr>
            </w:pPr>
          </w:p>
          <w:p w:rsidR="008D7777" w:rsidRPr="00E01B22" w:rsidRDefault="008D7777" w:rsidP="00632700">
            <w:pPr>
              <w:tabs>
                <w:tab w:val="left" w:pos="5210"/>
              </w:tabs>
              <w:rPr>
                <w:rFonts w:ascii="Arial" w:hAnsi="Arial" w:cs="Arial"/>
              </w:rPr>
            </w:pPr>
            <w:r w:rsidRPr="00E01B22">
              <w:rPr>
                <w:rFonts w:ascii="Arial" w:hAnsi="Arial" w:cs="Arial"/>
              </w:rPr>
              <w:t xml:space="preserve">Xtandi® </w:t>
            </w:r>
          </w:p>
          <w:p w:rsidR="008D7777" w:rsidRPr="00E01B22" w:rsidRDefault="008D7777" w:rsidP="00632700">
            <w:pPr>
              <w:tabs>
                <w:tab w:val="left" w:pos="5210"/>
              </w:tabs>
              <w:rPr>
                <w:rFonts w:ascii="Arial" w:hAnsi="Arial" w:cs="Arial"/>
              </w:rPr>
            </w:pPr>
          </w:p>
          <w:p w:rsidR="008D7777" w:rsidRPr="00E01B22" w:rsidRDefault="008D7777" w:rsidP="00632700">
            <w:pPr>
              <w:tabs>
                <w:tab w:val="left" w:pos="5210"/>
              </w:tabs>
              <w:rPr>
                <w:rFonts w:ascii="Arial" w:hAnsi="Arial" w:cs="Arial"/>
              </w:rPr>
            </w:pPr>
            <w:r w:rsidRPr="00E01B22">
              <w:rPr>
                <w:rFonts w:ascii="Arial" w:hAnsi="Arial" w:cs="Arial"/>
              </w:rPr>
              <w:t>Astellas Pharma Australia Pty Ltd</w:t>
            </w:r>
          </w:p>
          <w:p w:rsidR="000C0C29" w:rsidRPr="00E01B22" w:rsidRDefault="000C0C29" w:rsidP="00632700">
            <w:pPr>
              <w:tabs>
                <w:tab w:val="left" w:pos="5210"/>
              </w:tabs>
              <w:rPr>
                <w:rFonts w:ascii="Arial" w:hAnsi="Arial" w:cs="Arial"/>
              </w:rPr>
            </w:pPr>
          </w:p>
          <w:p w:rsidR="000C0C29" w:rsidRPr="00E01B22" w:rsidRDefault="000C0C29" w:rsidP="000C0C29">
            <w:pPr>
              <w:rPr>
                <w:rFonts w:ascii="Arial" w:hAnsi="Arial" w:cs="Arial"/>
                <w:color w:val="000000"/>
              </w:rPr>
            </w:pPr>
            <w:r w:rsidRPr="00E01B22">
              <w:rPr>
                <w:rFonts w:ascii="Arial" w:hAnsi="Arial" w:cs="Arial"/>
                <w:color w:val="000000"/>
              </w:rPr>
              <w:t>Change to listing</w:t>
            </w:r>
          </w:p>
          <w:p w:rsidR="008D7777" w:rsidRPr="00E01B22" w:rsidRDefault="008D7777" w:rsidP="00632700">
            <w:pPr>
              <w:tabs>
                <w:tab w:val="left" w:pos="5210"/>
              </w:tabs>
              <w:rPr>
                <w:rFonts w:ascii="Arial" w:hAnsi="Arial" w:cs="Arial"/>
              </w:rPr>
            </w:pPr>
          </w:p>
          <w:p w:rsidR="008D7777" w:rsidRPr="00E01B22" w:rsidRDefault="008D7777" w:rsidP="005C2178">
            <w:pPr>
              <w:pStyle w:val="Default"/>
              <w:rPr>
                <w:rFonts w:ascii="Arial" w:hAnsi="Arial" w:cs="Arial"/>
                <w:sz w:val="20"/>
                <w:szCs w:val="20"/>
              </w:rPr>
            </w:pPr>
            <w:r w:rsidRPr="00E01B22">
              <w:rPr>
                <w:rFonts w:ascii="Arial" w:hAnsi="Arial" w:cs="Arial"/>
                <w:sz w:val="20"/>
                <w:szCs w:val="20"/>
              </w:rPr>
              <w:t xml:space="preserve">(Minor Submission) </w:t>
            </w:r>
          </w:p>
          <w:p w:rsidR="008D7777" w:rsidRPr="00E01B22" w:rsidRDefault="008D7777" w:rsidP="00632700">
            <w:pPr>
              <w:tabs>
                <w:tab w:val="left" w:pos="5210"/>
              </w:tabs>
              <w:rPr>
                <w:rFonts w:ascii="Arial" w:hAnsi="Arial" w:cs="Arial"/>
              </w:rPr>
            </w:pPr>
          </w:p>
        </w:tc>
        <w:tc>
          <w:tcPr>
            <w:tcW w:w="1828" w:type="dxa"/>
            <w:vMerge w:val="restart"/>
          </w:tcPr>
          <w:p w:rsidR="008D7777" w:rsidRPr="00E01B22" w:rsidRDefault="008D7777" w:rsidP="00632700">
            <w:pPr>
              <w:tabs>
                <w:tab w:val="left" w:pos="5210"/>
              </w:tabs>
              <w:rPr>
                <w:rFonts w:ascii="Arial" w:hAnsi="Arial" w:cs="Arial"/>
              </w:rPr>
            </w:pPr>
            <w:r w:rsidRPr="00E01B22">
              <w:rPr>
                <w:rFonts w:ascii="Arial" w:hAnsi="Arial" w:cs="Arial"/>
              </w:rPr>
              <w:t>Prostate cancer</w:t>
            </w:r>
          </w:p>
        </w:tc>
        <w:tc>
          <w:tcPr>
            <w:tcW w:w="2947" w:type="dxa"/>
            <w:tcMar>
              <w:top w:w="28" w:type="dxa"/>
              <w:bottom w:w="28" w:type="dxa"/>
            </w:tcMar>
          </w:tcPr>
          <w:p w:rsidR="008D7777" w:rsidRPr="00E01B22" w:rsidRDefault="008D7777" w:rsidP="00632700">
            <w:pPr>
              <w:tabs>
                <w:tab w:val="left" w:pos="5210"/>
              </w:tabs>
              <w:rPr>
                <w:rFonts w:ascii="Arial" w:hAnsi="Arial" w:cs="Arial"/>
              </w:rPr>
            </w:pPr>
            <w:r w:rsidRPr="00E01B22">
              <w:rPr>
                <w:rFonts w:ascii="Arial" w:hAnsi="Arial" w:cs="Arial"/>
              </w:rPr>
              <w:t>Resubmission to request an Authority Required listing for the treatment of asymptomatic metastatic castration resistant prostate cancer in chemotherapy-naïve patients</w:t>
            </w:r>
          </w:p>
        </w:tc>
        <w:tc>
          <w:tcPr>
            <w:tcW w:w="6581" w:type="dxa"/>
            <w:shd w:val="clear" w:color="auto" w:fill="auto"/>
          </w:tcPr>
          <w:p w:rsidR="008D7777" w:rsidRPr="00E01B22" w:rsidRDefault="008D7777" w:rsidP="00120E04">
            <w:pPr>
              <w:tabs>
                <w:tab w:val="left" w:pos="5210"/>
              </w:tabs>
              <w:rPr>
                <w:rFonts w:ascii="Arial" w:hAnsi="Arial" w:cs="Arial"/>
              </w:rPr>
            </w:pPr>
            <w:r w:rsidRPr="00E01B22">
              <w:rPr>
                <w:rFonts w:ascii="Arial" w:hAnsi="Arial" w:cs="Arial"/>
              </w:rPr>
              <w:t>The PBAC deferred recommending an extended PBS listing for enzalutamide for the treatment of metastatic castrate-resistant prostate cancer (mCRPC) prior to docetaxel, on the basis that the proposal to achieve a cost-effective listing was unacceptable. The PBAC advised that further negotiations between the sponsor and the Department regarding the proposed price of enzalutamide, the proposed financial caps and the size of the patient population are required, to ensure that an acceptable incremental cost effectiveness ration (ICER) is achieved.</w:t>
            </w:r>
          </w:p>
          <w:p w:rsidR="008D7777" w:rsidRPr="00E01B22" w:rsidRDefault="008D7777" w:rsidP="00120E04">
            <w:pPr>
              <w:tabs>
                <w:tab w:val="left" w:pos="5210"/>
              </w:tabs>
              <w:rPr>
                <w:rFonts w:ascii="Arial" w:hAnsi="Arial" w:cs="Arial"/>
              </w:rPr>
            </w:pPr>
            <w:r w:rsidRPr="00E01B22">
              <w:rPr>
                <w:rFonts w:ascii="Arial" w:hAnsi="Arial" w:cs="Arial"/>
              </w:rPr>
              <w:t xml:space="preserve">In its consideration of the major resubmission in March 2017, the PBAC requested that the sponsor adjust the assumption of the duration of post-docetaxel treatment with enzalutamide in the active surveillance arm of the economic model, and stated that the ICER should remain at $45,000 - $75,000/QALY. In the minor resubmission, the sponsor made requested adjustments to the model but also proposed various other strategies to deliver an acceptable ICER. The probability that these strategies actually delivered the requested ICER could not be accurately determined.  </w:t>
            </w:r>
          </w:p>
          <w:p w:rsidR="00C04513" w:rsidRDefault="00C04513" w:rsidP="00C04513">
            <w:pPr>
              <w:tabs>
                <w:tab w:val="left" w:pos="5210"/>
              </w:tabs>
              <w:rPr>
                <w:rFonts w:ascii="Arial" w:hAnsi="Arial" w:cs="Arial"/>
              </w:rPr>
            </w:pPr>
          </w:p>
          <w:p w:rsidR="008D7777" w:rsidRPr="00E01B22" w:rsidRDefault="008D7777" w:rsidP="00C04513">
            <w:pPr>
              <w:tabs>
                <w:tab w:val="left" w:pos="5210"/>
              </w:tabs>
              <w:rPr>
                <w:rFonts w:ascii="Arial" w:hAnsi="Arial" w:cs="Arial"/>
              </w:rPr>
            </w:pPr>
            <w:r w:rsidRPr="00E01B22">
              <w:rPr>
                <w:rFonts w:ascii="Arial" w:hAnsi="Arial" w:cs="Arial"/>
              </w:rPr>
              <w:t xml:space="preserve">The PBAC was concerned that the size of the proposed patient population is uncertain, and that the proposed subsidisation caps may not be reached, resulting in a higher average DPMQ and a higher ICER than those proposed in the minor resubmission. </w:t>
            </w:r>
          </w:p>
        </w:tc>
      </w:tr>
      <w:tr w:rsidR="008D7777" w:rsidRPr="00E01B22" w:rsidTr="006D12FF">
        <w:trPr>
          <w:trHeight w:val="807"/>
        </w:trPr>
        <w:tc>
          <w:tcPr>
            <w:tcW w:w="3402" w:type="dxa"/>
            <w:vMerge/>
            <w:tcMar>
              <w:top w:w="28" w:type="dxa"/>
              <w:bottom w:w="28" w:type="dxa"/>
            </w:tcMar>
          </w:tcPr>
          <w:p w:rsidR="008D7777" w:rsidRPr="00E01B22" w:rsidRDefault="008D7777" w:rsidP="00632700">
            <w:pPr>
              <w:tabs>
                <w:tab w:val="left" w:pos="5210"/>
              </w:tabs>
              <w:rPr>
                <w:rFonts w:ascii="Arial" w:hAnsi="Arial" w:cs="Arial"/>
              </w:rPr>
            </w:pPr>
          </w:p>
        </w:tc>
        <w:tc>
          <w:tcPr>
            <w:tcW w:w="1828" w:type="dxa"/>
            <w:vMerge/>
          </w:tcPr>
          <w:p w:rsidR="008D7777" w:rsidRPr="00E01B22" w:rsidRDefault="008D7777" w:rsidP="00632700">
            <w:pPr>
              <w:tabs>
                <w:tab w:val="left" w:pos="5210"/>
              </w:tabs>
              <w:rPr>
                <w:rFonts w:ascii="Arial" w:hAnsi="Arial" w:cs="Arial"/>
              </w:rPr>
            </w:pPr>
          </w:p>
        </w:tc>
        <w:tc>
          <w:tcPr>
            <w:tcW w:w="2947" w:type="dxa"/>
            <w:tcMar>
              <w:top w:w="28" w:type="dxa"/>
              <w:bottom w:w="28" w:type="dxa"/>
            </w:tcMar>
          </w:tcPr>
          <w:p w:rsidR="008D7777" w:rsidRPr="00E01B22" w:rsidRDefault="00FE1A3A" w:rsidP="00FE1A3A">
            <w:pPr>
              <w:tabs>
                <w:tab w:val="left" w:pos="5210"/>
              </w:tabs>
              <w:jc w:val="right"/>
              <w:rPr>
                <w:rFonts w:ascii="Arial" w:hAnsi="Arial" w:cs="Arial"/>
              </w:rPr>
            </w:pPr>
            <w:r w:rsidRPr="00E01B22">
              <w:rPr>
                <w:rFonts w:ascii="Arial" w:hAnsi="Arial" w:cs="Arial"/>
              </w:rPr>
              <w:t>Sponsor comment</w:t>
            </w:r>
          </w:p>
        </w:tc>
        <w:tc>
          <w:tcPr>
            <w:tcW w:w="6581" w:type="dxa"/>
            <w:shd w:val="clear" w:color="auto" w:fill="auto"/>
          </w:tcPr>
          <w:p w:rsidR="008D7777" w:rsidRPr="00E01B22" w:rsidRDefault="008D7777" w:rsidP="00120E04">
            <w:pPr>
              <w:tabs>
                <w:tab w:val="left" w:pos="5210"/>
              </w:tabs>
              <w:rPr>
                <w:rFonts w:ascii="Arial" w:hAnsi="Arial" w:cs="Arial"/>
              </w:rPr>
            </w:pPr>
            <w:r w:rsidRPr="00E01B22">
              <w:rPr>
                <w:rFonts w:ascii="Arial" w:hAnsi="Arial" w:cs="Arial"/>
                <w:color w:val="0D0D0D"/>
                <w:lang w:val="en-US" w:eastAsia="ja-JP"/>
              </w:rPr>
              <w:t>Astellas will consider the issues raised by the PBAC and continue to investigate options to improve access to enzalutamide for metastatic castration resistant prostate cancer, chemotherapy-naïve patients.</w:t>
            </w:r>
            <w:bookmarkStart w:id="0" w:name="_GoBack"/>
            <w:bookmarkEnd w:id="0"/>
          </w:p>
        </w:tc>
      </w:tr>
      <w:tr w:rsidR="009B559D" w:rsidRPr="00E01B22" w:rsidTr="00283009">
        <w:trPr>
          <w:trHeight w:val="536"/>
        </w:trPr>
        <w:tc>
          <w:tcPr>
            <w:tcW w:w="3402" w:type="dxa"/>
            <w:vMerge w:val="restart"/>
            <w:tcMar>
              <w:top w:w="28" w:type="dxa"/>
              <w:bottom w:w="28" w:type="dxa"/>
            </w:tcMar>
          </w:tcPr>
          <w:p w:rsidR="009B559D" w:rsidRPr="009B559D" w:rsidRDefault="009B559D">
            <w:pPr>
              <w:rPr>
                <w:rFonts w:ascii="Arial" w:eastAsiaTheme="minorHAnsi" w:hAnsi="Arial" w:cs="Arial"/>
                <w:sz w:val="22"/>
                <w:szCs w:val="22"/>
                <w:lang w:eastAsia="en-US"/>
              </w:rPr>
            </w:pPr>
            <w:r w:rsidRPr="009B559D">
              <w:rPr>
                <w:rFonts w:ascii="Arial" w:hAnsi="Arial" w:cs="Arial"/>
              </w:rPr>
              <w:t xml:space="preserve">GLECAPREVIR with PIBRENTASVIR </w:t>
            </w:r>
          </w:p>
          <w:p w:rsidR="009B559D" w:rsidRPr="009B559D" w:rsidRDefault="009B559D">
            <w:pPr>
              <w:rPr>
                <w:rFonts w:ascii="Arial" w:hAnsi="Arial" w:cs="Arial"/>
              </w:rPr>
            </w:pPr>
          </w:p>
          <w:p w:rsidR="009B559D" w:rsidRPr="009B559D" w:rsidRDefault="009B559D">
            <w:pPr>
              <w:rPr>
                <w:rFonts w:ascii="Arial" w:hAnsi="Arial" w:cs="Arial"/>
              </w:rPr>
            </w:pPr>
            <w:r w:rsidRPr="009B559D">
              <w:rPr>
                <w:rFonts w:ascii="Arial" w:hAnsi="Arial" w:cs="Arial"/>
              </w:rPr>
              <w:t xml:space="preserve">Tablet containing 100 mg </w:t>
            </w:r>
            <w:proofErr w:type="spellStart"/>
            <w:r w:rsidRPr="009B559D">
              <w:rPr>
                <w:rFonts w:ascii="Arial" w:hAnsi="Arial" w:cs="Arial"/>
              </w:rPr>
              <w:t>glecaprevir</w:t>
            </w:r>
            <w:proofErr w:type="spellEnd"/>
            <w:r w:rsidRPr="009B559D">
              <w:rPr>
                <w:rFonts w:ascii="Arial" w:hAnsi="Arial" w:cs="Arial"/>
              </w:rPr>
              <w:t xml:space="preserve"> with 40 mg </w:t>
            </w:r>
            <w:proofErr w:type="spellStart"/>
            <w:r w:rsidRPr="009B559D">
              <w:rPr>
                <w:rFonts w:ascii="Arial" w:hAnsi="Arial" w:cs="Arial"/>
              </w:rPr>
              <w:t>pibrentasvir</w:t>
            </w:r>
            <w:proofErr w:type="spellEnd"/>
            <w:r w:rsidRPr="009B559D">
              <w:rPr>
                <w:rFonts w:ascii="Arial" w:hAnsi="Arial" w:cs="Arial"/>
              </w:rPr>
              <w:t xml:space="preserve"> </w:t>
            </w:r>
          </w:p>
          <w:p w:rsidR="009B559D" w:rsidRPr="009B559D" w:rsidRDefault="009B559D">
            <w:pPr>
              <w:rPr>
                <w:rFonts w:ascii="Arial" w:hAnsi="Arial" w:cs="Arial"/>
              </w:rPr>
            </w:pPr>
          </w:p>
          <w:p w:rsidR="009B559D" w:rsidRPr="009B559D" w:rsidRDefault="009B559D">
            <w:pPr>
              <w:rPr>
                <w:rFonts w:ascii="Arial" w:hAnsi="Arial" w:cs="Arial"/>
                <w:vertAlign w:val="superscript"/>
              </w:rPr>
            </w:pPr>
            <w:proofErr w:type="spellStart"/>
            <w:r w:rsidRPr="009B559D">
              <w:rPr>
                <w:rFonts w:ascii="Arial" w:hAnsi="Arial" w:cs="Arial"/>
              </w:rPr>
              <w:t>Maviret</w:t>
            </w:r>
            <w:proofErr w:type="spellEnd"/>
            <w:r w:rsidRPr="009B559D">
              <w:rPr>
                <w:rFonts w:ascii="Arial" w:hAnsi="Arial" w:cs="Arial"/>
                <w:vertAlign w:val="superscript"/>
              </w:rPr>
              <w:t>®</w:t>
            </w:r>
          </w:p>
          <w:p w:rsidR="009B559D" w:rsidRPr="009B559D" w:rsidRDefault="009B559D">
            <w:pPr>
              <w:rPr>
                <w:rFonts w:ascii="Arial" w:hAnsi="Arial" w:cs="Arial"/>
              </w:rPr>
            </w:pPr>
          </w:p>
          <w:p w:rsidR="009B559D" w:rsidRPr="009B559D" w:rsidRDefault="009B559D">
            <w:pPr>
              <w:rPr>
                <w:rFonts w:ascii="Arial" w:hAnsi="Arial" w:cs="Arial"/>
              </w:rPr>
            </w:pPr>
            <w:proofErr w:type="spellStart"/>
            <w:r w:rsidRPr="009B559D">
              <w:rPr>
                <w:rFonts w:ascii="Arial" w:hAnsi="Arial" w:cs="Arial"/>
              </w:rPr>
              <w:t>Abbvie</w:t>
            </w:r>
            <w:proofErr w:type="spellEnd"/>
            <w:r w:rsidRPr="009B559D">
              <w:rPr>
                <w:rFonts w:ascii="Arial" w:hAnsi="Arial" w:cs="Arial"/>
              </w:rPr>
              <w:t xml:space="preserve"> Pty Ltd</w:t>
            </w:r>
          </w:p>
          <w:p w:rsidR="00C04513" w:rsidRDefault="00C04513">
            <w:pPr>
              <w:rPr>
                <w:rFonts w:ascii="Arial" w:hAnsi="Arial" w:cs="Arial"/>
              </w:rPr>
            </w:pPr>
          </w:p>
          <w:p w:rsidR="009B559D" w:rsidRPr="009B559D" w:rsidRDefault="009B559D">
            <w:pPr>
              <w:rPr>
                <w:rFonts w:ascii="Arial" w:hAnsi="Arial" w:cs="Arial"/>
              </w:rPr>
            </w:pPr>
            <w:r w:rsidRPr="009B559D">
              <w:rPr>
                <w:rFonts w:ascii="Arial" w:hAnsi="Arial" w:cs="Arial"/>
              </w:rPr>
              <w:t>New listing</w:t>
            </w:r>
          </w:p>
          <w:p w:rsidR="009B559D" w:rsidRPr="009B559D" w:rsidRDefault="009B559D">
            <w:pPr>
              <w:rPr>
                <w:rFonts w:ascii="Arial" w:hAnsi="Arial" w:cs="Arial"/>
              </w:rPr>
            </w:pPr>
          </w:p>
          <w:p w:rsidR="009B559D" w:rsidRPr="009B559D" w:rsidRDefault="009B559D">
            <w:pPr>
              <w:rPr>
                <w:rFonts w:ascii="Arial" w:eastAsiaTheme="minorHAnsi" w:hAnsi="Arial" w:cs="Arial"/>
                <w:sz w:val="22"/>
                <w:szCs w:val="22"/>
                <w:lang w:eastAsia="en-US"/>
              </w:rPr>
            </w:pPr>
            <w:r w:rsidRPr="009B559D">
              <w:rPr>
                <w:rFonts w:ascii="Arial" w:hAnsi="Arial" w:cs="Arial"/>
              </w:rPr>
              <w:t>(Major Submission)</w:t>
            </w:r>
          </w:p>
        </w:tc>
        <w:tc>
          <w:tcPr>
            <w:tcW w:w="1828" w:type="dxa"/>
            <w:vMerge w:val="restart"/>
          </w:tcPr>
          <w:p w:rsidR="009B559D" w:rsidRPr="009B559D" w:rsidRDefault="009B559D">
            <w:pPr>
              <w:rPr>
                <w:rFonts w:ascii="Arial" w:eastAsiaTheme="minorHAnsi" w:hAnsi="Arial" w:cs="Arial"/>
                <w:sz w:val="22"/>
                <w:szCs w:val="22"/>
                <w:lang w:eastAsia="en-US"/>
              </w:rPr>
            </w:pPr>
            <w:r w:rsidRPr="009B559D">
              <w:rPr>
                <w:rFonts w:ascii="Arial" w:hAnsi="Arial" w:cs="Arial"/>
              </w:rPr>
              <w:t>Chronic hepatitis C virus (HCV) infection</w:t>
            </w:r>
          </w:p>
        </w:tc>
        <w:tc>
          <w:tcPr>
            <w:tcW w:w="2947" w:type="dxa"/>
            <w:tcMar>
              <w:top w:w="28" w:type="dxa"/>
              <w:bottom w:w="28" w:type="dxa"/>
            </w:tcMar>
          </w:tcPr>
          <w:p w:rsidR="009B559D" w:rsidRPr="009B559D" w:rsidRDefault="009B559D">
            <w:pPr>
              <w:rPr>
                <w:rFonts w:ascii="Arial" w:eastAsiaTheme="minorHAnsi" w:hAnsi="Arial" w:cs="Arial"/>
                <w:sz w:val="22"/>
                <w:szCs w:val="22"/>
                <w:lang w:eastAsia="en-US"/>
              </w:rPr>
            </w:pPr>
            <w:r w:rsidRPr="009B559D">
              <w:rPr>
                <w:rFonts w:ascii="Arial" w:hAnsi="Arial" w:cs="Arial"/>
              </w:rPr>
              <w:t>To request General Schedule and Section 100 (Highly Specialised Drugs Program) Authority Required (STREAMLINED) listings for the treatment of chronic HCV infection, regardless of genotype.</w:t>
            </w:r>
          </w:p>
        </w:tc>
        <w:tc>
          <w:tcPr>
            <w:tcW w:w="6581" w:type="dxa"/>
            <w:shd w:val="clear" w:color="auto" w:fill="auto"/>
          </w:tcPr>
          <w:p w:rsidR="009B559D" w:rsidRPr="009B559D" w:rsidRDefault="009B559D">
            <w:pPr>
              <w:jc w:val="both"/>
              <w:rPr>
                <w:rFonts w:ascii="Arial" w:eastAsiaTheme="minorHAnsi" w:hAnsi="Arial" w:cs="Arial"/>
                <w:sz w:val="22"/>
                <w:szCs w:val="22"/>
                <w:lang w:val="en-GB" w:eastAsia="en-US"/>
              </w:rPr>
            </w:pPr>
            <w:r w:rsidRPr="009B559D">
              <w:rPr>
                <w:rFonts w:ascii="Arial" w:hAnsi="Arial" w:cs="Arial"/>
                <w:lang w:val="en-GB"/>
              </w:rPr>
              <w:t xml:space="preserve">The PBAC was of a mind to recommend the Authority Required General Schedule and Section 100 listing of </w:t>
            </w:r>
            <w:proofErr w:type="spellStart"/>
            <w:r w:rsidRPr="009B559D">
              <w:rPr>
                <w:rFonts w:ascii="Arial" w:hAnsi="Arial" w:cs="Arial"/>
                <w:lang w:val="en-GB"/>
              </w:rPr>
              <w:t>glecaprevir</w:t>
            </w:r>
            <w:proofErr w:type="spellEnd"/>
            <w:r w:rsidRPr="009B559D">
              <w:rPr>
                <w:rFonts w:ascii="Arial" w:hAnsi="Arial" w:cs="Arial"/>
                <w:lang w:val="en-GB"/>
              </w:rPr>
              <w:t xml:space="preserve"> with </w:t>
            </w:r>
            <w:proofErr w:type="spellStart"/>
            <w:r w:rsidRPr="009B559D">
              <w:rPr>
                <w:rFonts w:ascii="Arial" w:hAnsi="Arial" w:cs="Arial"/>
                <w:lang w:val="en-GB"/>
              </w:rPr>
              <w:t>pibrentasvir</w:t>
            </w:r>
            <w:proofErr w:type="spellEnd"/>
            <w:r w:rsidRPr="009B559D">
              <w:rPr>
                <w:rFonts w:ascii="Arial" w:hAnsi="Arial" w:cs="Arial"/>
                <w:lang w:val="en-GB"/>
              </w:rPr>
              <w:t xml:space="preserve"> on a cost-minimisation basis with </w:t>
            </w:r>
            <w:r w:rsidRPr="009B559D">
              <w:rPr>
                <w:rFonts w:ascii="Arial" w:hAnsi="Arial" w:cs="Arial"/>
              </w:rPr>
              <w:t>the relevant lowest priced alternative regimen in the General Statement for Drugs for the Treatment of Hepatitis C, for the treatment of chronic hepatitis C infection for patients with genotypes 1-6, with or without cirrhosis. However, the PBAC deferred making a final recommendation pending the provision of the relevant TGA delegate’s overview.</w:t>
            </w:r>
          </w:p>
          <w:p w:rsidR="009B559D" w:rsidRPr="009B559D" w:rsidRDefault="009B559D">
            <w:pPr>
              <w:pStyle w:val="ListParagraph"/>
              <w:ind w:left="0"/>
              <w:rPr>
                <w:rFonts w:ascii="Arial" w:hAnsi="Arial" w:cs="Arial"/>
                <w:lang w:eastAsia="en-US"/>
              </w:rPr>
            </w:pPr>
          </w:p>
        </w:tc>
      </w:tr>
      <w:tr w:rsidR="009B559D" w:rsidRPr="00E01B22" w:rsidTr="00283009">
        <w:trPr>
          <w:trHeight w:val="401"/>
        </w:trPr>
        <w:tc>
          <w:tcPr>
            <w:tcW w:w="3402" w:type="dxa"/>
            <w:vMerge/>
            <w:tcMar>
              <w:top w:w="28" w:type="dxa"/>
              <w:bottom w:w="28" w:type="dxa"/>
            </w:tcMar>
          </w:tcPr>
          <w:p w:rsidR="009B559D" w:rsidRPr="009B559D" w:rsidRDefault="009B559D">
            <w:pPr>
              <w:rPr>
                <w:rFonts w:ascii="Arial" w:hAnsi="Arial" w:cs="Arial"/>
              </w:rPr>
            </w:pPr>
          </w:p>
        </w:tc>
        <w:tc>
          <w:tcPr>
            <w:tcW w:w="1828" w:type="dxa"/>
            <w:vMerge/>
          </w:tcPr>
          <w:p w:rsidR="009B559D" w:rsidRPr="009B559D" w:rsidRDefault="009B559D">
            <w:pPr>
              <w:rPr>
                <w:rFonts w:ascii="Arial" w:hAnsi="Arial" w:cs="Arial"/>
              </w:rPr>
            </w:pPr>
          </w:p>
        </w:tc>
        <w:tc>
          <w:tcPr>
            <w:tcW w:w="2947" w:type="dxa"/>
            <w:tcMar>
              <w:top w:w="28" w:type="dxa"/>
              <w:bottom w:w="28" w:type="dxa"/>
            </w:tcMar>
          </w:tcPr>
          <w:p w:rsidR="009B559D" w:rsidRPr="009B559D" w:rsidRDefault="009B559D" w:rsidP="009B559D">
            <w:pPr>
              <w:jc w:val="right"/>
              <w:rPr>
                <w:rFonts w:ascii="Arial" w:hAnsi="Arial" w:cs="Arial"/>
              </w:rPr>
            </w:pPr>
            <w:r w:rsidRPr="00E01B22">
              <w:rPr>
                <w:rFonts w:ascii="Arial" w:hAnsi="Arial" w:cs="Arial"/>
              </w:rPr>
              <w:t>Sponsor comment</w:t>
            </w:r>
          </w:p>
        </w:tc>
        <w:tc>
          <w:tcPr>
            <w:tcW w:w="6581" w:type="dxa"/>
            <w:shd w:val="clear" w:color="auto" w:fill="auto"/>
          </w:tcPr>
          <w:p w:rsidR="009B559D" w:rsidRPr="009B559D" w:rsidRDefault="009B559D">
            <w:pPr>
              <w:jc w:val="both"/>
              <w:rPr>
                <w:rFonts w:ascii="Arial" w:hAnsi="Arial" w:cs="Arial"/>
                <w:lang w:val="en-GB"/>
              </w:rPr>
            </w:pPr>
            <w:r>
              <w:rPr>
                <w:rFonts w:ascii="Arial" w:hAnsi="Arial" w:cs="Arial"/>
                <w:lang w:val="en-GB"/>
              </w:rPr>
              <w:t>The sponsor had no comment.</w:t>
            </w:r>
          </w:p>
        </w:tc>
      </w:tr>
      <w:tr w:rsidR="00B442BE" w:rsidRPr="00E01B22" w:rsidTr="00C04513">
        <w:trPr>
          <w:trHeight w:val="252"/>
        </w:trPr>
        <w:tc>
          <w:tcPr>
            <w:tcW w:w="3402" w:type="dxa"/>
            <w:vMerge w:val="restart"/>
            <w:tcMar>
              <w:top w:w="28" w:type="dxa"/>
              <w:bottom w:w="28" w:type="dxa"/>
            </w:tcMar>
          </w:tcPr>
          <w:p w:rsidR="00B442BE" w:rsidRPr="00E01B22" w:rsidRDefault="00B442BE" w:rsidP="00041D99">
            <w:pPr>
              <w:rPr>
                <w:rFonts w:ascii="Arial" w:hAnsi="Arial" w:cs="Arial"/>
                <w:color w:val="000000"/>
              </w:rPr>
            </w:pPr>
            <w:r w:rsidRPr="00E01B22">
              <w:rPr>
                <w:rFonts w:ascii="Arial" w:hAnsi="Arial" w:cs="Arial"/>
                <w:color w:val="000000"/>
              </w:rPr>
              <w:t xml:space="preserve">NICOTINE </w:t>
            </w:r>
          </w:p>
          <w:p w:rsidR="00B442BE" w:rsidRPr="00E01B22" w:rsidRDefault="00B442BE" w:rsidP="00041D99">
            <w:pPr>
              <w:rPr>
                <w:rFonts w:ascii="Arial" w:hAnsi="Arial" w:cs="Arial"/>
                <w:color w:val="000000"/>
              </w:rPr>
            </w:pPr>
          </w:p>
          <w:p w:rsidR="00B442BE" w:rsidRPr="00E01B22" w:rsidRDefault="00B442BE" w:rsidP="00041D99">
            <w:pPr>
              <w:rPr>
                <w:rFonts w:ascii="Arial" w:hAnsi="Arial" w:cs="Arial"/>
                <w:color w:val="000000"/>
              </w:rPr>
            </w:pPr>
            <w:r w:rsidRPr="00E01B22">
              <w:rPr>
                <w:rFonts w:ascii="Arial" w:hAnsi="Arial" w:cs="Arial"/>
                <w:color w:val="000000"/>
              </w:rPr>
              <w:t xml:space="preserve">Gum 2 mg </w:t>
            </w:r>
          </w:p>
          <w:p w:rsidR="00B442BE" w:rsidRPr="00E01B22" w:rsidRDefault="00B442BE" w:rsidP="00041D99">
            <w:pPr>
              <w:rPr>
                <w:rFonts w:ascii="Arial" w:hAnsi="Arial" w:cs="Arial"/>
                <w:color w:val="000000"/>
              </w:rPr>
            </w:pPr>
            <w:r w:rsidRPr="00E01B22">
              <w:rPr>
                <w:rFonts w:ascii="Arial" w:hAnsi="Arial" w:cs="Arial"/>
                <w:color w:val="000000"/>
              </w:rPr>
              <w:t xml:space="preserve">Gum 4 mg </w:t>
            </w:r>
          </w:p>
          <w:p w:rsidR="00B442BE" w:rsidRPr="00E01B22" w:rsidRDefault="00B442BE" w:rsidP="00041D99">
            <w:pPr>
              <w:rPr>
                <w:rFonts w:ascii="Arial" w:hAnsi="Arial" w:cs="Arial"/>
                <w:color w:val="000000"/>
              </w:rPr>
            </w:pPr>
            <w:r w:rsidRPr="00E01B22">
              <w:rPr>
                <w:rFonts w:ascii="Arial" w:hAnsi="Arial" w:cs="Arial"/>
                <w:color w:val="000000"/>
              </w:rPr>
              <w:t xml:space="preserve">Lozenge 2 mg </w:t>
            </w:r>
          </w:p>
          <w:p w:rsidR="00B442BE" w:rsidRPr="00E01B22" w:rsidRDefault="00B442BE" w:rsidP="00041D99">
            <w:pPr>
              <w:rPr>
                <w:rFonts w:ascii="Arial" w:hAnsi="Arial" w:cs="Arial"/>
                <w:color w:val="000000"/>
              </w:rPr>
            </w:pPr>
            <w:r w:rsidRPr="00E01B22">
              <w:rPr>
                <w:rFonts w:ascii="Arial" w:hAnsi="Arial" w:cs="Arial"/>
                <w:color w:val="000000"/>
              </w:rPr>
              <w:t xml:space="preserve">Lozenge 4 mg </w:t>
            </w:r>
          </w:p>
          <w:p w:rsidR="00B442BE" w:rsidRPr="00E01B22" w:rsidRDefault="00B442BE" w:rsidP="00041D99">
            <w:pPr>
              <w:rPr>
                <w:rFonts w:ascii="Arial" w:hAnsi="Arial" w:cs="Arial"/>
                <w:color w:val="000000"/>
              </w:rPr>
            </w:pPr>
          </w:p>
          <w:p w:rsidR="00B442BE" w:rsidRPr="00E01B22" w:rsidRDefault="00B442BE" w:rsidP="00041D99">
            <w:pPr>
              <w:rPr>
                <w:rFonts w:ascii="Arial" w:hAnsi="Arial" w:cs="Arial"/>
                <w:color w:val="000000"/>
              </w:rPr>
            </w:pPr>
            <w:r w:rsidRPr="00E01B22">
              <w:rPr>
                <w:rFonts w:ascii="Arial" w:hAnsi="Arial" w:cs="Arial"/>
                <w:color w:val="000000"/>
              </w:rPr>
              <w:t xml:space="preserve">Nicotinell Chewing gum® </w:t>
            </w:r>
          </w:p>
          <w:p w:rsidR="00B442BE" w:rsidRPr="00E01B22" w:rsidRDefault="00B442BE" w:rsidP="00041D99">
            <w:pPr>
              <w:rPr>
                <w:rFonts w:ascii="Arial" w:hAnsi="Arial" w:cs="Arial"/>
                <w:color w:val="000000"/>
              </w:rPr>
            </w:pPr>
            <w:r w:rsidRPr="00E01B22">
              <w:rPr>
                <w:rFonts w:ascii="Arial" w:hAnsi="Arial" w:cs="Arial"/>
                <w:color w:val="000000"/>
              </w:rPr>
              <w:t xml:space="preserve">Nicotinell lozenge® </w:t>
            </w:r>
          </w:p>
          <w:p w:rsidR="00B442BE" w:rsidRPr="00E01B22" w:rsidRDefault="00B442BE" w:rsidP="00041D99">
            <w:pPr>
              <w:rPr>
                <w:rFonts w:ascii="Arial" w:hAnsi="Arial" w:cs="Arial"/>
                <w:color w:val="000000"/>
              </w:rPr>
            </w:pPr>
          </w:p>
          <w:p w:rsidR="00B442BE" w:rsidRPr="00E01B22" w:rsidRDefault="00B442BE" w:rsidP="00041D99">
            <w:pPr>
              <w:rPr>
                <w:rFonts w:ascii="Arial" w:hAnsi="Arial" w:cs="Arial"/>
                <w:color w:val="000000"/>
              </w:rPr>
            </w:pPr>
            <w:r w:rsidRPr="00E01B22">
              <w:rPr>
                <w:rFonts w:ascii="Arial" w:hAnsi="Arial" w:cs="Arial"/>
                <w:color w:val="000000"/>
              </w:rPr>
              <w:t xml:space="preserve">Orion Laboratories Pty Ltd </w:t>
            </w:r>
          </w:p>
          <w:p w:rsidR="00B442BE" w:rsidRPr="00E01B22" w:rsidRDefault="00B442BE" w:rsidP="00041D99">
            <w:pPr>
              <w:rPr>
                <w:rFonts w:ascii="Arial" w:hAnsi="Arial" w:cs="Arial"/>
                <w:color w:val="000000"/>
              </w:rPr>
            </w:pPr>
            <w:r w:rsidRPr="00E01B22">
              <w:rPr>
                <w:rFonts w:ascii="Arial" w:hAnsi="Arial" w:cs="Arial"/>
                <w:color w:val="000000"/>
              </w:rPr>
              <w:t>T/A Perrigo Australia</w:t>
            </w:r>
          </w:p>
          <w:p w:rsidR="000C0C29" w:rsidRPr="00E01B22" w:rsidRDefault="000C0C29" w:rsidP="00041D99">
            <w:pPr>
              <w:rPr>
                <w:rFonts w:ascii="Arial" w:hAnsi="Arial" w:cs="Arial"/>
                <w:color w:val="000000"/>
              </w:rPr>
            </w:pPr>
          </w:p>
          <w:p w:rsidR="000C0C29" w:rsidRPr="00E01B22" w:rsidRDefault="000C0C29" w:rsidP="00041D99">
            <w:pPr>
              <w:rPr>
                <w:rFonts w:ascii="Arial" w:hAnsi="Arial" w:cs="Arial"/>
                <w:color w:val="000000"/>
              </w:rPr>
            </w:pPr>
            <w:r w:rsidRPr="00E01B22">
              <w:rPr>
                <w:rFonts w:ascii="Arial" w:hAnsi="Arial" w:cs="Arial"/>
                <w:color w:val="000000"/>
              </w:rPr>
              <w:t>New Listing</w:t>
            </w:r>
          </w:p>
          <w:p w:rsidR="00B442BE" w:rsidRPr="00E01B22" w:rsidRDefault="00B442BE" w:rsidP="00041D99">
            <w:pPr>
              <w:rPr>
                <w:rFonts w:ascii="Arial" w:hAnsi="Arial" w:cs="Arial"/>
                <w:color w:val="000000"/>
              </w:rPr>
            </w:pPr>
          </w:p>
          <w:p w:rsidR="00B442BE" w:rsidRPr="00E01B22" w:rsidRDefault="00B442BE" w:rsidP="00041D99">
            <w:pPr>
              <w:rPr>
                <w:rFonts w:ascii="Arial" w:hAnsi="Arial" w:cs="Arial"/>
                <w:color w:val="000000"/>
              </w:rPr>
            </w:pPr>
            <w:r w:rsidRPr="00E01B22">
              <w:rPr>
                <w:rFonts w:ascii="Arial" w:hAnsi="Arial" w:cs="Arial"/>
                <w:color w:val="000000"/>
              </w:rPr>
              <w:t>(Major Submission)</w:t>
            </w:r>
          </w:p>
          <w:p w:rsidR="00B442BE" w:rsidRPr="00E01B22" w:rsidRDefault="00B442BE" w:rsidP="00041D99">
            <w:pPr>
              <w:rPr>
                <w:rFonts w:ascii="Arial" w:hAnsi="Arial" w:cs="Arial"/>
                <w:color w:val="000000"/>
              </w:rPr>
            </w:pPr>
          </w:p>
        </w:tc>
        <w:tc>
          <w:tcPr>
            <w:tcW w:w="1828" w:type="dxa"/>
            <w:vMerge w:val="restart"/>
          </w:tcPr>
          <w:p w:rsidR="00B442BE" w:rsidRPr="00E01B22" w:rsidRDefault="00B442BE" w:rsidP="000C0C54">
            <w:pPr>
              <w:rPr>
                <w:rFonts w:ascii="Arial" w:hAnsi="Arial" w:cs="Arial"/>
                <w:color w:val="000000"/>
              </w:rPr>
            </w:pPr>
            <w:r w:rsidRPr="00E01B22">
              <w:rPr>
                <w:rFonts w:ascii="Arial" w:hAnsi="Arial" w:cs="Arial"/>
                <w:color w:val="000000"/>
              </w:rPr>
              <w:t>Nicotine dependence</w:t>
            </w:r>
          </w:p>
        </w:tc>
        <w:tc>
          <w:tcPr>
            <w:tcW w:w="2947" w:type="dxa"/>
            <w:tcMar>
              <w:top w:w="28" w:type="dxa"/>
              <w:bottom w:w="28" w:type="dxa"/>
            </w:tcMar>
          </w:tcPr>
          <w:p w:rsidR="00B442BE" w:rsidRPr="00E01B22" w:rsidRDefault="00B442BE" w:rsidP="000C0C54">
            <w:pPr>
              <w:rPr>
                <w:rFonts w:ascii="Arial" w:hAnsi="Arial" w:cs="Arial"/>
                <w:color w:val="000000"/>
              </w:rPr>
            </w:pPr>
            <w:r w:rsidRPr="00E01B22">
              <w:rPr>
                <w:rFonts w:ascii="Arial" w:hAnsi="Arial" w:cs="Arial"/>
                <w:color w:val="000000"/>
              </w:rPr>
              <w:t xml:space="preserve">To request a Restricted </w:t>
            </w:r>
            <w:proofErr w:type="gramStart"/>
            <w:r w:rsidRPr="00E01B22">
              <w:rPr>
                <w:rFonts w:ascii="Arial" w:hAnsi="Arial" w:cs="Arial"/>
                <w:color w:val="000000"/>
              </w:rPr>
              <w:t>Benefit listing</w:t>
            </w:r>
            <w:proofErr w:type="gramEnd"/>
            <w:r w:rsidRPr="00E01B22">
              <w:rPr>
                <w:rFonts w:ascii="Arial" w:hAnsi="Arial" w:cs="Arial"/>
                <w:color w:val="000000"/>
              </w:rPr>
              <w:t xml:space="preserve"> for nicotine chewing gum and lozenges to aid smoking cessation in patients with nicotine dependence.</w:t>
            </w:r>
          </w:p>
        </w:tc>
        <w:tc>
          <w:tcPr>
            <w:tcW w:w="6581" w:type="dxa"/>
            <w:shd w:val="clear" w:color="auto" w:fill="auto"/>
          </w:tcPr>
          <w:p w:rsidR="00B442BE" w:rsidRPr="00E01B22" w:rsidRDefault="00B442BE" w:rsidP="003F46D8">
            <w:pPr>
              <w:rPr>
                <w:rFonts w:ascii="Arial" w:hAnsi="Arial" w:cs="Arial"/>
              </w:rPr>
            </w:pPr>
            <w:r w:rsidRPr="00E01B22">
              <w:rPr>
                <w:rFonts w:ascii="Arial" w:hAnsi="Arial" w:cs="Arial"/>
              </w:rPr>
              <w:t xml:space="preserve">The PBAC deferred making a recommendation on whether nicotine gum and lozenges should be listed on the PBS as monotherapies for smoking cessation, pending further clarity on the appropriate use of nicotine gum and lozenges, and its implications for the economic analysis and financial estimates.  </w:t>
            </w:r>
          </w:p>
          <w:p w:rsidR="00B442BE" w:rsidRPr="00E01B22" w:rsidRDefault="00B442BE" w:rsidP="003F46D8">
            <w:pPr>
              <w:rPr>
                <w:rFonts w:ascii="Arial" w:hAnsi="Arial" w:cs="Arial"/>
              </w:rPr>
            </w:pPr>
          </w:p>
          <w:p w:rsidR="00B442BE" w:rsidRPr="00E01B22" w:rsidRDefault="00B442BE" w:rsidP="003F46D8">
            <w:pPr>
              <w:rPr>
                <w:rFonts w:ascii="Arial" w:hAnsi="Arial" w:cs="Arial"/>
              </w:rPr>
            </w:pPr>
            <w:r w:rsidRPr="00E01B22">
              <w:rPr>
                <w:rFonts w:ascii="Arial" w:hAnsi="Arial" w:cs="Arial"/>
              </w:rPr>
              <w:t>The PBAC recalled that while considering the PBS retention criteria for medicines that were available over the counter at its April 2015 Special meeting, the Committee had considered that retaining nicotine replacement therapies (NRTs) on the PBS was important, recognising that smoking cessation was a public health priority area.</w:t>
            </w:r>
          </w:p>
          <w:p w:rsidR="00B442BE" w:rsidRPr="00E01B22" w:rsidRDefault="00B442BE" w:rsidP="003F46D8">
            <w:pPr>
              <w:rPr>
                <w:rFonts w:ascii="Arial" w:hAnsi="Arial" w:cs="Arial"/>
              </w:rPr>
            </w:pPr>
          </w:p>
          <w:p w:rsidR="00B442BE" w:rsidRPr="00E01B22" w:rsidRDefault="00B442BE" w:rsidP="003F46D8">
            <w:pPr>
              <w:rPr>
                <w:rFonts w:ascii="Arial" w:hAnsi="Arial" w:cs="Arial"/>
              </w:rPr>
            </w:pPr>
            <w:r w:rsidRPr="00E01B22">
              <w:rPr>
                <w:rFonts w:ascii="Arial" w:hAnsi="Arial" w:cs="Arial"/>
              </w:rPr>
              <w:t>The PBAC considered that the proposed maximum quantity was substantially underestimated, given that the requested restrictions require the gum or lozenges to be the sole form of PBS-subsidised smoking cessation medicine permitted in a twelve-month period. The PBAC consider that this could result in under-treatment for some patients and trigger discontinuation in others. The disparity in the requested maximum quantities also flowed on to the estimation of equi-effective doses, resulting in substantial uncertainty in the cost-minimisation analysis.</w:t>
            </w:r>
          </w:p>
          <w:p w:rsidR="00B442BE" w:rsidRPr="00E01B22" w:rsidRDefault="00B442BE" w:rsidP="003F46D8">
            <w:pPr>
              <w:rPr>
                <w:rFonts w:ascii="Arial" w:hAnsi="Arial" w:cs="Arial"/>
              </w:rPr>
            </w:pPr>
          </w:p>
          <w:p w:rsidR="00B442BE" w:rsidRPr="00C04513" w:rsidRDefault="00B442BE" w:rsidP="003F46D8">
            <w:pPr>
              <w:pStyle w:val="ListParagraph"/>
              <w:ind w:left="0"/>
              <w:rPr>
                <w:rFonts w:ascii="Arial" w:hAnsi="Arial" w:cs="Arial"/>
                <w:sz w:val="20"/>
                <w:szCs w:val="20"/>
              </w:rPr>
            </w:pPr>
            <w:r w:rsidRPr="00E01B22">
              <w:rPr>
                <w:rFonts w:ascii="Arial" w:hAnsi="Arial" w:cs="Arial"/>
                <w:sz w:val="20"/>
                <w:szCs w:val="20"/>
              </w:rPr>
              <w:t>The PBAC considered that the appropriate place in clinical therapy for nicotine gum and lozenges would be as combination therapy with long acting forms of currently listed smoking cessation therapies (nicotine patches, varenicline or bupropion). However, no evidence was provided in the submission about the cost-effectiveness of combination treatment. The PBAC considered that further clinical evidence and revised utilisation estimates for combination use of NRTs were warranted before the comparative efficacy and cost-effectiveness of combination treatment could be appropriately determined by the Committee.</w:t>
            </w:r>
          </w:p>
        </w:tc>
      </w:tr>
      <w:tr w:rsidR="00B442BE" w:rsidRPr="00E01B22" w:rsidTr="003603C3">
        <w:trPr>
          <w:trHeight w:val="796"/>
        </w:trPr>
        <w:tc>
          <w:tcPr>
            <w:tcW w:w="3402" w:type="dxa"/>
            <w:vMerge/>
            <w:tcMar>
              <w:top w:w="28" w:type="dxa"/>
              <w:bottom w:w="28" w:type="dxa"/>
            </w:tcMar>
          </w:tcPr>
          <w:p w:rsidR="00B442BE" w:rsidRPr="00E01B22" w:rsidRDefault="00B442BE" w:rsidP="00041D99">
            <w:pPr>
              <w:rPr>
                <w:rFonts w:ascii="Arial" w:hAnsi="Arial" w:cs="Arial"/>
                <w:color w:val="000000"/>
              </w:rPr>
            </w:pPr>
          </w:p>
        </w:tc>
        <w:tc>
          <w:tcPr>
            <w:tcW w:w="1828" w:type="dxa"/>
            <w:vMerge/>
          </w:tcPr>
          <w:p w:rsidR="00B442BE" w:rsidRPr="00E01B22" w:rsidRDefault="00B442BE" w:rsidP="000C0C54">
            <w:pPr>
              <w:rPr>
                <w:rFonts w:ascii="Arial" w:hAnsi="Arial" w:cs="Arial"/>
                <w:color w:val="000000"/>
              </w:rPr>
            </w:pPr>
          </w:p>
        </w:tc>
        <w:tc>
          <w:tcPr>
            <w:tcW w:w="2947" w:type="dxa"/>
            <w:tcMar>
              <w:top w:w="28" w:type="dxa"/>
              <w:bottom w:w="28" w:type="dxa"/>
            </w:tcMar>
          </w:tcPr>
          <w:p w:rsidR="00B442BE" w:rsidRPr="00E01B22" w:rsidRDefault="00FE1A3A" w:rsidP="00FE1A3A">
            <w:pPr>
              <w:jc w:val="right"/>
              <w:rPr>
                <w:rFonts w:ascii="Arial" w:hAnsi="Arial" w:cs="Arial"/>
                <w:color w:val="000000"/>
              </w:rPr>
            </w:pPr>
            <w:r w:rsidRPr="00E01B22">
              <w:rPr>
                <w:rFonts w:ascii="Arial" w:hAnsi="Arial" w:cs="Arial"/>
              </w:rPr>
              <w:t>Sponsor comment</w:t>
            </w:r>
          </w:p>
        </w:tc>
        <w:tc>
          <w:tcPr>
            <w:tcW w:w="6581" w:type="dxa"/>
            <w:shd w:val="clear" w:color="auto" w:fill="auto"/>
          </w:tcPr>
          <w:p w:rsidR="00B442BE" w:rsidRPr="00E01B22" w:rsidRDefault="007D502F" w:rsidP="007D502F">
            <w:pPr>
              <w:rPr>
                <w:rFonts w:ascii="Arial" w:hAnsi="Arial" w:cs="Arial"/>
              </w:rPr>
            </w:pPr>
            <w:r w:rsidRPr="00E01B22">
              <w:rPr>
                <w:rFonts w:ascii="Arial" w:hAnsi="Arial" w:cs="Arial"/>
              </w:rPr>
              <w:t>The sponsor thanks the committee for its thorough review and its clear interest in our products as both mono therapy and as part of combination use. We look forward to working with the PBAC to address the few remaining issues in this submission so that these important medicines can be made more accessible and help more people quit smoking</w:t>
            </w:r>
            <w:r w:rsidR="003603C3" w:rsidRPr="00E01B22">
              <w:rPr>
                <w:rFonts w:ascii="Arial" w:hAnsi="Arial" w:cs="Arial"/>
              </w:rPr>
              <w:t>.</w:t>
            </w:r>
          </w:p>
        </w:tc>
      </w:tr>
      <w:tr w:rsidR="00B442BE" w:rsidRPr="00E01B22" w:rsidTr="001B09B5">
        <w:trPr>
          <w:trHeight w:val="1117"/>
        </w:trPr>
        <w:tc>
          <w:tcPr>
            <w:tcW w:w="3402" w:type="dxa"/>
            <w:vMerge w:val="restart"/>
            <w:tcBorders>
              <w:top w:val="single" w:sz="4" w:space="0" w:color="auto"/>
              <w:left w:val="single" w:sz="4" w:space="0" w:color="auto"/>
              <w:right w:val="single" w:sz="4" w:space="0" w:color="auto"/>
            </w:tcBorders>
            <w:tcMar>
              <w:top w:w="28" w:type="dxa"/>
              <w:bottom w:w="28" w:type="dxa"/>
            </w:tcMar>
          </w:tcPr>
          <w:p w:rsidR="00B442BE" w:rsidRPr="00E01B22" w:rsidRDefault="00B442BE" w:rsidP="00C00315">
            <w:pPr>
              <w:rPr>
                <w:rFonts w:ascii="Arial" w:hAnsi="Arial" w:cs="Arial"/>
              </w:rPr>
            </w:pPr>
            <w:r w:rsidRPr="00E01B22">
              <w:rPr>
                <w:rFonts w:ascii="Arial" w:hAnsi="Arial" w:cs="Arial"/>
              </w:rPr>
              <w:t>PEGFILGRASTIM</w:t>
            </w:r>
          </w:p>
          <w:p w:rsidR="00B442BE" w:rsidRPr="00E01B22" w:rsidRDefault="00B442BE" w:rsidP="001657F2">
            <w:pPr>
              <w:tabs>
                <w:tab w:val="left" w:pos="5210"/>
              </w:tabs>
              <w:rPr>
                <w:rFonts w:ascii="Arial" w:hAnsi="Arial" w:cs="Arial"/>
              </w:rPr>
            </w:pPr>
          </w:p>
          <w:p w:rsidR="00B442BE" w:rsidRPr="00E01B22" w:rsidRDefault="00B442BE" w:rsidP="001657F2">
            <w:pPr>
              <w:tabs>
                <w:tab w:val="left" w:pos="5210"/>
              </w:tabs>
              <w:rPr>
                <w:rFonts w:ascii="Arial" w:hAnsi="Arial" w:cs="Arial"/>
              </w:rPr>
            </w:pPr>
            <w:r w:rsidRPr="00E01B22">
              <w:rPr>
                <w:rFonts w:ascii="Arial" w:hAnsi="Arial" w:cs="Arial"/>
              </w:rPr>
              <w:t>Injection 6 mg in 0.6 mL single use pre-filled syringe</w:t>
            </w:r>
          </w:p>
          <w:p w:rsidR="00B442BE" w:rsidRPr="00E01B22" w:rsidRDefault="00B442BE" w:rsidP="001657F2">
            <w:pPr>
              <w:tabs>
                <w:tab w:val="left" w:pos="5210"/>
              </w:tabs>
              <w:rPr>
                <w:rFonts w:ascii="Arial" w:hAnsi="Arial" w:cs="Arial"/>
              </w:rPr>
            </w:pPr>
          </w:p>
          <w:p w:rsidR="00B442BE" w:rsidRPr="00E01B22" w:rsidRDefault="00B442BE" w:rsidP="001657F2">
            <w:pPr>
              <w:tabs>
                <w:tab w:val="left" w:pos="5210"/>
              </w:tabs>
              <w:rPr>
                <w:rFonts w:ascii="Arial" w:hAnsi="Arial" w:cs="Arial"/>
              </w:rPr>
            </w:pPr>
            <w:r w:rsidRPr="00E01B22">
              <w:rPr>
                <w:rFonts w:ascii="Arial" w:hAnsi="Arial" w:cs="Arial"/>
              </w:rPr>
              <w:t>Neulasta®</w:t>
            </w:r>
          </w:p>
          <w:p w:rsidR="00B442BE" w:rsidRPr="00E01B22" w:rsidRDefault="00B442BE" w:rsidP="001657F2">
            <w:pPr>
              <w:tabs>
                <w:tab w:val="left" w:pos="5210"/>
              </w:tabs>
              <w:rPr>
                <w:rFonts w:ascii="Arial" w:hAnsi="Arial" w:cs="Arial"/>
              </w:rPr>
            </w:pPr>
            <w:r w:rsidRPr="00E01B22">
              <w:rPr>
                <w:rFonts w:ascii="Arial" w:hAnsi="Arial" w:cs="Arial"/>
              </w:rPr>
              <w:t>Ristempa®</w:t>
            </w:r>
          </w:p>
          <w:p w:rsidR="00B442BE" w:rsidRPr="00E01B22" w:rsidRDefault="00B442BE" w:rsidP="001657F2">
            <w:pPr>
              <w:tabs>
                <w:tab w:val="left" w:pos="5210"/>
              </w:tabs>
              <w:rPr>
                <w:rFonts w:ascii="Arial" w:hAnsi="Arial" w:cs="Arial"/>
              </w:rPr>
            </w:pPr>
          </w:p>
          <w:p w:rsidR="00B442BE" w:rsidRPr="00E01B22" w:rsidRDefault="00B442BE" w:rsidP="001657F2">
            <w:pPr>
              <w:tabs>
                <w:tab w:val="left" w:pos="5210"/>
              </w:tabs>
              <w:rPr>
                <w:rFonts w:ascii="Arial" w:hAnsi="Arial" w:cs="Arial"/>
              </w:rPr>
            </w:pPr>
            <w:r w:rsidRPr="00E01B22">
              <w:rPr>
                <w:rFonts w:ascii="Arial" w:hAnsi="Arial" w:cs="Arial"/>
              </w:rPr>
              <w:t>Amgen Australia Pty Ltd</w:t>
            </w:r>
          </w:p>
          <w:p w:rsidR="004E3361" w:rsidRPr="00E01B22" w:rsidRDefault="004E3361" w:rsidP="001657F2">
            <w:pPr>
              <w:tabs>
                <w:tab w:val="left" w:pos="5210"/>
              </w:tabs>
              <w:rPr>
                <w:rFonts w:ascii="Arial" w:hAnsi="Arial" w:cs="Arial"/>
              </w:rPr>
            </w:pPr>
          </w:p>
          <w:p w:rsidR="004E3361" w:rsidRPr="00E01B22" w:rsidRDefault="004E3361" w:rsidP="001657F2">
            <w:pPr>
              <w:tabs>
                <w:tab w:val="left" w:pos="5210"/>
              </w:tabs>
              <w:rPr>
                <w:rFonts w:ascii="Arial" w:hAnsi="Arial" w:cs="Arial"/>
              </w:rPr>
            </w:pPr>
            <w:r w:rsidRPr="00E01B22">
              <w:rPr>
                <w:rFonts w:ascii="Arial" w:hAnsi="Arial" w:cs="Arial"/>
              </w:rPr>
              <w:t>Change to listing</w:t>
            </w:r>
          </w:p>
          <w:p w:rsidR="00B442BE" w:rsidRPr="00E01B22" w:rsidRDefault="00B442BE" w:rsidP="001657F2">
            <w:pPr>
              <w:tabs>
                <w:tab w:val="left" w:pos="5210"/>
              </w:tabs>
              <w:rPr>
                <w:rFonts w:ascii="Arial" w:hAnsi="Arial" w:cs="Arial"/>
              </w:rPr>
            </w:pPr>
          </w:p>
          <w:p w:rsidR="00B442BE" w:rsidRPr="00E01B22" w:rsidRDefault="00B442BE" w:rsidP="001B09B5">
            <w:pPr>
              <w:pStyle w:val="Default"/>
              <w:rPr>
                <w:rFonts w:ascii="Arial" w:hAnsi="Arial" w:cs="Arial"/>
                <w:sz w:val="20"/>
                <w:szCs w:val="20"/>
              </w:rPr>
            </w:pPr>
            <w:r w:rsidRPr="00E01B22">
              <w:rPr>
                <w:rFonts w:ascii="Arial" w:hAnsi="Arial" w:cs="Arial"/>
                <w:sz w:val="20"/>
                <w:szCs w:val="20"/>
              </w:rPr>
              <w:t xml:space="preserve">(Minor Submission) </w:t>
            </w:r>
          </w:p>
        </w:tc>
        <w:tc>
          <w:tcPr>
            <w:tcW w:w="1828" w:type="dxa"/>
            <w:vMerge w:val="restart"/>
            <w:tcBorders>
              <w:top w:val="single" w:sz="4" w:space="0" w:color="auto"/>
              <w:left w:val="single" w:sz="4" w:space="0" w:color="auto"/>
              <w:right w:val="single" w:sz="4" w:space="0" w:color="auto"/>
            </w:tcBorders>
          </w:tcPr>
          <w:p w:rsidR="00B442BE" w:rsidRPr="00E01B22" w:rsidRDefault="00B442BE" w:rsidP="00632700">
            <w:pPr>
              <w:tabs>
                <w:tab w:val="left" w:pos="5210"/>
              </w:tabs>
              <w:rPr>
                <w:rFonts w:ascii="Arial" w:hAnsi="Arial" w:cs="Arial"/>
              </w:rPr>
            </w:pPr>
            <w:r w:rsidRPr="00E01B22">
              <w:rPr>
                <w:rFonts w:ascii="Arial" w:hAnsi="Arial" w:cs="Arial"/>
              </w:rPr>
              <w:t>Prophylaxis of chemotherapy induced neutropenia</w:t>
            </w:r>
          </w:p>
        </w:tc>
        <w:tc>
          <w:tcPr>
            <w:tcW w:w="2947" w:type="dxa"/>
            <w:tcBorders>
              <w:top w:val="single" w:sz="4" w:space="0" w:color="auto"/>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To request a Section 100 (Highly Specialised Drug) Authority Required listing for the treatment of patients for primary prophylaxis of chemotherapy induced neutropenia in patients with early stage breast cancer in patients receiving docetaxel and cyclophosphamide based chemotherapy.</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B442BE" w:rsidP="00632700">
            <w:pPr>
              <w:tabs>
                <w:tab w:val="left" w:pos="5210"/>
              </w:tabs>
              <w:rPr>
                <w:rFonts w:ascii="Arial" w:hAnsi="Arial" w:cs="Arial"/>
              </w:rPr>
            </w:pPr>
            <w:r w:rsidRPr="00E01B22">
              <w:rPr>
                <w:rFonts w:ascii="Arial" w:hAnsi="Arial" w:cs="Arial"/>
              </w:rPr>
              <w:t>The PBAC deferred making a decision regarding the listing of pegfilgrastim for primary prophylaxis of febrile neutropenia in certain patients being treated for breast cancer to allow further negotiation between the sponsor and the Department on the proposed restriction and impact on the PBS. The PBAC was of the view that the need for, and effectiveness of primary prophylaxis was more dependent on the type of chemotherapy than the tumour type. The PBAC considered that in this context the current restrictions which are based on tumour type may be inequitable and that a restriction based on the risk of febrile neutropenia may be more appropriate if a cost-effective price for pegfilgrastim can be achieved with the sponsor.</w:t>
            </w:r>
          </w:p>
          <w:p w:rsidR="00B442BE" w:rsidRPr="00E01B22" w:rsidRDefault="00B442BE" w:rsidP="00632700">
            <w:pPr>
              <w:tabs>
                <w:tab w:val="left" w:pos="5210"/>
              </w:tabs>
              <w:rPr>
                <w:rFonts w:ascii="Arial" w:hAnsi="Arial" w:cs="Arial"/>
              </w:rPr>
            </w:pPr>
          </w:p>
        </w:tc>
      </w:tr>
      <w:tr w:rsidR="00B442BE" w:rsidRPr="00E01B22" w:rsidTr="00283009">
        <w:trPr>
          <w:trHeight w:val="384"/>
        </w:trPr>
        <w:tc>
          <w:tcPr>
            <w:tcW w:w="3402" w:type="dxa"/>
            <w:vMerge/>
            <w:tcBorders>
              <w:left w:val="single" w:sz="4" w:space="0" w:color="auto"/>
              <w:right w:val="single" w:sz="4" w:space="0" w:color="auto"/>
            </w:tcBorders>
            <w:tcMar>
              <w:top w:w="28" w:type="dxa"/>
              <w:bottom w:w="28" w:type="dxa"/>
            </w:tcMar>
          </w:tcPr>
          <w:p w:rsidR="00B442BE" w:rsidRPr="00E01B22" w:rsidRDefault="00B442BE" w:rsidP="00C00315">
            <w:pPr>
              <w:rPr>
                <w:rFonts w:ascii="Arial" w:hAnsi="Arial" w:cs="Arial"/>
              </w:rPr>
            </w:pPr>
          </w:p>
        </w:tc>
        <w:tc>
          <w:tcPr>
            <w:tcW w:w="1828" w:type="dxa"/>
            <w:vMerge/>
            <w:tcBorders>
              <w:left w:val="single" w:sz="4" w:space="0" w:color="auto"/>
              <w:right w:val="single" w:sz="4" w:space="0" w:color="auto"/>
            </w:tcBorders>
          </w:tcPr>
          <w:p w:rsidR="00B442BE" w:rsidRPr="00E01B22" w:rsidRDefault="00B442BE" w:rsidP="00632700">
            <w:pPr>
              <w:tabs>
                <w:tab w:val="left" w:pos="5210"/>
              </w:tabs>
              <w:rPr>
                <w:rFonts w:ascii="Arial" w:hAnsi="Arial" w:cs="Arial"/>
              </w:rPr>
            </w:pPr>
          </w:p>
        </w:tc>
        <w:tc>
          <w:tcPr>
            <w:tcW w:w="2947" w:type="dxa"/>
            <w:tcBorders>
              <w:left w:val="single" w:sz="4" w:space="0" w:color="auto"/>
              <w:bottom w:val="single" w:sz="4" w:space="0" w:color="auto"/>
              <w:right w:val="single" w:sz="4" w:space="0" w:color="auto"/>
            </w:tcBorders>
            <w:tcMar>
              <w:top w:w="28" w:type="dxa"/>
              <w:bottom w:w="28" w:type="dxa"/>
            </w:tcMar>
          </w:tcPr>
          <w:p w:rsidR="00B442BE" w:rsidRPr="00E01B22" w:rsidRDefault="00FE1A3A" w:rsidP="00FE1A3A">
            <w:pPr>
              <w:tabs>
                <w:tab w:val="left" w:pos="5210"/>
              </w:tabs>
              <w:jc w:val="right"/>
              <w:rPr>
                <w:rFonts w:ascii="Arial" w:hAnsi="Arial" w:cs="Arial"/>
              </w:rPr>
            </w:pPr>
            <w:r w:rsidRPr="00E01B22">
              <w:rPr>
                <w:rFonts w:ascii="Arial" w:hAnsi="Arial" w:cs="Arial"/>
              </w:rPr>
              <w:t>Sponsor comment</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3603C3" w:rsidP="00632700">
            <w:pPr>
              <w:tabs>
                <w:tab w:val="left" w:pos="5210"/>
              </w:tabs>
              <w:rPr>
                <w:rFonts w:ascii="Arial" w:hAnsi="Arial" w:cs="Arial"/>
              </w:rPr>
            </w:pPr>
            <w:r w:rsidRPr="00E01B22">
              <w:rPr>
                <w:rFonts w:ascii="Arial" w:hAnsi="Arial" w:cs="Arial"/>
              </w:rPr>
              <w:t>The sponsor had no comment.</w:t>
            </w:r>
          </w:p>
        </w:tc>
      </w:tr>
      <w:tr w:rsidR="00B85577" w:rsidRPr="00E01B22" w:rsidTr="00F641E2">
        <w:trPr>
          <w:trHeight w:val="1684"/>
        </w:trPr>
        <w:tc>
          <w:tcPr>
            <w:tcW w:w="3402" w:type="dxa"/>
            <w:vMerge w:val="restart"/>
            <w:tcBorders>
              <w:top w:val="single" w:sz="4" w:space="0" w:color="auto"/>
              <w:left w:val="single" w:sz="4" w:space="0" w:color="auto"/>
              <w:right w:val="single" w:sz="4" w:space="0" w:color="auto"/>
            </w:tcBorders>
            <w:tcMar>
              <w:top w:w="28" w:type="dxa"/>
              <w:bottom w:w="28" w:type="dxa"/>
            </w:tcMar>
          </w:tcPr>
          <w:p w:rsidR="00B85577" w:rsidRPr="00E01B22" w:rsidRDefault="00B85577" w:rsidP="00B97DDD">
            <w:pPr>
              <w:tabs>
                <w:tab w:val="left" w:pos="1092"/>
              </w:tabs>
              <w:rPr>
                <w:rFonts w:ascii="Arial" w:hAnsi="Arial" w:cs="Arial"/>
              </w:rPr>
            </w:pPr>
            <w:r w:rsidRPr="00E01B22">
              <w:rPr>
                <w:rFonts w:ascii="Arial" w:hAnsi="Arial" w:cs="Arial"/>
              </w:rPr>
              <w:t>PEMBROLIZUMAB</w:t>
            </w:r>
          </w:p>
          <w:p w:rsidR="00B85577" w:rsidRPr="00E01B22" w:rsidRDefault="00B85577" w:rsidP="00B97DDD">
            <w:pPr>
              <w:tabs>
                <w:tab w:val="left" w:pos="1092"/>
              </w:tabs>
              <w:rPr>
                <w:rFonts w:ascii="Arial" w:hAnsi="Arial" w:cs="Arial"/>
              </w:rPr>
            </w:pPr>
          </w:p>
          <w:p w:rsidR="00B85577" w:rsidRPr="00E01B22" w:rsidRDefault="00B85577" w:rsidP="00B97DDD">
            <w:pPr>
              <w:tabs>
                <w:tab w:val="left" w:pos="1092"/>
              </w:tabs>
              <w:rPr>
                <w:rFonts w:ascii="Arial" w:hAnsi="Arial" w:cs="Arial"/>
              </w:rPr>
            </w:pPr>
            <w:r w:rsidRPr="00E01B22">
              <w:rPr>
                <w:rFonts w:ascii="Arial" w:hAnsi="Arial" w:cs="Arial"/>
              </w:rPr>
              <w:t>Powder for injection 50 mg</w:t>
            </w:r>
          </w:p>
          <w:p w:rsidR="00B85577" w:rsidRPr="00E01B22" w:rsidRDefault="00B85577" w:rsidP="00B97DDD">
            <w:pPr>
              <w:tabs>
                <w:tab w:val="left" w:pos="1092"/>
              </w:tabs>
              <w:rPr>
                <w:rFonts w:ascii="Arial" w:hAnsi="Arial" w:cs="Arial"/>
              </w:rPr>
            </w:pPr>
            <w:r w:rsidRPr="00E01B22">
              <w:rPr>
                <w:rFonts w:ascii="Arial" w:hAnsi="Arial" w:cs="Arial"/>
              </w:rPr>
              <w:t>Solution for I.V. infusion 100 mg in 4 mL</w:t>
            </w:r>
          </w:p>
          <w:p w:rsidR="00B85577" w:rsidRPr="00E01B22" w:rsidRDefault="00B85577" w:rsidP="00B97DDD">
            <w:pPr>
              <w:tabs>
                <w:tab w:val="left" w:pos="1092"/>
              </w:tabs>
              <w:rPr>
                <w:rFonts w:ascii="Arial" w:hAnsi="Arial" w:cs="Arial"/>
              </w:rPr>
            </w:pPr>
          </w:p>
          <w:p w:rsidR="00B85577" w:rsidRPr="00E01B22" w:rsidRDefault="00B85577" w:rsidP="00B97DDD">
            <w:pPr>
              <w:tabs>
                <w:tab w:val="left" w:pos="1092"/>
              </w:tabs>
              <w:rPr>
                <w:rFonts w:ascii="Arial" w:hAnsi="Arial" w:cs="Arial"/>
              </w:rPr>
            </w:pPr>
            <w:r w:rsidRPr="00E01B22">
              <w:rPr>
                <w:rFonts w:ascii="Arial" w:hAnsi="Arial" w:cs="Arial"/>
              </w:rPr>
              <w:t>Keytruda®</w:t>
            </w:r>
          </w:p>
          <w:p w:rsidR="00B85577" w:rsidRPr="00E01B22" w:rsidRDefault="00B85577" w:rsidP="00B97DDD">
            <w:pPr>
              <w:tabs>
                <w:tab w:val="left" w:pos="1092"/>
              </w:tabs>
              <w:rPr>
                <w:rFonts w:ascii="Arial" w:hAnsi="Arial" w:cs="Arial"/>
              </w:rPr>
            </w:pPr>
          </w:p>
          <w:p w:rsidR="00B85577" w:rsidRPr="00E01B22" w:rsidRDefault="00B85577" w:rsidP="00B97DDD">
            <w:pPr>
              <w:tabs>
                <w:tab w:val="left" w:pos="1092"/>
              </w:tabs>
              <w:rPr>
                <w:rFonts w:ascii="Arial" w:hAnsi="Arial" w:cs="Arial"/>
              </w:rPr>
            </w:pPr>
            <w:r w:rsidRPr="00E01B22">
              <w:rPr>
                <w:rFonts w:ascii="Arial" w:hAnsi="Arial" w:cs="Arial"/>
              </w:rPr>
              <w:t>Merck, Sharp and Dohme (Australia) Pty Ltd</w:t>
            </w:r>
          </w:p>
          <w:p w:rsidR="00B85577" w:rsidRPr="00E01B22" w:rsidRDefault="00B85577" w:rsidP="00B97DDD">
            <w:pPr>
              <w:tabs>
                <w:tab w:val="left" w:pos="1092"/>
              </w:tabs>
              <w:rPr>
                <w:rFonts w:ascii="Arial" w:hAnsi="Arial" w:cs="Arial"/>
              </w:rPr>
            </w:pPr>
          </w:p>
          <w:p w:rsidR="00B85577" w:rsidRPr="00E01B22" w:rsidRDefault="00B85577" w:rsidP="00B97DDD">
            <w:pPr>
              <w:tabs>
                <w:tab w:val="left" w:pos="1092"/>
              </w:tabs>
              <w:rPr>
                <w:rFonts w:ascii="Arial" w:hAnsi="Arial" w:cs="Arial"/>
              </w:rPr>
            </w:pPr>
            <w:r w:rsidRPr="00E01B22">
              <w:rPr>
                <w:rFonts w:ascii="Arial" w:hAnsi="Arial" w:cs="Arial"/>
              </w:rPr>
              <w:t>Change to listing</w:t>
            </w:r>
          </w:p>
          <w:p w:rsidR="00B85577" w:rsidRPr="00E01B22" w:rsidRDefault="00B85577" w:rsidP="00B97DDD">
            <w:pPr>
              <w:tabs>
                <w:tab w:val="left" w:pos="1092"/>
              </w:tabs>
              <w:rPr>
                <w:rFonts w:ascii="Arial" w:hAnsi="Arial" w:cs="Arial"/>
              </w:rPr>
            </w:pPr>
          </w:p>
          <w:p w:rsidR="00B85577" w:rsidRPr="00E01B22" w:rsidRDefault="00B85577" w:rsidP="00B97DDD">
            <w:pPr>
              <w:tabs>
                <w:tab w:val="left" w:pos="1092"/>
              </w:tabs>
              <w:rPr>
                <w:rFonts w:ascii="Arial" w:hAnsi="Arial" w:cs="Arial"/>
              </w:rPr>
            </w:pPr>
            <w:r w:rsidRPr="00E01B22">
              <w:rPr>
                <w:rFonts w:ascii="Arial" w:hAnsi="Arial" w:cs="Arial"/>
              </w:rPr>
              <w:t>(Major Submission)</w:t>
            </w:r>
          </w:p>
        </w:tc>
        <w:tc>
          <w:tcPr>
            <w:tcW w:w="1828" w:type="dxa"/>
            <w:vMerge w:val="restart"/>
            <w:tcBorders>
              <w:top w:val="single" w:sz="4" w:space="0" w:color="auto"/>
              <w:left w:val="single" w:sz="4" w:space="0" w:color="auto"/>
              <w:right w:val="single" w:sz="4" w:space="0" w:color="auto"/>
            </w:tcBorders>
          </w:tcPr>
          <w:p w:rsidR="00B85577" w:rsidRPr="00E01B22" w:rsidRDefault="00B85577" w:rsidP="00B97DDD">
            <w:pPr>
              <w:rPr>
                <w:rFonts w:ascii="Arial" w:hAnsi="Arial" w:cs="Arial"/>
              </w:rPr>
            </w:pPr>
            <w:r w:rsidRPr="00E01B22">
              <w:rPr>
                <w:rFonts w:ascii="Arial" w:hAnsi="Arial" w:cs="Arial"/>
              </w:rPr>
              <w:t>Classical Hodgkin's lymphoma</w:t>
            </w:r>
          </w:p>
        </w:tc>
        <w:tc>
          <w:tcPr>
            <w:tcW w:w="2947" w:type="dxa"/>
            <w:tcBorders>
              <w:top w:val="single" w:sz="4" w:space="0" w:color="auto"/>
              <w:left w:val="single" w:sz="4" w:space="0" w:color="auto"/>
              <w:right w:val="single" w:sz="4" w:space="0" w:color="auto"/>
            </w:tcBorders>
            <w:tcMar>
              <w:top w:w="28" w:type="dxa"/>
              <w:bottom w:w="28" w:type="dxa"/>
            </w:tcMar>
          </w:tcPr>
          <w:p w:rsidR="00B85577" w:rsidRPr="00E01B22" w:rsidRDefault="00B85577" w:rsidP="00632700">
            <w:pPr>
              <w:tabs>
                <w:tab w:val="left" w:pos="5210"/>
              </w:tabs>
              <w:rPr>
                <w:rFonts w:ascii="Arial" w:hAnsi="Arial" w:cs="Arial"/>
              </w:rPr>
            </w:pPr>
            <w:r w:rsidRPr="00E01B22">
              <w:rPr>
                <w:rFonts w:ascii="Arial" w:hAnsi="Arial" w:cs="Arial"/>
              </w:rPr>
              <w:t>To request a Section 100 (Efficient Funding of Chemotherapy) listing for the treatment of patients with refractory classical Hodgkin’s lymphoma, or those who have relapsed after 3 or more prior lines of therapy.</w:t>
            </w:r>
          </w:p>
        </w:tc>
        <w:tc>
          <w:tcPr>
            <w:tcW w:w="6581" w:type="dxa"/>
            <w:tcBorders>
              <w:top w:val="single" w:sz="4" w:space="0" w:color="auto"/>
              <w:left w:val="single" w:sz="4" w:space="0" w:color="auto"/>
              <w:right w:val="single" w:sz="4" w:space="0" w:color="auto"/>
            </w:tcBorders>
            <w:shd w:val="clear" w:color="auto" w:fill="auto"/>
          </w:tcPr>
          <w:p w:rsidR="00B85577" w:rsidRPr="00E01B22" w:rsidRDefault="00B85577" w:rsidP="00B97DDD">
            <w:pPr>
              <w:contextualSpacing/>
              <w:rPr>
                <w:rFonts w:ascii="Arial" w:hAnsi="Arial" w:cs="Arial"/>
              </w:rPr>
            </w:pPr>
            <w:r w:rsidRPr="00E01B22">
              <w:rPr>
                <w:rFonts w:ascii="Arial" w:hAnsi="Arial" w:cs="Arial"/>
              </w:rPr>
              <w:t xml:space="preserve">The PBAC deferred making a recommendation on whether pembrolizumab should be listed on the PBS for the treatment of relapsed or refractory classical Hodgkin’s Lymphoma (rrcHL) for further discussion with the sponsor on determining the basis of cost-minimisation against brentuximab vedotin (BV). The PBAC also noted that the TGA Delegate’s Overview was not available prior to the PBAC meeting. </w:t>
            </w:r>
          </w:p>
          <w:p w:rsidR="00B85577" w:rsidRPr="00E01B22" w:rsidRDefault="00B85577" w:rsidP="00B97DDD">
            <w:pPr>
              <w:contextualSpacing/>
              <w:rPr>
                <w:rFonts w:ascii="Arial" w:hAnsi="Arial" w:cs="Arial"/>
              </w:rPr>
            </w:pPr>
          </w:p>
          <w:p w:rsidR="00B85577" w:rsidRPr="00E01B22" w:rsidRDefault="00B85577" w:rsidP="00B97DDD">
            <w:pPr>
              <w:contextualSpacing/>
              <w:rPr>
                <w:rFonts w:ascii="Arial" w:hAnsi="Arial" w:cs="Arial"/>
              </w:rPr>
            </w:pPr>
            <w:r w:rsidRPr="00E01B22">
              <w:rPr>
                <w:rFonts w:ascii="Arial" w:hAnsi="Arial" w:cs="Arial"/>
              </w:rPr>
              <w:t xml:space="preserve">The PBAC agreed with the sponsor that pembrolizumab treatment showed promising overall response rates in a heavily pre-treated, refractory patient population, and that the clinical claim of non-inferiority compared with BV was supported by the evidence provided. </w:t>
            </w:r>
          </w:p>
          <w:p w:rsidR="00B85577" w:rsidRPr="00E01B22" w:rsidRDefault="00B85577" w:rsidP="00B97DDD">
            <w:pPr>
              <w:contextualSpacing/>
              <w:rPr>
                <w:rFonts w:ascii="Arial" w:hAnsi="Arial" w:cs="Arial"/>
              </w:rPr>
            </w:pPr>
          </w:p>
          <w:p w:rsidR="00B85577" w:rsidRPr="00E01B22" w:rsidRDefault="00B85577" w:rsidP="00B97DDD">
            <w:pPr>
              <w:tabs>
                <w:tab w:val="left" w:pos="5210"/>
              </w:tabs>
              <w:rPr>
                <w:rFonts w:ascii="Arial" w:hAnsi="Arial" w:cs="Arial"/>
              </w:rPr>
            </w:pPr>
            <w:r w:rsidRPr="00E01B22">
              <w:rPr>
                <w:rFonts w:ascii="Arial" w:hAnsi="Arial" w:cs="Arial"/>
              </w:rPr>
              <w:t>The PBAC noted that the Phase III KN204 trial evidence comparing pembrolizumab with BV would not be available until 2020, and that the clinical data presented in this submission were based on a comparison across single-arm studies with no common reference arm, with the key pembrolizumab study (KN087) having immature data. The PBAC also noted that the due to the populations included in these studies the results were not comparable.</w:t>
            </w:r>
          </w:p>
        </w:tc>
      </w:tr>
      <w:tr w:rsidR="00B85577" w:rsidRPr="00E01B22" w:rsidTr="00283009">
        <w:trPr>
          <w:trHeight w:val="867"/>
        </w:trPr>
        <w:tc>
          <w:tcPr>
            <w:tcW w:w="3402" w:type="dxa"/>
            <w:vMerge/>
            <w:tcBorders>
              <w:left w:val="single" w:sz="4" w:space="0" w:color="auto"/>
              <w:right w:val="single" w:sz="4" w:space="0" w:color="auto"/>
            </w:tcBorders>
            <w:tcMar>
              <w:top w:w="28" w:type="dxa"/>
              <w:bottom w:w="28" w:type="dxa"/>
            </w:tcMar>
          </w:tcPr>
          <w:p w:rsidR="00B85577" w:rsidRPr="00E01B22" w:rsidRDefault="00B85577" w:rsidP="00C00315">
            <w:pPr>
              <w:rPr>
                <w:rFonts w:ascii="Arial" w:hAnsi="Arial" w:cs="Arial"/>
              </w:rPr>
            </w:pPr>
          </w:p>
        </w:tc>
        <w:tc>
          <w:tcPr>
            <w:tcW w:w="1828" w:type="dxa"/>
            <w:vMerge/>
            <w:tcBorders>
              <w:left w:val="single" w:sz="4" w:space="0" w:color="auto"/>
              <w:right w:val="single" w:sz="4" w:space="0" w:color="auto"/>
            </w:tcBorders>
          </w:tcPr>
          <w:p w:rsidR="00B85577" w:rsidRPr="00E01B22" w:rsidRDefault="00B85577" w:rsidP="00632700">
            <w:pPr>
              <w:tabs>
                <w:tab w:val="left" w:pos="5210"/>
              </w:tabs>
              <w:rPr>
                <w:rFonts w:ascii="Arial" w:hAnsi="Arial" w:cs="Arial"/>
              </w:rPr>
            </w:pPr>
          </w:p>
        </w:tc>
        <w:tc>
          <w:tcPr>
            <w:tcW w:w="2947" w:type="dxa"/>
            <w:tcBorders>
              <w:left w:val="single" w:sz="4" w:space="0" w:color="auto"/>
              <w:bottom w:val="single" w:sz="4" w:space="0" w:color="auto"/>
              <w:right w:val="single" w:sz="4" w:space="0" w:color="auto"/>
            </w:tcBorders>
            <w:tcMar>
              <w:top w:w="28" w:type="dxa"/>
              <w:bottom w:w="28" w:type="dxa"/>
            </w:tcMar>
          </w:tcPr>
          <w:p w:rsidR="00B85577" w:rsidRPr="00E01B22" w:rsidRDefault="00FE1A3A" w:rsidP="00FE1A3A">
            <w:pPr>
              <w:tabs>
                <w:tab w:val="left" w:pos="5210"/>
              </w:tabs>
              <w:jc w:val="right"/>
              <w:rPr>
                <w:rFonts w:ascii="Arial" w:hAnsi="Arial" w:cs="Arial"/>
              </w:rPr>
            </w:pPr>
            <w:r w:rsidRPr="00E01B22">
              <w:rPr>
                <w:rFonts w:ascii="Arial" w:hAnsi="Arial" w:cs="Arial"/>
              </w:rPr>
              <w:t>Sponsor comment</w:t>
            </w:r>
          </w:p>
        </w:tc>
        <w:tc>
          <w:tcPr>
            <w:tcW w:w="6581" w:type="dxa"/>
            <w:tcBorders>
              <w:top w:val="single" w:sz="4" w:space="0" w:color="auto"/>
              <w:left w:val="single" w:sz="4" w:space="0" w:color="auto"/>
              <w:right w:val="single" w:sz="4" w:space="0" w:color="auto"/>
            </w:tcBorders>
            <w:shd w:val="clear" w:color="auto" w:fill="auto"/>
          </w:tcPr>
          <w:p w:rsidR="00B85577" w:rsidRPr="00E01B22" w:rsidRDefault="00D262B4" w:rsidP="00B97DDD">
            <w:pPr>
              <w:contextualSpacing/>
              <w:rPr>
                <w:rFonts w:ascii="Arial" w:hAnsi="Arial" w:cs="Arial"/>
              </w:rPr>
            </w:pPr>
            <w:r w:rsidRPr="00E01B22">
              <w:rPr>
                <w:rFonts w:ascii="Arial" w:hAnsi="Arial" w:cs="Arial"/>
              </w:rPr>
              <w:t>MSD looks forward to working with the PBAC and Department, so that patients with relapsed or refractory classical Hodgkin’s lymphoma will be able to access Keytruda on the PBS as soon as possible.</w:t>
            </w:r>
          </w:p>
        </w:tc>
      </w:tr>
      <w:tr w:rsidR="00DE5512" w:rsidRPr="00E01B22" w:rsidTr="00DE5512">
        <w:trPr>
          <w:trHeight w:val="1266"/>
        </w:trPr>
        <w:tc>
          <w:tcPr>
            <w:tcW w:w="3402" w:type="dxa"/>
            <w:vMerge w:val="restart"/>
            <w:tcMar>
              <w:top w:w="28" w:type="dxa"/>
              <w:bottom w:w="28" w:type="dxa"/>
            </w:tcMar>
          </w:tcPr>
          <w:p w:rsidR="00DE5512" w:rsidRPr="00E01B22" w:rsidRDefault="00DE5512" w:rsidP="005D71D7">
            <w:pPr>
              <w:tabs>
                <w:tab w:val="left" w:pos="5210"/>
              </w:tabs>
              <w:rPr>
                <w:rFonts w:ascii="Arial" w:hAnsi="Arial" w:cs="Arial"/>
              </w:rPr>
            </w:pPr>
            <w:r w:rsidRPr="00E01B22">
              <w:rPr>
                <w:rFonts w:ascii="Arial" w:hAnsi="Arial" w:cs="Arial"/>
              </w:rPr>
              <w:t>RALTEGRAVIR</w:t>
            </w:r>
          </w:p>
          <w:p w:rsidR="00DE5512" w:rsidRPr="00E01B22" w:rsidRDefault="00DE5512" w:rsidP="005D71D7">
            <w:pPr>
              <w:tabs>
                <w:tab w:val="left" w:pos="5210"/>
              </w:tabs>
              <w:rPr>
                <w:rFonts w:ascii="Arial" w:hAnsi="Arial" w:cs="Arial"/>
              </w:rPr>
            </w:pPr>
          </w:p>
          <w:p w:rsidR="00DE5512" w:rsidRPr="00E01B22" w:rsidRDefault="00DE5512" w:rsidP="005D71D7">
            <w:pPr>
              <w:tabs>
                <w:tab w:val="left" w:pos="5210"/>
              </w:tabs>
              <w:rPr>
                <w:rFonts w:ascii="Arial" w:hAnsi="Arial" w:cs="Arial"/>
              </w:rPr>
            </w:pPr>
            <w:r w:rsidRPr="00E01B22">
              <w:rPr>
                <w:rFonts w:ascii="Arial" w:hAnsi="Arial" w:cs="Arial"/>
              </w:rPr>
              <w:t>Tablet 600 mg (as potassium)</w:t>
            </w:r>
          </w:p>
          <w:p w:rsidR="00DE5512" w:rsidRPr="00E01B22" w:rsidRDefault="00DE5512" w:rsidP="005D71D7">
            <w:pPr>
              <w:tabs>
                <w:tab w:val="left" w:pos="5210"/>
              </w:tabs>
              <w:rPr>
                <w:rFonts w:ascii="Arial" w:hAnsi="Arial" w:cs="Arial"/>
              </w:rPr>
            </w:pPr>
          </w:p>
          <w:p w:rsidR="00DE5512" w:rsidRPr="00E01B22" w:rsidRDefault="00DE5512" w:rsidP="005D71D7">
            <w:pPr>
              <w:tabs>
                <w:tab w:val="left" w:pos="5210"/>
              </w:tabs>
              <w:rPr>
                <w:rFonts w:ascii="Arial" w:hAnsi="Arial" w:cs="Arial"/>
              </w:rPr>
            </w:pPr>
            <w:r w:rsidRPr="00E01B22">
              <w:rPr>
                <w:rFonts w:ascii="Arial" w:hAnsi="Arial" w:cs="Arial"/>
              </w:rPr>
              <w:t>Isentress HD®</w:t>
            </w:r>
          </w:p>
          <w:p w:rsidR="00DE5512" w:rsidRPr="00E01B22" w:rsidRDefault="00DE5512" w:rsidP="005D71D7">
            <w:pPr>
              <w:tabs>
                <w:tab w:val="left" w:pos="5210"/>
              </w:tabs>
              <w:rPr>
                <w:rFonts w:ascii="Arial" w:hAnsi="Arial" w:cs="Arial"/>
              </w:rPr>
            </w:pPr>
          </w:p>
          <w:p w:rsidR="00DE5512" w:rsidRPr="00E01B22" w:rsidRDefault="00DE5512" w:rsidP="005D71D7">
            <w:pPr>
              <w:tabs>
                <w:tab w:val="left" w:pos="5210"/>
              </w:tabs>
              <w:rPr>
                <w:rFonts w:ascii="Arial" w:hAnsi="Arial" w:cs="Arial"/>
              </w:rPr>
            </w:pPr>
            <w:r w:rsidRPr="00E01B22">
              <w:rPr>
                <w:rFonts w:ascii="Arial" w:hAnsi="Arial" w:cs="Arial"/>
              </w:rPr>
              <w:t>Merck, Sharp and Dohme (Australia) Pty Ltd</w:t>
            </w:r>
          </w:p>
          <w:p w:rsidR="004E3361" w:rsidRPr="00E01B22" w:rsidRDefault="004E3361" w:rsidP="005D71D7">
            <w:pPr>
              <w:tabs>
                <w:tab w:val="left" w:pos="5210"/>
              </w:tabs>
              <w:rPr>
                <w:rFonts w:ascii="Arial" w:hAnsi="Arial" w:cs="Arial"/>
              </w:rPr>
            </w:pPr>
          </w:p>
          <w:p w:rsidR="004E3361" w:rsidRPr="00E01B22" w:rsidRDefault="004E3361" w:rsidP="005D71D7">
            <w:pPr>
              <w:tabs>
                <w:tab w:val="left" w:pos="5210"/>
              </w:tabs>
              <w:rPr>
                <w:rFonts w:ascii="Arial" w:hAnsi="Arial" w:cs="Arial"/>
              </w:rPr>
            </w:pPr>
            <w:r w:rsidRPr="00E01B22">
              <w:rPr>
                <w:rFonts w:ascii="Arial" w:hAnsi="Arial" w:cs="Arial"/>
              </w:rPr>
              <w:t>New Listing</w:t>
            </w:r>
          </w:p>
          <w:p w:rsidR="00DE5512" w:rsidRPr="00E01B22" w:rsidRDefault="00DE5512" w:rsidP="005D71D7">
            <w:pPr>
              <w:tabs>
                <w:tab w:val="left" w:pos="5210"/>
              </w:tabs>
              <w:rPr>
                <w:rFonts w:ascii="Arial" w:hAnsi="Arial" w:cs="Arial"/>
              </w:rPr>
            </w:pPr>
          </w:p>
          <w:p w:rsidR="00DE5512" w:rsidRPr="00E01B22" w:rsidRDefault="00DE5512" w:rsidP="005D71D7">
            <w:pPr>
              <w:pStyle w:val="Default"/>
              <w:rPr>
                <w:rFonts w:ascii="Arial" w:hAnsi="Arial" w:cs="Arial"/>
                <w:sz w:val="20"/>
                <w:szCs w:val="20"/>
              </w:rPr>
            </w:pPr>
            <w:r w:rsidRPr="00E01B22">
              <w:rPr>
                <w:rFonts w:ascii="Arial" w:hAnsi="Arial" w:cs="Arial"/>
                <w:sz w:val="20"/>
                <w:szCs w:val="20"/>
              </w:rPr>
              <w:t xml:space="preserve">(Major Submission) </w:t>
            </w:r>
          </w:p>
          <w:p w:rsidR="00DE5512" w:rsidRPr="00E01B22" w:rsidRDefault="00DE5512" w:rsidP="005D71D7">
            <w:pPr>
              <w:tabs>
                <w:tab w:val="left" w:pos="5210"/>
              </w:tabs>
              <w:rPr>
                <w:rFonts w:ascii="Arial" w:hAnsi="Arial" w:cs="Arial"/>
              </w:rPr>
            </w:pPr>
          </w:p>
        </w:tc>
        <w:tc>
          <w:tcPr>
            <w:tcW w:w="1828" w:type="dxa"/>
            <w:vMerge w:val="restart"/>
          </w:tcPr>
          <w:p w:rsidR="00DE5512" w:rsidRPr="00E01B22" w:rsidRDefault="00DE5512" w:rsidP="005D71D7">
            <w:pPr>
              <w:tabs>
                <w:tab w:val="left" w:pos="5210"/>
              </w:tabs>
              <w:rPr>
                <w:rFonts w:ascii="Arial" w:hAnsi="Arial" w:cs="Arial"/>
              </w:rPr>
            </w:pPr>
            <w:r w:rsidRPr="00E01B22">
              <w:rPr>
                <w:rFonts w:ascii="Arial" w:hAnsi="Arial" w:cs="Arial"/>
              </w:rPr>
              <w:t>Human immunodeficiency virus (HIV) infection</w:t>
            </w:r>
          </w:p>
        </w:tc>
        <w:tc>
          <w:tcPr>
            <w:tcW w:w="2947" w:type="dxa"/>
            <w:tcMar>
              <w:top w:w="28" w:type="dxa"/>
              <w:bottom w:w="28" w:type="dxa"/>
            </w:tcMar>
          </w:tcPr>
          <w:p w:rsidR="00DE5512" w:rsidRPr="00E01B22" w:rsidRDefault="00DE5512" w:rsidP="005D71D7">
            <w:pPr>
              <w:tabs>
                <w:tab w:val="left" w:pos="5210"/>
              </w:tabs>
              <w:rPr>
                <w:rFonts w:ascii="Arial" w:hAnsi="Arial" w:cs="Arial"/>
              </w:rPr>
            </w:pPr>
            <w:r w:rsidRPr="00E01B22">
              <w:rPr>
                <w:rFonts w:ascii="Arial" w:hAnsi="Arial" w:cs="Arial"/>
              </w:rPr>
              <w:t>To request a Section 100 (Highly Specialised Drugs Program - Community Access) Authority Required (STREAMLINED) listing for the treatment of patients with HIV infection in combination with other antiretroviral agents.</w:t>
            </w:r>
          </w:p>
        </w:tc>
        <w:tc>
          <w:tcPr>
            <w:tcW w:w="6581" w:type="dxa"/>
          </w:tcPr>
          <w:p w:rsidR="00DE5512" w:rsidRPr="00E01B22" w:rsidRDefault="00DE5512" w:rsidP="00D55D28">
            <w:pPr>
              <w:pStyle w:val="ListParagraph"/>
              <w:ind w:left="0"/>
              <w:rPr>
                <w:rFonts w:ascii="Arial" w:hAnsi="Arial" w:cs="Arial"/>
                <w:sz w:val="20"/>
                <w:szCs w:val="20"/>
              </w:rPr>
            </w:pPr>
            <w:r w:rsidRPr="00E01B22">
              <w:rPr>
                <w:rFonts w:ascii="Arial" w:hAnsi="Arial" w:cs="Arial"/>
                <w:sz w:val="20"/>
                <w:szCs w:val="20"/>
              </w:rPr>
              <w:t>The PBAC was of a mind to recommend raltegravir 600 mg tablets be listed on the PBS for the treatment of HIV infection on a cost-minimisation basis compared with raltegravir 400 mg tablets, noting that raltegravir 600 mg tablets should be available only under special arrangements under Section 100 – Highly Specialised Drugs Program (Community Access). However, the PBAC deferred making a recommendation pending the TGA Delegate’s Proposed Regulatory Action.</w:t>
            </w:r>
          </w:p>
          <w:p w:rsidR="00DE5512" w:rsidRPr="00E01B22" w:rsidRDefault="00DE5512" w:rsidP="00D55D28">
            <w:pPr>
              <w:pStyle w:val="ListParagraph"/>
              <w:ind w:left="0"/>
              <w:rPr>
                <w:rFonts w:ascii="Arial" w:hAnsi="Arial" w:cs="Arial"/>
                <w:sz w:val="20"/>
                <w:szCs w:val="20"/>
                <w:highlight w:val="yellow"/>
              </w:rPr>
            </w:pPr>
          </w:p>
        </w:tc>
      </w:tr>
      <w:tr w:rsidR="00DE5512" w:rsidRPr="00E01B22" w:rsidTr="00283009">
        <w:trPr>
          <w:trHeight w:val="911"/>
        </w:trPr>
        <w:tc>
          <w:tcPr>
            <w:tcW w:w="3402" w:type="dxa"/>
            <w:vMerge/>
            <w:tcMar>
              <w:top w:w="28" w:type="dxa"/>
              <w:bottom w:w="28" w:type="dxa"/>
            </w:tcMar>
          </w:tcPr>
          <w:p w:rsidR="00DE5512" w:rsidRPr="00E01B22" w:rsidRDefault="00DE5512" w:rsidP="005D71D7">
            <w:pPr>
              <w:tabs>
                <w:tab w:val="left" w:pos="5210"/>
              </w:tabs>
              <w:rPr>
                <w:rFonts w:ascii="Arial" w:hAnsi="Arial" w:cs="Arial"/>
              </w:rPr>
            </w:pPr>
          </w:p>
        </w:tc>
        <w:tc>
          <w:tcPr>
            <w:tcW w:w="1828" w:type="dxa"/>
            <w:vMerge/>
          </w:tcPr>
          <w:p w:rsidR="00DE5512" w:rsidRPr="00E01B22" w:rsidRDefault="00DE5512" w:rsidP="005D71D7">
            <w:pPr>
              <w:tabs>
                <w:tab w:val="left" w:pos="5210"/>
              </w:tabs>
              <w:rPr>
                <w:rFonts w:ascii="Arial" w:hAnsi="Arial" w:cs="Arial"/>
              </w:rPr>
            </w:pPr>
          </w:p>
        </w:tc>
        <w:tc>
          <w:tcPr>
            <w:tcW w:w="2947" w:type="dxa"/>
            <w:tcMar>
              <w:top w:w="28" w:type="dxa"/>
              <w:bottom w:w="28" w:type="dxa"/>
            </w:tcMar>
          </w:tcPr>
          <w:p w:rsidR="00DE5512" w:rsidRPr="00E01B22" w:rsidRDefault="0036073F" w:rsidP="0036073F">
            <w:pPr>
              <w:tabs>
                <w:tab w:val="left" w:pos="5210"/>
              </w:tabs>
              <w:jc w:val="right"/>
              <w:rPr>
                <w:rFonts w:ascii="Arial" w:hAnsi="Arial" w:cs="Arial"/>
              </w:rPr>
            </w:pPr>
            <w:r w:rsidRPr="00E01B22">
              <w:rPr>
                <w:rFonts w:ascii="Arial" w:hAnsi="Arial" w:cs="Arial"/>
              </w:rPr>
              <w:t>Sponsor comment</w:t>
            </w:r>
          </w:p>
        </w:tc>
        <w:tc>
          <w:tcPr>
            <w:tcW w:w="6581" w:type="dxa"/>
          </w:tcPr>
          <w:p w:rsidR="00DE5512" w:rsidRPr="00E01B22" w:rsidRDefault="00DE5512" w:rsidP="00D55D28">
            <w:pPr>
              <w:pStyle w:val="ListParagraph"/>
              <w:ind w:left="0"/>
              <w:rPr>
                <w:rFonts w:ascii="Arial" w:hAnsi="Arial" w:cs="Arial"/>
                <w:sz w:val="20"/>
                <w:szCs w:val="20"/>
              </w:rPr>
            </w:pPr>
            <w:r w:rsidRPr="00E01B22">
              <w:rPr>
                <w:rFonts w:ascii="Arial" w:hAnsi="Arial" w:cs="Arial"/>
                <w:sz w:val="20"/>
                <w:szCs w:val="20"/>
              </w:rPr>
              <w:t>MSD is disappointed with the outcome but is looking forward to working with the PBAC to ensure HIV-infected patients have access to the new formulation of Isentress as soon as possible</w:t>
            </w:r>
            <w:r w:rsidR="00036AE8" w:rsidRPr="00E01B22">
              <w:rPr>
                <w:rFonts w:ascii="Arial" w:hAnsi="Arial" w:cs="Arial"/>
                <w:sz w:val="20"/>
                <w:szCs w:val="20"/>
              </w:rPr>
              <w:t>.</w:t>
            </w:r>
          </w:p>
        </w:tc>
      </w:tr>
      <w:tr w:rsidR="00B442BE" w:rsidRPr="00E01B22" w:rsidTr="00283009">
        <w:trPr>
          <w:trHeight w:val="819"/>
        </w:trPr>
        <w:tc>
          <w:tcPr>
            <w:tcW w:w="3402" w:type="dxa"/>
            <w:vMerge w:val="restart"/>
            <w:tcBorders>
              <w:top w:val="single" w:sz="4" w:space="0" w:color="auto"/>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 xml:space="preserve">SAXAGLIPTIN with DAPAGLIFLOZIN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 xml:space="preserve">Tablet containing saxagliptin 5 mg with dapaglifozin 10 mg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 xml:space="preserve">Qtern®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AstraZeneca Pty Ltd</w:t>
            </w:r>
          </w:p>
          <w:p w:rsidR="004E3361" w:rsidRPr="00E01B22" w:rsidRDefault="004E3361" w:rsidP="00632700">
            <w:pPr>
              <w:tabs>
                <w:tab w:val="left" w:pos="5210"/>
              </w:tabs>
              <w:rPr>
                <w:rFonts w:ascii="Arial" w:hAnsi="Arial" w:cs="Arial"/>
              </w:rPr>
            </w:pPr>
          </w:p>
          <w:p w:rsidR="004E3361" w:rsidRPr="00E01B22" w:rsidRDefault="004E3361" w:rsidP="00632700">
            <w:pPr>
              <w:tabs>
                <w:tab w:val="left" w:pos="5210"/>
              </w:tabs>
              <w:rPr>
                <w:rFonts w:ascii="Arial" w:hAnsi="Arial" w:cs="Arial"/>
              </w:rPr>
            </w:pPr>
            <w:r w:rsidRPr="00E01B22">
              <w:rPr>
                <w:rFonts w:ascii="Arial" w:hAnsi="Arial" w:cs="Arial"/>
              </w:rPr>
              <w:t>New Listing</w:t>
            </w:r>
          </w:p>
          <w:p w:rsidR="00B442BE" w:rsidRPr="00E01B22" w:rsidRDefault="00B442BE" w:rsidP="00632700">
            <w:pPr>
              <w:tabs>
                <w:tab w:val="left" w:pos="5210"/>
              </w:tabs>
              <w:rPr>
                <w:rFonts w:ascii="Arial" w:hAnsi="Arial" w:cs="Arial"/>
              </w:rPr>
            </w:pPr>
          </w:p>
          <w:p w:rsidR="00B442BE" w:rsidRPr="00E01B22" w:rsidRDefault="00B442BE" w:rsidP="0014769E">
            <w:pPr>
              <w:pStyle w:val="Default"/>
              <w:rPr>
                <w:rFonts w:ascii="Arial" w:hAnsi="Arial" w:cs="Arial"/>
                <w:sz w:val="20"/>
                <w:szCs w:val="20"/>
              </w:rPr>
            </w:pPr>
            <w:r w:rsidRPr="00E01B22">
              <w:rPr>
                <w:rFonts w:ascii="Arial" w:hAnsi="Arial" w:cs="Arial"/>
                <w:sz w:val="20"/>
                <w:szCs w:val="20"/>
              </w:rPr>
              <w:t xml:space="preserve">(Major Submission) </w:t>
            </w:r>
          </w:p>
          <w:p w:rsidR="00B442BE" w:rsidRPr="00E01B22" w:rsidRDefault="00B442BE" w:rsidP="00632700">
            <w:pPr>
              <w:tabs>
                <w:tab w:val="left" w:pos="5210"/>
              </w:tabs>
              <w:rPr>
                <w:rFonts w:ascii="Arial" w:hAnsi="Arial" w:cs="Arial"/>
              </w:rPr>
            </w:pPr>
          </w:p>
        </w:tc>
        <w:tc>
          <w:tcPr>
            <w:tcW w:w="1828" w:type="dxa"/>
            <w:vMerge w:val="restart"/>
            <w:tcBorders>
              <w:top w:val="single" w:sz="4" w:space="0" w:color="auto"/>
              <w:left w:val="single" w:sz="4" w:space="0" w:color="auto"/>
              <w:right w:val="single" w:sz="4" w:space="0" w:color="auto"/>
            </w:tcBorders>
          </w:tcPr>
          <w:p w:rsidR="00B442BE" w:rsidRPr="00E01B22" w:rsidRDefault="00B442BE" w:rsidP="00632700">
            <w:pPr>
              <w:tabs>
                <w:tab w:val="left" w:pos="5210"/>
              </w:tabs>
              <w:rPr>
                <w:rFonts w:ascii="Arial" w:hAnsi="Arial" w:cs="Arial"/>
              </w:rPr>
            </w:pPr>
            <w:r w:rsidRPr="00E01B22">
              <w:rPr>
                <w:rFonts w:ascii="Arial" w:hAnsi="Arial" w:cs="Arial"/>
              </w:rPr>
              <w:t>Type 2 diabetes mellitus (T2DM)</w:t>
            </w:r>
          </w:p>
        </w:tc>
        <w:tc>
          <w:tcPr>
            <w:tcW w:w="2947" w:type="dxa"/>
            <w:tcBorders>
              <w:top w:val="single" w:sz="4" w:space="0" w:color="auto"/>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To request an Authority Required (STREAMLINED) listing for dapagliflozin with saxagliptin in combination with metformin for the treatment of T2DM.</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B442BE" w:rsidP="00632700">
            <w:pPr>
              <w:tabs>
                <w:tab w:val="left" w:pos="5210"/>
              </w:tabs>
              <w:rPr>
                <w:rFonts w:ascii="Arial" w:hAnsi="Arial" w:cs="Arial"/>
              </w:rPr>
            </w:pPr>
            <w:r w:rsidRPr="00E01B22">
              <w:rPr>
                <w:rFonts w:ascii="Arial" w:hAnsi="Arial" w:cs="Arial"/>
              </w:rPr>
              <w:t>The PBAC deferred making a decision regarding the Authority Required (STREAMLINED) listing for dapagliflozin/saxagliptin fixed dose combination (FDC) for treatment of type 2 diabetes in combination with metformin to allow further work to establish a cost effective price offer for dapagliflozin in triple therapy with a DPP4 inhibitor and metformin. The PBAC noted that they deferred the submission requesting this listing (refer to dapagliflozin July 2017 major submission) and therefore the cost effectiveness of treatment in this setting had not yet been established. The PBAC also noted that the extent of use was likely to be underestimated.</w:t>
            </w:r>
          </w:p>
        </w:tc>
      </w:tr>
      <w:tr w:rsidR="00B442BE" w:rsidRPr="00E01B22" w:rsidTr="00283009">
        <w:trPr>
          <w:trHeight w:val="364"/>
        </w:trPr>
        <w:tc>
          <w:tcPr>
            <w:tcW w:w="3402" w:type="dxa"/>
            <w:vMerge/>
            <w:tcBorders>
              <w:left w:val="single" w:sz="4" w:space="0" w:color="auto"/>
              <w:right w:val="single" w:sz="4" w:space="0" w:color="auto"/>
            </w:tcBorders>
            <w:tcMar>
              <w:top w:w="28" w:type="dxa"/>
              <w:bottom w:w="28" w:type="dxa"/>
            </w:tcMar>
          </w:tcPr>
          <w:p w:rsidR="00B442BE" w:rsidRPr="00E01B22" w:rsidRDefault="00B442BE" w:rsidP="00632700">
            <w:pPr>
              <w:tabs>
                <w:tab w:val="left" w:pos="5210"/>
              </w:tabs>
              <w:rPr>
                <w:rFonts w:ascii="Arial" w:hAnsi="Arial" w:cs="Arial"/>
              </w:rPr>
            </w:pPr>
          </w:p>
        </w:tc>
        <w:tc>
          <w:tcPr>
            <w:tcW w:w="1828" w:type="dxa"/>
            <w:vMerge/>
            <w:tcBorders>
              <w:left w:val="single" w:sz="4" w:space="0" w:color="auto"/>
              <w:right w:val="single" w:sz="4" w:space="0" w:color="auto"/>
            </w:tcBorders>
          </w:tcPr>
          <w:p w:rsidR="00B442BE" w:rsidRPr="00E01B22" w:rsidRDefault="00B442BE" w:rsidP="00632700">
            <w:pPr>
              <w:tabs>
                <w:tab w:val="left" w:pos="5210"/>
              </w:tabs>
              <w:rPr>
                <w:rFonts w:ascii="Arial" w:hAnsi="Arial" w:cs="Arial"/>
              </w:rPr>
            </w:pPr>
          </w:p>
        </w:tc>
        <w:tc>
          <w:tcPr>
            <w:tcW w:w="2947" w:type="dxa"/>
            <w:tcBorders>
              <w:left w:val="single" w:sz="4" w:space="0" w:color="auto"/>
              <w:bottom w:val="single" w:sz="4" w:space="0" w:color="auto"/>
              <w:right w:val="single" w:sz="4" w:space="0" w:color="auto"/>
            </w:tcBorders>
            <w:tcMar>
              <w:top w:w="28" w:type="dxa"/>
              <w:bottom w:w="28" w:type="dxa"/>
            </w:tcMar>
          </w:tcPr>
          <w:p w:rsidR="00B442BE" w:rsidRPr="00E01B22" w:rsidRDefault="0036073F" w:rsidP="0036073F">
            <w:pPr>
              <w:tabs>
                <w:tab w:val="left" w:pos="5210"/>
              </w:tabs>
              <w:jc w:val="right"/>
              <w:rPr>
                <w:rFonts w:ascii="Arial" w:hAnsi="Arial" w:cs="Arial"/>
              </w:rPr>
            </w:pPr>
            <w:r w:rsidRPr="00E01B22">
              <w:rPr>
                <w:rFonts w:ascii="Arial" w:hAnsi="Arial" w:cs="Arial"/>
              </w:rPr>
              <w:t>Sponsor comment</w:t>
            </w:r>
          </w:p>
        </w:tc>
        <w:tc>
          <w:tcPr>
            <w:tcW w:w="6581" w:type="dxa"/>
            <w:tcBorders>
              <w:top w:val="single" w:sz="4" w:space="0" w:color="auto"/>
              <w:left w:val="single" w:sz="4" w:space="0" w:color="auto"/>
              <w:right w:val="single" w:sz="4" w:space="0" w:color="auto"/>
            </w:tcBorders>
            <w:shd w:val="clear" w:color="auto" w:fill="auto"/>
          </w:tcPr>
          <w:p w:rsidR="00B442BE" w:rsidRPr="00E01B22" w:rsidRDefault="003603C3" w:rsidP="00632700">
            <w:pPr>
              <w:tabs>
                <w:tab w:val="left" w:pos="5210"/>
              </w:tabs>
              <w:rPr>
                <w:rFonts w:ascii="Arial" w:hAnsi="Arial" w:cs="Arial"/>
              </w:rPr>
            </w:pPr>
            <w:r w:rsidRPr="00E01B22">
              <w:rPr>
                <w:rFonts w:ascii="Arial" w:hAnsi="Arial" w:cs="Arial"/>
              </w:rPr>
              <w:t>The sponsor had no comment.</w:t>
            </w:r>
          </w:p>
        </w:tc>
      </w:tr>
      <w:tr w:rsidR="00B442BE" w:rsidRPr="00E01B22" w:rsidTr="00B442BE">
        <w:trPr>
          <w:trHeight w:val="2393"/>
        </w:trPr>
        <w:tc>
          <w:tcPr>
            <w:tcW w:w="3402" w:type="dxa"/>
            <w:vMerge w:val="restart"/>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 xml:space="preserve">TENOFOVIR with EMTRICITABINE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 xml:space="preserve">Tablet containing tenofovir disoproxil maleate 300 mg with emtricitabine 200 mg </w:t>
            </w:r>
          </w:p>
          <w:p w:rsidR="00B442BE" w:rsidRPr="00E01B22" w:rsidRDefault="00B442BE" w:rsidP="00632700">
            <w:pPr>
              <w:tabs>
                <w:tab w:val="left" w:pos="5210"/>
              </w:tabs>
              <w:rPr>
                <w:rFonts w:ascii="Arial" w:hAnsi="Arial" w:cs="Arial"/>
              </w:rPr>
            </w:pPr>
          </w:p>
          <w:p w:rsidR="00B442BE" w:rsidRPr="00E01B22" w:rsidRDefault="00363A98" w:rsidP="00632700">
            <w:pPr>
              <w:tabs>
                <w:tab w:val="left" w:pos="5210"/>
              </w:tabs>
              <w:rPr>
                <w:rFonts w:ascii="Arial" w:hAnsi="Arial" w:cs="Arial"/>
              </w:rPr>
            </w:pPr>
            <w:r w:rsidRPr="00E01B22">
              <w:rPr>
                <w:rFonts w:ascii="Arial" w:hAnsi="Arial" w:cs="Arial"/>
              </w:rPr>
              <w:t xml:space="preserve">Tenofovir </w:t>
            </w:r>
            <w:r w:rsidR="00B442BE" w:rsidRPr="00E01B22">
              <w:rPr>
                <w:rFonts w:ascii="Arial" w:hAnsi="Arial" w:cs="Arial"/>
              </w:rPr>
              <w:t xml:space="preserve">Disoproxil Emtricitabine Mylan 300/200® </w:t>
            </w:r>
          </w:p>
          <w:p w:rsidR="00B442BE" w:rsidRPr="00E01B22" w:rsidRDefault="00B442BE" w:rsidP="00632700">
            <w:pPr>
              <w:tabs>
                <w:tab w:val="left" w:pos="5210"/>
              </w:tabs>
              <w:rPr>
                <w:rFonts w:ascii="Arial" w:hAnsi="Arial" w:cs="Arial"/>
              </w:rPr>
            </w:pPr>
          </w:p>
          <w:p w:rsidR="00B442BE" w:rsidRPr="00E01B22" w:rsidRDefault="00B442BE" w:rsidP="00632700">
            <w:pPr>
              <w:tabs>
                <w:tab w:val="left" w:pos="5210"/>
              </w:tabs>
              <w:rPr>
                <w:rFonts w:ascii="Arial" w:hAnsi="Arial" w:cs="Arial"/>
              </w:rPr>
            </w:pPr>
            <w:r w:rsidRPr="00E01B22">
              <w:rPr>
                <w:rFonts w:ascii="Arial" w:hAnsi="Arial" w:cs="Arial"/>
              </w:rPr>
              <w:t>Alphapharm Pty Ltd (trading as Mylan Australia)</w:t>
            </w:r>
          </w:p>
          <w:p w:rsidR="00A27885" w:rsidRPr="00E01B22" w:rsidRDefault="00A27885" w:rsidP="00632700">
            <w:pPr>
              <w:tabs>
                <w:tab w:val="left" w:pos="5210"/>
              </w:tabs>
              <w:rPr>
                <w:rFonts w:ascii="Arial" w:hAnsi="Arial" w:cs="Arial"/>
              </w:rPr>
            </w:pPr>
          </w:p>
          <w:p w:rsidR="00A27885" w:rsidRPr="00E01B22" w:rsidRDefault="00A27885" w:rsidP="00632700">
            <w:pPr>
              <w:tabs>
                <w:tab w:val="left" w:pos="5210"/>
              </w:tabs>
              <w:rPr>
                <w:rFonts w:ascii="Arial" w:hAnsi="Arial" w:cs="Arial"/>
              </w:rPr>
            </w:pPr>
            <w:r w:rsidRPr="00E01B22">
              <w:rPr>
                <w:rFonts w:ascii="Arial" w:hAnsi="Arial" w:cs="Arial"/>
              </w:rPr>
              <w:t>Change to listing</w:t>
            </w:r>
          </w:p>
          <w:p w:rsidR="00B442BE" w:rsidRPr="00E01B22" w:rsidRDefault="00B442BE" w:rsidP="00632700">
            <w:pPr>
              <w:tabs>
                <w:tab w:val="left" w:pos="5210"/>
              </w:tabs>
              <w:rPr>
                <w:rFonts w:ascii="Arial" w:hAnsi="Arial" w:cs="Arial"/>
              </w:rPr>
            </w:pPr>
          </w:p>
          <w:p w:rsidR="00B442BE" w:rsidRPr="00E01B22" w:rsidRDefault="00B442BE" w:rsidP="00FC2211">
            <w:pPr>
              <w:pStyle w:val="Default"/>
              <w:rPr>
                <w:rFonts w:ascii="Arial" w:hAnsi="Arial" w:cs="Arial"/>
                <w:sz w:val="20"/>
                <w:szCs w:val="20"/>
              </w:rPr>
            </w:pPr>
            <w:r w:rsidRPr="00E01B22">
              <w:rPr>
                <w:rFonts w:ascii="Arial" w:hAnsi="Arial" w:cs="Arial"/>
                <w:sz w:val="20"/>
                <w:szCs w:val="20"/>
              </w:rPr>
              <w:t xml:space="preserve">(Minor Submission) </w:t>
            </w:r>
          </w:p>
          <w:p w:rsidR="00B442BE" w:rsidRPr="00E01B22" w:rsidRDefault="00B442BE" w:rsidP="00632700">
            <w:pPr>
              <w:tabs>
                <w:tab w:val="left" w:pos="5210"/>
              </w:tabs>
              <w:rPr>
                <w:rFonts w:ascii="Arial" w:hAnsi="Arial" w:cs="Arial"/>
              </w:rPr>
            </w:pPr>
          </w:p>
        </w:tc>
        <w:tc>
          <w:tcPr>
            <w:tcW w:w="1828" w:type="dxa"/>
            <w:vMerge w:val="restart"/>
          </w:tcPr>
          <w:p w:rsidR="00B442BE" w:rsidRPr="00E01B22" w:rsidRDefault="00B442BE" w:rsidP="00632700">
            <w:pPr>
              <w:tabs>
                <w:tab w:val="left" w:pos="5210"/>
              </w:tabs>
              <w:rPr>
                <w:rFonts w:ascii="Arial" w:hAnsi="Arial" w:cs="Arial"/>
              </w:rPr>
            </w:pPr>
            <w:r w:rsidRPr="00E01B22">
              <w:rPr>
                <w:rFonts w:ascii="Arial" w:hAnsi="Arial" w:cs="Arial"/>
              </w:rPr>
              <w:t>Human immunodeficiency virus (HIV) pre-exposure prophylaxis (PrEP)</w:t>
            </w:r>
          </w:p>
        </w:tc>
        <w:tc>
          <w:tcPr>
            <w:tcW w:w="2947" w:type="dxa"/>
            <w:tcMar>
              <w:top w:w="28" w:type="dxa"/>
              <w:bottom w:w="28" w:type="dxa"/>
            </w:tcMar>
          </w:tcPr>
          <w:p w:rsidR="00B442BE" w:rsidRPr="00E01B22" w:rsidRDefault="00B442BE" w:rsidP="00632700">
            <w:pPr>
              <w:tabs>
                <w:tab w:val="left" w:pos="5210"/>
              </w:tabs>
              <w:rPr>
                <w:rFonts w:ascii="Arial" w:hAnsi="Arial" w:cs="Arial"/>
              </w:rPr>
            </w:pPr>
            <w:r w:rsidRPr="00E01B22">
              <w:rPr>
                <w:rFonts w:ascii="Arial" w:hAnsi="Arial" w:cs="Arial"/>
              </w:rPr>
              <w:t>To request an Authority Required (STREAMLINED) listing for PrEP in adults at high risk of HIV infection.</w:t>
            </w:r>
          </w:p>
        </w:tc>
        <w:tc>
          <w:tcPr>
            <w:tcW w:w="6581" w:type="dxa"/>
            <w:shd w:val="clear" w:color="auto" w:fill="auto"/>
          </w:tcPr>
          <w:p w:rsidR="00B442BE" w:rsidRPr="00E01B22" w:rsidRDefault="00B442BE" w:rsidP="00522012">
            <w:pPr>
              <w:tabs>
                <w:tab w:val="left" w:pos="5210"/>
              </w:tabs>
              <w:rPr>
                <w:rFonts w:ascii="Arial" w:hAnsi="Arial" w:cs="Arial"/>
              </w:rPr>
            </w:pPr>
            <w:r w:rsidRPr="00E01B22">
              <w:rPr>
                <w:rFonts w:ascii="Arial" w:hAnsi="Arial" w:cs="Arial"/>
              </w:rPr>
              <w:t xml:space="preserve">The PBAC deferred making a recommendation on tenofovir with emtricitabine for HIV Pre-exposure Prophylaxis (PrEP) to seek further information regarding its cost-effectiveness based on the model developed by the Kirby Institute. Specifically the Committee requested additional analyses considering alternative uptake scenarios where the extent of uptake is reduced and use is limited to medium and high risk individuals, and varying the tenofovir with emtricitabine price.     </w:t>
            </w:r>
          </w:p>
          <w:p w:rsidR="00B442BE" w:rsidRPr="00E01B22" w:rsidRDefault="00B442BE" w:rsidP="00522012">
            <w:pPr>
              <w:tabs>
                <w:tab w:val="left" w:pos="5210"/>
              </w:tabs>
              <w:rPr>
                <w:rFonts w:ascii="Arial" w:hAnsi="Arial" w:cs="Arial"/>
              </w:rPr>
            </w:pPr>
          </w:p>
          <w:p w:rsidR="00B442BE" w:rsidRPr="00E01B22" w:rsidRDefault="00B442BE" w:rsidP="00522012">
            <w:pPr>
              <w:tabs>
                <w:tab w:val="left" w:pos="5210"/>
              </w:tabs>
              <w:rPr>
                <w:rFonts w:ascii="Arial" w:hAnsi="Arial" w:cs="Arial"/>
              </w:rPr>
            </w:pPr>
            <w:r w:rsidRPr="00E01B22">
              <w:rPr>
                <w:rFonts w:ascii="Arial" w:hAnsi="Arial" w:cs="Arial"/>
              </w:rPr>
              <w:t xml:space="preserve">The PBAC noted the results for the Kirby model were presented for a number of scenarios based on different uptake in individuals at high, medium or low risk of infection. Only two of the scenarios presented considered use in individuals at high and medium risk of infection, the population which the PBAC agreed to be appropriate. Further, both of the scenarios assumed 90% uptake in high risk individuals and the PBAC considered that this level of uptake was unlikely to be achieved in clinical practice. The PBAC considered alternative scenarios assuming lower uptake in medium and high risk individuals would be informative.   </w:t>
            </w:r>
          </w:p>
          <w:p w:rsidR="00B442BE" w:rsidRPr="00E01B22" w:rsidRDefault="00B442BE" w:rsidP="00522012">
            <w:pPr>
              <w:tabs>
                <w:tab w:val="left" w:pos="5210"/>
              </w:tabs>
              <w:rPr>
                <w:rFonts w:ascii="Arial" w:hAnsi="Arial" w:cs="Arial"/>
              </w:rPr>
            </w:pPr>
          </w:p>
          <w:p w:rsidR="00B442BE" w:rsidRPr="00E01B22" w:rsidRDefault="00B442BE" w:rsidP="00522012">
            <w:pPr>
              <w:tabs>
                <w:tab w:val="left" w:pos="5210"/>
              </w:tabs>
              <w:rPr>
                <w:rFonts w:ascii="Arial" w:hAnsi="Arial" w:cs="Arial"/>
              </w:rPr>
            </w:pPr>
            <w:r w:rsidRPr="00E01B22">
              <w:rPr>
                <w:rFonts w:ascii="Arial" w:hAnsi="Arial" w:cs="Arial"/>
              </w:rPr>
              <w:t xml:space="preserve">The PBAC considered that the acceptable incremental cost effectiveness ratio (ICER) for PrEP would be at the low end of the range previously accepted for other population preventative interventions with large opportunity costs.    </w:t>
            </w:r>
          </w:p>
          <w:p w:rsidR="00B442BE" w:rsidRPr="00E01B22" w:rsidRDefault="00B442BE" w:rsidP="00522012">
            <w:pPr>
              <w:tabs>
                <w:tab w:val="left" w:pos="5210"/>
              </w:tabs>
              <w:rPr>
                <w:rFonts w:ascii="Arial" w:hAnsi="Arial" w:cs="Arial"/>
              </w:rPr>
            </w:pPr>
          </w:p>
          <w:p w:rsidR="00B442BE" w:rsidRPr="00E01B22" w:rsidRDefault="00B442BE" w:rsidP="003477FB">
            <w:pPr>
              <w:tabs>
                <w:tab w:val="left" w:pos="5210"/>
              </w:tabs>
              <w:rPr>
                <w:rFonts w:ascii="Arial" w:hAnsi="Arial" w:cs="Arial"/>
              </w:rPr>
            </w:pPr>
            <w:r w:rsidRPr="00E01B22">
              <w:rPr>
                <w:rFonts w:ascii="Arial" w:hAnsi="Arial" w:cs="Arial"/>
              </w:rPr>
              <w:t>The PBAC considered the utilisation estimates were highly uncertain and difficult to predict, however utilisation was likely overestimated.</w:t>
            </w:r>
          </w:p>
        </w:tc>
      </w:tr>
      <w:tr w:rsidR="00B442BE" w:rsidRPr="00E01B22" w:rsidTr="0003673D">
        <w:trPr>
          <w:trHeight w:val="1067"/>
        </w:trPr>
        <w:tc>
          <w:tcPr>
            <w:tcW w:w="3402" w:type="dxa"/>
            <w:vMerge/>
            <w:tcMar>
              <w:top w:w="28" w:type="dxa"/>
              <w:bottom w:w="28" w:type="dxa"/>
            </w:tcMar>
          </w:tcPr>
          <w:p w:rsidR="00B442BE" w:rsidRPr="00E01B22" w:rsidRDefault="00B442BE" w:rsidP="00632700">
            <w:pPr>
              <w:tabs>
                <w:tab w:val="left" w:pos="5210"/>
              </w:tabs>
              <w:rPr>
                <w:rFonts w:ascii="Arial" w:hAnsi="Arial" w:cs="Arial"/>
              </w:rPr>
            </w:pPr>
          </w:p>
        </w:tc>
        <w:tc>
          <w:tcPr>
            <w:tcW w:w="1828" w:type="dxa"/>
            <w:vMerge/>
          </w:tcPr>
          <w:p w:rsidR="00B442BE" w:rsidRPr="00E01B22" w:rsidRDefault="00B442BE" w:rsidP="00632700">
            <w:pPr>
              <w:tabs>
                <w:tab w:val="left" w:pos="5210"/>
              </w:tabs>
              <w:rPr>
                <w:rFonts w:ascii="Arial" w:hAnsi="Arial" w:cs="Arial"/>
              </w:rPr>
            </w:pPr>
          </w:p>
        </w:tc>
        <w:tc>
          <w:tcPr>
            <w:tcW w:w="2947" w:type="dxa"/>
            <w:tcMar>
              <w:top w:w="28" w:type="dxa"/>
              <w:bottom w:w="28" w:type="dxa"/>
            </w:tcMar>
          </w:tcPr>
          <w:p w:rsidR="00B442BE" w:rsidRPr="00E01B22" w:rsidRDefault="0036073F" w:rsidP="0036073F">
            <w:pPr>
              <w:tabs>
                <w:tab w:val="left" w:pos="5210"/>
              </w:tabs>
              <w:jc w:val="right"/>
              <w:rPr>
                <w:rFonts w:ascii="Arial" w:hAnsi="Arial" w:cs="Arial"/>
              </w:rPr>
            </w:pPr>
            <w:r w:rsidRPr="00E01B22">
              <w:rPr>
                <w:rFonts w:ascii="Arial" w:hAnsi="Arial" w:cs="Arial"/>
              </w:rPr>
              <w:t>Sponsor comment</w:t>
            </w:r>
          </w:p>
        </w:tc>
        <w:tc>
          <w:tcPr>
            <w:tcW w:w="6581" w:type="dxa"/>
            <w:shd w:val="clear" w:color="auto" w:fill="auto"/>
          </w:tcPr>
          <w:p w:rsidR="00B442BE" w:rsidRPr="00E01B22" w:rsidRDefault="00363A98" w:rsidP="00522012">
            <w:pPr>
              <w:tabs>
                <w:tab w:val="left" w:pos="5210"/>
              </w:tabs>
              <w:rPr>
                <w:rFonts w:ascii="Arial" w:hAnsi="Arial" w:cs="Arial"/>
              </w:rPr>
            </w:pPr>
            <w:r w:rsidRPr="00E01B22">
              <w:rPr>
                <w:rFonts w:ascii="Arial" w:hAnsi="Arial" w:cs="Arial"/>
              </w:rPr>
              <w:t xml:space="preserve">Mylan Australia is committed to working with the PBAC and other key stakeholders to address the points </w:t>
            </w:r>
            <w:proofErr w:type="gramStart"/>
            <w:r w:rsidRPr="00E01B22">
              <w:rPr>
                <w:rFonts w:ascii="Arial" w:hAnsi="Arial" w:cs="Arial"/>
              </w:rPr>
              <w:t>raised</w:t>
            </w:r>
            <w:proofErr w:type="gramEnd"/>
            <w:r w:rsidRPr="00E01B22">
              <w:rPr>
                <w:rFonts w:ascii="Arial" w:hAnsi="Arial" w:cs="Arial"/>
              </w:rPr>
              <w:t>, to provide appropriate and timely access to PrEP for the community.</w:t>
            </w:r>
          </w:p>
        </w:tc>
      </w:tr>
      <w:tr w:rsidR="00B442BE" w:rsidRPr="00E01B22" w:rsidTr="00B442BE">
        <w:trPr>
          <w:trHeight w:val="4661"/>
        </w:trPr>
        <w:tc>
          <w:tcPr>
            <w:tcW w:w="3402" w:type="dxa"/>
            <w:vMerge w:val="restart"/>
            <w:tcMar>
              <w:top w:w="28" w:type="dxa"/>
              <w:bottom w:w="28" w:type="dxa"/>
            </w:tcMar>
          </w:tcPr>
          <w:p w:rsidR="00B442BE" w:rsidRPr="00E01B22" w:rsidRDefault="00B442BE" w:rsidP="00FC2211">
            <w:pPr>
              <w:tabs>
                <w:tab w:val="left" w:pos="5210"/>
              </w:tabs>
              <w:rPr>
                <w:rFonts w:ascii="Arial" w:hAnsi="Arial" w:cs="Arial"/>
              </w:rPr>
            </w:pPr>
            <w:r w:rsidRPr="00E01B22">
              <w:rPr>
                <w:rFonts w:ascii="Arial" w:hAnsi="Arial" w:cs="Arial"/>
              </w:rPr>
              <w:t>TENOFOVIR with EMTRICITABINE</w:t>
            </w:r>
          </w:p>
          <w:p w:rsidR="00B442BE" w:rsidRPr="00E01B22" w:rsidRDefault="00B442BE" w:rsidP="00FC2211">
            <w:pPr>
              <w:tabs>
                <w:tab w:val="left" w:pos="5210"/>
              </w:tabs>
              <w:rPr>
                <w:rFonts w:ascii="Arial" w:hAnsi="Arial" w:cs="Arial"/>
              </w:rPr>
            </w:pPr>
          </w:p>
          <w:p w:rsidR="00B442BE" w:rsidRPr="00E01B22" w:rsidRDefault="00B442BE" w:rsidP="00FC2211">
            <w:pPr>
              <w:tabs>
                <w:tab w:val="left" w:pos="5210"/>
              </w:tabs>
              <w:rPr>
                <w:rFonts w:ascii="Arial" w:hAnsi="Arial" w:cs="Arial"/>
              </w:rPr>
            </w:pPr>
            <w:r w:rsidRPr="00E01B22">
              <w:rPr>
                <w:rFonts w:ascii="Arial" w:hAnsi="Arial" w:cs="Arial"/>
              </w:rPr>
              <w:t>Tablet containing tenofovir disoproxil fumarate 300 mg with emtricitabine 200 mg</w:t>
            </w:r>
          </w:p>
          <w:p w:rsidR="00B442BE" w:rsidRPr="00E01B22" w:rsidRDefault="00B442BE" w:rsidP="00FC2211">
            <w:pPr>
              <w:tabs>
                <w:tab w:val="left" w:pos="5210"/>
              </w:tabs>
              <w:rPr>
                <w:rFonts w:ascii="Arial" w:hAnsi="Arial" w:cs="Arial"/>
              </w:rPr>
            </w:pPr>
          </w:p>
          <w:p w:rsidR="00B442BE" w:rsidRPr="00E01B22" w:rsidRDefault="00B442BE" w:rsidP="00FC2211">
            <w:pPr>
              <w:tabs>
                <w:tab w:val="left" w:pos="5210"/>
              </w:tabs>
              <w:rPr>
                <w:rFonts w:ascii="Arial" w:hAnsi="Arial" w:cs="Arial"/>
              </w:rPr>
            </w:pPr>
            <w:r w:rsidRPr="00E01B22">
              <w:rPr>
                <w:rFonts w:ascii="Arial" w:hAnsi="Arial" w:cs="Arial"/>
              </w:rPr>
              <w:t>Truvada®</w:t>
            </w:r>
          </w:p>
          <w:p w:rsidR="00B442BE" w:rsidRPr="00E01B22" w:rsidRDefault="00B442BE" w:rsidP="00FC2211">
            <w:pPr>
              <w:tabs>
                <w:tab w:val="left" w:pos="5210"/>
              </w:tabs>
              <w:rPr>
                <w:rFonts w:ascii="Arial" w:hAnsi="Arial" w:cs="Arial"/>
              </w:rPr>
            </w:pPr>
          </w:p>
          <w:p w:rsidR="00B442BE" w:rsidRPr="00E01B22" w:rsidRDefault="00B442BE" w:rsidP="00FC2211">
            <w:pPr>
              <w:tabs>
                <w:tab w:val="left" w:pos="5210"/>
              </w:tabs>
              <w:rPr>
                <w:rFonts w:ascii="Arial" w:hAnsi="Arial" w:cs="Arial"/>
              </w:rPr>
            </w:pPr>
            <w:r w:rsidRPr="00E01B22">
              <w:rPr>
                <w:rFonts w:ascii="Arial" w:hAnsi="Arial" w:cs="Arial"/>
              </w:rPr>
              <w:t>Gilead Sciences Pty Ltd</w:t>
            </w:r>
          </w:p>
          <w:p w:rsidR="00A27885" w:rsidRPr="00E01B22" w:rsidRDefault="00A27885" w:rsidP="00FC2211">
            <w:pPr>
              <w:tabs>
                <w:tab w:val="left" w:pos="5210"/>
              </w:tabs>
              <w:rPr>
                <w:rFonts w:ascii="Arial" w:hAnsi="Arial" w:cs="Arial"/>
              </w:rPr>
            </w:pPr>
          </w:p>
          <w:p w:rsidR="00A27885" w:rsidRPr="00E01B22" w:rsidRDefault="00A27885" w:rsidP="00FC2211">
            <w:pPr>
              <w:tabs>
                <w:tab w:val="left" w:pos="5210"/>
              </w:tabs>
              <w:rPr>
                <w:rFonts w:ascii="Arial" w:hAnsi="Arial" w:cs="Arial"/>
              </w:rPr>
            </w:pPr>
            <w:r w:rsidRPr="00E01B22">
              <w:rPr>
                <w:rFonts w:ascii="Arial" w:hAnsi="Arial" w:cs="Arial"/>
              </w:rPr>
              <w:t>Change to listing</w:t>
            </w:r>
          </w:p>
          <w:p w:rsidR="00B442BE" w:rsidRPr="00E01B22" w:rsidRDefault="00B442BE" w:rsidP="00FC2211">
            <w:pPr>
              <w:tabs>
                <w:tab w:val="left" w:pos="5210"/>
              </w:tabs>
              <w:rPr>
                <w:rFonts w:ascii="Arial" w:hAnsi="Arial" w:cs="Arial"/>
              </w:rPr>
            </w:pPr>
          </w:p>
          <w:p w:rsidR="00B442BE" w:rsidRPr="00E01B22" w:rsidRDefault="00B442BE" w:rsidP="00FC2211">
            <w:pPr>
              <w:pStyle w:val="Default"/>
              <w:rPr>
                <w:rFonts w:ascii="Arial" w:hAnsi="Arial" w:cs="Arial"/>
                <w:sz w:val="20"/>
                <w:szCs w:val="20"/>
              </w:rPr>
            </w:pPr>
            <w:r w:rsidRPr="00E01B22">
              <w:rPr>
                <w:rFonts w:ascii="Arial" w:hAnsi="Arial" w:cs="Arial"/>
                <w:sz w:val="20"/>
                <w:szCs w:val="20"/>
              </w:rPr>
              <w:t xml:space="preserve">(Major Submission) </w:t>
            </w:r>
          </w:p>
          <w:p w:rsidR="00B442BE" w:rsidRPr="00E01B22" w:rsidRDefault="00B442BE" w:rsidP="00FC2211">
            <w:pPr>
              <w:tabs>
                <w:tab w:val="left" w:pos="5210"/>
              </w:tabs>
              <w:rPr>
                <w:rFonts w:ascii="Arial" w:hAnsi="Arial" w:cs="Arial"/>
              </w:rPr>
            </w:pPr>
          </w:p>
        </w:tc>
        <w:tc>
          <w:tcPr>
            <w:tcW w:w="1828" w:type="dxa"/>
            <w:vMerge w:val="restart"/>
          </w:tcPr>
          <w:p w:rsidR="00B442BE" w:rsidRPr="00E01B22" w:rsidRDefault="00B442BE" w:rsidP="005C2178">
            <w:pPr>
              <w:tabs>
                <w:tab w:val="left" w:pos="5210"/>
              </w:tabs>
              <w:rPr>
                <w:rFonts w:ascii="Arial" w:hAnsi="Arial" w:cs="Arial"/>
              </w:rPr>
            </w:pPr>
            <w:r w:rsidRPr="00E01B22">
              <w:rPr>
                <w:rFonts w:ascii="Arial" w:hAnsi="Arial" w:cs="Arial"/>
              </w:rPr>
              <w:t>Human immunodeficiency virus (HIV) pre-exposure prophylaxis (PrEP)</w:t>
            </w:r>
          </w:p>
        </w:tc>
        <w:tc>
          <w:tcPr>
            <w:tcW w:w="2947" w:type="dxa"/>
            <w:tcMar>
              <w:top w:w="28" w:type="dxa"/>
              <w:bottom w:w="28" w:type="dxa"/>
            </w:tcMar>
          </w:tcPr>
          <w:p w:rsidR="00B442BE" w:rsidRPr="00E01B22" w:rsidRDefault="00B442BE" w:rsidP="005C2178">
            <w:pPr>
              <w:tabs>
                <w:tab w:val="left" w:pos="5210"/>
              </w:tabs>
              <w:rPr>
                <w:rFonts w:ascii="Arial" w:hAnsi="Arial" w:cs="Arial"/>
              </w:rPr>
            </w:pPr>
            <w:r w:rsidRPr="00E01B22">
              <w:rPr>
                <w:rFonts w:ascii="Arial" w:hAnsi="Arial" w:cs="Arial"/>
              </w:rPr>
              <w:t>Resubmission to request an Authority Required (STREAMLINED) listing for PrEP in adults at medium to high risk of HIV infection.</w:t>
            </w:r>
          </w:p>
        </w:tc>
        <w:tc>
          <w:tcPr>
            <w:tcW w:w="6581" w:type="dxa"/>
            <w:shd w:val="clear" w:color="auto" w:fill="auto"/>
          </w:tcPr>
          <w:p w:rsidR="00B442BE" w:rsidRPr="00E01B22" w:rsidRDefault="00B442BE" w:rsidP="00522012">
            <w:pPr>
              <w:tabs>
                <w:tab w:val="left" w:pos="5210"/>
              </w:tabs>
              <w:rPr>
                <w:rFonts w:ascii="Arial" w:hAnsi="Arial" w:cs="Arial"/>
              </w:rPr>
            </w:pPr>
            <w:r w:rsidRPr="00E01B22">
              <w:rPr>
                <w:rFonts w:ascii="Arial" w:hAnsi="Arial" w:cs="Arial"/>
              </w:rPr>
              <w:t xml:space="preserve">The PBAC deferred making a recommendation on tenofovir with emtricitabine (TDF/FTC) for HIV Pre-exposure Prophylaxis (PrEP) to seek additional results from the cost-effectiveness model developed by the Kirby Institute to inform its decision-making. Specifically the Committee requested results for alternative uptake scenarios where the extent of uptake is reduced and use is limited to medium and high risk individuals, and for sensitivity analyses varying the tenofovir with emtricitabine price to be undertaken for these additional scenarios.     </w:t>
            </w:r>
          </w:p>
          <w:p w:rsidR="00B442BE" w:rsidRPr="00E01B22" w:rsidRDefault="00B442BE" w:rsidP="00522012">
            <w:pPr>
              <w:tabs>
                <w:tab w:val="left" w:pos="5210"/>
              </w:tabs>
              <w:rPr>
                <w:rFonts w:ascii="Arial" w:hAnsi="Arial" w:cs="Arial"/>
              </w:rPr>
            </w:pPr>
          </w:p>
          <w:p w:rsidR="00B442BE" w:rsidRPr="00E01B22" w:rsidRDefault="00B442BE" w:rsidP="00522012">
            <w:pPr>
              <w:tabs>
                <w:tab w:val="left" w:pos="5210"/>
              </w:tabs>
              <w:rPr>
                <w:rFonts w:ascii="Arial" w:hAnsi="Arial" w:cs="Arial"/>
              </w:rPr>
            </w:pPr>
            <w:r w:rsidRPr="00E01B22">
              <w:rPr>
                <w:rFonts w:ascii="Arial" w:hAnsi="Arial" w:cs="Arial"/>
              </w:rPr>
              <w:t>The PBAC considered the proposed general schedule PBS listing for use in individuals at high and medium risk of infection according the Australasian Society for HIV, Viral Hepatitis and Sexual Health Medicine (ASHM) Guidelines, to be appropriate.</w:t>
            </w:r>
          </w:p>
          <w:p w:rsidR="00B442BE" w:rsidRPr="00E01B22" w:rsidRDefault="00B442BE" w:rsidP="00522012">
            <w:pPr>
              <w:tabs>
                <w:tab w:val="left" w:pos="5210"/>
              </w:tabs>
              <w:rPr>
                <w:rFonts w:ascii="Arial" w:hAnsi="Arial" w:cs="Arial"/>
              </w:rPr>
            </w:pPr>
          </w:p>
          <w:p w:rsidR="00B442BE" w:rsidRPr="00E01B22" w:rsidRDefault="00B442BE" w:rsidP="00522012">
            <w:pPr>
              <w:tabs>
                <w:tab w:val="left" w:pos="5210"/>
              </w:tabs>
              <w:rPr>
                <w:rFonts w:ascii="Arial" w:hAnsi="Arial" w:cs="Arial"/>
              </w:rPr>
            </w:pPr>
            <w:r w:rsidRPr="00E01B22">
              <w:rPr>
                <w:rFonts w:ascii="Arial" w:hAnsi="Arial" w:cs="Arial"/>
              </w:rPr>
              <w:t xml:space="preserve">The PBAC accepted, based on the evidence presented, that TDF/FTC as PrEP appeared to be effective in reducing the transmission of HIV. </w:t>
            </w:r>
          </w:p>
          <w:p w:rsidR="00B442BE" w:rsidRPr="00E01B22" w:rsidRDefault="00B442BE" w:rsidP="00522012">
            <w:pPr>
              <w:tabs>
                <w:tab w:val="left" w:pos="5210"/>
              </w:tabs>
              <w:rPr>
                <w:rFonts w:ascii="Arial" w:hAnsi="Arial" w:cs="Arial"/>
              </w:rPr>
            </w:pPr>
            <w:r w:rsidRPr="00E01B22">
              <w:rPr>
                <w:rFonts w:ascii="Arial" w:hAnsi="Arial" w:cs="Arial"/>
              </w:rPr>
              <w:t xml:space="preserve">The PBAC reaffirmed its previous advice that it considered the claim of non-inferior comparative safety was not strongly supported by the available data, however given the duration of experience with TDF/FTC for the treatment of HIV, the claim of non-inferior comparative safety was probably reasonable. </w:t>
            </w:r>
          </w:p>
          <w:p w:rsidR="00B442BE" w:rsidRPr="00E01B22" w:rsidRDefault="00B442BE" w:rsidP="00522012">
            <w:pPr>
              <w:tabs>
                <w:tab w:val="left" w:pos="5210"/>
              </w:tabs>
              <w:rPr>
                <w:rFonts w:ascii="Arial" w:hAnsi="Arial" w:cs="Arial"/>
              </w:rPr>
            </w:pPr>
          </w:p>
          <w:p w:rsidR="00B442BE" w:rsidRPr="00E01B22" w:rsidRDefault="00B442BE" w:rsidP="00522012">
            <w:pPr>
              <w:tabs>
                <w:tab w:val="left" w:pos="5210"/>
              </w:tabs>
              <w:rPr>
                <w:rFonts w:ascii="Arial" w:hAnsi="Arial" w:cs="Arial"/>
              </w:rPr>
            </w:pPr>
            <w:r w:rsidRPr="00E01B22">
              <w:rPr>
                <w:rFonts w:ascii="Arial" w:hAnsi="Arial" w:cs="Arial"/>
              </w:rPr>
              <w:t>The PBAC noted that the price of TDF/FTC was a key driver of the cost-effectiveness of TDF/FDC for PrEP in the economic model developed by the sponsor, and despite noting a number of issues with this economic model, that TDF/FTC was not cost-effective at the requested price.</w:t>
            </w:r>
          </w:p>
          <w:p w:rsidR="00B442BE" w:rsidRPr="00E01B22" w:rsidRDefault="00B442BE" w:rsidP="00522012">
            <w:pPr>
              <w:tabs>
                <w:tab w:val="left" w:pos="5210"/>
              </w:tabs>
              <w:rPr>
                <w:rFonts w:ascii="Arial" w:hAnsi="Arial" w:cs="Arial"/>
              </w:rPr>
            </w:pPr>
          </w:p>
          <w:p w:rsidR="00B442BE" w:rsidRPr="00E01B22" w:rsidRDefault="00B442BE" w:rsidP="00522012">
            <w:pPr>
              <w:tabs>
                <w:tab w:val="left" w:pos="5210"/>
              </w:tabs>
              <w:rPr>
                <w:rFonts w:ascii="Arial" w:hAnsi="Arial" w:cs="Arial"/>
              </w:rPr>
            </w:pPr>
            <w:r w:rsidRPr="00E01B22">
              <w:rPr>
                <w:rFonts w:ascii="Arial" w:hAnsi="Arial" w:cs="Arial"/>
              </w:rPr>
              <w:t>The PBAC noted the submission included an economic model assessing the cost-effectiveness of PrEP developed by the Kirby Institute and considered that the Kirby model was likely to be more robust and reliable than the model developed by the sponsor.</w:t>
            </w:r>
          </w:p>
          <w:p w:rsidR="00B442BE" w:rsidRPr="00E01B22" w:rsidRDefault="00B442BE" w:rsidP="00522012">
            <w:pPr>
              <w:tabs>
                <w:tab w:val="left" w:pos="5210"/>
              </w:tabs>
              <w:rPr>
                <w:rFonts w:ascii="Arial" w:hAnsi="Arial" w:cs="Arial"/>
              </w:rPr>
            </w:pPr>
            <w:r w:rsidRPr="00E01B22">
              <w:rPr>
                <w:rFonts w:ascii="Arial" w:hAnsi="Arial" w:cs="Arial"/>
              </w:rPr>
              <w:t>The PBAC noted the results for the Kirby model were presented for a number of scenarios based on different uptake in individuals at high, medium or low risk of infection. The PBAC noted that only two of the scenarios presented considered use in individuals at high and medium risk of infection, the population proposed in the resubmission which the PBAC agreed to be appropriate. Further, both of the scenarios assumed 90% uptake in high risk individuals and the PBAC considered that this level of uptake was unlikely to be achieved in clinical practice. The PBAC considered alternative scenarios assuming lower uptake in medium and high risk individuals would be informative.</w:t>
            </w:r>
          </w:p>
          <w:p w:rsidR="00B442BE" w:rsidRPr="00E01B22" w:rsidRDefault="00B442BE" w:rsidP="00522012">
            <w:pPr>
              <w:tabs>
                <w:tab w:val="left" w:pos="5210"/>
              </w:tabs>
              <w:rPr>
                <w:rFonts w:ascii="Arial" w:hAnsi="Arial" w:cs="Arial"/>
              </w:rPr>
            </w:pPr>
          </w:p>
          <w:p w:rsidR="00B442BE" w:rsidRPr="00E01B22" w:rsidRDefault="007322C1" w:rsidP="00522012">
            <w:pPr>
              <w:tabs>
                <w:tab w:val="left" w:pos="5210"/>
              </w:tabs>
              <w:rPr>
                <w:rFonts w:ascii="Arial" w:hAnsi="Arial" w:cs="Arial"/>
              </w:rPr>
            </w:pPr>
            <w:r w:rsidRPr="00E01B22">
              <w:rPr>
                <w:rFonts w:ascii="Arial" w:hAnsi="Arial" w:cs="Arial"/>
              </w:rPr>
              <w:t xml:space="preserve">The PBAC considered that the acceptable incremental cost effectiveness ratio (ICER) for </w:t>
            </w:r>
            <w:proofErr w:type="spellStart"/>
            <w:r w:rsidRPr="00E01B22">
              <w:rPr>
                <w:rFonts w:ascii="Arial" w:hAnsi="Arial" w:cs="Arial"/>
              </w:rPr>
              <w:t>PrEP</w:t>
            </w:r>
            <w:proofErr w:type="spellEnd"/>
            <w:r w:rsidRPr="00E01B22">
              <w:rPr>
                <w:rFonts w:ascii="Arial" w:hAnsi="Arial" w:cs="Arial"/>
              </w:rPr>
              <w:t xml:space="preserve"> would be at the low end of the range previously accepted for other population preventative interventions with large opportunity costs.</w:t>
            </w:r>
          </w:p>
          <w:p w:rsidR="00B442BE" w:rsidRPr="00E01B22" w:rsidRDefault="00B442BE" w:rsidP="00522012">
            <w:pPr>
              <w:tabs>
                <w:tab w:val="left" w:pos="5210"/>
              </w:tabs>
              <w:rPr>
                <w:rFonts w:ascii="Arial" w:hAnsi="Arial" w:cs="Arial"/>
              </w:rPr>
            </w:pPr>
          </w:p>
          <w:p w:rsidR="00B442BE" w:rsidRPr="00E01B22" w:rsidRDefault="00B442BE" w:rsidP="00522012">
            <w:pPr>
              <w:tabs>
                <w:tab w:val="left" w:pos="5210"/>
              </w:tabs>
              <w:rPr>
                <w:rFonts w:ascii="Arial" w:hAnsi="Arial" w:cs="Arial"/>
              </w:rPr>
            </w:pPr>
            <w:r w:rsidRPr="00E01B22">
              <w:rPr>
                <w:rFonts w:ascii="Arial" w:hAnsi="Arial" w:cs="Arial"/>
              </w:rPr>
              <w:t>The PBAC considered the utilisation estimates for PrEP were highly uncertain and difficult to predict, however agreed that the submission likely underestimated utilisation in year 1 and overestimated it in years 2-5. The PBAC noted that the submission estimated annual expenditure exceeding $200 million per year in five of the six years of the estimates and considered the opportunity cost was unacceptably high at the proposed price.</w:t>
            </w:r>
          </w:p>
        </w:tc>
      </w:tr>
      <w:tr w:rsidR="00B442BE" w:rsidRPr="00E01B22" w:rsidTr="00283009">
        <w:trPr>
          <w:trHeight w:val="1101"/>
        </w:trPr>
        <w:tc>
          <w:tcPr>
            <w:tcW w:w="3402" w:type="dxa"/>
            <w:vMerge/>
            <w:tcMar>
              <w:top w:w="28" w:type="dxa"/>
              <w:bottom w:w="28" w:type="dxa"/>
            </w:tcMar>
          </w:tcPr>
          <w:p w:rsidR="00B442BE" w:rsidRPr="00E01B22" w:rsidRDefault="00B442BE" w:rsidP="00FC2211">
            <w:pPr>
              <w:tabs>
                <w:tab w:val="left" w:pos="5210"/>
              </w:tabs>
              <w:rPr>
                <w:rFonts w:ascii="Arial" w:hAnsi="Arial" w:cs="Arial"/>
              </w:rPr>
            </w:pPr>
          </w:p>
        </w:tc>
        <w:tc>
          <w:tcPr>
            <w:tcW w:w="1828" w:type="dxa"/>
            <w:vMerge/>
          </w:tcPr>
          <w:p w:rsidR="00B442BE" w:rsidRPr="00E01B22" w:rsidRDefault="00B442BE" w:rsidP="005C2178">
            <w:pPr>
              <w:tabs>
                <w:tab w:val="left" w:pos="5210"/>
              </w:tabs>
              <w:rPr>
                <w:rFonts w:ascii="Arial" w:hAnsi="Arial" w:cs="Arial"/>
              </w:rPr>
            </w:pPr>
          </w:p>
        </w:tc>
        <w:tc>
          <w:tcPr>
            <w:tcW w:w="2947" w:type="dxa"/>
            <w:tcMar>
              <w:top w:w="28" w:type="dxa"/>
              <w:bottom w:w="28" w:type="dxa"/>
            </w:tcMar>
          </w:tcPr>
          <w:p w:rsidR="00B442BE" w:rsidRPr="00E01B22" w:rsidRDefault="0036073F" w:rsidP="0036073F">
            <w:pPr>
              <w:tabs>
                <w:tab w:val="left" w:pos="5210"/>
              </w:tabs>
              <w:jc w:val="right"/>
              <w:rPr>
                <w:rFonts w:ascii="Arial" w:hAnsi="Arial" w:cs="Arial"/>
              </w:rPr>
            </w:pPr>
            <w:r w:rsidRPr="00E01B22">
              <w:rPr>
                <w:rFonts w:ascii="Arial" w:hAnsi="Arial" w:cs="Arial"/>
              </w:rPr>
              <w:t>Sponsor comment</w:t>
            </w:r>
          </w:p>
        </w:tc>
        <w:tc>
          <w:tcPr>
            <w:tcW w:w="6581" w:type="dxa"/>
            <w:shd w:val="clear" w:color="auto" w:fill="auto"/>
          </w:tcPr>
          <w:p w:rsidR="00B442BE" w:rsidRPr="00E01B22" w:rsidRDefault="00BA00AA" w:rsidP="00522012">
            <w:pPr>
              <w:tabs>
                <w:tab w:val="left" w:pos="5210"/>
              </w:tabs>
              <w:rPr>
                <w:rFonts w:ascii="Arial" w:hAnsi="Arial" w:cs="Arial"/>
              </w:rPr>
            </w:pPr>
            <w:r w:rsidRPr="00E01B22">
              <w:rPr>
                <w:rFonts w:ascii="Arial" w:hAnsi="Arial" w:cs="Arial"/>
              </w:rPr>
              <w:t>Gilead are assessing the PBAC comments and working with the community to determine the next steps. Gilead is aware that there are now generic companies providing multiple brands of tenofovir with emtricitabine.</w:t>
            </w:r>
          </w:p>
        </w:tc>
      </w:tr>
    </w:tbl>
    <w:p w:rsidR="00436954" w:rsidRPr="00E01B22" w:rsidRDefault="00436954" w:rsidP="004A3149">
      <w:pPr>
        <w:tabs>
          <w:tab w:val="left" w:pos="5210"/>
        </w:tabs>
        <w:rPr>
          <w:rFonts w:ascii="Arial" w:hAnsi="Arial" w:cs="Arial"/>
          <w:lang w:val="en-US"/>
        </w:rPr>
      </w:pPr>
    </w:p>
    <w:sectPr w:rsidR="00436954" w:rsidRPr="00E01B22" w:rsidSect="001B09B5">
      <w:headerReference w:type="default" r:id="rId9"/>
      <w:footerReference w:type="even" r:id="rId10"/>
      <w:footerReference w:type="default" r:id="rId11"/>
      <w:pgSz w:w="16838" w:h="11906" w:orient="landscape" w:code="9"/>
      <w:pgMar w:top="720" w:right="720" w:bottom="720" w:left="720" w:header="1247"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54" w:rsidRDefault="000C0C54">
      <w:r>
        <w:separator/>
      </w:r>
    </w:p>
  </w:endnote>
  <w:endnote w:type="continuationSeparator" w:id="0">
    <w:p w:rsidR="000C0C54" w:rsidRDefault="000C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54" w:rsidRDefault="000C0C54"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0C54" w:rsidRDefault="000C0C54"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54" w:rsidRPr="00287C89" w:rsidRDefault="000C0C54"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C04513">
      <w:rPr>
        <w:rStyle w:val="PageNumber"/>
        <w:rFonts w:ascii="Arial" w:hAnsi="Arial" w:cs="Arial"/>
        <w:noProof/>
      </w:rPr>
      <w:t>10</w:t>
    </w:r>
    <w:r w:rsidRPr="00287C89">
      <w:rPr>
        <w:rStyle w:val="PageNumber"/>
        <w:rFonts w:ascii="Arial" w:hAnsi="Arial" w:cs="Arial"/>
      </w:rPr>
      <w:fldChar w:fldCharType="end"/>
    </w:r>
  </w:p>
  <w:p w:rsidR="000C0C54" w:rsidRDefault="000C0C54"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54" w:rsidRDefault="000C0C54">
      <w:r>
        <w:separator/>
      </w:r>
    </w:p>
  </w:footnote>
  <w:footnote w:type="continuationSeparator" w:id="0">
    <w:p w:rsidR="000C0C54" w:rsidRDefault="000C0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C54" w:rsidRDefault="00E533A7" w:rsidP="00BB0500">
    <w:pPr>
      <w:pStyle w:val="Header"/>
      <w:jc w:val="center"/>
      <w:rPr>
        <w:rFonts w:ascii="Arial" w:hAnsi="Arial" w:cs="Arial"/>
        <w:b/>
      </w:rPr>
    </w:pPr>
    <w:r>
      <w:rPr>
        <w:rFonts w:ascii="Arial" w:hAnsi="Arial" w:cs="Arial"/>
        <w:b/>
      </w:rPr>
      <w:t>JULY</w:t>
    </w:r>
    <w:r w:rsidR="000C0C54" w:rsidRPr="000559F0">
      <w:rPr>
        <w:rFonts w:ascii="Arial" w:hAnsi="Arial" w:cs="Arial"/>
        <w:b/>
      </w:rPr>
      <w:t xml:space="preserve"> 2017 </w:t>
    </w:r>
    <w:r w:rsidR="000C0C54" w:rsidRPr="00BB0500">
      <w:rPr>
        <w:rFonts w:ascii="Arial" w:hAnsi="Arial" w:cs="Arial"/>
        <w:b/>
      </w:rPr>
      <w:t xml:space="preserve">PBAC OUTCOMES </w:t>
    </w:r>
    <w:r w:rsidR="003F27D2">
      <w:rPr>
        <w:rFonts w:ascii="Arial" w:hAnsi="Arial" w:cs="Arial"/>
        <w:b/>
      </w:rPr>
      <w:t>–</w:t>
    </w:r>
    <w:r w:rsidR="000C0C54" w:rsidRPr="00BB0500">
      <w:rPr>
        <w:rFonts w:ascii="Arial" w:hAnsi="Arial" w:cs="Arial"/>
        <w:b/>
      </w:rPr>
      <w:t xml:space="preserve"> DEFERRALS</w:t>
    </w:r>
  </w:p>
  <w:p w:rsidR="003F27D2" w:rsidRPr="00BB0500" w:rsidRDefault="003F27D2" w:rsidP="00BB0500">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9A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73D"/>
    <w:rsid w:val="00036AE8"/>
    <w:rsid w:val="00036CF7"/>
    <w:rsid w:val="00037F52"/>
    <w:rsid w:val="0004019D"/>
    <w:rsid w:val="000407E0"/>
    <w:rsid w:val="00041467"/>
    <w:rsid w:val="0004160D"/>
    <w:rsid w:val="00041D99"/>
    <w:rsid w:val="00041F3D"/>
    <w:rsid w:val="00042593"/>
    <w:rsid w:val="00043C1D"/>
    <w:rsid w:val="00044146"/>
    <w:rsid w:val="00044BB4"/>
    <w:rsid w:val="00046725"/>
    <w:rsid w:val="000468C0"/>
    <w:rsid w:val="00046DA2"/>
    <w:rsid w:val="00050762"/>
    <w:rsid w:val="000507B9"/>
    <w:rsid w:val="00051AF5"/>
    <w:rsid w:val="000559F0"/>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A56"/>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5EC3"/>
    <w:rsid w:val="000B6487"/>
    <w:rsid w:val="000B7A91"/>
    <w:rsid w:val="000B7F45"/>
    <w:rsid w:val="000C040A"/>
    <w:rsid w:val="000C0497"/>
    <w:rsid w:val="000C0C29"/>
    <w:rsid w:val="000C0C54"/>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54B"/>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E04"/>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69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0F95"/>
    <w:rsid w:val="00161CD7"/>
    <w:rsid w:val="0016312E"/>
    <w:rsid w:val="0016341E"/>
    <w:rsid w:val="001654A9"/>
    <w:rsid w:val="001657F2"/>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2FB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49B"/>
    <w:rsid w:val="001A3986"/>
    <w:rsid w:val="001A3E19"/>
    <w:rsid w:val="001A4242"/>
    <w:rsid w:val="001A48FD"/>
    <w:rsid w:val="001A6DEF"/>
    <w:rsid w:val="001A7A6A"/>
    <w:rsid w:val="001B049D"/>
    <w:rsid w:val="001B04E4"/>
    <w:rsid w:val="001B0553"/>
    <w:rsid w:val="001B09B5"/>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0CF4"/>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5C35"/>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66C1"/>
    <w:rsid w:val="00277572"/>
    <w:rsid w:val="00277812"/>
    <w:rsid w:val="002802A1"/>
    <w:rsid w:val="002803B8"/>
    <w:rsid w:val="002808CA"/>
    <w:rsid w:val="00280926"/>
    <w:rsid w:val="00281B0A"/>
    <w:rsid w:val="00281EE0"/>
    <w:rsid w:val="00282CDE"/>
    <w:rsid w:val="00283009"/>
    <w:rsid w:val="00283073"/>
    <w:rsid w:val="0028348A"/>
    <w:rsid w:val="00285478"/>
    <w:rsid w:val="0028663C"/>
    <w:rsid w:val="00287C89"/>
    <w:rsid w:val="002905B5"/>
    <w:rsid w:val="00291458"/>
    <w:rsid w:val="00293203"/>
    <w:rsid w:val="0029329A"/>
    <w:rsid w:val="00293A15"/>
    <w:rsid w:val="00295693"/>
    <w:rsid w:val="002961B8"/>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80B"/>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23A9"/>
    <w:rsid w:val="002D347E"/>
    <w:rsid w:val="002D3D17"/>
    <w:rsid w:val="002D42A0"/>
    <w:rsid w:val="002D440D"/>
    <w:rsid w:val="002D4C8C"/>
    <w:rsid w:val="002D545A"/>
    <w:rsid w:val="002D59E5"/>
    <w:rsid w:val="002D5C23"/>
    <w:rsid w:val="002D5CBC"/>
    <w:rsid w:val="002D5DC3"/>
    <w:rsid w:val="002D6B4D"/>
    <w:rsid w:val="002D7E37"/>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630"/>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44A"/>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27C43"/>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7FB"/>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3C3"/>
    <w:rsid w:val="0036073F"/>
    <w:rsid w:val="00360CBD"/>
    <w:rsid w:val="00361072"/>
    <w:rsid w:val="003618B6"/>
    <w:rsid w:val="00362461"/>
    <w:rsid w:val="003628AA"/>
    <w:rsid w:val="00362D37"/>
    <w:rsid w:val="00363A98"/>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513"/>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5A"/>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7D2"/>
    <w:rsid w:val="003F28CE"/>
    <w:rsid w:val="003F2DAF"/>
    <w:rsid w:val="003F2ED2"/>
    <w:rsid w:val="003F3772"/>
    <w:rsid w:val="003F3ED2"/>
    <w:rsid w:val="003F4627"/>
    <w:rsid w:val="003F46D8"/>
    <w:rsid w:val="003F4ABA"/>
    <w:rsid w:val="003F53B6"/>
    <w:rsid w:val="003F6169"/>
    <w:rsid w:val="003F6645"/>
    <w:rsid w:val="003F68C3"/>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0D6"/>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1C74"/>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954"/>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149"/>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61"/>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266B"/>
    <w:rsid w:val="00513B7E"/>
    <w:rsid w:val="00514597"/>
    <w:rsid w:val="005150AB"/>
    <w:rsid w:val="0051769B"/>
    <w:rsid w:val="0052052F"/>
    <w:rsid w:val="00520571"/>
    <w:rsid w:val="00522012"/>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178"/>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2CF4"/>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3F21"/>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5979"/>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5CE"/>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78F"/>
    <w:rsid w:val="006C5D35"/>
    <w:rsid w:val="006C75FA"/>
    <w:rsid w:val="006C7FAC"/>
    <w:rsid w:val="006D0421"/>
    <w:rsid w:val="006D047B"/>
    <w:rsid w:val="006D12FF"/>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4E1B"/>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2C1"/>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4769E"/>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6080"/>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02F"/>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0CE6"/>
    <w:rsid w:val="007F1BBC"/>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0E2C"/>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86D"/>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D2F"/>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09"/>
    <w:rsid w:val="008D1097"/>
    <w:rsid w:val="008D11A8"/>
    <w:rsid w:val="008D1417"/>
    <w:rsid w:val="008D1F27"/>
    <w:rsid w:val="008D2F95"/>
    <w:rsid w:val="008D384C"/>
    <w:rsid w:val="008D3EF5"/>
    <w:rsid w:val="008D483E"/>
    <w:rsid w:val="008D4B98"/>
    <w:rsid w:val="008D4BD7"/>
    <w:rsid w:val="008D56F1"/>
    <w:rsid w:val="008D6375"/>
    <w:rsid w:val="008D7777"/>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19C3"/>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6E7D"/>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59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2B30"/>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E5D"/>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27885"/>
    <w:rsid w:val="00A30627"/>
    <w:rsid w:val="00A30B6C"/>
    <w:rsid w:val="00A31D99"/>
    <w:rsid w:val="00A3244C"/>
    <w:rsid w:val="00A32E59"/>
    <w:rsid w:val="00A33017"/>
    <w:rsid w:val="00A333C1"/>
    <w:rsid w:val="00A33DE4"/>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4C24"/>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629"/>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A7FB4"/>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1DC"/>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429"/>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68F1"/>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42BE"/>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58C"/>
    <w:rsid w:val="00B619B2"/>
    <w:rsid w:val="00B62014"/>
    <w:rsid w:val="00B629C9"/>
    <w:rsid w:val="00B63426"/>
    <w:rsid w:val="00B63F21"/>
    <w:rsid w:val="00B63FB6"/>
    <w:rsid w:val="00B64086"/>
    <w:rsid w:val="00B64519"/>
    <w:rsid w:val="00B64541"/>
    <w:rsid w:val="00B6456D"/>
    <w:rsid w:val="00B64BD0"/>
    <w:rsid w:val="00B64FCD"/>
    <w:rsid w:val="00B65CBD"/>
    <w:rsid w:val="00B65F32"/>
    <w:rsid w:val="00B66802"/>
    <w:rsid w:val="00B67453"/>
    <w:rsid w:val="00B675F7"/>
    <w:rsid w:val="00B67A78"/>
    <w:rsid w:val="00B7086A"/>
    <w:rsid w:val="00B708DB"/>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E9"/>
    <w:rsid w:val="00B83DFC"/>
    <w:rsid w:val="00B84ACF"/>
    <w:rsid w:val="00B85577"/>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97DDD"/>
    <w:rsid w:val="00BA00AA"/>
    <w:rsid w:val="00BA00B7"/>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C12"/>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690"/>
    <w:rsid w:val="00BD59A7"/>
    <w:rsid w:val="00BD5D4E"/>
    <w:rsid w:val="00BD7991"/>
    <w:rsid w:val="00BE0BDD"/>
    <w:rsid w:val="00BE21E3"/>
    <w:rsid w:val="00BE305B"/>
    <w:rsid w:val="00BE4C86"/>
    <w:rsid w:val="00BE5153"/>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0315"/>
    <w:rsid w:val="00C011B4"/>
    <w:rsid w:val="00C01510"/>
    <w:rsid w:val="00C01CEB"/>
    <w:rsid w:val="00C01F6E"/>
    <w:rsid w:val="00C03249"/>
    <w:rsid w:val="00C04513"/>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DC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2498"/>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2B4"/>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5D28"/>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67F65"/>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512"/>
    <w:rsid w:val="00DE5D83"/>
    <w:rsid w:val="00DE7DBA"/>
    <w:rsid w:val="00DE7FB5"/>
    <w:rsid w:val="00DF0953"/>
    <w:rsid w:val="00DF354D"/>
    <w:rsid w:val="00DF3B05"/>
    <w:rsid w:val="00DF44BC"/>
    <w:rsid w:val="00DF46D2"/>
    <w:rsid w:val="00DF5209"/>
    <w:rsid w:val="00DF5300"/>
    <w:rsid w:val="00DF5E67"/>
    <w:rsid w:val="00DF649D"/>
    <w:rsid w:val="00E00733"/>
    <w:rsid w:val="00E00948"/>
    <w:rsid w:val="00E00C13"/>
    <w:rsid w:val="00E00C41"/>
    <w:rsid w:val="00E01B22"/>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934"/>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3A7"/>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59AE"/>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5A8C"/>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38C4"/>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0AC2"/>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6F03"/>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3B44"/>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778"/>
    <w:rsid w:val="00F618C5"/>
    <w:rsid w:val="00F619E0"/>
    <w:rsid w:val="00F622E5"/>
    <w:rsid w:val="00F626FF"/>
    <w:rsid w:val="00F6380C"/>
    <w:rsid w:val="00F63E23"/>
    <w:rsid w:val="00F641E2"/>
    <w:rsid w:val="00F65D31"/>
    <w:rsid w:val="00F666A7"/>
    <w:rsid w:val="00F66A2E"/>
    <w:rsid w:val="00F67F09"/>
    <w:rsid w:val="00F706A0"/>
    <w:rsid w:val="00F709F5"/>
    <w:rsid w:val="00F717CC"/>
    <w:rsid w:val="00F72F11"/>
    <w:rsid w:val="00F72F51"/>
    <w:rsid w:val="00F73410"/>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211"/>
    <w:rsid w:val="00FC2E23"/>
    <w:rsid w:val="00FC3241"/>
    <w:rsid w:val="00FC3BB3"/>
    <w:rsid w:val="00FC3ED9"/>
    <w:rsid w:val="00FC54D5"/>
    <w:rsid w:val="00FC664D"/>
    <w:rsid w:val="00FC70D2"/>
    <w:rsid w:val="00FC737A"/>
    <w:rsid w:val="00FC7844"/>
    <w:rsid w:val="00FD0A8B"/>
    <w:rsid w:val="00FD1512"/>
    <w:rsid w:val="00FD1AB4"/>
    <w:rsid w:val="00FD1DDF"/>
    <w:rsid w:val="00FD2561"/>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A3A"/>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954"/>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8D1009"/>
  </w:style>
  <w:style w:type="paragraph" w:customStyle="1" w:styleId="Char2">
    <w:name w:val="Char"/>
    <w:basedOn w:val="Normal"/>
    <w:rsid w:val="00386513"/>
    <w:pPr>
      <w:spacing w:after="160" w:line="240" w:lineRule="exact"/>
    </w:pPr>
    <w:rPr>
      <w:rFonts w:ascii="Verdana" w:eastAsia="MS Mincho" w:hAnsi="Verdana" w:cs="Verdana"/>
      <w:lang w:val="en-US" w:eastAsia="en-US"/>
    </w:rPr>
  </w:style>
  <w:style w:type="paragraph" w:customStyle="1" w:styleId="Char3">
    <w:name w:val="Char"/>
    <w:basedOn w:val="Normal"/>
    <w:rsid w:val="00F61778"/>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954"/>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8D1009"/>
  </w:style>
  <w:style w:type="paragraph" w:customStyle="1" w:styleId="Char2">
    <w:name w:val="Char"/>
    <w:basedOn w:val="Normal"/>
    <w:rsid w:val="00386513"/>
    <w:pPr>
      <w:spacing w:after="160" w:line="240" w:lineRule="exact"/>
    </w:pPr>
    <w:rPr>
      <w:rFonts w:ascii="Verdana" w:eastAsia="MS Mincho" w:hAnsi="Verdana" w:cs="Verdana"/>
      <w:lang w:val="en-US" w:eastAsia="en-US"/>
    </w:rPr>
  </w:style>
  <w:style w:type="paragraph" w:customStyle="1" w:styleId="Char3">
    <w:name w:val="Char"/>
    <w:basedOn w:val="Normal"/>
    <w:rsid w:val="00F61778"/>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6487432">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0583808">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0880591">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E815-2335-4EF3-90FA-C82D1E10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3266</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2017-04-13T05:22:00Z</dcterms:created>
  <dcterms:modified xsi:type="dcterms:W3CDTF">2018-02-07T23:16:00Z</dcterms:modified>
</cp:coreProperties>
</file>