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6A" w:rsidRDefault="00464DA0" w:rsidP="00267A9D">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rsidR="00D7136A" w:rsidRPr="00EB6E0E" w:rsidRDefault="00D7136A" w:rsidP="00D7136A">
      <w:pPr>
        <w:jc w:val="both"/>
        <w:rPr>
          <w:rFonts w:ascii="Arial" w:hAnsi="Arial"/>
          <w:b/>
          <w:sz w:val="28"/>
          <w:szCs w:val="20"/>
          <w:lang w:val="en-AU" w:eastAsia="en-AU"/>
        </w:rPr>
      </w:pPr>
    </w:p>
    <w:p w:rsidR="00D7136A" w:rsidRPr="00166AA1" w:rsidRDefault="00D7136A" w:rsidP="00D7136A">
      <w:pPr>
        <w:contextualSpacing/>
        <w:jc w:val="both"/>
        <w:rPr>
          <w:rStyle w:val="Hyperlink"/>
          <w:rFonts w:ascii="Arial" w:hAnsi="Arial" w:cs="Arial"/>
          <w:sz w:val="22"/>
          <w:lang w:val="en-AU" w:eastAsia="en-AU"/>
        </w:rPr>
      </w:pPr>
      <w:r w:rsidRPr="00A31269">
        <w:rPr>
          <w:rFonts w:ascii="Arial" w:hAnsi="Arial" w:cs="Arial"/>
          <w:sz w:val="22"/>
          <w:lang w:val="en-AU" w:eastAsia="en-AU"/>
        </w:rPr>
        <w:t xml:space="preserve">The PBAC noted utilisation reports with associated stakeholder responses from the </w:t>
      </w:r>
      <w:r w:rsidR="00DC7A41">
        <w:rPr>
          <w:rFonts w:ascii="Arial" w:hAnsi="Arial" w:cs="Arial"/>
          <w:sz w:val="22"/>
          <w:lang w:val="en-AU" w:eastAsia="en-AU"/>
        </w:rPr>
        <w:t>June</w:t>
      </w:r>
      <w:r w:rsidR="00A31269" w:rsidRPr="00A31269">
        <w:rPr>
          <w:rFonts w:ascii="Arial" w:hAnsi="Arial" w:cs="Arial"/>
          <w:sz w:val="22"/>
          <w:lang w:val="en-AU" w:eastAsia="en-AU"/>
        </w:rPr>
        <w:t xml:space="preserve"> 2017 Drug Utilisation Sub-Committee (DUSC) </w:t>
      </w:r>
      <w:r w:rsidRPr="00A31269">
        <w:rPr>
          <w:rFonts w:ascii="Arial" w:hAnsi="Arial" w:cs="Arial"/>
          <w:sz w:val="22"/>
          <w:lang w:val="en-AU" w:eastAsia="en-AU"/>
        </w:rPr>
        <w:t>meeting, which were provided in Item</w:t>
      </w:r>
      <w:r w:rsidR="00A31269" w:rsidRPr="00A31269">
        <w:rPr>
          <w:rFonts w:ascii="Arial" w:hAnsi="Arial" w:cs="Arial"/>
          <w:sz w:val="22"/>
          <w:lang w:val="en-AU" w:eastAsia="en-AU"/>
        </w:rPr>
        <w:t>s 10.0</w:t>
      </w:r>
      <w:r w:rsidRPr="00A31269">
        <w:rPr>
          <w:rFonts w:ascii="Arial" w:hAnsi="Arial" w:cs="Arial"/>
          <w:sz w:val="22"/>
          <w:lang w:val="en-AU" w:eastAsia="en-AU"/>
        </w:rPr>
        <w:t>3</w:t>
      </w:r>
      <w:r w:rsidR="00A31269" w:rsidRPr="00A31269">
        <w:rPr>
          <w:rFonts w:ascii="Arial" w:hAnsi="Arial" w:cs="Arial"/>
          <w:sz w:val="22"/>
          <w:lang w:val="en-AU" w:eastAsia="en-AU"/>
        </w:rPr>
        <w:t xml:space="preserve"> to 10.0</w:t>
      </w:r>
      <w:r w:rsidR="00922E47">
        <w:rPr>
          <w:rFonts w:ascii="Arial" w:hAnsi="Arial" w:cs="Arial"/>
          <w:sz w:val="22"/>
          <w:lang w:val="en-AU" w:eastAsia="en-AU"/>
        </w:rPr>
        <w:t>6</w:t>
      </w:r>
      <w:r w:rsidRPr="00A31269">
        <w:rPr>
          <w:rFonts w:ascii="Arial" w:hAnsi="Arial" w:cs="Arial"/>
          <w:sz w:val="22"/>
          <w:lang w:val="en-AU" w:eastAsia="en-AU"/>
        </w:rPr>
        <w:t xml:space="preserve"> of the PBAC Agenda. </w:t>
      </w:r>
      <w:r w:rsidR="00A31269" w:rsidRPr="00A31269">
        <w:rPr>
          <w:rFonts w:ascii="Arial" w:hAnsi="Arial" w:cs="Arial"/>
          <w:sz w:val="22"/>
          <w:lang w:val="en-AU" w:eastAsia="en-AU"/>
        </w:rPr>
        <w:t xml:space="preserve">DUSC minutes relating to these items were provided to the PBAC. The </w:t>
      </w:r>
      <w:hyperlink r:id="rId8" w:history="1">
        <w:r w:rsidR="00166AA1" w:rsidRPr="00166AA1">
          <w:rPr>
            <w:rStyle w:val="Hyperlink"/>
            <w:rFonts w:ascii="Arial" w:hAnsi="Arial" w:cs="Arial"/>
            <w:sz w:val="22"/>
            <w:lang w:val="en-AU" w:eastAsia="en-AU"/>
          </w:rPr>
          <w:t>June 2017 DUSC outco</w:t>
        </w:r>
        <w:bookmarkStart w:id="0" w:name="_GoBack"/>
        <w:bookmarkEnd w:id="0"/>
        <w:r w:rsidR="00166AA1" w:rsidRPr="00166AA1">
          <w:rPr>
            <w:rStyle w:val="Hyperlink"/>
            <w:rFonts w:ascii="Arial" w:hAnsi="Arial" w:cs="Arial"/>
            <w:sz w:val="22"/>
            <w:lang w:val="en-AU" w:eastAsia="en-AU"/>
          </w:rPr>
          <w:t>m</w:t>
        </w:r>
        <w:r w:rsidR="00166AA1" w:rsidRPr="00166AA1">
          <w:rPr>
            <w:rStyle w:val="Hyperlink"/>
            <w:rFonts w:ascii="Arial" w:hAnsi="Arial" w:cs="Arial"/>
            <w:sz w:val="22"/>
            <w:lang w:val="en-AU" w:eastAsia="en-AU"/>
          </w:rPr>
          <w:t>e statement</w:t>
        </w:r>
      </w:hyperlink>
      <w:r w:rsidR="00A31269" w:rsidRPr="00A31269">
        <w:rPr>
          <w:rFonts w:ascii="Arial" w:hAnsi="Arial" w:cs="Arial"/>
          <w:sz w:val="22"/>
          <w:lang w:val="en-AU" w:eastAsia="en-AU"/>
        </w:rPr>
        <w:t xml:space="preserve"> </w:t>
      </w:r>
      <w:r w:rsidR="00A31269" w:rsidRPr="00A31269">
        <w:rPr>
          <w:rFonts w:ascii="Arial" w:hAnsi="Arial" w:cs="Arial"/>
          <w:snapToGrid w:val="0"/>
          <w:sz w:val="22"/>
          <w:szCs w:val="22"/>
          <w:lang w:val="en-AU"/>
        </w:rPr>
        <w:t xml:space="preserve">is </w:t>
      </w:r>
      <w:r w:rsidR="00166AA1">
        <w:rPr>
          <w:rFonts w:ascii="Arial" w:hAnsi="Arial" w:cs="Arial"/>
          <w:snapToGrid w:val="0"/>
          <w:sz w:val="22"/>
          <w:szCs w:val="22"/>
          <w:lang w:val="en-AU"/>
        </w:rPr>
        <w:t xml:space="preserve">available on the PBS website. </w:t>
      </w:r>
      <w:r w:rsidR="00166AA1">
        <w:rPr>
          <w:rFonts w:ascii="Arial" w:hAnsi="Arial" w:cs="Arial"/>
          <w:snapToGrid w:val="0"/>
          <w:color w:val="0000FF" w:themeColor="hyperlink"/>
          <w:sz w:val="22"/>
          <w:szCs w:val="22"/>
          <w:u w:val="single"/>
          <w:lang w:val="en-AU"/>
        </w:rPr>
        <w:fldChar w:fldCharType="begin"/>
      </w:r>
      <w:r w:rsidR="00166AA1">
        <w:rPr>
          <w:rFonts w:ascii="Arial" w:hAnsi="Arial" w:cs="Arial"/>
          <w:snapToGrid w:val="0"/>
          <w:color w:val="0000FF" w:themeColor="hyperlink"/>
          <w:sz w:val="22"/>
          <w:szCs w:val="22"/>
          <w:u w:val="single"/>
          <w:lang w:val="en-AU"/>
        </w:rPr>
        <w:instrText xml:space="preserve"> HYPERLINK "http://www.pbs.gov.au/info/industry/listing/elements/dusc-meetings/dos" </w:instrText>
      </w:r>
      <w:r w:rsidR="00166AA1">
        <w:rPr>
          <w:rFonts w:ascii="Arial" w:hAnsi="Arial" w:cs="Arial"/>
          <w:snapToGrid w:val="0"/>
          <w:color w:val="0000FF" w:themeColor="hyperlink"/>
          <w:sz w:val="22"/>
          <w:szCs w:val="22"/>
          <w:u w:val="single"/>
          <w:lang w:val="en-AU"/>
        </w:rPr>
      </w:r>
      <w:r w:rsidR="00166AA1">
        <w:rPr>
          <w:rFonts w:ascii="Arial" w:hAnsi="Arial" w:cs="Arial"/>
          <w:snapToGrid w:val="0"/>
          <w:color w:val="0000FF" w:themeColor="hyperlink"/>
          <w:sz w:val="22"/>
          <w:szCs w:val="22"/>
          <w:u w:val="single"/>
          <w:lang w:val="en-AU"/>
        </w:rPr>
        <w:fldChar w:fldCharType="separate"/>
      </w:r>
    </w:p>
    <w:p w:rsidR="00D7136A" w:rsidRPr="00397836" w:rsidRDefault="00166AA1" w:rsidP="00D7136A">
      <w:pPr>
        <w:contextualSpacing/>
        <w:jc w:val="both"/>
        <w:rPr>
          <w:rFonts w:ascii="Arial" w:hAnsi="Arial" w:cs="Arial"/>
          <w:color w:val="A6A6A6"/>
          <w:sz w:val="22"/>
          <w:lang w:val="en-AU" w:eastAsia="en-AU"/>
        </w:rPr>
      </w:pPr>
      <w:r>
        <w:rPr>
          <w:rFonts w:ascii="Arial" w:hAnsi="Arial" w:cs="Arial"/>
          <w:snapToGrid w:val="0"/>
          <w:color w:val="0000FF" w:themeColor="hyperlink"/>
          <w:sz w:val="22"/>
          <w:szCs w:val="22"/>
          <w:u w:val="single"/>
          <w:lang w:val="en-AU"/>
        </w:rPr>
        <w:fldChar w:fldCharType="end"/>
      </w:r>
    </w:p>
    <w:p w:rsidR="00D7136A" w:rsidRPr="00A31269" w:rsidRDefault="00922E47" w:rsidP="00D7136A">
      <w:pPr>
        <w:pStyle w:val="DepartmentalHeading2"/>
        <w:spacing w:before="0" w:after="0"/>
        <w:jc w:val="both"/>
        <w:rPr>
          <w:rFonts w:cs="Arial"/>
          <w:sz w:val="22"/>
          <w:szCs w:val="24"/>
        </w:rPr>
      </w:pPr>
      <w:r>
        <w:rPr>
          <w:rFonts w:cs="Arial"/>
          <w:sz w:val="22"/>
          <w:szCs w:val="24"/>
          <w:lang w:val="en-US"/>
        </w:rPr>
        <w:t>B</w:t>
      </w:r>
      <w:r w:rsidRPr="00922E47">
        <w:rPr>
          <w:rFonts w:cs="Arial"/>
          <w:sz w:val="22"/>
          <w:szCs w:val="24"/>
          <w:lang w:val="en-US"/>
        </w:rPr>
        <w:t xml:space="preserve">otulinum toxin type A </w:t>
      </w:r>
      <w:r>
        <w:rPr>
          <w:rFonts w:cs="Arial"/>
          <w:sz w:val="22"/>
          <w:szCs w:val="24"/>
        </w:rPr>
        <w:t>for chronic migraine</w:t>
      </w:r>
    </w:p>
    <w:p w:rsidR="00A31269" w:rsidRDefault="00A31269" w:rsidP="00A31269">
      <w:pPr>
        <w:contextualSpacing/>
        <w:jc w:val="both"/>
        <w:rPr>
          <w:rFonts w:ascii="Arial" w:hAnsi="Arial" w:cs="Arial"/>
          <w:color w:val="A6A6A6"/>
          <w:sz w:val="22"/>
          <w:lang w:val="en-AU" w:eastAsia="en-AU"/>
        </w:rPr>
      </w:pPr>
      <w:r w:rsidRPr="00A31269">
        <w:rPr>
          <w:rFonts w:ascii="Arial" w:hAnsi="Arial" w:cs="Arial"/>
          <w:sz w:val="22"/>
          <w:lang w:val="en-AU" w:eastAsia="en-AU"/>
        </w:rPr>
        <w:t>This report</w:t>
      </w:r>
      <w:r w:rsidRPr="00A31269">
        <w:rPr>
          <w:rFonts w:ascii="Arial" w:hAnsi="Arial"/>
          <w:bCs/>
          <w:sz w:val="22"/>
          <w:lang w:val="en-AU" w:eastAsia="en-AU"/>
        </w:rPr>
        <w:t xml:space="preserve"> </w:t>
      </w:r>
      <w:r w:rsidRPr="00A31269">
        <w:rPr>
          <w:rFonts w:ascii="Arial" w:hAnsi="Arial" w:cs="Arial"/>
          <w:bCs/>
          <w:sz w:val="22"/>
          <w:lang w:val="en-AU" w:eastAsia="en-AU"/>
        </w:rPr>
        <w:t xml:space="preserve">compared the predicted versus actual use of </w:t>
      </w:r>
      <w:r w:rsidR="00922E47" w:rsidRPr="00922E47">
        <w:rPr>
          <w:rFonts w:ascii="Arial" w:hAnsi="Arial" w:cs="Arial"/>
          <w:bCs/>
          <w:sz w:val="22"/>
          <w:lang w:val="en-AU" w:eastAsia="en-AU"/>
        </w:rPr>
        <w:t>botulinum toxin type A (Botox®) for chronic migraine in adults since it was PBS listed for this indication in March 2014</w:t>
      </w:r>
      <w:r w:rsidRPr="00A31269">
        <w:rPr>
          <w:rFonts w:ascii="Arial" w:hAnsi="Arial" w:cs="Arial"/>
          <w:bCs/>
          <w:sz w:val="22"/>
          <w:lang w:val="en-AU" w:eastAsia="en-AU"/>
        </w:rPr>
        <w:t>.</w:t>
      </w:r>
      <w:r w:rsidRPr="00A31269">
        <w:rPr>
          <w:rFonts w:ascii="Arial" w:hAnsi="Arial" w:cs="Arial"/>
          <w:sz w:val="22"/>
          <w:lang w:val="en-AU" w:eastAsia="en-AU"/>
        </w:rPr>
        <w:t xml:space="preserve"> </w:t>
      </w:r>
      <w:r w:rsidR="00922E47" w:rsidRPr="00922E47">
        <w:rPr>
          <w:rFonts w:ascii="Arial" w:hAnsi="Arial" w:cs="Arial"/>
          <w:sz w:val="22"/>
          <w:lang w:val="en-AU" w:eastAsia="en-AU"/>
        </w:rPr>
        <w:t>The number of patients treated was substantially higher than predicted</w:t>
      </w:r>
      <w:r w:rsidR="00922E47">
        <w:rPr>
          <w:rFonts w:ascii="Arial" w:hAnsi="Arial" w:cs="Arial"/>
          <w:sz w:val="22"/>
          <w:lang w:val="en-AU" w:eastAsia="en-AU"/>
        </w:rPr>
        <w:t>.</w:t>
      </w:r>
      <w:r w:rsidR="00156D69">
        <w:rPr>
          <w:rFonts w:ascii="Arial" w:hAnsi="Arial" w:cs="Arial"/>
          <w:sz w:val="22"/>
          <w:lang w:val="en-AU" w:eastAsia="en-AU"/>
        </w:rPr>
        <w:t xml:space="preserve"> </w:t>
      </w:r>
      <w:r w:rsidR="00156D69" w:rsidRPr="00156D69">
        <w:rPr>
          <w:rFonts w:ascii="Arial" w:hAnsi="Arial" w:cs="Arial"/>
          <w:sz w:val="22"/>
          <w:lang w:val="en-AU" w:eastAsia="en-AU"/>
        </w:rPr>
        <w:t xml:space="preserve">The continuation rate on treatment at 24 weeks was more than double that predicted from trial data and </w:t>
      </w:r>
      <w:r w:rsidR="00156D69">
        <w:rPr>
          <w:rFonts w:ascii="Arial" w:hAnsi="Arial" w:cs="Arial"/>
          <w:sz w:val="22"/>
          <w:lang w:val="en-AU" w:eastAsia="en-AU"/>
        </w:rPr>
        <w:t>was</w:t>
      </w:r>
      <w:r w:rsidR="00156D69" w:rsidRPr="00156D69">
        <w:rPr>
          <w:rFonts w:ascii="Arial" w:hAnsi="Arial" w:cs="Arial"/>
          <w:sz w:val="22"/>
          <w:lang w:val="en-AU" w:eastAsia="en-AU"/>
        </w:rPr>
        <w:t xml:space="preserve"> the main driver of high use. </w:t>
      </w:r>
      <w:r w:rsidR="00156D69">
        <w:rPr>
          <w:rFonts w:ascii="Arial" w:hAnsi="Arial" w:cs="Arial"/>
          <w:sz w:val="22"/>
          <w:lang w:val="en-AU" w:eastAsia="en-AU"/>
        </w:rPr>
        <w:t>Assessment for continuing PBS-subsidised treatment is based on the number of headache days, which may be subjective.</w:t>
      </w:r>
      <w:r w:rsidR="00922E47" w:rsidRPr="00922E47">
        <w:rPr>
          <w:rFonts w:ascii="Arial" w:hAnsi="Arial" w:cs="Arial"/>
          <w:sz w:val="22"/>
          <w:lang w:val="en-AU" w:eastAsia="en-AU"/>
        </w:rPr>
        <w:t xml:space="preserve"> </w:t>
      </w:r>
    </w:p>
    <w:p w:rsidR="00A31269" w:rsidRPr="00A31269" w:rsidRDefault="00A31269" w:rsidP="00A31269">
      <w:pPr>
        <w:contextualSpacing/>
        <w:jc w:val="both"/>
        <w:rPr>
          <w:rFonts w:ascii="Arial" w:hAnsi="Arial" w:cs="Arial"/>
          <w:color w:val="A6A6A6"/>
          <w:sz w:val="22"/>
          <w:lang w:val="en-AU" w:eastAsia="en-AU"/>
        </w:rPr>
      </w:pPr>
    </w:p>
    <w:p w:rsidR="00A31269" w:rsidRPr="003172AB" w:rsidRDefault="00A31269" w:rsidP="00A31269">
      <w:pPr>
        <w:contextualSpacing/>
        <w:rPr>
          <w:rFonts w:ascii="Arial" w:hAnsi="Arial" w:cs="Arial"/>
          <w:i/>
          <w:sz w:val="22"/>
          <w:lang w:val="en-AU" w:eastAsia="en-AU"/>
        </w:rPr>
      </w:pPr>
      <w:r w:rsidRPr="003172AB">
        <w:rPr>
          <w:rFonts w:ascii="Arial" w:hAnsi="Arial" w:cs="Arial"/>
          <w:i/>
          <w:sz w:val="22"/>
          <w:lang w:val="en-AU" w:eastAsia="en-AU"/>
        </w:rPr>
        <w:t>Outcome</w:t>
      </w:r>
    </w:p>
    <w:p w:rsidR="00922E47" w:rsidRPr="00922E47" w:rsidRDefault="00922E47" w:rsidP="00922E47">
      <w:pPr>
        <w:contextualSpacing/>
        <w:jc w:val="both"/>
        <w:rPr>
          <w:rFonts w:ascii="Arial" w:hAnsi="Arial" w:cs="Arial"/>
          <w:sz w:val="22"/>
          <w:lang w:val="en-AU" w:eastAsia="en-AU"/>
        </w:rPr>
      </w:pPr>
      <w:r w:rsidRPr="00922E47">
        <w:rPr>
          <w:rFonts w:ascii="Arial" w:hAnsi="Arial" w:cs="Arial"/>
          <w:sz w:val="22"/>
          <w:lang w:val="en-AU" w:eastAsia="en-AU"/>
        </w:rPr>
        <w:t xml:space="preserve">The PBAC recommended that methysergide be removed from the list of prophylactic medicines of which patients </w:t>
      </w:r>
      <w:r>
        <w:rPr>
          <w:rFonts w:ascii="Arial" w:hAnsi="Arial" w:cs="Arial"/>
          <w:sz w:val="22"/>
          <w:lang w:val="en-AU" w:eastAsia="en-AU"/>
        </w:rPr>
        <w:t>are required to trial at least three</w:t>
      </w:r>
      <w:r w:rsidRPr="00922E47">
        <w:rPr>
          <w:rFonts w:ascii="Arial" w:hAnsi="Arial" w:cs="Arial"/>
          <w:sz w:val="22"/>
          <w:lang w:val="en-AU" w:eastAsia="en-AU"/>
        </w:rPr>
        <w:t xml:space="preserve"> prior to initiating botulinum toxin type A for chronic migraine. Methysergide is no longer available in Australia and was delisted from the PBS in May 2014.</w:t>
      </w:r>
      <w:r>
        <w:rPr>
          <w:rFonts w:ascii="Arial" w:hAnsi="Arial" w:cs="Arial"/>
          <w:sz w:val="22"/>
          <w:lang w:val="en-AU" w:eastAsia="en-AU"/>
        </w:rPr>
        <w:t xml:space="preserve"> </w:t>
      </w:r>
      <w:r w:rsidRPr="00922E47">
        <w:rPr>
          <w:rFonts w:ascii="Arial" w:hAnsi="Arial" w:cs="Arial"/>
          <w:sz w:val="22"/>
          <w:lang w:val="en-AU" w:eastAsia="en-AU"/>
        </w:rPr>
        <w:t xml:space="preserve">The PBAC recommended no further changes to the current PBS restriction for </w:t>
      </w:r>
      <w:r w:rsidRPr="00922E47">
        <w:rPr>
          <w:rFonts w:ascii="Arial" w:hAnsi="Arial" w:cs="Arial"/>
          <w:bCs/>
          <w:sz w:val="22"/>
          <w:lang w:val="en-AU" w:eastAsia="en-AU"/>
        </w:rPr>
        <w:t xml:space="preserve">botulinum toxin type A (Botox®) for chronic migraine. </w:t>
      </w:r>
      <w:r w:rsidR="00933952">
        <w:rPr>
          <w:rFonts w:ascii="Arial" w:hAnsi="Arial" w:cs="Arial"/>
          <w:bCs/>
          <w:sz w:val="22"/>
          <w:lang w:val="en-AU" w:eastAsia="en-AU"/>
        </w:rPr>
        <w:t xml:space="preserve">The PBAC noted requests from the </w:t>
      </w:r>
      <w:r w:rsidR="00933952" w:rsidRPr="00933952">
        <w:rPr>
          <w:rFonts w:ascii="Arial" w:hAnsi="Arial" w:cs="Arial"/>
          <w:bCs/>
          <w:sz w:val="22"/>
          <w:lang w:val="en-AU" w:eastAsia="en-AU"/>
        </w:rPr>
        <w:t xml:space="preserve">Australian and New Zealand Association of Neurologists </w:t>
      </w:r>
      <w:r w:rsidR="00933952">
        <w:rPr>
          <w:rFonts w:ascii="Arial" w:hAnsi="Arial" w:cs="Arial"/>
          <w:bCs/>
          <w:sz w:val="22"/>
          <w:lang w:val="en-AU" w:eastAsia="en-AU"/>
        </w:rPr>
        <w:t xml:space="preserve">to add additional options to the list of prophylactic medicines that patients need to trial at least three of prior to botulinum toxin, and </w:t>
      </w:r>
      <w:r w:rsidR="00933952" w:rsidRPr="00933952">
        <w:rPr>
          <w:rFonts w:ascii="Arial" w:hAnsi="Arial" w:cs="Arial"/>
          <w:bCs/>
          <w:sz w:val="22"/>
          <w:lang w:val="en-AU" w:eastAsia="en-AU"/>
        </w:rPr>
        <w:t>to allow retreatment after cycles of 10 weeks</w:t>
      </w:r>
      <w:r w:rsidR="00933952">
        <w:rPr>
          <w:rFonts w:ascii="Arial" w:hAnsi="Arial" w:cs="Arial"/>
          <w:bCs/>
          <w:sz w:val="22"/>
          <w:lang w:val="en-AU" w:eastAsia="en-AU"/>
        </w:rPr>
        <w:t xml:space="preserve">. </w:t>
      </w:r>
      <w:r w:rsidRPr="00922E47">
        <w:rPr>
          <w:rFonts w:ascii="Arial" w:hAnsi="Arial" w:cs="Arial"/>
          <w:bCs/>
          <w:sz w:val="22"/>
          <w:lang w:val="en-AU" w:eastAsia="en-AU"/>
        </w:rPr>
        <w:t>The PBAC considered it has not been presented with sufficient evidence to expand the list of prophylactic medicines or to change the required length of the treatment cycle. Administration more frequently than every 12 weeks has not been assessed for cost-effectiveness and the PBAC did not agree that such a change would not amount to significantly greater overall usage.</w:t>
      </w:r>
    </w:p>
    <w:p w:rsidR="00F514E4" w:rsidRPr="003172AB" w:rsidRDefault="00F514E4" w:rsidP="00A31269">
      <w:pPr>
        <w:contextualSpacing/>
        <w:jc w:val="both"/>
        <w:rPr>
          <w:rFonts w:ascii="Arial" w:hAnsi="Arial" w:cs="Arial"/>
          <w:sz w:val="22"/>
          <w:lang w:val="en-AU" w:eastAsia="en-AU"/>
        </w:rPr>
      </w:pPr>
    </w:p>
    <w:p w:rsidR="00D7136A" w:rsidRPr="00A31269" w:rsidRDefault="00156D69" w:rsidP="00D7136A">
      <w:pPr>
        <w:pStyle w:val="DepartmentalHeading2"/>
        <w:spacing w:before="0" w:after="0"/>
        <w:jc w:val="both"/>
        <w:rPr>
          <w:rFonts w:cs="Arial"/>
          <w:sz w:val="22"/>
          <w:szCs w:val="24"/>
        </w:rPr>
      </w:pPr>
      <w:r>
        <w:rPr>
          <w:rFonts w:cs="Arial"/>
          <w:sz w:val="22"/>
          <w:szCs w:val="24"/>
        </w:rPr>
        <w:t>Biologic medicines for Crohn disease</w:t>
      </w:r>
    </w:p>
    <w:p w:rsidR="00A74CCD" w:rsidRPr="00A74CCD" w:rsidRDefault="00F514E4" w:rsidP="00A74CCD">
      <w:pPr>
        <w:jc w:val="both"/>
        <w:rPr>
          <w:rFonts w:ascii="Arial" w:hAnsi="Arial" w:cs="Arial"/>
          <w:bCs/>
          <w:sz w:val="22"/>
          <w:lang w:val="en-AU" w:eastAsia="en-AU"/>
        </w:rPr>
      </w:pPr>
      <w:r w:rsidRPr="00F514E4">
        <w:rPr>
          <w:rFonts w:ascii="Arial" w:hAnsi="Arial" w:cs="Arial"/>
          <w:bCs/>
          <w:sz w:val="22"/>
          <w:lang w:val="en-AU" w:eastAsia="en-AU"/>
        </w:rPr>
        <w:t xml:space="preserve">This report </w:t>
      </w:r>
      <w:r w:rsidR="00A74CCD">
        <w:rPr>
          <w:rFonts w:ascii="Arial" w:hAnsi="Arial" w:cs="Arial"/>
          <w:bCs/>
          <w:sz w:val="22"/>
          <w:lang w:val="en-AU" w:eastAsia="en-AU"/>
        </w:rPr>
        <w:t xml:space="preserve">considered the use of biologic medicines for the treatment of Crohn disease. </w:t>
      </w:r>
      <w:r w:rsidR="00A74CCD" w:rsidRPr="00A74CCD">
        <w:rPr>
          <w:rFonts w:ascii="Arial" w:hAnsi="Arial" w:cs="Arial"/>
          <w:bCs/>
          <w:sz w:val="22"/>
          <w:lang w:val="en-AU" w:eastAsia="en-AU"/>
        </w:rPr>
        <w:t>Use has steadily increased as continuation is much higher than in clinical trials.</w:t>
      </w:r>
      <w:r w:rsidR="00A74CCD">
        <w:rPr>
          <w:rFonts w:ascii="Arial" w:hAnsi="Arial" w:cs="Arial"/>
          <w:bCs/>
          <w:sz w:val="22"/>
          <w:lang w:val="en-AU" w:eastAsia="en-AU"/>
        </w:rPr>
        <w:t xml:space="preserve"> </w:t>
      </w:r>
      <w:r w:rsidR="00A74CCD" w:rsidRPr="00A74CCD">
        <w:rPr>
          <w:rFonts w:ascii="Arial" w:hAnsi="Arial" w:cs="Arial"/>
          <w:bCs/>
          <w:sz w:val="22"/>
          <w:lang w:val="en-AU" w:eastAsia="en-AU"/>
        </w:rPr>
        <w:t xml:space="preserve">It is unknown whether the actual pattern of use, with higher continuation rates, is cost-effective. </w:t>
      </w:r>
    </w:p>
    <w:p w:rsidR="00F514E4" w:rsidRDefault="00F514E4" w:rsidP="00D7136A">
      <w:pPr>
        <w:jc w:val="both"/>
        <w:rPr>
          <w:rFonts w:ascii="Arial" w:hAnsi="Arial" w:cs="Arial"/>
          <w:bCs/>
          <w:color w:val="A6A6A6"/>
          <w:sz w:val="22"/>
          <w:lang w:val="en-AU" w:eastAsia="en-AU"/>
        </w:rPr>
      </w:pPr>
    </w:p>
    <w:p w:rsidR="008A4311" w:rsidRPr="008A4311" w:rsidRDefault="008A4311" w:rsidP="00D7136A">
      <w:pPr>
        <w:jc w:val="both"/>
        <w:rPr>
          <w:rFonts w:ascii="Arial" w:hAnsi="Arial" w:cs="Arial"/>
          <w:bCs/>
          <w:i/>
          <w:sz w:val="22"/>
          <w:lang w:val="en-AU" w:eastAsia="en-AU"/>
        </w:rPr>
      </w:pPr>
      <w:r w:rsidRPr="008A4311">
        <w:rPr>
          <w:rFonts w:ascii="Arial" w:hAnsi="Arial" w:cs="Arial"/>
          <w:bCs/>
          <w:i/>
          <w:sz w:val="22"/>
          <w:lang w:val="en-AU" w:eastAsia="en-AU"/>
        </w:rPr>
        <w:t>Outcome</w:t>
      </w:r>
    </w:p>
    <w:p w:rsidR="00A74CCD" w:rsidRPr="001D0B69" w:rsidRDefault="008A4311" w:rsidP="001D0B69">
      <w:pPr>
        <w:jc w:val="both"/>
        <w:rPr>
          <w:rFonts w:ascii="Arial" w:hAnsi="Arial" w:cs="Arial"/>
          <w:bCs/>
          <w:sz w:val="22"/>
          <w:lang w:val="en-AU" w:eastAsia="en-AU"/>
        </w:rPr>
      </w:pPr>
      <w:r w:rsidRPr="008A4311">
        <w:rPr>
          <w:rFonts w:ascii="Arial" w:hAnsi="Arial" w:cs="Arial"/>
          <w:bCs/>
          <w:sz w:val="22"/>
          <w:lang w:val="en-AU" w:eastAsia="en-AU"/>
        </w:rPr>
        <w:t>The PBAC</w:t>
      </w:r>
      <w:r w:rsidR="00A74CCD">
        <w:rPr>
          <w:rFonts w:ascii="Arial" w:hAnsi="Arial" w:cs="Arial"/>
          <w:bCs/>
          <w:sz w:val="22"/>
          <w:lang w:val="en-AU" w:eastAsia="en-AU"/>
        </w:rPr>
        <w:t xml:space="preserve"> noted the higher continuation rates in practice and recalled that h</w:t>
      </w:r>
      <w:r w:rsidR="00A74CCD" w:rsidRPr="00A74CCD">
        <w:rPr>
          <w:rFonts w:ascii="Arial" w:hAnsi="Arial" w:cs="Arial"/>
          <w:bCs/>
          <w:sz w:val="22"/>
          <w:lang w:val="en-AU" w:eastAsia="en-AU"/>
        </w:rPr>
        <w:t>igher continuation of biologics in practice has been observed for other conditions; for example, rheumatoid arthritis.</w:t>
      </w:r>
      <w:r w:rsidR="00A74CCD">
        <w:rPr>
          <w:rFonts w:ascii="Arial" w:hAnsi="Arial" w:cs="Arial"/>
          <w:bCs/>
          <w:sz w:val="22"/>
          <w:lang w:val="en-AU" w:eastAsia="en-AU"/>
        </w:rPr>
        <w:t xml:space="preserve"> </w:t>
      </w:r>
      <w:r w:rsidR="00A74CCD" w:rsidRPr="00A74CCD">
        <w:rPr>
          <w:rFonts w:ascii="Arial" w:hAnsi="Arial" w:cs="Arial"/>
          <w:bCs/>
          <w:sz w:val="22"/>
          <w:lang w:val="en-AU" w:eastAsia="en-AU"/>
        </w:rPr>
        <w:t xml:space="preserve">The PBAC considered that there is insufficient information to assess the </w:t>
      </w:r>
      <w:r w:rsidR="00A74CCD">
        <w:rPr>
          <w:rFonts w:ascii="Arial" w:hAnsi="Arial" w:cs="Arial"/>
          <w:bCs/>
          <w:sz w:val="22"/>
          <w:lang w:val="en-AU" w:eastAsia="en-AU"/>
        </w:rPr>
        <w:t>reasons for the higher</w:t>
      </w:r>
      <w:r w:rsidR="00A74CCD" w:rsidRPr="00A74CCD">
        <w:rPr>
          <w:rFonts w:ascii="Arial" w:hAnsi="Arial" w:cs="Arial"/>
          <w:bCs/>
          <w:sz w:val="22"/>
          <w:lang w:val="en-AU" w:eastAsia="en-AU"/>
        </w:rPr>
        <w:t xml:space="preserve"> continuation rates </w:t>
      </w:r>
      <w:r w:rsidR="001D0B69">
        <w:rPr>
          <w:rFonts w:ascii="Arial" w:hAnsi="Arial" w:cs="Arial"/>
          <w:bCs/>
          <w:sz w:val="22"/>
          <w:lang w:val="en-AU" w:eastAsia="en-AU"/>
        </w:rPr>
        <w:t xml:space="preserve">in practice </w:t>
      </w:r>
      <w:r w:rsidR="00A74CCD" w:rsidRPr="00A74CCD">
        <w:rPr>
          <w:rFonts w:ascii="Arial" w:hAnsi="Arial" w:cs="Arial"/>
          <w:bCs/>
          <w:sz w:val="22"/>
          <w:lang w:val="en-AU" w:eastAsia="en-AU"/>
        </w:rPr>
        <w:t xml:space="preserve">and the impact of </w:t>
      </w:r>
      <w:r w:rsidR="001D0B69">
        <w:rPr>
          <w:rFonts w:ascii="Arial" w:hAnsi="Arial" w:cs="Arial"/>
          <w:bCs/>
          <w:sz w:val="22"/>
          <w:lang w:val="en-AU" w:eastAsia="en-AU"/>
        </w:rPr>
        <w:t>this</w:t>
      </w:r>
      <w:r w:rsidR="00A74CCD" w:rsidRPr="00A74CCD">
        <w:rPr>
          <w:rFonts w:ascii="Arial" w:hAnsi="Arial" w:cs="Arial"/>
          <w:bCs/>
          <w:sz w:val="22"/>
          <w:lang w:val="en-AU" w:eastAsia="en-AU"/>
        </w:rPr>
        <w:t xml:space="preserve"> on outcomes and cost-effectiveness.</w:t>
      </w:r>
      <w:r w:rsidR="00A74CCD">
        <w:rPr>
          <w:rFonts w:ascii="Arial" w:hAnsi="Arial" w:cs="Arial"/>
          <w:bCs/>
          <w:sz w:val="22"/>
          <w:lang w:val="en-AU" w:eastAsia="en-AU"/>
        </w:rPr>
        <w:t xml:space="preserve"> </w:t>
      </w:r>
      <w:r w:rsidR="00A74CCD" w:rsidRPr="00A74CCD">
        <w:rPr>
          <w:rFonts w:ascii="Arial" w:hAnsi="Arial" w:cs="Arial"/>
          <w:bCs/>
          <w:sz w:val="22"/>
          <w:lang w:val="en-AU" w:eastAsia="en-AU"/>
        </w:rPr>
        <w:t>The PBAC considered that the use of biologics for Crohn disease may continue to increase because of the very high continuation rates and if patients receive treatment with biologics earlier in their treatment course.</w:t>
      </w:r>
      <w:r w:rsidR="00A74CCD">
        <w:rPr>
          <w:rFonts w:ascii="Arial" w:hAnsi="Arial" w:cs="Arial"/>
          <w:bCs/>
          <w:sz w:val="22"/>
          <w:lang w:val="en-AU" w:eastAsia="en-AU"/>
        </w:rPr>
        <w:t xml:space="preserve"> </w:t>
      </w:r>
      <w:r w:rsidR="00A74CCD" w:rsidRPr="001D0B69">
        <w:rPr>
          <w:rFonts w:ascii="Arial" w:hAnsi="Arial" w:cs="Arial"/>
          <w:bCs/>
          <w:sz w:val="22"/>
          <w:lang w:val="en-AU" w:eastAsia="en-AU"/>
        </w:rPr>
        <w:t xml:space="preserve">The PBAC recommended that the issue of whether the patterns of </w:t>
      </w:r>
      <w:r w:rsidR="00A74CCD" w:rsidRPr="001D0B69">
        <w:rPr>
          <w:rFonts w:ascii="Arial" w:hAnsi="Arial" w:cs="Arial"/>
          <w:bCs/>
          <w:sz w:val="22"/>
          <w:lang w:val="en-AU" w:eastAsia="en-AU"/>
        </w:rPr>
        <w:lastRenderedPageBreak/>
        <w:t>use of biologics in clinical practice are cost-effective be re-evaluated at a later date, taking account of factors that may influence continuation rates and any changes in</w:t>
      </w:r>
      <w:r w:rsidR="00527112">
        <w:rPr>
          <w:rFonts w:ascii="Arial" w:hAnsi="Arial" w:cs="Arial"/>
          <w:bCs/>
          <w:sz w:val="22"/>
          <w:lang w:val="en-AU" w:eastAsia="en-AU"/>
        </w:rPr>
        <w:t xml:space="preserve"> requirement for </w:t>
      </w:r>
      <w:r w:rsidR="00A74CCD" w:rsidRPr="001D0B69">
        <w:rPr>
          <w:rFonts w:ascii="Arial" w:hAnsi="Arial" w:cs="Arial"/>
          <w:bCs/>
          <w:sz w:val="22"/>
          <w:lang w:val="en-AU" w:eastAsia="en-AU"/>
        </w:rPr>
        <w:t xml:space="preserve">surgical </w:t>
      </w:r>
      <w:r w:rsidR="00527112">
        <w:rPr>
          <w:rFonts w:ascii="Arial" w:hAnsi="Arial" w:cs="Arial"/>
          <w:bCs/>
          <w:sz w:val="22"/>
          <w:lang w:val="en-AU" w:eastAsia="en-AU"/>
        </w:rPr>
        <w:t>procedures and other</w:t>
      </w:r>
      <w:r w:rsidR="00A74CCD" w:rsidRPr="001D0B69">
        <w:rPr>
          <w:rFonts w:ascii="Arial" w:hAnsi="Arial" w:cs="Arial"/>
          <w:bCs/>
          <w:sz w:val="22"/>
          <w:lang w:val="en-AU" w:eastAsia="en-AU"/>
        </w:rPr>
        <w:t xml:space="preserve"> outcomes. The PBAC considered that the issue should be presented in the context of relevant initiatives and/or changes in costs associated with the entry of biosimilar medicines. </w:t>
      </w:r>
      <w:r w:rsidR="00A74CCD" w:rsidRPr="001D0B69" w:rsidDel="001F7CDE">
        <w:rPr>
          <w:rFonts w:ascii="Arial" w:hAnsi="Arial" w:cs="Arial"/>
          <w:bCs/>
          <w:sz w:val="22"/>
          <w:lang w:val="en-AU" w:eastAsia="en-AU"/>
        </w:rPr>
        <w:t xml:space="preserve"> </w:t>
      </w:r>
    </w:p>
    <w:p w:rsidR="00D7136A" w:rsidRPr="00397836" w:rsidRDefault="00D7136A" w:rsidP="00D7136A">
      <w:pPr>
        <w:jc w:val="both"/>
        <w:rPr>
          <w:rFonts w:ascii="Arial" w:hAnsi="Arial" w:cs="Arial"/>
          <w:color w:val="A6A6A6"/>
          <w:sz w:val="22"/>
          <w:lang w:val="en-AU" w:eastAsia="en-AU"/>
        </w:rPr>
      </w:pPr>
    </w:p>
    <w:p w:rsidR="00A31269" w:rsidRPr="00A31269" w:rsidRDefault="00DA2A81" w:rsidP="00A31269">
      <w:pPr>
        <w:pStyle w:val="DepartmentalHeading2"/>
        <w:spacing w:before="0" w:after="0"/>
        <w:jc w:val="both"/>
        <w:rPr>
          <w:rFonts w:cs="Arial"/>
          <w:sz w:val="22"/>
          <w:szCs w:val="24"/>
        </w:rPr>
      </w:pPr>
      <w:r>
        <w:rPr>
          <w:rFonts w:cs="Arial"/>
          <w:sz w:val="22"/>
          <w:szCs w:val="24"/>
        </w:rPr>
        <w:t>Medicines for ulcerative colitis</w:t>
      </w:r>
    </w:p>
    <w:p w:rsidR="008A4311" w:rsidRPr="001D0B69" w:rsidRDefault="00641F0C" w:rsidP="00DA2A81">
      <w:pPr>
        <w:jc w:val="both"/>
        <w:rPr>
          <w:rFonts w:ascii="Arial" w:hAnsi="Arial" w:cs="Arial"/>
          <w:bCs/>
          <w:sz w:val="22"/>
          <w:lang w:val="en-AU" w:eastAsia="en-AU"/>
        </w:rPr>
      </w:pPr>
      <w:r w:rsidRPr="00641F0C">
        <w:rPr>
          <w:rFonts w:ascii="Arial" w:hAnsi="Arial" w:cs="Arial"/>
          <w:sz w:val="22"/>
          <w:lang w:val="en-AU" w:eastAsia="en-AU"/>
        </w:rPr>
        <w:t xml:space="preserve">This report </w:t>
      </w:r>
      <w:r w:rsidR="001D0B69">
        <w:rPr>
          <w:rFonts w:ascii="Arial" w:hAnsi="Arial" w:cs="Arial"/>
          <w:sz w:val="22"/>
          <w:lang w:val="en-AU" w:eastAsia="en-AU"/>
        </w:rPr>
        <w:t xml:space="preserve">considered the use of medicines for the treatment of ulcerative colitis; including the predicted versus actual use of biologics for acute severe and moderate to severe disease. </w:t>
      </w:r>
      <w:r w:rsidR="001D0B69" w:rsidRPr="001D0B69">
        <w:rPr>
          <w:rFonts w:ascii="Arial" w:hAnsi="Arial" w:cs="Arial"/>
          <w:bCs/>
          <w:sz w:val="22"/>
          <w:lang w:val="en-AU" w:eastAsia="en-AU"/>
        </w:rPr>
        <w:t xml:space="preserve">Biologics </w:t>
      </w:r>
      <w:r w:rsidR="001D0B69">
        <w:rPr>
          <w:rFonts w:ascii="Arial" w:hAnsi="Arial" w:cs="Arial"/>
          <w:bCs/>
          <w:sz w:val="22"/>
          <w:lang w:val="en-AU" w:eastAsia="en-AU"/>
        </w:rPr>
        <w:t>were</w:t>
      </w:r>
      <w:r w:rsidR="001D0B69" w:rsidRPr="001D0B69">
        <w:rPr>
          <w:rFonts w:ascii="Arial" w:hAnsi="Arial" w:cs="Arial"/>
          <w:bCs/>
          <w:sz w:val="22"/>
          <w:lang w:val="en-AU" w:eastAsia="en-AU"/>
        </w:rPr>
        <w:t xml:space="preserve"> listed</w:t>
      </w:r>
      <w:r w:rsidR="001D0B69">
        <w:rPr>
          <w:rFonts w:ascii="Arial" w:hAnsi="Arial" w:cs="Arial"/>
          <w:bCs/>
          <w:sz w:val="22"/>
          <w:lang w:val="en-AU" w:eastAsia="en-AU"/>
        </w:rPr>
        <w:t xml:space="preserve"> for the treatment of ulcerative colitis</w:t>
      </w:r>
      <w:r w:rsidR="001D0B69" w:rsidRPr="001D0B69">
        <w:rPr>
          <w:rFonts w:ascii="Arial" w:hAnsi="Arial" w:cs="Arial"/>
          <w:bCs/>
          <w:sz w:val="22"/>
          <w:lang w:val="en-AU" w:eastAsia="en-AU"/>
        </w:rPr>
        <w:t xml:space="preserve"> relatively recently and their use is low in the context of the entire market, although use is increasing.</w:t>
      </w:r>
      <w:r w:rsidR="001D0B69">
        <w:rPr>
          <w:rFonts w:ascii="Arial" w:hAnsi="Arial" w:cs="Arial"/>
          <w:bCs/>
          <w:sz w:val="22"/>
          <w:lang w:val="en-AU" w:eastAsia="en-AU"/>
        </w:rPr>
        <w:t xml:space="preserve"> </w:t>
      </w:r>
      <w:r w:rsidR="001D0B69" w:rsidRPr="001D0B69">
        <w:rPr>
          <w:rFonts w:ascii="Arial" w:hAnsi="Arial" w:cs="Arial"/>
          <w:bCs/>
          <w:sz w:val="22"/>
          <w:lang w:val="en-AU" w:eastAsia="en-AU"/>
        </w:rPr>
        <w:t>Mesalazine is the most commonly prescribed medicine</w:t>
      </w:r>
      <w:r w:rsidR="001D0B69">
        <w:rPr>
          <w:rFonts w:ascii="Arial" w:hAnsi="Arial" w:cs="Arial"/>
          <w:bCs/>
          <w:sz w:val="22"/>
          <w:lang w:val="en-AU" w:eastAsia="en-AU"/>
        </w:rPr>
        <w:t xml:space="preserve"> for ulcerative colitis;</w:t>
      </w:r>
      <w:r w:rsidR="001D0B69" w:rsidRPr="001D0B69">
        <w:rPr>
          <w:rFonts w:ascii="Arial" w:hAnsi="Arial" w:cs="Arial"/>
          <w:bCs/>
          <w:sz w:val="22"/>
          <w:lang w:val="en-AU" w:eastAsia="en-AU"/>
        </w:rPr>
        <w:t xml:space="preserve"> and use of all forms of mesalazine is increasing.</w:t>
      </w:r>
      <w:r w:rsidR="001D0B69">
        <w:rPr>
          <w:rFonts w:ascii="Arial" w:hAnsi="Arial" w:cs="Arial"/>
          <w:bCs/>
          <w:sz w:val="22"/>
          <w:lang w:val="en-AU" w:eastAsia="en-AU"/>
        </w:rPr>
        <w:t xml:space="preserve"> </w:t>
      </w:r>
      <w:r w:rsidR="00AC0FFB">
        <w:rPr>
          <w:rFonts w:ascii="Arial" w:hAnsi="Arial" w:cs="Arial"/>
          <w:bCs/>
          <w:sz w:val="22"/>
          <w:lang w:val="en-AU" w:eastAsia="en-AU"/>
        </w:rPr>
        <w:t>T</w:t>
      </w:r>
      <w:r w:rsidR="00AC0FFB" w:rsidRPr="00AC0FFB">
        <w:rPr>
          <w:rFonts w:ascii="Arial" w:hAnsi="Arial" w:cs="Arial"/>
          <w:bCs/>
          <w:sz w:val="22"/>
          <w:lang w:val="en-AU" w:eastAsia="en-AU"/>
        </w:rPr>
        <w:t>he increasing number of prescriptions for mesalazine may be due to</w:t>
      </w:r>
      <w:r w:rsidR="00AC0FFB">
        <w:rPr>
          <w:rFonts w:ascii="Arial" w:hAnsi="Arial" w:cs="Arial"/>
          <w:bCs/>
          <w:sz w:val="22"/>
          <w:lang w:val="en-AU" w:eastAsia="en-AU"/>
        </w:rPr>
        <w:t xml:space="preserve"> more people receiving this treatment or</w:t>
      </w:r>
      <w:r w:rsidR="00AC0FFB" w:rsidRPr="00AC0FFB">
        <w:rPr>
          <w:rFonts w:ascii="Arial" w:hAnsi="Arial" w:cs="Arial"/>
          <w:bCs/>
          <w:sz w:val="22"/>
          <w:lang w:val="en-AU" w:eastAsia="en-AU"/>
        </w:rPr>
        <w:t xml:space="preserve"> dose escalation</w:t>
      </w:r>
      <w:r w:rsidR="00AC0FFB">
        <w:rPr>
          <w:rFonts w:ascii="Arial" w:hAnsi="Arial" w:cs="Arial"/>
          <w:bCs/>
          <w:sz w:val="22"/>
          <w:lang w:val="en-AU" w:eastAsia="en-AU"/>
        </w:rPr>
        <w:t>.</w:t>
      </w:r>
      <w:r w:rsidR="00AC0FFB" w:rsidRPr="00AC0FFB">
        <w:rPr>
          <w:rFonts w:ascii="Arial" w:hAnsi="Arial" w:cs="Arial"/>
          <w:bCs/>
          <w:sz w:val="22"/>
          <w:lang w:val="en-AU" w:eastAsia="en-AU"/>
        </w:rPr>
        <w:t xml:space="preserve"> </w:t>
      </w:r>
      <w:r w:rsidR="001D0B69" w:rsidRPr="001D0B69">
        <w:rPr>
          <w:rFonts w:ascii="Arial" w:hAnsi="Arial" w:cs="Arial"/>
          <w:bCs/>
          <w:sz w:val="22"/>
          <w:lang w:val="en-AU" w:eastAsia="en-AU"/>
        </w:rPr>
        <w:t xml:space="preserve">The PBS restrictions for oral mesalazine, balsalazide and olsalazine require the patient to have a documented hypersensitivity reaction to a </w:t>
      </w:r>
      <w:proofErr w:type="spellStart"/>
      <w:r w:rsidR="001D0B69" w:rsidRPr="001D0B69">
        <w:rPr>
          <w:rFonts w:ascii="Arial" w:hAnsi="Arial" w:cs="Arial"/>
          <w:bCs/>
          <w:sz w:val="22"/>
          <w:lang w:val="en-AU" w:eastAsia="en-AU"/>
        </w:rPr>
        <w:t>sulfonamide</w:t>
      </w:r>
      <w:proofErr w:type="spellEnd"/>
      <w:r w:rsidR="001D0B69" w:rsidRPr="001D0B69">
        <w:rPr>
          <w:rFonts w:ascii="Arial" w:hAnsi="Arial" w:cs="Arial"/>
          <w:bCs/>
          <w:sz w:val="22"/>
          <w:lang w:val="en-AU" w:eastAsia="en-AU"/>
        </w:rPr>
        <w:t xml:space="preserve"> or be intolerant to sulfasalazine. PBS data indicate that at least half of patients who initiated treatment for </w:t>
      </w:r>
      <w:r w:rsidR="001D0B69">
        <w:rPr>
          <w:rFonts w:ascii="Arial" w:hAnsi="Arial" w:cs="Arial"/>
          <w:bCs/>
          <w:sz w:val="22"/>
          <w:lang w:val="en-AU" w:eastAsia="en-AU"/>
        </w:rPr>
        <w:t>ulcerative colitis</w:t>
      </w:r>
      <w:r w:rsidR="001D0B69" w:rsidRPr="001D0B69">
        <w:rPr>
          <w:rFonts w:ascii="Arial" w:hAnsi="Arial" w:cs="Arial"/>
          <w:bCs/>
          <w:sz w:val="22"/>
          <w:lang w:val="en-AU" w:eastAsia="en-AU"/>
        </w:rPr>
        <w:t xml:space="preserve"> in 2015 initiated on mesalazine. </w:t>
      </w:r>
    </w:p>
    <w:p w:rsidR="008A4311" w:rsidRDefault="008A4311" w:rsidP="008A4311">
      <w:pPr>
        <w:contextualSpacing/>
        <w:jc w:val="both"/>
        <w:rPr>
          <w:rFonts w:ascii="Arial" w:hAnsi="Arial" w:cs="Arial"/>
          <w:color w:val="A6A6A6"/>
          <w:sz w:val="22"/>
          <w:lang w:val="en-AU" w:eastAsia="en-AU"/>
        </w:rPr>
      </w:pPr>
    </w:p>
    <w:p w:rsidR="00641F0C" w:rsidRPr="00641F0C" w:rsidRDefault="00641F0C" w:rsidP="008A4311">
      <w:pPr>
        <w:contextualSpacing/>
        <w:jc w:val="both"/>
        <w:rPr>
          <w:rFonts w:ascii="Arial" w:hAnsi="Arial" w:cs="Arial"/>
          <w:i/>
          <w:sz w:val="22"/>
          <w:lang w:val="en-AU" w:eastAsia="en-AU"/>
        </w:rPr>
      </w:pPr>
      <w:r w:rsidRPr="00641F0C">
        <w:rPr>
          <w:rFonts w:ascii="Arial" w:hAnsi="Arial" w:cs="Arial"/>
          <w:i/>
          <w:sz w:val="22"/>
          <w:lang w:val="en-AU" w:eastAsia="en-AU"/>
        </w:rPr>
        <w:t>Outcome</w:t>
      </w:r>
    </w:p>
    <w:p w:rsidR="008A4311" w:rsidRPr="001D0B69" w:rsidRDefault="008A4311" w:rsidP="001D0B69">
      <w:pPr>
        <w:contextualSpacing/>
        <w:rPr>
          <w:rFonts w:ascii="Arial" w:hAnsi="Arial" w:cs="Arial"/>
          <w:bCs/>
          <w:sz w:val="22"/>
          <w:lang w:val="en-AU" w:eastAsia="en-AU"/>
        </w:rPr>
      </w:pPr>
      <w:r w:rsidRPr="001D0B69">
        <w:rPr>
          <w:rFonts w:ascii="Arial" w:hAnsi="Arial" w:cs="Arial"/>
          <w:bCs/>
          <w:sz w:val="22"/>
          <w:lang w:val="en-AU" w:eastAsia="en-AU"/>
        </w:rPr>
        <w:t xml:space="preserve">The PBAC </w:t>
      </w:r>
      <w:r w:rsidR="001D0B69" w:rsidRPr="001D0B69">
        <w:rPr>
          <w:rFonts w:ascii="Arial" w:hAnsi="Arial" w:cs="Arial"/>
          <w:bCs/>
          <w:sz w:val="22"/>
          <w:lang w:val="en-AU" w:eastAsia="en-AU"/>
        </w:rPr>
        <w:t xml:space="preserve">questioned the cost-effectiveness of mesalazine where it is used in place of sulfasalazine or in higher doses. The PBAC deferred further consideration until the DUSC has assessed, to the extent possible from available data, the dose of mesalazine used in practice. </w:t>
      </w:r>
    </w:p>
    <w:p w:rsidR="00464DA0" w:rsidRPr="00397836" w:rsidRDefault="00464DA0" w:rsidP="00D7136A">
      <w:pPr>
        <w:contextualSpacing/>
        <w:jc w:val="both"/>
        <w:rPr>
          <w:rFonts w:ascii="Arial" w:hAnsi="Arial" w:cs="Arial"/>
          <w:noProof/>
          <w:color w:val="A6A6A6"/>
          <w:sz w:val="22"/>
          <w:lang w:val="en-AU" w:eastAsia="en-AU"/>
        </w:rPr>
      </w:pPr>
    </w:p>
    <w:p w:rsidR="00DA2A81" w:rsidRPr="00DA2A81" w:rsidRDefault="00DA2A81" w:rsidP="00DA2A81">
      <w:pPr>
        <w:contextualSpacing/>
        <w:jc w:val="both"/>
        <w:rPr>
          <w:rFonts w:ascii="Arial" w:hAnsi="Arial" w:cs="Arial"/>
          <w:b/>
          <w:bCs/>
          <w:sz w:val="22"/>
          <w:lang w:val="en-AU" w:eastAsia="en-AU"/>
        </w:rPr>
      </w:pPr>
      <w:r>
        <w:rPr>
          <w:rFonts w:ascii="Arial" w:hAnsi="Arial" w:cs="Arial"/>
          <w:b/>
          <w:sz w:val="22"/>
          <w:lang w:val="en-AU" w:eastAsia="en-AU"/>
        </w:rPr>
        <w:t xml:space="preserve">Tobramycin for </w:t>
      </w:r>
      <w:r w:rsidRPr="00DA2A81">
        <w:rPr>
          <w:rFonts w:ascii="Arial" w:hAnsi="Arial" w:cs="Arial"/>
          <w:b/>
          <w:bCs/>
          <w:i/>
          <w:sz w:val="22"/>
          <w:lang w:val="en-AU" w:eastAsia="en-AU"/>
        </w:rPr>
        <w:t>P. A</w:t>
      </w:r>
      <w:r>
        <w:rPr>
          <w:rFonts w:ascii="Arial" w:hAnsi="Arial" w:cs="Arial"/>
          <w:b/>
          <w:bCs/>
          <w:i/>
          <w:sz w:val="22"/>
          <w:lang w:val="en-AU" w:eastAsia="en-AU"/>
        </w:rPr>
        <w:t>eruginosa</w:t>
      </w:r>
      <w:r w:rsidRPr="00DA2A81">
        <w:rPr>
          <w:rFonts w:ascii="Arial" w:hAnsi="Arial" w:cs="Arial"/>
          <w:b/>
          <w:bCs/>
          <w:sz w:val="22"/>
          <w:lang w:val="en-AU" w:eastAsia="en-AU"/>
        </w:rPr>
        <w:t xml:space="preserve"> </w:t>
      </w:r>
      <w:r>
        <w:rPr>
          <w:rFonts w:ascii="Arial" w:hAnsi="Arial" w:cs="Arial"/>
          <w:b/>
          <w:bCs/>
          <w:sz w:val="22"/>
          <w:lang w:val="en-AU" w:eastAsia="en-AU"/>
        </w:rPr>
        <w:t>infection in cystic fibrosis</w:t>
      </w:r>
      <w:r w:rsidRPr="00DA2A81">
        <w:rPr>
          <w:rFonts w:ascii="Arial" w:hAnsi="Arial" w:cs="Arial"/>
          <w:b/>
          <w:bCs/>
          <w:sz w:val="22"/>
          <w:lang w:val="en-AU" w:eastAsia="en-AU"/>
        </w:rPr>
        <w:t xml:space="preserve"> </w:t>
      </w:r>
    </w:p>
    <w:p w:rsidR="00D7136A" w:rsidRPr="00A31269" w:rsidRDefault="00D7136A" w:rsidP="00D7136A">
      <w:pPr>
        <w:contextualSpacing/>
        <w:jc w:val="both"/>
        <w:rPr>
          <w:rFonts w:ascii="Arial" w:hAnsi="Arial" w:cs="Arial"/>
          <w:b/>
          <w:sz w:val="22"/>
          <w:lang w:val="en-AU" w:eastAsia="en-AU"/>
        </w:rPr>
      </w:pPr>
    </w:p>
    <w:p w:rsidR="00CB56CD" w:rsidRPr="007178BA" w:rsidRDefault="00CB56CD" w:rsidP="00D7136A">
      <w:pPr>
        <w:contextualSpacing/>
        <w:jc w:val="both"/>
        <w:rPr>
          <w:rFonts w:ascii="Arial" w:hAnsi="Arial" w:cs="Arial"/>
          <w:bCs/>
          <w:sz w:val="22"/>
          <w:lang w:val="en-AU" w:eastAsia="en-AU"/>
        </w:rPr>
      </w:pPr>
      <w:r w:rsidRPr="00CB56CD">
        <w:rPr>
          <w:rFonts w:ascii="Arial" w:hAnsi="Arial" w:cs="Arial"/>
          <w:sz w:val="22"/>
          <w:lang w:val="en-AU" w:eastAsia="en-AU"/>
        </w:rPr>
        <w:t xml:space="preserve">This report </w:t>
      </w:r>
      <w:r w:rsidR="001D0B69">
        <w:rPr>
          <w:rFonts w:ascii="Arial" w:hAnsi="Arial" w:cs="Arial"/>
          <w:sz w:val="22"/>
          <w:lang w:val="en-AU" w:eastAsia="en-AU"/>
        </w:rPr>
        <w:t xml:space="preserve">considered the use of inhaled tobramycin for the </w:t>
      </w:r>
      <w:r w:rsidR="001D0B69" w:rsidRPr="001D0B69">
        <w:rPr>
          <w:rFonts w:ascii="Arial" w:hAnsi="Arial" w:cs="Arial"/>
          <w:bCs/>
          <w:sz w:val="22"/>
          <w:lang w:val="en-AU" w:eastAsia="en-AU"/>
        </w:rPr>
        <w:t xml:space="preserve">treatment of </w:t>
      </w:r>
      <w:r w:rsidR="001D0B69">
        <w:rPr>
          <w:rFonts w:ascii="Arial" w:hAnsi="Arial" w:cs="Arial"/>
          <w:bCs/>
          <w:i/>
          <w:sz w:val="22"/>
          <w:lang w:val="en-AU" w:eastAsia="en-AU"/>
        </w:rPr>
        <w:t>P. </w:t>
      </w:r>
      <w:r w:rsidR="001D0B69" w:rsidRPr="001D0B69">
        <w:rPr>
          <w:rFonts w:ascii="Arial" w:hAnsi="Arial" w:cs="Arial"/>
          <w:bCs/>
          <w:i/>
          <w:sz w:val="22"/>
          <w:lang w:val="en-AU" w:eastAsia="en-AU"/>
        </w:rPr>
        <w:t>aeruginosa</w:t>
      </w:r>
      <w:r w:rsidR="001D0B69" w:rsidRPr="001D0B69">
        <w:rPr>
          <w:rFonts w:ascii="Arial" w:hAnsi="Arial" w:cs="Arial"/>
          <w:bCs/>
          <w:sz w:val="22"/>
          <w:lang w:val="en-AU" w:eastAsia="en-AU"/>
        </w:rPr>
        <w:t xml:space="preserve"> </w:t>
      </w:r>
      <w:r w:rsidR="001D0B69">
        <w:rPr>
          <w:rFonts w:ascii="Arial" w:hAnsi="Arial" w:cs="Arial"/>
          <w:bCs/>
          <w:sz w:val="22"/>
          <w:lang w:val="en-AU" w:eastAsia="en-AU"/>
        </w:rPr>
        <w:t xml:space="preserve">infection </w:t>
      </w:r>
      <w:r w:rsidR="001D0B69" w:rsidRPr="001D0B69">
        <w:rPr>
          <w:rFonts w:ascii="Arial" w:hAnsi="Arial" w:cs="Arial"/>
          <w:bCs/>
          <w:sz w:val="22"/>
          <w:lang w:val="en-AU" w:eastAsia="en-AU"/>
        </w:rPr>
        <w:t>in patients with cystic fibrosis.</w:t>
      </w:r>
      <w:r w:rsidR="004D4DEE">
        <w:rPr>
          <w:rFonts w:ascii="Arial" w:hAnsi="Arial" w:cs="Arial"/>
          <w:bCs/>
          <w:sz w:val="22"/>
          <w:lang w:val="en-AU" w:eastAsia="en-AU"/>
        </w:rPr>
        <w:t xml:space="preserve"> This included tobramycin inhalation powder (TIP) and tobramycin solution for inhalation (TSI). </w:t>
      </w:r>
      <w:r w:rsidR="004D4DEE" w:rsidRPr="004D4DEE">
        <w:rPr>
          <w:rFonts w:ascii="Arial" w:hAnsi="Arial" w:cs="Arial"/>
          <w:bCs/>
          <w:sz w:val="22"/>
          <w:lang w:val="en-AU" w:eastAsia="en-AU"/>
        </w:rPr>
        <w:t>The total number of patients using any form of inhaled tobramycin was higher than expected, but the proportion of these that used tobramycin inhalation powder (TIP) was lower than expected.</w:t>
      </w:r>
    </w:p>
    <w:p w:rsidR="00CB56CD" w:rsidRDefault="00CB56CD" w:rsidP="00D7136A">
      <w:pPr>
        <w:contextualSpacing/>
        <w:jc w:val="both"/>
        <w:rPr>
          <w:rFonts w:ascii="Arial" w:hAnsi="Arial" w:cs="Arial"/>
          <w:sz w:val="22"/>
          <w:lang w:val="en-AU" w:eastAsia="en-AU"/>
        </w:rPr>
      </w:pPr>
    </w:p>
    <w:p w:rsidR="00BC3BE5" w:rsidRPr="00BC3BE5" w:rsidRDefault="00BC3BE5" w:rsidP="00BC3BE5">
      <w:pPr>
        <w:contextualSpacing/>
        <w:jc w:val="both"/>
        <w:rPr>
          <w:rFonts w:ascii="Arial" w:hAnsi="Arial" w:cs="Arial"/>
          <w:i/>
          <w:sz w:val="22"/>
          <w:lang w:val="en-AU" w:eastAsia="en-AU"/>
        </w:rPr>
      </w:pPr>
      <w:r w:rsidRPr="00BC3BE5">
        <w:rPr>
          <w:rFonts w:ascii="Arial" w:hAnsi="Arial" w:cs="Arial"/>
          <w:i/>
          <w:sz w:val="22"/>
          <w:lang w:val="en-AU" w:eastAsia="en-AU"/>
        </w:rPr>
        <w:t>Outcome</w:t>
      </w:r>
    </w:p>
    <w:p w:rsidR="004E76AE" w:rsidRPr="00DA2A81" w:rsidRDefault="00BC3BE5" w:rsidP="00DA2A81">
      <w:pPr>
        <w:contextualSpacing/>
        <w:jc w:val="both"/>
        <w:rPr>
          <w:rFonts w:ascii="Arial" w:hAnsi="Arial" w:cs="Arial"/>
          <w:color w:val="A6A6A6"/>
          <w:sz w:val="22"/>
          <w:lang w:val="en-AU" w:eastAsia="en-AU"/>
        </w:rPr>
      </w:pPr>
      <w:r w:rsidRPr="00BC3BE5">
        <w:rPr>
          <w:rFonts w:ascii="Arial" w:hAnsi="Arial" w:cs="Arial"/>
          <w:sz w:val="22"/>
          <w:lang w:val="en-AU" w:eastAsia="en-AU"/>
        </w:rPr>
        <w:t xml:space="preserve">The PBAC </w:t>
      </w:r>
      <w:r w:rsidR="007178BA" w:rsidRPr="007178BA">
        <w:rPr>
          <w:rFonts w:ascii="Arial" w:hAnsi="Arial" w:cs="Arial"/>
          <w:sz w:val="22"/>
          <w:lang w:val="en-AU" w:eastAsia="en-AU"/>
        </w:rPr>
        <w:t>noted the report and recommended no further action.</w:t>
      </w:r>
    </w:p>
    <w:sectPr w:rsidR="004E76AE" w:rsidRPr="00DA2A81"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36" w:rsidRDefault="00397836">
      <w:r>
        <w:separator/>
      </w:r>
    </w:p>
  </w:endnote>
  <w:endnote w:type="continuationSeparator" w:id="0">
    <w:p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166AA1">
      <w:rPr>
        <w:rFonts w:ascii="Arial" w:hAnsi="Arial" w:cs="Arial"/>
        <w:noProof/>
        <w:sz w:val="22"/>
      </w:rPr>
      <w:t>2</w:t>
    </w:r>
    <w:r w:rsidRPr="004630FE">
      <w:rPr>
        <w:rFonts w:ascii="Arial" w:hAnsi="Arial" w:cs="Arial"/>
        <w:noProof/>
        <w:sz w:val="22"/>
      </w:rPr>
      <w:fldChar w:fldCharType="end"/>
    </w:r>
  </w:p>
  <w:p w:rsidR="004630FE" w:rsidRDefault="0046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36" w:rsidRDefault="00397836">
      <w:r>
        <w:separator/>
      </w:r>
    </w:p>
  </w:footnote>
  <w:footnote w:type="continuationSeparator" w:id="0">
    <w:p w:rsidR="00397836" w:rsidRDefault="00397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520B6E" w:rsidRDefault="00DC7A41" w:rsidP="004630FE">
    <w:pPr>
      <w:tabs>
        <w:tab w:val="center" w:pos="4153"/>
        <w:tab w:val="right" w:pos="8306"/>
      </w:tabs>
      <w:jc w:val="center"/>
      <w:rPr>
        <w:rFonts w:ascii="Arial" w:hAnsi="Arial" w:cs="Arial"/>
        <w:b/>
        <w:sz w:val="20"/>
      </w:rPr>
    </w:pPr>
    <w:r>
      <w:rPr>
        <w:rFonts w:ascii="Arial" w:hAnsi="Arial" w:cs="Arial"/>
        <w:b/>
        <w:sz w:val="20"/>
      </w:rPr>
      <w:t>JULY</w:t>
    </w:r>
    <w:r w:rsidR="00341E66" w:rsidRPr="00341E66">
      <w:rPr>
        <w:rFonts w:ascii="Arial" w:hAnsi="Arial" w:cs="Arial"/>
        <w:b/>
        <w:sz w:val="20"/>
      </w:rPr>
      <w:t xml:space="preserve"> 2017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rsidR="004630FE" w:rsidRDefault="00463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6A"/>
    <w:rsid w:val="00034F16"/>
    <w:rsid w:val="0006056A"/>
    <w:rsid w:val="00095F78"/>
    <w:rsid w:val="000A2CDC"/>
    <w:rsid w:val="000B2DD0"/>
    <w:rsid w:val="00156D69"/>
    <w:rsid w:val="00166AA1"/>
    <w:rsid w:val="001D0B69"/>
    <w:rsid w:val="001D45AF"/>
    <w:rsid w:val="00251848"/>
    <w:rsid w:val="00267A9D"/>
    <w:rsid w:val="002D4006"/>
    <w:rsid w:val="003172AB"/>
    <w:rsid w:val="00341E66"/>
    <w:rsid w:val="00397836"/>
    <w:rsid w:val="004630FE"/>
    <w:rsid w:val="00464DA0"/>
    <w:rsid w:val="004D4DEE"/>
    <w:rsid w:val="004E76AE"/>
    <w:rsid w:val="00527112"/>
    <w:rsid w:val="00565336"/>
    <w:rsid w:val="006102C6"/>
    <w:rsid w:val="00641F0C"/>
    <w:rsid w:val="00666863"/>
    <w:rsid w:val="00677683"/>
    <w:rsid w:val="006A2EB2"/>
    <w:rsid w:val="007178BA"/>
    <w:rsid w:val="007A2421"/>
    <w:rsid w:val="007E2325"/>
    <w:rsid w:val="007F4E20"/>
    <w:rsid w:val="00816A6C"/>
    <w:rsid w:val="008545D1"/>
    <w:rsid w:val="008752A2"/>
    <w:rsid w:val="008A4311"/>
    <w:rsid w:val="00922E47"/>
    <w:rsid w:val="00933952"/>
    <w:rsid w:val="009E7E00"/>
    <w:rsid w:val="00A0539F"/>
    <w:rsid w:val="00A31269"/>
    <w:rsid w:val="00A70179"/>
    <w:rsid w:val="00A74CCD"/>
    <w:rsid w:val="00A9331B"/>
    <w:rsid w:val="00AC0FFB"/>
    <w:rsid w:val="00B532C3"/>
    <w:rsid w:val="00B94AFC"/>
    <w:rsid w:val="00BC3BE5"/>
    <w:rsid w:val="00C479F7"/>
    <w:rsid w:val="00CB56CD"/>
    <w:rsid w:val="00CD2ADF"/>
    <w:rsid w:val="00D47451"/>
    <w:rsid w:val="00D7136A"/>
    <w:rsid w:val="00DA2A81"/>
    <w:rsid w:val="00DC7A41"/>
    <w:rsid w:val="00E16015"/>
    <w:rsid w:val="00E25A33"/>
    <w:rsid w:val="00EA43F8"/>
    <w:rsid w:val="00EB38E2"/>
    <w:rsid w:val="00F514E4"/>
    <w:rsid w:val="00F628C7"/>
    <w:rsid w:val="00F8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166A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166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2017-08-07T05:24:00Z</dcterms:created>
  <dcterms:modified xsi:type="dcterms:W3CDTF">2017-08-17T00:48:00Z</dcterms:modified>
</cp:coreProperties>
</file>