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9"/>
        <w:gridCol w:w="2005"/>
        <w:gridCol w:w="4248"/>
        <w:gridCol w:w="5562"/>
      </w:tblGrid>
      <w:tr w:rsidR="00FE54F6" w:rsidRPr="00767E3C" w:rsidTr="007F319C">
        <w:trPr>
          <w:tblHeader/>
        </w:trPr>
        <w:tc>
          <w:tcPr>
            <w:tcW w:w="3799" w:type="dxa"/>
            <w:tcMar>
              <w:top w:w="28" w:type="dxa"/>
              <w:bottom w:w="28" w:type="dxa"/>
            </w:tcMar>
            <w:vAlign w:val="center"/>
          </w:tcPr>
          <w:p w:rsidR="00FE54F6" w:rsidRPr="00767E3C" w:rsidRDefault="00477DE8" w:rsidP="00650E33">
            <w:pPr>
              <w:jc w:val="center"/>
              <w:rPr>
                <w:rFonts w:ascii="Arial" w:hAnsi="Arial" w:cs="Arial"/>
                <w:b/>
              </w:rPr>
            </w:pPr>
            <w:bookmarkStart w:id="0" w:name="_GoBack"/>
            <w:bookmarkEnd w:id="0"/>
            <w:r w:rsidRPr="00767E3C">
              <w:rPr>
                <w:rFonts w:ascii="Arial" w:hAnsi="Arial" w:cs="Arial"/>
                <w:b/>
              </w:rPr>
              <w:t xml:space="preserve">DRUG, </w:t>
            </w:r>
            <w:r w:rsidR="00FE54F6" w:rsidRPr="00767E3C">
              <w:rPr>
                <w:rFonts w:ascii="Arial" w:hAnsi="Arial" w:cs="Arial"/>
                <w:b/>
              </w:rPr>
              <w:t>SPONSOR</w:t>
            </w:r>
            <w:r w:rsidRPr="00767E3C">
              <w:rPr>
                <w:rFonts w:ascii="Arial" w:hAnsi="Arial" w:cs="Arial"/>
                <w:b/>
              </w:rPr>
              <w:t>, TYPE OF SUBMISSION</w:t>
            </w:r>
          </w:p>
        </w:tc>
        <w:tc>
          <w:tcPr>
            <w:tcW w:w="2005" w:type="dxa"/>
            <w:tcMar>
              <w:top w:w="28" w:type="dxa"/>
              <w:bottom w:w="28" w:type="dxa"/>
            </w:tcMar>
            <w:vAlign w:val="center"/>
          </w:tcPr>
          <w:p w:rsidR="00FE54F6" w:rsidRPr="00650E33" w:rsidRDefault="00FE54F6" w:rsidP="00650E33">
            <w:pPr>
              <w:jc w:val="center"/>
              <w:rPr>
                <w:rFonts w:ascii="Arial" w:hAnsi="Arial" w:cs="Arial"/>
                <w:b/>
                <w:snapToGrid w:val="0"/>
                <w:lang w:eastAsia="en-US"/>
              </w:rPr>
            </w:pPr>
            <w:r w:rsidRPr="00767E3C">
              <w:rPr>
                <w:rFonts w:ascii="Arial" w:hAnsi="Arial" w:cs="Arial"/>
                <w:b/>
                <w:snapToGrid w:val="0"/>
                <w:lang w:eastAsia="en-US"/>
              </w:rPr>
              <w:t>DRUG TYPE OR USE</w:t>
            </w:r>
          </w:p>
        </w:tc>
        <w:tc>
          <w:tcPr>
            <w:tcW w:w="4248" w:type="dxa"/>
            <w:tcMar>
              <w:top w:w="28" w:type="dxa"/>
              <w:bottom w:w="28" w:type="dxa"/>
            </w:tcMar>
            <w:vAlign w:val="center"/>
          </w:tcPr>
          <w:p w:rsidR="00FE54F6" w:rsidRPr="00650E33" w:rsidRDefault="00FE54F6" w:rsidP="00650E33">
            <w:pPr>
              <w:jc w:val="center"/>
              <w:rPr>
                <w:rFonts w:ascii="Arial" w:hAnsi="Arial" w:cs="Arial"/>
                <w:i/>
                <w:snapToGrid w:val="0"/>
                <w:lang w:eastAsia="en-US"/>
              </w:rPr>
            </w:pPr>
            <w:r w:rsidRPr="00767E3C">
              <w:rPr>
                <w:rFonts w:ascii="Arial" w:hAnsi="Arial" w:cs="Arial"/>
                <w:b/>
                <w:snapToGrid w:val="0"/>
                <w:lang w:eastAsia="en-US"/>
              </w:rPr>
              <w:t>LISTING REQUESTED BY SPONSOR</w:t>
            </w:r>
            <w:r w:rsidR="00012FB9" w:rsidRPr="00767E3C">
              <w:rPr>
                <w:rFonts w:ascii="Arial" w:hAnsi="Arial" w:cs="Arial"/>
                <w:b/>
                <w:snapToGrid w:val="0"/>
                <w:lang w:eastAsia="en-US"/>
              </w:rPr>
              <w:t xml:space="preserve"> / PURPOSE OF SUBMISSION</w:t>
            </w:r>
          </w:p>
        </w:tc>
        <w:tc>
          <w:tcPr>
            <w:tcW w:w="5562" w:type="dxa"/>
            <w:vAlign w:val="center"/>
          </w:tcPr>
          <w:p w:rsidR="00FE54F6" w:rsidRPr="00767E3C" w:rsidRDefault="00FE54F6" w:rsidP="00FC45F0">
            <w:pPr>
              <w:jc w:val="center"/>
              <w:rPr>
                <w:rFonts w:ascii="Arial" w:hAnsi="Arial" w:cs="Arial"/>
                <w:b/>
                <w:snapToGrid w:val="0"/>
                <w:lang w:eastAsia="en-US"/>
              </w:rPr>
            </w:pPr>
            <w:r w:rsidRPr="00767E3C">
              <w:rPr>
                <w:rFonts w:ascii="Arial" w:hAnsi="Arial" w:cs="Arial"/>
                <w:b/>
                <w:snapToGrid w:val="0"/>
                <w:lang w:eastAsia="en-US"/>
              </w:rPr>
              <w:t xml:space="preserve">PBAC </w:t>
            </w:r>
            <w:r w:rsidR="002F1CF8" w:rsidRPr="00767E3C">
              <w:rPr>
                <w:rFonts w:ascii="Arial" w:hAnsi="Arial" w:cs="Arial"/>
                <w:b/>
                <w:snapToGrid w:val="0"/>
                <w:lang w:eastAsia="en-US"/>
              </w:rPr>
              <w:t>OUTCOME</w:t>
            </w:r>
          </w:p>
        </w:tc>
      </w:tr>
      <w:tr w:rsidR="00250208"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Pr="009044BC" w:rsidRDefault="009044BC" w:rsidP="00FC45F0">
            <w:pPr>
              <w:rPr>
                <w:rFonts w:ascii="Arial" w:hAnsi="Arial" w:cs="Arial"/>
                <w:color w:val="000000"/>
              </w:rPr>
            </w:pPr>
            <w:r w:rsidRPr="009044BC">
              <w:rPr>
                <w:rFonts w:ascii="Arial" w:hAnsi="Arial" w:cs="Arial"/>
                <w:color w:val="000000"/>
              </w:rPr>
              <w:t>AMINO ACID FORMULA with FAT, CARBOHYDRATE, VITAMINS, MINERALS and TRACE ELEMENTS without PHENYLALANINE</w:t>
            </w:r>
          </w:p>
          <w:p w:rsidR="009044BC" w:rsidRPr="009044BC" w:rsidRDefault="009044BC" w:rsidP="00FC45F0">
            <w:pPr>
              <w:rPr>
                <w:rFonts w:ascii="Arial" w:hAnsi="Arial" w:cs="Arial"/>
                <w:color w:val="000000"/>
              </w:rPr>
            </w:pPr>
          </w:p>
          <w:p w:rsidR="009044BC" w:rsidRPr="009044BC" w:rsidRDefault="009044BC" w:rsidP="00FC45F0">
            <w:pPr>
              <w:rPr>
                <w:rFonts w:ascii="Arial" w:hAnsi="Arial" w:cs="Arial"/>
                <w:color w:val="000000"/>
              </w:rPr>
            </w:pPr>
            <w:r w:rsidRPr="009044BC">
              <w:rPr>
                <w:rFonts w:ascii="Arial" w:hAnsi="Arial" w:cs="Arial"/>
                <w:color w:val="000000"/>
              </w:rPr>
              <w:t>Bottles containing oral powder 34 g, 30</w:t>
            </w:r>
          </w:p>
          <w:p w:rsidR="009044BC" w:rsidRPr="009044BC" w:rsidRDefault="009044BC" w:rsidP="00FC45F0">
            <w:pPr>
              <w:rPr>
                <w:rFonts w:ascii="Arial" w:hAnsi="Arial" w:cs="Arial"/>
                <w:color w:val="000000"/>
              </w:rPr>
            </w:pPr>
          </w:p>
          <w:p w:rsidR="009044BC" w:rsidRPr="009044BC" w:rsidRDefault="009044BC" w:rsidP="00FC45F0">
            <w:pPr>
              <w:rPr>
                <w:rFonts w:ascii="Arial" w:hAnsi="Arial" w:cs="Arial"/>
                <w:color w:val="000000"/>
              </w:rPr>
            </w:pPr>
            <w:r w:rsidRPr="009044BC">
              <w:rPr>
                <w:rFonts w:ascii="Arial" w:hAnsi="Arial" w:cs="Arial"/>
                <w:color w:val="000000"/>
              </w:rPr>
              <w:t>PKU EASY® SHAKE &amp; GO</w:t>
            </w:r>
          </w:p>
          <w:p w:rsidR="009044BC" w:rsidRDefault="009044BC" w:rsidP="00FC45F0">
            <w:pPr>
              <w:rPr>
                <w:rFonts w:ascii="Arial" w:hAnsi="Arial" w:cs="Arial"/>
                <w:color w:val="000000"/>
              </w:rPr>
            </w:pPr>
          </w:p>
          <w:p w:rsidR="00C84B4F" w:rsidRPr="009044BC" w:rsidRDefault="00C84B4F" w:rsidP="00FC45F0">
            <w:pPr>
              <w:rPr>
                <w:rFonts w:ascii="Arial" w:hAnsi="Arial" w:cs="Arial"/>
                <w:color w:val="000000"/>
              </w:rPr>
            </w:pPr>
          </w:p>
          <w:p w:rsidR="009044BC" w:rsidRPr="009044BC" w:rsidRDefault="009044BC" w:rsidP="00FC45F0">
            <w:pPr>
              <w:rPr>
                <w:rFonts w:ascii="Arial" w:hAnsi="Arial" w:cs="Arial"/>
                <w:color w:val="000000"/>
              </w:rPr>
            </w:pPr>
            <w:r w:rsidRPr="009044BC">
              <w:rPr>
                <w:rFonts w:ascii="Arial" w:hAnsi="Arial" w:cs="Arial"/>
                <w:color w:val="000000"/>
              </w:rPr>
              <w:t xml:space="preserve">AMINO ACID FORMULA with FAT, </w:t>
            </w:r>
          </w:p>
          <w:p w:rsidR="009044BC" w:rsidRPr="009044BC" w:rsidRDefault="009044BC" w:rsidP="00FC45F0">
            <w:pPr>
              <w:rPr>
                <w:rFonts w:ascii="Arial" w:hAnsi="Arial" w:cs="Arial"/>
                <w:color w:val="000000"/>
              </w:rPr>
            </w:pPr>
            <w:r w:rsidRPr="009044BC">
              <w:rPr>
                <w:rFonts w:ascii="Arial" w:hAnsi="Arial" w:cs="Arial"/>
                <w:color w:val="000000"/>
              </w:rPr>
              <w:t>CARBOHYDRATE without PHENYLALANINE</w:t>
            </w:r>
          </w:p>
          <w:p w:rsidR="009044BC" w:rsidRPr="009044BC" w:rsidRDefault="009044BC" w:rsidP="00FC45F0">
            <w:pPr>
              <w:rPr>
                <w:rFonts w:ascii="Arial" w:hAnsi="Arial" w:cs="Arial"/>
                <w:color w:val="000000"/>
              </w:rPr>
            </w:pPr>
          </w:p>
          <w:p w:rsidR="009044BC" w:rsidRPr="009044BC" w:rsidRDefault="009044BC" w:rsidP="00FC45F0">
            <w:pPr>
              <w:rPr>
                <w:rFonts w:ascii="Arial" w:hAnsi="Arial" w:cs="Arial"/>
                <w:color w:val="000000"/>
              </w:rPr>
            </w:pPr>
            <w:r w:rsidRPr="009044BC">
              <w:rPr>
                <w:rFonts w:ascii="Arial" w:hAnsi="Arial" w:cs="Arial"/>
                <w:color w:val="000000"/>
              </w:rPr>
              <w:t xml:space="preserve">Tablet: modified release, 70.8 g protein per 100 g, 110 g </w:t>
            </w:r>
          </w:p>
          <w:p w:rsidR="009044BC" w:rsidRPr="009044BC" w:rsidRDefault="009044BC" w:rsidP="00FC45F0">
            <w:pPr>
              <w:rPr>
                <w:rFonts w:ascii="Arial" w:hAnsi="Arial" w:cs="Arial"/>
                <w:color w:val="000000"/>
              </w:rPr>
            </w:pPr>
          </w:p>
          <w:p w:rsidR="009044BC" w:rsidRPr="009044BC" w:rsidRDefault="009044BC" w:rsidP="00FC45F0">
            <w:pPr>
              <w:rPr>
                <w:rFonts w:ascii="Arial" w:hAnsi="Arial" w:cs="Arial"/>
                <w:color w:val="000000"/>
              </w:rPr>
            </w:pPr>
            <w:r w:rsidRPr="009044BC">
              <w:rPr>
                <w:rFonts w:ascii="Arial" w:hAnsi="Arial" w:cs="Arial"/>
                <w:color w:val="000000"/>
              </w:rPr>
              <w:t>PKU EASY® MICROTABS</w:t>
            </w:r>
          </w:p>
          <w:p w:rsidR="009044BC" w:rsidRPr="009044BC" w:rsidRDefault="009044BC" w:rsidP="00FC45F0">
            <w:pPr>
              <w:rPr>
                <w:rFonts w:ascii="Arial" w:hAnsi="Arial" w:cs="Arial"/>
                <w:color w:val="000000"/>
              </w:rPr>
            </w:pPr>
          </w:p>
          <w:p w:rsidR="009044BC" w:rsidRPr="009044BC" w:rsidRDefault="009044BC" w:rsidP="00FC45F0">
            <w:pPr>
              <w:rPr>
                <w:rFonts w:ascii="Arial" w:hAnsi="Arial" w:cs="Arial"/>
                <w:color w:val="000000"/>
              </w:rPr>
            </w:pPr>
          </w:p>
          <w:p w:rsidR="009044BC" w:rsidRPr="009044BC" w:rsidRDefault="009044BC" w:rsidP="00FC45F0">
            <w:pPr>
              <w:rPr>
                <w:rFonts w:ascii="Arial" w:hAnsi="Arial" w:cs="Arial"/>
                <w:color w:val="000000"/>
              </w:rPr>
            </w:pPr>
            <w:r w:rsidRPr="009044BC">
              <w:rPr>
                <w:rFonts w:ascii="Arial" w:hAnsi="Arial" w:cs="Arial"/>
                <w:color w:val="000000"/>
              </w:rPr>
              <w:t>PROTEIN FORMULA with AMINO ACIDS, CARBOHYDRATES, VITAMINS and  MINERALS without PHENYLALANINE, and SUPPLEMENTED with DOCOSAHEXAENOIC ACID</w:t>
            </w:r>
          </w:p>
          <w:p w:rsidR="009044BC" w:rsidRPr="009044BC" w:rsidRDefault="009044BC" w:rsidP="00FC45F0">
            <w:pPr>
              <w:rPr>
                <w:rFonts w:ascii="Arial" w:hAnsi="Arial" w:cs="Arial"/>
                <w:color w:val="000000"/>
              </w:rPr>
            </w:pPr>
          </w:p>
          <w:p w:rsidR="009044BC" w:rsidRPr="009044BC" w:rsidRDefault="009044BC" w:rsidP="00FC45F0">
            <w:pPr>
              <w:rPr>
                <w:rFonts w:ascii="Arial" w:hAnsi="Arial" w:cs="Arial"/>
                <w:color w:val="000000"/>
              </w:rPr>
            </w:pPr>
            <w:r w:rsidRPr="009044BC">
              <w:rPr>
                <w:rFonts w:ascii="Arial" w:hAnsi="Arial" w:cs="Arial"/>
                <w:color w:val="000000"/>
              </w:rPr>
              <w:t xml:space="preserve">Oral liquid 130 mL, 30 </w:t>
            </w:r>
          </w:p>
          <w:p w:rsidR="009044BC" w:rsidRPr="009044BC" w:rsidRDefault="009044BC" w:rsidP="00FC45F0">
            <w:pPr>
              <w:rPr>
                <w:rFonts w:ascii="Arial" w:hAnsi="Arial" w:cs="Arial"/>
                <w:color w:val="000000"/>
              </w:rPr>
            </w:pPr>
          </w:p>
          <w:p w:rsidR="009044BC" w:rsidRPr="009044BC" w:rsidRDefault="009044BC" w:rsidP="00FC45F0">
            <w:pPr>
              <w:rPr>
                <w:rFonts w:ascii="Arial" w:hAnsi="Arial" w:cs="Arial"/>
                <w:color w:val="000000"/>
              </w:rPr>
            </w:pPr>
            <w:r w:rsidRPr="009044BC">
              <w:rPr>
                <w:rFonts w:ascii="Arial" w:hAnsi="Arial" w:cs="Arial"/>
                <w:color w:val="000000"/>
              </w:rPr>
              <w:t>PKU EASY®</w:t>
            </w:r>
          </w:p>
          <w:p w:rsidR="00C84B4F" w:rsidRPr="009044BC" w:rsidRDefault="00C84B4F" w:rsidP="00FC45F0">
            <w:pPr>
              <w:rPr>
                <w:rFonts w:ascii="Arial" w:hAnsi="Arial" w:cs="Arial"/>
                <w:color w:val="000000"/>
              </w:rPr>
            </w:pPr>
          </w:p>
          <w:p w:rsidR="00250208" w:rsidRDefault="009044BC" w:rsidP="00FC45F0">
            <w:pPr>
              <w:rPr>
                <w:rFonts w:ascii="Arial" w:hAnsi="Arial" w:cs="Arial"/>
                <w:color w:val="000000"/>
              </w:rPr>
            </w:pPr>
            <w:r w:rsidRPr="009044BC">
              <w:rPr>
                <w:rFonts w:ascii="Arial" w:hAnsi="Arial" w:cs="Arial"/>
                <w:color w:val="000000"/>
              </w:rPr>
              <w:t>Orpharma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Change to listing</w:t>
            </w:r>
          </w:p>
          <w:p w:rsidR="005B2F75" w:rsidRDefault="005B2F75" w:rsidP="00FC45F0">
            <w:pPr>
              <w:rPr>
                <w:rFonts w:ascii="Arial" w:hAnsi="Arial" w:cs="Arial"/>
                <w:color w:val="000000"/>
              </w:rPr>
            </w:pPr>
          </w:p>
          <w:p w:rsidR="003C796F" w:rsidRPr="00767E3C" w:rsidRDefault="003C796F" w:rsidP="00FC45F0">
            <w:pPr>
              <w:rPr>
                <w:rFonts w:ascii="Arial" w:hAnsi="Arial" w:cs="Arial"/>
                <w:color w:val="000000"/>
              </w:rPr>
            </w:pPr>
            <w:r>
              <w:rPr>
                <w:rFonts w:ascii="Arial" w:hAnsi="Arial" w:cs="Arial"/>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940BA5" w:rsidRPr="00767E3C" w:rsidRDefault="009044BC" w:rsidP="00FC45F0">
            <w:pPr>
              <w:rPr>
                <w:rFonts w:ascii="Arial" w:hAnsi="Arial" w:cs="Arial"/>
                <w:color w:val="000000"/>
              </w:rPr>
            </w:pPr>
            <w:r>
              <w:rPr>
                <w:rFonts w:ascii="Arial" w:hAnsi="Arial" w:cs="Arial"/>
                <w:color w:val="000000"/>
              </w:rPr>
              <w:t>Phenylketonuria</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940BA5" w:rsidRPr="00767E3C" w:rsidRDefault="009044BC" w:rsidP="00FC45F0">
            <w:pPr>
              <w:jc w:val="both"/>
              <w:rPr>
                <w:rFonts w:ascii="Arial" w:hAnsi="Arial" w:cs="Arial"/>
                <w:color w:val="000000"/>
              </w:rPr>
            </w:pPr>
            <w:r>
              <w:rPr>
                <w:rFonts w:ascii="Arial" w:hAnsi="Arial" w:cs="Arial"/>
                <w:color w:val="000000"/>
              </w:rPr>
              <w:t>To request an increase in maximum quantities for PKU EASY SHAKE &amp; GO, PKU EASY MICROTABS, and PKU EASY.</w:t>
            </w:r>
          </w:p>
        </w:tc>
        <w:tc>
          <w:tcPr>
            <w:tcW w:w="5562" w:type="dxa"/>
            <w:tcBorders>
              <w:top w:val="single" w:sz="4" w:space="0" w:color="auto"/>
              <w:left w:val="single" w:sz="4" w:space="0" w:color="auto"/>
              <w:bottom w:val="single" w:sz="4" w:space="0" w:color="auto"/>
              <w:right w:val="single" w:sz="4" w:space="0" w:color="auto"/>
            </w:tcBorders>
          </w:tcPr>
          <w:p w:rsidR="00274F90" w:rsidRPr="00C0651F" w:rsidRDefault="00274F90" w:rsidP="00FC45F0">
            <w:pPr>
              <w:jc w:val="both"/>
              <w:rPr>
                <w:rFonts w:ascii="Arial" w:hAnsi="Arial" w:cs="Arial"/>
                <w:color w:val="000000"/>
              </w:rPr>
            </w:pPr>
            <w:r w:rsidRPr="00C0651F">
              <w:rPr>
                <w:rFonts w:ascii="Arial" w:hAnsi="Arial" w:cs="Arial"/>
                <w:color w:val="000000"/>
              </w:rPr>
              <w:t xml:space="preserve">The PBAC recommended the </w:t>
            </w:r>
            <w:r w:rsidR="00C84B4F">
              <w:rPr>
                <w:rFonts w:ascii="Arial" w:hAnsi="Arial" w:cs="Arial"/>
                <w:color w:val="000000"/>
              </w:rPr>
              <w:t>requested</w:t>
            </w:r>
            <w:r w:rsidR="00AC53A7">
              <w:rPr>
                <w:rFonts w:ascii="Arial" w:hAnsi="Arial" w:cs="Arial"/>
                <w:color w:val="000000"/>
              </w:rPr>
              <w:t xml:space="preserve"> </w:t>
            </w:r>
            <w:r w:rsidRPr="00C0651F">
              <w:rPr>
                <w:rFonts w:ascii="Arial" w:hAnsi="Arial" w:cs="Arial"/>
                <w:color w:val="000000"/>
              </w:rPr>
              <w:t>increase to the maximum quantities of PKU Easy®, PKU Easy Shake &amp; Go®, and PKU Easy Microtabs® for the treatment of phenylketonuria to align with oth</w:t>
            </w:r>
            <w:r w:rsidR="00EF576D">
              <w:rPr>
                <w:rFonts w:ascii="Arial" w:hAnsi="Arial" w:cs="Arial"/>
                <w:color w:val="000000"/>
              </w:rPr>
              <w:t>er similar products on the PBS.</w:t>
            </w:r>
          </w:p>
          <w:p w:rsidR="00250208" w:rsidRPr="00C0651F" w:rsidRDefault="00250208" w:rsidP="00FC45F0">
            <w:pPr>
              <w:jc w:val="both"/>
              <w:rPr>
                <w:rFonts w:ascii="Arial" w:hAnsi="Arial" w:cs="Arial"/>
                <w:color w:val="000000"/>
              </w:rPr>
            </w:pPr>
          </w:p>
        </w:tc>
      </w:tr>
      <w:tr w:rsidR="003D4549"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3D4549" w:rsidRDefault="009044BC" w:rsidP="00FC45F0">
            <w:pPr>
              <w:rPr>
                <w:rFonts w:ascii="Arial" w:hAnsi="Arial" w:cs="Arial"/>
                <w:color w:val="000000"/>
              </w:rPr>
            </w:pPr>
            <w:r>
              <w:rPr>
                <w:rFonts w:ascii="Arial" w:hAnsi="Arial" w:cs="Arial"/>
                <w:color w:val="000000"/>
              </w:rPr>
              <w:t>APOMORPHINE</w:t>
            </w:r>
            <w:r>
              <w:rPr>
                <w:rFonts w:ascii="Arial" w:hAnsi="Arial" w:cs="Arial"/>
                <w:color w:val="000000"/>
              </w:rPr>
              <w:br/>
            </w:r>
            <w:r>
              <w:rPr>
                <w:rFonts w:ascii="Arial" w:hAnsi="Arial" w:cs="Arial"/>
                <w:color w:val="000000"/>
              </w:rPr>
              <w:br/>
            </w:r>
            <w:r>
              <w:rPr>
                <w:rFonts w:ascii="Arial" w:hAnsi="Arial" w:cs="Arial"/>
                <w:color w:val="000000"/>
              </w:rPr>
              <w:lastRenderedPageBreak/>
              <w:t>Injection containing apomorphine (as hydrochloride)</w:t>
            </w:r>
            <w:r w:rsidR="00EF576D">
              <w:rPr>
                <w:rFonts w:ascii="Arial" w:hAnsi="Arial" w:cs="Arial"/>
                <w:color w:val="000000"/>
              </w:rPr>
              <w:t>,</w:t>
            </w:r>
            <w:r>
              <w:rPr>
                <w:rFonts w:ascii="Arial" w:hAnsi="Arial" w:cs="Arial"/>
                <w:color w:val="000000"/>
              </w:rPr>
              <w:t xml:space="preserve"> 100 mg in 20 mL</w:t>
            </w:r>
            <w:r w:rsidR="00EF576D">
              <w:rPr>
                <w:rFonts w:ascii="Arial" w:hAnsi="Arial" w:cs="Arial"/>
                <w:color w:val="000000"/>
              </w:rPr>
              <w:t xml:space="preserve"> vial</w:t>
            </w:r>
            <w:r>
              <w:rPr>
                <w:rFonts w:ascii="Arial" w:hAnsi="Arial" w:cs="Arial"/>
                <w:color w:val="000000"/>
              </w:rPr>
              <w:br/>
            </w:r>
            <w:r>
              <w:rPr>
                <w:rFonts w:ascii="Arial" w:hAnsi="Arial" w:cs="Arial"/>
                <w:color w:val="000000"/>
              </w:rPr>
              <w:br/>
              <w:t>Apomine®</w:t>
            </w:r>
            <w:r>
              <w:rPr>
                <w:rFonts w:ascii="Arial" w:hAnsi="Arial" w:cs="Arial"/>
                <w:color w:val="000000"/>
              </w:rPr>
              <w:br/>
            </w:r>
            <w:r>
              <w:rPr>
                <w:rFonts w:ascii="Arial" w:hAnsi="Arial" w:cs="Arial"/>
                <w:color w:val="000000"/>
              </w:rPr>
              <w:br/>
              <w:t>Pfizer Australia Pty Ltd</w:t>
            </w:r>
          </w:p>
          <w:p w:rsidR="003C796F" w:rsidRDefault="003C796F" w:rsidP="00FC45F0">
            <w:pPr>
              <w:rPr>
                <w:rFonts w:ascii="Arial" w:hAnsi="Arial" w:cs="Arial"/>
                <w:color w:val="000000"/>
              </w:rPr>
            </w:pPr>
          </w:p>
          <w:p w:rsidR="005B2F75" w:rsidRPr="005B2F75" w:rsidRDefault="005B2F75" w:rsidP="005B2F75">
            <w:pPr>
              <w:rPr>
                <w:rFonts w:ascii="Arial" w:hAnsi="Arial" w:cs="Arial"/>
                <w:color w:val="000000"/>
              </w:rPr>
            </w:pPr>
            <w:r w:rsidRPr="005B2F75">
              <w:rPr>
                <w:rFonts w:ascii="Arial" w:hAnsi="Arial" w:cs="Arial"/>
                <w:color w:val="000000"/>
              </w:rPr>
              <w:t>New listing</w:t>
            </w:r>
          </w:p>
          <w:p w:rsidR="005B2F75" w:rsidRPr="005B2F75" w:rsidRDefault="005B2F75" w:rsidP="005B2F75">
            <w:pPr>
              <w:rPr>
                <w:rFonts w:ascii="Arial" w:hAnsi="Arial" w:cs="Arial"/>
                <w:color w:val="000000"/>
              </w:rPr>
            </w:pPr>
          </w:p>
          <w:p w:rsidR="003C796F" w:rsidRPr="00767E3C" w:rsidRDefault="005B2F75" w:rsidP="005B2F75">
            <w:pPr>
              <w:rPr>
                <w:rFonts w:ascii="Arial" w:hAnsi="Arial" w:cs="Arial"/>
                <w:color w:val="000000"/>
              </w:rPr>
            </w:pPr>
            <w:r w:rsidRPr="005B2F75">
              <w:rPr>
                <w:rFonts w:ascii="Arial" w:hAnsi="Arial" w:cs="Arial"/>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3D4549" w:rsidRPr="00767E3C" w:rsidRDefault="009044BC" w:rsidP="00FC45F0">
            <w:pPr>
              <w:rPr>
                <w:rFonts w:ascii="Arial" w:hAnsi="Arial" w:cs="Arial"/>
                <w:color w:val="000000"/>
              </w:rPr>
            </w:pPr>
            <w:r>
              <w:rPr>
                <w:rFonts w:ascii="Arial" w:hAnsi="Arial" w:cs="Arial"/>
                <w:color w:val="000000"/>
              </w:rPr>
              <w:lastRenderedPageBreak/>
              <w:t>Parkinson disease</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3D4549" w:rsidRPr="00767E3C" w:rsidRDefault="009044BC" w:rsidP="00C51C2C">
            <w:pPr>
              <w:jc w:val="both"/>
              <w:rPr>
                <w:rFonts w:ascii="Arial" w:hAnsi="Arial" w:cs="Arial"/>
                <w:color w:val="000000"/>
              </w:rPr>
            </w:pPr>
            <w:r>
              <w:rPr>
                <w:rFonts w:ascii="Arial" w:hAnsi="Arial" w:cs="Arial"/>
                <w:color w:val="000000"/>
              </w:rPr>
              <w:t xml:space="preserve">To request a Section 100 (Highly Specialised Drugs Program) listing of an additional </w:t>
            </w:r>
            <w:r>
              <w:rPr>
                <w:rFonts w:ascii="Arial" w:hAnsi="Arial" w:cs="Arial"/>
                <w:color w:val="000000"/>
              </w:rPr>
              <w:lastRenderedPageBreak/>
              <w:t>strength of apomorphine.</w:t>
            </w:r>
          </w:p>
        </w:tc>
        <w:tc>
          <w:tcPr>
            <w:tcW w:w="5562" w:type="dxa"/>
            <w:tcBorders>
              <w:top w:val="single" w:sz="4" w:space="0" w:color="auto"/>
              <w:left w:val="single" w:sz="4" w:space="0" w:color="auto"/>
              <w:bottom w:val="single" w:sz="4" w:space="0" w:color="auto"/>
              <w:right w:val="single" w:sz="4" w:space="0" w:color="auto"/>
            </w:tcBorders>
          </w:tcPr>
          <w:p w:rsidR="00136B40" w:rsidRPr="00C0651F" w:rsidRDefault="00136B40" w:rsidP="00FC45F0">
            <w:pPr>
              <w:jc w:val="both"/>
              <w:rPr>
                <w:rFonts w:ascii="Arial" w:hAnsi="Arial" w:cs="Arial"/>
                <w:color w:val="000000"/>
              </w:rPr>
            </w:pPr>
            <w:r w:rsidRPr="00C0651F">
              <w:rPr>
                <w:rFonts w:ascii="Arial" w:hAnsi="Arial" w:cs="Arial"/>
                <w:color w:val="000000"/>
              </w:rPr>
              <w:lastRenderedPageBreak/>
              <w:t>The PBAC recommended the listing of apomorphine 100 mg in 20 mL</w:t>
            </w:r>
            <w:r w:rsidR="00EF576D">
              <w:rPr>
                <w:rFonts w:ascii="Arial" w:hAnsi="Arial" w:cs="Arial"/>
                <w:color w:val="000000"/>
              </w:rPr>
              <w:t xml:space="preserve"> vial</w:t>
            </w:r>
            <w:r w:rsidRPr="00C0651F">
              <w:rPr>
                <w:rFonts w:ascii="Arial" w:hAnsi="Arial" w:cs="Arial"/>
                <w:color w:val="000000"/>
              </w:rPr>
              <w:t xml:space="preserve"> on the PBS noting that the listing would </w:t>
            </w:r>
            <w:r w:rsidRPr="00C0651F">
              <w:rPr>
                <w:rFonts w:ascii="Arial" w:hAnsi="Arial" w:cs="Arial"/>
                <w:color w:val="000000"/>
              </w:rPr>
              <w:lastRenderedPageBreak/>
              <w:t>reduce the number of ampoules needed to obtain the required dose per patient for continuous infusion</w:t>
            </w:r>
            <w:r w:rsidR="003B6534">
              <w:rPr>
                <w:rFonts w:ascii="Arial" w:hAnsi="Arial" w:cs="Arial"/>
                <w:color w:val="000000"/>
              </w:rPr>
              <w:t>,</w:t>
            </w:r>
            <w:r w:rsidRPr="00C0651F">
              <w:rPr>
                <w:rFonts w:ascii="Arial" w:hAnsi="Arial" w:cs="Arial"/>
                <w:color w:val="000000"/>
              </w:rPr>
              <w:t xml:space="preserve"> at the same price per m</w:t>
            </w:r>
            <w:r w:rsidR="003B6534">
              <w:rPr>
                <w:rFonts w:ascii="Arial" w:hAnsi="Arial" w:cs="Arial"/>
                <w:color w:val="000000"/>
              </w:rPr>
              <w:t>illi</w:t>
            </w:r>
            <w:r w:rsidRPr="00C0651F">
              <w:rPr>
                <w:rFonts w:ascii="Arial" w:hAnsi="Arial" w:cs="Arial"/>
                <w:color w:val="000000"/>
              </w:rPr>
              <w:t>g</w:t>
            </w:r>
            <w:r w:rsidR="003B6534">
              <w:rPr>
                <w:rFonts w:ascii="Arial" w:hAnsi="Arial" w:cs="Arial"/>
                <w:color w:val="000000"/>
              </w:rPr>
              <w:t>ram</w:t>
            </w:r>
            <w:r w:rsidRPr="00C0651F">
              <w:rPr>
                <w:rFonts w:ascii="Arial" w:hAnsi="Arial" w:cs="Arial"/>
                <w:color w:val="000000"/>
              </w:rPr>
              <w:t xml:space="preserve"> as the currently listed forms of apomorphine 10mg/mL. </w:t>
            </w:r>
          </w:p>
          <w:p w:rsidR="003D4549" w:rsidRPr="00C0651F" w:rsidRDefault="003D4549" w:rsidP="00FC45F0">
            <w:pPr>
              <w:jc w:val="both"/>
              <w:rPr>
                <w:rFonts w:ascii="Arial" w:hAnsi="Arial" w:cs="Arial"/>
              </w:rPr>
            </w:pPr>
          </w:p>
        </w:tc>
      </w:tr>
      <w:tr w:rsidR="009044BC"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Default="009044BC" w:rsidP="00FC45F0">
            <w:pPr>
              <w:rPr>
                <w:rFonts w:ascii="Arial" w:hAnsi="Arial" w:cs="Arial"/>
                <w:color w:val="000000"/>
              </w:rPr>
            </w:pPr>
            <w:r>
              <w:rPr>
                <w:rFonts w:ascii="Arial" w:hAnsi="Arial" w:cs="Arial"/>
                <w:color w:val="000000"/>
              </w:rPr>
              <w:lastRenderedPageBreak/>
              <w:t>BLINATUMOMAB</w:t>
            </w:r>
            <w:r>
              <w:rPr>
                <w:rFonts w:ascii="Arial" w:hAnsi="Arial" w:cs="Arial"/>
                <w:color w:val="000000"/>
              </w:rPr>
              <w:br/>
            </w:r>
            <w:r>
              <w:rPr>
                <w:rFonts w:ascii="Arial" w:hAnsi="Arial" w:cs="Arial"/>
                <w:color w:val="000000"/>
              </w:rPr>
              <w:br/>
            </w:r>
            <w:r w:rsidRPr="00B538F1">
              <w:rPr>
                <w:rFonts w:ascii="Arial" w:hAnsi="Arial" w:cs="Arial"/>
                <w:color w:val="000000"/>
              </w:rPr>
              <w:t>Injection 38.5 microgram [1 vial] and inert substance solution [10 mL vial]</w:t>
            </w:r>
            <w:r>
              <w:rPr>
                <w:rFonts w:ascii="Arial" w:hAnsi="Arial" w:cs="Arial"/>
                <w:color w:val="000000"/>
              </w:rPr>
              <w:br/>
            </w:r>
            <w:r>
              <w:rPr>
                <w:rFonts w:ascii="Arial" w:hAnsi="Arial" w:cs="Arial"/>
                <w:color w:val="000000"/>
              </w:rPr>
              <w:br/>
              <w:t xml:space="preserve">Blincyto® </w:t>
            </w:r>
            <w:r>
              <w:rPr>
                <w:rFonts w:ascii="Arial" w:hAnsi="Arial" w:cs="Arial"/>
                <w:color w:val="000000"/>
              </w:rPr>
              <w:br/>
            </w:r>
            <w:r>
              <w:rPr>
                <w:rFonts w:ascii="Arial" w:hAnsi="Arial" w:cs="Arial"/>
                <w:color w:val="000000"/>
              </w:rPr>
              <w:br/>
              <w:t>Amgen Australia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sidRPr="005B2F75">
              <w:rPr>
                <w:rFonts w:ascii="Arial" w:hAnsi="Arial" w:cs="Arial"/>
                <w:color w:val="000000"/>
              </w:rPr>
              <w:t>Change to recommended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Default="009044BC" w:rsidP="00FC45F0">
            <w:pPr>
              <w:rPr>
                <w:rFonts w:ascii="Arial" w:hAnsi="Arial" w:cs="Arial"/>
                <w:color w:val="000000"/>
              </w:rPr>
            </w:pPr>
            <w:r>
              <w:rPr>
                <w:rFonts w:ascii="Arial" w:hAnsi="Arial" w:cs="Arial"/>
                <w:color w:val="000000"/>
              </w:rPr>
              <w:t>Relapsed or refractory Philadelphia-chromosome negative B-precursor acute lymphoblastic leukaemia</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Default="009044BC" w:rsidP="00FC45F0">
            <w:pPr>
              <w:jc w:val="both"/>
              <w:rPr>
                <w:rFonts w:ascii="Arial" w:hAnsi="Arial" w:cs="Arial"/>
                <w:color w:val="000000"/>
              </w:rPr>
            </w:pPr>
            <w:r>
              <w:rPr>
                <w:rFonts w:ascii="Arial" w:hAnsi="Arial" w:cs="Arial"/>
                <w:color w:val="000000"/>
              </w:rPr>
              <w:t>Resubmission to request a revision to the July 2016 PBAC recommendation.</w:t>
            </w:r>
          </w:p>
        </w:tc>
        <w:tc>
          <w:tcPr>
            <w:tcW w:w="5562" w:type="dxa"/>
            <w:tcBorders>
              <w:top w:val="single" w:sz="4" w:space="0" w:color="auto"/>
              <w:left w:val="single" w:sz="4" w:space="0" w:color="auto"/>
              <w:bottom w:val="single" w:sz="4" w:space="0" w:color="auto"/>
              <w:right w:val="single" w:sz="4" w:space="0" w:color="auto"/>
            </w:tcBorders>
          </w:tcPr>
          <w:p w:rsidR="0002159C" w:rsidRPr="00C0651F" w:rsidRDefault="0002159C" w:rsidP="00FC45F0">
            <w:pPr>
              <w:jc w:val="both"/>
              <w:rPr>
                <w:rFonts w:ascii="Arial" w:hAnsi="Arial" w:cs="Arial"/>
                <w:color w:val="000000"/>
              </w:rPr>
            </w:pPr>
            <w:r w:rsidRPr="00C0651F">
              <w:rPr>
                <w:rFonts w:ascii="Arial" w:hAnsi="Arial" w:cs="Arial"/>
                <w:color w:val="000000"/>
              </w:rPr>
              <w:t>The PBAC recommended the listing of blinatumomab for relapsed or refractory Philadelphia</w:t>
            </w:r>
            <w:r w:rsidR="00C30D0E" w:rsidRPr="00C0651F">
              <w:rPr>
                <w:rFonts w:ascii="Arial" w:hAnsi="Arial" w:cs="Arial"/>
                <w:color w:val="000000"/>
              </w:rPr>
              <w:t xml:space="preserve"> chromosome negative, B-precurso</w:t>
            </w:r>
            <w:r w:rsidRPr="00C0651F">
              <w:rPr>
                <w:rFonts w:ascii="Arial" w:hAnsi="Arial" w:cs="Arial"/>
                <w:color w:val="000000"/>
              </w:rPr>
              <w:t>r acute lymphoblastic leukaemia on the basis of the previous recommendation in July 2016, with the revised price proposed in the minor submission and removal of the recommended Managed Entry Scheme (MES). The PBAC reaffirmed that its recommendation was on the basis that blinatumomab should be available only under special arrangements under Section 100 (Efficient Funding of Chemotherapy).</w:t>
            </w:r>
          </w:p>
          <w:p w:rsidR="0002159C" w:rsidRPr="00C0651F" w:rsidRDefault="0002159C" w:rsidP="00FC45F0">
            <w:pPr>
              <w:jc w:val="both"/>
              <w:rPr>
                <w:rFonts w:ascii="Arial" w:hAnsi="Arial" w:cs="Arial"/>
                <w:color w:val="000000"/>
              </w:rPr>
            </w:pPr>
          </w:p>
          <w:p w:rsidR="0002159C" w:rsidRPr="00C0651F" w:rsidRDefault="0002159C" w:rsidP="00FC45F0">
            <w:pPr>
              <w:jc w:val="both"/>
              <w:rPr>
                <w:rFonts w:ascii="Arial" w:hAnsi="Arial" w:cs="Arial"/>
                <w:color w:val="000000"/>
              </w:rPr>
            </w:pPr>
            <w:r w:rsidRPr="00C0651F">
              <w:rPr>
                <w:rFonts w:ascii="Arial" w:hAnsi="Arial" w:cs="Arial"/>
                <w:color w:val="000000"/>
              </w:rPr>
              <w:t>The PBAC noted that the key input for the proposed MES was the proportion of patients alive two years after starting blinatumomab or standard care from the TOWER clinical trial, however as patients in the TOWER trial will not be followed for survival for two years the required data will not be collected.</w:t>
            </w:r>
          </w:p>
          <w:p w:rsidR="0002159C" w:rsidRPr="00C0651F" w:rsidRDefault="0002159C" w:rsidP="00FC45F0">
            <w:pPr>
              <w:jc w:val="both"/>
              <w:rPr>
                <w:rFonts w:ascii="Arial" w:hAnsi="Arial" w:cs="Arial"/>
                <w:color w:val="000000"/>
              </w:rPr>
            </w:pPr>
          </w:p>
          <w:p w:rsidR="0002159C" w:rsidRPr="00C0651F" w:rsidRDefault="0002159C" w:rsidP="00FC45F0">
            <w:pPr>
              <w:jc w:val="both"/>
              <w:rPr>
                <w:rFonts w:ascii="Arial" w:hAnsi="Arial" w:cs="Arial"/>
                <w:color w:val="000000"/>
              </w:rPr>
            </w:pPr>
            <w:r w:rsidRPr="00C0651F">
              <w:rPr>
                <w:rFonts w:ascii="Arial" w:hAnsi="Arial" w:cs="Arial"/>
                <w:color w:val="000000"/>
              </w:rPr>
              <w:t xml:space="preserve">The PBAC noted that the </w:t>
            </w:r>
            <w:r w:rsidR="001E7CC2">
              <w:rPr>
                <w:rFonts w:ascii="Arial" w:hAnsi="Arial" w:cs="Arial"/>
                <w:color w:val="000000"/>
              </w:rPr>
              <w:t>incremental cost effectiveness ratio (ICER)</w:t>
            </w:r>
            <w:r w:rsidR="001E7CC2" w:rsidRPr="00C0651F">
              <w:rPr>
                <w:rFonts w:ascii="Arial" w:hAnsi="Arial" w:cs="Arial"/>
                <w:color w:val="000000"/>
              </w:rPr>
              <w:t xml:space="preserve"> </w:t>
            </w:r>
            <w:r w:rsidRPr="00C0651F">
              <w:rPr>
                <w:rFonts w:ascii="Arial" w:hAnsi="Arial" w:cs="Arial"/>
                <w:color w:val="000000"/>
              </w:rPr>
              <w:t xml:space="preserve">calculated using the revised price, the 12 month survival data from the TOWER trial and the previously evaluated economic model was $45,000 - $75,000 per </w:t>
            </w:r>
            <w:r w:rsidR="001E7CC2">
              <w:rPr>
                <w:rFonts w:ascii="Arial" w:hAnsi="Arial" w:cs="Arial"/>
                <w:color w:val="000000"/>
              </w:rPr>
              <w:t>quality adjusted life year</w:t>
            </w:r>
            <w:r w:rsidR="001E7CC2" w:rsidRPr="00C0651F">
              <w:rPr>
                <w:rFonts w:ascii="Arial" w:hAnsi="Arial" w:cs="Arial"/>
                <w:color w:val="000000"/>
              </w:rPr>
              <w:t xml:space="preserve"> </w:t>
            </w:r>
            <w:r w:rsidRPr="00C0651F">
              <w:rPr>
                <w:rFonts w:ascii="Arial" w:hAnsi="Arial" w:cs="Arial"/>
                <w:color w:val="000000"/>
              </w:rPr>
              <w:t>gained. In July 2016, the PBAC considered that this ICER was high but acceptable in this patient population.</w:t>
            </w:r>
          </w:p>
          <w:p w:rsidR="009044BC" w:rsidRPr="00C0651F" w:rsidRDefault="009044BC" w:rsidP="00FC45F0">
            <w:pPr>
              <w:jc w:val="both"/>
              <w:rPr>
                <w:rFonts w:ascii="Arial" w:hAnsi="Arial" w:cs="Arial"/>
              </w:rPr>
            </w:pPr>
          </w:p>
        </w:tc>
      </w:tr>
      <w:tr w:rsidR="009044BC"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Default="009044BC" w:rsidP="00FC45F0">
            <w:pPr>
              <w:rPr>
                <w:rFonts w:ascii="Arial" w:hAnsi="Arial" w:cs="Arial"/>
                <w:color w:val="000000"/>
              </w:rPr>
            </w:pPr>
            <w:r>
              <w:rPr>
                <w:rFonts w:ascii="Arial" w:hAnsi="Arial" w:cs="Arial"/>
                <w:color w:val="000000"/>
              </w:rPr>
              <w:t>BRENTUXIMAB VEDOTIN</w:t>
            </w:r>
            <w:r>
              <w:rPr>
                <w:rFonts w:ascii="Arial" w:hAnsi="Arial" w:cs="Arial"/>
                <w:color w:val="000000"/>
              </w:rPr>
              <w:br/>
            </w:r>
            <w:r>
              <w:rPr>
                <w:rFonts w:ascii="Arial" w:hAnsi="Arial" w:cs="Arial"/>
                <w:color w:val="000000"/>
              </w:rPr>
              <w:br/>
            </w:r>
            <w:r>
              <w:rPr>
                <w:rFonts w:ascii="Arial" w:hAnsi="Arial" w:cs="Arial"/>
                <w:color w:val="000000"/>
              </w:rPr>
              <w:lastRenderedPageBreak/>
              <w:t>Powder for I.V. infusion 50 mg</w:t>
            </w:r>
            <w:r>
              <w:rPr>
                <w:rFonts w:ascii="Arial" w:hAnsi="Arial" w:cs="Arial"/>
                <w:color w:val="000000"/>
              </w:rPr>
              <w:br/>
            </w:r>
            <w:r>
              <w:rPr>
                <w:rFonts w:ascii="Arial" w:hAnsi="Arial" w:cs="Arial"/>
                <w:color w:val="000000"/>
              </w:rPr>
              <w:br/>
              <w:t>Adcetris®</w:t>
            </w:r>
            <w:r>
              <w:rPr>
                <w:rFonts w:ascii="Arial" w:hAnsi="Arial" w:cs="Arial"/>
                <w:color w:val="000000"/>
              </w:rPr>
              <w:br/>
            </w:r>
            <w:r>
              <w:rPr>
                <w:rFonts w:ascii="Arial" w:hAnsi="Arial" w:cs="Arial"/>
                <w:color w:val="000000"/>
              </w:rPr>
              <w:br/>
              <w:t>Takeda Pharmaceuticals Australia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sidRPr="005B2F75">
              <w:rPr>
                <w:rFonts w:ascii="Arial" w:hAnsi="Arial" w:cs="Arial"/>
                <w:color w:val="000000"/>
              </w:rPr>
              <w:t>Change to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Default="009044BC" w:rsidP="00FC45F0">
            <w:pPr>
              <w:rPr>
                <w:rFonts w:ascii="Arial" w:hAnsi="Arial" w:cs="Arial"/>
                <w:color w:val="000000"/>
              </w:rPr>
            </w:pPr>
            <w:r>
              <w:rPr>
                <w:rFonts w:ascii="Arial" w:hAnsi="Arial" w:cs="Arial"/>
                <w:color w:val="000000"/>
              </w:rPr>
              <w:lastRenderedPageBreak/>
              <w:t>Hodgkin lymphoma</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Default="009044BC" w:rsidP="00FC45F0">
            <w:pPr>
              <w:jc w:val="both"/>
              <w:rPr>
                <w:rFonts w:ascii="Arial" w:hAnsi="Arial" w:cs="Arial"/>
                <w:color w:val="000000"/>
              </w:rPr>
            </w:pPr>
            <w:r>
              <w:rPr>
                <w:rFonts w:ascii="Arial" w:hAnsi="Arial" w:cs="Arial"/>
                <w:color w:val="000000"/>
              </w:rPr>
              <w:t xml:space="preserve">To request a Section 100 (Efficient Funding of Chemotherapy) Authority Required listing </w:t>
            </w:r>
            <w:r>
              <w:rPr>
                <w:rFonts w:ascii="Arial" w:hAnsi="Arial" w:cs="Arial"/>
                <w:color w:val="000000"/>
              </w:rPr>
              <w:lastRenderedPageBreak/>
              <w:t xml:space="preserve">for the treatment of relapsed or refractory Hodgkin lymphoma for </w:t>
            </w:r>
            <w:r w:rsidR="001E7CC2">
              <w:rPr>
                <w:rFonts w:ascii="Arial" w:hAnsi="Arial" w:cs="Arial"/>
                <w:color w:val="000000"/>
              </w:rPr>
              <w:t xml:space="preserve">patients who were </w:t>
            </w:r>
            <w:r>
              <w:rPr>
                <w:rFonts w:ascii="Arial" w:hAnsi="Arial" w:cs="Arial"/>
                <w:color w:val="000000"/>
              </w:rPr>
              <w:t>autologous stem cell transplant</w:t>
            </w:r>
            <w:r w:rsidR="001E7CC2">
              <w:rPr>
                <w:rFonts w:ascii="Arial" w:hAnsi="Arial" w:cs="Arial"/>
                <w:color w:val="000000"/>
              </w:rPr>
              <w:t xml:space="preserve"> (ASCT) </w:t>
            </w:r>
            <w:r>
              <w:rPr>
                <w:rFonts w:ascii="Arial" w:hAnsi="Arial" w:cs="Arial"/>
                <w:color w:val="000000"/>
              </w:rPr>
              <w:t>naïve.</w:t>
            </w:r>
          </w:p>
        </w:tc>
        <w:tc>
          <w:tcPr>
            <w:tcW w:w="5562" w:type="dxa"/>
            <w:tcBorders>
              <w:top w:val="single" w:sz="4" w:space="0" w:color="auto"/>
              <w:left w:val="single" w:sz="4" w:space="0" w:color="auto"/>
              <w:bottom w:val="single" w:sz="4" w:space="0" w:color="auto"/>
              <w:right w:val="single" w:sz="4" w:space="0" w:color="auto"/>
            </w:tcBorders>
          </w:tcPr>
          <w:p w:rsidR="004A6855" w:rsidRPr="004A6855" w:rsidRDefault="004A6855" w:rsidP="00FC45F0">
            <w:pPr>
              <w:jc w:val="both"/>
              <w:rPr>
                <w:rFonts w:ascii="Arial" w:hAnsi="Arial" w:cs="Arial"/>
                <w:bCs/>
              </w:rPr>
            </w:pPr>
            <w:r w:rsidRPr="004A6855">
              <w:rPr>
                <w:rFonts w:ascii="Arial" w:hAnsi="Arial" w:cs="Arial"/>
                <w:bCs/>
              </w:rPr>
              <w:lastRenderedPageBreak/>
              <w:t xml:space="preserve">The PBAC recommended </w:t>
            </w:r>
            <w:r w:rsidRPr="004A6855">
              <w:rPr>
                <w:rFonts w:ascii="Arial" w:hAnsi="Arial" w:cs="Arial"/>
              </w:rPr>
              <w:t xml:space="preserve">a written Authority Required Section 100 (Efficient Funding of Chemotherapy) </w:t>
            </w:r>
            <w:r w:rsidRPr="004A6855">
              <w:rPr>
                <w:rFonts w:ascii="Arial" w:hAnsi="Arial" w:cs="Arial"/>
                <w:bCs/>
              </w:rPr>
              <w:t xml:space="preserve">listing of </w:t>
            </w:r>
            <w:r w:rsidRPr="004A6855">
              <w:rPr>
                <w:rFonts w:ascii="Arial" w:hAnsi="Arial" w:cs="Arial"/>
                <w:bCs/>
              </w:rPr>
              <w:lastRenderedPageBreak/>
              <w:t xml:space="preserve">brentuximab vedotin for the treatment of relapsed Hodgkin Lymphoma patients who were ASCT naïve. </w:t>
            </w:r>
          </w:p>
          <w:p w:rsidR="004A6855" w:rsidRPr="004A6855" w:rsidRDefault="004A6855" w:rsidP="00FC45F0">
            <w:pPr>
              <w:jc w:val="both"/>
              <w:rPr>
                <w:rFonts w:ascii="Arial" w:hAnsi="Arial" w:cs="Arial"/>
                <w:bCs/>
              </w:rPr>
            </w:pPr>
          </w:p>
          <w:p w:rsidR="004A6855" w:rsidRPr="004A6855" w:rsidRDefault="004A6855" w:rsidP="00FC45F0">
            <w:pPr>
              <w:contextualSpacing/>
              <w:jc w:val="both"/>
              <w:rPr>
                <w:rFonts w:ascii="Arial" w:hAnsi="Arial" w:cs="Arial"/>
              </w:rPr>
            </w:pPr>
            <w:r w:rsidRPr="004A6855">
              <w:rPr>
                <w:rFonts w:ascii="Arial" w:hAnsi="Arial" w:cs="Arial"/>
              </w:rPr>
              <w:t xml:space="preserve">The submission requested listing for brentuximab vedotin in two distinct ASCT naïve patient populations, in whom the treatment </w:t>
            </w:r>
            <w:r w:rsidR="00EF576D">
              <w:rPr>
                <w:rFonts w:ascii="Arial" w:hAnsi="Arial" w:cs="Arial"/>
              </w:rPr>
              <w:t>objective differs:</w:t>
            </w:r>
            <w:r w:rsidRPr="004A6855">
              <w:rPr>
                <w:rFonts w:ascii="Arial" w:hAnsi="Arial" w:cs="Arial"/>
              </w:rPr>
              <w:t xml:space="preserve"> </w:t>
            </w:r>
          </w:p>
          <w:p w:rsidR="004A6855" w:rsidRPr="004A6855" w:rsidRDefault="004A6855" w:rsidP="00FC45F0">
            <w:pPr>
              <w:pStyle w:val="ListParagraph"/>
              <w:widowControl w:val="0"/>
              <w:numPr>
                <w:ilvl w:val="0"/>
                <w:numId w:val="45"/>
              </w:numPr>
              <w:ind w:right="135"/>
              <w:jc w:val="both"/>
              <w:rPr>
                <w:rFonts w:ascii="Arial" w:hAnsi="Arial" w:cs="Arial"/>
                <w:sz w:val="20"/>
                <w:szCs w:val="20"/>
              </w:rPr>
            </w:pPr>
            <w:r w:rsidRPr="004A6855">
              <w:rPr>
                <w:rFonts w:ascii="Arial" w:hAnsi="Arial" w:cs="Arial"/>
                <w:sz w:val="20"/>
                <w:szCs w:val="20"/>
              </w:rPr>
              <w:t xml:space="preserve">Palliative group - patients who are transplant-ineligible due to age or comorbidities (i.e. intent of treatment is palliative, potentially resulting in quality of life improvements), and </w:t>
            </w:r>
          </w:p>
          <w:p w:rsidR="004A6855" w:rsidRPr="004A6855" w:rsidRDefault="004A6855" w:rsidP="00FC45F0">
            <w:pPr>
              <w:pStyle w:val="ListParagraph"/>
              <w:widowControl w:val="0"/>
              <w:numPr>
                <w:ilvl w:val="0"/>
                <w:numId w:val="45"/>
              </w:numPr>
              <w:ind w:right="135"/>
              <w:jc w:val="both"/>
              <w:rPr>
                <w:rFonts w:ascii="Arial" w:hAnsi="Arial" w:cs="Arial"/>
                <w:sz w:val="20"/>
                <w:szCs w:val="20"/>
              </w:rPr>
            </w:pPr>
            <w:r w:rsidRPr="004A6855">
              <w:rPr>
                <w:rFonts w:ascii="Arial" w:hAnsi="Arial" w:cs="Arial"/>
                <w:sz w:val="20"/>
                <w:szCs w:val="20"/>
              </w:rPr>
              <w:t xml:space="preserve">Salvage group - patients who are not currently eligible for ASCT due to substantial disease burden, but the aim of treatment with brentuximab vedotin is to achieve minimal residual disease in order to proceed to ASCT. </w:t>
            </w:r>
          </w:p>
          <w:p w:rsidR="004A6855" w:rsidRPr="004A6855" w:rsidRDefault="004A6855" w:rsidP="00FC45F0">
            <w:pPr>
              <w:ind w:right="135"/>
              <w:jc w:val="both"/>
              <w:rPr>
                <w:rFonts w:ascii="Arial" w:hAnsi="Arial" w:cs="Arial"/>
              </w:rPr>
            </w:pPr>
          </w:p>
          <w:p w:rsidR="004A6855" w:rsidRPr="004A6855" w:rsidRDefault="004A6855" w:rsidP="00FC45F0">
            <w:pPr>
              <w:jc w:val="both"/>
              <w:rPr>
                <w:rFonts w:ascii="Arial" w:hAnsi="Arial" w:cs="Arial"/>
                <w:bCs/>
              </w:rPr>
            </w:pPr>
            <w:r w:rsidRPr="004A6855">
              <w:rPr>
                <w:rFonts w:ascii="Arial" w:hAnsi="Arial" w:cs="Arial"/>
              </w:rPr>
              <w:t xml:space="preserve">The PBAC considered that while it was difficult to make a reliable estimate of the incremental benefit and harms on the basis of the naïve indirect comparison presented in the submission, </w:t>
            </w:r>
            <w:r w:rsidRPr="004A6855">
              <w:rPr>
                <w:rFonts w:ascii="Arial" w:hAnsi="Arial" w:cs="Arial"/>
                <w:bCs/>
              </w:rPr>
              <w:t>brentuximab vedotin was well tolerated, and provided some improvement in efficacy over best supportive care.</w:t>
            </w:r>
          </w:p>
          <w:p w:rsidR="004A6855" w:rsidRPr="004A6855" w:rsidRDefault="004A6855" w:rsidP="00FC45F0">
            <w:pPr>
              <w:ind w:right="135"/>
              <w:jc w:val="both"/>
              <w:rPr>
                <w:rFonts w:ascii="Arial" w:hAnsi="Arial" w:cs="Arial"/>
              </w:rPr>
            </w:pPr>
          </w:p>
          <w:p w:rsidR="009044BC" w:rsidRPr="00C0651F" w:rsidRDefault="004A6855" w:rsidP="007F319C">
            <w:pPr>
              <w:ind w:right="135"/>
              <w:jc w:val="both"/>
              <w:rPr>
                <w:rFonts w:ascii="Arial" w:hAnsi="Arial" w:cs="Arial"/>
              </w:rPr>
            </w:pPr>
            <w:r w:rsidRPr="004A6855">
              <w:rPr>
                <w:rFonts w:ascii="Arial" w:hAnsi="Arial" w:cs="Arial"/>
              </w:rPr>
              <w:t>The PBAC considered that while brentuximab was cost-effective at the proposed price in the palliative group of patients, further price reduction and subsidisation caps on treatment cycles were required for it to be cost-effective in the salvage population, where the cost per additional patient proceeding to ASCT was inappropriately high and uncertain.</w:t>
            </w:r>
          </w:p>
        </w:tc>
      </w:tr>
      <w:tr w:rsidR="009044BC"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Default="009044BC" w:rsidP="00FC45F0">
            <w:pPr>
              <w:rPr>
                <w:rFonts w:ascii="Arial" w:hAnsi="Arial" w:cs="Arial"/>
                <w:color w:val="000000"/>
              </w:rPr>
            </w:pPr>
            <w:r>
              <w:rPr>
                <w:rFonts w:ascii="Arial" w:hAnsi="Arial" w:cs="Arial"/>
                <w:color w:val="000000"/>
              </w:rPr>
              <w:lastRenderedPageBreak/>
              <w:t>BRENTUXIMAB VEDOTIN</w:t>
            </w:r>
            <w:r>
              <w:rPr>
                <w:rFonts w:ascii="Arial" w:hAnsi="Arial" w:cs="Arial"/>
                <w:color w:val="000000"/>
              </w:rPr>
              <w:br/>
            </w:r>
            <w:r>
              <w:rPr>
                <w:rFonts w:ascii="Arial" w:hAnsi="Arial" w:cs="Arial"/>
                <w:color w:val="000000"/>
              </w:rPr>
              <w:br/>
              <w:t>Powder for I.V. infusion 50 mg</w:t>
            </w:r>
            <w:r>
              <w:rPr>
                <w:rFonts w:ascii="Arial" w:hAnsi="Arial" w:cs="Arial"/>
                <w:color w:val="000000"/>
              </w:rPr>
              <w:br/>
            </w:r>
            <w:r>
              <w:rPr>
                <w:rFonts w:ascii="Arial" w:hAnsi="Arial" w:cs="Arial"/>
                <w:color w:val="000000"/>
              </w:rPr>
              <w:br/>
              <w:t>Adcetris®</w:t>
            </w:r>
            <w:r>
              <w:rPr>
                <w:rFonts w:ascii="Arial" w:hAnsi="Arial" w:cs="Arial"/>
                <w:color w:val="000000"/>
              </w:rPr>
              <w:br/>
            </w:r>
            <w:r>
              <w:rPr>
                <w:rFonts w:ascii="Arial" w:hAnsi="Arial" w:cs="Arial"/>
                <w:color w:val="000000"/>
              </w:rPr>
              <w:br/>
              <w:t>Takeda Pharmaceuticals Australia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sidRPr="005B2F75">
              <w:rPr>
                <w:rFonts w:ascii="Arial" w:hAnsi="Arial" w:cs="Arial"/>
                <w:color w:val="000000"/>
              </w:rPr>
              <w:t>Change to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Default="009044BC" w:rsidP="00FC45F0">
            <w:pPr>
              <w:rPr>
                <w:rFonts w:ascii="Arial" w:hAnsi="Arial" w:cs="Arial"/>
                <w:color w:val="000000"/>
              </w:rPr>
            </w:pPr>
            <w:r>
              <w:rPr>
                <w:rFonts w:ascii="Arial" w:hAnsi="Arial" w:cs="Arial"/>
                <w:color w:val="000000"/>
              </w:rPr>
              <w:lastRenderedPageBreak/>
              <w:t>Hodgkin lymphoma</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Default="009044BC" w:rsidP="00FC45F0">
            <w:pPr>
              <w:jc w:val="both"/>
              <w:rPr>
                <w:rFonts w:ascii="Arial" w:hAnsi="Arial" w:cs="Arial"/>
                <w:color w:val="000000"/>
              </w:rPr>
            </w:pPr>
            <w:r>
              <w:rPr>
                <w:rFonts w:ascii="Arial" w:hAnsi="Arial" w:cs="Arial"/>
                <w:color w:val="000000"/>
              </w:rPr>
              <w:t>Resubmission to request a Section 100 (Efficient Funding of Chemotherapy) Authority Required listing for the treatment of relapsed or refractory Hodgkin lymphoma following autologous stem cell transplant failure</w:t>
            </w:r>
            <w:r w:rsidR="001700D1">
              <w:rPr>
                <w:rFonts w:ascii="Arial" w:hAnsi="Arial" w:cs="Arial"/>
                <w:color w:val="000000"/>
              </w:rPr>
              <w:t xml:space="preserve"> (ASCT)</w:t>
            </w:r>
            <w:r>
              <w:rPr>
                <w:rFonts w:ascii="Arial" w:hAnsi="Arial" w:cs="Arial"/>
                <w:color w:val="000000"/>
              </w:rPr>
              <w:t>.</w:t>
            </w:r>
          </w:p>
        </w:tc>
        <w:tc>
          <w:tcPr>
            <w:tcW w:w="5562" w:type="dxa"/>
            <w:tcBorders>
              <w:top w:val="single" w:sz="4" w:space="0" w:color="auto"/>
              <w:left w:val="single" w:sz="4" w:space="0" w:color="auto"/>
              <w:bottom w:val="single" w:sz="4" w:space="0" w:color="auto"/>
              <w:right w:val="single" w:sz="4" w:space="0" w:color="auto"/>
            </w:tcBorders>
          </w:tcPr>
          <w:p w:rsidR="00684DD0" w:rsidRPr="00C0651F" w:rsidRDefault="00684DD0" w:rsidP="00FC45F0">
            <w:pPr>
              <w:widowControl w:val="0"/>
              <w:jc w:val="both"/>
              <w:rPr>
                <w:rFonts w:ascii="Arial" w:hAnsi="Arial" w:cs="Arial"/>
                <w:color w:val="000000"/>
              </w:rPr>
            </w:pPr>
            <w:r w:rsidRPr="00C0651F">
              <w:rPr>
                <w:rFonts w:ascii="Arial" w:hAnsi="Arial" w:cs="Arial"/>
                <w:color w:val="000000"/>
              </w:rPr>
              <w:t xml:space="preserve">The PBAC recommended a written Authority Required Section 100 (Efficient Funding of Chemotherapy) listing of brentuximab vedotin for the treatment of relapsed Hodgkin </w:t>
            </w:r>
            <w:r w:rsidR="003272B1">
              <w:rPr>
                <w:rFonts w:ascii="Arial" w:hAnsi="Arial" w:cs="Arial"/>
                <w:color w:val="000000"/>
              </w:rPr>
              <w:t>l</w:t>
            </w:r>
            <w:r w:rsidRPr="00C0651F">
              <w:rPr>
                <w:rFonts w:ascii="Arial" w:hAnsi="Arial" w:cs="Arial"/>
                <w:color w:val="000000"/>
              </w:rPr>
              <w:t xml:space="preserve">ymphoma post ASCT. </w:t>
            </w:r>
          </w:p>
          <w:p w:rsidR="00684DD0" w:rsidRPr="00C0651F" w:rsidRDefault="00684DD0" w:rsidP="00FC45F0">
            <w:pPr>
              <w:widowControl w:val="0"/>
              <w:jc w:val="both"/>
              <w:rPr>
                <w:rFonts w:ascii="Arial" w:hAnsi="Arial" w:cs="Arial"/>
                <w:color w:val="000000"/>
              </w:rPr>
            </w:pPr>
          </w:p>
          <w:p w:rsidR="009044BC" w:rsidRPr="007F319C" w:rsidRDefault="00684DD0" w:rsidP="007F319C">
            <w:pPr>
              <w:widowControl w:val="0"/>
              <w:jc w:val="both"/>
              <w:rPr>
                <w:rFonts w:ascii="Arial" w:hAnsi="Arial" w:cs="Arial"/>
                <w:snapToGrid w:val="0"/>
                <w:lang w:eastAsia="en-US"/>
              </w:rPr>
            </w:pPr>
            <w:r w:rsidRPr="00C0651F">
              <w:rPr>
                <w:rFonts w:ascii="Arial" w:hAnsi="Arial" w:cs="Arial"/>
                <w:color w:val="000000"/>
              </w:rPr>
              <w:t xml:space="preserve">In </w:t>
            </w:r>
            <w:r w:rsidR="004A6855">
              <w:rPr>
                <w:rFonts w:ascii="Arial" w:hAnsi="Arial" w:cs="Arial"/>
                <w:color w:val="000000"/>
              </w:rPr>
              <w:t>making this recommendation</w:t>
            </w:r>
            <w:r w:rsidRPr="00C0651F">
              <w:rPr>
                <w:rFonts w:ascii="Arial" w:hAnsi="Arial" w:cs="Arial"/>
                <w:color w:val="000000"/>
              </w:rPr>
              <w:t xml:space="preserve">, the PBAC considered the cost-effectiveness of brentuximab vedotin in </w:t>
            </w:r>
            <w:r w:rsidR="003272B1">
              <w:rPr>
                <w:rFonts w:ascii="Arial" w:hAnsi="Arial" w:cs="Arial"/>
                <w:color w:val="000000"/>
              </w:rPr>
              <w:t>Hodgkin l</w:t>
            </w:r>
            <w:r w:rsidR="003272B1" w:rsidRPr="00C0651F">
              <w:rPr>
                <w:rFonts w:ascii="Arial" w:hAnsi="Arial" w:cs="Arial"/>
                <w:color w:val="000000"/>
              </w:rPr>
              <w:t>ymphoma</w:t>
            </w:r>
            <w:r w:rsidR="003272B1" w:rsidRPr="00C0651F" w:rsidDel="003272B1">
              <w:rPr>
                <w:rFonts w:ascii="Arial" w:hAnsi="Arial" w:cs="Arial"/>
                <w:color w:val="000000"/>
              </w:rPr>
              <w:t xml:space="preserve"> </w:t>
            </w:r>
            <w:r w:rsidRPr="00C0651F">
              <w:rPr>
                <w:rFonts w:ascii="Arial" w:hAnsi="Arial" w:cs="Arial"/>
                <w:color w:val="000000"/>
              </w:rPr>
              <w:t xml:space="preserve">patients post ASCT failure, its tolerability and its </w:t>
            </w:r>
            <w:r w:rsidRPr="00C0651F">
              <w:rPr>
                <w:rFonts w:ascii="Arial" w:hAnsi="Arial" w:cs="Arial"/>
                <w:color w:val="000000"/>
              </w:rPr>
              <w:lastRenderedPageBreak/>
              <w:t>efficacy in serving as a ‘bridge’ to a potentially curative allogeneic stem cell transplantation in some patients</w:t>
            </w:r>
            <w:r w:rsidRPr="00C0651F">
              <w:rPr>
                <w:rFonts w:ascii="Arial" w:hAnsi="Arial" w:cs="Arial"/>
                <w:bCs/>
                <w:snapToGrid w:val="0"/>
                <w:lang w:eastAsia="en-US"/>
              </w:rPr>
              <w:t xml:space="preserve">. </w:t>
            </w:r>
          </w:p>
        </w:tc>
      </w:tr>
      <w:tr w:rsidR="009044BC"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Default="009044BC" w:rsidP="00FC45F0">
            <w:pPr>
              <w:rPr>
                <w:rFonts w:ascii="Arial" w:hAnsi="Arial" w:cs="Arial"/>
                <w:color w:val="000000"/>
              </w:rPr>
            </w:pPr>
            <w:r>
              <w:rPr>
                <w:rFonts w:ascii="Arial" w:hAnsi="Arial" w:cs="Arial"/>
                <w:color w:val="000000"/>
              </w:rPr>
              <w:lastRenderedPageBreak/>
              <w:t>CALCIPOTRIOL with BETAMETHASONE</w:t>
            </w:r>
            <w:r>
              <w:rPr>
                <w:rFonts w:ascii="Arial" w:hAnsi="Arial" w:cs="Arial"/>
                <w:color w:val="000000"/>
              </w:rPr>
              <w:br/>
            </w:r>
            <w:r>
              <w:rPr>
                <w:rFonts w:ascii="Arial" w:hAnsi="Arial" w:cs="Arial"/>
                <w:color w:val="000000"/>
              </w:rPr>
              <w:br/>
              <w:t>Foam containing calcipotriol 50 micrograms with betamethasone 500 micrograms (as dipropionate) per g, 60</w:t>
            </w:r>
            <w:r w:rsidR="003272B1">
              <w:rPr>
                <w:rFonts w:ascii="Arial" w:hAnsi="Arial" w:cs="Arial"/>
                <w:color w:val="000000"/>
              </w:rPr>
              <w:t> </w:t>
            </w:r>
            <w:r>
              <w:rPr>
                <w:rFonts w:ascii="Arial" w:hAnsi="Arial" w:cs="Arial"/>
                <w:color w:val="000000"/>
              </w:rPr>
              <w:t>g</w:t>
            </w:r>
            <w:r>
              <w:rPr>
                <w:rFonts w:ascii="Arial" w:hAnsi="Arial" w:cs="Arial"/>
                <w:color w:val="000000"/>
              </w:rPr>
              <w:br/>
            </w:r>
            <w:r>
              <w:rPr>
                <w:rFonts w:ascii="Arial" w:hAnsi="Arial" w:cs="Arial"/>
                <w:color w:val="000000"/>
              </w:rPr>
              <w:br/>
              <w:t>Enstilar®</w:t>
            </w:r>
            <w:r>
              <w:rPr>
                <w:rFonts w:ascii="Arial" w:hAnsi="Arial" w:cs="Arial"/>
                <w:color w:val="000000"/>
              </w:rPr>
              <w:br/>
            </w:r>
            <w:r>
              <w:rPr>
                <w:rFonts w:ascii="Arial" w:hAnsi="Arial" w:cs="Arial"/>
                <w:color w:val="000000"/>
              </w:rPr>
              <w:br/>
              <w:t>LEO Pharma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sidRPr="005B2F75">
              <w:rPr>
                <w:rFonts w:ascii="Arial" w:hAnsi="Arial" w:cs="Arial"/>
                <w:color w:val="000000"/>
              </w:rPr>
              <w:t>New listing</w:t>
            </w:r>
          </w:p>
          <w:p w:rsidR="005B2F75" w:rsidRDefault="005B2F75" w:rsidP="00FC45F0">
            <w:pPr>
              <w:rPr>
                <w:rFonts w:ascii="Arial" w:hAnsi="Arial" w:cs="Arial"/>
                <w:color w:val="000000"/>
              </w:rPr>
            </w:pPr>
          </w:p>
          <w:p w:rsidR="005B2F75" w:rsidRDefault="003C796F" w:rsidP="00FC45F0">
            <w:pPr>
              <w:rPr>
                <w:rFonts w:ascii="Arial" w:hAnsi="Arial" w:cs="Arial"/>
                <w:color w:val="000000"/>
              </w:rPr>
            </w:pPr>
            <w:r>
              <w:rPr>
                <w:rFonts w:ascii="Arial" w:hAnsi="Arial" w:cs="Arial"/>
                <w:color w:val="000000"/>
              </w:rP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Default="009044BC" w:rsidP="00FC45F0">
            <w:pPr>
              <w:rPr>
                <w:rFonts w:ascii="Arial" w:hAnsi="Arial" w:cs="Arial"/>
                <w:color w:val="000000"/>
              </w:rPr>
            </w:pPr>
            <w:r>
              <w:rPr>
                <w:rFonts w:ascii="Arial" w:hAnsi="Arial" w:cs="Arial"/>
                <w:color w:val="000000"/>
              </w:rPr>
              <w:t>Psoriasis</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Default="009044BC" w:rsidP="00FC45F0">
            <w:pPr>
              <w:jc w:val="both"/>
              <w:rPr>
                <w:rFonts w:ascii="Arial" w:hAnsi="Arial" w:cs="Arial"/>
                <w:color w:val="000000"/>
              </w:rPr>
            </w:pPr>
            <w:r>
              <w:rPr>
                <w:rFonts w:ascii="Arial" w:hAnsi="Arial" w:cs="Arial"/>
                <w:color w:val="000000"/>
              </w:rPr>
              <w:t>To request a Restricted Benefit listing for patients with chronic stable plaque type psoriasis vulgaris that is inadequately controlled with either a Vitamin D analogue or potent topical corticosteroid monotherapy.</w:t>
            </w:r>
          </w:p>
        </w:tc>
        <w:tc>
          <w:tcPr>
            <w:tcW w:w="5562" w:type="dxa"/>
            <w:tcBorders>
              <w:top w:val="single" w:sz="4" w:space="0" w:color="auto"/>
              <w:left w:val="single" w:sz="4" w:space="0" w:color="auto"/>
              <w:bottom w:val="single" w:sz="4" w:space="0" w:color="auto"/>
              <w:right w:val="single" w:sz="4" w:space="0" w:color="auto"/>
            </w:tcBorders>
          </w:tcPr>
          <w:p w:rsidR="006435B5" w:rsidRPr="006435B5" w:rsidRDefault="006435B5" w:rsidP="00FC45F0">
            <w:pPr>
              <w:jc w:val="both"/>
              <w:rPr>
                <w:rFonts w:ascii="Arial" w:hAnsi="Arial" w:cs="Arial"/>
              </w:rPr>
            </w:pPr>
            <w:r w:rsidRPr="006435B5">
              <w:rPr>
                <w:rFonts w:ascii="Arial" w:hAnsi="Arial" w:cs="Arial"/>
              </w:rPr>
              <w:t>The PBAC recommended the Restricted Benefit listing of calcipotriol with betamethasone foam spray for the treatment of chronic stable plaque psoriasis vulgaris subject to a cap on PBS expenditure. The PBAC noted the PBS cost was sensitive to the assumed number of packs per service and further recommended that the usage of calcipotriol with betamethasone foam spray be reviewed following listing.</w:t>
            </w:r>
          </w:p>
          <w:p w:rsidR="006435B5" w:rsidRPr="006435B5" w:rsidRDefault="006435B5" w:rsidP="00FC45F0">
            <w:pPr>
              <w:jc w:val="both"/>
              <w:rPr>
                <w:rFonts w:ascii="Arial" w:hAnsi="Arial" w:cs="Arial"/>
              </w:rPr>
            </w:pPr>
          </w:p>
          <w:p w:rsidR="009044BC" w:rsidRPr="00C0651F" w:rsidRDefault="004C348A" w:rsidP="008D754D">
            <w:pPr>
              <w:jc w:val="both"/>
              <w:rPr>
                <w:rFonts w:ascii="Arial" w:hAnsi="Arial" w:cs="Arial"/>
              </w:rPr>
            </w:pPr>
            <w:r w:rsidRPr="008D754D">
              <w:rPr>
                <w:rFonts w:ascii="Arial" w:hAnsi="Arial" w:cs="Arial"/>
              </w:rPr>
              <w:t>The PBAC noted the head-to-head randomised trial comparing the foam spray and gel which demonstrated the superior effectiveness of the foam spray over the gel</w:t>
            </w:r>
            <w:r w:rsidR="008D754D" w:rsidRPr="008D754D">
              <w:rPr>
                <w:rFonts w:ascii="Arial" w:hAnsi="Arial" w:cs="Arial"/>
              </w:rPr>
              <w:t xml:space="preserve">. </w:t>
            </w:r>
            <w:r w:rsidR="006435B5" w:rsidRPr="008D754D">
              <w:rPr>
                <w:rFonts w:ascii="Arial" w:hAnsi="Arial" w:cs="Arial"/>
              </w:rPr>
              <w:t>The PBAC noted itch was more commonly experienced by patients using the foam spray when compared to th</w:t>
            </w:r>
            <w:r w:rsidR="006435B5" w:rsidRPr="006435B5">
              <w:rPr>
                <w:rFonts w:ascii="Arial" w:hAnsi="Arial" w:cs="Arial"/>
              </w:rPr>
              <w:t>e gel, but considered that the safety profile of the foam spray was unlikely to be significantly different to that of the gel formulation.</w:t>
            </w:r>
          </w:p>
        </w:tc>
      </w:tr>
      <w:tr w:rsidR="009044BC"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Default="009044BC" w:rsidP="00FC45F0">
            <w:pPr>
              <w:rPr>
                <w:rFonts w:ascii="Arial" w:hAnsi="Arial" w:cs="Arial"/>
                <w:color w:val="000000"/>
              </w:rPr>
            </w:pPr>
            <w:r>
              <w:rPr>
                <w:rFonts w:ascii="Arial" w:hAnsi="Arial" w:cs="Arial"/>
                <w:color w:val="000000"/>
              </w:rPr>
              <w:t>CERITINIB</w:t>
            </w:r>
            <w:r>
              <w:rPr>
                <w:rFonts w:ascii="Arial" w:hAnsi="Arial" w:cs="Arial"/>
                <w:color w:val="000000"/>
              </w:rPr>
              <w:br/>
            </w:r>
            <w:r>
              <w:rPr>
                <w:rFonts w:ascii="Arial" w:hAnsi="Arial" w:cs="Arial"/>
                <w:color w:val="000000"/>
              </w:rPr>
              <w:br/>
              <w:t>Capsule 150 mg</w:t>
            </w:r>
            <w:r>
              <w:rPr>
                <w:rFonts w:ascii="Arial" w:hAnsi="Arial" w:cs="Arial"/>
                <w:color w:val="000000"/>
              </w:rPr>
              <w:br/>
            </w:r>
            <w:r>
              <w:rPr>
                <w:rFonts w:ascii="Arial" w:hAnsi="Arial" w:cs="Arial"/>
                <w:color w:val="000000"/>
              </w:rPr>
              <w:br/>
              <w:t>Zykadia®</w:t>
            </w:r>
            <w:r>
              <w:rPr>
                <w:rFonts w:ascii="Arial" w:hAnsi="Arial" w:cs="Arial"/>
                <w:color w:val="000000"/>
              </w:rPr>
              <w:br/>
            </w:r>
            <w:r>
              <w:rPr>
                <w:rFonts w:ascii="Arial" w:hAnsi="Arial" w:cs="Arial"/>
                <w:color w:val="000000"/>
              </w:rPr>
              <w:br/>
              <w:t>Novartis Pharmaceuticals Australia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New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Default="009044BC" w:rsidP="00FC45F0">
            <w:pPr>
              <w:rPr>
                <w:rFonts w:ascii="Arial" w:hAnsi="Arial" w:cs="Arial"/>
                <w:color w:val="000000"/>
              </w:rPr>
            </w:pPr>
            <w:r>
              <w:rPr>
                <w:rFonts w:ascii="Arial" w:hAnsi="Arial" w:cs="Arial"/>
                <w:color w:val="000000"/>
              </w:rPr>
              <w:t>Non-small cell lung cancer (NSCLC)</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Default="009044BC" w:rsidP="00C75CE0">
            <w:pPr>
              <w:jc w:val="both"/>
              <w:rPr>
                <w:rFonts w:ascii="Arial" w:hAnsi="Arial" w:cs="Arial"/>
                <w:color w:val="000000"/>
              </w:rPr>
            </w:pPr>
            <w:r>
              <w:rPr>
                <w:rFonts w:ascii="Arial" w:hAnsi="Arial" w:cs="Arial"/>
                <w:color w:val="000000"/>
              </w:rPr>
              <w:t>To request an Authority Required listing for anaplastic lymphoma kinase (ALK)-positive locally advanced or metastatic NSCLC patients with disease progression</w:t>
            </w:r>
            <w:r w:rsidR="00C75CE0">
              <w:rPr>
                <w:rFonts w:ascii="Arial" w:hAnsi="Arial" w:cs="Arial"/>
                <w:color w:val="000000"/>
              </w:rPr>
              <w:t xml:space="preserve"> in patients meeting certain criteria</w:t>
            </w:r>
            <w:r>
              <w:rPr>
                <w:rFonts w:ascii="Arial" w:hAnsi="Arial" w:cs="Arial"/>
                <w:color w:val="000000"/>
              </w:rPr>
              <w:t>.</w:t>
            </w:r>
          </w:p>
        </w:tc>
        <w:tc>
          <w:tcPr>
            <w:tcW w:w="5562" w:type="dxa"/>
            <w:tcBorders>
              <w:top w:val="single" w:sz="4" w:space="0" w:color="auto"/>
              <w:left w:val="single" w:sz="4" w:space="0" w:color="auto"/>
              <w:bottom w:val="single" w:sz="4" w:space="0" w:color="auto"/>
              <w:right w:val="single" w:sz="4" w:space="0" w:color="auto"/>
            </w:tcBorders>
          </w:tcPr>
          <w:p w:rsidR="009044BC" w:rsidRPr="00C0651F" w:rsidRDefault="004150CF" w:rsidP="00855DF6">
            <w:pPr>
              <w:widowControl w:val="0"/>
              <w:jc w:val="both"/>
              <w:rPr>
                <w:rFonts w:ascii="Arial" w:hAnsi="Arial" w:cs="Arial"/>
                <w:color w:val="000000"/>
              </w:rPr>
            </w:pPr>
            <w:r w:rsidRPr="00C0651F">
              <w:rPr>
                <w:rFonts w:ascii="Arial" w:hAnsi="Arial" w:cs="Arial"/>
                <w:color w:val="000000"/>
              </w:rPr>
              <w:t xml:space="preserve">The PBAC recommended a written Authority Required General Schedule listing of ceritinib for the treatment of ALK-positive </w:t>
            </w:r>
            <w:r w:rsidR="0015793A">
              <w:rPr>
                <w:rFonts w:ascii="Arial" w:hAnsi="Arial" w:cs="Arial"/>
                <w:color w:val="000000"/>
              </w:rPr>
              <w:t>NSCLC</w:t>
            </w:r>
            <w:r w:rsidRPr="00C0651F">
              <w:rPr>
                <w:rFonts w:ascii="Arial" w:hAnsi="Arial" w:cs="Arial"/>
                <w:color w:val="000000"/>
              </w:rPr>
              <w:t xml:space="preserve">. In making this recommendation, the PBAC noted the effectiveness of ceritinib in an area of high clinical need with a relatively small population size, and its efficacy in heavily pre-treated metastatic NSCLC patients with a modest level of toxicity. The PBAC considered it likely that access to ceritinib would significantly improve quality of life in ALK-positive NSCLC patients compared </w:t>
            </w:r>
            <w:r w:rsidR="0015793A">
              <w:rPr>
                <w:rFonts w:ascii="Arial" w:hAnsi="Arial" w:cs="Arial"/>
                <w:color w:val="000000"/>
              </w:rPr>
              <w:t>with</w:t>
            </w:r>
            <w:r w:rsidR="0015793A" w:rsidRPr="00C0651F">
              <w:rPr>
                <w:rFonts w:ascii="Arial" w:hAnsi="Arial" w:cs="Arial"/>
                <w:color w:val="000000"/>
              </w:rPr>
              <w:t xml:space="preserve"> </w:t>
            </w:r>
            <w:r w:rsidRPr="00C0651F">
              <w:rPr>
                <w:rFonts w:ascii="Arial" w:hAnsi="Arial" w:cs="Arial"/>
                <w:color w:val="000000"/>
              </w:rPr>
              <w:t xml:space="preserve">chemotherapy.  </w:t>
            </w:r>
          </w:p>
        </w:tc>
      </w:tr>
      <w:tr w:rsidR="009044BC"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Default="009044BC" w:rsidP="00FC45F0">
            <w:pPr>
              <w:rPr>
                <w:rFonts w:ascii="Arial" w:hAnsi="Arial" w:cs="Arial"/>
                <w:color w:val="000000"/>
              </w:rPr>
            </w:pPr>
            <w:r>
              <w:rPr>
                <w:rFonts w:ascii="Arial" w:hAnsi="Arial" w:cs="Arial"/>
                <w:color w:val="000000"/>
              </w:rPr>
              <w:t>DACLIZUMAB</w:t>
            </w:r>
          </w:p>
          <w:p w:rsidR="009044BC" w:rsidRDefault="009044BC" w:rsidP="00FC45F0">
            <w:pPr>
              <w:rPr>
                <w:rFonts w:ascii="Arial" w:hAnsi="Arial" w:cs="Arial"/>
                <w:color w:val="000000"/>
              </w:rPr>
            </w:pPr>
          </w:p>
          <w:p w:rsidR="009044BC" w:rsidRPr="009044BC" w:rsidRDefault="009044BC" w:rsidP="00FC45F0">
            <w:pPr>
              <w:rPr>
                <w:rFonts w:ascii="Arial" w:hAnsi="Arial" w:cs="Arial"/>
                <w:color w:val="000000"/>
              </w:rPr>
            </w:pPr>
            <w:r w:rsidRPr="009044BC">
              <w:rPr>
                <w:rFonts w:ascii="Arial" w:hAnsi="Arial" w:cs="Arial"/>
                <w:color w:val="000000"/>
              </w:rPr>
              <w:t>150 mg/mL solution for injection, 1 mL pen-filled pen</w:t>
            </w:r>
          </w:p>
          <w:p w:rsidR="009044BC" w:rsidRDefault="009044BC" w:rsidP="00FC45F0">
            <w:pPr>
              <w:rPr>
                <w:rFonts w:ascii="Arial" w:hAnsi="Arial" w:cs="Arial"/>
                <w:color w:val="000000"/>
              </w:rPr>
            </w:pPr>
            <w:r w:rsidRPr="009044BC">
              <w:rPr>
                <w:rFonts w:ascii="Arial" w:hAnsi="Arial" w:cs="Arial"/>
                <w:color w:val="000000"/>
              </w:rPr>
              <w:t xml:space="preserve">150 mg/mL solution for injection, 1 mL </w:t>
            </w:r>
            <w:r w:rsidRPr="009044BC">
              <w:rPr>
                <w:rFonts w:ascii="Arial" w:hAnsi="Arial" w:cs="Arial"/>
                <w:color w:val="000000"/>
              </w:rPr>
              <w:lastRenderedPageBreak/>
              <w:t>syringe</w:t>
            </w:r>
          </w:p>
          <w:p w:rsidR="009044BC" w:rsidRDefault="009044BC" w:rsidP="00FC45F0">
            <w:pPr>
              <w:rPr>
                <w:rFonts w:ascii="Arial" w:hAnsi="Arial" w:cs="Arial"/>
                <w:color w:val="000000"/>
              </w:rPr>
            </w:pPr>
          </w:p>
          <w:p w:rsidR="009044BC" w:rsidRDefault="009044BC" w:rsidP="00FC45F0">
            <w:pPr>
              <w:rPr>
                <w:rFonts w:ascii="Arial" w:hAnsi="Arial" w:cs="Arial"/>
                <w:color w:val="000000"/>
              </w:rPr>
            </w:pPr>
            <w:r w:rsidRPr="009044BC">
              <w:rPr>
                <w:rFonts w:ascii="Arial" w:hAnsi="Arial" w:cs="Arial"/>
                <w:color w:val="000000"/>
              </w:rPr>
              <w:t>Zinbryta®</w:t>
            </w:r>
          </w:p>
          <w:p w:rsidR="009044BC" w:rsidRDefault="009044BC" w:rsidP="00FC45F0">
            <w:pPr>
              <w:rPr>
                <w:rFonts w:ascii="Arial" w:hAnsi="Arial" w:cs="Arial"/>
                <w:color w:val="000000"/>
              </w:rPr>
            </w:pPr>
          </w:p>
          <w:p w:rsidR="009044BC" w:rsidRDefault="009044BC" w:rsidP="00FC45F0">
            <w:pPr>
              <w:rPr>
                <w:rFonts w:ascii="Arial" w:hAnsi="Arial" w:cs="Arial"/>
                <w:color w:val="000000"/>
              </w:rPr>
            </w:pPr>
            <w:r w:rsidRPr="009044BC">
              <w:rPr>
                <w:rFonts w:ascii="Arial" w:hAnsi="Arial" w:cs="Arial"/>
                <w:color w:val="000000"/>
              </w:rPr>
              <w:t>Biogen Australia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New listing</w:t>
            </w:r>
          </w:p>
          <w:p w:rsidR="005B2F75" w:rsidRDefault="005B2F75" w:rsidP="00FC45F0">
            <w:pPr>
              <w:rPr>
                <w:rFonts w:ascii="Arial" w:hAnsi="Arial" w:cs="Arial"/>
                <w:color w:val="000000"/>
              </w:rPr>
            </w:pPr>
          </w:p>
          <w:p w:rsidR="003C796F" w:rsidRPr="00767E3C" w:rsidRDefault="003C796F" w:rsidP="00FC45F0">
            <w:pPr>
              <w:rPr>
                <w:rFonts w:ascii="Arial" w:hAnsi="Arial" w:cs="Arial"/>
                <w:color w:val="000000"/>
              </w:rPr>
            </w:pPr>
            <w:r>
              <w:rPr>
                <w:rFonts w:ascii="Arial" w:hAnsi="Arial" w:cs="Arial"/>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Pr="00767E3C" w:rsidRDefault="009044BC" w:rsidP="00FC45F0">
            <w:pPr>
              <w:rPr>
                <w:rFonts w:ascii="Arial" w:hAnsi="Arial" w:cs="Arial"/>
                <w:color w:val="000000"/>
              </w:rPr>
            </w:pPr>
            <w:r>
              <w:rPr>
                <w:rFonts w:ascii="Arial" w:hAnsi="Arial" w:cs="Arial"/>
                <w:color w:val="000000"/>
              </w:rPr>
              <w:lastRenderedPageBreak/>
              <w:t>Relapsing-remitting multiple sclerosis</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Pr="00767E3C" w:rsidRDefault="009044BC" w:rsidP="00FC45F0">
            <w:pPr>
              <w:jc w:val="both"/>
              <w:rPr>
                <w:rFonts w:ascii="Arial" w:hAnsi="Arial" w:cs="Arial"/>
                <w:color w:val="000000"/>
              </w:rPr>
            </w:pPr>
            <w:r>
              <w:rPr>
                <w:rFonts w:ascii="Arial" w:hAnsi="Arial" w:cs="Arial"/>
                <w:color w:val="000000"/>
              </w:rPr>
              <w:t>To request an Authority Required for relapsing-remitting multiple sclerosis.</w:t>
            </w:r>
          </w:p>
        </w:tc>
        <w:tc>
          <w:tcPr>
            <w:tcW w:w="5562" w:type="dxa"/>
            <w:tcBorders>
              <w:top w:val="single" w:sz="4" w:space="0" w:color="auto"/>
              <w:left w:val="single" w:sz="4" w:space="0" w:color="auto"/>
              <w:bottom w:val="single" w:sz="4" w:space="0" w:color="auto"/>
              <w:right w:val="single" w:sz="4" w:space="0" w:color="auto"/>
            </w:tcBorders>
          </w:tcPr>
          <w:p w:rsidR="00EF576D" w:rsidRDefault="00E1662B" w:rsidP="00FC45F0">
            <w:pPr>
              <w:widowControl w:val="0"/>
              <w:jc w:val="both"/>
              <w:rPr>
                <w:rFonts w:ascii="Arial" w:hAnsi="Arial" w:cs="Arial"/>
                <w:bCs/>
                <w:snapToGrid w:val="0"/>
              </w:rPr>
            </w:pPr>
            <w:r w:rsidRPr="00C0651F">
              <w:rPr>
                <w:rFonts w:ascii="Arial" w:hAnsi="Arial" w:cs="Arial"/>
                <w:bCs/>
                <w:snapToGrid w:val="0"/>
              </w:rPr>
              <w:t xml:space="preserve">The PBAC recommended the listing of daclizumab on the basis that </w:t>
            </w:r>
            <w:r w:rsidR="00EF576D">
              <w:rPr>
                <w:rFonts w:ascii="Arial" w:hAnsi="Arial" w:cs="Arial"/>
                <w:bCs/>
                <w:snapToGrid w:val="0"/>
              </w:rPr>
              <w:t xml:space="preserve">a </w:t>
            </w:r>
            <w:r w:rsidRPr="00C0651F">
              <w:rPr>
                <w:rFonts w:ascii="Arial" w:hAnsi="Arial" w:cs="Arial"/>
                <w:bCs/>
                <w:snapToGrid w:val="0"/>
              </w:rPr>
              <w:t xml:space="preserve">direct comparison </w:t>
            </w:r>
            <w:r w:rsidR="00DC7069">
              <w:rPr>
                <w:rFonts w:ascii="Arial" w:hAnsi="Arial" w:cs="Arial"/>
                <w:bCs/>
                <w:snapToGrid w:val="0"/>
              </w:rPr>
              <w:t>with</w:t>
            </w:r>
            <w:r w:rsidR="00DC7069" w:rsidRPr="00C0651F">
              <w:rPr>
                <w:rFonts w:ascii="Arial" w:hAnsi="Arial" w:cs="Arial"/>
                <w:bCs/>
                <w:snapToGrid w:val="0"/>
              </w:rPr>
              <w:t xml:space="preserve"> </w:t>
            </w:r>
            <w:r w:rsidR="00DC7069">
              <w:rPr>
                <w:rFonts w:ascii="Arial" w:hAnsi="Arial" w:cs="Arial"/>
                <w:bCs/>
                <w:snapToGrid w:val="0"/>
              </w:rPr>
              <w:t>intramuscular</w:t>
            </w:r>
            <w:r w:rsidRPr="00C0651F">
              <w:rPr>
                <w:rFonts w:ascii="Arial" w:hAnsi="Arial" w:cs="Arial"/>
                <w:bCs/>
                <w:snapToGrid w:val="0"/>
              </w:rPr>
              <w:t xml:space="preserve"> </w:t>
            </w:r>
            <w:r w:rsidR="002B75FE">
              <w:rPr>
                <w:rFonts w:ascii="Arial" w:hAnsi="Arial" w:cs="Arial"/>
                <w:bCs/>
                <w:snapToGrid w:val="0"/>
              </w:rPr>
              <w:t>interferon</w:t>
            </w:r>
            <w:r w:rsidR="002B75FE" w:rsidRPr="00C0651F">
              <w:rPr>
                <w:rFonts w:ascii="Arial" w:hAnsi="Arial" w:cs="Arial"/>
                <w:bCs/>
                <w:snapToGrid w:val="0"/>
              </w:rPr>
              <w:t xml:space="preserve"> </w:t>
            </w:r>
            <w:r w:rsidR="002B75FE">
              <w:rPr>
                <w:rFonts w:ascii="Arial" w:hAnsi="Arial" w:cs="Arial"/>
                <w:bCs/>
                <w:snapToGrid w:val="0"/>
              </w:rPr>
              <w:t>beta</w:t>
            </w:r>
            <w:r w:rsidRPr="00C0651F">
              <w:rPr>
                <w:rFonts w:ascii="Arial" w:hAnsi="Arial" w:cs="Arial"/>
                <w:bCs/>
                <w:snapToGrid w:val="0"/>
              </w:rPr>
              <w:t>-1a</w:t>
            </w:r>
            <w:r w:rsidR="00DC7069">
              <w:rPr>
                <w:rFonts w:ascii="Arial" w:hAnsi="Arial" w:cs="Arial"/>
                <w:bCs/>
                <w:snapToGrid w:val="0"/>
              </w:rPr>
              <w:t xml:space="preserve"> (IFN β-1a)</w:t>
            </w:r>
            <w:r w:rsidRPr="00C0651F">
              <w:rPr>
                <w:rFonts w:ascii="Arial" w:hAnsi="Arial" w:cs="Arial"/>
                <w:bCs/>
                <w:snapToGrid w:val="0"/>
              </w:rPr>
              <w:t xml:space="preserve"> and indirect comparisons of daclizumab and fingolimod</w:t>
            </w:r>
            <w:r w:rsidR="00DC7069">
              <w:rPr>
                <w:rFonts w:ascii="Arial" w:hAnsi="Arial" w:cs="Arial"/>
                <w:bCs/>
                <w:snapToGrid w:val="0"/>
              </w:rPr>
              <w:t xml:space="preserve"> </w:t>
            </w:r>
            <w:r w:rsidR="009A2445">
              <w:rPr>
                <w:rFonts w:ascii="Arial" w:hAnsi="Arial" w:cs="Arial"/>
                <w:bCs/>
                <w:snapToGrid w:val="0"/>
              </w:rPr>
              <w:t xml:space="preserve">presented in the submission </w:t>
            </w:r>
            <w:r w:rsidRPr="00C0651F">
              <w:rPr>
                <w:rFonts w:ascii="Arial" w:hAnsi="Arial" w:cs="Arial"/>
                <w:bCs/>
                <w:snapToGrid w:val="0"/>
              </w:rPr>
              <w:t>supported a conclusion that daclizumab is</w:t>
            </w:r>
            <w:r w:rsidR="009A2445">
              <w:rPr>
                <w:rFonts w:ascii="Arial" w:hAnsi="Arial" w:cs="Arial"/>
                <w:bCs/>
                <w:snapToGrid w:val="0"/>
              </w:rPr>
              <w:t xml:space="preserve"> likely to be superior to IFN </w:t>
            </w:r>
            <w:r w:rsidR="009A2445">
              <w:rPr>
                <w:rFonts w:ascii="Arial" w:hAnsi="Arial" w:cs="Arial"/>
                <w:bCs/>
                <w:snapToGrid w:val="0"/>
              </w:rPr>
              <w:lastRenderedPageBreak/>
              <w:t>β</w:t>
            </w:r>
            <w:r w:rsidR="009A2445">
              <w:rPr>
                <w:rFonts w:ascii="Arial" w:hAnsi="Arial" w:cs="Arial"/>
                <w:bCs/>
                <w:snapToGrid w:val="0"/>
              </w:rPr>
              <w:noBreakHyphen/>
            </w:r>
            <w:r w:rsidRPr="00C0651F">
              <w:rPr>
                <w:rFonts w:ascii="Arial" w:hAnsi="Arial" w:cs="Arial"/>
                <w:bCs/>
                <w:snapToGrid w:val="0"/>
              </w:rPr>
              <w:t>1a and non-inferior to fingolimod</w:t>
            </w:r>
            <w:r w:rsidR="00EF576D">
              <w:rPr>
                <w:rFonts w:ascii="Arial" w:hAnsi="Arial" w:cs="Arial"/>
                <w:bCs/>
                <w:snapToGrid w:val="0"/>
              </w:rPr>
              <w:t>,</w:t>
            </w:r>
            <w:r w:rsidRPr="00C0651F">
              <w:rPr>
                <w:rFonts w:ascii="Arial" w:hAnsi="Arial" w:cs="Arial"/>
                <w:bCs/>
                <w:snapToGrid w:val="0"/>
              </w:rPr>
              <w:t xml:space="preserve"> with regards to comparative efficacy</w:t>
            </w:r>
            <w:r w:rsidR="00EF576D">
              <w:rPr>
                <w:rFonts w:ascii="Arial" w:hAnsi="Arial" w:cs="Arial"/>
                <w:bCs/>
                <w:snapToGrid w:val="0"/>
              </w:rPr>
              <w:t xml:space="preserve">. </w:t>
            </w:r>
          </w:p>
          <w:p w:rsidR="00EF576D" w:rsidRDefault="00EF576D" w:rsidP="00FC45F0">
            <w:pPr>
              <w:widowControl w:val="0"/>
              <w:jc w:val="both"/>
              <w:rPr>
                <w:rFonts w:ascii="Arial" w:hAnsi="Arial" w:cs="Arial"/>
                <w:bCs/>
                <w:snapToGrid w:val="0"/>
              </w:rPr>
            </w:pPr>
          </w:p>
          <w:p w:rsidR="009044BC" w:rsidRPr="00EF576D" w:rsidRDefault="00EF576D" w:rsidP="00EF576D">
            <w:pPr>
              <w:widowControl w:val="0"/>
              <w:jc w:val="both"/>
              <w:rPr>
                <w:rFonts w:ascii="Arial" w:hAnsi="Arial" w:cs="Arial"/>
                <w:bCs/>
                <w:snapToGrid w:val="0"/>
              </w:rPr>
            </w:pPr>
            <w:r>
              <w:rPr>
                <w:rFonts w:ascii="Arial" w:hAnsi="Arial" w:cs="Arial"/>
                <w:bCs/>
                <w:snapToGrid w:val="0"/>
              </w:rPr>
              <w:t>The PBAC considered that daclizumab may be</w:t>
            </w:r>
            <w:r w:rsidR="00E1662B" w:rsidRPr="00C0651F">
              <w:rPr>
                <w:rFonts w:ascii="Arial" w:hAnsi="Arial" w:cs="Arial"/>
                <w:bCs/>
                <w:snapToGrid w:val="0"/>
              </w:rPr>
              <w:t xml:space="preserve"> inferior </w:t>
            </w:r>
            <w:r>
              <w:rPr>
                <w:rFonts w:ascii="Arial" w:hAnsi="Arial" w:cs="Arial"/>
                <w:bCs/>
                <w:snapToGrid w:val="0"/>
              </w:rPr>
              <w:t xml:space="preserve">to </w:t>
            </w:r>
            <w:r w:rsidRPr="00C0651F">
              <w:rPr>
                <w:rFonts w:ascii="Arial" w:hAnsi="Arial" w:cs="Arial"/>
                <w:bCs/>
                <w:snapToGrid w:val="0"/>
              </w:rPr>
              <w:t xml:space="preserve">IFN β-1a </w:t>
            </w:r>
            <w:r w:rsidR="00E1662B" w:rsidRPr="00C0651F">
              <w:rPr>
                <w:rFonts w:ascii="Arial" w:hAnsi="Arial" w:cs="Arial"/>
                <w:bCs/>
                <w:snapToGrid w:val="0"/>
              </w:rPr>
              <w:t>with regards to comparative safety</w:t>
            </w:r>
            <w:r w:rsidR="000301D9">
              <w:rPr>
                <w:rFonts w:ascii="Arial" w:hAnsi="Arial" w:cs="Arial"/>
                <w:bCs/>
                <w:snapToGrid w:val="0"/>
              </w:rPr>
              <w:t>,</w:t>
            </w:r>
            <w:r>
              <w:rPr>
                <w:rFonts w:ascii="Arial" w:hAnsi="Arial" w:cs="Arial"/>
                <w:bCs/>
                <w:snapToGrid w:val="0"/>
              </w:rPr>
              <w:t xml:space="preserve"> but was </w:t>
            </w:r>
            <w:r w:rsidRPr="00EF576D">
              <w:rPr>
                <w:rFonts w:ascii="Arial" w:hAnsi="Arial" w:cs="Arial"/>
                <w:bCs/>
                <w:snapToGrid w:val="0"/>
              </w:rPr>
              <w:t xml:space="preserve">unable to draw </w:t>
            </w:r>
            <w:r>
              <w:rPr>
                <w:rFonts w:ascii="Arial" w:hAnsi="Arial" w:cs="Arial"/>
                <w:bCs/>
                <w:snapToGrid w:val="0"/>
              </w:rPr>
              <w:t>a meaningful conclusion</w:t>
            </w:r>
            <w:r w:rsidRPr="00EF576D">
              <w:rPr>
                <w:rFonts w:ascii="Arial" w:hAnsi="Arial" w:cs="Arial"/>
                <w:bCs/>
                <w:snapToGrid w:val="0"/>
              </w:rPr>
              <w:t xml:space="preserve"> </w:t>
            </w:r>
            <w:r>
              <w:rPr>
                <w:rFonts w:ascii="Arial" w:hAnsi="Arial" w:cs="Arial"/>
                <w:bCs/>
                <w:snapToGrid w:val="0"/>
              </w:rPr>
              <w:t>compared with fingolimod</w:t>
            </w:r>
            <w:r w:rsidRPr="00EF576D">
              <w:rPr>
                <w:rFonts w:ascii="Arial" w:hAnsi="Arial" w:cs="Arial"/>
                <w:bCs/>
                <w:snapToGrid w:val="0"/>
              </w:rPr>
              <w:t xml:space="preserve"> </w:t>
            </w:r>
            <w:r>
              <w:rPr>
                <w:rFonts w:ascii="Arial" w:hAnsi="Arial" w:cs="Arial"/>
                <w:bCs/>
                <w:snapToGrid w:val="0"/>
              </w:rPr>
              <w:t xml:space="preserve">on the basis of </w:t>
            </w:r>
            <w:r w:rsidRPr="00EF576D">
              <w:rPr>
                <w:rFonts w:ascii="Arial" w:hAnsi="Arial" w:cs="Arial"/>
                <w:bCs/>
                <w:snapToGrid w:val="0"/>
              </w:rPr>
              <w:t>the indir</w:t>
            </w:r>
            <w:r>
              <w:rPr>
                <w:rFonts w:ascii="Arial" w:hAnsi="Arial" w:cs="Arial"/>
                <w:bCs/>
                <w:snapToGrid w:val="0"/>
              </w:rPr>
              <w:t>ect comparisons.</w:t>
            </w:r>
          </w:p>
        </w:tc>
      </w:tr>
      <w:tr w:rsidR="009044BC"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Default="009044BC" w:rsidP="00FC45F0">
            <w:pPr>
              <w:rPr>
                <w:rFonts w:ascii="Arial" w:hAnsi="Arial" w:cs="Arial"/>
                <w:color w:val="000000"/>
              </w:rPr>
            </w:pPr>
            <w:r>
              <w:rPr>
                <w:rFonts w:ascii="Arial" w:hAnsi="Arial" w:cs="Arial"/>
                <w:color w:val="000000"/>
              </w:rPr>
              <w:lastRenderedPageBreak/>
              <w:t>EPOPROSTENOL</w:t>
            </w:r>
            <w:r>
              <w:rPr>
                <w:rFonts w:ascii="Arial" w:hAnsi="Arial" w:cs="Arial"/>
                <w:color w:val="000000"/>
              </w:rPr>
              <w:br/>
            </w:r>
            <w:r>
              <w:rPr>
                <w:rFonts w:ascii="Arial" w:hAnsi="Arial" w:cs="Arial"/>
                <w:color w:val="000000"/>
              </w:rPr>
              <w:br/>
              <w:t xml:space="preserve">Injection 500 microgram </w:t>
            </w:r>
            <w:r>
              <w:rPr>
                <w:rFonts w:ascii="Arial" w:hAnsi="Arial" w:cs="Arial"/>
                <w:color w:val="000000"/>
              </w:rPr>
              <w:br/>
              <w:t xml:space="preserve">Injection 1.5 mg </w:t>
            </w:r>
            <w:r>
              <w:rPr>
                <w:rFonts w:ascii="Arial" w:hAnsi="Arial" w:cs="Arial"/>
                <w:color w:val="000000"/>
              </w:rPr>
              <w:br/>
            </w:r>
            <w:r>
              <w:rPr>
                <w:rFonts w:ascii="Arial" w:hAnsi="Arial" w:cs="Arial"/>
                <w:color w:val="000000"/>
              </w:rPr>
              <w:br/>
              <w:t>Flolan®</w:t>
            </w:r>
            <w:r>
              <w:rPr>
                <w:rFonts w:ascii="Arial" w:hAnsi="Arial" w:cs="Arial"/>
                <w:color w:val="000000"/>
              </w:rPr>
              <w:br/>
            </w:r>
            <w:r>
              <w:rPr>
                <w:rFonts w:ascii="Arial" w:hAnsi="Arial" w:cs="Arial"/>
                <w:color w:val="000000"/>
              </w:rPr>
              <w:br/>
              <w:t>GlaxoSmithKline Australia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New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Default="009044BC" w:rsidP="00FC45F0">
            <w:pPr>
              <w:jc w:val="both"/>
              <w:rPr>
                <w:rFonts w:ascii="Arial" w:hAnsi="Arial" w:cs="Arial"/>
                <w:color w:val="000000"/>
              </w:rPr>
            </w:pPr>
            <w:r>
              <w:rPr>
                <w:rFonts w:ascii="Arial" w:hAnsi="Arial" w:cs="Arial"/>
                <w:color w:val="000000"/>
              </w:rPr>
              <w:t>Pulmonary arterial hypertension</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Default="009044BC" w:rsidP="00FC45F0">
            <w:pPr>
              <w:jc w:val="both"/>
              <w:rPr>
                <w:rFonts w:ascii="Arial" w:hAnsi="Arial" w:cs="Arial"/>
                <w:color w:val="000000"/>
              </w:rPr>
            </w:pPr>
            <w:r>
              <w:rPr>
                <w:rFonts w:ascii="Arial" w:hAnsi="Arial" w:cs="Arial"/>
                <w:color w:val="000000"/>
              </w:rPr>
              <w:t xml:space="preserve">To request a Section 100 (Highly Specialised Drugs Program) Authority Required listing of a new pH 12 diluent and delisting of the infusion administration set. </w:t>
            </w:r>
          </w:p>
        </w:tc>
        <w:tc>
          <w:tcPr>
            <w:tcW w:w="5562" w:type="dxa"/>
            <w:tcBorders>
              <w:top w:val="single" w:sz="4" w:space="0" w:color="auto"/>
              <w:left w:val="single" w:sz="4" w:space="0" w:color="auto"/>
              <w:bottom w:val="single" w:sz="4" w:space="0" w:color="auto"/>
              <w:right w:val="single" w:sz="4" w:space="0" w:color="auto"/>
            </w:tcBorders>
          </w:tcPr>
          <w:p w:rsidR="002A3726" w:rsidRPr="00C0651F" w:rsidRDefault="002A3726" w:rsidP="00FC45F0">
            <w:pPr>
              <w:jc w:val="both"/>
              <w:rPr>
                <w:rFonts w:ascii="Arial" w:hAnsi="Arial" w:cs="Arial"/>
                <w:color w:val="000000"/>
              </w:rPr>
            </w:pPr>
            <w:r w:rsidRPr="00C0651F">
              <w:rPr>
                <w:rFonts w:ascii="Arial" w:hAnsi="Arial" w:cs="Arial"/>
                <w:color w:val="000000"/>
              </w:rPr>
              <w:t>The PBAC recommended the listing of the Flolan</w:t>
            </w:r>
            <w:r w:rsidR="003E720C">
              <w:rPr>
                <w:rFonts w:ascii="Arial" w:hAnsi="Arial" w:cs="Arial"/>
                <w:color w:val="000000"/>
              </w:rPr>
              <w:t>®</w:t>
            </w:r>
            <w:r w:rsidRPr="00C0651F">
              <w:rPr>
                <w:rFonts w:ascii="Arial" w:hAnsi="Arial" w:cs="Arial"/>
                <w:color w:val="000000"/>
              </w:rPr>
              <w:t xml:space="preserve"> brand of epoprostenol with a new diluent formulation and without the administration set. In making this recommendation, the PBAC noted assurances from the sponsor that administration sets would be supplied to patients through an alternative method at no additional cost to the patient.  </w:t>
            </w:r>
          </w:p>
          <w:p w:rsidR="009044BC" w:rsidRPr="00C0651F" w:rsidRDefault="009044BC" w:rsidP="00FC45F0">
            <w:pPr>
              <w:jc w:val="both"/>
              <w:rPr>
                <w:rFonts w:ascii="Arial" w:hAnsi="Arial" w:cs="Arial"/>
              </w:rPr>
            </w:pPr>
          </w:p>
        </w:tc>
      </w:tr>
      <w:tr w:rsidR="00C33285"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C33285" w:rsidRDefault="00C33285" w:rsidP="00FC45F0">
            <w:pPr>
              <w:rPr>
                <w:rFonts w:ascii="Arial" w:hAnsi="Arial" w:cs="Arial"/>
                <w:color w:val="000000"/>
              </w:rPr>
            </w:pPr>
            <w:r>
              <w:rPr>
                <w:rFonts w:ascii="Arial" w:hAnsi="Arial" w:cs="Arial"/>
                <w:color w:val="000000"/>
              </w:rPr>
              <w:t>ERIBULIN</w:t>
            </w:r>
            <w:r>
              <w:rPr>
                <w:rFonts w:ascii="Arial" w:hAnsi="Arial" w:cs="Arial"/>
                <w:color w:val="000000"/>
              </w:rPr>
              <w:br w:type="page"/>
            </w:r>
            <w:r>
              <w:rPr>
                <w:rFonts w:ascii="Arial" w:hAnsi="Arial" w:cs="Arial"/>
                <w:color w:val="000000"/>
              </w:rPr>
              <w:br w:type="page"/>
            </w:r>
          </w:p>
          <w:p w:rsidR="00C33285" w:rsidRDefault="00C33285" w:rsidP="00FC45F0">
            <w:pPr>
              <w:rPr>
                <w:rFonts w:ascii="Arial" w:hAnsi="Arial" w:cs="Arial"/>
                <w:color w:val="000000"/>
              </w:rPr>
            </w:pPr>
          </w:p>
          <w:p w:rsidR="00C33285" w:rsidRDefault="00C33285" w:rsidP="00FC45F0">
            <w:pPr>
              <w:rPr>
                <w:rFonts w:ascii="Arial" w:hAnsi="Arial" w:cs="Arial"/>
                <w:color w:val="000000"/>
              </w:rPr>
            </w:pPr>
            <w:r>
              <w:rPr>
                <w:rFonts w:ascii="Arial" w:hAnsi="Arial" w:cs="Arial"/>
                <w:color w:val="000000"/>
              </w:rPr>
              <w:t>Solution for I.V. injection containing eribulin mesilate 1 mg in 2 mL</w:t>
            </w:r>
            <w:r>
              <w:rPr>
                <w:rFonts w:ascii="Arial" w:hAnsi="Arial" w:cs="Arial"/>
                <w:color w:val="000000"/>
              </w:rPr>
              <w:br w:type="page"/>
            </w:r>
            <w:r>
              <w:rPr>
                <w:rFonts w:ascii="Arial" w:hAnsi="Arial" w:cs="Arial"/>
                <w:color w:val="000000"/>
              </w:rPr>
              <w:br w:type="page"/>
            </w:r>
          </w:p>
          <w:p w:rsidR="00C33285" w:rsidRDefault="00C33285" w:rsidP="00FC45F0">
            <w:pPr>
              <w:rPr>
                <w:rFonts w:ascii="Arial" w:hAnsi="Arial" w:cs="Arial"/>
                <w:color w:val="000000"/>
              </w:rPr>
            </w:pPr>
          </w:p>
          <w:p w:rsidR="00C33285" w:rsidRDefault="00C33285" w:rsidP="00FC45F0">
            <w:pPr>
              <w:rPr>
                <w:rFonts w:ascii="Arial" w:hAnsi="Arial" w:cs="Arial"/>
                <w:color w:val="000000"/>
              </w:rPr>
            </w:pPr>
            <w:r>
              <w:rPr>
                <w:rFonts w:ascii="Arial" w:hAnsi="Arial" w:cs="Arial"/>
                <w:color w:val="000000"/>
              </w:rPr>
              <w:t>Halaven®</w:t>
            </w:r>
            <w:r>
              <w:rPr>
                <w:rFonts w:ascii="Arial" w:hAnsi="Arial" w:cs="Arial"/>
                <w:color w:val="000000"/>
              </w:rPr>
              <w:br w:type="page"/>
            </w:r>
            <w:r>
              <w:rPr>
                <w:rFonts w:ascii="Arial" w:hAnsi="Arial" w:cs="Arial"/>
                <w:color w:val="000000"/>
              </w:rPr>
              <w:br w:type="page"/>
            </w:r>
          </w:p>
          <w:p w:rsidR="00C33285" w:rsidRDefault="00C33285" w:rsidP="00FC45F0">
            <w:pPr>
              <w:rPr>
                <w:rFonts w:ascii="Arial" w:hAnsi="Arial" w:cs="Arial"/>
                <w:color w:val="000000"/>
              </w:rPr>
            </w:pPr>
          </w:p>
          <w:p w:rsidR="00C33285" w:rsidRDefault="00C33285" w:rsidP="00FC45F0">
            <w:pPr>
              <w:rPr>
                <w:rFonts w:ascii="Arial" w:hAnsi="Arial" w:cs="Arial"/>
                <w:color w:val="000000"/>
              </w:rPr>
            </w:pPr>
            <w:r>
              <w:rPr>
                <w:rFonts w:ascii="Arial" w:hAnsi="Arial" w:cs="Arial"/>
                <w:color w:val="000000"/>
              </w:rPr>
              <w:t>Eisai Australia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Change to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C33285" w:rsidRDefault="00C33285" w:rsidP="00FC45F0">
            <w:pPr>
              <w:jc w:val="center"/>
              <w:rPr>
                <w:rFonts w:ascii="Arial" w:hAnsi="Arial" w:cs="Arial"/>
                <w:color w:val="000000"/>
              </w:rPr>
            </w:pPr>
            <w:r>
              <w:rPr>
                <w:rFonts w:ascii="Arial" w:hAnsi="Arial" w:cs="Arial"/>
                <w:color w:val="000000"/>
              </w:rPr>
              <w:t>Soft tissue sarcoma</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C33285" w:rsidRDefault="00C33285" w:rsidP="00FC45F0">
            <w:pPr>
              <w:jc w:val="both"/>
              <w:rPr>
                <w:rFonts w:ascii="Arial" w:hAnsi="Arial" w:cs="Arial"/>
                <w:color w:val="000000"/>
              </w:rPr>
            </w:pPr>
            <w:r>
              <w:rPr>
                <w:rFonts w:ascii="Arial" w:hAnsi="Arial" w:cs="Arial"/>
                <w:color w:val="000000"/>
              </w:rPr>
              <w:t>To request a Section 100 (Efficient Funding of Chemotherapy) Authority Required (STREAMLINED) listing for the treatment of unresectable or metastatic liposarcoma following chemotherapy.</w:t>
            </w:r>
          </w:p>
        </w:tc>
        <w:tc>
          <w:tcPr>
            <w:tcW w:w="5562" w:type="dxa"/>
            <w:tcBorders>
              <w:top w:val="single" w:sz="4" w:space="0" w:color="auto"/>
              <w:left w:val="single" w:sz="4" w:space="0" w:color="auto"/>
              <w:bottom w:val="single" w:sz="4" w:space="0" w:color="auto"/>
              <w:right w:val="single" w:sz="4" w:space="0" w:color="auto"/>
            </w:tcBorders>
          </w:tcPr>
          <w:p w:rsidR="00C33285" w:rsidRPr="00C0651F" w:rsidRDefault="00C33285" w:rsidP="00FC45F0">
            <w:pPr>
              <w:jc w:val="both"/>
              <w:rPr>
                <w:rFonts w:ascii="Arial" w:hAnsi="Arial" w:cs="Arial"/>
                <w:bCs/>
                <w:lang w:val="en-GB"/>
              </w:rPr>
            </w:pPr>
            <w:r w:rsidRPr="00C0651F">
              <w:rPr>
                <w:rFonts w:ascii="Arial" w:hAnsi="Arial" w:cs="Arial"/>
                <w:bCs/>
                <w:lang w:val="en-GB"/>
              </w:rPr>
              <w:t xml:space="preserve">The PBAC recommended the listing of eribulin, on the basis that it should be available under Section 100 (Efficient Funding of Chemotherapy), for the treatment of patients with unresectable liposarcoma who have received prior chemotherapy for advanced or metastatic disease. </w:t>
            </w:r>
          </w:p>
          <w:p w:rsidR="00C33285" w:rsidRPr="00C0651F" w:rsidRDefault="00C33285" w:rsidP="00FC45F0">
            <w:pPr>
              <w:jc w:val="both"/>
              <w:rPr>
                <w:rFonts w:ascii="Arial" w:hAnsi="Arial" w:cs="Arial"/>
                <w:bCs/>
                <w:lang w:val="en-GB"/>
              </w:rPr>
            </w:pPr>
          </w:p>
          <w:p w:rsidR="00C33285" w:rsidRPr="00C0651F" w:rsidRDefault="00C33285" w:rsidP="00FC45F0">
            <w:pPr>
              <w:jc w:val="both"/>
              <w:rPr>
                <w:rFonts w:ascii="Arial" w:hAnsi="Arial" w:cs="Arial"/>
                <w:bCs/>
                <w:lang w:val="en-GB"/>
              </w:rPr>
            </w:pPr>
            <w:r w:rsidRPr="00C0651F">
              <w:rPr>
                <w:rFonts w:ascii="Arial" w:hAnsi="Arial" w:cs="Arial"/>
                <w:bCs/>
                <w:lang w:val="en-GB"/>
              </w:rPr>
              <w:t xml:space="preserve">The PBAC accepted the submission’s claim that eribulin was of superior comparative effectiveness over dacarbazine, but considered that eribulin was of inferior safety to darcabazine. The PBAC did not accept the submission’s claim that the median overall survival achieved with eribulin </w:t>
            </w:r>
            <w:r w:rsidR="009A2445">
              <w:rPr>
                <w:rFonts w:ascii="Arial" w:hAnsi="Arial" w:cs="Arial"/>
                <w:bCs/>
                <w:lang w:val="en-GB"/>
              </w:rPr>
              <w:t>is</w:t>
            </w:r>
            <w:r w:rsidRPr="00C0651F">
              <w:rPr>
                <w:rFonts w:ascii="Arial" w:hAnsi="Arial" w:cs="Arial"/>
                <w:bCs/>
                <w:lang w:val="en-GB"/>
              </w:rPr>
              <w:t xml:space="preserve"> 7.2 months greater than dacarbazine, on the basis that this result was derived from a subgroup analysis of liposarcoma patients </w:t>
            </w:r>
            <w:r w:rsidR="00463F16">
              <w:rPr>
                <w:rFonts w:ascii="Arial" w:hAnsi="Arial" w:cs="Arial"/>
                <w:bCs/>
                <w:lang w:val="en-GB"/>
              </w:rPr>
              <w:t>which</w:t>
            </w:r>
            <w:r w:rsidR="00463F16" w:rsidRPr="00C0651F">
              <w:rPr>
                <w:rFonts w:ascii="Arial" w:hAnsi="Arial" w:cs="Arial"/>
                <w:bCs/>
                <w:lang w:val="en-GB"/>
              </w:rPr>
              <w:t xml:space="preserve"> </w:t>
            </w:r>
            <w:r w:rsidRPr="00C0651F">
              <w:rPr>
                <w:rFonts w:ascii="Arial" w:hAnsi="Arial" w:cs="Arial"/>
                <w:bCs/>
                <w:lang w:val="en-GB"/>
              </w:rPr>
              <w:t xml:space="preserve">was underpowered to detect a difference in overall </w:t>
            </w:r>
            <w:r w:rsidR="009A2445">
              <w:rPr>
                <w:rFonts w:ascii="Arial" w:hAnsi="Arial" w:cs="Arial"/>
                <w:bCs/>
                <w:lang w:val="en-GB"/>
              </w:rPr>
              <w:t>survival between treatment arms. Further,</w:t>
            </w:r>
            <w:r w:rsidRPr="00C0651F">
              <w:rPr>
                <w:rFonts w:ascii="Arial" w:hAnsi="Arial" w:cs="Arial"/>
                <w:bCs/>
                <w:lang w:val="en-GB"/>
              </w:rPr>
              <w:t xml:space="preserve"> the results were not adjusted for multiplicity. The PBAC also noted that most of the survival gain in the </w:t>
            </w:r>
            <w:r w:rsidRPr="00C0651F">
              <w:rPr>
                <w:rFonts w:ascii="Arial" w:hAnsi="Arial" w:cs="Arial"/>
                <w:bCs/>
                <w:lang w:val="en-GB"/>
              </w:rPr>
              <w:lastRenderedPageBreak/>
              <w:t xml:space="preserve">liposarcoma subgroup (6.0 months) </w:t>
            </w:r>
            <w:r w:rsidR="005C73B7" w:rsidRPr="00C0651F">
              <w:rPr>
                <w:rFonts w:ascii="Arial" w:hAnsi="Arial" w:cs="Arial"/>
                <w:bCs/>
                <w:lang w:val="en-GB"/>
              </w:rPr>
              <w:t>occurred</w:t>
            </w:r>
            <w:r w:rsidRPr="00C0651F">
              <w:rPr>
                <w:rFonts w:ascii="Arial" w:hAnsi="Arial" w:cs="Arial"/>
                <w:bCs/>
                <w:lang w:val="en-GB"/>
              </w:rPr>
              <w:t xml:space="preserve"> post-progression and considered that this was not biologically plausible, </w:t>
            </w:r>
            <w:r w:rsidR="009A2445">
              <w:rPr>
                <w:rFonts w:ascii="Arial" w:hAnsi="Arial" w:cs="Arial"/>
                <w:bCs/>
                <w:lang w:val="en-GB"/>
              </w:rPr>
              <w:t>in addition to being</w:t>
            </w:r>
            <w:r w:rsidRPr="00C0651F">
              <w:rPr>
                <w:rFonts w:ascii="Arial" w:hAnsi="Arial" w:cs="Arial"/>
                <w:bCs/>
                <w:lang w:val="en-GB"/>
              </w:rPr>
              <w:t xml:space="preserve"> inconsistent with the results </w:t>
            </w:r>
            <w:r w:rsidR="009A2445">
              <w:rPr>
                <w:rFonts w:ascii="Arial" w:hAnsi="Arial" w:cs="Arial"/>
                <w:bCs/>
                <w:lang w:val="en-GB"/>
              </w:rPr>
              <w:t>of</w:t>
            </w:r>
            <w:r w:rsidRPr="00C0651F">
              <w:rPr>
                <w:rFonts w:ascii="Arial" w:hAnsi="Arial" w:cs="Arial"/>
                <w:bCs/>
                <w:lang w:val="en-GB"/>
              </w:rPr>
              <w:t xml:space="preserve"> the </w:t>
            </w:r>
            <w:r w:rsidR="005C73B7">
              <w:rPr>
                <w:rFonts w:ascii="Arial" w:hAnsi="Arial" w:cs="Arial"/>
                <w:bCs/>
                <w:lang w:val="en-GB"/>
              </w:rPr>
              <w:t>intent</w:t>
            </w:r>
            <w:r w:rsidR="00463F16">
              <w:rPr>
                <w:rFonts w:ascii="Arial" w:hAnsi="Arial" w:cs="Arial"/>
                <w:bCs/>
                <w:lang w:val="en-GB"/>
              </w:rPr>
              <w:t>ion</w:t>
            </w:r>
            <w:r w:rsidR="005C73B7">
              <w:rPr>
                <w:rFonts w:ascii="Arial" w:hAnsi="Arial" w:cs="Arial"/>
                <w:bCs/>
                <w:lang w:val="en-GB"/>
              </w:rPr>
              <w:t>-to-treat (</w:t>
            </w:r>
            <w:r w:rsidRPr="00C0651F">
              <w:rPr>
                <w:rFonts w:ascii="Arial" w:hAnsi="Arial" w:cs="Arial"/>
                <w:bCs/>
                <w:lang w:val="en-GB"/>
              </w:rPr>
              <w:t>ITT</w:t>
            </w:r>
            <w:r w:rsidR="005C73B7">
              <w:rPr>
                <w:rFonts w:ascii="Arial" w:hAnsi="Arial" w:cs="Arial"/>
                <w:bCs/>
                <w:lang w:val="en-GB"/>
              </w:rPr>
              <w:t>)</w:t>
            </w:r>
            <w:r w:rsidRPr="00C0651F">
              <w:rPr>
                <w:rFonts w:ascii="Arial" w:hAnsi="Arial" w:cs="Arial"/>
                <w:bCs/>
                <w:lang w:val="en-GB"/>
              </w:rPr>
              <w:t xml:space="preserve"> analysis. The PBAC considered that the results from the ITT analysis </w:t>
            </w:r>
            <w:r w:rsidR="00977EFF">
              <w:rPr>
                <w:rFonts w:ascii="Arial" w:hAnsi="Arial" w:cs="Arial"/>
                <w:bCs/>
                <w:lang w:val="en-GB"/>
              </w:rPr>
              <w:t>were</w:t>
            </w:r>
            <w:r w:rsidR="004A6855" w:rsidRPr="00C0651F">
              <w:rPr>
                <w:rFonts w:ascii="Arial" w:hAnsi="Arial" w:cs="Arial"/>
                <w:bCs/>
                <w:lang w:val="en-GB"/>
              </w:rPr>
              <w:t xml:space="preserve"> </w:t>
            </w:r>
            <w:r w:rsidRPr="00C0651F">
              <w:rPr>
                <w:rFonts w:ascii="Arial" w:hAnsi="Arial" w:cs="Arial"/>
                <w:bCs/>
                <w:lang w:val="en-GB"/>
              </w:rPr>
              <w:t xml:space="preserve">a more reliable estimate of eribulin’s true magnitude of clinical benefit (2.0 months) and that a price reduction was required to ensure the cost-effective PBS-listing of eribulin. </w:t>
            </w:r>
          </w:p>
          <w:p w:rsidR="00C33285" w:rsidRPr="00C0651F" w:rsidRDefault="00C33285" w:rsidP="00FC45F0">
            <w:pPr>
              <w:jc w:val="both"/>
              <w:rPr>
                <w:rFonts w:ascii="Arial" w:hAnsi="Arial" w:cs="Arial"/>
                <w:bCs/>
                <w:lang w:val="en-GB"/>
              </w:rPr>
            </w:pPr>
          </w:p>
          <w:p w:rsidR="00C33285" w:rsidRPr="00EA770F" w:rsidRDefault="00C33285" w:rsidP="00FC45F0">
            <w:pPr>
              <w:jc w:val="both"/>
              <w:rPr>
                <w:rFonts w:ascii="Arial" w:hAnsi="Arial" w:cs="Arial"/>
                <w:bCs/>
                <w:lang w:val="en-GB"/>
              </w:rPr>
            </w:pPr>
            <w:r w:rsidRPr="00C0651F">
              <w:rPr>
                <w:rFonts w:ascii="Arial" w:hAnsi="Arial" w:cs="Arial"/>
                <w:bCs/>
                <w:lang w:val="en-GB"/>
              </w:rPr>
              <w:t>In making its decision to recommend listing</w:t>
            </w:r>
            <w:r w:rsidR="009A2445">
              <w:rPr>
                <w:rFonts w:ascii="Arial" w:hAnsi="Arial" w:cs="Arial"/>
                <w:bCs/>
                <w:lang w:val="en-GB"/>
              </w:rPr>
              <w:t xml:space="preserve"> at a reduced price</w:t>
            </w:r>
            <w:r w:rsidRPr="00C0651F">
              <w:rPr>
                <w:rFonts w:ascii="Arial" w:hAnsi="Arial" w:cs="Arial"/>
                <w:bCs/>
                <w:lang w:val="en-GB"/>
              </w:rPr>
              <w:t xml:space="preserve">, the PBAC recognised the unmet clinical need for additional treatment options for liposarcoma patients and noted that the overall financial impact of listing eribulin would be low. </w:t>
            </w:r>
          </w:p>
        </w:tc>
      </w:tr>
      <w:tr w:rsidR="00AD4A59"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lastRenderedPageBreak/>
              <w:t>FOSAPREPITANT</w:t>
            </w:r>
            <w:r>
              <w:rPr>
                <w:rFonts w:ascii="Arial" w:hAnsi="Arial" w:cs="Arial"/>
                <w:color w:val="000000"/>
              </w:rPr>
              <w:br/>
            </w:r>
            <w:r>
              <w:rPr>
                <w:rFonts w:ascii="Arial" w:hAnsi="Arial" w:cs="Arial"/>
                <w:color w:val="000000"/>
              </w:rPr>
              <w:br/>
              <w:t>Powder for I.V. infusion 150 mg</w:t>
            </w:r>
            <w:r>
              <w:rPr>
                <w:rFonts w:ascii="Arial" w:hAnsi="Arial" w:cs="Arial"/>
                <w:color w:val="000000"/>
              </w:rPr>
              <w:br/>
            </w:r>
            <w:r>
              <w:rPr>
                <w:rFonts w:ascii="Arial" w:hAnsi="Arial" w:cs="Arial"/>
                <w:color w:val="000000"/>
              </w:rPr>
              <w:br/>
              <w:t>Emend® IV</w:t>
            </w:r>
            <w:r>
              <w:rPr>
                <w:rFonts w:ascii="Arial" w:hAnsi="Arial" w:cs="Arial"/>
                <w:color w:val="000000"/>
              </w:rPr>
              <w:br/>
            </w:r>
            <w:r>
              <w:rPr>
                <w:rFonts w:ascii="Arial" w:hAnsi="Arial" w:cs="Arial"/>
                <w:color w:val="000000"/>
              </w:rPr>
              <w:br/>
              <w:t>Merck Sharp &amp; Dohme (Australia)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New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Nausea and vomiting</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both"/>
              <w:rPr>
                <w:rFonts w:ascii="Arial" w:hAnsi="Arial" w:cs="Arial"/>
                <w:color w:val="000000"/>
              </w:rPr>
            </w:pPr>
            <w:r>
              <w:rPr>
                <w:rFonts w:ascii="Arial" w:hAnsi="Arial" w:cs="Arial"/>
                <w:color w:val="000000"/>
              </w:rPr>
              <w:t>Resubmission to request a General Schedule and Section 100 (Efficient Funding of Chemotherapy - Related Benefits) Authority Required (STREAMLINED) listing of an intravenous formulation of fosaprepitant for the management of nausea and vomiting associated with cytotoxic chemotherapy.</w:t>
            </w:r>
          </w:p>
        </w:tc>
        <w:tc>
          <w:tcPr>
            <w:tcW w:w="5562" w:type="dxa"/>
            <w:tcBorders>
              <w:top w:val="single" w:sz="4" w:space="0" w:color="auto"/>
              <w:left w:val="single" w:sz="4" w:space="0" w:color="auto"/>
              <w:bottom w:val="single" w:sz="4" w:space="0" w:color="auto"/>
              <w:right w:val="single" w:sz="4" w:space="0" w:color="auto"/>
            </w:tcBorders>
          </w:tcPr>
          <w:p w:rsidR="00AD4A59" w:rsidRPr="00C0651F" w:rsidRDefault="00B65014" w:rsidP="00FC45F0">
            <w:pPr>
              <w:widowControl w:val="0"/>
              <w:contextualSpacing/>
              <w:jc w:val="both"/>
              <w:rPr>
                <w:rFonts w:ascii="Arial" w:hAnsi="Arial" w:cs="Arial"/>
              </w:rPr>
            </w:pPr>
            <w:r w:rsidRPr="00C0651F">
              <w:rPr>
                <w:rFonts w:ascii="Arial" w:hAnsi="Arial" w:cs="Arial"/>
                <w:bCs/>
                <w:snapToGrid w:val="0"/>
              </w:rPr>
              <w:t>The PBAC recommended the Authority Required (</w:t>
            </w:r>
            <w:r w:rsidR="005C73B7" w:rsidRPr="00C0651F">
              <w:rPr>
                <w:rFonts w:ascii="Arial" w:hAnsi="Arial" w:cs="Arial"/>
                <w:bCs/>
                <w:snapToGrid w:val="0"/>
              </w:rPr>
              <w:t>S</w:t>
            </w:r>
            <w:r w:rsidR="005C73B7">
              <w:rPr>
                <w:rFonts w:ascii="Arial" w:hAnsi="Arial" w:cs="Arial"/>
                <w:bCs/>
                <w:snapToGrid w:val="0"/>
              </w:rPr>
              <w:t>TREAMLINED</w:t>
            </w:r>
            <w:r w:rsidRPr="00C0651F">
              <w:rPr>
                <w:rFonts w:ascii="Arial" w:hAnsi="Arial" w:cs="Arial"/>
                <w:bCs/>
                <w:snapToGrid w:val="0"/>
              </w:rPr>
              <w:t>)</w:t>
            </w:r>
            <w:r w:rsidRPr="00C0651F">
              <w:rPr>
                <w:rFonts w:ascii="Arial" w:hAnsi="Arial" w:cs="Arial"/>
              </w:rPr>
              <w:t xml:space="preserve"> </w:t>
            </w:r>
            <w:r w:rsidRPr="00C0651F">
              <w:rPr>
                <w:rFonts w:ascii="Arial" w:hAnsi="Arial" w:cs="Arial"/>
                <w:bCs/>
                <w:snapToGrid w:val="0"/>
              </w:rPr>
              <w:t>General Schedule and Section 100 (Efficient Funding of Chemotherapy – Related Benefits) listing of fosaprepitant for the management of nausea and vomiting associated with cytotoxic chemotherapy, on a cost-minimisation basis against aprepitant (one-day regimen). The PBAC considered that the equi-effective doses were 150 mg fosaprepitant and 165</w:t>
            </w:r>
            <w:r w:rsidR="00463F16">
              <w:rPr>
                <w:rFonts w:ascii="Arial" w:hAnsi="Arial" w:cs="Arial"/>
                <w:bCs/>
                <w:snapToGrid w:val="0"/>
              </w:rPr>
              <w:t> </w:t>
            </w:r>
            <w:r w:rsidRPr="00C0651F">
              <w:rPr>
                <w:rFonts w:ascii="Arial" w:hAnsi="Arial" w:cs="Arial"/>
                <w:bCs/>
                <w:snapToGrid w:val="0"/>
              </w:rPr>
              <w:t>mg aprepitant.</w:t>
            </w:r>
          </w:p>
        </w:tc>
      </w:tr>
      <w:tr w:rsidR="00AD4A59" w:rsidRPr="00880C57"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GLYCOMACROPEPTIDE and  ESSENTIAL AMINO ACIDS with VITAMINS and MINERALS</w:t>
            </w:r>
            <w:r>
              <w:rPr>
                <w:rFonts w:ascii="Arial" w:hAnsi="Arial" w:cs="Arial"/>
                <w:color w:val="000000"/>
              </w:rPr>
              <w:br/>
            </w:r>
            <w:r>
              <w:rPr>
                <w:rFonts w:ascii="Arial" w:hAnsi="Arial" w:cs="Arial"/>
                <w:color w:val="000000"/>
              </w:rPr>
              <w:br/>
              <w:t>Sachet containing oral powder 35 g</w:t>
            </w:r>
            <w:r>
              <w:rPr>
                <w:rFonts w:ascii="Arial" w:hAnsi="Arial" w:cs="Arial"/>
                <w:color w:val="000000"/>
              </w:rPr>
              <w:br/>
            </w:r>
            <w:r>
              <w:rPr>
                <w:rFonts w:ascii="Arial" w:hAnsi="Arial" w:cs="Arial"/>
                <w:color w:val="000000"/>
              </w:rPr>
              <w:br/>
              <w:t>PKU Sphere®</w:t>
            </w:r>
            <w:r>
              <w:rPr>
                <w:rFonts w:ascii="Arial" w:hAnsi="Arial" w:cs="Arial"/>
                <w:color w:val="000000"/>
              </w:rPr>
              <w:br/>
            </w:r>
            <w:r>
              <w:rPr>
                <w:rFonts w:ascii="Arial" w:hAnsi="Arial" w:cs="Arial"/>
                <w:color w:val="000000"/>
              </w:rPr>
              <w:br/>
              <w:t>Vitaflo Australia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New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lastRenderedPageBreak/>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lastRenderedPageBreak/>
              <w:t>Phenylketonuria</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both"/>
              <w:rPr>
                <w:rFonts w:ascii="Arial" w:hAnsi="Arial" w:cs="Arial"/>
                <w:color w:val="000000"/>
              </w:rPr>
            </w:pPr>
            <w:r>
              <w:rPr>
                <w:rFonts w:ascii="Arial" w:hAnsi="Arial" w:cs="Arial"/>
                <w:color w:val="000000"/>
              </w:rPr>
              <w:t>To request a Restricted Benefit listing for the dietary management of phenylketonuria.</w:t>
            </w:r>
          </w:p>
        </w:tc>
        <w:tc>
          <w:tcPr>
            <w:tcW w:w="5562" w:type="dxa"/>
            <w:tcBorders>
              <w:top w:val="single" w:sz="4" w:space="0" w:color="auto"/>
              <w:left w:val="single" w:sz="4" w:space="0" w:color="auto"/>
              <w:bottom w:val="single" w:sz="4" w:space="0" w:color="auto"/>
              <w:right w:val="single" w:sz="4" w:space="0" w:color="auto"/>
            </w:tcBorders>
          </w:tcPr>
          <w:p w:rsidR="00880C57" w:rsidRPr="00C0651F" w:rsidRDefault="00880C57" w:rsidP="00FC45F0">
            <w:pPr>
              <w:widowControl w:val="0"/>
              <w:jc w:val="both"/>
              <w:rPr>
                <w:rFonts w:ascii="Arial" w:hAnsi="Arial" w:cs="Arial"/>
                <w:color w:val="000000"/>
              </w:rPr>
            </w:pPr>
            <w:r w:rsidRPr="00C0651F">
              <w:rPr>
                <w:rFonts w:ascii="Arial" w:hAnsi="Arial" w:cs="Arial"/>
                <w:color w:val="000000"/>
              </w:rPr>
              <w:t>The PBAC recommended the listing of PKU SPHERE® as a Restricted Benefit for phenylketonuria for patients</w:t>
            </w:r>
            <w:r w:rsidR="00463F16">
              <w:rPr>
                <w:rFonts w:ascii="Arial" w:hAnsi="Arial" w:cs="Arial"/>
                <w:color w:val="000000"/>
              </w:rPr>
              <w:t xml:space="preserve"> aged</w:t>
            </w:r>
            <w:r w:rsidRPr="00C0651F">
              <w:rPr>
                <w:rFonts w:ascii="Arial" w:hAnsi="Arial" w:cs="Arial"/>
                <w:color w:val="000000"/>
              </w:rPr>
              <w:t xml:space="preserve"> 10 years and older, on a cost</w:t>
            </w:r>
            <w:r w:rsidR="00463F16">
              <w:rPr>
                <w:rFonts w:ascii="Arial" w:hAnsi="Arial" w:cs="Arial"/>
                <w:color w:val="000000"/>
              </w:rPr>
              <w:t xml:space="preserve"> </w:t>
            </w:r>
            <w:r w:rsidRPr="00C0651F">
              <w:rPr>
                <w:rFonts w:ascii="Arial" w:hAnsi="Arial" w:cs="Arial"/>
                <w:color w:val="000000"/>
              </w:rPr>
              <w:t>minimisation basis against the co</w:t>
            </w:r>
            <w:r w:rsidR="005D33D4">
              <w:rPr>
                <w:rFonts w:ascii="Arial" w:hAnsi="Arial" w:cs="Arial"/>
                <w:color w:val="000000"/>
              </w:rPr>
              <w:t>mparator Camino Pro® Bettermilk</w:t>
            </w:r>
            <w:r w:rsidRPr="00C0651F">
              <w:rPr>
                <w:rFonts w:ascii="Arial" w:hAnsi="Arial" w:cs="Arial"/>
                <w:color w:val="000000"/>
              </w:rPr>
              <w:t xml:space="preserve"> at an equivalent price per gram of protein.</w:t>
            </w:r>
          </w:p>
          <w:p w:rsidR="00AD4A59" w:rsidRPr="00C0651F" w:rsidRDefault="00AD4A59" w:rsidP="00FC45F0">
            <w:pPr>
              <w:jc w:val="both"/>
              <w:rPr>
                <w:rFonts w:ascii="Arial" w:hAnsi="Arial" w:cs="Arial"/>
                <w:color w:val="000000"/>
              </w:rPr>
            </w:pPr>
          </w:p>
        </w:tc>
      </w:tr>
      <w:tr w:rsidR="00AD4A59"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lastRenderedPageBreak/>
              <w:t>GLYCOMACROPEPTIDE and  ESSENTIAL AMINO ACIDS</w:t>
            </w:r>
            <w:r>
              <w:rPr>
                <w:rFonts w:ascii="Arial" w:hAnsi="Arial" w:cs="Arial"/>
                <w:color w:val="000000"/>
              </w:rPr>
              <w:br/>
            </w:r>
            <w:r>
              <w:rPr>
                <w:rFonts w:ascii="Arial" w:hAnsi="Arial" w:cs="Arial"/>
                <w:color w:val="000000"/>
              </w:rPr>
              <w:br/>
              <w:t>Sachets containing oral powder 20 g</w:t>
            </w:r>
            <w:r>
              <w:rPr>
                <w:rFonts w:ascii="Arial" w:hAnsi="Arial" w:cs="Arial"/>
                <w:color w:val="000000"/>
              </w:rPr>
              <w:br/>
            </w:r>
            <w:r>
              <w:rPr>
                <w:rFonts w:ascii="Arial" w:hAnsi="Arial" w:cs="Arial"/>
                <w:color w:val="000000"/>
              </w:rPr>
              <w:br/>
              <w:t>PKU Restore®</w:t>
            </w:r>
            <w:r>
              <w:rPr>
                <w:rFonts w:ascii="Arial" w:hAnsi="Arial" w:cs="Arial"/>
                <w:color w:val="000000"/>
              </w:rPr>
              <w:br/>
            </w:r>
            <w:r>
              <w:rPr>
                <w:rFonts w:ascii="Arial" w:hAnsi="Arial" w:cs="Arial"/>
                <w:color w:val="000000"/>
              </w:rPr>
              <w:br/>
              <w:t>Cortex Health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New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Phenylketonuria</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both"/>
              <w:rPr>
                <w:rFonts w:ascii="Arial" w:hAnsi="Arial" w:cs="Arial"/>
                <w:color w:val="000000"/>
              </w:rPr>
            </w:pPr>
            <w:r>
              <w:rPr>
                <w:rFonts w:ascii="Arial" w:hAnsi="Arial" w:cs="Arial"/>
                <w:color w:val="000000"/>
              </w:rPr>
              <w:t>To request a Restricted Benefit for the dietary management of phenylketonuria.</w:t>
            </w:r>
          </w:p>
        </w:tc>
        <w:tc>
          <w:tcPr>
            <w:tcW w:w="5562" w:type="dxa"/>
            <w:tcBorders>
              <w:top w:val="single" w:sz="4" w:space="0" w:color="auto"/>
              <w:left w:val="single" w:sz="4" w:space="0" w:color="auto"/>
              <w:bottom w:val="single" w:sz="4" w:space="0" w:color="auto"/>
              <w:right w:val="single" w:sz="4" w:space="0" w:color="auto"/>
            </w:tcBorders>
          </w:tcPr>
          <w:p w:rsidR="00074D34" w:rsidRPr="00C0651F" w:rsidRDefault="00074D34" w:rsidP="00FC45F0">
            <w:pPr>
              <w:jc w:val="both"/>
              <w:rPr>
                <w:rFonts w:ascii="Arial" w:hAnsi="Arial" w:cs="Arial"/>
                <w:color w:val="000000"/>
              </w:rPr>
            </w:pPr>
            <w:r w:rsidRPr="00C0651F">
              <w:rPr>
                <w:rFonts w:ascii="Arial" w:hAnsi="Arial" w:cs="Arial"/>
                <w:color w:val="000000"/>
              </w:rPr>
              <w:t>The PBAC recommended the listing of PKU Restore® for the treatment of phenylketonuria on a cost</w:t>
            </w:r>
            <w:r w:rsidR="00463F16">
              <w:rPr>
                <w:rFonts w:ascii="Arial" w:hAnsi="Arial" w:cs="Arial"/>
                <w:color w:val="000000"/>
              </w:rPr>
              <w:t xml:space="preserve"> </w:t>
            </w:r>
            <w:r w:rsidRPr="00C0651F">
              <w:rPr>
                <w:rFonts w:ascii="Arial" w:hAnsi="Arial" w:cs="Arial"/>
                <w:color w:val="000000"/>
              </w:rPr>
              <w:t>minimisation basis against Camino Pro® at an equivalent cost per gram of protein equivalent.</w:t>
            </w:r>
          </w:p>
          <w:p w:rsidR="00AD4A59" w:rsidRPr="00C0651F" w:rsidRDefault="00AD4A59" w:rsidP="00FC45F0">
            <w:pPr>
              <w:jc w:val="both"/>
              <w:rPr>
                <w:rFonts w:ascii="Arial" w:hAnsi="Arial" w:cs="Arial"/>
              </w:rPr>
            </w:pPr>
          </w:p>
        </w:tc>
      </w:tr>
      <w:tr w:rsidR="00AD4A59"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HIGH FAT FORMULA with VITAMINS, MINERALS and TRACE ELEMENTS and LOW IN PROTEIN and CARBOHYDRATE</w:t>
            </w:r>
          </w:p>
          <w:p w:rsidR="00AD4A59" w:rsidRDefault="00AD4A59" w:rsidP="00FC45F0">
            <w:pPr>
              <w:rPr>
                <w:rFonts w:ascii="Arial" w:hAnsi="Arial" w:cs="Arial"/>
                <w:color w:val="000000"/>
              </w:rPr>
            </w:pPr>
          </w:p>
          <w:p w:rsidR="00AD4A59" w:rsidRDefault="00AD4A59" w:rsidP="00FC45F0">
            <w:pPr>
              <w:rPr>
                <w:rFonts w:ascii="Arial" w:hAnsi="Arial" w:cs="Arial"/>
                <w:color w:val="000000"/>
              </w:rPr>
            </w:pPr>
            <w:r>
              <w:rPr>
                <w:rFonts w:ascii="Arial" w:hAnsi="Arial" w:cs="Arial"/>
                <w:color w:val="000000"/>
              </w:rPr>
              <w:br w:type="page"/>
            </w:r>
            <w:r>
              <w:rPr>
                <w:rFonts w:ascii="Arial" w:hAnsi="Arial" w:cs="Arial"/>
                <w:color w:val="000000"/>
              </w:rPr>
              <w:br w:type="page"/>
              <w:t>Oral semi-solid 100 g</w:t>
            </w:r>
            <w:r>
              <w:rPr>
                <w:rFonts w:ascii="Arial" w:hAnsi="Arial" w:cs="Arial"/>
                <w:color w:val="000000"/>
              </w:rPr>
              <w:br w:type="page"/>
            </w:r>
            <w:r>
              <w:rPr>
                <w:rFonts w:ascii="Arial" w:hAnsi="Arial" w:cs="Arial"/>
                <w:color w:val="000000"/>
              </w:rPr>
              <w:br w:type="page"/>
            </w:r>
          </w:p>
          <w:p w:rsidR="00AD4A59" w:rsidRDefault="00AD4A59" w:rsidP="00FC45F0">
            <w:pPr>
              <w:rPr>
                <w:rFonts w:ascii="Arial" w:hAnsi="Arial" w:cs="Arial"/>
                <w:color w:val="000000"/>
              </w:rPr>
            </w:pPr>
          </w:p>
          <w:p w:rsidR="00AD4A59" w:rsidRDefault="00AD4A59" w:rsidP="00FC45F0">
            <w:pPr>
              <w:rPr>
                <w:rFonts w:ascii="Arial" w:hAnsi="Arial" w:cs="Arial"/>
                <w:color w:val="000000"/>
              </w:rPr>
            </w:pPr>
            <w:r>
              <w:rPr>
                <w:rFonts w:ascii="Arial" w:hAnsi="Arial" w:cs="Arial"/>
                <w:color w:val="000000"/>
              </w:rPr>
              <w:t>Keyo®</w:t>
            </w:r>
            <w:r>
              <w:rPr>
                <w:rFonts w:ascii="Arial" w:hAnsi="Arial" w:cs="Arial"/>
                <w:color w:val="000000"/>
              </w:rPr>
              <w:br w:type="page"/>
            </w:r>
            <w:r>
              <w:rPr>
                <w:rFonts w:ascii="Arial" w:hAnsi="Arial" w:cs="Arial"/>
                <w:color w:val="000000"/>
              </w:rPr>
              <w:br w:type="page"/>
            </w:r>
          </w:p>
          <w:p w:rsidR="00AD4A59" w:rsidRDefault="00AD4A59" w:rsidP="00FC45F0">
            <w:pPr>
              <w:rPr>
                <w:rFonts w:ascii="Arial" w:hAnsi="Arial" w:cs="Arial"/>
                <w:color w:val="000000"/>
              </w:rPr>
            </w:pPr>
          </w:p>
          <w:p w:rsidR="00AD4A59" w:rsidRDefault="00AD4A59" w:rsidP="00FC45F0">
            <w:pPr>
              <w:rPr>
                <w:rFonts w:ascii="Arial" w:hAnsi="Arial" w:cs="Arial"/>
                <w:color w:val="000000"/>
              </w:rPr>
            </w:pPr>
            <w:r>
              <w:rPr>
                <w:rFonts w:ascii="Arial" w:hAnsi="Arial" w:cs="Arial"/>
                <w:color w:val="000000"/>
              </w:rPr>
              <w:t>Vitaflo Australia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New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Dietary management of conditions requiring a ketogenic diet</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both"/>
              <w:rPr>
                <w:rFonts w:ascii="Arial" w:hAnsi="Arial" w:cs="Arial"/>
                <w:color w:val="000000"/>
              </w:rPr>
            </w:pPr>
            <w:r>
              <w:rPr>
                <w:rFonts w:ascii="Arial" w:hAnsi="Arial" w:cs="Arial"/>
                <w:color w:val="000000"/>
              </w:rPr>
              <w:t>To request a Restricted Benefit listing as a dietary supplement for patients requiring a ketogenic diet.</w:t>
            </w:r>
          </w:p>
        </w:tc>
        <w:tc>
          <w:tcPr>
            <w:tcW w:w="5562" w:type="dxa"/>
            <w:tcBorders>
              <w:top w:val="single" w:sz="4" w:space="0" w:color="auto"/>
              <w:left w:val="single" w:sz="4" w:space="0" w:color="auto"/>
              <w:bottom w:val="single" w:sz="4" w:space="0" w:color="auto"/>
              <w:right w:val="single" w:sz="4" w:space="0" w:color="auto"/>
            </w:tcBorders>
          </w:tcPr>
          <w:p w:rsidR="00AD4A59" w:rsidRPr="00C0651F" w:rsidRDefault="005C4BA6" w:rsidP="00FC45F0">
            <w:pPr>
              <w:jc w:val="both"/>
              <w:rPr>
                <w:rFonts w:ascii="Arial" w:hAnsi="Arial" w:cs="Arial"/>
              </w:rPr>
            </w:pPr>
            <w:r w:rsidRPr="00C0651F">
              <w:rPr>
                <w:rFonts w:ascii="Arial" w:hAnsi="Arial" w:cs="Arial"/>
                <w:color w:val="000000"/>
              </w:rPr>
              <w:t xml:space="preserve">The PBAC recommended the listing of Keyo® as a Restricted Benefit for a </w:t>
            </w:r>
            <w:r w:rsidR="00496480">
              <w:rPr>
                <w:rFonts w:ascii="Arial" w:hAnsi="Arial" w:cs="Arial"/>
                <w:color w:val="000000"/>
              </w:rPr>
              <w:t>k</w:t>
            </w:r>
            <w:r w:rsidR="00496480" w:rsidRPr="00C0651F">
              <w:rPr>
                <w:rFonts w:ascii="Arial" w:hAnsi="Arial" w:cs="Arial"/>
                <w:color w:val="000000"/>
              </w:rPr>
              <w:t xml:space="preserve">etogenic </w:t>
            </w:r>
            <w:r w:rsidRPr="00C0651F">
              <w:rPr>
                <w:rFonts w:ascii="Arial" w:hAnsi="Arial" w:cs="Arial"/>
                <w:color w:val="000000"/>
              </w:rPr>
              <w:t>diet on a cost minimisation basis against KetoCal 4:1 LQ at an equivalent price per kilojoule of energy.</w:t>
            </w:r>
          </w:p>
        </w:tc>
      </w:tr>
      <w:tr w:rsidR="00AD4A59"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INFLIXIMAB</w:t>
            </w:r>
            <w:r>
              <w:rPr>
                <w:rFonts w:ascii="Arial" w:hAnsi="Arial" w:cs="Arial"/>
                <w:color w:val="000000"/>
              </w:rPr>
              <w:br/>
            </w:r>
            <w:r>
              <w:rPr>
                <w:rFonts w:ascii="Arial" w:hAnsi="Arial" w:cs="Arial"/>
                <w:color w:val="000000"/>
              </w:rPr>
              <w:br/>
              <w:t>Powder for I.V. infusion 100 mg</w:t>
            </w:r>
            <w:r>
              <w:rPr>
                <w:rFonts w:ascii="Arial" w:hAnsi="Arial" w:cs="Arial"/>
                <w:color w:val="000000"/>
              </w:rPr>
              <w:br/>
            </w:r>
            <w:r>
              <w:rPr>
                <w:rFonts w:ascii="Arial" w:hAnsi="Arial" w:cs="Arial"/>
                <w:color w:val="000000"/>
              </w:rPr>
              <w:br/>
              <w:t>Renflexis®</w:t>
            </w:r>
            <w:r>
              <w:rPr>
                <w:rFonts w:ascii="Arial" w:hAnsi="Arial" w:cs="Arial"/>
                <w:color w:val="000000"/>
              </w:rPr>
              <w:br/>
            </w:r>
            <w:r>
              <w:rPr>
                <w:rFonts w:ascii="Arial" w:hAnsi="Arial" w:cs="Arial"/>
                <w:color w:val="000000"/>
              </w:rPr>
              <w:br/>
              <w:t>Merck Sharp &amp; Dohme (Australia)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New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lastRenderedPageBreak/>
              <w:t>Same as currently PBS subsidised indications for infliximab</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both"/>
              <w:rPr>
                <w:rFonts w:ascii="Arial" w:hAnsi="Arial" w:cs="Arial"/>
                <w:color w:val="000000"/>
              </w:rPr>
            </w:pPr>
            <w:r>
              <w:rPr>
                <w:rFonts w:ascii="Arial" w:hAnsi="Arial" w:cs="Arial"/>
                <w:color w:val="000000"/>
              </w:rPr>
              <w:t>To request a Section 100 (Highly Specialised Drugs Program) Authority Required listing of a biosimilar infliximab for all indications currently PBS subsidised for infliximab.</w:t>
            </w:r>
          </w:p>
        </w:tc>
        <w:tc>
          <w:tcPr>
            <w:tcW w:w="5562" w:type="dxa"/>
            <w:tcBorders>
              <w:top w:val="single" w:sz="4" w:space="0" w:color="auto"/>
              <w:left w:val="single" w:sz="4" w:space="0" w:color="auto"/>
              <w:bottom w:val="single" w:sz="4" w:space="0" w:color="auto"/>
              <w:right w:val="single" w:sz="4" w:space="0" w:color="auto"/>
            </w:tcBorders>
          </w:tcPr>
          <w:p w:rsidR="00B54F64" w:rsidRPr="00C0651F" w:rsidRDefault="00B54F64" w:rsidP="00FC45F0">
            <w:pPr>
              <w:jc w:val="both"/>
              <w:rPr>
                <w:rFonts w:ascii="Arial" w:hAnsi="Arial" w:cs="Arial"/>
                <w:bCs/>
              </w:rPr>
            </w:pPr>
            <w:r w:rsidRPr="00C0651F">
              <w:rPr>
                <w:rFonts w:ascii="Arial" w:hAnsi="Arial" w:cs="Arial"/>
                <w:bCs/>
              </w:rPr>
              <w:t>The PBAC recommended the listing of infliximab (Renflexis</w:t>
            </w:r>
            <w:r w:rsidRPr="00C0651F">
              <w:rPr>
                <w:rFonts w:ascii="Arial" w:hAnsi="Arial" w:cs="Arial"/>
                <w:bCs/>
                <w:vertAlign w:val="superscript"/>
              </w:rPr>
              <w:t>®</w:t>
            </w:r>
            <w:r w:rsidRPr="00C0651F">
              <w:rPr>
                <w:rFonts w:ascii="Arial" w:hAnsi="Arial" w:cs="Arial"/>
                <w:bCs/>
              </w:rPr>
              <w:t>) as a biosimilar of infliximab (Remicade</w:t>
            </w:r>
            <w:r w:rsidRPr="00C0651F">
              <w:rPr>
                <w:rFonts w:ascii="Arial" w:hAnsi="Arial" w:cs="Arial"/>
                <w:bCs/>
                <w:vertAlign w:val="superscript"/>
              </w:rPr>
              <w:t>®</w:t>
            </w:r>
            <w:r w:rsidRPr="00C0651F">
              <w:rPr>
                <w:rFonts w:ascii="Arial" w:hAnsi="Arial" w:cs="Arial"/>
                <w:bCs/>
              </w:rPr>
              <w:t>) on a cost minimisation basis with infliximab (Remicade) for all indications – rheumatoid arthritis, ankylosing spondylitis, psoriatic arthritis, chronic plaque psoriasis, Crohn’s disease, Fistulating Crohn’s disease and ulcerative colitis. The PBAC considered that the evidence presented in the submission supported the claims of comparative safety and effectiveness of Renflexis and Remicade.</w:t>
            </w:r>
          </w:p>
          <w:p w:rsidR="00B54F64" w:rsidRPr="00C0651F" w:rsidRDefault="00B54F64" w:rsidP="00FC45F0">
            <w:pPr>
              <w:jc w:val="both"/>
              <w:rPr>
                <w:rFonts w:ascii="Arial" w:hAnsi="Arial" w:cs="Arial"/>
                <w:bCs/>
              </w:rPr>
            </w:pPr>
          </w:p>
          <w:p w:rsidR="00B54F64" w:rsidRPr="00C0651F" w:rsidRDefault="00B54F64" w:rsidP="00FC45F0">
            <w:pPr>
              <w:jc w:val="both"/>
              <w:rPr>
                <w:rFonts w:ascii="Arial" w:hAnsi="Arial" w:cs="Arial"/>
                <w:bCs/>
              </w:rPr>
            </w:pPr>
            <w:r w:rsidRPr="00C0651F">
              <w:rPr>
                <w:rFonts w:ascii="Arial" w:hAnsi="Arial" w:cs="Arial"/>
                <w:bCs/>
              </w:rPr>
              <w:lastRenderedPageBreak/>
              <w:t>The PBAC</w:t>
            </w:r>
            <w:r w:rsidRPr="00C0651F">
              <w:rPr>
                <w:rFonts w:ascii="Arial" w:hAnsi="Arial" w:cs="Arial"/>
              </w:rPr>
              <w:t xml:space="preserve"> </w:t>
            </w:r>
            <w:r w:rsidRPr="00C0651F">
              <w:rPr>
                <w:rFonts w:ascii="Arial" w:hAnsi="Arial" w:cs="Arial"/>
                <w:bCs/>
              </w:rPr>
              <w:t>advised the Minister that it considered the Remicade and Renflexis brands of infliximab could be marked as equivalent in the Schedule of Pharma</w:t>
            </w:r>
            <w:r w:rsidR="009A2445">
              <w:rPr>
                <w:rFonts w:ascii="Arial" w:hAnsi="Arial" w:cs="Arial"/>
                <w:bCs/>
              </w:rPr>
              <w:t>ceutical Benefits (‘a’ flagged)</w:t>
            </w:r>
            <w:r w:rsidRPr="00C0651F">
              <w:rPr>
                <w:rFonts w:ascii="Arial" w:hAnsi="Arial" w:cs="Arial"/>
                <w:bCs/>
              </w:rPr>
              <w:t xml:space="preserve"> for the purposes of substitution by the pharmacist at the point of dispensing for all  indications currently PBS-listed. The PBAC noted that the substitution process allows for patient and prescriber choice and is not automatic. For any individual prescription, a prescriber may choose to not permit brand substitution. If on the other hand, substitution has been permitted by the prescriber, the patient may choose which brand they wish to receive from the pharmacist.</w:t>
            </w:r>
          </w:p>
          <w:p w:rsidR="00B54F64" w:rsidRPr="00C0651F" w:rsidRDefault="00B54F64" w:rsidP="00FC45F0">
            <w:pPr>
              <w:jc w:val="both"/>
              <w:rPr>
                <w:rFonts w:ascii="Arial" w:hAnsi="Arial" w:cs="Arial"/>
                <w:bCs/>
              </w:rPr>
            </w:pPr>
          </w:p>
          <w:p w:rsidR="00B54F64" w:rsidRPr="00C0651F" w:rsidRDefault="00B54F64" w:rsidP="00FC45F0">
            <w:pPr>
              <w:jc w:val="both"/>
              <w:rPr>
                <w:rFonts w:ascii="Arial" w:hAnsi="Arial" w:cs="Arial"/>
                <w:bCs/>
              </w:rPr>
            </w:pPr>
            <w:r w:rsidRPr="00C0651F">
              <w:rPr>
                <w:rFonts w:ascii="Arial" w:hAnsi="Arial" w:cs="Arial"/>
                <w:bCs/>
              </w:rPr>
              <w:t>In forming its view on brand substitution (‘a’ flagging), the PBAC considered a range of factors including:</w:t>
            </w:r>
          </w:p>
          <w:p w:rsidR="00B54F64" w:rsidRPr="00C0651F" w:rsidRDefault="00B54F64" w:rsidP="00FC45F0">
            <w:pPr>
              <w:pStyle w:val="ListParagraph"/>
              <w:widowControl w:val="0"/>
              <w:numPr>
                <w:ilvl w:val="0"/>
                <w:numId w:val="44"/>
              </w:numPr>
              <w:ind w:left="426"/>
              <w:jc w:val="both"/>
              <w:rPr>
                <w:rFonts w:ascii="Arial" w:hAnsi="Arial" w:cs="Arial"/>
                <w:bCs/>
                <w:sz w:val="20"/>
                <w:szCs w:val="20"/>
              </w:rPr>
            </w:pPr>
            <w:r w:rsidRPr="00C0651F">
              <w:rPr>
                <w:rFonts w:ascii="Arial" w:hAnsi="Arial" w:cs="Arial"/>
                <w:bCs/>
                <w:sz w:val="20"/>
                <w:szCs w:val="20"/>
              </w:rPr>
              <w:t>The key randomised clinical study in rheumatoid arthritis did not indicate differences in efficacy or safety of Renflexis compared with Remicade.</w:t>
            </w:r>
          </w:p>
          <w:p w:rsidR="00B54F64" w:rsidRPr="00C0651F" w:rsidRDefault="00B54F64" w:rsidP="00FC45F0">
            <w:pPr>
              <w:pStyle w:val="ListParagraph"/>
              <w:widowControl w:val="0"/>
              <w:numPr>
                <w:ilvl w:val="0"/>
                <w:numId w:val="44"/>
              </w:numPr>
              <w:ind w:left="426"/>
              <w:jc w:val="both"/>
              <w:rPr>
                <w:rFonts w:ascii="Arial" w:hAnsi="Arial" w:cs="Arial"/>
                <w:bCs/>
                <w:sz w:val="20"/>
                <w:szCs w:val="20"/>
              </w:rPr>
            </w:pPr>
            <w:r w:rsidRPr="00C0651F">
              <w:rPr>
                <w:rFonts w:ascii="Arial" w:hAnsi="Arial" w:cs="Arial"/>
                <w:bCs/>
                <w:sz w:val="20"/>
                <w:szCs w:val="20"/>
              </w:rPr>
              <w:t>The clinical data provided in the submission did not suggest there were any identified populations where the risks of using the biosimilar product in place of the reference biologic were disproportionately high.</w:t>
            </w:r>
          </w:p>
          <w:p w:rsidR="00B54F64" w:rsidRPr="00C0651F" w:rsidRDefault="00B54F64" w:rsidP="00FC45F0">
            <w:pPr>
              <w:pStyle w:val="ListParagraph"/>
              <w:widowControl w:val="0"/>
              <w:numPr>
                <w:ilvl w:val="0"/>
                <w:numId w:val="44"/>
              </w:numPr>
              <w:ind w:left="426"/>
              <w:jc w:val="both"/>
              <w:rPr>
                <w:rFonts w:ascii="Arial" w:hAnsi="Arial" w:cs="Arial"/>
                <w:bCs/>
                <w:sz w:val="20"/>
                <w:szCs w:val="20"/>
              </w:rPr>
            </w:pPr>
            <w:r w:rsidRPr="00C0651F">
              <w:rPr>
                <w:rFonts w:ascii="Arial" w:hAnsi="Arial" w:cs="Arial"/>
                <w:bCs/>
                <w:sz w:val="20"/>
                <w:szCs w:val="20"/>
              </w:rPr>
              <w:t>In</w:t>
            </w:r>
            <w:r w:rsidRPr="00C0651F">
              <w:rPr>
                <w:rFonts w:ascii="Arial" w:hAnsi="Arial" w:cs="Arial"/>
                <w:sz w:val="20"/>
                <w:szCs w:val="20"/>
              </w:rPr>
              <w:t xml:space="preserve"> </w:t>
            </w:r>
            <w:r w:rsidRPr="00C0651F">
              <w:rPr>
                <w:rFonts w:ascii="Arial" w:hAnsi="Arial" w:cs="Arial"/>
                <w:bCs/>
                <w:sz w:val="20"/>
                <w:szCs w:val="20"/>
              </w:rPr>
              <w:t xml:space="preserve">the SB2-G31-RA transition-extension period which included 24 weeks of additional data, including a one-way switch from Remicade to Renflexis, the clinical evidence suggested no difference in efficacy, safety or immunogenicity between the biosimilar and the reference biologic. The proportion of patients who had at least one positive anti-drug antibodies result at week 78 was similar between for the Renflexis/Renflexis, Remicade/Remicade and Remicade/Renflexis groups. </w:t>
            </w:r>
          </w:p>
          <w:p w:rsidR="00B54F64" w:rsidRPr="00C0651F" w:rsidRDefault="00B54F64" w:rsidP="00FC45F0">
            <w:pPr>
              <w:pStyle w:val="ListParagraph"/>
              <w:widowControl w:val="0"/>
              <w:numPr>
                <w:ilvl w:val="0"/>
                <w:numId w:val="44"/>
              </w:numPr>
              <w:ind w:left="426"/>
              <w:jc w:val="both"/>
              <w:rPr>
                <w:rFonts w:ascii="Arial" w:hAnsi="Arial" w:cs="Arial"/>
                <w:bCs/>
                <w:sz w:val="20"/>
                <w:szCs w:val="20"/>
              </w:rPr>
            </w:pPr>
            <w:r w:rsidRPr="00C0651F">
              <w:rPr>
                <w:rFonts w:ascii="Arial" w:hAnsi="Arial" w:cs="Arial"/>
                <w:bCs/>
                <w:sz w:val="20"/>
                <w:szCs w:val="20"/>
              </w:rPr>
              <w:t>The evidence presented in the SB2-G31-RA trial in treatment-naïve patients with rheumatoid arthritis initiating on either Remicade or Renflexis support a finding that Renflexis has equivalent effectiveness and equivalent safety compared to Remicade.</w:t>
            </w:r>
          </w:p>
          <w:p w:rsidR="00AD4A59" w:rsidRDefault="00B54F64" w:rsidP="00FC45F0">
            <w:pPr>
              <w:pStyle w:val="ListParagraph"/>
              <w:widowControl w:val="0"/>
              <w:numPr>
                <w:ilvl w:val="0"/>
                <w:numId w:val="44"/>
              </w:numPr>
              <w:ind w:left="426"/>
              <w:jc w:val="both"/>
              <w:rPr>
                <w:rFonts w:ascii="Arial" w:hAnsi="Arial" w:cs="Arial"/>
                <w:bCs/>
                <w:sz w:val="20"/>
                <w:szCs w:val="20"/>
              </w:rPr>
            </w:pPr>
            <w:r w:rsidRPr="00C0651F">
              <w:rPr>
                <w:rFonts w:ascii="Arial" w:hAnsi="Arial" w:cs="Arial"/>
                <w:bCs/>
                <w:sz w:val="20"/>
                <w:szCs w:val="20"/>
              </w:rPr>
              <w:t xml:space="preserve">The </w:t>
            </w:r>
            <w:r w:rsidR="00496480">
              <w:rPr>
                <w:rFonts w:ascii="Arial" w:hAnsi="Arial" w:cs="Arial"/>
                <w:bCs/>
                <w:sz w:val="20"/>
                <w:szCs w:val="20"/>
              </w:rPr>
              <w:t>Advisory Committee on Prescription Medicines (</w:t>
            </w:r>
            <w:r w:rsidRPr="00C0651F">
              <w:rPr>
                <w:rFonts w:ascii="Arial" w:hAnsi="Arial" w:cs="Arial"/>
                <w:bCs/>
                <w:sz w:val="20"/>
                <w:szCs w:val="20"/>
              </w:rPr>
              <w:t>ACPM</w:t>
            </w:r>
            <w:r w:rsidR="00496480">
              <w:rPr>
                <w:rFonts w:ascii="Arial" w:hAnsi="Arial" w:cs="Arial"/>
                <w:bCs/>
                <w:sz w:val="20"/>
                <w:szCs w:val="20"/>
              </w:rPr>
              <w:t>)</w:t>
            </w:r>
            <w:r w:rsidRPr="00C0651F">
              <w:rPr>
                <w:rFonts w:ascii="Arial" w:hAnsi="Arial" w:cs="Arial"/>
                <w:bCs/>
                <w:sz w:val="20"/>
                <w:szCs w:val="20"/>
              </w:rPr>
              <w:t xml:space="preserve"> has declared Renflexis a biosimilar for </w:t>
            </w:r>
            <w:r w:rsidRPr="00C0651F">
              <w:rPr>
                <w:rFonts w:ascii="Arial" w:hAnsi="Arial" w:cs="Arial"/>
                <w:bCs/>
                <w:sz w:val="20"/>
                <w:szCs w:val="20"/>
              </w:rPr>
              <w:lastRenderedPageBreak/>
              <w:t>Remicade. The ACPM was satisfied of the similar safety and efficacy of Renflexis and Remicade in rheumatoid arthritis, and that this could be extrapolated to ankylosing spondylitis, psoriatic arthritis, psoriasis, Crohn’s disease, refractory fistulating Crohn’s disease and ulcerative colitis. The ACPM also noted that there was no evidence to suggest the presence of anti-drug antibodies affected either the efficacy or safety of infliximab.</w:t>
            </w:r>
          </w:p>
          <w:p w:rsidR="00AD330F" w:rsidRDefault="00AD330F" w:rsidP="00AD330F">
            <w:pPr>
              <w:widowControl w:val="0"/>
              <w:jc w:val="both"/>
              <w:rPr>
                <w:rFonts w:ascii="Arial" w:hAnsi="Arial" w:cs="Arial"/>
                <w:bCs/>
              </w:rPr>
            </w:pPr>
          </w:p>
          <w:p w:rsidR="00AD330F" w:rsidRPr="00AD330F" w:rsidRDefault="00AD330F" w:rsidP="00AD330F">
            <w:pPr>
              <w:widowControl w:val="0"/>
              <w:jc w:val="both"/>
              <w:rPr>
                <w:rFonts w:ascii="Arial" w:hAnsi="Arial" w:cs="Arial"/>
                <w:bCs/>
              </w:rPr>
            </w:pPr>
            <w:r w:rsidRPr="00AD330F">
              <w:rPr>
                <w:rFonts w:ascii="Arial" w:hAnsi="Arial" w:cs="Arial"/>
                <w:bCs/>
              </w:rPr>
              <w:t>The PBAC noted this submission sought listing of a second biosimilar brand of a biologic and that, in recommending an ‘a’ flag for Renflexis with Remicade, it is possible that switches between more than two brands of infliximab will occur in practice.  The PBAC had no reason to  consider this would affect patient outcomes.</w:t>
            </w:r>
          </w:p>
        </w:tc>
      </w:tr>
      <w:tr w:rsidR="00A415CF"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415CF" w:rsidRPr="00E34312" w:rsidRDefault="00A415CF" w:rsidP="00A415CF">
            <w:pPr>
              <w:rPr>
                <w:rFonts w:ascii="Arial" w:hAnsi="Arial" w:cs="Arial"/>
                <w:bCs/>
                <w:color w:val="000000"/>
              </w:rPr>
            </w:pPr>
            <w:r w:rsidRPr="00E34312">
              <w:rPr>
                <w:rFonts w:ascii="Arial" w:hAnsi="Arial" w:cs="Arial"/>
                <w:bCs/>
                <w:color w:val="000000"/>
              </w:rPr>
              <w:lastRenderedPageBreak/>
              <w:t>IVACAFTOR</w:t>
            </w:r>
          </w:p>
          <w:p w:rsidR="00A415CF" w:rsidRPr="00E34312" w:rsidRDefault="00A415CF" w:rsidP="00A415CF">
            <w:pPr>
              <w:rPr>
                <w:rFonts w:ascii="Arial" w:hAnsi="Arial" w:cs="Arial"/>
                <w:bCs/>
                <w:color w:val="000000"/>
              </w:rPr>
            </w:pPr>
          </w:p>
          <w:p w:rsidR="00A415CF" w:rsidRPr="00E34312" w:rsidRDefault="00A415CF" w:rsidP="00A415CF">
            <w:pPr>
              <w:rPr>
                <w:rFonts w:ascii="Arial" w:hAnsi="Arial" w:cs="Arial"/>
                <w:bCs/>
                <w:color w:val="000000"/>
              </w:rPr>
            </w:pPr>
            <w:r w:rsidRPr="00E34312">
              <w:rPr>
                <w:rFonts w:ascii="Arial" w:hAnsi="Arial" w:cs="Arial"/>
                <w:bCs/>
                <w:color w:val="000000"/>
              </w:rPr>
              <w:t>Sachet containing granules 50 mg</w:t>
            </w:r>
          </w:p>
          <w:p w:rsidR="00A415CF" w:rsidRPr="00E34312" w:rsidRDefault="00A415CF" w:rsidP="00A415CF">
            <w:pPr>
              <w:rPr>
                <w:rFonts w:ascii="Arial" w:hAnsi="Arial" w:cs="Arial"/>
                <w:bCs/>
                <w:color w:val="000000"/>
              </w:rPr>
            </w:pPr>
            <w:r w:rsidRPr="00E34312">
              <w:rPr>
                <w:rFonts w:ascii="Arial" w:hAnsi="Arial" w:cs="Arial"/>
                <w:bCs/>
                <w:color w:val="000000"/>
              </w:rPr>
              <w:t>Sachet containing granules 75 mg</w:t>
            </w:r>
          </w:p>
          <w:p w:rsidR="00A415CF" w:rsidRPr="00E34312" w:rsidRDefault="00A415CF" w:rsidP="00A415CF">
            <w:pPr>
              <w:rPr>
                <w:rFonts w:ascii="Arial" w:hAnsi="Arial" w:cs="Arial"/>
                <w:bCs/>
                <w:color w:val="000000"/>
              </w:rPr>
            </w:pPr>
          </w:p>
          <w:p w:rsidR="00A415CF" w:rsidRPr="00E34312" w:rsidRDefault="00A415CF" w:rsidP="00A415CF">
            <w:pPr>
              <w:rPr>
                <w:rFonts w:ascii="Arial" w:hAnsi="Arial" w:cs="Arial"/>
                <w:bCs/>
                <w:color w:val="000000"/>
              </w:rPr>
            </w:pPr>
            <w:r w:rsidRPr="00E34312">
              <w:rPr>
                <w:rFonts w:ascii="Arial" w:hAnsi="Arial" w:cs="Arial"/>
                <w:bCs/>
                <w:color w:val="000000"/>
              </w:rPr>
              <w:t>Kalydeco®</w:t>
            </w:r>
          </w:p>
          <w:p w:rsidR="00A415CF" w:rsidRPr="00E34312" w:rsidRDefault="00A415CF" w:rsidP="00A415CF">
            <w:pPr>
              <w:rPr>
                <w:rFonts w:ascii="Arial" w:hAnsi="Arial" w:cs="Arial"/>
                <w:bCs/>
                <w:color w:val="000000"/>
              </w:rPr>
            </w:pPr>
          </w:p>
          <w:p w:rsidR="00A415CF" w:rsidRDefault="00A415CF" w:rsidP="00A415CF">
            <w:pPr>
              <w:rPr>
                <w:rFonts w:ascii="Arial" w:hAnsi="Arial" w:cs="Arial"/>
                <w:bCs/>
                <w:color w:val="000000"/>
              </w:rPr>
            </w:pPr>
            <w:r w:rsidRPr="00E34312">
              <w:rPr>
                <w:rFonts w:ascii="Arial" w:hAnsi="Arial" w:cs="Arial"/>
                <w:bCs/>
                <w:color w:val="000000"/>
              </w:rPr>
              <w:t>Vertex Pharmaceuticals (Australia) Pty Ltd</w:t>
            </w:r>
          </w:p>
          <w:p w:rsidR="00A415CF" w:rsidRDefault="00A415CF" w:rsidP="00A415CF">
            <w:pPr>
              <w:rPr>
                <w:rFonts w:ascii="Arial" w:hAnsi="Arial" w:cs="Arial"/>
                <w:bCs/>
                <w:color w:val="000000"/>
              </w:rPr>
            </w:pPr>
          </w:p>
          <w:p w:rsidR="00A415CF" w:rsidRDefault="00A415CF" w:rsidP="00A415CF">
            <w:pPr>
              <w:rPr>
                <w:rFonts w:ascii="Arial" w:hAnsi="Arial" w:cs="Arial"/>
                <w:bCs/>
                <w:color w:val="000000"/>
              </w:rPr>
            </w:pPr>
            <w:r>
              <w:rPr>
                <w:rFonts w:ascii="Arial" w:hAnsi="Arial" w:cs="Arial"/>
                <w:bCs/>
                <w:color w:val="000000"/>
              </w:rPr>
              <w:t>Change to listing</w:t>
            </w:r>
          </w:p>
          <w:p w:rsidR="00A415CF" w:rsidRDefault="00A415CF" w:rsidP="00A415CF">
            <w:pPr>
              <w:rPr>
                <w:rFonts w:ascii="Arial" w:hAnsi="Arial" w:cs="Arial"/>
                <w:bCs/>
                <w:color w:val="000000"/>
              </w:rPr>
            </w:pPr>
          </w:p>
          <w:p w:rsidR="00A415CF" w:rsidRDefault="00A415CF" w:rsidP="00A415CF">
            <w:pPr>
              <w:rPr>
                <w:rFonts w:ascii="Arial" w:hAnsi="Arial" w:cs="Arial"/>
                <w:color w:val="000000"/>
              </w:rPr>
            </w:pPr>
            <w:r>
              <w:rPr>
                <w:rFonts w:ascii="Arial" w:hAnsi="Arial" w:cs="Arial"/>
                <w:bCs/>
                <w:color w:val="000000"/>
              </w:rP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415CF" w:rsidRDefault="0042435F" w:rsidP="00FC45F0">
            <w:pPr>
              <w:rPr>
                <w:rFonts w:ascii="Arial" w:hAnsi="Arial" w:cs="Arial"/>
                <w:color w:val="000000"/>
              </w:rPr>
            </w:pPr>
            <w:r w:rsidRPr="00E34312">
              <w:rPr>
                <w:rFonts w:ascii="Arial" w:hAnsi="Arial" w:cs="Arial"/>
                <w:bCs/>
                <w:color w:val="000000"/>
              </w:rPr>
              <w:t>Cystic fibrosis</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415CF" w:rsidRDefault="0042435F" w:rsidP="00FC45F0">
            <w:pPr>
              <w:jc w:val="both"/>
              <w:rPr>
                <w:rFonts w:ascii="Arial" w:hAnsi="Arial" w:cs="Arial"/>
                <w:color w:val="000000"/>
              </w:rPr>
            </w:pPr>
            <w:r w:rsidRPr="00E34312">
              <w:rPr>
                <w:rFonts w:ascii="Arial" w:hAnsi="Arial" w:cs="Arial"/>
                <w:bCs/>
                <w:color w:val="000000"/>
              </w:rPr>
              <w:t xml:space="preserve">To request a Section 100 (Highly Specialised Drugs Program) listing of a new form of ivacaftor;  and an extension to </w:t>
            </w:r>
            <w:r>
              <w:rPr>
                <w:rFonts w:ascii="Arial" w:hAnsi="Arial" w:cs="Arial"/>
                <w:bCs/>
                <w:color w:val="000000"/>
              </w:rPr>
              <w:t xml:space="preserve">the </w:t>
            </w:r>
            <w:r w:rsidRPr="00E34312">
              <w:rPr>
                <w:rFonts w:ascii="Arial" w:hAnsi="Arial" w:cs="Arial"/>
                <w:bCs/>
                <w:color w:val="000000"/>
              </w:rPr>
              <w:t>current ivacaftor listing</w:t>
            </w:r>
            <w:r>
              <w:rPr>
                <w:rFonts w:ascii="Arial" w:hAnsi="Arial" w:cs="Arial"/>
                <w:bCs/>
                <w:color w:val="000000"/>
              </w:rPr>
              <w:t xml:space="preserve"> for patients</w:t>
            </w:r>
            <w:r w:rsidRPr="00E34312">
              <w:rPr>
                <w:rFonts w:ascii="Arial" w:hAnsi="Arial" w:cs="Arial"/>
                <w:bCs/>
                <w:color w:val="000000"/>
              </w:rPr>
              <w:t xml:space="preserve"> </w:t>
            </w:r>
            <w:r>
              <w:rPr>
                <w:rFonts w:ascii="Arial" w:hAnsi="Arial" w:cs="Arial"/>
                <w:bCs/>
                <w:color w:val="000000"/>
              </w:rPr>
              <w:t xml:space="preserve">aged 6 and above </w:t>
            </w:r>
            <w:r w:rsidRPr="00E34312">
              <w:rPr>
                <w:rFonts w:ascii="Arial" w:hAnsi="Arial" w:cs="Arial"/>
                <w:bCs/>
                <w:color w:val="000000"/>
              </w:rPr>
              <w:t xml:space="preserve">who have a G551D or other gating (class III) mutation in the </w:t>
            </w:r>
            <w:r w:rsidRPr="00547408">
              <w:rPr>
                <w:rFonts w:ascii="Arial" w:hAnsi="Arial" w:cs="Arial"/>
                <w:bCs/>
                <w:color w:val="000000"/>
              </w:rPr>
              <w:t>cystic fibrosis transmembrane regulator</w:t>
            </w:r>
            <w:r w:rsidRPr="00E34312">
              <w:rPr>
                <w:rFonts w:ascii="Arial" w:hAnsi="Arial" w:cs="Arial"/>
                <w:bCs/>
                <w:color w:val="000000"/>
              </w:rPr>
              <w:t xml:space="preserve"> </w:t>
            </w:r>
            <w:r>
              <w:rPr>
                <w:rFonts w:ascii="Arial" w:hAnsi="Arial" w:cs="Arial"/>
                <w:bCs/>
                <w:color w:val="000000"/>
              </w:rPr>
              <w:t>(</w:t>
            </w:r>
            <w:r w:rsidRPr="00E34312">
              <w:rPr>
                <w:rFonts w:ascii="Arial" w:hAnsi="Arial" w:cs="Arial"/>
                <w:bCs/>
                <w:color w:val="000000"/>
              </w:rPr>
              <w:t>CFTR</w:t>
            </w:r>
            <w:r>
              <w:rPr>
                <w:rFonts w:ascii="Arial" w:hAnsi="Arial" w:cs="Arial"/>
                <w:bCs/>
                <w:color w:val="000000"/>
              </w:rPr>
              <w:t>)</w:t>
            </w:r>
            <w:r w:rsidRPr="00E34312">
              <w:rPr>
                <w:rFonts w:ascii="Arial" w:hAnsi="Arial" w:cs="Arial"/>
                <w:bCs/>
                <w:color w:val="000000"/>
              </w:rPr>
              <w:t xml:space="preserve"> gene</w:t>
            </w:r>
            <w:r>
              <w:rPr>
                <w:rFonts w:ascii="Arial" w:hAnsi="Arial" w:cs="Arial"/>
                <w:bCs/>
                <w:color w:val="000000"/>
              </w:rPr>
              <w:t xml:space="preserve"> </w:t>
            </w:r>
            <w:r w:rsidRPr="00E34312">
              <w:rPr>
                <w:rFonts w:ascii="Arial" w:hAnsi="Arial" w:cs="Arial"/>
                <w:bCs/>
                <w:color w:val="000000"/>
              </w:rPr>
              <w:t>to include patients aged 2-5 years.</w:t>
            </w:r>
          </w:p>
        </w:tc>
        <w:tc>
          <w:tcPr>
            <w:tcW w:w="5562" w:type="dxa"/>
            <w:tcBorders>
              <w:top w:val="single" w:sz="4" w:space="0" w:color="auto"/>
              <w:left w:val="single" w:sz="4" w:space="0" w:color="auto"/>
              <w:bottom w:val="single" w:sz="4" w:space="0" w:color="auto"/>
              <w:right w:val="single" w:sz="4" w:space="0" w:color="auto"/>
            </w:tcBorders>
          </w:tcPr>
          <w:p w:rsidR="001057B0" w:rsidRPr="001057B0" w:rsidRDefault="001057B0" w:rsidP="001057B0">
            <w:pPr>
              <w:jc w:val="both"/>
              <w:rPr>
                <w:rFonts w:ascii="Arial" w:hAnsi="Arial" w:cs="Arial"/>
              </w:rPr>
            </w:pPr>
            <w:r w:rsidRPr="001057B0">
              <w:rPr>
                <w:rFonts w:ascii="Arial" w:hAnsi="Arial" w:cs="Arial"/>
              </w:rPr>
              <w:t>The PBAC recommended the Section 100 (Highly Specialised Drugs Program), Authority Required listing of a new presentation of ivacaftor, in the form of granules, for treatment of cystic fibrosis CF in patients over the age of 2 years who have a G551D mutation or other class III gating mutations in the CFTR gene.</w:t>
            </w:r>
          </w:p>
          <w:p w:rsidR="001057B0" w:rsidRPr="001057B0" w:rsidRDefault="001057B0" w:rsidP="001057B0">
            <w:pPr>
              <w:jc w:val="both"/>
              <w:rPr>
                <w:rFonts w:ascii="Arial" w:hAnsi="Arial" w:cs="Arial"/>
              </w:rPr>
            </w:pPr>
          </w:p>
          <w:p w:rsidR="001057B0" w:rsidRPr="001057B0" w:rsidRDefault="001057B0" w:rsidP="001057B0">
            <w:pPr>
              <w:jc w:val="both"/>
              <w:rPr>
                <w:rFonts w:ascii="Arial" w:hAnsi="Arial" w:cs="Arial"/>
              </w:rPr>
            </w:pPr>
            <w:r w:rsidRPr="001057B0">
              <w:rPr>
                <w:rFonts w:ascii="Arial" w:hAnsi="Arial" w:cs="Arial"/>
              </w:rPr>
              <w:t>The PBAC noted that limited efficacy data in the 2-5 years age group was provided. However, the PBAC also noted the ethical difficulties associated with getting clinical trial data in this setting. The PBAC noted that observational data from the Ivacaftor Long Term Safety Study showed a statistically significant improvement in the relative risk (RR) of hospitalisation in patients aged &lt;6 years (RR 0.68, 95%CI: 0.49-0.95). The PBAC recalled their earlier advice that the claim of superior efficacy over best supportive care in patients aged 2 to 5 years was biologically plausible and considered that, in this situation, the data provided was sufficient to support this claim.</w:t>
            </w:r>
          </w:p>
          <w:p w:rsidR="001057B0" w:rsidRPr="001057B0" w:rsidRDefault="001057B0" w:rsidP="001057B0">
            <w:pPr>
              <w:jc w:val="both"/>
              <w:rPr>
                <w:rFonts w:ascii="Arial" w:hAnsi="Arial" w:cs="Arial"/>
              </w:rPr>
            </w:pPr>
          </w:p>
          <w:p w:rsidR="001057B0" w:rsidRPr="001057B0" w:rsidRDefault="001057B0" w:rsidP="001057B0">
            <w:pPr>
              <w:jc w:val="both"/>
              <w:rPr>
                <w:rFonts w:ascii="Arial" w:hAnsi="Arial" w:cs="Arial"/>
              </w:rPr>
            </w:pPr>
            <w:r w:rsidRPr="001057B0">
              <w:rPr>
                <w:rFonts w:ascii="Arial" w:hAnsi="Arial" w:cs="Arial"/>
              </w:rPr>
              <w:t>The PBAC noted that overall, the discounted cost/QALY gained was similar for the cohort aged 2</w:t>
            </w:r>
            <w:r w:rsidRPr="001057B0">
              <w:rPr>
                <w:rFonts w:ascii="Arial" w:hAnsi="Arial" w:cs="Arial"/>
              </w:rPr>
              <w:noBreakHyphen/>
              <w:t xml:space="preserve">5 years and the </w:t>
            </w:r>
            <w:r w:rsidRPr="001057B0">
              <w:rPr>
                <w:rFonts w:ascii="Arial" w:hAnsi="Arial" w:cs="Arial"/>
              </w:rPr>
              <w:lastRenderedPageBreak/>
              <w:t>cohort aged 6+ years ($105,000 - $200,000).</w:t>
            </w:r>
          </w:p>
          <w:p w:rsidR="00A415CF" w:rsidRPr="001057B0" w:rsidRDefault="00A415CF" w:rsidP="00FC45F0">
            <w:pPr>
              <w:jc w:val="both"/>
              <w:rPr>
                <w:rFonts w:ascii="Arial" w:hAnsi="Arial" w:cs="Arial"/>
                <w:bCs/>
              </w:rPr>
            </w:pPr>
          </w:p>
        </w:tc>
      </w:tr>
      <w:tr w:rsidR="00AD4A59"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lastRenderedPageBreak/>
              <w:t>LEVODOPA with CARBIDOPA</w:t>
            </w:r>
            <w:r>
              <w:rPr>
                <w:rFonts w:ascii="Arial" w:hAnsi="Arial" w:cs="Arial"/>
                <w:color w:val="000000"/>
              </w:rPr>
              <w:br/>
            </w:r>
            <w:r>
              <w:rPr>
                <w:rFonts w:ascii="Arial" w:hAnsi="Arial" w:cs="Arial"/>
                <w:color w:val="000000"/>
              </w:rPr>
              <w:br/>
            </w:r>
            <w:r w:rsidRPr="006E277E">
              <w:rPr>
                <w:rFonts w:ascii="Arial" w:hAnsi="Arial" w:cs="Arial"/>
                <w:color w:val="000000"/>
              </w:rPr>
              <w:t>Intestinal gel containing levodopa 20 mg with carbidopa (as monohydrate) 5 mg in 1 mL</w:t>
            </w:r>
            <w:r>
              <w:rPr>
                <w:rFonts w:ascii="Arial" w:hAnsi="Arial" w:cs="Arial"/>
                <w:color w:val="000000"/>
              </w:rPr>
              <w:br/>
            </w:r>
            <w:r>
              <w:rPr>
                <w:rFonts w:ascii="Arial" w:hAnsi="Arial" w:cs="Arial"/>
                <w:color w:val="000000"/>
              </w:rPr>
              <w:br/>
              <w:t>Duodopa®</w:t>
            </w:r>
            <w:r>
              <w:rPr>
                <w:rFonts w:ascii="Arial" w:hAnsi="Arial" w:cs="Arial"/>
                <w:color w:val="000000"/>
              </w:rPr>
              <w:br/>
            </w:r>
            <w:r>
              <w:rPr>
                <w:rFonts w:ascii="Arial" w:hAnsi="Arial" w:cs="Arial"/>
                <w:color w:val="000000"/>
              </w:rPr>
              <w:br/>
              <w:t>Abbvie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Change to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Parkinson disease</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both"/>
              <w:rPr>
                <w:rFonts w:ascii="Arial" w:hAnsi="Arial" w:cs="Arial"/>
                <w:color w:val="000000"/>
              </w:rPr>
            </w:pPr>
            <w:r>
              <w:rPr>
                <w:rFonts w:ascii="Arial" w:hAnsi="Arial" w:cs="Arial"/>
                <w:color w:val="000000"/>
              </w:rPr>
              <w:t>To request a change in the Note section of the current Authority Required (STREAMLINED) restriction.</w:t>
            </w:r>
          </w:p>
        </w:tc>
        <w:tc>
          <w:tcPr>
            <w:tcW w:w="5562" w:type="dxa"/>
            <w:tcBorders>
              <w:top w:val="single" w:sz="4" w:space="0" w:color="auto"/>
              <w:left w:val="single" w:sz="4" w:space="0" w:color="auto"/>
              <w:bottom w:val="single" w:sz="4" w:space="0" w:color="auto"/>
              <w:right w:val="single" w:sz="4" w:space="0" w:color="auto"/>
            </w:tcBorders>
          </w:tcPr>
          <w:p w:rsidR="00AD4A59" w:rsidRPr="00C0651F" w:rsidRDefault="00287723" w:rsidP="00FC45F0">
            <w:pPr>
              <w:jc w:val="both"/>
              <w:rPr>
                <w:rFonts w:ascii="Arial" w:hAnsi="Arial" w:cs="Arial"/>
              </w:rPr>
            </w:pPr>
            <w:r w:rsidRPr="00287723">
              <w:rPr>
                <w:rFonts w:ascii="Arial" w:hAnsi="Arial" w:cs="Arial"/>
              </w:rPr>
              <w:t xml:space="preserve">The PBAC recommended the removal of the wording ‘a positive clinical response to Duodopa® administered via a temporary nasoduodenal tube should be confirmed before a permanent percutaneous endoscopic gastrostomy (PEG) tube is inserted’ from the Note section of the Section 100 </w:t>
            </w:r>
            <w:r w:rsidR="00AA1C6C">
              <w:rPr>
                <w:rFonts w:ascii="Arial" w:hAnsi="Arial" w:cs="Arial"/>
              </w:rPr>
              <w:t>(</w:t>
            </w:r>
            <w:r w:rsidRPr="00287723">
              <w:rPr>
                <w:rFonts w:ascii="Arial" w:hAnsi="Arial" w:cs="Arial"/>
              </w:rPr>
              <w:t xml:space="preserve">Highly Specialised </w:t>
            </w:r>
            <w:r w:rsidR="00AA1C6C">
              <w:rPr>
                <w:rFonts w:ascii="Arial" w:hAnsi="Arial" w:cs="Arial"/>
              </w:rPr>
              <w:t xml:space="preserve">Drugs </w:t>
            </w:r>
            <w:r w:rsidRPr="00287723">
              <w:rPr>
                <w:rFonts w:ascii="Arial" w:hAnsi="Arial" w:cs="Arial"/>
              </w:rPr>
              <w:t>Program</w:t>
            </w:r>
            <w:r w:rsidR="00AA1C6C">
              <w:rPr>
                <w:rFonts w:ascii="Arial" w:hAnsi="Arial" w:cs="Arial"/>
              </w:rPr>
              <w:t>)</w:t>
            </w:r>
            <w:r w:rsidRPr="00287723">
              <w:rPr>
                <w:rFonts w:ascii="Arial" w:hAnsi="Arial" w:cs="Arial"/>
              </w:rPr>
              <w:t xml:space="preserve"> listing for levodopa with carbidopa on the basis that this is a clinical decision for the practicing physician.</w:t>
            </w:r>
          </w:p>
        </w:tc>
      </w:tr>
      <w:tr w:rsidR="00AD4A59"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 xml:space="preserve">NADROPARIN </w:t>
            </w:r>
            <w:r>
              <w:rPr>
                <w:rFonts w:ascii="Arial" w:hAnsi="Arial" w:cs="Arial"/>
                <w:color w:val="000000"/>
              </w:rPr>
              <w:br/>
            </w:r>
            <w:r>
              <w:rPr>
                <w:rFonts w:ascii="Arial" w:hAnsi="Arial" w:cs="Arial"/>
                <w:color w:val="000000"/>
              </w:rPr>
              <w:br/>
              <w:t xml:space="preserve">Injection containing nadroparin calcium </w:t>
            </w:r>
            <w:r>
              <w:rPr>
                <w:rFonts w:ascii="Arial" w:hAnsi="Arial" w:cs="Arial"/>
                <w:color w:val="000000"/>
              </w:rPr>
              <w:br/>
              <w:t>(1,900 I.U. anti-Xa) in 0.2 mL</w:t>
            </w:r>
            <w:r>
              <w:rPr>
                <w:rFonts w:ascii="Arial" w:hAnsi="Arial" w:cs="Arial"/>
                <w:color w:val="000000"/>
              </w:rPr>
              <w:br/>
              <w:t>(2,850 I.U. anti-Xa) in 0.3 mL</w:t>
            </w:r>
            <w:r>
              <w:rPr>
                <w:rFonts w:ascii="Arial" w:hAnsi="Arial" w:cs="Arial"/>
                <w:color w:val="000000"/>
              </w:rPr>
              <w:br/>
              <w:t xml:space="preserve">(3800 IU anti-Xa) in 0.4 mL </w:t>
            </w:r>
            <w:r>
              <w:rPr>
                <w:rFonts w:ascii="Arial" w:hAnsi="Arial" w:cs="Arial"/>
                <w:color w:val="000000"/>
              </w:rPr>
              <w:br/>
              <w:t xml:space="preserve">(5700 IU anti-Xa) in 0.6 mL </w:t>
            </w:r>
            <w:r>
              <w:rPr>
                <w:rFonts w:ascii="Arial" w:hAnsi="Arial" w:cs="Arial"/>
                <w:color w:val="000000"/>
              </w:rPr>
              <w:br/>
              <w:t xml:space="preserve">(7600 IU anti-Xa) in 0.8 mL </w:t>
            </w:r>
            <w:r>
              <w:rPr>
                <w:rFonts w:ascii="Arial" w:hAnsi="Arial" w:cs="Arial"/>
                <w:color w:val="000000"/>
              </w:rPr>
              <w:br/>
              <w:t xml:space="preserve">(9500 IU anti-Xa) in 1 mL </w:t>
            </w:r>
            <w:r>
              <w:rPr>
                <w:rFonts w:ascii="Arial" w:hAnsi="Arial" w:cs="Arial"/>
                <w:color w:val="000000"/>
              </w:rPr>
              <w:br/>
              <w:t>(11400 IU anti-Xa) in 0.6 mL</w:t>
            </w:r>
            <w:r>
              <w:rPr>
                <w:rFonts w:ascii="Arial" w:hAnsi="Arial" w:cs="Arial"/>
                <w:color w:val="000000"/>
              </w:rPr>
              <w:br/>
              <w:t>(15200 IU anti-Xa) in 0.8 mL</w:t>
            </w:r>
            <w:r>
              <w:rPr>
                <w:rFonts w:ascii="Arial" w:hAnsi="Arial" w:cs="Arial"/>
                <w:color w:val="000000"/>
              </w:rPr>
              <w:br/>
              <w:t xml:space="preserve">(19000 IU anti-Xa) in 1 mL </w:t>
            </w:r>
            <w:r>
              <w:rPr>
                <w:rFonts w:ascii="Arial" w:hAnsi="Arial" w:cs="Arial"/>
                <w:color w:val="000000"/>
              </w:rPr>
              <w:br/>
              <w:t>prefilled syringe</w:t>
            </w:r>
            <w:r>
              <w:rPr>
                <w:rFonts w:ascii="Arial" w:hAnsi="Arial" w:cs="Arial"/>
                <w:color w:val="000000"/>
              </w:rPr>
              <w:br/>
            </w:r>
            <w:r>
              <w:rPr>
                <w:rFonts w:ascii="Arial" w:hAnsi="Arial" w:cs="Arial"/>
                <w:color w:val="000000"/>
              </w:rPr>
              <w:br/>
              <w:t>Fraxiparine® and Fraxiparine Forte®</w:t>
            </w:r>
            <w:r>
              <w:rPr>
                <w:rFonts w:ascii="Arial" w:hAnsi="Arial" w:cs="Arial"/>
                <w:color w:val="000000"/>
              </w:rPr>
              <w:br/>
            </w:r>
            <w:r>
              <w:rPr>
                <w:rFonts w:ascii="Arial" w:hAnsi="Arial" w:cs="Arial"/>
                <w:color w:val="000000"/>
              </w:rPr>
              <w:br/>
              <w:t>Aspen Pharmacare Australia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Change to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Deep Vein Thrombosis (DVT) prophylaxis/</w:t>
            </w:r>
            <w:r w:rsidR="005C09F7">
              <w:rPr>
                <w:rFonts w:ascii="Arial" w:hAnsi="Arial" w:cs="Arial"/>
                <w:color w:val="000000"/>
              </w:rPr>
              <w:t xml:space="preserve"> </w:t>
            </w:r>
            <w:r>
              <w:rPr>
                <w:rFonts w:ascii="Arial" w:hAnsi="Arial" w:cs="Arial"/>
                <w:color w:val="000000"/>
              </w:rPr>
              <w:t>treatment</w:t>
            </w:r>
            <w:r>
              <w:rPr>
                <w:rFonts w:ascii="Arial" w:hAnsi="Arial" w:cs="Arial"/>
                <w:color w:val="000000"/>
              </w:rPr>
              <w:br/>
              <w:t>Haemodialysis</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both"/>
              <w:rPr>
                <w:rFonts w:ascii="Arial" w:hAnsi="Arial" w:cs="Arial"/>
                <w:color w:val="000000"/>
              </w:rPr>
            </w:pPr>
            <w:r>
              <w:rPr>
                <w:rFonts w:ascii="Arial" w:hAnsi="Arial" w:cs="Arial"/>
                <w:color w:val="000000"/>
              </w:rPr>
              <w:t>To request an increase in maximum quantities for all strengths of the listed formulations.</w:t>
            </w:r>
          </w:p>
        </w:tc>
        <w:tc>
          <w:tcPr>
            <w:tcW w:w="5562" w:type="dxa"/>
            <w:tcBorders>
              <w:top w:val="single" w:sz="4" w:space="0" w:color="auto"/>
              <w:left w:val="single" w:sz="4" w:space="0" w:color="auto"/>
              <w:bottom w:val="single" w:sz="4" w:space="0" w:color="auto"/>
              <w:right w:val="single" w:sz="4" w:space="0" w:color="auto"/>
            </w:tcBorders>
          </w:tcPr>
          <w:p w:rsidR="00D13CDB" w:rsidRPr="00C0651F" w:rsidRDefault="00D13CDB" w:rsidP="00FC45F0">
            <w:pPr>
              <w:widowControl w:val="0"/>
              <w:contextualSpacing/>
              <w:jc w:val="both"/>
              <w:rPr>
                <w:rFonts w:ascii="Arial" w:hAnsi="Arial" w:cs="Arial"/>
                <w:bCs/>
                <w:snapToGrid w:val="0"/>
                <w:lang w:val="en-GB"/>
              </w:rPr>
            </w:pPr>
            <w:r w:rsidRPr="00C0651F">
              <w:rPr>
                <w:rFonts w:ascii="Arial" w:hAnsi="Arial" w:cs="Arial"/>
                <w:bCs/>
                <w:snapToGrid w:val="0"/>
                <w:lang w:val="en-GB"/>
              </w:rPr>
              <w:t xml:space="preserve">The PBAC recommended a change to the PBS listing for all currently available strengths of nadroparin to increase </w:t>
            </w:r>
            <w:r w:rsidR="009A2445">
              <w:rPr>
                <w:rFonts w:ascii="Arial" w:hAnsi="Arial" w:cs="Arial"/>
                <w:bCs/>
                <w:snapToGrid w:val="0"/>
                <w:lang w:val="en-GB"/>
              </w:rPr>
              <w:t>the</w:t>
            </w:r>
            <w:r w:rsidRPr="00C0651F">
              <w:rPr>
                <w:rFonts w:ascii="Arial" w:hAnsi="Arial" w:cs="Arial"/>
                <w:bCs/>
                <w:snapToGrid w:val="0"/>
                <w:lang w:val="en-GB"/>
              </w:rPr>
              <w:t xml:space="preserve"> maximum quantity and repeats such that the same number of syringes can be dispensed per script as the</w:t>
            </w:r>
            <w:r w:rsidR="005C09F7">
              <w:rPr>
                <w:rFonts w:ascii="Arial" w:hAnsi="Arial" w:cs="Arial"/>
                <w:bCs/>
                <w:snapToGrid w:val="0"/>
                <w:lang w:val="en-GB"/>
              </w:rPr>
              <w:t xml:space="preserve"> current listings for the</w:t>
            </w:r>
            <w:r w:rsidRPr="00C0651F">
              <w:rPr>
                <w:rFonts w:ascii="Arial" w:hAnsi="Arial" w:cs="Arial"/>
                <w:bCs/>
                <w:snapToGrid w:val="0"/>
                <w:lang w:val="en-GB"/>
              </w:rPr>
              <w:t xml:space="preserve"> comparator</w:t>
            </w:r>
            <w:r w:rsidR="005C09F7">
              <w:rPr>
                <w:rFonts w:ascii="Arial" w:hAnsi="Arial" w:cs="Arial"/>
                <w:bCs/>
                <w:snapToGrid w:val="0"/>
                <w:lang w:val="en-GB"/>
              </w:rPr>
              <w:t>,</w:t>
            </w:r>
            <w:r w:rsidRPr="00C0651F">
              <w:rPr>
                <w:rFonts w:ascii="Arial" w:hAnsi="Arial" w:cs="Arial"/>
                <w:bCs/>
                <w:snapToGrid w:val="0"/>
                <w:lang w:val="en-GB"/>
              </w:rPr>
              <w:t xml:space="preserve"> enoxaparin.</w:t>
            </w:r>
          </w:p>
          <w:p w:rsidR="00AD4A59" w:rsidRPr="00C0651F" w:rsidRDefault="00AD4A59" w:rsidP="00FC45F0">
            <w:pPr>
              <w:jc w:val="both"/>
              <w:rPr>
                <w:rFonts w:ascii="Arial" w:hAnsi="Arial" w:cs="Arial"/>
              </w:rPr>
            </w:pPr>
          </w:p>
        </w:tc>
      </w:tr>
      <w:tr w:rsidR="00AD4A59"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NETUPITANT with PALONOSETRON</w:t>
            </w:r>
            <w:r>
              <w:rPr>
                <w:rFonts w:ascii="Arial" w:hAnsi="Arial" w:cs="Arial"/>
                <w:color w:val="000000"/>
              </w:rPr>
              <w:br/>
            </w:r>
            <w:r>
              <w:rPr>
                <w:rFonts w:ascii="Arial" w:hAnsi="Arial" w:cs="Arial"/>
                <w:color w:val="000000"/>
              </w:rPr>
              <w:br/>
            </w:r>
            <w:r>
              <w:rPr>
                <w:rFonts w:ascii="Arial" w:hAnsi="Arial" w:cs="Arial"/>
                <w:color w:val="000000"/>
              </w:rPr>
              <w:lastRenderedPageBreak/>
              <w:t>Capsule containing netupitant 300 mg with palonosetron 500 microgram (as hydrochloride)</w:t>
            </w:r>
            <w:r>
              <w:rPr>
                <w:rFonts w:ascii="Arial" w:hAnsi="Arial" w:cs="Arial"/>
                <w:color w:val="000000"/>
              </w:rPr>
              <w:br/>
            </w:r>
            <w:r>
              <w:rPr>
                <w:rFonts w:ascii="Arial" w:hAnsi="Arial" w:cs="Arial"/>
                <w:color w:val="000000"/>
              </w:rPr>
              <w:br/>
              <w:t>Akynzeo®</w:t>
            </w:r>
            <w:r>
              <w:rPr>
                <w:rFonts w:ascii="Arial" w:hAnsi="Arial" w:cs="Arial"/>
                <w:color w:val="000000"/>
              </w:rPr>
              <w:br/>
            </w:r>
            <w:r>
              <w:rPr>
                <w:rFonts w:ascii="Arial" w:hAnsi="Arial" w:cs="Arial"/>
                <w:color w:val="000000"/>
              </w:rPr>
              <w:br/>
              <w:t>Mundipharma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Change to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lastRenderedPageBreak/>
              <w:t xml:space="preserve">Nausea and vomiting associated </w:t>
            </w:r>
            <w:r>
              <w:rPr>
                <w:rFonts w:ascii="Arial" w:hAnsi="Arial" w:cs="Arial"/>
                <w:color w:val="000000"/>
              </w:rPr>
              <w:lastRenderedPageBreak/>
              <w:t>with emetogenic cancer chemotherapy</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both"/>
              <w:rPr>
                <w:rFonts w:ascii="Arial" w:hAnsi="Arial" w:cs="Arial"/>
                <w:color w:val="000000"/>
              </w:rPr>
            </w:pPr>
            <w:r>
              <w:rPr>
                <w:rFonts w:ascii="Arial" w:hAnsi="Arial" w:cs="Arial"/>
                <w:color w:val="000000"/>
              </w:rPr>
              <w:lastRenderedPageBreak/>
              <w:t xml:space="preserve">Resubmission to request General Schedule and Section 100 (Efficient Funding of </w:t>
            </w:r>
            <w:r>
              <w:rPr>
                <w:rFonts w:ascii="Arial" w:hAnsi="Arial" w:cs="Arial"/>
                <w:color w:val="000000"/>
              </w:rPr>
              <w:lastRenderedPageBreak/>
              <w:t>Chemotherapy – Related Benefits) Authority Required (STREAMLINED) listings for the treatment of nausea and vomiting associated with moderately emetogenic cytotoxic chemotherapy.</w:t>
            </w:r>
          </w:p>
        </w:tc>
        <w:tc>
          <w:tcPr>
            <w:tcW w:w="5562" w:type="dxa"/>
            <w:tcBorders>
              <w:top w:val="single" w:sz="4" w:space="0" w:color="auto"/>
              <w:left w:val="single" w:sz="4" w:space="0" w:color="auto"/>
              <w:bottom w:val="single" w:sz="4" w:space="0" w:color="auto"/>
              <w:right w:val="single" w:sz="4" w:space="0" w:color="auto"/>
            </w:tcBorders>
          </w:tcPr>
          <w:p w:rsidR="00DD06D7" w:rsidRPr="00C0651F" w:rsidRDefault="00DD06D7" w:rsidP="00FC45F0">
            <w:pPr>
              <w:contextualSpacing/>
              <w:jc w:val="both"/>
              <w:rPr>
                <w:rFonts w:ascii="Arial" w:hAnsi="Arial" w:cs="Arial"/>
              </w:rPr>
            </w:pPr>
            <w:r w:rsidRPr="00C0651F">
              <w:rPr>
                <w:rFonts w:ascii="Arial" w:hAnsi="Arial" w:cs="Arial"/>
              </w:rPr>
              <w:lastRenderedPageBreak/>
              <w:t xml:space="preserve">The PBAC recommended listing netupitant with palonosetron fixed dose combination, as an Authority </w:t>
            </w:r>
            <w:r w:rsidRPr="00C0651F">
              <w:rPr>
                <w:rFonts w:ascii="Arial" w:hAnsi="Arial" w:cs="Arial"/>
              </w:rPr>
              <w:lastRenderedPageBreak/>
              <w:t xml:space="preserve">Required (STREAMLINED) benefit on the General Schedule and under the Section 100 (Efficient Funding of Chemotherapy – Related Benefits) program, for the secondary prophylaxis of chemotherapy induced nausea and vomiting associated with moderately emetogenic chemotherapy and for primary prophylaxis of chemotherapy induced nausea and vomiting associated with carboplatin or oxaliplatin chemotherapy regimens. </w:t>
            </w:r>
          </w:p>
          <w:p w:rsidR="00DD06D7" w:rsidRPr="00C0651F" w:rsidRDefault="00DD06D7" w:rsidP="00FC45F0">
            <w:pPr>
              <w:contextualSpacing/>
              <w:jc w:val="both"/>
              <w:rPr>
                <w:rFonts w:ascii="Arial" w:hAnsi="Arial" w:cs="Arial"/>
              </w:rPr>
            </w:pPr>
          </w:p>
          <w:p w:rsidR="00AD4A59" w:rsidRPr="00C0651F" w:rsidRDefault="00DD06D7" w:rsidP="00FC45F0">
            <w:pPr>
              <w:jc w:val="both"/>
              <w:rPr>
                <w:rFonts w:ascii="Arial" w:hAnsi="Arial" w:cs="Arial"/>
              </w:rPr>
            </w:pPr>
            <w:r w:rsidRPr="00C0651F">
              <w:rPr>
                <w:rFonts w:ascii="Arial" w:hAnsi="Arial" w:cs="Arial"/>
              </w:rPr>
              <w:t>The recommendation was made on a cost-minimisation basis to aprepitant, where the equi-effective doses, based on the eviQ guidelines, were based on the assumption that each chemotherapy course would be treated with one capsule of netupitant 300 mg with palonosetron 500 micrograms or one capsule of aprepitant 165 mg plus a 5-HT</w:t>
            </w:r>
            <w:r w:rsidRPr="00C0651F">
              <w:rPr>
                <w:rFonts w:ascii="Arial" w:hAnsi="Arial" w:cs="Arial"/>
                <w:vertAlign w:val="subscript"/>
              </w:rPr>
              <w:t>3</w:t>
            </w:r>
            <w:r w:rsidRPr="00C0651F">
              <w:rPr>
                <w:rFonts w:ascii="Arial" w:hAnsi="Arial" w:cs="Arial"/>
              </w:rPr>
              <w:t xml:space="preserve"> receptor antagonist.</w:t>
            </w:r>
          </w:p>
        </w:tc>
      </w:tr>
      <w:tr w:rsidR="00AD4A59"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lastRenderedPageBreak/>
              <w:t>NINTEDANIB</w:t>
            </w:r>
            <w:r>
              <w:rPr>
                <w:rFonts w:ascii="Arial" w:hAnsi="Arial" w:cs="Arial"/>
                <w:color w:val="000000"/>
              </w:rPr>
              <w:br/>
            </w:r>
            <w:r>
              <w:rPr>
                <w:rFonts w:ascii="Arial" w:hAnsi="Arial" w:cs="Arial"/>
                <w:color w:val="000000"/>
              </w:rPr>
              <w:br/>
              <w:t>Capsule 100 mg</w:t>
            </w:r>
            <w:r>
              <w:rPr>
                <w:rFonts w:ascii="Arial" w:hAnsi="Arial" w:cs="Arial"/>
                <w:color w:val="000000"/>
              </w:rPr>
              <w:br/>
              <w:t>Capsule 150 mg</w:t>
            </w:r>
            <w:r>
              <w:rPr>
                <w:rFonts w:ascii="Arial" w:hAnsi="Arial" w:cs="Arial"/>
                <w:color w:val="000000"/>
              </w:rPr>
              <w:br/>
            </w:r>
            <w:r>
              <w:rPr>
                <w:rFonts w:ascii="Arial" w:hAnsi="Arial" w:cs="Arial"/>
                <w:color w:val="000000"/>
              </w:rPr>
              <w:br/>
              <w:t>Ofev®</w:t>
            </w:r>
            <w:r>
              <w:rPr>
                <w:rFonts w:ascii="Arial" w:hAnsi="Arial" w:cs="Arial"/>
                <w:color w:val="000000"/>
              </w:rPr>
              <w:br/>
            </w:r>
            <w:r>
              <w:rPr>
                <w:rFonts w:ascii="Arial" w:hAnsi="Arial" w:cs="Arial"/>
                <w:color w:val="000000"/>
              </w:rPr>
              <w:br/>
              <w:t>Boehringer Ingelheim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New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Idiopathic pulmonary fibrosis (IPF)</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both"/>
              <w:rPr>
                <w:rFonts w:ascii="Arial" w:hAnsi="Arial" w:cs="Arial"/>
                <w:color w:val="000000"/>
              </w:rPr>
            </w:pPr>
            <w:r>
              <w:rPr>
                <w:rFonts w:ascii="Arial" w:hAnsi="Arial" w:cs="Arial"/>
                <w:color w:val="000000"/>
              </w:rPr>
              <w:t>Resubmission to request an Authority Required listing for use in patients with IPF.</w:t>
            </w:r>
          </w:p>
        </w:tc>
        <w:tc>
          <w:tcPr>
            <w:tcW w:w="5562" w:type="dxa"/>
            <w:tcBorders>
              <w:top w:val="single" w:sz="4" w:space="0" w:color="auto"/>
              <w:left w:val="single" w:sz="4" w:space="0" w:color="auto"/>
              <w:bottom w:val="single" w:sz="4" w:space="0" w:color="auto"/>
              <w:right w:val="single" w:sz="4" w:space="0" w:color="auto"/>
            </w:tcBorders>
          </w:tcPr>
          <w:p w:rsidR="00E06848" w:rsidRDefault="00536661" w:rsidP="00FC45F0">
            <w:pPr>
              <w:jc w:val="both"/>
              <w:rPr>
                <w:rFonts w:ascii="Arial" w:hAnsi="Arial" w:cs="Arial"/>
                <w:bCs/>
              </w:rPr>
            </w:pPr>
            <w:r w:rsidRPr="00C0651F">
              <w:rPr>
                <w:rFonts w:ascii="Arial" w:hAnsi="Arial" w:cs="Arial"/>
                <w:bCs/>
              </w:rPr>
              <w:t>The PBAC recommended the listing of nintedanib for the treatment of IPF under certain conditions. The PBAC was satisfied that nintedanib provides, for some patients, a significant improvement in effectiveness o</w:t>
            </w:r>
            <w:r w:rsidR="00F53830">
              <w:rPr>
                <w:rFonts w:ascii="Arial" w:hAnsi="Arial" w:cs="Arial"/>
                <w:bCs/>
              </w:rPr>
              <w:t>ver best supportive care (BSC).</w:t>
            </w:r>
          </w:p>
          <w:p w:rsidR="00E06848" w:rsidRDefault="00E06848" w:rsidP="00FC45F0">
            <w:pPr>
              <w:jc w:val="both"/>
              <w:rPr>
                <w:rFonts w:ascii="Arial" w:hAnsi="Arial" w:cs="Arial"/>
                <w:bCs/>
              </w:rPr>
            </w:pPr>
          </w:p>
          <w:p w:rsidR="00536661" w:rsidRPr="00C0651F" w:rsidRDefault="00536661" w:rsidP="00FC45F0">
            <w:pPr>
              <w:jc w:val="both"/>
              <w:rPr>
                <w:rFonts w:ascii="Arial" w:hAnsi="Arial" w:cs="Arial"/>
                <w:bCs/>
              </w:rPr>
            </w:pPr>
            <w:r w:rsidRPr="00C0651F">
              <w:rPr>
                <w:rFonts w:ascii="Arial" w:hAnsi="Arial" w:cs="Arial"/>
                <w:bCs/>
              </w:rPr>
              <w:t>Pirfenidone was considered to be a relevant secondary comparator for nintedanib. The PBAC considered nintedanib and pirfenidone to be similarly clinically effective.</w:t>
            </w:r>
          </w:p>
          <w:p w:rsidR="00536661" w:rsidRPr="00C0651F" w:rsidRDefault="00536661" w:rsidP="00FC45F0">
            <w:pPr>
              <w:jc w:val="both"/>
              <w:rPr>
                <w:rFonts w:ascii="Arial" w:hAnsi="Arial" w:cs="Arial"/>
                <w:bCs/>
              </w:rPr>
            </w:pPr>
          </w:p>
          <w:p w:rsidR="00AD4A59" w:rsidRPr="00C0651F" w:rsidRDefault="00536661" w:rsidP="00FC45F0">
            <w:pPr>
              <w:jc w:val="both"/>
              <w:rPr>
                <w:rFonts w:ascii="Arial" w:hAnsi="Arial" w:cs="Arial"/>
              </w:rPr>
            </w:pPr>
            <w:r w:rsidRPr="00C0651F">
              <w:rPr>
                <w:rFonts w:ascii="Arial" w:hAnsi="Arial" w:cs="Arial"/>
                <w:bCs/>
              </w:rPr>
              <w:t>The PBAC concluded that the cost effectiveness of nintedanib would be acceptable</w:t>
            </w:r>
            <w:r w:rsidRPr="00C0651F">
              <w:rPr>
                <w:rFonts w:ascii="Arial" w:hAnsi="Arial" w:cs="Arial"/>
              </w:rPr>
              <w:t xml:space="preserve"> in </w:t>
            </w:r>
            <w:r w:rsidRPr="00C0651F">
              <w:rPr>
                <w:rFonts w:ascii="Arial" w:hAnsi="Arial" w:cs="Arial"/>
                <w:bCs/>
              </w:rPr>
              <w:t xml:space="preserve">conjunction with </w:t>
            </w:r>
            <w:r w:rsidRPr="00C0651F">
              <w:rPr>
                <w:rFonts w:ascii="Arial" w:hAnsi="Arial" w:cs="Arial"/>
              </w:rPr>
              <w:t xml:space="preserve">risk sharing </w:t>
            </w:r>
            <w:r w:rsidR="005C09F7">
              <w:rPr>
                <w:rFonts w:ascii="Arial" w:hAnsi="Arial" w:cs="Arial"/>
              </w:rPr>
              <w:t>measures</w:t>
            </w:r>
            <w:r w:rsidR="005C09F7" w:rsidRPr="00C0651F">
              <w:rPr>
                <w:rFonts w:ascii="Arial" w:hAnsi="Arial" w:cs="Arial"/>
              </w:rPr>
              <w:t xml:space="preserve"> </w:t>
            </w:r>
            <w:r w:rsidRPr="00C0651F">
              <w:rPr>
                <w:rFonts w:ascii="Arial" w:hAnsi="Arial" w:cs="Arial"/>
              </w:rPr>
              <w:t>to provide additional certainty.</w:t>
            </w:r>
          </w:p>
        </w:tc>
      </w:tr>
      <w:tr w:rsidR="009044BC"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Default="000E4391" w:rsidP="00FC45F0">
            <w:pPr>
              <w:rPr>
                <w:rFonts w:ascii="Arial" w:hAnsi="Arial" w:cs="Arial"/>
                <w:color w:val="000000"/>
              </w:rPr>
            </w:pPr>
            <w:r>
              <w:rPr>
                <w:rFonts w:ascii="Arial" w:hAnsi="Arial" w:cs="Arial"/>
                <w:color w:val="000000"/>
              </w:rPr>
              <w:t>OLAPARIB</w:t>
            </w:r>
          </w:p>
          <w:p w:rsidR="000E4391" w:rsidRDefault="000E4391" w:rsidP="00FC45F0">
            <w:pPr>
              <w:rPr>
                <w:rFonts w:ascii="Arial" w:hAnsi="Arial" w:cs="Arial"/>
                <w:color w:val="000000"/>
              </w:rPr>
            </w:pPr>
          </w:p>
          <w:p w:rsidR="000E4391" w:rsidRDefault="000E4391" w:rsidP="00FC45F0">
            <w:pPr>
              <w:rPr>
                <w:rFonts w:ascii="Arial" w:hAnsi="Arial" w:cs="Arial"/>
                <w:color w:val="000000"/>
              </w:rPr>
            </w:pPr>
            <w:r w:rsidRPr="000E4391">
              <w:rPr>
                <w:rFonts w:ascii="Arial" w:hAnsi="Arial" w:cs="Arial"/>
                <w:color w:val="000000"/>
              </w:rPr>
              <w:t>50mg capsule, 4 x 112</w:t>
            </w:r>
          </w:p>
          <w:p w:rsidR="000E4391" w:rsidRDefault="000E4391" w:rsidP="00FC45F0">
            <w:pPr>
              <w:rPr>
                <w:rFonts w:ascii="Arial" w:hAnsi="Arial" w:cs="Arial"/>
                <w:color w:val="000000"/>
              </w:rPr>
            </w:pPr>
          </w:p>
          <w:p w:rsidR="000E4391" w:rsidRDefault="000E4391" w:rsidP="00FC45F0">
            <w:pPr>
              <w:rPr>
                <w:rFonts w:ascii="Arial" w:hAnsi="Arial" w:cs="Arial"/>
                <w:color w:val="000000"/>
              </w:rPr>
            </w:pPr>
            <w:r w:rsidRPr="000E4391">
              <w:rPr>
                <w:rFonts w:ascii="Arial" w:hAnsi="Arial" w:cs="Arial"/>
                <w:color w:val="000000"/>
              </w:rPr>
              <w:t>Lynparza™</w:t>
            </w:r>
          </w:p>
          <w:p w:rsidR="000E4391" w:rsidRDefault="000E4391" w:rsidP="00FC45F0">
            <w:pPr>
              <w:rPr>
                <w:rFonts w:ascii="Arial" w:hAnsi="Arial" w:cs="Arial"/>
                <w:color w:val="000000"/>
              </w:rPr>
            </w:pPr>
          </w:p>
          <w:p w:rsidR="000E4391" w:rsidRDefault="000E4391" w:rsidP="00FC45F0">
            <w:pPr>
              <w:rPr>
                <w:rFonts w:ascii="Arial" w:hAnsi="Arial" w:cs="Arial"/>
                <w:color w:val="000000"/>
              </w:rPr>
            </w:pPr>
            <w:r w:rsidRPr="000E4391">
              <w:rPr>
                <w:rFonts w:ascii="Arial" w:hAnsi="Arial" w:cs="Arial"/>
                <w:color w:val="000000"/>
              </w:rPr>
              <w:t>AstraZeneca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New listing</w:t>
            </w:r>
          </w:p>
          <w:p w:rsidR="005B2F75" w:rsidRDefault="005B2F75" w:rsidP="00FC45F0">
            <w:pPr>
              <w:rPr>
                <w:rFonts w:ascii="Arial" w:hAnsi="Arial" w:cs="Arial"/>
                <w:color w:val="000000"/>
              </w:rPr>
            </w:pPr>
          </w:p>
          <w:p w:rsidR="003C796F" w:rsidRPr="00767E3C" w:rsidRDefault="003C796F" w:rsidP="00FC45F0">
            <w:pPr>
              <w:rPr>
                <w:rFonts w:ascii="Arial" w:hAnsi="Arial" w:cs="Arial"/>
                <w:color w:val="000000"/>
              </w:rPr>
            </w:pPr>
            <w:r>
              <w:rPr>
                <w:rFonts w:ascii="Arial" w:hAnsi="Arial" w:cs="Arial"/>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Pr="00767E3C" w:rsidRDefault="000E4391" w:rsidP="00CC5102">
            <w:pPr>
              <w:rPr>
                <w:rFonts w:ascii="Arial" w:hAnsi="Arial" w:cs="Arial"/>
                <w:color w:val="000000"/>
              </w:rPr>
            </w:pPr>
            <w:r w:rsidRPr="000E4391">
              <w:rPr>
                <w:rFonts w:ascii="Arial" w:hAnsi="Arial" w:cs="Arial"/>
                <w:color w:val="000000"/>
              </w:rPr>
              <w:lastRenderedPageBreak/>
              <w:t>BRCA-mutated (BRCAm) platinum-sensitive relapsed (PSR) ovarian, fallopian tube or primary peritoneal cancer with high-grade serous features or a high-</w:t>
            </w:r>
            <w:r w:rsidRPr="000E4391">
              <w:rPr>
                <w:rFonts w:ascii="Arial" w:hAnsi="Arial" w:cs="Arial"/>
                <w:color w:val="000000"/>
              </w:rPr>
              <w:lastRenderedPageBreak/>
              <w:t>grade serous component</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9044BC" w:rsidRPr="00767E3C" w:rsidRDefault="00E06848" w:rsidP="00FC45F0">
            <w:pPr>
              <w:jc w:val="both"/>
              <w:rPr>
                <w:rFonts w:ascii="Arial" w:hAnsi="Arial" w:cs="Arial"/>
                <w:color w:val="000000"/>
              </w:rPr>
            </w:pPr>
            <w:r>
              <w:rPr>
                <w:rFonts w:ascii="Arial" w:hAnsi="Arial" w:cs="Arial"/>
                <w:color w:val="000000"/>
              </w:rPr>
              <w:lastRenderedPageBreak/>
              <w:t>R</w:t>
            </w:r>
            <w:r w:rsidR="006C1465" w:rsidRPr="006C1465">
              <w:rPr>
                <w:rFonts w:ascii="Arial" w:hAnsi="Arial" w:cs="Arial"/>
                <w:color w:val="000000"/>
              </w:rPr>
              <w:t>esubmission to</w:t>
            </w:r>
            <w:r>
              <w:rPr>
                <w:rFonts w:ascii="Arial" w:hAnsi="Arial" w:cs="Arial"/>
                <w:color w:val="000000"/>
              </w:rPr>
              <w:t xml:space="preserve"> request Authority Required (STREAMLINED) listing for the treatment of BRCAm PSR </w:t>
            </w:r>
            <w:r w:rsidRPr="000E4391">
              <w:rPr>
                <w:rFonts w:ascii="Arial" w:hAnsi="Arial" w:cs="Arial"/>
                <w:color w:val="000000"/>
              </w:rPr>
              <w:t>ovarian, fallopian tube or primary peritoneal cancer with high-grade serous features or a high-grade serous component</w:t>
            </w:r>
            <w:r>
              <w:rPr>
                <w:rFonts w:ascii="Arial" w:hAnsi="Arial" w:cs="Arial"/>
                <w:color w:val="000000"/>
              </w:rPr>
              <w:t>.</w:t>
            </w:r>
          </w:p>
        </w:tc>
        <w:tc>
          <w:tcPr>
            <w:tcW w:w="5562" w:type="dxa"/>
            <w:tcBorders>
              <w:top w:val="single" w:sz="4" w:space="0" w:color="auto"/>
              <w:left w:val="single" w:sz="4" w:space="0" w:color="auto"/>
              <w:bottom w:val="single" w:sz="4" w:space="0" w:color="auto"/>
              <w:right w:val="single" w:sz="4" w:space="0" w:color="auto"/>
            </w:tcBorders>
          </w:tcPr>
          <w:p w:rsidR="009044BC" w:rsidRPr="00EA770F" w:rsidRDefault="00162E1E" w:rsidP="00EA770F">
            <w:pPr>
              <w:widowControl w:val="0"/>
              <w:jc w:val="both"/>
              <w:rPr>
                <w:rFonts w:ascii="Arial" w:hAnsi="Arial" w:cs="Arial"/>
                <w:bCs/>
                <w:snapToGrid w:val="0"/>
                <w:lang w:val="en-GB"/>
              </w:rPr>
            </w:pPr>
            <w:r w:rsidRPr="00C0651F">
              <w:rPr>
                <w:rFonts w:ascii="Arial" w:hAnsi="Arial" w:cs="Arial"/>
                <w:bCs/>
                <w:snapToGrid w:val="0"/>
                <w:lang w:val="en-GB"/>
              </w:rPr>
              <w:t xml:space="preserve">The PBAC recommended the Authority Required listing of olaparib for the treatment of </w:t>
            </w:r>
            <w:r w:rsidR="00807C89">
              <w:rPr>
                <w:rFonts w:ascii="Arial" w:hAnsi="Arial" w:cs="Arial"/>
                <w:bCs/>
                <w:snapToGrid w:val="0"/>
                <w:lang w:val="en-GB"/>
              </w:rPr>
              <w:t xml:space="preserve">BRCAm PSR </w:t>
            </w:r>
            <w:r w:rsidRPr="00C0651F">
              <w:rPr>
                <w:rFonts w:ascii="Arial" w:hAnsi="Arial" w:cs="Arial"/>
                <w:bCs/>
                <w:snapToGrid w:val="0"/>
                <w:lang w:val="en-GB"/>
              </w:rPr>
              <w:t xml:space="preserve">high grade serous ovarian cancer, </w:t>
            </w:r>
            <w:r w:rsidR="00A055B5">
              <w:rPr>
                <w:rFonts w:ascii="Arial" w:hAnsi="Arial" w:cs="Arial"/>
                <w:bCs/>
                <w:snapToGrid w:val="0"/>
                <w:lang w:val="en-GB"/>
              </w:rPr>
              <w:t>h</w:t>
            </w:r>
            <w:r w:rsidRPr="00C0651F">
              <w:rPr>
                <w:rFonts w:ascii="Arial" w:hAnsi="Arial" w:cs="Arial"/>
                <w:bCs/>
                <w:snapToGrid w:val="0"/>
                <w:lang w:val="en-GB"/>
              </w:rPr>
              <w:t>igh gra</w:t>
            </w:r>
            <w:r w:rsidR="009A2445">
              <w:rPr>
                <w:rFonts w:ascii="Arial" w:hAnsi="Arial" w:cs="Arial"/>
                <w:bCs/>
                <w:snapToGrid w:val="0"/>
                <w:lang w:val="en-GB"/>
              </w:rPr>
              <w:t>de serous fallopian tube cancer and</w:t>
            </w:r>
            <w:r w:rsidRPr="00C0651F">
              <w:rPr>
                <w:rFonts w:ascii="Arial" w:hAnsi="Arial" w:cs="Arial"/>
                <w:bCs/>
                <w:snapToGrid w:val="0"/>
                <w:lang w:val="en-GB"/>
              </w:rPr>
              <w:t xml:space="preserve"> </w:t>
            </w:r>
            <w:r w:rsidR="00A055B5">
              <w:rPr>
                <w:rFonts w:ascii="Arial" w:hAnsi="Arial" w:cs="Arial"/>
                <w:bCs/>
                <w:snapToGrid w:val="0"/>
                <w:lang w:val="en-GB"/>
              </w:rPr>
              <w:t>h</w:t>
            </w:r>
            <w:r w:rsidRPr="00C0651F">
              <w:rPr>
                <w:rFonts w:ascii="Arial" w:hAnsi="Arial" w:cs="Arial"/>
                <w:bCs/>
                <w:snapToGrid w:val="0"/>
                <w:lang w:val="en-GB"/>
              </w:rPr>
              <w:t>igh grade serous primary peritoneal cancer. The PBAC was satisfied that olaparib provides, for some patients, a significant improvement in efficacy over best supportive care. The PBAC considered that while there remained some uncertainty as</w:t>
            </w:r>
            <w:r w:rsidR="00807C89">
              <w:rPr>
                <w:rFonts w:ascii="Arial" w:hAnsi="Arial" w:cs="Arial"/>
                <w:bCs/>
                <w:snapToGrid w:val="0"/>
                <w:lang w:val="en-GB"/>
              </w:rPr>
              <w:t xml:space="preserve"> to</w:t>
            </w:r>
            <w:r w:rsidRPr="00C0651F">
              <w:rPr>
                <w:rFonts w:ascii="Arial" w:hAnsi="Arial" w:cs="Arial"/>
                <w:bCs/>
                <w:snapToGrid w:val="0"/>
                <w:lang w:val="en-GB"/>
              </w:rPr>
              <w:t xml:space="preserve"> the extent of the overall survival benefit </w:t>
            </w:r>
            <w:r w:rsidR="00807C89">
              <w:rPr>
                <w:rFonts w:ascii="Arial" w:hAnsi="Arial" w:cs="Arial"/>
                <w:bCs/>
                <w:snapToGrid w:val="0"/>
                <w:lang w:val="en-GB"/>
              </w:rPr>
              <w:t xml:space="preserve">associated with </w:t>
            </w:r>
            <w:r w:rsidRPr="00C0651F">
              <w:rPr>
                <w:rFonts w:ascii="Arial" w:hAnsi="Arial" w:cs="Arial"/>
                <w:bCs/>
                <w:snapToGrid w:val="0"/>
                <w:lang w:val="en-GB"/>
              </w:rPr>
              <w:t xml:space="preserve">olaparib in the model, the </w:t>
            </w:r>
            <w:r w:rsidRPr="00C0651F">
              <w:rPr>
                <w:rFonts w:ascii="Arial" w:hAnsi="Arial" w:cs="Arial"/>
                <w:bCs/>
                <w:snapToGrid w:val="0"/>
                <w:lang w:val="en-GB"/>
              </w:rPr>
              <w:lastRenderedPageBreak/>
              <w:t>resultant incremental cost-effectiveness ratio (ICER) of $</w:t>
            </w:r>
            <w:r w:rsidRPr="00C0651F">
              <w:rPr>
                <w:rFonts w:ascii="Arial" w:hAnsi="Arial" w:cs="Arial"/>
              </w:rPr>
              <w:t xml:space="preserve">45,000 – 75,000 </w:t>
            </w:r>
            <w:r w:rsidRPr="00C0651F">
              <w:rPr>
                <w:rFonts w:ascii="Arial" w:hAnsi="Arial" w:cs="Arial"/>
                <w:bCs/>
                <w:snapToGrid w:val="0"/>
                <w:lang w:val="en-GB"/>
              </w:rPr>
              <w:t>obtained from a price reduction over previous submissions was considered to be acceptable.  The sponsor has agreed to enter into a Risk Shar</w:t>
            </w:r>
            <w:r w:rsidR="00E06848">
              <w:rPr>
                <w:rFonts w:ascii="Arial" w:hAnsi="Arial" w:cs="Arial"/>
                <w:bCs/>
                <w:snapToGrid w:val="0"/>
                <w:lang w:val="en-GB"/>
              </w:rPr>
              <w:t>ing Arrangement</w:t>
            </w:r>
            <w:r w:rsidRPr="00C0651F">
              <w:rPr>
                <w:rFonts w:ascii="Arial" w:hAnsi="Arial" w:cs="Arial"/>
                <w:bCs/>
                <w:snapToGrid w:val="0"/>
                <w:lang w:val="en-GB"/>
              </w:rPr>
              <w:t xml:space="preserve"> with the Department to help mitigate the remaining uncertainty in the modelling.</w:t>
            </w:r>
          </w:p>
        </w:tc>
      </w:tr>
      <w:tr w:rsidR="00AD4A59"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lastRenderedPageBreak/>
              <w:t>OMALIZUMAB</w:t>
            </w:r>
            <w:r>
              <w:rPr>
                <w:rFonts w:ascii="Arial" w:hAnsi="Arial" w:cs="Arial"/>
                <w:color w:val="000000"/>
              </w:rPr>
              <w:br/>
            </w:r>
            <w:r>
              <w:rPr>
                <w:rFonts w:ascii="Arial" w:hAnsi="Arial" w:cs="Arial"/>
                <w:color w:val="000000"/>
              </w:rPr>
              <w:br/>
              <w:t>Injection 150 mg in 1 mL</w:t>
            </w:r>
            <w:r>
              <w:rPr>
                <w:rFonts w:ascii="Arial" w:hAnsi="Arial" w:cs="Arial"/>
                <w:color w:val="000000"/>
              </w:rPr>
              <w:br/>
            </w:r>
            <w:r>
              <w:rPr>
                <w:rFonts w:ascii="Arial" w:hAnsi="Arial" w:cs="Arial"/>
                <w:color w:val="000000"/>
              </w:rPr>
              <w:br/>
              <w:t>Xolair®</w:t>
            </w:r>
            <w:r>
              <w:rPr>
                <w:rFonts w:ascii="Arial" w:hAnsi="Arial" w:cs="Arial"/>
                <w:color w:val="000000"/>
              </w:rPr>
              <w:br/>
            </w:r>
            <w:r>
              <w:rPr>
                <w:rFonts w:ascii="Arial" w:hAnsi="Arial" w:cs="Arial"/>
                <w:color w:val="000000"/>
              </w:rPr>
              <w:br/>
              <w:t>Novartis Pharmaceuticals Australia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Change to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Severe chronic idiopathic urticaria</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both"/>
              <w:rPr>
                <w:rFonts w:ascii="Arial" w:hAnsi="Arial" w:cs="Arial"/>
                <w:color w:val="000000"/>
              </w:rPr>
            </w:pPr>
            <w:r>
              <w:rPr>
                <w:rFonts w:ascii="Arial" w:hAnsi="Arial" w:cs="Arial"/>
                <w:color w:val="000000"/>
              </w:rPr>
              <w:t>Resubmission to request a reassessment of the recommended equi-effective dose of omalizumab compared with cyclosporin.</w:t>
            </w:r>
          </w:p>
        </w:tc>
        <w:tc>
          <w:tcPr>
            <w:tcW w:w="5562" w:type="dxa"/>
            <w:tcBorders>
              <w:top w:val="single" w:sz="4" w:space="0" w:color="auto"/>
              <w:left w:val="single" w:sz="4" w:space="0" w:color="auto"/>
              <w:bottom w:val="single" w:sz="4" w:space="0" w:color="auto"/>
              <w:right w:val="single" w:sz="4" w:space="0" w:color="auto"/>
            </w:tcBorders>
          </w:tcPr>
          <w:p w:rsidR="00352B75" w:rsidRPr="00C0651F" w:rsidRDefault="00352B75" w:rsidP="00FC45F0">
            <w:pPr>
              <w:pStyle w:val="PBACHeading1"/>
              <w:ind w:left="0" w:firstLine="0"/>
              <w:jc w:val="both"/>
              <w:rPr>
                <w:b w:val="0"/>
                <w:sz w:val="20"/>
                <w:szCs w:val="20"/>
              </w:rPr>
            </w:pPr>
            <w:r w:rsidRPr="00C0651F">
              <w:rPr>
                <w:b w:val="0"/>
                <w:sz w:val="20"/>
                <w:szCs w:val="20"/>
              </w:rPr>
              <w:t xml:space="preserve">The PBAC recommended the equi-effective doses of omalizumab 300 mg and cyclosporin 4 mg/kg based on the untitrated trial doses for both drugs.  </w:t>
            </w:r>
          </w:p>
          <w:p w:rsidR="00AD4A59" w:rsidRPr="00C0651F" w:rsidRDefault="00AD4A59" w:rsidP="00FC45F0">
            <w:pPr>
              <w:jc w:val="both"/>
              <w:rPr>
                <w:rFonts w:ascii="Arial" w:hAnsi="Arial" w:cs="Arial"/>
              </w:rPr>
            </w:pPr>
          </w:p>
        </w:tc>
      </w:tr>
      <w:tr w:rsidR="00AD4A59"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OXYCODONE with NALOXONE</w:t>
            </w:r>
            <w:r>
              <w:rPr>
                <w:rFonts w:ascii="Arial" w:hAnsi="Arial" w:cs="Arial"/>
                <w:color w:val="000000"/>
              </w:rPr>
              <w:br/>
            </w:r>
            <w:r>
              <w:rPr>
                <w:rFonts w:ascii="Arial" w:hAnsi="Arial" w:cs="Arial"/>
                <w:color w:val="000000"/>
              </w:rPr>
              <w:br/>
              <w:t>Tablet (controlled release) containing oxycodone hydrochloride 80 mg with naloxone hydrochloride 40 mg</w:t>
            </w:r>
            <w:r>
              <w:rPr>
                <w:rFonts w:ascii="Arial" w:hAnsi="Arial" w:cs="Arial"/>
                <w:color w:val="000000"/>
              </w:rPr>
              <w:br/>
              <w:t>Tablet (controlled release) containing oxycodone hydrochloride 60 mg with naloxone hydrochloride 30 mg</w:t>
            </w:r>
            <w:r w:rsidR="005B2F75">
              <w:rPr>
                <w:rFonts w:ascii="Arial" w:hAnsi="Arial" w:cs="Arial"/>
                <w:color w:val="000000"/>
              </w:rPr>
              <w:t xml:space="preserve"> </w:t>
            </w:r>
            <w:r>
              <w:rPr>
                <w:rFonts w:ascii="Arial" w:hAnsi="Arial" w:cs="Arial"/>
                <w:color w:val="000000"/>
              </w:rPr>
              <w:br/>
            </w:r>
            <w:r>
              <w:rPr>
                <w:rFonts w:ascii="Arial" w:hAnsi="Arial" w:cs="Arial"/>
                <w:color w:val="000000"/>
              </w:rPr>
              <w:br/>
              <w:t>Targin®</w:t>
            </w:r>
            <w:r>
              <w:rPr>
                <w:rFonts w:ascii="Arial" w:hAnsi="Arial" w:cs="Arial"/>
                <w:color w:val="000000"/>
              </w:rPr>
              <w:br/>
            </w:r>
            <w:r>
              <w:rPr>
                <w:rFonts w:ascii="Arial" w:hAnsi="Arial" w:cs="Arial"/>
                <w:color w:val="000000"/>
              </w:rPr>
              <w:br/>
              <w:t>Mundipharma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New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Chronic severe disabling pain</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both"/>
              <w:rPr>
                <w:rFonts w:ascii="Arial" w:hAnsi="Arial" w:cs="Arial"/>
                <w:color w:val="000000"/>
              </w:rPr>
            </w:pPr>
            <w:r>
              <w:rPr>
                <w:rFonts w:ascii="Arial" w:hAnsi="Arial" w:cs="Arial"/>
                <w:color w:val="000000"/>
              </w:rPr>
              <w:t>To request an Authority Required listing for two additional strengths of oxycodone with naloxone for the treatment of chronic disabling pain unresponsive to non-opioid analgesics.</w:t>
            </w:r>
          </w:p>
        </w:tc>
        <w:tc>
          <w:tcPr>
            <w:tcW w:w="5562" w:type="dxa"/>
            <w:tcBorders>
              <w:top w:val="single" w:sz="4" w:space="0" w:color="auto"/>
              <w:left w:val="single" w:sz="4" w:space="0" w:color="auto"/>
              <w:bottom w:val="single" w:sz="4" w:space="0" w:color="auto"/>
              <w:right w:val="single" w:sz="4" w:space="0" w:color="auto"/>
            </w:tcBorders>
          </w:tcPr>
          <w:p w:rsidR="00940407" w:rsidRPr="00C0651F" w:rsidRDefault="00940407" w:rsidP="00FC45F0">
            <w:pPr>
              <w:widowControl w:val="0"/>
              <w:tabs>
                <w:tab w:val="left" w:pos="3486"/>
              </w:tabs>
              <w:jc w:val="both"/>
              <w:rPr>
                <w:rFonts w:ascii="Arial" w:hAnsi="Arial" w:cs="Arial"/>
                <w:bCs/>
                <w:snapToGrid w:val="0"/>
                <w:highlight w:val="yellow"/>
              </w:rPr>
            </w:pPr>
            <w:r w:rsidRPr="00C0651F">
              <w:rPr>
                <w:rFonts w:ascii="Arial" w:hAnsi="Arial" w:cs="Arial"/>
                <w:bCs/>
                <w:snapToGrid w:val="0"/>
              </w:rPr>
              <w:t xml:space="preserve">The PBAC recommended the listing of two additional strengths of oxycodone with naloxone (oxycodone 60 mg with naloxone 30 mg and oxycodone 80 mg with naloxone 40 mg) on the General Schedule as a Restricted Benefit for chronic severe disabling pain. </w:t>
            </w:r>
          </w:p>
          <w:p w:rsidR="00AD4A59" w:rsidRPr="00C0651F" w:rsidRDefault="00AD4A59" w:rsidP="00FC45F0">
            <w:pPr>
              <w:jc w:val="both"/>
              <w:rPr>
                <w:rFonts w:ascii="Arial" w:hAnsi="Arial" w:cs="Arial"/>
              </w:rPr>
            </w:pPr>
          </w:p>
        </w:tc>
      </w:tr>
      <w:tr w:rsidR="00AD4A59"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PALIPERIDONE</w:t>
            </w:r>
            <w:r>
              <w:rPr>
                <w:rFonts w:ascii="Arial" w:hAnsi="Arial" w:cs="Arial"/>
                <w:color w:val="000000"/>
              </w:rPr>
              <w:br/>
            </w:r>
            <w:r>
              <w:rPr>
                <w:rFonts w:ascii="Arial" w:hAnsi="Arial" w:cs="Arial"/>
                <w:color w:val="000000"/>
              </w:rPr>
              <w:br/>
              <w:t>I.M. injection (modified release) 175 mg (as palmitate) in pre-filled syringe</w:t>
            </w:r>
            <w:r>
              <w:rPr>
                <w:rFonts w:ascii="Arial" w:hAnsi="Arial" w:cs="Arial"/>
                <w:color w:val="000000"/>
              </w:rPr>
              <w:br/>
            </w:r>
            <w:r>
              <w:rPr>
                <w:rFonts w:ascii="Arial" w:hAnsi="Arial" w:cs="Arial"/>
                <w:color w:val="000000"/>
              </w:rPr>
              <w:lastRenderedPageBreak/>
              <w:t>I.M. injection (modified release) 263 mg (as palmitate) in pre-filled syringe</w:t>
            </w:r>
            <w:r>
              <w:rPr>
                <w:rFonts w:ascii="Arial" w:hAnsi="Arial" w:cs="Arial"/>
                <w:color w:val="000000"/>
              </w:rPr>
              <w:br/>
              <w:t>I.M. injection (modified release) 350 mg (as palmitate) in pre-filled syringe</w:t>
            </w:r>
            <w:r>
              <w:rPr>
                <w:rFonts w:ascii="Arial" w:hAnsi="Arial" w:cs="Arial"/>
                <w:color w:val="000000"/>
              </w:rPr>
              <w:br/>
              <w:t>I.M. injection (modified release) 525 mg (as palmitate) in pre-filled syringe</w:t>
            </w:r>
            <w:r>
              <w:rPr>
                <w:rFonts w:ascii="Arial" w:hAnsi="Arial" w:cs="Arial"/>
                <w:color w:val="000000"/>
              </w:rPr>
              <w:br/>
            </w:r>
            <w:r>
              <w:rPr>
                <w:rFonts w:ascii="Arial" w:hAnsi="Arial" w:cs="Arial"/>
                <w:color w:val="000000"/>
              </w:rPr>
              <w:br/>
              <w:t>Invega® Trinza™</w:t>
            </w:r>
            <w:r>
              <w:rPr>
                <w:rFonts w:ascii="Arial" w:hAnsi="Arial" w:cs="Arial"/>
                <w:color w:val="000000"/>
              </w:rPr>
              <w:br/>
            </w:r>
            <w:r>
              <w:rPr>
                <w:rFonts w:ascii="Arial" w:hAnsi="Arial" w:cs="Arial"/>
                <w:color w:val="000000"/>
              </w:rPr>
              <w:br/>
              <w:t>Janssen-Cilag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New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lastRenderedPageBreak/>
              <w:t>Schizophrenia</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both"/>
              <w:rPr>
                <w:rFonts w:ascii="Arial" w:hAnsi="Arial" w:cs="Arial"/>
                <w:color w:val="000000"/>
              </w:rPr>
            </w:pPr>
            <w:r>
              <w:rPr>
                <w:rFonts w:ascii="Arial" w:hAnsi="Arial" w:cs="Arial"/>
                <w:color w:val="000000"/>
              </w:rPr>
              <w:t xml:space="preserve">To request an Authority Required (STREAMLINED) listing for the treatment of patients with schizophrenia who have been adequately stabilised with paliperidone </w:t>
            </w:r>
            <w:r>
              <w:rPr>
                <w:rFonts w:ascii="Arial" w:hAnsi="Arial" w:cs="Arial"/>
                <w:color w:val="000000"/>
              </w:rPr>
              <w:lastRenderedPageBreak/>
              <w:t>modified release injection.</w:t>
            </w:r>
          </w:p>
        </w:tc>
        <w:tc>
          <w:tcPr>
            <w:tcW w:w="5562" w:type="dxa"/>
            <w:tcBorders>
              <w:top w:val="single" w:sz="4" w:space="0" w:color="auto"/>
              <w:left w:val="single" w:sz="4" w:space="0" w:color="auto"/>
              <w:bottom w:val="single" w:sz="4" w:space="0" w:color="auto"/>
              <w:right w:val="single" w:sz="4" w:space="0" w:color="auto"/>
            </w:tcBorders>
          </w:tcPr>
          <w:p w:rsidR="001D3780" w:rsidRPr="00C0651F" w:rsidRDefault="001D3780" w:rsidP="00FC45F0">
            <w:pPr>
              <w:jc w:val="both"/>
              <w:rPr>
                <w:rFonts w:ascii="Arial" w:hAnsi="Arial" w:cs="Arial"/>
                <w:bCs/>
                <w:lang w:val="en-GB"/>
              </w:rPr>
            </w:pPr>
            <w:r w:rsidRPr="00C0651F">
              <w:rPr>
                <w:rFonts w:ascii="Arial" w:hAnsi="Arial" w:cs="Arial"/>
                <w:bCs/>
                <w:lang w:val="en-GB"/>
              </w:rPr>
              <w:lastRenderedPageBreak/>
              <w:t xml:space="preserve">The PBAC recommended the Authority </w:t>
            </w:r>
            <w:r w:rsidR="00D70DB6">
              <w:rPr>
                <w:rFonts w:ascii="Arial" w:hAnsi="Arial" w:cs="Arial"/>
                <w:bCs/>
                <w:lang w:val="en-GB"/>
              </w:rPr>
              <w:t>R</w:t>
            </w:r>
            <w:r w:rsidRPr="00C0651F">
              <w:rPr>
                <w:rFonts w:ascii="Arial" w:hAnsi="Arial" w:cs="Arial"/>
                <w:bCs/>
                <w:lang w:val="en-GB"/>
              </w:rPr>
              <w:t>equired (</w:t>
            </w:r>
            <w:r w:rsidR="00A055B5">
              <w:rPr>
                <w:rFonts w:ascii="Arial" w:hAnsi="Arial" w:cs="Arial"/>
                <w:bCs/>
                <w:lang w:val="en-GB"/>
              </w:rPr>
              <w:t>STREAMLINED</w:t>
            </w:r>
            <w:r w:rsidRPr="00C0651F">
              <w:rPr>
                <w:rFonts w:ascii="Arial" w:hAnsi="Arial" w:cs="Arial"/>
                <w:bCs/>
                <w:lang w:val="en-GB"/>
              </w:rPr>
              <w:t xml:space="preserve">) listing of paliperidone once per three month injection (PP3M) for schizophrenia, on a cost minimisation basis with equivalent doses of paliperidone </w:t>
            </w:r>
            <w:r w:rsidRPr="00C0651F">
              <w:rPr>
                <w:rFonts w:ascii="Arial" w:hAnsi="Arial" w:cs="Arial"/>
                <w:bCs/>
                <w:lang w:val="en-GB"/>
              </w:rPr>
              <w:lastRenderedPageBreak/>
              <w:t xml:space="preserve">once monthly injection (PP1M). In making its recommendation, the PBAC considered that PP3M was non-inferior in comparative efficacy and safety to PP1M. </w:t>
            </w:r>
          </w:p>
          <w:p w:rsidR="001D3780" w:rsidRPr="00C0651F" w:rsidRDefault="001D3780" w:rsidP="00FC45F0">
            <w:pPr>
              <w:jc w:val="both"/>
              <w:rPr>
                <w:rFonts w:ascii="Arial" w:hAnsi="Arial" w:cs="Arial"/>
                <w:bCs/>
                <w:lang w:val="en-GB"/>
              </w:rPr>
            </w:pPr>
          </w:p>
          <w:p w:rsidR="001D3780" w:rsidRPr="00C0651F" w:rsidRDefault="001D3780" w:rsidP="00FC45F0">
            <w:pPr>
              <w:jc w:val="both"/>
              <w:rPr>
                <w:rFonts w:ascii="Arial" w:hAnsi="Arial" w:cs="Arial"/>
                <w:bCs/>
                <w:lang w:val="en-GB"/>
              </w:rPr>
            </w:pPr>
            <w:r w:rsidRPr="00C0651F">
              <w:rPr>
                <w:rFonts w:ascii="Arial" w:hAnsi="Arial" w:cs="Arial"/>
                <w:bCs/>
                <w:lang w:val="en-GB"/>
              </w:rPr>
              <w:t xml:space="preserve">The PBAC considered there was a clinical place for PP3M, as it would provide an extended duration </w:t>
            </w:r>
            <w:r w:rsidR="005851DF">
              <w:rPr>
                <w:rFonts w:ascii="Arial" w:hAnsi="Arial" w:cs="Arial"/>
                <w:bCs/>
                <w:lang w:val="en-GB"/>
              </w:rPr>
              <w:t>long acting injectable</w:t>
            </w:r>
            <w:r w:rsidR="005851DF" w:rsidRPr="00C0651F">
              <w:rPr>
                <w:rFonts w:ascii="Arial" w:hAnsi="Arial" w:cs="Arial"/>
                <w:bCs/>
                <w:lang w:val="en-GB"/>
              </w:rPr>
              <w:t xml:space="preserve"> </w:t>
            </w:r>
            <w:r w:rsidRPr="00C0651F">
              <w:rPr>
                <w:rFonts w:ascii="Arial" w:hAnsi="Arial" w:cs="Arial"/>
                <w:bCs/>
                <w:lang w:val="en-GB"/>
              </w:rPr>
              <w:t>treatment with less frequent dosing compared with other PBS listed therapies and may contribute to improvements in patient comfort, carer burden and access for patients in rural and remote areas.</w:t>
            </w:r>
          </w:p>
          <w:p w:rsidR="00AD4A59" w:rsidRPr="00C0651F" w:rsidRDefault="00AD4A59" w:rsidP="00FC45F0">
            <w:pPr>
              <w:jc w:val="both"/>
              <w:rPr>
                <w:rFonts w:ascii="Arial" w:hAnsi="Arial" w:cs="Arial"/>
              </w:rPr>
            </w:pPr>
          </w:p>
        </w:tc>
      </w:tr>
      <w:tr w:rsidR="00AD4A59"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lastRenderedPageBreak/>
              <w:t>PARITAPREVIR with RITONAVIR with OMBITASVIR</w:t>
            </w:r>
            <w:r>
              <w:rPr>
                <w:rFonts w:ascii="Arial" w:hAnsi="Arial" w:cs="Arial"/>
                <w:color w:val="000000"/>
              </w:rPr>
              <w:br/>
            </w:r>
            <w:r>
              <w:rPr>
                <w:rFonts w:ascii="Arial" w:hAnsi="Arial" w:cs="Arial"/>
                <w:color w:val="000000"/>
              </w:rPr>
              <w:br/>
              <w:t>Tablet containing 75 mg paritaprevir with 50 mg ritonavir with 12.5 mg ombitasvir</w:t>
            </w:r>
            <w:r>
              <w:rPr>
                <w:rFonts w:ascii="Arial" w:hAnsi="Arial" w:cs="Arial"/>
                <w:color w:val="000000"/>
              </w:rPr>
              <w:br/>
            </w:r>
            <w:r>
              <w:rPr>
                <w:rFonts w:ascii="Arial" w:hAnsi="Arial" w:cs="Arial"/>
                <w:color w:val="000000"/>
              </w:rPr>
              <w:br/>
              <w:t>Technivie®</w:t>
            </w:r>
            <w:r>
              <w:rPr>
                <w:rFonts w:ascii="Arial" w:hAnsi="Arial" w:cs="Arial"/>
                <w:color w:val="000000"/>
              </w:rPr>
              <w:br/>
            </w:r>
            <w:r>
              <w:rPr>
                <w:rFonts w:ascii="Arial" w:hAnsi="Arial" w:cs="Arial"/>
                <w:color w:val="000000"/>
              </w:rPr>
              <w:br/>
              <w:t>AbbVie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New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center"/>
              <w:rPr>
                <w:rFonts w:ascii="Arial" w:hAnsi="Arial" w:cs="Arial"/>
                <w:color w:val="000000"/>
              </w:rPr>
            </w:pPr>
            <w:r>
              <w:rPr>
                <w:rFonts w:ascii="Arial" w:hAnsi="Arial" w:cs="Arial"/>
                <w:color w:val="000000"/>
              </w:rPr>
              <w:t>Chronic hepatitis C virus (HCV) infection</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both"/>
              <w:rPr>
                <w:rFonts w:ascii="Arial" w:hAnsi="Arial" w:cs="Arial"/>
                <w:color w:val="000000"/>
              </w:rPr>
            </w:pPr>
            <w:r>
              <w:rPr>
                <w:rFonts w:ascii="Arial" w:hAnsi="Arial" w:cs="Arial"/>
                <w:color w:val="000000"/>
              </w:rPr>
              <w:t>To request General Schedule and Section 100 (Highly Specialised Drugs Program) Authority Required listings for paritaprevir with ritonavir with ombitasvir, in combination with ribavirin, for the treatment of patients with genotype 4 chronic HCV infection.</w:t>
            </w:r>
          </w:p>
        </w:tc>
        <w:tc>
          <w:tcPr>
            <w:tcW w:w="5562" w:type="dxa"/>
            <w:tcBorders>
              <w:top w:val="single" w:sz="4" w:space="0" w:color="auto"/>
              <w:left w:val="single" w:sz="4" w:space="0" w:color="auto"/>
              <w:bottom w:val="single" w:sz="4" w:space="0" w:color="auto"/>
              <w:right w:val="single" w:sz="4" w:space="0" w:color="auto"/>
            </w:tcBorders>
          </w:tcPr>
          <w:p w:rsidR="00AD4A59" w:rsidRPr="00C0651F" w:rsidRDefault="006B1221" w:rsidP="00FC45F0">
            <w:pPr>
              <w:jc w:val="both"/>
              <w:rPr>
                <w:rFonts w:ascii="Arial" w:hAnsi="Arial" w:cs="Arial"/>
              </w:rPr>
            </w:pPr>
            <w:r w:rsidRPr="006B1221">
              <w:rPr>
                <w:rFonts w:ascii="Arial" w:hAnsi="Arial" w:cs="Arial"/>
              </w:rPr>
              <w:t xml:space="preserve">The PBAC recommended the Authority Required </w:t>
            </w:r>
            <w:r w:rsidR="00A055B5">
              <w:rPr>
                <w:rFonts w:ascii="Arial" w:hAnsi="Arial" w:cs="Arial"/>
              </w:rPr>
              <w:t>G</w:t>
            </w:r>
            <w:r w:rsidRPr="006B1221">
              <w:rPr>
                <w:rFonts w:ascii="Arial" w:hAnsi="Arial" w:cs="Arial"/>
              </w:rPr>
              <w:t xml:space="preserve">eneral </w:t>
            </w:r>
            <w:r w:rsidR="00A055B5">
              <w:rPr>
                <w:rFonts w:ascii="Arial" w:hAnsi="Arial" w:cs="Arial"/>
              </w:rPr>
              <w:t>S</w:t>
            </w:r>
            <w:r w:rsidRPr="006B1221">
              <w:rPr>
                <w:rFonts w:ascii="Arial" w:hAnsi="Arial" w:cs="Arial"/>
              </w:rPr>
              <w:t xml:space="preserve">chedule and Section 100 listing of paritaprevir with ritonavir and ombitasvir, in combination with ribavirin for the treatment of treatment naïve and treatment experienced genotype 4 CHC infection on a cost-minimisation basis with grazoprevir with elbasvir ± </w:t>
            </w:r>
            <w:r w:rsidR="00D42950" w:rsidRPr="006B1221">
              <w:rPr>
                <w:rFonts w:ascii="Arial" w:hAnsi="Arial" w:cs="Arial"/>
              </w:rPr>
              <w:t>ribavirin</w:t>
            </w:r>
            <w:r w:rsidRPr="006B1221">
              <w:rPr>
                <w:rFonts w:ascii="Arial" w:hAnsi="Arial" w:cs="Arial"/>
              </w:rPr>
              <w:t>.</w:t>
            </w:r>
          </w:p>
        </w:tc>
      </w:tr>
      <w:tr w:rsidR="00AD4A59"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PEGVISOMANT</w:t>
            </w:r>
          </w:p>
          <w:p w:rsidR="00AD4A59" w:rsidRDefault="00AD4A59" w:rsidP="00FC45F0">
            <w:pPr>
              <w:rPr>
                <w:rFonts w:ascii="Arial" w:hAnsi="Arial" w:cs="Arial"/>
                <w:color w:val="000000"/>
              </w:rPr>
            </w:pPr>
          </w:p>
          <w:p w:rsidR="00AD4A59" w:rsidRDefault="00AD4A59" w:rsidP="00FC45F0">
            <w:pPr>
              <w:rPr>
                <w:rFonts w:ascii="Arial" w:hAnsi="Arial" w:cs="Arial"/>
                <w:color w:val="000000"/>
              </w:rPr>
            </w:pPr>
            <w:r>
              <w:rPr>
                <w:rFonts w:ascii="Arial" w:hAnsi="Arial" w:cs="Arial"/>
                <w:color w:val="000000"/>
              </w:rPr>
              <w:br w:type="page"/>
            </w:r>
            <w:r>
              <w:rPr>
                <w:rFonts w:ascii="Arial" w:hAnsi="Arial" w:cs="Arial"/>
                <w:color w:val="000000"/>
              </w:rPr>
              <w:br w:type="page"/>
              <w:t>Powder for injection 10 mg</w:t>
            </w:r>
            <w:r>
              <w:rPr>
                <w:rFonts w:ascii="Arial" w:hAnsi="Arial" w:cs="Arial"/>
                <w:color w:val="000000"/>
              </w:rPr>
              <w:br w:type="page"/>
            </w:r>
          </w:p>
          <w:p w:rsidR="00AD4A59" w:rsidRDefault="00AD4A59" w:rsidP="00FC45F0">
            <w:pPr>
              <w:rPr>
                <w:rFonts w:ascii="Arial" w:hAnsi="Arial" w:cs="Arial"/>
                <w:color w:val="000000"/>
              </w:rPr>
            </w:pPr>
            <w:r>
              <w:rPr>
                <w:rFonts w:ascii="Arial" w:hAnsi="Arial" w:cs="Arial"/>
                <w:color w:val="000000"/>
              </w:rPr>
              <w:t>Powder for injection 15 mg</w:t>
            </w:r>
          </w:p>
          <w:p w:rsidR="00AD4A59" w:rsidRDefault="00AD4A59" w:rsidP="00FC45F0">
            <w:pPr>
              <w:rPr>
                <w:rFonts w:ascii="Arial" w:hAnsi="Arial" w:cs="Arial"/>
                <w:color w:val="000000"/>
              </w:rPr>
            </w:pPr>
            <w:r>
              <w:rPr>
                <w:rFonts w:ascii="Arial" w:hAnsi="Arial" w:cs="Arial"/>
                <w:color w:val="000000"/>
              </w:rPr>
              <w:br w:type="page"/>
              <w:t>Powder for injection 20 mg</w:t>
            </w:r>
          </w:p>
          <w:p w:rsidR="00AD4A59" w:rsidRDefault="00AD4A59" w:rsidP="00FC45F0">
            <w:pPr>
              <w:rPr>
                <w:rFonts w:ascii="Arial" w:hAnsi="Arial" w:cs="Arial"/>
                <w:color w:val="000000"/>
              </w:rPr>
            </w:pPr>
          </w:p>
          <w:p w:rsidR="00AD4A59" w:rsidRDefault="00AD4A59" w:rsidP="00FC45F0">
            <w:pPr>
              <w:rPr>
                <w:rFonts w:ascii="Arial" w:hAnsi="Arial" w:cs="Arial"/>
                <w:color w:val="000000"/>
              </w:rPr>
            </w:pPr>
            <w:r>
              <w:rPr>
                <w:rFonts w:ascii="Arial" w:hAnsi="Arial" w:cs="Arial"/>
                <w:color w:val="000000"/>
              </w:rPr>
              <w:br w:type="page"/>
            </w:r>
            <w:r>
              <w:rPr>
                <w:rFonts w:ascii="Arial" w:hAnsi="Arial" w:cs="Arial"/>
                <w:color w:val="000000"/>
              </w:rPr>
              <w:br w:type="page"/>
              <w:t>Somavert®</w:t>
            </w:r>
            <w:r>
              <w:rPr>
                <w:rFonts w:ascii="Arial" w:hAnsi="Arial" w:cs="Arial"/>
                <w:color w:val="000000"/>
              </w:rPr>
              <w:br w:type="page"/>
            </w:r>
            <w:r>
              <w:rPr>
                <w:rFonts w:ascii="Arial" w:hAnsi="Arial" w:cs="Arial"/>
                <w:color w:val="000000"/>
              </w:rPr>
              <w:br w:type="page"/>
            </w:r>
          </w:p>
          <w:p w:rsidR="00AD4A59" w:rsidRDefault="00AD4A59" w:rsidP="00FC45F0">
            <w:pPr>
              <w:rPr>
                <w:rFonts w:ascii="Arial" w:hAnsi="Arial" w:cs="Arial"/>
                <w:color w:val="000000"/>
              </w:rPr>
            </w:pPr>
          </w:p>
          <w:p w:rsidR="00AD4A59" w:rsidRDefault="00AD4A59" w:rsidP="00FC45F0">
            <w:pPr>
              <w:rPr>
                <w:rFonts w:ascii="Arial" w:hAnsi="Arial" w:cs="Arial"/>
                <w:color w:val="000000"/>
              </w:rPr>
            </w:pPr>
            <w:r>
              <w:rPr>
                <w:rFonts w:ascii="Arial" w:hAnsi="Arial" w:cs="Arial"/>
                <w:color w:val="000000"/>
              </w:rPr>
              <w:t>Pfizer Australia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lastRenderedPageBreak/>
              <w:t>New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center"/>
              <w:rPr>
                <w:rFonts w:ascii="Arial" w:hAnsi="Arial" w:cs="Arial"/>
                <w:color w:val="000000"/>
              </w:rPr>
            </w:pPr>
            <w:r>
              <w:rPr>
                <w:rFonts w:ascii="Arial" w:hAnsi="Arial" w:cs="Arial"/>
                <w:color w:val="000000"/>
              </w:rPr>
              <w:lastRenderedPageBreak/>
              <w:t>Acromegaly</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both"/>
              <w:rPr>
                <w:rFonts w:ascii="Arial" w:hAnsi="Arial" w:cs="Arial"/>
                <w:color w:val="000000"/>
              </w:rPr>
            </w:pPr>
            <w:r>
              <w:rPr>
                <w:rFonts w:ascii="Arial" w:hAnsi="Arial" w:cs="Arial"/>
                <w:color w:val="000000"/>
              </w:rPr>
              <w:t>To request a Section 100 (Highly Specialised Drugs Program) Authority Required listing for the treatment of acromegaly in patients who have had inadequate response to surgery and/or radiation and/or other medical therapies.</w:t>
            </w:r>
          </w:p>
        </w:tc>
        <w:tc>
          <w:tcPr>
            <w:tcW w:w="5562" w:type="dxa"/>
            <w:tcBorders>
              <w:top w:val="single" w:sz="4" w:space="0" w:color="auto"/>
              <w:left w:val="single" w:sz="4" w:space="0" w:color="auto"/>
              <w:bottom w:val="single" w:sz="4" w:space="0" w:color="auto"/>
              <w:right w:val="single" w:sz="4" w:space="0" w:color="auto"/>
            </w:tcBorders>
          </w:tcPr>
          <w:p w:rsidR="00AD4A59" w:rsidRPr="006B27D6" w:rsidRDefault="00F50B64" w:rsidP="006B27D6">
            <w:pPr>
              <w:pStyle w:val="ListParagraph"/>
              <w:ind w:left="0"/>
              <w:jc w:val="both"/>
              <w:rPr>
                <w:rFonts w:ascii="Arial" w:hAnsi="Arial" w:cs="Arial"/>
                <w:sz w:val="20"/>
                <w:szCs w:val="20"/>
              </w:rPr>
            </w:pPr>
            <w:r w:rsidRPr="00C0651F">
              <w:rPr>
                <w:rFonts w:ascii="Arial" w:hAnsi="Arial" w:cs="Arial"/>
                <w:sz w:val="20"/>
                <w:szCs w:val="20"/>
              </w:rPr>
              <w:t>The PBAC recommended the listing of pegvisomant as a Section 100 (Highly Specialised Drugs Program), Authority Required benefit for the treatment of acromegaly on a cost</w:t>
            </w:r>
            <w:r w:rsidRPr="00C0651F">
              <w:rPr>
                <w:rFonts w:ascii="Arial" w:hAnsi="Arial" w:cs="Arial"/>
                <w:sz w:val="20"/>
                <w:szCs w:val="20"/>
              </w:rPr>
              <w:noBreakHyphen/>
              <w:t xml:space="preserve">minimisation basis to pasireotide. The PBAC considered that although the clinical evidence indicated that a greater proportion of patients achieved </w:t>
            </w:r>
            <w:r w:rsidR="00A055B5">
              <w:rPr>
                <w:rFonts w:ascii="Arial" w:hAnsi="Arial" w:cs="Arial"/>
                <w:sz w:val="20"/>
                <w:szCs w:val="20"/>
              </w:rPr>
              <w:t>insulin-</w:t>
            </w:r>
            <w:r w:rsidR="00C706E1">
              <w:rPr>
                <w:rFonts w:ascii="Arial" w:hAnsi="Arial" w:cs="Arial"/>
                <w:sz w:val="20"/>
                <w:szCs w:val="20"/>
              </w:rPr>
              <w:t>like</w:t>
            </w:r>
            <w:r w:rsidR="00A055B5">
              <w:rPr>
                <w:rFonts w:ascii="Arial" w:hAnsi="Arial" w:cs="Arial"/>
                <w:sz w:val="20"/>
                <w:szCs w:val="20"/>
              </w:rPr>
              <w:t xml:space="preserve"> growth factor-1 (</w:t>
            </w:r>
            <w:r w:rsidRPr="00C0651F">
              <w:rPr>
                <w:rFonts w:ascii="Arial" w:hAnsi="Arial" w:cs="Arial"/>
                <w:sz w:val="20"/>
                <w:szCs w:val="20"/>
              </w:rPr>
              <w:t>IGF-1</w:t>
            </w:r>
            <w:r w:rsidR="00A055B5">
              <w:rPr>
                <w:rFonts w:ascii="Arial" w:hAnsi="Arial" w:cs="Arial"/>
                <w:sz w:val="20"/>
                <w:szCs w:val="20"/>
              </w:rPr>
              <w:t>)</w:t>
            </w:r>
            <w:r w:rsidRPr="00C0651F">
              <w:rPr>
                <w:rFonts w:ascii="Arial" w:hAnsi="Arial" w:cs="Arial"/>
                <w:sz w:val="20"/>
                <w:szCs w:val="20"/>
              </w:rPr>
              <w:t xml:space="preserve"> normalisation with pegvisomant compared to pasireotide, octreotide or lanreotide, the naïve indirect comparison presented was inadequate to support a claim of superior effectiveness. The PBAC also noted that </w:t>
            </w:r>
            <w:r w:rsidRPr="00C0651F">
              <w:rPr>
                <w:rFonts w:ascii="Arial" w:hAnsi="Arial" w:cs="Arial"/>
                <w:sz w:val="20"/>
                <w:szCs w:val="20"/>
              </w:rPr>
              <w:lastRenderedPageBreak/>
              <w:t>pegvisomant has a different safety profile to pasireotide, octreotide, and lanreotide. The PBAC considered that on the basis of the different safety profiles, the cost offsets applied to pasireotide for diabetes should not be applied to pegvisomant, but that as use of pegvisomant will require additional liver function testing, offsets for the cost of this testing should be applied to pegvisomant. The PBAC considered that the proposed equi-effective dose of 14.23</w:t>
            </w:r>
            <w:r w:rsidR="002E2FDA">
              <w:rPr>
                <w:rFonts w:ascii="Arial" w:hAnsi="Arial" w:cs="Arial"/>
                <w:sz w:val="20"/>
                <w:szCs w:val="20"/>
              </w:rPr>
              <w:t> </w:t>
            </w:r>
            <w:r w:rsidRPr="00C0651F">
              <w:rPr>
                <w:rFonts w:ascii="Arial" w:hAnsi="Arial" w:cs="Arial"/>
                <w:sz w:val="20"/>
                <w:szCs w:val="20"/>
              </w:rPr>
              <w:t xml:space="preserve">mg pegvisomant to 20, 40 and 60 mg pasireotide was highly uncertain and as such, an equivalent cost per day of treatment of pegvisomant compared to pasireotide, on a flat pricing basis, was appropriate. </w:t>
            </w:r>
          </w:p>
        </w:tc>
      </w:tr>
      <w:tr w:rsidR="00AD4A59"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lastRenderedPageBreak/>
              <w:t>PEMBROLIZUMAB</w:t>
            </w:r>
            <w:r>
              <w:rPr>
                <w:rFonts w:ascii="Arial" w:hAnsi="Arial" w:cs="Arial"/>
                <w:color w:val="000000"/>
              </w:rPr>
              <w:br/>
            </w:r>
            <w:r>
              <w:rPr>
                <w:rFonts w:ascii="Arial" w:hAnsi="Arial" w:cs="Arial"/>
                <w:color w:val="000000"/>
              </w:rPr>
              <w:br/>
              <w:t>Powder for injection 100 mg</w:t>
            </w:r>
            <w:r>
              <w:rPr>
                <w:rFonts w:ascii="Arial" w:hAnsi="Arial" w:cs="Arial"/>
                <w:color w:val="000000"/>
              </w:rPr>
              <w:br/>
            </w:r>
            <w:r>
              <w:rPr>
                <w:rFonts w:ascii="Arial" w:hAnsi="Arial" w:cs="Arial"/>
                <w:color w:val="000000"/>
              </w:rPr>
              <w:br/>
              <w:t>Keytruda®</w:t>
            </w:r>
            <w:r>
              <w:rPr>
                <w:rFonts w:ascii="Arial" w:hAnsi="Arial" w:cs="Arial"/>
                <w:color w:val="000000"/>
              </w:rPr>
              <w:br/>
            </w:r>
            <w:r>
              <w:rPr>
                <w:rFonts w:ascii="Arial" w:hAnsi="Arial" w:cs="Arial"/>
                <w:color w:val="000000"/>
              </w:rPr>
              <w:br/>
              <w:t>Merck Sharp &amp; Dohme (Australia)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New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Melanoma</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both"/>
              <w:rPr>
                <w:rFonts w:ascii="Arial" w:hAnsi="Arial" w:cs="Arial"/>
                <w:color w:val="000000"/>
              </w:rPr>
            </w:pPr>
            <w:r>
              <w:rPr>
                <w:rFonts w:ascii="Arial" w:hAnsi="Arial" w:cs="Arial"/>
                <w:color w:val="000000"/>
              </w:rPr>
              <w:t>To request a Section 100 (Efficient funding of Chemotherapy) Authority Required (STREAMLINED) listing of an additional strength of pembrolizumab for unresectable stage III or stage IV malignant melanoma</w:t>
            </w:r>
            <w:r w:rsidR="002E2FDA">
              <w:rPr>
                <w:rFonts w:ascii="Arial" w:hAnsi="Arial" w:cs="Arial"/>
                <w:color w:val="000000"/>
              </w:rPr>
              <w:t>.</w:t>
            </w:r>
          </w:p>
        </w:tc>
        <w:tc>
          <w:tcPr>
            <w:tcW w:w="5562" w:type="dxa"/>
            <w:tcBorders>
              <w:top w:val="single" w:sz="4" w:space="0" w:color="auto"/>
              <w:left w:val="single" w:sz="4" w:space="0" w:color="auto"/>
              <w:bottom w:val="single" w:sz="4" w:space="0" w:color="auto"/>
              <w:right w:val="single" w:sz="4" w:space="0" w:color="auto"/>
            </w:tcBorders>
          </w:tcPr>
          <w:p w:rsidR="008A3D8B" w:rsidRPr="00C0651F" w:rsidRDefault="008A3D8B" w:rsidP="00FC45F0">
            <w:pPr>
              <w:widowControl w:val="0"/>
              <w:contextualSpacing/>
              <w:jc w:val="both"/>
              <w:rPr>
                <w:rFonts w:ascii="Arial" w:hAnsi="Arial" w:cs="Arial"/>
                <w:bCs/>
                <w:snapToGrid w:val="0"/>
              </w:rPr>
            </w:pPr>
            <w:r w:rsidRPr="00C0651F">
              <w:rPr>
                <w:rFonts w:ascii="Arial" w:hAnsi="Arial" w:cs="Arial"/>
                <w:bCs/>
                <w:snapToGrid w:val="0"/>
              </w:rPr>
              <w:t>The PBAC recommended the listing of pembrolizumab 100 mg concentrated injection as a new form, under the same conditions, and at the same price per m</w:t>
            </w:r>
            <w:r w:rsidR="00A055B5">
              <w:rPr>
                <w:rFonts w:ascii="Arial" w:hAnsi="Arial" w:cs="Arial"/>
                <w:bCs/>
                <w:snapToGrid w:val="0"/>
              </w:rPr>
              <w:t>illi</w:t>
            </w:r>
            <w:r w:rsidRPr="00C0651F">
              <w:rPr>
                <w:rFonts w:ascii="Arial" w:hAnsi="Arial" w:cs="Arial"/>
                <w:bCs/>
                <w:snapToGrid w:val="0"/>
              </w:rPr>
              <w:t>g</w:t>
            </w:r>
            <w:r w:rsidR="00A055B5">
              <w:rPr>
                <w:rFonts w:ascii="Arial" w:hAnsi="Arial" w:cs="Arial"/>
                <w:bCs/>
                <w:snapToGrid w:val="0"/>
              </w:rPr>
              <w:t>ram</w:t>
            </w:r>
            <w:r w:rsidRPr="00C0651F">
              <w:rPr>
                <w:rFonts w:ascii="Arial" w:hAnsi="Arial" w:cs="Arial"/>
                <w:bCs/>
                <w:snapToGrid w:val="0"/>
              </w:rPr>
              <w:t>, as the current PBS-listed pembrolizumab 50 mg powder for infusion for the treatment of metastatic melanoma.</w:t>
            </w:r>
          </w:p>
          <w:p w:rsidR="00AD4A59" w:rsidRPr="00C0651F" w:rsidRDefault="00AD4A59" w:rsidP="00FC45F0">
            <w:pPr>
              <w:jc w:val="both"/>
              <w:rPr>
                <w:rFonts w:ascii="Arial" w:hAnsi="Arial" w:cs="Arial"/>
              </w:rPr>
            </w:pPr>
          </w:p>
        </w:tc>
      </w:tr>
      <w:tr w:rsidR="00AD4A59" w:rsidRPr="00B222E4"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SALBUTAMOL</w:t>
            </w:r>
          </w:p>
          <w:p w:rsidR="00AD4A59" w:rsidRDefault="00AD4A59" w:rsidP="00FC45F0">
            <w:pPr>
              <w:rPr>
                <w:rFonts w:ascii="Arial" w:hAnsi="Arial" w:cs="Arial"/>
                <w:color w:val="000000"/>
              </w:rPr>
            </w:pPr>
          </w:p>
          <w:p w:rsidR="00AD4A59" w:rsidRPr="006A7403" w:rsidRDefault="00AD4A59" w:rsidP="00FC45F0">
            <w:pPr>
              <w:rPr>
                <w:rFonts w:ascii="Arial" w:hAnsi="Arial" w:cs="Arial"/>
                <w:color w:val="000000"/>
              </w:rPr>
            </w:pPr>
            <w:r>
              <w:rPr>
                <w:rFonts w:ascii="Arial" w:hAnsi="Arial" w:cs="Arial"/>
                <w:color w:val="000000"/>
              </w:rPr>
              <w:t>N</w:t>
            </w:r>
            <w:r w:rsidRPr="006A7403">
              <w:rPr>
                <w:rFonts w:ascii="Arial" w:hAnsi="Arial" w:cs="Arial"/>
                <w:color w:val="000000"/>
              </w:rPr>
              <w:t>ebuliser solution 2.5 mg (as sulfate) in 2.5 mL single dose units, 20</w:t>
            </w:r>
          </w:p>
          <w:p w:rsidR="00AD4A59" w:rsidRDefault="00AD4A59" w:rsidP="00FC45F0">
            <w:pPr>
              <w:rPr>
                <w:rFonts w:ascii="Arial" w:hAnsi="Arial" w:cs="Arial"/>
                <w:color w:val="000000"/>
              </w:rPr>
            </w:pPr>
            <w:r>
              <w:rPr>
                <w:rFonts w:ascii="Arial" w:hAnsi="Arial" w:cs="Arial"/>
                <w:color w:val="000000"/>
              </w:rPr>
              <w:t>N</w:t>
            </w:r>
            <w:r w:rsidRPr="006A7403">
              <w:rPr>
                <w:rFonts w:ascii="Arial" w:hAnsi="Arial" w:cs="Arial"/>
                <w:color w:val="000000"/>
              </w:rPr>
              <w:t>ebuliser solution 5 mg (as sulfate) in 2.5 mL single dose units, 20</w:t>
            </w:r>
          </w:p>
          <w:p w:rsidR="00AD4A59" w:rsidRDefault="00AD4A59" w:rsidP="00FC45F0">
            <w:pPr>
              <w:rPr>
                <w:rFonts w:ascii="Arial" w:hAnsi="Arial" w:cs="Arial"/>
                <w:color w:val="000000"/>
              </w:rPr>
            </w:pPr>
          </w:p>
          <w:p w:rsidR="00AD4A59" w:rsidRDefault="00AD4A59" w:rsidP="00FC45F0">
            <w:pPr>
              <w:rPr>
                <w:rFonts w:ascii="Arial" w:hAnsi="Arial" w:cs="Arial"/>
                <w:color w:val="000000"/>
              </w:rPr>
            </w:pPr>
            <w:r w:rsidRPr="006A7403">
              <w:rPr>
                <w:rFonts w:ascii="Arial" w:hAnsi="Arial" w:cs="Arial"/>
                <w:color w:val="000000"/>
              </w:rPr>
              <w:t>Ventolin Nebules®</w:t>
            </w:r>
          </w:p>
          <w:p w:rsidR="00AD4A59" w:rsidRDefault="00AD4A59" w:rsidP="00FC45F0">
            <w:pPr>
              <w:rPr>
                <w:rFonts w:ascii="Arial" w:hAnsi="Arial" w:cs="Arial"/>
                <w:color w:val="000000"/>
              </w:rPr>
            </w:pPr>
          </w:p>
          <w:p w:rsidR="00AD4A59" w:rsidRDefault="00AD4A59" w:rsidP="00FC45F0">
            <w:pPr>
              <w:rPr>
                <w:rFonts w:ascii="Arial" w:hAnsi="Arial" w:cs="Arial"/>
                <w:color w:val="000000"/>
              </w:rPr>
            </w:pPr>
            <w:r w:rsidRPr="006A7403">
              <w:rPr>
                <w:rFonts w:ascii="Arial" w:hAnsi="Arial" w:cs="Arial"/>
                <w:color w:val="000000"/>
              </w:rPr>
              <w:t>GlaxoSmithKline Australia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Change to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Asthma</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both"/>
              <w:rPr>
                <w:rFonts w:ascii="Arial" w:hAnsi="Arial" w:cs="Arial"/>
                <w:color w:val="000000"/>
              </w:rPr>
            </w:pPr>
            <w:r>
              <w:rPr>
                <w:rFonts w:ascii="Arial" w:hAnsi="Arial" w:cs="Arial"/>
                <w:color w:val="000000"/>
              </w:rPr>
              <w:t>To request a change to the pack size.</w:t>
            </w:r>
          </w:p>
        </w:tc>
        <w:tc>
          <w:tcPr>
            <w:tcW w:w="5562" w:type="dxa"/>
            <w:tcBorders>
              <w:top w:val="single" w:sz="4" w:space="0" w:color="auto"/>
              <w:left w:val="single" w:sz="4" w:space="0" w:color="auto"/>
              <w:bottom w:val="single" w:sz="4" w:space="0" w:color="auto"/>
              <w:right w:val="single" w:sz="4" w:space="0" w:color="auto"/>
            </w:tcBorders>
          </w:tcPr>
          <w:p w:rsidR="00AD4A59" w:rsidRPr="00C0651F" w:rsidRDefault="00B222E4" w:rsidP="009A2445">
            <w:pPr>
              <w:jc w:val="both"/>
              <w:rPr>
                <w:rFonts w:ascii="Arial" w:hAnsi="Arial" w:cs="Arial"/>
                <w:color w:val="000000"/>
              </w:rPr>
            </w:pPr>
            <w:r w:rsidRPr="00C0651F">
              <w:rPr>
                <w:rFonts w:ascii="Arial" w:hAnsi="Arial" w:cs="Arial"/>
                <w:color w:val="000000"/>
              </w:rPr>
              <w:t xml:space="preserve">The PBAC recommended </w:t>
            </w:r>
            <w:r w:rsidR="00FC45F0">
              <w:rPr>
                <w:rFonts w:ascii="Arial" w:hAnsi="Arial" w:cs="Arial"/>
                <w:color w:val="000000"/>
              </w:rPr>
              <w:t>a</w:t>
            </w:r>
            <w:r w:rsidR="00FC45F0" w:rsidRPr="00C0651F">
              <w:rPr>
                <w:rFonts w:ascii="Arial" w:hAnsi="Arial" w:cs="Arial"/>
                <w:color w:val="000000"/>
              </w:rPr>
              <w:t xml:space="preserve"> </w:t>
            </w:r>
            <w:r w:rsidRPr="00C0651F">
              <w:rPr>
                <w:rFonts w:ascii="Arial" w:hAnsi="Arial" w:cs="Arial"/>
                <w:color w:val="000000"/>
              </w:rPr>
              <w:t xml:space="preserve">change to the current general schedule listing of Ventolin Nebules® </w:t>
            </w:r>
            <w:r w:rsidR="00FC45F0">
              <w:rPr>
                <w:rFonts w:ascii="Arial" w:hAnsi="Arial" w:cs="Arial"/>
                <w:color w:val="000000"/>
              </w:rPr>
              <w:t>to</w:t>
            </w:r>
            <w:r w:rsidR="00FC45F0" w:rsidRPr="00C0651F">
              <w:rPr>
                <w:rFonts w:ascii="Arial" w:hAnsi="Arial" w:cs="Arial"/>
                <w:color w:val="000000"/>
              </w:rPr>
              <w:t xml:space="preserve"> </w:t>
            </w:r>
            <w:r w:rsidRPr="00C0651F">
              <w:rPr>
                <w:rFonts w:ascii="Arial" w:hAnsi="Arial" w:cs="Arial"/>
                <w:color w:val="000000"/>
              </w:rPr>
              <w:t>decreas</w:t>
            </w:r>
            <w:r w:rsidR="00FC45F0">
              <w:rPr>
                <w:rFonts w:ascii="Arial" w:hAnsi="Arial" w:cs="Arial"/>
                <w:color w:val="000000"/>
              </w:rPr>
              <w:t>e</w:t>
            </w:r>
            <w:r w:rsidRPr="00C0651F">
              <w:rPr>
                <w:rFonts w:ascii="Arial" w:hAnsi="Arial" w:cs="Arial"/>
                <w:color w:val="000000"/>
              </w:rPr>
              <w:t xml:space="preserve"> the pack size and </w:t>
            </w:r>
            <w:r w:rsidR="00FC45F0" w:rsidRPr="00C0651F">
              <w:rPr>
                <w:rFonts w:ascii="Arial" w:hAnsi="Arial" w:cs="Arial"/>
                <w:color w:val="000000"/>
              </w:rPr>
              <w:t>increas</w:t>
            </w:r>
            <w:r w:rsidR="00FC45F0">
              <w:rPr>
                <w:rFonts w:ascii="Arial" w:hAnsi="Arial" w:cs="Arial"/>
                <w:color w:val="000000"/>
              </w:rPr>
              <w:t>e</w:t>
            </w:r>
            <w:r w:rsidR="00FC45F0" w:rsidRPr="00C0651F">
              <w:rPr>
                <w:rFonts w:ascii="Arial" w:hAnsi="Arial" w:cs="Arial"/>
                <w:color w:val="000000"/>
              </w:rPr>
              <w:t xml:space="preserve"> </w:t>
            </w:r>
            <w:r w:rsidRPr="00C0651F">
              <w:rPr>
                <w:rFonts w:ascii="Arial" w:hAnsi="Arial" w:cs="Arial"/>
                <w:color w:val="000000"/>
              </w:rPr>
              <w:t>the maximum quantity, in terms of packs, maintain</w:t>
            </w:r>
            <w:r w:rsidR="009A2445">
              <w:rPr>
                <w:rFonts w:ascii="Arial" w:hAnsi="Arial" w:cs="Arial"/>
                <w:color w:val="000000"/>
              </w:rPr>
              <w:t>ing</w:t>
            </w:r>
            <w:r w:rsidRPr="00C0651F">
              <w:rPr>
                <w:rFonts w:ascii="Arial" w:hAnsi="Arial" w:cs="Arial"/>
                <w:color w:val="000000"/>
              </w:rPr>
              <w:t xml:space="preserve"> the current maximum quantity of 60</w:t>
            </w:r>
            <w:r w:rsidR="00FC45F0">
              <w:rPr>
                <w:rFonts w:ascii="Arial" w:hAnsi="Arial" w:cs="Arial"/>
                <w:color w:val="000000"/>
              </w:rPr>
              <w:t> </w:t>
            </w:r>
            <w:r w:rsidRPr="00C0651F">
              <w:rPr>
                <w:rFonts w:ascii="Arial" w:hAnsi="Arial" w:cs="Arial"/>
                <w:color w:val="000000"/>
              </w:rPr>
              <w:t xml:space="preserve">ampoules. The PBAC also recommended </w:t>
            </w:r>
            <w:r w:rsidR="00FC45F0">
              <w:rPr>
                <w:rFonts w:ascii="Arial" w:hAnsi="Arial" w:cs="Arial"/>
                <w:color w:val="000000"/>
              </w:rPr>
              <w:t>a</w:t>
            </w:r>
            <w:r w:rsidR="009A2445">
              <w:rPr>
                <w:rFonts w:ascii="Arial" w:hAnsi="Arial" w:cs="Arial"/>
                <w:color w:val="000000"/>
              </w:rPr>
              <w:t xml:space="preserve"> </w:t>
            </w:r>
            <w:r w:rsidRPr="00C0651F">
              <w:rPr>
                <w:rFonts w:ascii="Arial" w:hAnsi="Arial" w:cs="Arial"/>
                <w:color w:val="000000"/>
              </w:rPr>
              <w:t xml:space="preserve">change to the current emergency supply drug program listing of Ventolin Nebules® </w:t>
            </w:r>
            <w:r w:rsidR="00FC45F0">
              <w:rPr>
                <w:rFonts w:ascii="Arial" w:hAnsi="Arial" w:cs="Arial"/>
                <w:color w:val="000000"/>
              </w:rPr>
              <w:t xml:space="preserve">to </w:t>
            </w:r>
            <w:r w:rsidRPr="00C0651F">
              <w:rPr>
                <w:rFonts w:ascii="Arial" w:hAnsi="Arial" w:cs="Arial"/>
                <w:color w:val="000000"/>
              </w:rPr>
              <w:t>decreas</w:t>
            </w:r>
            <w:r w:rsidR="00FC45F0">
              <w:rPr>
                <w:rFonts w:ascii="Arial" w:hAnsi="Arial" w:cs="Arial"/>
                <w:color w:val="000000"/>
              </w:rPr>
              <w:t>e</w:t>
            </w:r>
            <w:r w:rsidRPr="00C0651F">
              <w:rPr>
                <w:rFonts w:ascii="Arial" w:hAnsi="Arial" w:cs="Arial"/>
                <w:color w:val="000000"/>
              </w:rPr>
              <w:t xml:space="preserve"> the pack size to 20</w:t>
            </w:r>
            <w:r w:rsidR="00FC45F0">
              <w:rPr>
                <w:rFonts w:ascii="Arial" w:hAnsi="Arial" w:cs="Arial"/>
                <w:color w:val="000000"/>
              </w:rPr>
              <w:t> </w:t>
            </w:r>
            <w:r w:rsidRPr="00C0651F">
              <w:rPr>
                <w:rFonts w:ascii="Arial" w:hAnsi="Arial" w:cs="Arial"/>
                <w:color w:val="000000"/>
              </w:rPr>
              <w:t>ampoules. The PBAC recommended that the note “Pharmaceutical benefits that have a 30 × 2 pack size and a 20 × 3 pack size are equivalent for the purposes of substitution” be added to the administrative advice of the listing</w:t>
            </w:r>
            <w:r w:rsidR="009A2445">
              <w:rPr>
                <w:rFonts w:ascii="Arial" w:hAnsi="Arial" w:cs="Arial"/>
                <w:color w:val="000000"/>
              </w:rPr>
              <w:t>.</w:t>
            </w:r>
          </w:p>
        </w:tc>
      </w:tr>
      <w:tr w:rsidR="00AD4A59"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lastRenderedPageBreak/>
              <w:t>SOFOSBUVIR with VELPATASVIR</w:t>
            </w:r>
            <w:r>
              <w:rPr>
                <w:rFonts w:ascii="Arial" w:hAnsi="Arial" w:cs="Arial"/>
                <w:color w:val="000000"/>
              </w:rPr>
              <w:br/>
            </w:r>
            <w:r>
              <w:rPr>
                <w:rFonts w:ascii="Arial" w:hAnsi="Arial" w:cs="Arial"/>
                <w:color w:val="000000"/>
              </w:rPr>
              <w:br/>
              <w:t>Tablet containing 400 mg sofosbuvir with 100 mg velpatasvir</w:t>
            </w:r>
            <w:r>
              <w:rPr>
                <w:rFonts w:ascii="Arial" w:hAnsi="Arial" w:cs="Arial"/>
                <w:color w:val="000000"/>
              </w:rPr>
              <w:br/>
            </w:r>
            <w:r>
              <w:rPr>
                <w:rFonts w:ascii="Arial" w:hAnsi="Arial" w:cs="Arial"/>
                <w:color w:val="000000"/>
              </w:rPr>
              <w:br/>
              <w:t>Epclusa®</w:t>
            </w:r>
            <w:r>
              <w:rPr>
                <w:rFonts w:ascii="Arial" w:hAnsi="Arial" w:cs="Arial"/>
                <w:color w:val="000000"/>
              </w:rPr>
              <w:br/>
            </w:r>
            <w:r>
              <w:rPr>
                <w:rFonts w:ascii="Arial" w:hAnsi="Arial" w:cs="Arial"/>
                <w:color w:val="000000"/>
              </w:rPr>
              <w:br/>
              <w:t>Gilead Sciences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New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(Major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Chronic hepatitis C virus (HCV) infection</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both"/>
              <w:rPr>
                <w:rFonts w:ascii="Arial" w:hAnsi="Arial" w:cs="Arial"/>
                <w:color w:val="000000"/>
              </w:rPr>
            </w:pPr>
            <w:r>
              <w:rPr>
                <w:rFonts w:ascii="Arial" w:hAnsi="Arial" w:cs="Arial"/>
                <w:color w:val="000000"/>
              </w:rPr>
              <w:t>To request General Schedule and Section 100 (Highly Specialised Drugs Program) Authority Required listings for the treatment of chronic HCV infection, regardless of genotype. For patients with decompensated liver disease, the requested listing is in combination with ribavirin.</w:t>
            </w:r>
          </w:p>
        </w:tc>
        <w:tc>
          <w:tcPr>
            <w:tcW w:w="5562" w:type="dxa"/>
            <w:tcBorders>
              <w:top w:val="single" w:sz="4" w:space="0" w:color="auto"/>
              <w:left w:val="single" w:sz="4" w:space="0" w:color="auto"/>
              <w:bottom w:val="single" w:sz="4" w:space="0" w:color="auto"/>
              <w:right w:val="single" w:sz="4" w:space="0" w:color="auto"/>
            </w:tcBorders>
          </w:tcPr>
          <w:p w:rsidR="00A2722A" w:rsidRPr="00A2722A" w:rsidRDefault="00A2722A" w:rsidP="00FC45F0">
            <w:pPr>
              <w:jc w:val="both"/>
              <w:rPr>
                <w:rFonts w:ascii="Arial" w:hAnsi="Arial" w:cs="Arial"/>
              </w:rPr>
            </w:pPr>
            <w:r w:rsidRPr="00A2722A">
              <w:rPr>
                <w:rFonts w:ascii="Arial" w:hAnsi="Arial" w:cs="Arial"/>
              </w:rPr>
              <w:t xml:space="preserve">The PBAC recommended the Authority Required General Schedule and Section 100 listing of sofosbuvir with velpatasvir for the treatment of chronic </w:t>
            </w:r>
            <w:r w:rsidR="00FC45F0">
              <w:rPr>
                <w:rFonts w:ascii="Arial" w:hAnsi="Arial" w:cs="Arial"/>
              </w:rPr>
              <w:t>HCV</w:t>
            </w:r>
            <w:r w:rsidRPr="00A2722A">
              <w:rPr>
                <w:rFonts w:ascii="Arial" w:hAnsi="Arial" w:cs="Arial"/>
              </w:rPr>
              <w:t xml:space="preserve"> infection for patients with genotypes 1-6 and no cirrhosis. The PBAC also recommended the Authority Required General Schedule and Section 100 listing of sofosbuvir with velpatasvir +/- ribavirin for the treatment of chronic </w:t>
            </w:r>
            <w:r w:rsidR="00FC45F0">
              <w:rPr>
                <w:rFonts w:ascii="Arial" w:hAnsi="Arial" w:cs="Arial"/>
              </w:rPr>
              <w:t>HCV</w:t>
            </w:r>
            <w:r w:rsidRPr="00A2722A">
              <w:rPr>
                <w:rFonts w:ascii="Arial" w:hAnsi="Arial" w:cs="Arial"/>
              </w:rPr>
              <w:t xml:space="preserve"> infection for patients with genotypes 1-6 and cirrhosis.</w:t>
            </w:r>
          </w:p>
          <w:p w:rsidR="00A2722A" w:rsidRPr="00A2722A" w:rsidRDefault="00A2722A" w:rsidP="00FC45F0">
            <w:pPr>
              <w:jc w:val="both"/>
              <w:rPr>
                <w:rFonts w:ascii="Arial" w:hAnsi="Arial" w:cs="Arial"/>
              </w:rPr>
            </w:pPr>
          </w:p>
          <w:p w:rsidR="00AD4A59" w:rsidRDefault="00A2722A" w:rsidP="00FC45F0">
            <w:pPr>
              <w:jc w:val="both"/>
              <w:rPr>
                <w:rFonts w:ascii="Arial" w:hAnsi="Arial" w:cs="Arial"/>
              </w:rPr>
            </w:pPr>
            <w:r w:rsidRPr="00A2722A">
              <w:rPr>
                <w:rFonts w:ascii="Arial" w:hAnsi="Arial" w:cs="Arial"/>
              </w:rPr>
              <w:t xml:space="preserve">The PBAC’s recommendation for listing was based on, among other matters, its assessment, as described above, that the cost-effectiveness of sofosbuvir with velpatasvir +/- ribavirin would be acceptable if it were cost-minimised against the </w:t>
            </w:r>
            <w:r w:rsidR="00B26102" w:rsidRPr="00A2722A">
              <w:rPr>
                <w:rFonts w:ascii="Arial" w:hAnsi="Arial" w:cs="Arial"/>
              </w:rPr>
              <w:t>relevant</w:t>
            </w:r>
            <w:r w:rsidRPr="00A2722A">
              <w:rPr>
                <w:rFonts w:ascii="Arial" w:hAnsi="Arial" w:cs="Arial"/>
              </w:rPr>
              <w:t xml:space="preserve"> lowest priced alternative regimen in the General Statement for Drugs for the Treatment of Hepatitis C.</w:t>
            </w:r>
          </w:p>
          <w:p w:rsidR="00FC45F0" w:rsidRDefault="00FC45F0" w:rsidP="00FC45F0">
            <w:pPr>
              <w:jc w:val="both"/>
              <w:rPr>
                <w:rFonts w:ascii="Arial" w:hAnsi="Arial" w:cs="Arial"/>
              </w:rPr>
            </w:pPr>
          </w:p>
          <w:p w:rsidR="00D52810" w:rsidRPr="00C0651F" w:rsidRDefault="00D52810" w:rsidP="00E77396">
            <w:pPr>
              <w:jc w:val="both"/>
              <w:rPr>
                <w:rFonts w:ascii="Arial" w:hAnsi="Arial" w:cs="Arial"/>
              </w:rPr>
            </w:pPr>
            <w:r w:rsidRPr="00D52810">
              <w:rPr>
                <w:rFonts w:ascii="Arial" w:hAnsi="Arial" w:cs="Arial"/>
              </w:rPr>
              <w:t xml:space="preserve">The PBAC recommended that sofosbuvir/velpatasvir </w:t>
            </w:r>
            <w:r w:rsidR="00B26102">
              <w:rPr>
                <w:rFonts w:ascii="Arial" w:hAnsi="Arial" w:cs="Arial"/>
              </w:rPr>
              <w:t>fixed dose combination</w:t>
            </w:r>
            <w:r w:rsidRPr="00D52810">
              <w:rPr>
                <w:rFonts w:ascii="Arial" w:hAnsi="Arial" w:cs="Arial"/>
              </w:rPr>
              <w:t xml:space="preserve"> enter the Risk Sharing Arrangement currently in place for other drugs used for the treatment of </w:t>
            </w:r>
            <w:r w:rsidR="00B26102">
              <w:rPr>
                <w:rFonts w:ascii="Arial" w:hAnsi="Arial" w:cs="Arial"/>
                <w:color w:val="000000"/>
              </w:rPr>
              <w:t>HCV infection</w:t>
            </w:r>
            <w:r w:rsidRPr="00D52810">
              <w:rPr>
                <w:rFonts w:ascii="Arial" w:hAnsi="Arial" w:cs="Arial"/>
              </w:rPr>
              <w:t>.</w:t>
            </w:r>
          </w:p>
        </w:tc>
      </w:tr>
      <w:tr w:rsidR="00AD4A59"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SOMATROPIN</w:t>
            </w:r>
            <w:r>
              <w:rPr>
                <w:rFonts w:ascii="Arial" w:hAnsi="Arial" w:cs="Arial"/>
                <w:color w:val="000000"/>
              </w:rPr>
              <w:br/>
            </w:r>
            <w:r>
              <w:rPr>
                <w:rFonts w:ascii="Arial" w:hAnsi="Arial" w:cs="Arial"/>
                <w:color w:val="000000"/>
              </w:rPr>
              <w:br/>
              <w:t xml:space="preserve">Injection </w:t>
            </w:r>
            <w:r>
              <w:rPr>
                <w:rFonts w:ascii="Arial" w:hAnsi="Arial" w:cs="Arial"/>
                <w:color w:val="000000"/>
              </w:rPr>
              <w:br/>
              <w:t xml:space="preserve">6 mg (18 i.u.) in 1.03 mL </w:t>
            </w:r>
            <w:r>
              <w:rPr>
                <w:rFonts w:ascii="Arial" w:hAnsi="Arial" w:cs="Arial"/>
                <w:color w:val="000000"/>
              </w:rPr>
              <w:br/>
              <w:t xml:space="preserve">12 mg (36 i.u.) in 1.5 mL </w:t>
            </w:r>
            <w:r>
              <w:rPr>
                <w:rFonts w:ascii="Arial" w:hAnsi="Arial" w:cs="Arial"/>
                <w:color w:val="000000"/>
              </w:rPr>
              <w:br/>
              <w:t>20 mg (60 i.u.) in 2.5 mL</w:t>
            </w:r>
            <w:r>
              <w:rPr>
                <w:rFonts w:ascii="Arial" w:hAnsi="Arial" w:cs="Arial"/>
                <w:color w:val="000000"/>
              </w:rPr>
              <w:br/>
              <w:t>cartridge (with preservative)</w:t>
            </w:r>
            <w:r>
              <w:rPr>
                <w:rFonts w:ascii="Arial" w:hAnsi="Arial" w:cs="Arial"/>
                <w:color w:val="000000"/>
              </w:rPr>
              <w:br/>
            </w:r>
            <w:r>
              <w:rPr>
                <w:rFonts w:ascii="Arial" w:hAnsi="Arial" w:cs="Arial"/>
                <w:color w:val="000000"/>
              </w:rPr>
              <w:br/>
              <w:t>Saizen®</w:t>
            </w:r>
            <w:r>
              <w:rPr>
                <w:rFonts w:ascii="Arial" w:hAnsi="Arial" w:cs="Arial"/>
                <w:color w:val="000000"/>
              </w:rPr>
              <w:br/>
            </w:r>
            <w:r>
              <w:rPr>
                <w:rFonts w:ascii="Arial" w:hAnsi="Arial" w:cs="Arial"/>
                <w:color w:val="000000"/>
              </w:rPr>
              <w:br/>
              <w:t xml:space="preserve">Merck Serono Australia Pty Ltd </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Change to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141A5C">
            <w:pPr>
              <w:rPr>
                <w:rFonts w:ascii="Arial" w:hAnsi="Arial" w:cs="Arial"/>
                <w:color w:val="000000"/>
              </w:rPr>
            </w:pPr>
            <w:r>
              <w:rPr>
                <w:rFonts w:ascii="Arial" w:hAnsi="Arial" w:cs="Arial"/>
                <w:color w:val="000000"/>
              </w:rPr>
              <w:t>Severe growth hormone deficiency</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both"/>
              <w:rPr>
                <w:rFonts w:ascii="Arial" w:hAnsi="Arial" w:cs="Arial"/>
                <w:color w:val="000000"/>
              </w:rPr>
            </w:pPr>
            <w:r>
              <w:rPr>
                <w:rFonts w:ascii="Arial" w:hAnsi="Arial" w:cs="Arial"/>
                <w:color w:val="000000"/>
              </w:rPr>
              <w:t>To request an Authority Required listing for the treatment of growth disturbance (growth retardation) in pre-pubertal children due to chronic renal insufficiency (CRI).</w:t>
            </w:r>
          </w:p>
        </w:tc>
        <w:tc>
          <w:tcPr>
            <w:tcW w:w="5562" w:type="dxa"/>
            <w:tcBorders>
              <w:top w:val="single" w:sz="4" w:space="0" w:color="auto"/>
              <w:left w:val="single" w:sz="4" w:space="0" w:color="auto"/>
              <w:bottom w:val="single" w:sz="4" w:space="0" w:color="auto"/>
              <w:right w:val="single" w:sz="4" w:space="0" w:color="auto"/>
            </w:tcBorders>
          </w:tcPr>
          <w:p w:rsidR="003038E0" w:rsidRPr="00C0651F" w:rsidRDefault="003038E0" w:rsidP="00FC45F0">
            <w:pPr>
              <w:keepNext/>
              <w:jc w:val="both"/>
              <w:rPr>
                <w:rFonts w:ascii="Arial" w:hAnsi="Arial" w:cs="Arial"/>
                <w:bCs/>
                <w:lang w:val="en-GB"/>
              </w:rPr>
            </w:pPr>
            <w:r w:rsidRPr="00C0651F">
              <w:rPr>
                <w:rFonts w:ascii="Arial" w:hAnsi="Arial" w:cs="Arial"/>
                <w:bCs/>
                <w:lang w:val="en-GB"/>
              </w:rPr>
              <w:t>The PBAC recommended the change to the listing of Saizen</w:t>
            </w:r>
            <w:r w:rsidRPr="00C0651F">
              <w:rPr>
                <w:rFonts w:ascii="Arial" w:hAnsi="Arial" w:cs="Arial"/>
                <w:bCs/>
                <w:vertAlign w:val="superscript"/>
                <w:lang w:val="en-GB"/>
              </w:rPr>
              <w:t>®</w:t>
            </w:r>
            <w:r w:rsidRPr="00C0651F">
              <w:rPr>
                <w:rFonts w:ascii="Arial" w:hAnsi="Arial" w:cs="Arial"/>
                <w:bCs/>
                <w:lang w:val="en-GB"/>
              </w:rPr>
              <w:t xml:space="preserve"> to include an </w:t>
            </w:r>
            <w:r w:rsidRPr="00C0651F">
              <w:rPr>
                <w:rFonts w:ascii="Arial" w:hAnsi="Arial" w:cs="Arial"/>
              </w:rPr>
              <w:t xml:space="preserve">Authority Required listing for the treatment of short stature associated with </w:t>
            </w:r>
            <w:r w:rsidR="00197D54">
              <w:rPr>
                <w:rFonts w:ascii="Arial" w:hAnsi="Arial" w:cs="Arial"/>
              </w:rPr>
              <w:t>CRI</w:t>
            </w:r>
            <w:r w:rsidRPr="00C0651F">
              <w:rPr>
                <w:rFonts w:ascii="Arial" w:hAnsi="Arial" w:cs="Arial"/>
                <w:bCs/>
                <w:lang w:val="en-GB"/>
              </w:rPr>
              <w:t xml:space="preserve">, on the basis that it should be available only under special arrangements under Section 100 </w:t>
            </w:r>
            <w:r w:rsidR="00197D54">
              <w:rPr>
                <w:rFonts w:ascii="Arial" w:hAnsi="Arial" w:cs="Arial"/>
                <w:bCs/>
                <w:lang w:val="en-GB"/>
              </w:rPr>
              <w:t>(</w:t>
            </w:r>
            <w:r w:rsidRPr="00C0651F">
              <w:rPr>
                <w:rFonts w:ascii="Arial" w:hAnsi="Arial" w:cs="Arial"/>
                <w:bCs/>
                <w:lang w:val="en-GB"/>
              </w:rPr>
              <w:t>Human Growth Hormone Program</w:t>
            </w:r>
            <w:r w:rsidR="00197D54">
              <w:rPr>
                <w:rFonts w:ascii="Arial" w:hAnsi="Arial" w:cs="Arial"/>
                <w:bCs/>
                <w:lang w:val="en-GB"/>
              </w:rPr>
              <w:t>)</w:t>
            </w:r>
            <w:r w:rsidRPr="00C0651F">
              <w:rPr>
                <w:rFonts w:ascii="Arial" w:hAnsi="Arial" w:cs="Arial"/>
                <w:bCs/>
                <w:lang w:val="en-GB"/>
              </w:rPr>
              <w:t>, at an equivalent price per milligram as other brands of somatropin.</w:t>
            </w:r>
          </w:p>
          <w:p w:rsidR="00AD4A59" w:rsidRPr="00C0651F" w:rsidRDefault="00AD4A59" w:rsidP="00FC45F0">
            <w:pPr>
              <w:jc w:val="both"/>
              <w:rPr>
                <w:rFonts w:ascii="Arial" w:hAnsi="Arial" w:cs="Arial"/>
              </w:rPr>
            </w:pPr>
          </w:p>
        </w:tc>
      </w:tr>
      <w:tr w:rsidR="0046765E"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46765E" w:rsidRPr="002E3A4B" w:rsidRDefault="0046765E" w:rsidP="00F4264A">
            <w:pPr>
              <w:rPr>
                <w:rFonts w:ascii="Arial" w:hAnsi="Arial" w:cs="Arial"/>
                <w:bCs/>
                <w:color w:val="000000"/>
                <w:sz w:val="22"/>
                <w:szCs w:val="22"/>
              </w:rPr>
            </w:pPr>
            <w:r w:rsidRPr="002E3A4B">
              <w:rPr>
                <w:rFonts w:ascii="Arial" w:hAnsi="Arial" w:cs="Arial"/>
                <w:bCs/>
                <w:color w:val="000000"/>
                <w:sz w:val="22"/>
                <w:szCs w:val="22"/>
              </w:rPr>
              <w:t>TENOFOVIR ALAFENAMIDE with EMTRICITABINE and RILPIVIRINE</w:t>
            </w:r>
          </w:p>
          <w:p w:rsidR="0046765E" w:rsidRPr="002E3A4B" w:rsidRDefault="0046765E" w:rsidP="00F4264A">
            <w:pPr>
              <w:rPr>
                <w:rFonts w:ascii="Arial" w:hAnsi="Arial" w:cs="Arial"/>
                <w:bCs/>
                <w:color w:val="000000"/>
                <w:sz w:val="22"/>
                <w:szCs w:val="22"/>
              </w:rPr>
            </w:pPr>
          </w:p>
          <w:p w:rsidR="0046765E" w:rsidRPr="002E3A4B" w:rsidRDefault="0046765E" w:rsidP="00F4264A">
            <w:pPr>
              <w:rPr>
                <w:rFonts w:ascii="Arial" w:hAnsi="Arial" w:cs="Arial"/>
                <w:bCs/>
                <w:color w:val="000000"/>
                <w:sz w:val="22"/>
                <w:szCs w:val="22"/>
              </w:rPr>
            </w:pPr>
            <w:r w:rsidRPr="002E3A4B">
              <w:rPr>
                <w:rFonts w:ascii="Arial" w:hAnsi="Arial" w:cs="Arial"/>
                <w:bCs/>
                <w:color w:val="000000"/>
                <w:sz w:val="22"/>
                <w:szCs w:val="22"/>
              </w:rPr>
              <w:t>tenofovir alafenamide 25 mg + emtricitabine 200 mg + rilpivirine 25 mg, tablet, 30</w:t>
            </w:r>
          </w:p>
          <w:p w:rsidR="0046765E" w:rsidRPr="002E3A4B" w:rsidRDefault="0046765E" w:rsidP="00F4264A">
            <w:pPr>
              <w:rPr>
                <w:rFonts w:ascii="Arial" w:hAnsi="Arial" w:cs="Arial"/>
                <w:bCs/>
                <w:color w:val="000000"/>
                <w:sz w:val="22"/>
                <w:szCs w:val="22"/>
              </w:rPr>
            </w:pPr>
          </w:p>
          <w:p w:rsidR="0046765E" w:rsidRPr="002E3A4B" w:rsidRDefault="0046765E" w:rsidP="00F4264A">
            <w:pPr>
              <w:rPr>
                <w:rFonts w:ascii="Arial" w:hAnsi="Arial" w:cs="Arial"/>
                <w:bCs/>
                <w:color w:val="000000"/>
                <w:sz w:val="22"/>
                <w:szCs w:val="22"/>
              </w:rPr>
            </w:pPr>
            <w:r w:rsidRPr="002E3A4B">
              <w:rPr>
                <w:rFonts w:ascii="Arial" w:hAnsi="Arial" w:cs="Arial"/>
                <w:bCs/>
                <w:color w:val="000000"/>
                <w:sz w:val="22"/>
                <w:szCs w:val="22"/>
              </w:rPr>
              <w:t>Odefsey®</w:t>
            </w:r>
          </w:p>
          <w:p w:rsidR="0046765E" w:rsidRPr="002E3A4B" w:rsidRDefault="0046765E" w:rsidP="00F4264A">
            <w:pPr>
              <w:rPr>
                <w:rFonts w:ascii="Arial" w:hAnsi="Arial" w:cs="Arial"/>
                <w:bCs/>
                <w:color w:val="000000"/>
                <w:sz w:val="22"/>
                <w:szCs w:val="22"/>
              </w:rPr>
            </w:pPr>
          </w:p>
          <w:p w:rsidR="0046765E" w:rsidRPr="002E3A4B" w:rsidRDefault="0046765E" w:rsidP="00F4264A">
            <w:pPr>
              <w:rPr>
                <w:rFonts w:ascii="Arial" w:hAnsi="Arial" w:cs="Arial"/>
                <w:bCs/>
                <w:color w:val="000000"/>
                <w:sz w:val="22"/>
                <w:szCs w:val="22"/>
              </w:rPr>
            </w:pPr>
            <w:r w:rsidRPr="002E3A4B">
              <w:rPr>
                <w:rFonts w:ascii="Arial" w:hAnsi="Arial" w:cs="Arial"/>
                <w:bCs/>
                <w:color w:val="000000"/>
                <w:sz w:val="22"/>
                <w:szCs w:val="22"/>
              </w:rPr>
              <w:t>Gilead Sciences Pty Ltd</w:t>
            </w:r>
          </w:p>
          <w:p w:rsidR="0046765E" w:rsidRPr="002E3A4B" w:rsidRDefault="0046765E" w:rsidP="00F4264A">
            <w:pPr>
              <w:rPr>
                <w:rFonts w:ascii="Arial" w:hAnsi="Arial" w:cs="Arial"/>
                <w:bCs/>
                <w:color w:val="000000"/>
                <w:sz w:val="22"/>
                <w:szCs w:val="22"/>
              </w:rPr>
            </w:pPr>
          </w:p>
          <w:p w:rsidR="0046765E" w:rsidRPr="002E3A4B" w:rsidRDefault="0046765E" w:rsidP="00F4264A">
            <w:pPr>
              <w:rPr>
                <w:rFonts w:ascii="Arial" w:hAnsi="Arial" w:cs="Arial"/>
                <w:bCs/>
                <w:color w:val="000000"/>
                <w:sz w:val="22"/>
                <w:szCs w:val="22"/>
              </w:rPr>
            </w:pPr>
            <w:r w:rsidRPr="002E3A4B">
              <w:rPr>
                <w:rFonts w:ascii="Arial" w:hAnsi="Arial" w:cs="Arial"/>
                <w:bCs/>
                <w:color w:val="000000"/>
                <w:sz w:val="22"/>
                <w:szCs w:val="22"/>
              </w:rPr>
              <w:t>New listing</w:t>
            </w:r>
          </w:p>
          <w:p w:rsidR="0046765E" w:rsidRPr="002E3A4B" w:rsidRDefault="0046765E" w:rsidP="00F4264A">
            <w:pPr>
              <w:rPr>
                <w:rFonts w:ascii="Arial" w:hAnsi="Arial" w:cs="Arial"/>
                <w:bCs/>
                <w:color w:val="000000"/>
                <w:sz w:val="22"/>
                <w:szCs w:val="22"/>
              </w:rPr>
            </w:pPr>
          </w:p>
          <w:p w:rsidR="0046765E" w:rsidRPr="002E3A4B" w:rsidRDefault="0046765E" w:rsidP="00F4264A">
            <w:pPr>
              <w:rPr>
                <w:rFonts w:ascii="Arial" w:hAnsi="Arial" w:cs="Arial"/>
                <w:bCs/>
                <w:color w:val="000000"/>
                <w:sz w:val="22"/>
                <w:szCs w:val="22"/>
              </w:rPr>
            </w:pPr>
            <w:r w:rsidRPr="002E3A4B">
              <w:rPr>
                <w:rFonts w:ascii="Arial" w:hAnsi="Arial" w:cs="Arial"/>
                <w:bCs/>
                <w:color w:val="000000"/>
                <w:sz w:val="22"/>
                <w:szCs w:val="22"/>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46765E" w:rsidRPr="002E3A4B" w:rsidRDefault="0046765E" w:rsidP="00F4264A">
            <w:pPr>
              <w:rPr>
                <w:rFonts w:ascii="Arial" w:hAnsi="Arial" w:cs="Arial"/>
                <w:bCs/>
                <w:color w:val="000000"/>
                <w:sz w:val="22"/>
                <w:szCs w:val="22"/>
              </w:rPr>
            </w:pPr>
            <w:r w:rsidRPr="002E3A4B">
              <w:rPr>
                <w:rFonts w:ascii="Arial" w:hAnsi="Arial" w:cs="Arial"/>
                <w:bCs/>
                <w:color w:val="000000"/>
                <w:sz w:val="22"/>
                <w:szCs w:val="22"/>
              </w:rPr>
              <w:lastRenderedPageBreak/>
              <w:t xml:space="preserve">Human immunodeficiency </w:t>
            </w:r>
            <w:r w:rsidRPr="002E3A4B">
              <w:rPr>
                <w:rFonts w:ascii="Arial" w:hAnsi="Arial" w:cs="Arial"/>
                <w:bCs/>
                <w:color w:val="000000"/>
                <w:sz w:val="22"/>
                <w:szCs w:val="22"/>
              </w:rPr>
              <w:lastRenderedPageBreak/>
              <w:t>virus (HIV)</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46765E" w:rsidRPr="002E3A4B" w:rsidRDefault="0046765E" w:rsidP="00F4264A">
            <w:pPr>
              <w:rPr>
                <w:rFonts w:ascii="Arial" w:hAnsi="Arial" w:cs="Arial"/>
                <w:bCs/>
                <w:color w:val="000000"/>
                <w:sz w:val="22"/>
                <w:szCs w:val="22"/>
              </w:rPr>
            </w:pPr>
            <w:r w:rsidRPr="002E3A4B">
              <w:rPr>
                <w:rFonts w:ascii="Arial" w:hAnsi="Arial" w:cs="Arial"/>
                <w:bCs/>
                <w:color w:val="000000"/>
                <w:sz w:val="22"/>
                <w:szCs w:val="22"/>
              </w:rPr>
              <w:lastRenderedPageBreak/>
              <w:t>Authority Required (STREAMLINED) listing for treatment of HIV infection.</w:t>
            </w:r>
          </w:p>
        </w:tc>
        <w:tc>
          <w:tcPr>
            <w:tcW w:w="5562" w:type="dxa"/>
            <w:tcBorders>
              <w:top w:val="single" w:sz="4" w:space="0" w:color="auto"/>
              <w:left w:val="single" w:sz="4" w:space="0" w:color="auto"/>
              <w:bottom w:val="single" w:sz="4" w:space="0" w:color="auto"/>
              <w:right w:val="single" w:sz="4" w:space="0" w:color="auto"/>
            </w:tcBorders>
          </w:tcPr>
          <w:p w:rsidR="0046765E" w:rsidRPr="002E3A4B" w:rsidRDefault="0046765E" w:rsidP="00F4264A">
            <w:pPr>
              <w:rPr>
                <w:rFonts w:ascii="Arial" w:hAnsi="Arial" w:cs="Arial"/>
                <w:bCs/>
                <w:color w:val="000000"/>
                <w:sz w:val="22"/>
                <w:szCs w:val="22"/>
              </w:rPr>
            </w:pPr>
            <w:r w:rsidRPr="002E3A4B">
              <w:rPr>
                <w:rFonts w:ascii="Arial" w:hAnsi="Arial" w:cs="Arial"/>
                <w:bCs/>
                <w:color w:val="000000"/>
                <w:sz w:val="22"/>
                <w:szCs w:val="22"/>
              </w:rPr>
              <w:t xml:space="preserve">The PBAC recommended the listing of tenofovir alafenamide with emtricitabine and rilpivirine in the </w:t>
            </w:r>
            <w:r w:rsidRPr="002E3A4B">
              <w:rPr>
                <w:rFonts w:ascii="Arial" w:hAnsi="Arial" w:cs="Arial"/>
                <w:bCs/>
                <w:color w:val="000000"/>
                <w:sz w:val="22"/>
                <w:szCs w:val="22"/>
              </w:rPr>
              <w:lastRenderedPageBreak/>
              <w:t>form tenofovir alafenamide 25 mg + emtricitabine 200 mg + rilpivirine 25 mg on a cost minimisation basis with tenofovir disoproxil fumarate with emtricitabine and rilpivirine in the form tenofovir disoproxil fumarate 300 mg + emtricitabine 200 mg + rilpivirine 25 mg.</w:t>
            </w:r>
          </w:p>
        </w:tc>
      </w:tr>
      <w:tr w:rsidR="0046765E"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46765E" w:rsidRPr="002E3A4B" w:rsidRDefault="0046765E" w:rsidP="00F4264A">
            <w:pPr>
              <w:rPr>
                <w:rFonts w:ascii="Arial" w:hAnsi="Arial" w:cs="Arial"/>
                <w:bCs/>
                <w:color w:val="000000"/>
                <w:sz w:val="22"/>
                <w:szCs w:val="22"/>
              </w:rPr>
            </w:pPr>
            <w:r w:rsidRPr="002E3A4B">
              <w:rPr>
                <w:rFonts w:ascii="Arial" w:hAnsi="Arial" w:cs="Arial"/>
                <w:bCs/>
                <w:color w:val="000000"/>
                <w:sz w:val="22"/>
                <w:szCs w:val="22"/>
              </w:rPr>
              <w:lastRenderedPageBreak/>
              <w:t>TENOFOVIR ALAFENAMIDE with EMTRICITABINE</w:t>
            </w:r>
          </w:p>
          <w:p w:rsidR="0046765E" w:rsidRPr="002E3A4B" w:rsidRDefault="0046765E" w:rsidP="00F4264A">
            <w:pPr>
              <w:rPr>
                <w:rFonts w:ascii="Arial" w:hAnsi="Arial" w:cs="Arial"/>
                <w:bCs/>
                <w:color w:val="000000"/>
                <w:sz w:val="22"/>
                <w:szCs w:val="22"/>
              </w:rPr>
            </w:pPr>
          </w:p>
          <w:p w:rsidR="0046765E" w:rsidRPr="002E3A4B" w:rsidRDefault="0046765E" w:rsidP="00F4264A">
            <w:pPr>
              <w:rPr>
                <w:rFonts w:ascii="Arial" w:hAnsi="Arial" w:cs="Arial"/>
                <w:bCs/>
                <w:color w:val="000000"/>
                <w:sz w:val="22"/>
                <w:szCs w:val="22"/>
              </w:rPr>
            </w:pPr>
            <w:r w:rsidRPr="002E3A4B">
              <w:rPr>
                <w:rFonts w:ascii="Arial" w:hAnsi="Arial" w:cs="Arial"/>
                <w:bCs/>
                <w:color w:val="000000"/>
                <w:sz w:val="22"/>
                <w:szCs w:val="22"/>
              </w:rPr>
              <w:t>tenofovir alafenamide 10 mg + emtricitabine 200 mg tablet, 30</w:t>
            </w:r>
          </w:p>
          <w:p w:rsidR="0046765E" w:rsidRPr="002E3A4B" w:rsidRDefault="0046765E" w:rsidP="00F4264A">
            <w:pPr>
              <w:rPr>
                <w:rFonts w:ascii="Arial" w:hAnsi="Arial" w:cs="Arial"/>
                <w:bCs/>
                <w:color w:val="000000"/>
                <w:sz w:val="22"/>
                <w:szCs w:val="22"/>
              </w:rPr>
            </w:pPr>
            <w:r w:rsidRPr="002E3A4B">
              <w:rPr>
                <w:rFonts w:ascii="Arial" w:hAnsi="Arial" w:cs="Arial"/>
                <w:bCs/>
                <w:color w:val="000000"/>
                <w:sz w:val="22"/>
                <w:szCs w:val="22"/>
              </w:rPr>
              <w:t>tenofovir alafenamide 25 mg + emtricitabine 200 mg tablet, 30</w:t>
            </w:r>
          </w:p>
          <w:p w:rsidR="0046765E" w:rsidRPr="002E3A4B" w:rsidRDefault="0046765E" w:rsidP="00F4264A">
            <w:pPr>
              <w:rPr>
                <w:rFonts w:ascii="Arial" w:hAnsi="Arial" w:cs="Arial"/>
                <w:bCs/>
                <w:color w:val="000000"/>
                <w:sz w:val="22"/>
                <w:szCs w:val="22"/>
              </w:rPr>
            </w:pPr>
          </w:p>
          <w:p w:rsidR="0046765E" w:rsidRPr="002E3A4B" w:rsidRDefault="0046765E" w:rsidP="00F4264A">
            <w:pPr>
              <w:rPr>
                <w:rFonts w:ascii="Arial" w:hAnsi="Arial" w:cs="Arial"/>
                <w:bCs/>
                <w:color w:val="000000"/>
                <w:sz w:val="22"/>
                <w:szCs w:val="22"/>
              </w:rPr>
            </w:pPr>
            <w:r w:rsidRPr="002E3A4B">
              <w:rPr>
                <w:rFonts w:ascii="Arial" w:hAnsi="Arial" w:cs="Arial"/>
                <w:bCs/>
                <w:color w:val="000000"/>
                <w:sz w:val="22"/>
                <w:szCs w:val="22"/>
              </w:rPr>
              <w:t>Descovy®</w:t>
            </w:r>
          </w:p>
          <w:p w:rsidR="0046765E" w:rsidRPr="002E3A4B" w:rsidRDefault="0046765E" w:rsidP="00F4264A">
            <w:pPr>
              <w:rPr>
                <w:rFonts w:ascii="Arial" w:hAnsi="Arial" w:cs="Arial"/>
                <w:bCs/>
                <w:color w:val="000000"/>
                <w:sz w:val="22"/>
                <w:szCs w:val="22"/>
              </w:rPr>
            </w:pPr>
          </w:p>
          <w:p w:rsidR="0046765E" w:rsidRPr="002E3A4B" w:rsidRDefault="0046765E" w:rsidP="00F4264A">
            <w:pPr>
              <w:rPr>
                <w:rFonts w:ascii="Arial" w:hAnsi="Arial" w:cs="Arial"/>
                <w:bCs/>
                <w:color w:val="000000"/>
                <w:sz w:val="22"/>
                <w:szCs w:val="22"/>
              </w:rPr>
            </w:pPr>
            <w:r w:rsidRPr="002E3A4B">
              <w:rPr>
                <w:rFonts w:ascii="Arial" w:hAnsi="Arial" w:cs="Arial"/>
                <w:bCs/>
                <w:color w:val="000000"/>
                <w:sz w:val="22"/>
                <w:szCs w:val="22"/>
              </w:rPr>
              <w:t>Gilead Sciences Pty Ltd</w:t>
            </w:r>
          </w:p>
          <w:p w:rsidR="0046765E" w:rsidRPr="002E3A4B" w:rsidRDefault="0046765E" w:rsidP="00F4264A">
            <w:pPr>
              <w:rPr>
                <w:rFonts w:ascii="Arial" w:hAnsi="Arial" w:cs="Arial"/>
                <w:bCs/>
                <w:color w:val="000000"/>
                <w:sz w:val="22"/>
                <w:szCs w:val="22"/>
              </w:rPr>
            </w:pPr>
          </w:p>
          <w:p w:rsidR="0046765E" w:rsidRPr="002E3A4B" w:rsidRDefault="0046765E" w:rsidP="00F4264A">
            <w:pPr>
              <w:rPr>
                <w:rFonts w:ascii="Arial" w:hAnsi="Arial" w:cs="Arial"/>
                <w:bCs/>
                <w:color w:val="000000"/>
                <w:sz w:val="22"/>
                <w:szCs w:val="22"/>
              </w:rPr>
            </w:pPr>
            <w:r w:rsidRPr="002E3A4B">
              <w:rPr>
                <w:rFonts w:ascii="Arial" w:hAnsi="Arial" w:cs="Arial"/>
                <w:bCs/>
                <w:color w:val="000000"/>
                <w:sz w:val="22"/>
                <w:szCs w:val="22"/>
              </w:rPr>
              <w:t>New listing</w:t>
            </w:r>
          </w:p>
          <w:p w:rsidR="0046765E" w:rsidRPr="002E3A4B" w:rsidRDefault="0046765E" w:rsidP="00F4264A">
            <w:pPr>
              <w:rPr>
                <w:rFonts w:ascii="Arial" w:hAnsi="Arial" w:cs="Arial"/>
                <w:bCs/>
                <w:color w:val="000000"/>
                <w:sz w:val="22"/>
                <w:szCs w:val="22"/>
              </w:rPr>
            </w:pPr>
          </w:p>
          <w:p w:rsidR="0046765E" w:rsidRPr="002E3A4B" w:rsidRDefault="0046765E" w:rsidP="00F4264A">
            <w:pPr>
              <w:rPr>
                <w:rFonts w:ascii="Arial" w:hAnsi="Arial" w:cs="Arial"/>
                <w:bCs/>
                <w:color w:val="000000"/>
                <w:sz w:val="22"/>
                <w:szCs w:val="22"/>
              </w:rPr>
            </w:pPr>
            <w:r w:rsidRPr="002E3A4B">
              <w:rPr>
                <w:rFonts w:ascii="Arial" w:hAnsi="Arial" w:cs="Arial"/>
                <w:bCs/>
                <w:color w:val="000000"/>
                <w:sz w:val="22"/>
                <w:szCs w:val="22"/>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46765E" w:rsidRPr="002E3A4B" w:rsidRDefault="0046765E" w:rsidP="00F4264A">
            <w:pPr>
              <w:rPr>
                <w:rFonts w:ascii="Arial" w:hAnsi="Arial" w:cs="Arial"/>
                <w:bCs/>
                <w:color w:val="000000"/>
                <w:sz w:val="22"/>
                <w:szCs w:val="22"/>
              </w:rPr>
            </w:pPr>
            <w:r w:rsidRPr="002E3A4B">
              <w:rPr>
                <w:rFonts w:ascii="Arial" w:hAnsi="Arial" w:cs="Arial"/>
                <w:bCs/>
                <w:color w:val="000000"/>
                <w:sz w:val="22"/>
                <w:szCs w:val="22"/>
              </w:rPr>
              <w:t>Human immunodeficiency virus (HIV)</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46765E" w:rsidRPr="002E3A4B" w:rsidRDefault="0046765E" w:rsidP="00F4264A">
            <w:pPr>
              <w:rPr>
                <w:rFonts w:ascii="Arial" w:hAnsi="Arial" w:cs="Arial"/>
                <w:bCs/>
                <w:color w:val="000000"/>
                <w:sz w:val="22"/>
                <w:szCs w:val="22"/>
              </w:rPr>
            </w:pPr>
            <w:r w:rsidRPr="002E3A4B">
              <w:rPr>
                <w:rFonts w:ascii="Arial" w:hAnsi="Arial" w:cs="Arial"/>
                <w:bCs/>
                <w:color w:val="000000"/>
                <w:sz w:val="22"/>
                <w:szCs w:val="22"/>
              </w:rPr>
              <w:t>Authority Required (STREAMLINED) listing for treatment of HIV infection.</w:t>
            </w:r>
          </w:p>
        </w:tc>
        <w:tc>
          <w:tcPr>
            <w:tcW w:w="5562" w:type="dxa"/>
            <w:tcBorders>
              <w:top w:val="single" w:sz="4" w:space="0" w:color="auto"/>
              <w:left w:val="single" w:sz="4" w:space="0" w:color="auto"/>
              <w:bottom w:val="single" w:sz="4" w:space="0" w:color="auto"/>
              <w:right w:val="single" w:sz="4" w:space="0" w:color="auto"/>
            </w:tcBorders>
          </w:tcPr>
          <w:p w:rsidR="0046765E" w:rsidRPr="002E3A4B" w:rsidRDefault="0046765E" w:rsidP="00F4264A">
            <w:pPr>
              <w:rPr>
                <w:rFonts w:ascii="Arial" w:hAnsi="Arial" w:cs="Arial"/>
                <w:bCs/>
                <w:color w:val="000000"/>
                <w:sz w:val="22"/>
                <w:szCs w:val="22"/>
              </w:rPr>
            </w:pPr>
            <w:r w:rsidRPr="002E3A4B">
              <w:rPr>
                <w:rFonts w:ascii="Arial" w:hAnsi="Arial" w:cs="Arial"/>
                <w:bCs/>
                <w:color w:val="000000"/>
                <w:sz w:val="22"/>
                <w:szCs w:val="22"/>
              </w:rPr>
              <w:t>The PBAC recommended the listing of tenofovir alafenamide with emtricitabine in the forms tenofovir alafenamide 10 mg + emtricitabine 200 mg and tenofovir alafenamide 25 mg + emtricitabine 200 mg on a cost minimisation basis with tenofovir disoproxil fumarate 300 mg + emtricitabine 200 mg</w:t>
            </w:r>
            <w:r>
              <w:rPr>
                <w:rFonts w:ascii="Arial" w:hAnsi="Arial" w:cs="Arial"/>
                <w:bCs/>
                <w:color w:val="000000"/>
                <w:sz w:val="22"/>
                <w:szCs w:val="22"/>
              </w:rPr>
              <w:t>.</w:t>
            </w:r>
          </w:p>
        </w:tc>
      </w:tr>
      <w:tr w:rsidR="00AD4A59" w:rsidRPr="0026373B"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t>TRIGLYCERIDES MEDIUM CHAIN FORMULA</w:t>
            </w:r>
            <w:r>
              <w:rPr>
                <w:rFonts w:ascii="Arial" w:hAnsi="Arial" w:cs="Arial"/>
                <w:color w:val="000000"/>
              </w:rPr>
              <w:br/>
            </w:r>
            <w:r>
              <w:rPr>
                <w:rFonts w:ascii="Arial" w:hAnsi="Arial" w:cs="Arial"/>
                <w:color w:val="000000"/>
              </w:rPr>
              <w:br/>
              <w:t>Oral liquid solution, 500mL</w:t>
            </w:r>
            <w:r>
              <w:rPr>
                <w:rFonts w:ascii="Arial" w:hAnsi="Arial" w:cs="Arial"/>
                <w:color w:val="000000"/>
              </w:rPr>
              <w:br/>
            </w:r>
            <w:r>
              <w:rPr>
                <w:rFonts w:ascii="Arial" w:hAnsi="Arial" w:cs="Arial"/>
                <w:color w:val="000000"/>
              </w:rPr>
              <w:br/>
              <w:t xml:space="preserve">Nutrini Peptisorb Energy </w:t>
            </w:r>
            <w:r>
              <w:rPr>
                <w:rFonts w:ascii="Arial" w:hAnsi="Arial" w:cs="Arial"/>
                <w:color w:val="000000"/>
              </w:rPr>
              <w:br/>
            </w:r>
            <w:r>
              <w:rPr>
                <w:rFonts w:ascii="Arial" w:hAnsi="Arial" w:cs="Arial"/>
                <w:color w:val="000000"/>
              </w:rPr>
              <w:br/>
              <w:t>Nutricia Australia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New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141A5C">
            <w:pPr>
              <w:rPr>
                <w:rFonts w:ascii="Arial" w:hAnsi="Arial" w:cs="Arial"/>
                <w:color w:val="000000"/>
              </w:rPr>
            </w:pPr>
            <w:r>
              <w:rPr>
                <w:rFonts w:ascii="Arial" w:hAnsi="Arial" w:cs="Arial"/>
                <w:color w:val="000000"/>
              </w:rPr>
              <w:lastRenderedPageBreak/>
              <w:t>Dietary management of conditions requiring a source of medium chain triglycerides</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both"/>
              <w:rPr>
                <w:rFonts w:ascii="Arial" w:hAnsi="Arial" w:cs="Arial"/>
                <w:color w:val="000000"/>
              </w:rPr>
            </w:pPr>
            <w:r>
              <w:rPr>
                <w:rFonts w:ascii="Arial" w:hAnsi="Arial" w:cs="Arial"/>
                <w:color w:val="000000"/>
              </w:rPr>
              <w:t>To request a Restricted Benefit listing for dietary management of conditions requiring a source of medium chain triglycerides.</w:t>
            </w:r>
          </w:p>
        </w:tc>
        <w:tc>
          <w:tcPr>
            <w:tcW w:w="5562" w:type="dxa"/>
            <w:tcBorders>
              <w:top w:val="single" w:sz="4" w:space="0" w:color="auto"/>
              <w:left w:val="single" w:sz="4" w:space="0" w:color="auto"/>
              <w:bottom w:val="single" w:sz="4" w:space="0" w:color="auto"/>
              <w:right w:val="single" w:sz="4" w:space="0" w:color="auto"/>
            </w:tcBorders>
          </w:tcPr>
          <w:p w:rsidR="0026373B" w:rsidRPr="00C0651F" w:rsidRDefault="0026373B" w:rsidP="00FC45F0">
            <w:pPr>
              <w:jc w:val="both"/>
              <w:rPr>
                <w:rFonts w:ascii="Arial" w:hAnsi="Arial" w:cs="Arial"/>
                <w:color w:val="000000"/>
              </w:rPr>
            </w:pPr>
            <w:r w:rsidRPr="00C0651F">
              <w:rPr>
                <w:rFonts w:ascii="Arial" w:hAnsi="Arial" w:cs="Arial"/>
                <w:color w:val="000000"/>
              </w:rPr>
              <w:t>The PBAC recommended the listing of Nutrini Peptisorb Energy as a Restricted Benefit for the dietary management of conditions requiring a source of medium chain triglycerides for patients aged 1-10 years old on a cost minimisation basis against Peptamen Junior at an equivalent price per kilojoule of energy.</w:t>
            </w:r>
          </w:p>
          <w:p w:rsidR="00AD4A59" w:rsidRPr="00C0651F" w:rsidRDefault="00AD4A59" w:rsidP="00FC45F0">
            <w:pPr>
              <w:jc w:val="both"/>
              <w:rPr>
                <w:rFonts w:ascii="Arial" w:hAnsi="Arial" w:cs="Arial"/>
                <w:color w:val="000000"/>
              </w:rPr>
            </w:pPr>
          </w:p>
        </w:tc>
      </w:tr>
      <w:tr w:rsidR="00AD4A59" w:rsidRPr="00767E3C" w:rsidTr="007F319C">
        <w:trPr>
          <w:trHeight w:val="430"/>
        </w:trPr>
        <w:tc>
          <w:tcPr>
            <w:tcW w:w="3799"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rPr>
                <w:rFonts w:ascii="Arial" w:hAnsi="Arial" w:cs="Arial"/>
                <w:color w:val="000000"/>
              </w:rPr>
            </w:pPr>
            <w:r>
              <w:rPr>
                <w:rFonts w:ascii="Arial" w:hAnsi="Arial" w:cs="Arial"/>
                <w:color w:val="000000"/>
              </w:rPr>
              <w:lastRenderedPageBreak/>
              <w:t>VARENICLINE</w:t>
            </w:r>
            <w:r>
              <w:rPr>
                <w:rFonts w:ascii="Arial" w:hAnsi="Arial" w:cs="Arial"/>
                <w:color w:val="000000"/>
              </w:rPr>
              <w:br/>
            </w:r>
            <w:r>
              <w:rPr>
                <w:rFonts w:ascii="Arial" w:hAnsi="Arial" w:cs="Arial"/>
                <w:color w:val="000000"/>
              </w:rPr>
              <w:br/>
              <w:t>Box containing 11 tablets 0.5 mg (as tartrate) and 14 tablets 1 mg (as tartrate) in the first pack and 28 tablets 1 mg (as tartrate) in the second pack</w:t>
            </w:r>
            <w:r>
              <w:rPr>
                <w:rFonts w:ascii="Arial" w:hAnsi="Arial" w:cs="Arial"/>
                <w:color w:val="000000"/>
              </w:rPr>
              <w:br/>
              <w:t>Tablet 1 mg (as tartrate)</w:t>
            </w:r>
            <w:r>
              <w:rPr>
                <w:rFonts w:ascii="Arial" w:hAnsi="Arial" w:cs="Arial"/>
                <w:color w:val="000000"/>
              </w:rPr>
              <w:br/>
            </w:r>
            <w:r>
              <w:rPr>
                <w:rFonts w:ascii="Arial" w:hAnsi="Arial" w:cs="Arial"/>
                <w:color w:val="000000"/>
              </w:rPr>
              <w:br/>
              <w:t>Champix®</w:t>
            </w:r>
            <w:r>
              <w:rPr>
                <w:rFonts w:ascii="Arial" w:hAnsi="Arial" w:cs="Arial"/>
                <w:color w:val="000000"/>
              </w:rPr>
              <w:br/>
            </w:r>
            <w:r>
              <w:rPr>
                <w:rFonts w:ascii="Arial" w:hAnsi="Arial" w:cs="Arial"/>
                <w:color w:val="000000"/>
              </w:rPr>
              <w:br/>
              <w:t>Pfizer Australia Pty Ltd</w:t>
            </w:r>
          </w:p>
          <w:p w:rsidR="003C796F" w:rsidRDefault="003C796F" w:rsidP="00FC45F0">
            <w:pPr>
              <w:rPr>
                <w:rFonts w:ascii="Arial" w:hAnsi="Arial" w:cs="Arial"/>
                <w:color w:val="000000"/>
              </w:rPr>
            </w:pPr>
          </w:p>
          <w:p w:rsidR="005B2F75" w:rsidRDefault="005B2F75" w:rsidP="00FC45F0">
            <w:pPr>
              <w:rPr>
                <w:rFonts w:ascii="Arial" w:hAnsi="Arial" w:cs="Arial"/>
                <w:color w:val="000000"/>
              </w:rPr>
            </w:pPr>
            <w:r>
              <w:rPr>
                <w:rFonts w:ascii="Arial" w:hAnsi="Arial" w:cs="Arial"/>
                <w:color w:val="000000"/>
              </w:rPr>
              <w:t>Change to listing</w:t>
            </w:r>
          </w:p>
          <w:p w:rsidR="005B2F75" w:rsidRDefault="005B2F75" w:rsidP="00FC45F0">
            <w:pPr>
              <w:rPr>
                <w:rFonts w:ascii="Arial" w:hAnsi="Arial" w:cs="Arial"/>
                <w:color w:val="000000"/>
              </w:rPr>
            </w:pPr>
          </w:p>
          <w:p w:rsidR="003C796F" w:rsidRDefault="003C796F" w:rsidP="00FC45F0">
            <w:pPr>
              <w:rPr>
                <w:rFonts w:ascii="Arial" w:hAnsi="Arial" w:cs="Arial"/>
                <w:color w:val="000000"/>
              </w:rPr>
            </w:pPr>
            <w:r>
              <w:rPr>
                <w:rFonts w:ascii="Arial" w:hAnsi="Arial" w:cs="Arial"/>
                <w:color w:val="000000"/>
              </w:rPr>
              <w:t>(Minor submission)</w:t>
            </w:r>
          </w:p>
        </w:tc>
        <w:tc>
          <w:tcPr>
            <w:tcW w:w="2005"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807C89">
            <w:pPr>
              <w:rPr>
                <w:rFonts w:ascii="Arial" w:hAnsi="Arial" w:cs="Arial"/>
                <w:color w:val="000000"/>
              </w:rPr>
            </w:pPr>
            <w:r>
              <w:rPr>
                <w:rFonts w:ascii="Arial" w:hAnsi="Arial" w:cs="Arial"/>
                <w:color w:val="000000"/>
              </w:rPr>
              <w:t>Nicotine dependence</w:t>
            </w:r>
          </w:p>
        </w:tc>
        <w:tc>
          <w:tcPr>
            <w:tcW w:w="4248" w:type="dxa"/>
            <w:tcBorders>
              <w:top w:val="single" w:sz="4" w:space="0" w:color="auto"/>
              <w:left w:val="single" w:sz="4" w:space="0" w:color="auto"/>
              <w:bottom w:val="single" w:sz="4" w:space="0" w:color="auto"/>
              <w:right w:val="single" w:sz="4" w:space="0" w:color="auto"/>
            </w:tcBorders>
            <w:tcMar>
              <w:top w:w="28" w:type="dxa"/>
              <w:bottom w:w="28" w:type="dxa"/>
            </w:tcMar>
          </w:tcPr>
          <w:p w:rsidR="00AD4A59" w:rsidRDefault="00AD4A59" w:rsidP="00FC45F0">
            <w:pPr>
              <w:jc w:val="both"/>
              <w:rPr>
                <w:rFonts w:ascii="Arial" w:hAnsi="Arial" w:cs="Arial"/>
                <w:color w:val="000000"/>
              </w:rPr>
            </w:pPr>
            <w:r>
              <w:rPr>
                <w:rFonts w:ascii="Arial" w:hAnsi="Arial" w:cs="Arial"/>
                <w:color w:val="000000"/>
              </w:rPr>
              <w:t>To request the current Authority Required listing be changed to Authority Required (STREAMLINED).</w:t>
            </w:r>
          </w:p>
        </w:tc>
        <w:tc>
          <w:tcPr>
            <w:tcW w:w="5562" w:type="dxa"/>
            <w:tcBorders>
              <w:top w:val="single" w:sz="4" w:space="0" w:color="auto"/>
              <w:left w:val="single" w:sz="4" w:space="0" w:color="auto"/>
              <w:bottom w:val="single" w:sz="4" w:space="0" w:color="auto"/>
              <w:right w:val="single" w:sz="4" w:space="0" w:color="auto"/>
            </w:tcBorders>
          </w:tcPr>
          <w:p w:rsidR="007574B5" w:rsidRPr="00C0651F" w:rsidRDefault="007574B5" w:rsidP="00807C89">
            <w:pPr>
              <w:jc w:val="both"/>
              <w:rPr>
                <w:rFonts w:ascii="Arial" w:hAnsi="Arial" w:cs="Arial"/>
                <w:color w:val="000000"/>
              </w:rPr>
            </w:pPr>
            <w:r w:rsidRPr="00C0651F">
              <w:rPr>
                <w:rFonts w:ascii="Arial" w:hAnsi="Arial" w:cs="Arial"/>
                <w:color w:val="000000"/>
              </w:rPr>
              <w:t xml:space="preserve">The PBAC recommended amending the listings of varenicline from Authority Required to Authority Required (STREAMLINED). The PBAC reaffirmed its previous </w:t>
            </w:r>
            <w:r w:rsidR="00D477E8">
              <w:rPr>
                <w:rFonts w:ascii="Arial" w:hAnsi="Arial" w:cs="Arial"/>
                <w:color w:val="000000"/>
              </w:rPr>
              <w:t>consideration</w:t>
            </w:r>
            <w:r w:rsidR="00D477E8" w:rsidRPr="00C0651F">
              <w:rPr>
                <w:rFonts w:ascii="Arial" w:hAnsi="Arial" w:cs="Arial"/>
                <w:color w:val="000000"/>
              </w:rPr>
              <w:t xml:space="preserve"> </w:t>
            </w:r>
            <w:r w:rsidRPr="00C0651F">
              <w:rPr>
                <w:rFonts w:ascii="Arial" w:hAnsi="Arial" w:cs="Arial"/>
                <w:color w:val="000000"/>
              </w:rPr>
              <w:t xml:space="preserve">that varenicline is superior to bupropion, nicotine replacement therapy (NRT) and placebo </w:t>
            </w:r>
            <w:r w:rsidR="00D477E8">
              <w:rPr>
                <w:rFonts w:ascii="Arial" w:hAnsi="Arial" w:cs="Arial"/>
                <w:color w:val="000000"/>
              </w:rPr>
              <w:t>w</w:t>
            </w:r>
            <w:r w:rsidR="00155655">
              <w:rPr>
                <w:rFonts w:ascii="Arial" w:hAnsi="Arial" w:cs="Arial"/>
                <w:color w:val="000000"/>
              </w:rPr>
              <w:t>ith regard</w:t>
            </w:r>
            <w:r w:rsidR="00D477E8">
              <w:rPr>
                <w:rFonts w:ascii="Arial" w:hAnsi="Arial" w:cs="Arial"/>
                <w:color w:val="000000"/>
              </w:rPr>
              <w:t xml:space="preserve"> to</w:t>
            </w:r>
            <w:r w:rsidR="00D477E8" w:rsidRPr="00C0651F">
              <w:rPr>
                <w:rFonts w:ascii="Arial" w:hAnsi="Arial" w:cs="Arial"/>
                <w:color w:val="000000"/>
              </w:rPr>
              <w:t xml:space="preserve"> </w:t>
            </w:r>
            <w:r w:rsidRPr="00C0651F">
              <w:rPr>
                <w:rFonts w:ascii="Arial" w:hAnsi="Arial" w:cs="Arial"/>
                <w:color w:val="000000"/>
              </w:rPr>
              <w:t>comparative efficacy.</w:t>
            </w:r>
            <w:r w:rsidR="00D477E8">
              <w:rPr>
                <w:rFonts w:ascii="Arial" w:hAnsi="Arial" w:cs="Arial"/>
                <w:color w:val="000000"/>
              </w:rPr>
              <w:t xml:space="preserve"> </w:t>
            </w:r>
            <w:r w:rsidRPr="00C0651F">
              <w:rPr>
                <w:rFonts w:ascii="Arial" w:hAnsi="Arial" w:cs="Arial"/>
                <w:color w:val="000000"/>
              </w:rPr>
              <w:t>The PBAC considered that varenicline may be non-inferior to NRT and placebo with regards to comparative safety.</w:t>
            </w:r>
          </w:p>
          <w:p w:rsidR="007574B5" w:rsidRPr="00C0651F" w:rsidRDefault="007574B5" w:rsidP="00FC45F0">
            <w:pPr>
              <w:jc w:val="both"/>
              <w:rPr>
                <w:rFonts w:ascii="Arial" w:hAnsi="Arial" w:cs="Arial"/>
                <w:color w:val="000000"/>
              </w:rPr>
            </w:pPr>
          </w:p>
          <w:p w:rsidR="00AD4A59" w:rsidRPr="00C0651F" w:rsidRDefault="007574B5" w:rsidP="001B0632">
            <w:pPr>
              <w:jc w:val="both"/>
              <w:rPr>
                <w:rFonts w:ascii="Arial" w:hAnsi="Arial" w:cs="Arial"/>
                <w:bCs/>
              </w:rPr>
            </w:pPr>
            <w:r w:rsidRPr="00C0651F">
              <w:rPr>
                <w:rFonts w:ascii="Arial" w:hAnsi="Arial" w:cs="Arial"/>
                <w:color w:val="000000"/>
              </w:rPr>
              <w:t xml:space="preserve">The PBAC considered that changing varenicline to a </w:t>
            </w:r>
            <w:r w:rsidR="00A81CAD">
              <w:rPr>
                <w:rFonts w:ascii="Arial" w:hAnsi="Arial" w:cs="Arial"/>
                <w:color w:val="000000"/>
              </w:rPr>
              <w:t>STREAMLINED</w:t>
            </w:r>
            <w:r w:rsidR="00A81CAD" w:rsidRPr="00C0651F">
              <w:rPr>
                <w:rFonts w:ascii="Arial" w:hAnsi="Arial" w:cs="Arial"/>
                <w:color w:val="000000"/>
              </w:rPr>
              <w:t xml:space="preserve"> </w:t>
            </w:r>
            <w:r w:rsidR="00A81CAD">
              <w:rPr>
                <w:rFonts w:ascii="Arial" w:hAnsi="Arial" w:cs="Arial"/>
                <w:color w:val="000000"/>
              </w:rPr>
              <w:t>A</w:t>
            </w:r>
            <w:r w:rsidRPr="00C0651F">
              <w:rPr>
                <w:rFonts w:ascii="Arial" w:hAnsi="Arial" w:cs="Arial"/>
                <w:color w:val="000000"/>
              </w:rPr>
              <w:t>uthority was unlikely to significantly impact the utilisation of varenicline. This conclusion was supported by the DUSC review of smoking cessation therapies that found no significant impact on utilisation trends following similar changes to bupropion and NRT listings.</w:t>
            </w:r>
          </w:p>
        </w:tc>
      </w:tr>
    </w:tbl>
    <w:p w:rsidR="00E066EF" w:rsidRPr="00767E3C" w:rsidRDefault="00E066EF" w:rsidP="00FC45F0">
      <w:pPr>
        <w:tabs>
          <w:tab w:val="left" w:pos="5210"/>
        </w:tabs>
        <w:rPr>
          <w:rFonts w:ascii="Arial" w:hAnsi="Arial" w:cs="Arial"/>
          <w:lang w:val="en-US"/>
        </w:rPr>
      </w:pPr>
    </w:p>
    <w:sectPr w:rsidR="00E066EF" w:rsidRPr="00767E3C" w:rsidSect="00CB2D1B">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7C2" w:rsidRDefault="003D17C2">
      <w:r>
        <w:separator/>
      </w:r>
    </w:p>
  </w:endnote>
  <w:endnote w:type="continuationSeparator" w:id="0">
    <w:p w:rsidR="003D17C2" w:rsidRDefault="003D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7C2" w:rsidRDefault="003D17C2"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17C2" w:rsidRDefault="003D17C2"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7C2" w:rsidRPr="00CE0CBC" w:rsidRDefault="003D17C2"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1E25B4">
      <w:rPr>
        <w:rStyle w:val="PageNumber"/>
        <w:rFonts w:ascii="Arial" w:hAnsi="Arial" w:cs="Arial"/>
        <w:noProof/>
      </w:rPr>
      <w:t>2</w:t>
    </w:r>
    <w:r w:rsidRPr="00CE0CBC">
      <w:rPr>
        <w:rStyle w:val="PageNumber"/>
        <w:rFonts w:ascii="Arial" w:hAnsi="Arial" w:cs="Arial"/>
      </w:rPr>
      <w:fldChar w:fldCharType="end"/>
    </w:r>
  </w:p>
  <w:p w:rsidR="003D17C2" w:rsidRDefault="003D17C2"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7C2" w:rsidRDefault="003D1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7C2" w:rsidRDefault="003D17C2">
      <w:r>
        <w:separator/>
      </w:r>
    </w:p>
  </w:footnote>
  <w:footnote w:type="continuationSeparator" w:id="0">
    <w:p w:rsidR="003D17C2" w:rsidRDefault="003D1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7C2" w:rsidRDefault="003D17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7C2" w:rsidRDefault="003D17C2" w:rsidP="007D408D">
    <w:pPr>
      <w:pStyle w:val="Header"/>
      <w:jc w:val="center"/>
      <w:rPr>
        <w:rFonts w:ascii="Arial" w:hAnsi="Arial" w:cs="Arial"/>
        <w:b/>
        <w:snapToGrid w:val="0"/>
        <w:lang w:eastAsia="en-US"/>
      </w:rPr>
    </w:pPr>
    <w:r>
      <w:rPr>
        <w:rFonts w:ascii="Arial" w:hAnsi="Arial" w:cs="Arial"/>
        <w:b/>
        <w:snapToGrid w:val="0"/>
        <w:lang w:eastAsia="en-US"/>
      </w:rPr>
      <w:t>NOVEMBER 2016 PBAC MEETING – POSITIVE RECOMMENDATIONS</w:t>
    </w:r>
  </w:p>
  <w:p w:rsidR="003D17C2" w:rsidRDefault="003D17C2" w:rsidP="007D408D">
    <w:pPr>
      <w:pStyle w:val="Header"/>
      <w:jc w:val="center"/>
      <w:rPr>
        <w:rFonts w:ascii="Arial" w:hAnsi="Arial" w:cs="Arial"/>
        <w:b/>
        <w:snapToGrid w:val="0"/>
        <w:lang w:eastAsia="en-US"/>
      </w:rPr>
    </w:pPr>
  </w:p>
  <w:p w:rsidR="003D17C2" w:rsidRDefault="003D17C2" w:rsidP="007D408D">
    <w:pPr>
      <w:pStyle w:val="Header"/>
      <w:jc w:val="center"/>
      <w:rPr>
        <w:rFonts w:ascii="Arial" w:hAnsi="Arial" w:cs="Arial"/>
        <w:b/>
        <w:snapToGrid w:val="0"/>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7C2" w:rsidRDefault="003D17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CF8"/>
    <w:multiLevelType w:val="multilevel"/>
    <w:tmpl w:val="9FE0FC26"/>
    <w:lvl w:ilvl="0">
      <w:start w:val="3"/>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2">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1">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BA91BE4"/>
    <w:multiLevelType w:val="hybridMultilevel"/>
    <w:tmpl w:val="F086E60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3F2FEF"/>
    <w:multiLevelType w:val="hybridMultilevel"/>
    <w:tmpl w:val="37B201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D552107"/>
    <w:multiLevelType w:val="hybridMultilevel"/>
    <w:tmpl w:val="560A2FD0"/>
    <w:lvl w:ilvl="0" w:tplc="0C090001">
      <w:start w:val="1"/>
      <w:numFmt w:val="bullet"/>
      <w:lvlText w:val=""/>
      <w:lvlJc w:val="left"/>
      <w:pPr>
        <w:ind w:left="360" w:hanging="360"/>
      </w:pPr>
      <w:rPr>
        <w:rFonts w:ascii="Symbol" w:hAnsi="Symbol" w:hint="default"/>
      </w:rPr>
    </w:lvl>
    <w:lvl w:ilvl="1" w:tplc="E3D2AE8C">
      <w:start w:val="1"/>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2E2165F"/>
    <w:multiLevelType w:val="hybridMultilevel"/>
    <w:tmpl w:val="E2940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4007BDC"/>
    <w:multiLevelType w:val="hybridMultilevel"/>
    <w:tmpl w:val="E77C4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686583B"/>
    <w:multiLevelType w:val="hybridMultilevel"/>
    <w:tmpl w:val="219CA78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C143145"/>
    <w:multiLevelType w:val="hybridMultilevel"/>
    <w:tmpl w:val="CADAB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F1E4659"/>
    <w:multiLevelType w:val="multilevel"/>
    <w:tmpl w:val="AE3CA112"/>
    <w:lvl w:ilvl="0">
      <w:start w:val="1"/>
      <w:numFmt w:val="decimal"/>
      <w:lvlText w:val="%1."/>
      <w:lvlJc w:val="left"/>
      <w:pPr>
        <w:ind w:left="720" w:hanging="360"/>
      </w:pPr>
      <w:rPr>
        <w:b/>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338278D"/>
    <w:multiLevelType w:val="hybridMultilevel"/>
    <w:tmpl w:val="31FAC2E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5FA7AFD"/>
    <w:multiLevelType w:val="hybridMultilevel"/>
    <w:tmpl w:val="023E67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42">
    <w:nsid w:val="698844A0"/>
    <w:multiLevelType w:val="multilevel"/>
    <w:tmpl w:val="04DA6A7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39"/>
  </w:num>
  <w:num w:numId="3">
    <w:abstractNumId w:val="38"/>
  </w:num>
  <w:num w:numId="4">
    <w:abstractNumId w:val="26"/>
  </w:num>
  <w:num w:numId="5">
    <w:abstractNumId w:val="18"/>
  </w:num>
  <w:num w:numId="6">
    <w:abstractNumId w:val="7"/>
  </w:num>
  <w:num w:numId="7">
    <w:abstractNumId w:val="40"/>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44"/>
  </w:num>
  <w:num w:numId="12">
    <w:abstractNumId w:val="43"/>
  </w:num>
  <w:num w:numId="13">
    <w:abstractNumId w:val="8"/>
  </w:num>
  <w:num w:numId="14">
    <w:abstractNumId w:val="28"/>
  </w:num>
  <w:num w:numId="15">
    <w:abstractNumId w:val="11"/>
  </w:num>
  <w:num w:numId="16">
    <w:abstractNumId w:val="30"/>
  </w:num>
  <w:num w:numId="17">
    <w:abstractNumId w:val="3"/>
  </w:num>
  <w:num w:numId="18">
    <w:abstractNumId w:val="4"/>
  </w:num>
  <w:num w:numId="19">
    <w:abstractNumId w:val="12"/>
  </w:num>
  <w:num w:numId="20">
    <w:abstractNumId w:val="35"/>
  </w:num>
  <w:num w:numId="21">
    <w:abstractNumId w:val="27"/>
  </w:num>
  <w:num w:numId="22">
    <w:abstractNumId w:val="34"/>
  </w:num>
  <w:num w:numId="23">
    <w:abstractNumId w:val="2"/>
  </w:num>
  <w:num w:numId="24">
    <w:abstractNumId w:val="6"/>
  </w:num>
  <w:num w:numId="25">
    <w:abstractNumId w:val="29"/>
  </w:num>
  <w:num w:numId="26">
    <w:abstractNumId w:val="41"/>
  </w:num>
  <w:num w:numId="27">
    <w:abstractNumId w:val="15"/>
  </w:num>
  <w:num w:numId="28">
    <w:abstractNumId w:val="5"/>
  </w:num>
  <w:num w:numId="29">
    <w:abstractNumId w:val="10"/>
  </w:num>
  <w:num w:numId="30">
    <w:abstractNumId w:val="13"/>
  </w:num>
  <w:num w:numId="31">
    <w:abstractNumId w:val="22"/>
  </w:num>
  <w:num w:numId="32">
    <w:abstractNumId w:val="20"/>
  </w:num>
  <w:num w:numId="33">
    <w:abstractNumId w:val="32"/>
  </w:num>
  <w:num w:numId="34">
    <w:abstractNumId w:val="42"/>
  </w:num>
  <w:num w:numId="35">
    <w:abstractNumId w:val="24"/>
  </w:num>
  <w:num w:numId="36">
    <w:abstractNumId w:val="23"/>
  </w:num>
  <w:num w:numId="37">
    <w:abstractNumId w:val="31"/>
  </w:num>
  <w:num w:numId="38">
    <w:abstractNumId w:val="14"/>
  </w:num>
  <w:num w:numId="39">
    <w:abstractNumId w:val="17"/>
  </w:num>
  <w:num w:numId="40">
    <w:abstractNumId w:val="33"/>
  </w:num>
  <w:num w:numId="41">
    <w:abstractNumId w:val="0"/>
  </w:num>
  <w:num w:numId="42">
    <w:abstractNumId w:val="37"/>
  </w:num>
  <w:num w:numId="43">
    <w:abstractNumId w:val="36"/>
  </w:num>
  <w:num w:numId="44">
    <w:abstractNumId w:val="25"/>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42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274"/>
    <w:rsid w:val="0000162D"/>
    <w:rsid w:val="000020F6"/>
    <w:rsid w:val="00002D62"/>
    <w:rsid w:val="00002E16"/>
    <w:rsid w:val="0000308D"/>
    <w:rsid w:val="000034C3"/>
    <w:rsid w:val="00003584"/>
    <w:rsid w:val="000035E1"/>
    <w:rsid w:val="00004628"/>
    <w:rsid w:val="0000462B"/>
    <w:rsid w:val="00004D33"/>
    <w:rsid w:val="00004D75"/>
    <w:rsid w:val="00004F9D"/>
    <w:rsid w:val="00005F17"/>
    <w:rsid w:val="00005FA7"/>
    <w:rsid w:val="000063DB"/>
    <w:rsid w:val="0000733C"/>
    <w:rsid w:val="000074BD"/>
    <w:rsid w:val="00007D69"/>
    <w:rsid w:val="00010886"/>
    <w:rsid w:val="00010920"/>
    <w:rsid w:val="00011242"/>
    <w:rsid w:val="0001152D"/>
    <w:rsid w:val="000118E3"/>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BE"/>
    <w:rsid w:val="00017CDE"/>
    <w:rsid w:val="00020A7A"/>
    <w:rsid w:val="0002159C"/>
    <w:rsid w:val="00022361"/>
    <w:rsid w:val="000223D3"/>
    <w:rsid w:val="00022435"/>
    <w:rsid w:val="0002265A"/>
    <w:rsid w:val="00022686"/>
    <w:rsid w:val="000228B1"/>
    <w:rsid w:val="00022DCB"/>
    <w:rsid w:val="0002300F"/>
    <w:rsid w:val="0002305C"/>
    <w:rsid w:val="00023228"/>
    <w:rsid w:val="00023817"/>
    <w:rsid w:val="0002401C"/>
    <w:rsid w:val="00024248"/>
    <w:rsid w:val="000245BC"/>
    <w:rsid w:val="0002470A"/>
    <w:rsid w:val="0002564D"/>
    <w:rsid w:val="00025967"/>
    <w:rsid w:val="00025F56"/>
    <w:rsid w:val="00026F9B"/>
    <w:rsid w:val="0002716D"/>
    <w:rsid w:val="00027346"/>
    <w:rsid w:val="000301D9"/>
    <w:rsid w:val="00030320"/>
    <w:rsid w:val="00030A76"/>
    <w:rsid w:val="00031946"/>
    <w:rsid w:val="000322EC"/>
    <w:rsid w:val="00032AB9"/>
    <w:rsid w:val="00033D0B"/>
    <w:rsid w:val="00034086"/>
    <w:rsid w:val="00034121"/>
    <w:rsid w:val="000350A9"/>
    <w:rsid w:val="00035472"/>
    <w:rsid w:val="0003621F"/>
    <w:rsid w:val="000365B0"/>
    <w:rsid w:val="00036CF7"/>
    <w:rsid w:val="00037B2C"/>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14CE"/>
    <w:rsid w:val="00071D67"/>
    <w:rsid w:val="00072584"/>
    <w:rsid w:val="0007271C"/>
    <w:rsid w:val="00072F02"/>
    <w:rsid w:val="00074126"/>
    <w:rsid w:val="00074571"/>
    <w:rsid w:val="00074D34"/>
    <w:rsid w:val="0007567B"/>
    <w:rsid w:val="00075B7E"/>
    <w:rsid w:val="00076287"/>
    <w:rsid w:val="00076297"/>
    <w:rsid w:val="00077F45"/>
    <w:rsid w:val="00080510"/>
    <w:rsid w:val="00081153"/>
    <w:rsid w:val="000812EE"/>
    <w:rsid w:val="00081DCD"/>
    <w:rsid w:val="00082053"/>
    <w:rsid w:val="00082507"/>
    <w:rsid w:val="00082CB0"/>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1B31"/>
    <w:rsid w:val="00092523"/>
    <w:rsid w:val="00093960"/>
    <w:rsid w:val="0009470A"/>
    <w:rsid w:val="00095C30"/>
    <w:rsid w:val="00096B9F"/>
    <w:rsid w:val="00096E39"/>
    <w:rsid w:val="000971C3"/>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0B19"/>
    <w:rsid w:val="000B1811"/>
    <w:rsid w:val="000B1A6E"/>
    <w:rsid w:val="000B21DD"/>
    <w:rsid w:val="000B2F97"/>
    <w:rsid w:val="000B3043"/>
    <w:rsid w:val="000B34FA"/>
    <w:rsid w:val="000B36FE"/>
    <w:rsid w:val="000B372D"/>
    <w:rsid w:val="000B38D3"/>
    <w:rsid w:val="000B5120"/>
    <w:rsid w:val="000B5B24"/>
    <w:rsid w:val="000B6487"/>
    <w:rsid w:val="000B7071"/>
    <w:rsid w:val="000B7A91"/>
    <w:rsid w:val="000B7F45"/>
    <w:rsid w:val="000C040A"/>
    <w:rsid w:val="000C0497"/>
    <w:rsid w:val="000C059E"/>
    <w:rsid w:val="000C0E21"/>
    <w:rsid w:val="000C1BA1"/>
    <w:rsid w:val="000C22B0"/>
    <w:rsid w:val="000C2786"/>
    <w:rsid w:val="000C3369"/>
    <w:rsid w:val="000C3CAA"/>
    <w:rsid w:val="000C45E3"/>
    <w:rsid w:val="000C56B4"/>
    <w:rsid w:val="000C5728"/>
    <w:rsid w:val="000C586F"/>
    <w:rsid w:val="000C5B48"/>
    <w:rsid w:val="000C661A"/>
    <w:rsid w:val="000C77A9"/>
    <w:rsid w:val="000D0D8B"/>
    <w:rsid w:val="000D14F1"/>
    <w:rsid w:val="000D1C61"/>
    <w:rsid w:val="000D203D"/>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C3A"/>
    <w:rsid w:val="000E21D8"/>
    <w:rsid w:val="000E2C73"/>
    <w:rsid w:val="000E2C8F"/>
    <w:rsid w:val="000E2EA3"/>
    <w:rsid w:val="000E4391"/>
    <w:rsid w:val="000E4B3E"/>
    <w:rsid w:val="000E539F"/>
    <w:rsid w:val="000E6CF9"/>
    <w:rsid w:val="000E73BD"/>
    <w:rsid w:val="000F069C"/>
    <w:rsid w:val="000F0B27"/>
    <w:rsid w:val="000F1D4F"/>
    <w:rsid w:val="000F2E82"/>
    <w:rsid w:val="000F3A4F"/>
    <w:rsid w:val="000F3D50"/>
    <w:rsid w:val="000F3F95"/>
    <w:rsid w:val="000F5D35"/>
    <w:rsid w:val="000F5DDE"/>
    <w:rsid w:val="001000EA"/>
    <w:rsid w:val="00100B0B"/>
    <w:rsid w:val="001025E7"/>
    <w:rsid w:val="0010275F"/>
    <w:rsid w:val="0010316E"/>
    <w:rsid w:val="001038BB"/>
    <w:rsid w:val="00103F76"/>
    <w:rsid w:val="001057B0"/>
    <w:rsid w:val="00105880"/>
    <w:rsid w:val="00107038"/>
    <w:rsid w:val="00107219"/>
    <w:rsid w:val="001101E1"/>
    <w:rsid w:val="00110379"/>
    <w:rsid w:val="001103CF"/>
    <w:rsid w:val="00111F4C"/>
    <w:rsid w:val="0011290B"/>
    <w:rsid w:val="001129E8"/>
    <w:rsid w:val="00112BA9"/>
    <w:rsid w:val="0011385A"/>
    <w:rsid w:val="00113C76"/>
    <w:rsid w:val="00113FF5"/>
    <w:rsid w:val="00114588"/>
    <w:rsid w:val="00114964"/>
    <w:rsid w:val="001149B9"/>
    <w:rsid w:val="00114A58"/>
    <w:rsid w:val="00114D12"/>
    <w:rsid w:val="00115629"/>
    <w:rsid w:val="001158B6"/>
    <w:rsid w:val="00115B67"/>
    <w:rsid w:val="001171CB"/>
    <w:rsid w:val="00117210"/>
    <w:rsid w:val="0011744C"/>
    <w:rsid w:val="00120FAC"/>
    <w:rsid w:val="001210B9"/>
    <w:rsid w:val="00121311"/>
    <w:rsid w:val="00121A8E"/>
    <w:rsid w:val="00121BF6"/>
    <w:rsid w:val="001246DD"/>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B40"/>
    <w:rsid w:val="00136DF8"/>
    <w:rsid w:val="0013745F"/>
    <w:rsid w:val="00137894"/>
    <w:rsid w:val="00137C49"/>
    <w:rsid w:val="00137CB8"/>
    <w:rsid w:val="00140035"/>
    <w:rsid w:val="00140465"/>
    <w:rsid w:val="00140E09"/>
    <w:rsid w:val="0014101A"/>
    <w:rsid w:val="0014142D"/>
    <w:rsid w:val="0014148A"/>
    <w:rsid w:val="00141A5C"/>
    <w:rsid w:val="00141FEB"/>
    <w:rsid w:val="00142989"/>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55"/>
    <w:rsid w:val="00155698"/>
    <w:rsid w:val="00155BC9"/>
    <w:rsid w:val="00155C11"/>
    <w:rsid w:val="0015625B"/>
    <w:rsid w:val="0015728B"/>
    <w:rsid w:val="00157858"/>
    <w:rsid w:val="0015793A"/>
    <w:rsid w:val="00157D22"/>
    <w:rsid w:val="00157F62"/>
    <w:rsid w:val="001600EB"/>
    <w:rsid w:val="00160423"/>
    <w:rsid w:val="00160786"/>
    <w:rsid w:val="00161CD7"/>
    <w:rsid w:val="00162E1E"/>
    <w:rsid w:val="0016312E"/>
    <w:rsid w:val="0016341E"/>
    <w:rsid w:val="001654A9"/>
    <w:rsid w:val="00165A05"/>
    <w:rsid w:val="00165E5D"/>
    <w:rsid w:val="00166297"/>
    <w:rsid w:val="001663D5"/>
    <w:rsid w:val="00166549"/>
    <w:rsid w:val="0016683E"/>
    <w:rsid w:val="00167277"/>
    <w:rsid w:val="0016762E"/>
    <w:rsid w:val="001700D1"/>
    <w:rsid w:val="00170573"/>
    <w:rsid w:val="001707C4"/>
    <w:rsid w:val="001712DE"/>
    <w:rsid w:val="00171570"/>
    <w:rsid w:val="00171984"/>
    <w:rsid w:val="00171DC1"/>
    <w:rsid w:val="00171E1D"/>
    <w:rsid w:val="00171EF7"/>
    <w:rsid w:val="00174067"/>
    <w:rsid w:val="0017449B"/>
    <w:rsid w:val="00174944"/>
    <w:rsid w:val="00175081"/>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90B9C"/>
    <w:rsid w:val="00190D52"/>
    <w:rsid w:val="0019138B"/>
    <w:rsid w:val="001919D3"/>
    <w:rsid w:val="001925E9"/>
    <w:rsid w:val="00192900"/>
    <w:rsid w:val="001935DE"/>
    <w:rsid w:val="00193812"/>
    <w:rsid w:val="00193C35"/>
    <w:rsid w:val="0019441C"/>
    <w:rsid w:val="001950D9"/>
    <w:rsid w:val="00195379"/>
    <w:rsid w:val="00196144"/>
    <w:rsid w:val="001971B1"/>
    <w:rsid w:val="001971EA"/>
    <w:rsid w:val="00197975"/>
    <w:rsid w:val="00197D54"/>
    <w:rsid w:val="001A07AC"/>
    <w:rsid w:val="001A0DC8"/>
    <w:rsid w:val="001A14F5"/>
    <w:rsid w:val="001A1777"/>
    <w:rsid w:val="001A1A8A"/>
    <w:rsid w:val="001A2649"/>
    <w:rsid w:val="001A2B7C"/>
    <w:rsid w:val="001A307D"/>
    <w:rsid w:val="001A322B"/>
    <w:rsid w:val="001A3986"/>
    <w:rsid w:val="001A3E19"/>
    <w:rsid w:val="001A4242"/>
    <w:rsid w:val="001A48FD"/>
    <w:rsid w:val="001A6DEF"/>
    <w:rsid w:val="001A7A6A"/>
    <w:rsid w:val="001B049D"/>
    <w:rsid w:val="001B04E4"/>
    <w:rsid w:val="001B0553"/>
    <w:rsid w:val="001B0632"/>
    <w:rsid w:val="001B1469"/>
    <w:rsid w:val="001B1577"/>
    <w:rsid w:val="001B16C3"/>
    <w:rsid w:val="001B1838"/>
    <w:rsid w:val="001B1C67"/>
    <w:rsid w:val="001B1CBC"/>
    <w:rsid w:val="001B2234"/>
    <w:rsid w:val="001B3984"/>
    <w:rsid w:val="001B3FE9"/>
    <w:rsid w:val="001B4293"/>
    <w:rsid w:val="001B46AE"/>
    <w:rsid w:val="001B54F0"/>
    <w:rsid w:val="001B5950"/>
    <w:rsid w:val="001B6AAD"/>
    <w:rsid w:val="001B71B5"/>
    <w:rsid w:val="001B78E2"/>
    <w:rsid w:val="001B7BF2"/>
    <w:rsid w:val="001B7EED"/>
    <w:rsid w:val="001C0289"/>
    <w:rsid w:val="001C181C"/>
    <w:rsid w:val="001C2014"/>
    <w:rsid w:val="001C27AF"/>
    <w:rsid w:val="001C3403"/>
    <w:rsid w:val="001C3944"/>
    <w:rsid w:val="001C3AAA"/>
    <w:rsid w:val="001C43B3"/>
    <w:rsid w:val="001C4834"/>
    <w:rsid w:val="001C4C95"/>
    <w:rsid w:val="001C5803"/>
    <w:rsid w:val="001C5BA6"/>
    <w:rsid w:val="001D0229"/>
    <w:rsid w:val="001D028A"/>
    <w:rsid w:val="001D0868"/>
    <w:rsid w:val="001D1636"/>
    <w:rsid w:val="001D181F"/>
    <w:rsid w:val="001D2755"/>
    <w:rsid w:val="001D2F4D"/>
    <w:rsid w:val="001D3780"/>
    <w:rsid w:val="001D388D"/>
    <w:rsid w:val="001D39E8"/>
    <w:rsid w:val="001D3DEA"/>
    <w:rsid w:val="001D402D"/>
    <w:rsid w:val="001D4075"/>
    <w:rsid w:val="001D42B4"/>
    <w:rsid w:val="001D4F81"/>
    <w:rsid w:val="001D600F"/>
    <w:rsid w:val="001D6843"/>
    <w:rsid w:val="001D755F"/>
    <w:rsid w:val="001D764B"/>
    <w:rsid w:val="001D79BC"/>
    <w:rsid w:val="001E0212"/>
    <w:rsid w:val="001E092F"/>
    <w:rsid w:val="001E0947"/>
    <w:rsid w:val="001E152C"/>
    <w:rsid w:val="001E24EA"/>
    <w:rsid w:val="001E25B4"/>
    <w:rsid w:val="001E25BD"/>
    <w:rsid w:val="001E25FF"/>
    <w:rsid w:val="001E411C"/>
    <w:rsid w:val="001E5979"/>
    <w:rsid w:val="001E5C38"/>
    <w:rsid w:val="001E776D"/>
    <w:rsid w:val="001E77D9"/>
    <w:rsid w:val="001E7CC2"/>
    <w:rsid w:val="001F0D67"/>
    <w:rsid w:val="001F0F1E"/>
    <w:rsid w:val="001F1A00"/>
    <w:rsid w:val="001F1B8A"/>
    <w:rsid w:val="001F2058"/>
    <w:rsid w:val="001F20BD"/>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1F6"/>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4D4F"/>
    <w:rsid w:val="00214D92"/>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4C4D"/>
    <w:rsid w:val="0024530D"/>
    <w:rsid w:val="00245A74"/>
    <w:rsid w:val="00246A8F"/>
    <w:rsid w:val="00247154"/>
    <w:rsid w:val="0024727D"/>
    <w:rsid w:val="00250208"/>
    <w:rsid w:val="00250912"/>
    <w:rsid w:val="00250DBA"/>
    <w:rsid w:val="00251087"/>
    <w:rsid w:val="00251294"/>
    <w:rsid w:val="00251AD5"/>
    <w:rsid w:val="002523E5"/>
    <w:rsid w:val="00253058"/>
    <w:rsid w:val="00253061"/>
    <w:rsid w:val="00253764"/>
    <w:rsid w:val="00254ED9"/>
    <w:rsid w:val="002550D8"/>
    <w:rsid w:val="00256078"/>
    <w:rsid w:val="00256401"/>
    <w:rsid w:val="002564FB"/>
    <w:rsid w:val="00260361"/>
    <w:rsid w:val="0026049B"/>
    <w:rsid w:val="00260AAE"/>
    <w:rsid w:val="00260EFA"/>
    <w:rsid w:val="00261377"/>
    <w:rsid w:val="00261D0C"/>
    <w:rsid w:val="00261EFF"/>
    <w:rsid w:val="00262160"/>
    <w:rsid w:val="00262814"/>
    <w:rsid w:val="002629E0"/>
    <w:rsid w:val="00262E2E"/>
    <w:rsid w:val="00263457"/>
    <w:rsid w:val="0026373B"/>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D0D"/>
    <w:rsid w:val="00274D8B"/>
    <w:rsid w:val="00274F90"/>
    <w:rsid w:val="00275318"/>
    <w:rsid w:val="002766B0"/>
    <w:rsid w:val="00277572"/>
    <w:rsid w:val="00277812"/>
    <w:rsid w:val="002802A1"/>
    <w:rsid w:val="002803B8"/>
    <w:rsid w:val="002808CA"/>
    <w:rsid w:val="00280926"/>
    <w:rsid w:val="00281B0A"/>
    <w:rsid w:val="00282CDE"/>
    <w:rsid w:val="00283073"/>
    <w:rsid w:val="0028348A"/>
    <w:rsid w:val="002837E8"/>
    <w:rsid w:val="00285478"/>
    <w:rsid w:val="0028663C"/>
    <w:rsid w:val="00287723"/>
    <w:rsid w:val="002905B5"/>
    <w:rsid w:val="00293203"/>
    <w:rsid w:val="0029329A"/>
    <w:rsid w:val="00293A15"/>
    <w:rsid w:val="00295693"/>
    <w:rsid w:val="002969C0"/>
    <w:rsid w:val="002972D4"/>
    <w:rsid w:val="00297AEF"/>
    <w:rsid w:val="00297F02"/>
    <w:rsid w:val="002A0126"/>
    <w:rsid w:val="002A0565"/>
    <w:rsid w:val="002A06E1"/>
    <w:rsid w:val="002A21E8"/>
    <w:rsid w:val="002A3220"/>
    <w:rsid w:val="002A3596"/>
    <w:rsid w:val="002A3726"/>
    <w:rsid w:val="002A394C"/>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B75FE"/>
    <w:rsid w:val="002B7C88"/>
    <w:rsid w:val="002C0062"/>
    <w:rsid w:val="002C0170"/>
    <w:rsid w:val="002C0E18"/>
    <w:rsid w:val="002C237A"/>
    <w:rsid w:val="002C2427"/>
    <w:rsid w:val="002C2773"/>
    <w:rsid w:val="002C2A4F"/>
    <w:rsid w:val="002C3502"/>
    <w:rsid w:val="002C397B"/>
    <w:rsid w:val="002C3B93"/>
    <w:rsid w:val="002C3BA0"/>
    <w:rsid w:val="002C436C"/>
    <w:rsid w:val="002C47C4"/>
    <w:rsid w:val="002C5D20"/>
    <w:rsid w:val="002C6E41"/>
    <w:rsid w:val="002C748E"/>
    <w:rsid w:val="002D0DDF"/>
    <w:rsid w:val="002D17A5"/>
    <w:rsid w:val="002D1AC7"/>
    <w:rsid w:val="002D347E"/>
    <w:rsid w:val="002D35CB"/>
    <w:rsid w:val="002D3D17"/>
    <w:rsid w:val="002D42A0"/>
    <w:rsid w:val="002D440D"/>
    <w:rsid w:val="002D4C8C"/>
    <w:rsid w:val="002D545A"/>
    <w:rsid w:val="002D59E5"/>
    <w:rsid w:val="002D5C23"/>
    <w:rsid w:val="002D5CBC"/>
    <w:rsid w:val="002D5DC3"/>
    <w:rsid w:val="002D5FD4"/>
    <w:rsid w:val="002D6B4D"/>
    <w:rsid w:val="002D7EF4"/>
    <w:rsid w:val="002E1388"/>
    <w:rsid w:val="002E1415"/>
    <w:rsid w:val="002E16E6"/>
    <w:rsid w:val="002E1B83"/>
    <w:rsid w:val="002E1C1F"/>
    <w:rsid w:val="002E2688"/>
    <w:rsid w:val="002E2FDA"/>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2C9"/>
    <w:rsid w:val="002E736D"/>
    <w:rsid w:val="002F0875"/>
    <w:rsid w:val="002F0884"/>
    <w:rsid w:val="002F1A5B"/>
    <w:rsid w:val="002F1B87"/>
    <w:rsid w:val="002F1CF8"/>
    <w:rsid w:val="002F1FB6"/>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22B8"/>
    <w:rsid w:val="003023C4"/>
    <w:rsid w:val="003026B9"/>
    <w:rsid w:val="00302C73"/>
    <w:rsid w:val="003035B2"/>
    <w:rsid w:val="00303733"/>
    <w:rsid w:val="003038E0"/>
    <w:rsid w:val="00303A2F"/>
    <w:rsid w:val="00303C94"/>
    <w:rsid w:val="00304BF7"/>
    <w:rsid w:val="00304FE8"/>
    <w:rsid w:val="0030506D"/>
    <w:rsid w:val="00305126"/>
    <w:rsid w:val="00305FA4"/>
    <w:rsid w:val="003065D6"/>
    <w:rsid w:val="00307C42"/>
    <w:rsid w:val="00310482"/>
    <w:rsid w:val="00310992"/>
    <w:rsid w:val="00311387"/>
    <w:rsid w:val="00311BAD"/>
    <w:rsid w:val="00311EEA"/>
    <w:rsid w:val="0031351E"/>
    <w:rsid w:val="00313537"/>
    <w:rsid w:val="003135CD"/>
    <w:rsid w:val="00313625"/>
    <w:rsid w:val="00313C59"/>
    <w:rsid w:val="00314373"/>
    <w:rsid w:val="00314425"/>
    <w:rsid w:val="003146EE"/>
    <w:rsid w:val="003148C8"/>
    <w:rsid w:val="0031532D"/>
    <w:rsid w:val="003153EA"/>
    <w:rsid w:val="00316745"/>
    <w:rsid w:val="00317481"/>
    <w:rsid w:val="00320015"/>
    <w:rsid w:val="00320263"/>
    <w:rsid w:val="0032080E"/>
    <w:rsid w:val="003209C7"/>
    <w:rsid w:val="00320AB2"/>
    <w:rsid w:val="00320CBF"/>
    <w:rsid w:val="003225D5"/>
    <w:rsid w:val="0032271E"/>
    <w:rsid w:val="003229A0"/>
    <w:rsid w:val="0032378E"/>
    <w:rsid w:val="00323C12"/>
    <w:rsid w:val="00323D04"/>
    <w:rsid w:val="003243CB"/>
    <w:rsid w:val="003245FB"/>
    <w:rsid w:val="003250E2"/>
    <w:rsid w:val="0032569E"/>
    <w:rsid w:val="00325E17"/>
    <w:rsid w:val="00326522"/>
    <w:rsid w:val="00326943"/>
    <w:rsid w:val="0032697C"/>
    <w:rsid w:val="003270BF"/>
    <w:rsid w:val="003272B1"/>
    <w:rsid w:val="00327A0C"/>
    <w:rsid w:val="003301A3"/>
    <w:rsid w:val="0033063D"/>
    <w:rsid w:val="00330DA6"/>
    <w:rsid w:val="00332129"/>
    <w:rsid w:val="0033322F"/>
    <w:rsid w:val="00334912"/>
    <w:rsid w:val="00336FF2"/>
    <w:rsid w:val="003376B5"/>
    <w:rsid w:val="003376DF"/>
    <w:rsid w:val="003402DF"/>
    <w:rsid w:val="00340AC2"/>
    <w:rsid w:val="00340D16"/>
    <w:rsid w:val="00340E08"/>
    <w:rsid w:val="00340EB5"/>
    <w:rsid w:val="00340EFB"/>
    <w:rsid w:val="00341361"/>
    <w:rsid w:val="003435A3"/>
    <w:rsid w:val="00343D26"/>
    <w:rsid w:val="00343D77"/>
    <w:rsid w:val="00345308"/>
    <w:rsid w:val="003455FE"/>
    <w:rsid w:val="00345652"/>
    <w:rsid w:val="003459F0"/>
    <w:rsid w:val="00345B4F"/>
    <w:rsid w:val="00346216"/>
    <w:rsid w:val="0034672E"/>
    <w:rsid w:val="0034720F"/>
    <w:rsid w:val="0034743F"/>
    <w:rsid w:val="0034782B"/>
    <w:rsid w:val="00347C46"/>
    <w:rsid w:val="00350DDB"/>
    <w:rsid w:val="003513DC"/>
    <w:rsid w:val="00351A7F"/>
    <w:rsid w:val="003521B4"/>
    <w:rsid w:val="003525C0"/>
    <w:rsid w:val="00352B61"/>
    <w:rsid w:val="00352B75"/>
    <w:rsid w:val="00352CFB"/>
    <w:rsid w:val="00352F20"/>
    <w:rsid w:val="003530B9"/>
    <w:rsid w:val="00353798"/>
    <w:rsid w:val="003541D1"/>
    <w:rsid w:val="003548D7"/>
    <w:rsid w:val="003548F0"/>
    <w:rsid w:val="003549D1"/>
    <w:rsid w:val="00354A0E"/>
    <w:rsid w:val="00354D94"/>
    <w:rsid w:val="003550C7"/>
    <w:rsid w:val="003566E9"/>
    <w:rsid w:val="00357214"/>
    <w:rsid w:val="0035791D"/>
    <w:rsid w:val="00357DB9"/>
    <w:rsid w:val="00357FA8"/>
    <w:rsid w:val="00360CBD"/>
    <w:rsid w:val="00361072"/>
    <w:rsid w:val="00362461"/>
    <w:rsid w:val="003628AA"/>
    <w:rsid w:val="00362D37"/>
    <w:rsid w:val="00363DA3"/>
    <w:rsid w:val="00363DEE"/>
    <w:rsid w:val="00364D63"/>
    <w:rsid w:val="00365105"/>
    <w:rsid w:val="0036579C"/>
    <w:rsid w:val="003657E7"/>
    <w:rsid w:val="00365E78"/>
    <w:rsid w:val="00366857"/>
    <w:rsid w:val="00370449"/>
    <w:rsid w:val="00370CFC"/>
    <w:rsid w:val="00370EE0"/>
    <w:rsid w:val="003713B0"/>
    <w:rsid w:val="00371B3D"/>
    <w:rsid w:val="00372F44"/>
    <w:rsid w:val="00374783"/>
    <w:rsid w:val="003750B5"/>
    <w:rsid w:val="00375135"/>
    <w:rsid w:val="00377224"/>
    <w:rsid w:val="003777B8"/>
    <w:rsid w:val="00377BAD"/>
    <w:rsid w:val="00381ACB"/>
    <w:rsid w:val="00381DCB"/>
    <w:rsid w:val="00381F87"/>
    <w:rsid w:val="00382951"/>
    <w:rsid w:val="00383FF3"/>
    <w:rsid w:val="00384485"/>
    <w:rsid w:val="00384833"/>
    <w:rsid w:val="00384B1C"/>
    <w:rsid w:val="00384EA5"/>
    <w:rsid w:val="0038505C"/>
    <w:rsid w:val="003858C2"/>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0BC7"/>
    <w:rsid w:val="003A1CFF"/>
    <w:rsid w:val="003A2BB7"/>
    <w:rsid w:val="003A312D"/>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6EA"/>
    <w:rsid w:val="003A799B"/>
    <w:rsid w:val="003A7D18"/>
    <w:rsid w:val="003B00C2"/>
    <w:rsid w:val="003B022F"/>
    <w:rsid w:val="003B1AF6"/>
    <w:rsid w:val="003B1B75"/>
    <w:rsid w:val="003B253C"/>
    <w:rsid w:val="003B2FBC"/>
    <w:rsid w:val="003B32CC"/>
    <w:rsid w:val="003B35CB"/>
    <w:rsid w:val="003B4DA2"/>
    <w:rsid w:val="003B4DDF"/>
    <w:rsid w:val="003B545C"/>
    <w:rsid w:val="003B57B7"/>
    <w:rsid w:val="003B5E19"/>
    <w:rsid w:val="003B64D8"/>
    <w:rsid w:val="003B6534"/>
    <w:rsid w:val="003B78AC"/>
    <w:rsid w:val="003C08BD"/>
    <w:rsid w:val="003C1A62"/>
    <w:rsid w:val="003C1B40"/>
    <w:rsid w:val="003C2F43"/>
    <w:rsid w:val="003C318F"/>
    <w:rsid w:val="003C32FC"/>
    <w:rsid w:val="003C3491"/>
    <w:rsid w:val="003C4EBE"/>
    <w:rsid w:val="003C558C"/>
    <w:rsid w:val="003C66C3"/>
    <w:rsid w:val="003C6F87"/>
    <w:rsid w:val="003C75BD"/>
    <w:rsid w:val="003C796F"/>
    <w:rsid w:val="003C7E0E"/>
    <w:rsid w:val="003D0802"/>
    <w:rsid w:val="003D098A"/>
    <w:rsid w:val="003D0B7A"/>
    <w:rsid w:val="003D115A"/>
    <w:rsid w:val="003D17C2"/>
    <w:rsid w:val="003D17E4"/>
    <w:rsid w:val="003D1A6C"/>
    <w:rsid w:val="003D1AEC"/>
    <w:rsid w:val="003D23D5"/>
    <w:rsid w:val="003D3CD1"/>
    <w:rsid w:val="003D4549"/>
    <w:rsid w:val="003D489A"/>
    <w:rsid w:val="003D4EA6"/>
    <w:rsid w:val="003D5944"/>
    <w:rsid w:val="003D5D05"/>
    <w:rsid w:val="003D5ECA"/>
    <w:rsid w:val="003D5FB6"/>
    <w:rsid w:val="003D6CBF"/>
    <w:rsid w:val="003D70C4"/>
    <w:rsid w:val="003D72CC"/>
    <w:rsid w:val="003D783F"/>
    <w:rsid w:val="003D7D05"/>
    <w:rsid w:val="003E03C3"/>
    <w:rsid w:val="003E067B"/>
    <w:rsid w:val="003E11A4"/>
    <w:rsid w:val="003E1595"/>
    <w:rsid w:val="003E1AD1"/>
    <w:rsid w:val="003E236D"/>
    <w:rsid w:val="003E2E8C"/>
    <w:rsid w:val="003E3009"/>
    <w:rsid w:val="003E308A"/>
    <w:rsid w:val="003E367A"/>
    <w:rsid w:val="003E37A4"/>
    <w:rsid w:val="003E4136"/>
    <w:rsid w:val="003E5252"/>
    <w:rsid w:val="003E720C"/>
    <w:rsid w:val="003E7AFC"/>
    <w:rsid w:val="003E7C04"/>
    <w:rsid w:val="003E7FDA"/>
    <w:rsid w:val="003F01F7"/>
    <w:rsid w:val="003F0570"/>
    <w:rsid w:val="003F0D15"/>
    <w:rsid w:val="003F0D3E"/>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3E"/>
    <w:rsid w:val="0040409C"/>
    <w:rsid w:val="00404A45"/>
    <w:rsid w:val="004058B8"/>
    <w:rsid w:val="00405B3F"/>
    <w:rsid w:val="00406113"/>
    <w:rsid w:val="004063C4"/>
    <w:rsid w:val="004072FC"/>
    <w:rsid w:val="004074CB"/>
    <w:rsid w:val="0040775E"/>
    <w:rsid w:val="00407D7D"/>
    <w:rsid w:val="00407ED3"/>
    <w:rsid w:val="00410B00"/>
    <w:rsid w:val="00410B24"/>
    <w:rsid w:val="00410E12"/>
    <w:rsid w:val="00410E3B"/>
    <w:rsid w:val="004115C8"/>
    <w:rsid w:val="00413971"/>
    <w:rsid w:val="00413BE9"/>
    <w:rsid w:val="00413E03"/>
    <w:rsid w:val="004147E1"/>
    <w:rsid w:val="00414E73"/>
    <w:rsid w:val="004150CF"/>
    <w:rsid w:val="00415367"/>
    <w:rsid w:val="004161C2"/>
    <w:rsid w:val="004170A6"/>
    <w:rsid w:val="004176BC"/>
    <w:rsid w:val="00420584"/>
    <w:rsid w:val="00421048"/>
    <w:rsid w:val="00422A93"/>
    <w:rsid w:val="00422BB1"/>
    <w:rsid w:val="0042435F"/>
    <w:rsid w:val="00424D21"/>
    <w:rsid w:val="00424F3C"/>
    <w:rsid w:val="00425C24"/>
    <w:rsid w:val="004273BF"/>
    <w:rsid w:val="004311FF"/>
    <w:rsid w:val="004314B6"/>
    <w:rsid w:val="00432447"/>
    <w:rsid w:val="00432D97"/>
    <w:rsid w:val="00432F21"/>
    <w:rsid w:val="00435431"/>
    <w:rsid w:val="0043544F"/>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0E9"/>
    <w:rsid w:val="00445587"/>
    <w:rsid w:val="00445B35"/>
    <w:rsid w:val="00445DFA"/>
    <w:rsid w:val="004462BD"/>
    <w:rsid w:val="004462FA"/>
    <w:rsid w:val="00446828"/>
    <w:rsid w:val="0044692E"/>
    <w:rsid w:val="0044732A"/>
    <w:rsid w:val="00450BC1"/>
    <w:rsid w:val="00451103"/>
    <w:rsid w:val="00451F2C"/>
    <w:rsid w:val="0045203F"/>
    <w:rsid w:val="004520DB"/>
    <w:rsid w:val="00452550"/>
    <w:rsid w:val="004525A5"/>
    <w:rsid w:val="00453228"/>
    <w:rsid w:val="00453DB2"/>
    <w:rsid w:val="00453F45"/>
    <w:rsid w:val="00454D4D"/>
    <w:rsid w:val="00454DFB"/>
    <w:rsid w:val="00454F1D"/>
    <w:rsid w:val="0045555E"/>
    <w:rsid w:val="00455817"/>
    <w:rsid w:val="00455AE4"/>
    <w:rsid w:val="00457034"/>
    <w:rsid w:val="00457BAA"/>
    <w:rsid w:val="00460981"/>
    <w:rsid w:val="004609DE"/>
    <w:rsid w:val="00461DC0"/>
    <w:rsid w:val="004628F0"/>
    <w:rsid w:val="00462D54"/>
    <w:rsid w:val="00462D63"/>
    <w:rsid w:val="00463886"/>
    <w:rsid w:val="00463F16"/>
    <w:rsid w:val="004643B9"/>
    <w:rsid w:val="00464F36"/>
    <w:rsid w:val="0046568B"/>
    <w:rsid w:val="00466121"/>
    <w:rsid w:val="00466912"/>
    <w:rsid w:val="00466A77"/>
    <w:rsid w:val="0046765E"/>
    <w:rsid w:val="00467686"/>
    <w:rsid w:val="00467792"/>
    <w:rsid w:val="004679AB"/>
    <w:rsid w:val="00471665"/>
    <w:rsid w:val="0047195F"/>
    <w:rsid w:val="00471A9E"/>
    <w:rsid w:val="00471B86"/>
    <w:rsid w:val="00472215"/>
    <w:rsid w:val="00472227"/>
    <w:rsid w:val="00472E9C"/>
    <w:rsid w:val="004732E6"/>
    <w:rsid w:val="00474927"/>
    <w:rsid w:val="00474FBE"/>
    <w:rsid w:val="0047540F"/>
    <w:rsid w:val="00475612"/>
    <w:rsid w:val="004772FF"/>
    <w:rsid w:val="00477DE8"/>
    <w:rsid w:val="0048048A"/>
    <w:rsid w:val="00481705"/>
    <w:rsid w:val="00481966"/>
    <w:rsid w:val="0048209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1A7"/>
    <w:rsid w:val="00490275"/>
    <w:rsid w:val="00490628"/>
    <w:rsid w:val="0049071D"/>
    <w:rsid w:val="0049103F"/>
    <w:rsid w:val="00491532"/>
    <w:rsid w:val="0049160F"/>
    <w:rsid w:val="0049239D"/>
    <w:rsid w:val="004925C9"/>
    <w:rsid w:val="00493577"/>
    <w:rsid w:val="00493593"/>
    <w:rsid w:val="00494307"/>
    <w:rsid w:val="00494B3B"/>
    <w:rsid w:val="0049565D"/>
    <w:rsid w:val="00495665"/>
    <w:rsid w:val="004963FE"/>
    <w:rsid w:val="00496480"/>
    <w:rsid w:val="004A020A"/>
    <w:rsid w:val="004A036F"/>
    <w:rsid w:val="004A04FE"/>
    <w:rsid w:val="004A0859"/>
    <w:rsid w:val="004A0C71"/>
    <w:rsid w:val="004A0CF6"/>
    <w:rsid w:val="004A18E6"/>
    <w:rsid w:val="004A18FA"/>
    <w:rsid w:val="004A1962"/>
    <w:rsid w:val="004A1B4E"/>
    <w:rsid w:val="004A20DA"/>
    <w:rsid w:val="004A2509"/>
    <w:rsid w:val="004A294E"/>
    <w:rsid w:val="004A3391"/>
    <w:rsid w:val="004A3C39"/>
    <w:rsid w:val="004A3FAE"/>
    <w:rsid w:val="004A4225"/>
    <w:rsid w:val="004A4291"/>
    <w:rsid w:val="004A4D02"/>
    <w:rsid w:val="004A4F2D"/>
    <w:rsid w:val="004A54F9"/>
    <w:rsid w:val="004A5AFA"/>
    <w:rsid w:val="004A6855"/>
    <w:rsid w:val="004A723C"/>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348A"/>
    <w:rsid w:val="004C4A96"/>
    <w:rsid w:val="004C4C62"/>
    <w:rsid w:val="004C4E5F"/>
    <w:rsid w:val="004C5875"/>
    <w:rsid w:val="004C5F28"/>
    <w:rsid w:val="004C6997"/>
    <w:rsid w:val="004C6CDB"/>
    <w:rsid w:val="004C7C36"/>
    <w:rsid w:val="004C7D16"/>
    <w:rsid w:val="004D0132"/>
    <w:rsid w:val="004D080F"/>
    <w:rsid w:val="004D0C20"/>
    <w:rsid w:val="004D185E"/>
    <w:rsid w:val="004D4B61"/>
    <w:rsid w:val="004D507C"/>
    <w:rsid w:val="004D606D"/>
    <w:rsid w:val="004D68C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F45"/>
    <w:rsid w:val="004E64DC"/>
    <w:rsid w:val="004E6F86"/>
    <w:rsid w:val="004E706A"/>
    <w:rsid w:val="004F0671"/>
    <w:rsid w:val="004F0C01"/>
    <w:rsid w:val="004F126D"/>
    <w:rsid w:val="004F15F3"/>
    <w:rsid w:val="004F24B5"/>
    <w:rsid w:val="004F2B02"/>
    <w:rsid w:val="004F2D1B"/>
    <w:rsid w:val="004F2E11"/>
    <w:rsid w:val="004F31BD"/>
    <w:rsid w:val="004F3B34"/>
    <w:rsid w:val="004F3E23"/>
    <w:rsid w:val="004F4767"/>
    <w:rsid w:val="004F498A"/>
    <w:rsid w:val="004F4C20"/>
    <w:rsid w:val="004F51B2"/>
    <w:rsid w:val="004F59C4"/>
    <w:rsid w:val="004F5D65"/>
    <w:rsid w:val="004F70F8"/>
    <w:rsid w:val="004F7230"/>
    <w:rsid w:val="004F77EE"/>
    <w:rsid w:val="004F7D7B"/>
    <w:rsid w:val="00501659"/>
    <w:rsid w:val="00501733"/>
    <w:rsid w:val="00501B75"/>
    <w:rsid w:val="00501C39"/>
    <w:rsid w:val="00502203"/>
    <w:rsid w:val="005027B8"/>
    <w:rsid w:val="00503D5D"/>
    <w:rsid w:val="00503F42"/>
    <w:rsid w:val="005054FD"/>
    <w:rsid w:val="00505A66"/>
    <w:rsid w:val="0050631D"/>
    <w:rsid w:val="00506576"/>
    <w:rsid w:val="00506710"/>
    <w:rsid w:val="00506E86"/>
    <w:rsid w:val="0050702C"/>
    <w:rsid w:val="0050723E"/>
    <w:rsid w:val="00507403"/>
    <w:rsid w:val="00507430"/>
    <w:rsid w:val="005101E5"/>
    <w:rsid w:val="005110FB"/>
    <w:rsid w:val="00511D75"/>
    <w:rsid w:val="00512232"/>
    <w:rsid w:val="00513B7E"/>
    <w:rsid w:val="00514597"/>
    <w:rsid w:val="005150AB"/>
    <w:rsid w:val="005156FC"/>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78F8"/>
    <w:rsid w:val="005300ED"/>
    <w:rsid w:val="00530F0B"/>
    <w:rsid w:val="00531706"/>
    <w:rsid w:val="00532121"/>
    <w:rsid w:val="00532429"/>
    <w:rsid w:val="00532850"/>
    <w:rsid w:val="005328A9"/>
    <w:rsid w:val="00532C7A"/>
    <w:rsid w:val="005332FA"/>
    <w:rsid w:val="005335ED"/>
    <w:rsid w:val="00534668"/>
    <w:rsid w:val="005346BF"/>
    <w:rsid w:val="0053472D"/>
    <w:rsid w:val="00534A62"/>
    <w:rsid w:val="00535189"/>
    <w:rsid w:val="005356B6"/>
    <w:rsid w:val="00535D75"/>
    <w:rsid w:val="00535FF9"/>
    <w:rsid w:val="0053609B"/>
    <w:rsid w:val="0053655A"/>
    <w:rsid w:val="00536661"/>
    <w:rsid w:val="00536C74"/>
    <w:rsid w:val="00536ECF"/>
    <w:rsid w:val="0053740F"/>
    <w:rsid w:val="00540D9E"/>
    <w:rsid w:val="0054171A"/>
    <w:rsid w:val="005420CF"/>
    <w:rsid w:val="00542C2A"/>
    <w:rsid w:val="00543122"/>
    <w:rsid w:val="0054337D"/>
    <w:rsid w:val="005438E3"/>
    <w:rsid w:val="00543CAC"/>
    <w:rsid w:val="005440E4"/>
    <w:rsid w:val="005449DC"/>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51C6"/>
    <w:rsid w:val="00556A43"/>
    <w:rsid w:val="0056087F"/>
    <w:rsid w:val="0056121A"/>
    <w:rsid w:val="005614F5"/>
    <w:rsid w:val="00562195"/>
    <w:rsid w:val="00562575"/>
    <w:rsid w:val="0056261D"/>
    <w:rsid w:val="00562918"/>
    <w:rsid w:val="00563269"/>
    <w:rsid w:val="00564643"/>
    <w:rsid w:val="00564772"/>
    <w:rsid w:val="005663E6"/>
    <w:rsid w:val="00566518"/>
    <w:rsid w:val="005669DA"/>
    <w:rsid w:val="00567613"/>
    <w:rsid w:val="005703E4"/>
    <w:rsid w:val="00571640"/>
    <w:rsid w:val="00571902"/>
    <w:rsid w:val="0057194C"/>
    <w:rsid w:val="005720AF"/>
    <w:rsid w:val="00572283"/>
    <w:rsid w:val="0057278A"/>
    <w:rsid w:val="00572F6B"/>
    <w:rsid w:val="00573604"/>
    <w:rsid w:val="0057384C"/>
    <w:rsid w:val="00573DE2"/>
    <w:rsid w:val="005741B7"/>
    <w:rsid w:val="00574949"/>
    <w:rsid w:val="00574AD1"/>
    <w:rsid w:val="005767F1"/>
    <w:rsid w:val="00576A92"/>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D45"/>
    <w:rsid w:val="005851DF"/>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5F4F"/>
    <w:rsid w:val="005969F6"/>
    <w:rsid w:val="00596FEB"/>
    <w:rsid w:val="00597A00"/>
    <w:rsid w:val="00597AB3"/>
    <w:rsid w:val="00597DBB"/>
    <w:rsid w:val="005A118A"/>
    <w:rsid w:val="005A1897"/>
    <w:rsid w:val="005A3945"/>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2F75"/>
    <w:rsid w:val="005B389B"/>
    <w:rsid w:val="005B4B88"/>
    <w:rsid w:val="005B4C25"/>
    <w:rsid w:val="005B52D8"/>
    <w:rsid w:val="005B57E9"/>
    <w:rsid w:val="005B5DAD"/>
    <w:rsid w:val="005B659A"/>
    <w:rsid w:val="005B65CA"/>
    <w:rsid w:val="005B6D04"/>
    <w:rsid w:val="005B79C6"/>
    <w:rsid w:val="005C04C0"/>
    <w:rsid w:val="005C0912"/>
    <w:rsid w:val="005C09F7"/>
    <w:rsid w:val="005C1B46"/>
    <w:rsid w:val="005C1ECC"/>
    <w:rsid w:val="005C1F7E"/>
    <w:rsid w:val="005C2057"/>
    <w:rsid w:val="005C20A0"/>
    <w:rsid w:val="005C2EF2"/>
    <w:rsid w:val="005C322A"/>
    <w:rsid w:val="005C3AE2"/>
    <w:rsid w:val="005C49CB"/>
    <w:rsid w:val="005C4BA6"/>
    <w:rsid w:val="005C5258"/>
    <w:rsid w:val="005C57F7"/>
    <w:rsid w:val="005C5E5D"/>
    <w:rsid w:val="005C73B7"/>
    <w:rsid w:val="005C76FD"/>
    <w:rsid w:val="005C7A6D"/>
    <w:rsid w:val="005C7DC3"/>
    <w:rsid w:val="005D0DAF"/>
    <w:rsid w:val="005D0E2B"/>
    <w:rsid w:val="005D14A4"/>
    <w:rsid w:val="005D1D83"/>
    <w:rsid w:val="005D2614"/>
    <w:rsid w:val="005D2E2B"/>
    <w:rsid w:val="005D33D4"/>
    <w:rsid w:val="005D3D10"/>
    <w:rsid w:val="005D6E2B"/>
    <w:rsid w:val="005D71BB"/>
    <w:rsid w:val="005E07F3"/>
    <w:rsid w:val="005E0823"/>
    <w:rsid w:val="005E0CA0"/>
    <w:rsid w:val="005E1008"/>
    <w:rsid w:val="005E11E2"/>
    <w:rsid w:val="005E170E"/>
    <w:rsid w:val="005E1DD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F043C"/>
    <w:rsid w:val="005F0593"/>
    <w:rsid w:val="005F1BE8"/>
    <w:rsid w:val="005F1C1F"/>
    <w:rsid w:val="005F2ABB"/>
    <w:rsid w:val="005F3375"/>
    <w:rsid w:val="005F354A"/>
    <w:rsid w:val="005F5B5B"/>
    <w:rsid w:val="005F74BD"/>
    <w:rsid w:val="005F7A59"/>
    <w:rsid w:val="005F7D2F"/>
    <w:rsid w:val="006003A9"/>
    <w:rsid w:val="00600E8E"/>
    <w:rsid w:val="0060131A"/>
    <w:rsid w:val="006018CA"/>
    <w:rsid w:val="006019E6"/>
    <w:rsid w:val="00601AA5"/>
    <w:rsid w:val="006021EE"/>
    <w:rsid w:val="0060270D"/>
    <w:rsid w:val="006034A7"/>
    <w:rsid w:val="006037CC"/>
    <w:rsid w:val="00603A6B"/>
    <w:rsid w:val="006040F2"/>
    <w:rsid w:val="0060449A"/>
    <w:rsid w:val="00604783"/>
    <w:rsid w:val="00604805"/>
    <w:rsid w:val="0060529E"/>
    <w:rsid w:val="00605384"/>
    <w:rsid w:val="00607C2D"/>
    <w:rsid w:val="006101D8"/>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4E43"/>
    <w:rsid w:val="0062558F"/>
    <w:rsid w:val="00625A5C"/>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0FDC"/>
    <w:rsid w:val="00642351"/>
    <w:rsid w:val="006424F7"/>
    <w:rsid w:val="00642C32"/>
    <w:rsid w:val="006433D0"/>
    <w:rsid w:val="00643467"/>
    <w:rsid w:val="006435B5"/>
    <w:rsid w:val="00643A31"/>
    <w:rsid w:val="00643AAE"/>
    <w:rsid w:val="00644A9F"/>
    <w:rsid w:val="00644C8B"/>
    <w:rsid w:val="00645C5F"/>
    <w:rsid w:val="00646BA0"/>
    <w:rsid w:val="00646F54"/>
    <w:rsid w:val="0065002D"/>
    <w:rsid w:val="00650254"/>
    <w:rsid w:val="006502BB"/>
    <w:rsid w:val="00650E33"/>
    <w:rsid w:val="006515EF"/>
    <w:rsid w:val="006530E2"/>
    <w:rsid w:val="006535DE"/>
    <w:rsid w:val="0065453F"/>
    <w:rsid w:val="00654758"/>
    <w:rsid w:val="006563FC"/>
    <w:rsid w:val="00656EAE"/>
    <w:rsid w:val="00657344"/>
    <w:rsid w:val="006602CF"/>
    <w:rsid w:val="00660D7D"/>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2F3E"/>
    <w:rsid w:val="00673BF2"/>
    <w:rsid w:val="00673C58"/>
    <w:rsid w:val="0067494B"/>
    <w:rsid w:val="00674996"/>
    <w:rsid w:val="00674DB0"/>
    <w:rsid w:val="00675296"/>
    <w:rsid w:val="006766B8"/>
    <w:rsid w:val="00677143"/>
    <w:rsid w:val="00677EE3"/>
    <w:rsid w:val="006807E1"/>
    <w:rsid w:val="00680DE4"/>
    <w:rsid w:val="0068116A"/>
    <w:rsid w:val="00681BB1"/>
    <w:rsid w:val="006823D9"/>
    <w:rsid w:val="00683367"/>
    <w:rsid w:val="00683B8F"/>
    <w:rsid w:val="006841B1"/>
    <w:rsid w:val="0068436A"/>
    <w:rsid w:val="00684DD0"/>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221"/>
    <w:rsid w:val="006B13C1"/>
    <w:rsid w:val="006B1707"/>
    <w:rsid w:val="006B212D"/>
    <w:rsid w:val="006B2489"/>
    <w:rsid w:val="006B27D6"/>
    <w:rsid w:val="006B3215"/>
    <w:rsid w:val="006B3348"/>
    <w:rsid w:val="006B3448"/>
    <w:rsid w:val="006B4F5C"/>
    <w:rsid w:val="006B5062"/>
    <w:rsid w:val="006B5725"/>
    <w:rsid w:val="006B6BDE"/>
    <w:rsid w:val="006B6CBE"/>
    <w:rsid w:val="006B71E4"/>
    <w:rsid w:val="006B721D"/>
    <w:rsid w:val="006B7FB8"/>
    <w:rsid w:val="006C00B5"/>
    <w:rsid w:val="006C0269"/>
    <w:rsid w:val="006C0601"/>
    <w:rsid w:val="006C1170"/>
    <w:rsid w:val="006C1465"/>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2594"/>
    <w:rsid w:val="006D2BD4"/>
    <w:rsid w:val="006D407D"/>
    <w:rsid w:val="006D4750"/>
    <w:rsid w:val="006D477F"/>
    <w:rsid w:val="006D47BC"/>
    <w:rsid w:val="006D4ACA"/>
    <w:rsid w:val="006D5843"/>
    <w:rsid w:val="006D59EA"/>
    <w:rsid w:val="006D6871"/>
    <w:rsid w:val="006D6CA2"/>
    <w:rsid w:val="006D71D3"/>
    <w:rsid w:val="006E19B2"/>
    <w:rsid w:val="006E1FB4"/>
    <w:rsid w:val="006E24D7"/>
    <w:rsid w:val="006E3415"/>
    <w:rsid w:val="006E3962"/>
    <w:rsid w:val="006E464C"/>
    <w:rsid w:val="006E47B3"/>
    <w:rsid w:val="006E4970"/>
    <w:rsid w:val="006E4A6B"/>
    <w:rsid w:val="006E4CCB"/>
    <w:rsid w:val="006E4CCC"/>
    <w:rsid w:val="006E4EC5"/>
    <w:rsid w:val="006E516B"/>
    <w:rsid w:val="006E64FC"/>
    <w:rsid w:val="006E6536"/>
    <w:rsid w:val="006E69AE"/>
    <w:rsid w:val="006E762C"/>
    <w:rsid w:val="006E78A4"/>
    <w:rsid w:val="006E7A04"/>
    <w:rsid w:val="006F065D"/>
    <w:rsid w:val="006F0C10"/>
    <w:rsid w:val="006F1E55"/>
    <w:rsid w:val="006F29B4"/>
    <w:rsid w:val="006F5A8D"/>
    <w:rsid w:val="006F6DDA"/>
    <w:rsid w:val="006F7041"/>
    <w:rsid w:val="0070068B"/>
    <w:rsid w:val="00700990"/>
    <w:rsid w:val="00700CF4"/>
    <w:rsid w:val="00701203"/>
    <w:rsid w:val="007016BE"/>
    <w:rsid w:val="007025A3"/>
    <w:rsid w:val="007030B9"/>
    <w:rsid w:val="00703181"/>
    <w:rsid w:val="007042E7"/>
    <w:rsid w:val="007044EC"/>
    <w:rsid w:val="00704571"/>
    <w:rsid w:val="007048F0"/>
    <w:rsid w:val="007048F1"/>
    <w:rsid w:val="00705362"/>
    <w:rsid w:val="0070604E"/>
    <w:rsid w:val="0070718C"/>
    <w:rsid w:val="00710751"/>
    <w:rsid w:val="00711526"/>
    <w:rsid w:val="0071165C"/>
    <w:rsid w:val="00711CAD"/>
    <w:rsid w:val="0071201B"/>
    <w:rsid w:val="007147A8"/>
    <w:rsid w:val="007153F0"/>
    <w:rsid w:val="007154CF"/>
    <w:rsid w:val="007159A1"/>
    <w:rsid w:val="00716812"/>
    <w:rsid w:val="00716DC4"/>
    <w:rsid w:val="00716FB2"/>
    <w:rsid w:val="007171DB"/>
    <w:rsid w:val="00717651"/>
    <w:rsid w:val="0071796A"/>
    <w:rsid w:val="00717A8D"/>
    <w:rsid w:val="00717BF6"/>
    <w:rsid w:val="00717F9F"/>
    <w:rsid w:val="00720493"/>
    <w:rsid w:val="007209C6"/>
    <w:rsid w:val="00720B9E"/>
    <w:rsid w:val="00721726"/>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37F8D"/>
    <w:rsid w:val="007409AA"/>
    <w:rsid w:val="007411F4"/>
    <w:rsid w:val="007413BF"/>
    <w:rsid w:val="00741968"/>
    <w:rsid w:val="00741BDD"/>
    <w:rsid w:val="00743452"/>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4B5"/>
    <w:rsid w:val="00757941"/>
    <w:rsid w:val="007638B4"/>
    <w:rsid w:val="007639A5"/>
    <w:rsid w:val="00763C3B"/>
    <w:rsid w:val="00763EE9"/>
    <w:rsid w:val="00764375"/>
    <w:rsid w:val="007653BF"/>
    <w:rsid w:val="00765630"/>
    <w:rsid w:val="00765919"/>
    <w:rsid w:val="007661BB"/>
    <w:rsid w:val="0076653E"/>
    <w:rsid w:val="00766647"/>
    <w:rsid w:val="0076786D"/>
    <w:rsid w:val="00767E3C"/>
    <w:rsid w:val="00770E63"/>
    <w:rsid w:val="00774469"/>
    <w:rsid w:val="00774752"/>
    <w:rsid w:val="00775291"/>
    <w:rsid w:val="0077594E"/>
    <w:rsid w:val="00775D6F"/>
    <w:rsid w:val="00775FB9"/>
    <w:rsid w:val="00776268"/>
    <w:rsid w:val="00777495"/>
    <w:rsid w:val="0078016F"/>
    <w:rsid w:val="007805EC"/>
    <w:rsid w:val="007808A4"/>
    <w:rsid w:val="00780928"/>
    <w:rsid w:val="00780E86"/>
    <w:rsid w:val="00780FA6"/>
    <w:rsid w:val="00781689"/>
    <w:rsid w:val="00781EF6"/>
    <w:rsid w:val="007822D6"/>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2DC"/>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CB"/>
    <w:rsid w:val="007B01E7"/>
    <w:rsid w:val="007B0810"/>
    <w:rsid w:val="007B104F"/>
    <w:rsid w:val="007B1418"/>
    <w:rsid w:val="007B150E"/>
    <w:rsid w:val="007B1C29"/>
    <w:rsid w:val="007B2177"/>
    <w:rsid w:val="007B56F2"/>
    <w:rsid w:val="007B5C93"/>
    <w:rsid w:val="007B79C5"/>
    <w:rsid w:val="007B7BB1"/>
    <w:rsid w:val="007C0B47"/>
    <w:rsid w:val="007C1229"/>
    <w:rsid w:val="007C17AB"/>
    <w:rsid w:val="007C1DFF"/>
    <w:rsid w:val="007C1E1D"/>
    <w:rsid w:val="007C2145"/>
    <w:rsid w:val="007C2349"/>
    <w:rsid w:val="007C377C"/>
    <w:rsid w:val="007C3815"/>
    <w:rsid w:val="007C3B7F"/>
    <w:rsid w:val="007C5B20"/>
    <w:rsid w:val="007C65F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0B02"/>
    <w:rsid w:val="007E1008"/>
    <w:rsid w:val="007E170B"/>
    <w:rsid w:val="007E18BA"/>
    <w:rsid w:val="007E18FA"/>
    <w:rsid w:val="007E1DF2"/>
    <w:rsid w:val="007E2888"/>
    <w:rsid w:val="007E32D4"/>
    <w:rsid w:val="007E3514"/>
    <w:rsid w:val="007E3829"/>
    <w:rsid w:val="007E402B"/>
    <w:rsid w:val="007E495E"/>
    <w:rsid w:val="007E5FF3"/>
    <w:rsid w:val="007E63E3"/>
    <w:rsid w:val="007E65FE"/>
    <w:rsid w:val="007E6782"/>
    <w:rsid w:val="007E6B64"/>
    <w:rsid w:val="007E7679"/>
    <w:rsid w:val="007E79F5"/>
    <w:rsid w:val="007E7AF0"/>
    <w:rsid w:val="007E7E2D"/>
    <w:rsid w:val="007F02BF"/>
    <w:rsid w:val="007F0CF2"/>
    <w:rsid w:val="007F1BC2"/>
    <w:rsid w:val="007F1CCC"/>
    <w:rsid w:val="007F25B4"/>
    <w:rsid w:val="007F2C38"/>
    <w:rsid w:val="007F2EFF"/>
    <w:rsid w:val="007F319C"/>
    <w:rsid w:val="007F3683"/>
    <w:rsid w:val="007F39D7"/>
    <w:rsid w:val="007F3A04"/>
    <w:rsid w:val="007F4F85"/>
    <w:rsid w:val="007F51FF"/>
    <w:rsid w:val="007F5557"/>
    <w:rsid w:val="007F5CD4"/>
    <w:rsid w:val="007F61E2"/>
    <w:rsid w:val="007F6E07"/>
    <w:rsid w:val="007F730F"/>
    <w:rsid w:val="007F7563"/>
    <w:rsid w:val="007F7A54"/>
    <w:rsid w:val="007F7AB8"/>
    <w:rsid w:val="00800125"/>
    <w:rsid w:val="0080026A"/>
    <w:rsid w:val="00800FCD"/>
    <w:rsid w:val="00801057"/>
    <w:rsid w:val="00801387"/>
    <w:rsid w:val="00801BFF"/>
    <w:rsid w:val="00802090"/>
    <w:rsid w:val="0080250E"/>
    <w:rsid w:val="0080281E"/>
    <w:rsid w:val="0080288E"/>
    <w:rsid w:val="00803DDF"/>
    <w:rsid w:val="00805261"/>
    <w:rsid w:val="0080563D"/>
    <w:rsid w:val="00805753"/>
    <w:rsid w:val="00805C9D"/>
    <w:rsid w:val="00805F75"/>
    <w:rsid w:val="00806071"/>
    <w:rsid w:val="00806795"/>
    <w:rsid w:val="008078AC"/>
    <w:rsid w:val="00807C1B"/>
    <w:rsid w:val="00807C89"/>
    <w:rsid w:val="00810489"/>
    <w:rsid w:val="0081052C"/>
    <w:rsid w:val="00810B18"/>
    <w:rsid w:val="00811026"/>
    <w:rsid w:val="00811B7A"/>
    <w:rsid w:val="00811E77"/>
    <w:rsid w:val="00812638"/>
    <w:rsid w:val="00812647"/>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5BB"/>
    <w:rsid w:val="00822609"/>
    <w:rsid w:val="00822B0C"/>
    <w:rsid w:val="00822C45"/>
    <w:rsid w:val="00823810"/>
    <w:rsid w:val="008241E4"/>
    <w:rsid w:val="00824912"/>
    <w:rsid w:val="00824F1A"/>
    <w:rsid w:val="00825B07"/>
    <w:rsid w:val="0082643C"/>
    <w:rsid w:val="008265E8"/>
    <w:rsid w:val="00826634"/>
    <w:rsid w:val="00826C0C"/>
    <w:rsid w:val="00827E75"/>
    <w:rsid w:val="00830810"/>
    <w:rsid w:val="008309CF"/>
    <w:rsid w:val="00830AF8"/>
    <w:rsid w:val="00830DC0"/>
    <w:rsid w:val="00831427"/>
    <w:rsid w:val="00831A0E"/>
    <w:rsid w:val="00831C09"/>
    <w:rsid w:val="00831C68"/>
    <w:rsid w:val="008322FB"/>
    <w:rsid w:val="00832566"/>
    <w:rsid w:val="0083272D"/>
    <w:rsid w:val="00832E6A"/>
    <w:rsid w:val="00833E4E"/>
    <w:rsid w:val="0083473D"/>
    <w:rsid w:val="00834990"/>
    <w:rsid w:val="00834AF4"/>
    <w:rsid w:val="00834BEC"/>
    <w:rsid w:val="00834D47"/>
    <w:rsid w:val="00834DC9"/>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29DB"/>
    <w:rsid w:val="00842BA8"/>
    <w:rsid w:val="0084324E"/>
    <w:rsid w:val="00844B2A"/>
    <w:rsid w:val="00844ED2"/>
    <w:rsid w:val="0084562E"/>
    <w:rsid w:val="00845B95"/>
    <w:rsid w:val="00845CAA"/>
    <w:rsid w:val="0084736D"/>
    <w:rsid w:val="008479BC"/>
    <w:rsid w:val="00847C79"/>
    <w:rsid w:val="008509B7"/>
    <w:rsid w:val="00850A19"/>
    <w:rsid w:val="0085106C"/>
    <w:rsid w:val="008514EC"/>
    <w:rsid w:val="00851F31"/>
    <w:rsid w:val="0085233E"/>
    <w:rsid w:val="008524F7"/>
    <w:rsid w:val="00852A9A"/>
    <w:rsid w:val="008534F6"/>
    <w:rsid w:val="008534FA"/>
    <w:rsid w:val="00853616"/>
    <w:rsid w:val="00853704"/>
    <w:rsid w:val="00853C23"/>
    <w:rsid w:val="0085413E"/>
    <w:rsid w:val="008542DA"/>
    <w:rsid w:val="00854674"/>
    <w:rsid w:val="00854784"/>
    <w:rsid w:val="00854C8E"/>
    <w:rsid w:val="00855DF6"/>
    <w:rsid w:val="0085729A"/>
    <w:rsid w:val="008575ED"/>
    <w:rsid w:val="00857F3D"/>
    <w:rsid w:val="008600E4"/>
    <w:rsid w:val="00860F08"/>
    <w:rsid w:val="008612F5"/>
    <w:rsid w:val="00861F9D"/>
    <w:rsid w:val="008623C7"/>
    <w:rsid w:val="0086307F"/>
    <w:rsid w:val="00863113"/>
    <w:rsid w:val="008639AD"/>
    <w:rsid w:val="00863C1F"/>
    <w:rsid w:val="00863E8B"/>
    <w:rsid w:val="0086436B"/>
    <w:rsid w:val="0086620F"/>
    <w:rsid w:val="00870856"/>
    <w:rsid w:val="008708CA"/>
    <w:rsid w:val="0087157B"/>
    <w:rsid w:val="00873845"/>
    <w:rsid w:val="00875FC0"/>
    <w:rsid w:val="00876522"/>
    <w:rsid w:val="00876AAE"/>
    <w:rsid w:val="00876AE3"/>
    <w:rsid w:val="008775DB"/>
    <w:rsid w:val="00877B07"/>
    <w:rsid w:val="00877B7A"/>
    <w:rsid w:val="00880C57"/>
    <w:rsid w:val="00880EFA"/>
    <w:rsid w:val="00881EBC"/>
    <w:rsid w:val="008828DF"/>
    <w:rsid w:val="00882E91"/>
    <w:rsid w:val="00882EA8"/>
    <w:rsid w:val="00883EE1"/>
    <w:rsid w:val="0088421A"/>
    <w:rsid w:val="00884ED2"/>
    <w:rsid w:val="00885317"/>
    <w:rsid w:val="0088567D"/>
    <w:rsid w:val="00885D0E"/>
    <w:rsid w:val="008863EC"/>
    <w:rsid w:val="00887227"/>
    <w:rsid w:val="00887F33"/>
    <w:rsid w:val="008900AA"/>
    <w:rsid w:val="00890427"/>
    <w:rsid w:val="0089060E"/>
    <w:rsid w:val="0089096B"/>
    <w:rsid w:val="00890F4B"/>
    <w:rsid w:val="00891367"/>
    <w:rsid w:val="008919D4"/>
    <w:rsid w:val="00892157"/>
    <w:rsid w:val="0089225A"/>
    <w:rsid w:val="00892AC0"/>
    <w:rsid w:val="008930DB"/>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8B"/>
    <w:rsid w:val="008A3DB6"/>
    <w:rsid w:val="008A56ED"/>
    <w:rsid w:val="008A5BE4"/>
    <w:rsid w:val="008A7E3B"/>
    <w:rsid w:val="008B0364"/>
    <w:rsid w:val="008B0379"/>
    <w:rsid w:val="008B05C9"/>
    <w:rsid w:val="008B0D70"/>
    <w:rsid w:val="008B0EA7"/>
    <w:rsid w:val="008B18C5"/>
    <w:rsid w:val="008B427C"/>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D36"/>
    <w:rsid w:val="008D1F27"/>
    <w:rsid w:val="008D2F95"/>
    <w:rsid w:val="008D384C"/>
    <w:rsid w:val="008D3EF5"/>
    <w:rsid w:val="008D434C"/>
    <w:rsid w:val="008D483E"/>
    <w:rsid w:val="008D4BD7"/>
    <w:rsid w:val="008D56F1"/>
    <w:rsid w:val="008D6375"/>
    <w:rsid w:val="008D754D"/>
    <w:rsid w:val="008E02E0"/>
    <w:rsid w:val="008E0670"/>
    <w:rsid w:val="008E114F"/>
    <w:rsid w:val="008E1153"/>
    <w:rsid w:val="008E1495"/>
    <w:rsid w:val="008E1D76"/>
    <w:rsid w:val="008E2594"/>
    <w:rsid w:val="008E3455"/>
    <w:rsid w:val="008E3BFB"/>
    <w:rsid w:val="008E405A"/>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6FF"/>
    <w:rsid w:val="00903EFE"/>
    <w:rsid w:val="009040EB"/>
    <w:rsid w:val="0090437C"/>
    <w:rsid w:val="009044BC"/>
    <w:rsid w:val="0090472D"/>
    <w:rsid w:val="00904DBE"/>
    <w:rsid w:val="0090518E"/>
    <w:rsid w:val="0090563D"/>
    <w:rsid w:val="00906BF4"/>
    <w:rsid w:val="00906EF4"/>
    <w:rsid w:val="00910D9D"/>
    <w:rsid w:val="00910F33"/>
    <w:rsid w:val="00911691"/>
    <w:rsid w:val="009118B0"/>
    <w:rsid w:val="00911F29"/>
    <w:rsid w:val="009124E6"/>
    <w:rsid w:val="00913944"/>
    <w:rsid w:val="009147E0"/>
    <w:rsid w:val="0091606A"/>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36F"/>
    <w:rsid w:val="00937FBA"/>
    <w:rsid w:val="00940407"/>
    <w:rsid w:val="00940BA5"/>
    <w:rsid w:val="00940E29"/>
    <w:rsid w:val="0094325C"/>
    <w:rsid w:val="00945766"/>
    <w:rsid w:val="009457AC"/>
    <w:rsid w:val="00945B1E"/>
    <w:rsid w:val="0094609D"/>
    <w:rsid w:val="00946484"/>
    <w:rsid w:val="00946970"/>
    <w:rsid w:val="00946B28"/>
    <w:rsid w:val="00947447"/>
    <w:rsid w:val="00947A17"/>
    <w:rsid w:val="009505ED"/>
    <w:rsid w:val="009510F9"/>
    <w:rsid w:val="009516DD"/>
    <w:rsid w:val="00951D77"/>
    <w:rsid w:val="00951EDC"/>
    <w:rsid w:val="00951F1A"/>
    <w:rsid w:val="00953586"/>
    <w:rsid w:val="0095377C"/>
    <w:rsid w:val="00953A0D"/>
    <w:rsid w:val="00954532"/>
    <w:rsid w:val="00954C5C"/>
    <w:rsid w:val="00954D4A"/>
    <w:rsid w:val="00954E60"/>
    <w:rsid w:val="009552E3"/>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27D4"/>
    <w:rsid w:val="00964583"/>
    <w:rsid w:val="00964775"/>
    <w:rsid w:val="00964ACE"/>
    <w:rsid w:val="009659F8"/>
    <w:rsid w:val="009664CB"/>
    <w:rsid w:val="00966CC0"/>
    <w:rsid w:val="009671A1"/>
    <w:rsid w:val="0097179C"/>
    <w:rsid w:val="0097191C"/>
    <w:rsid w:val="0097198A"/>
    <w:rsid w:val="00972B82"/>
    <w:rsid w:val="009734BF"/>
    <w:rsid w:val="009737F3"/>
    <w:rsid w:val="00973C3E"/>
    <w:rsid w:val="00974ACC"/>
    <w:rsid w:val="00974C49"/>
    <w:rsid w:val="00974EE4"/>
    <w:rsid w:val="009754CE"/>
    <w:rsid w:val="009756B6"/>
    <w:rsid w:val="00975D24"/>
    <w:rsid w:val="00975EF7"/>
    <w:rsid w:val="009774BE"/>
    <w:rsid w:val="00977EFF"/>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90175"/>
    <w:rsid w:val="00990561"/>
    <w:rsid w:val="00991ED6"/>
    <w:rsid w:val="009920A0"/>
    <w:rsid w:val="00992E8A"/>
    <w:rsid w:val="00992E8D"/>
    <w:rsid w:val="009937FD"/>
    <w:rsid w:val="00994D80"/>
    <w:rsid w:val="00994F4D"/>
    <w:rsid w:val="0099532E"/>
    <w:rsid w:val="0099582B"/>
    <w:rsid w:val="00995DAF"/>
    <w:rsid w:val="00995FC3"/>
    <w:rsid w:val="00996AA6"/>
    <w:rsid w:val="00997230"/>
    <w:rsid w:val="009A0274"/>
    <w:rsid w:val="009A035E"/>
    <w:rsid w:val="009A0E19"/>
    <w:rsid w:val="009A1758"/>
    <w:rsid w:val="009A18AB"/>
    <w:rsid w:val="009A2445"/>
    <w:rsid w:val="009A2D7C"/>
    <w:rsid w:val="009A2E19"/>
    <w:rsid w:val="009A30FE"/>
    <w:rsid w:val="009A4644"/>
    <w:rsid w:val="009A468E"/>
    <w:rsid w:val="009A480D"/>
    <w:rsid w:val="009A4908"/>
    <w:rsid w:val="009A6258"/>
    <w:rsid w:val="009A6B3A"/>
    <w:rsid w:val="009A76F7"/>
    <w:rsid w:val="009B00E1"/>
    <w:rsid w:val="009B01CF"/>
    <w:rsid w:val="009B02DB"/>
    <w:rsid w:val="009B0A50"/>
    <w:rsid w:val="009B18B9"/>
    <w:rsid w:val="009B1DA0"/>
    <w:rsid w:val="009B1F5D"/>
    <w:rsid w:val="009B2407"/>
    <w:rsid w:val="009B3BEA"/>
    <w:rsid w:val="009B41BA"/>
    <w:rsid w:val="009B44F0"/>
    <w:rsid w:val="009B4EB7"/>
    <w:rsid w:val="009B545D"/>
    <w:rsid w:val="009B5957"/>
    <w:rsid w:val="009B5C0B"/>
    <w:rsid w:val="009B6209"/>
    <w:rsid w:val="009B7273"/>
    <w:rsid w:val="009B7356"/>
    <w:rsid w:val="009B7FAC"/>
    <w:rsid w:val="009C0870"/>
    <w:rsid w:val="009C0C99"/>
    <w:rsid w:val="009C1122"/>
    <w:rsid w:val="009C1840"/>
    <w:rsid w:val="009C1B99"/>
    <w:rsid w:val="009C1DC2"/>
    <w:rsid w:val="009C323A"/>
    <w:rsid w:val="009C3AE8"/>
    <w:rsid w:val="009C4087"/>
    <w:rsid w:val="009C4959"/>
    <w:rsid w:val="009C4CFF"/>
    <w:rsid w:val="009C5961"/>
    <w:rsid w:val="009C6B84"/>
    <w:rsid w:val="009C6C45"/>
    <w:rsid w:val="009C76A3"/>
    <w:rsid w:val="009C79E5"/>
    <w:rsid w:val="009C7ACB"/>
    <w:rsid w:val="009C7C85"/>
    <w:rsid w:val="009D03F6"/>
    <w:rsid w:val="009D04E7"/>
    <w:rsid w:val="009D1AF8"/>
    <w:rsid w:val="009D2051"/>
    <w:rsid w:val="009D2BB6"/>
    <w:rsid w:val="009D35D7"/>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3E1C"/>
    <w:rsid w:val="009F4B7F"/>
    <w:rsid w:val="009F5C78"/>
    <w:rsid w:val="009F697A"/>
    <w:rsid w:val="009F6DAC"/>
    <w:rsid w:val="009F7309"/>
    <w:rsid w:val="009F763F"/>
    <w:rsid w:val="009F7748"/>
    <w:rsid w:val="009F7802"/>
    <w:rsid w:val="009F791B"/>
    <w:rsid w:val="009F79D5"/>
    <w:rsid w:val="009F7D96"/>
    <w:rsid w:val="00A007E7"/>
    <w:rsid w:val="00A02865"/>
    <w:rsid w:val="00A035DE"/>
    <w:rsid w:val="00A035EA"/>
    <w:rsid w:val="00A04F59"/>
    <w:rsid w:val="00A05597"/>
    <w:rsid w:val="00A055B5"/>
    <w:rsid w:val="00A05B20"/>
    <w:rsid w:val="00A070DE"/>
    <w:rsid w:val="00A0718D"/>
    <w:rsid w:val="00A07468"/>
    <w:rsid w:val="00A0797A"/>
    <w:rsid w:val="00A07FED"/>
    <w:rsid w:val="00A105EC"/>
    <w:rsid w:val="00A10792"/>
    <w:rsid w:val="00A10896"/>
    <w:rsid w:val="00A10C0A"/>
    <w:rsid w:val="00A11019"/>
    <w:rsid w:val="00A114E5"/>
    <w:rsid w:val="00A115CB"/>
    <w:rsid w:val="00A116B1"/>
    <w:rsid w:val="00A11A73"/>
    <w:rsid w:val="00A11A7E"/>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FCF"/>
    <w:rsid w:val="00A269B5"/>
    <w:rsid w:val="00A26A3F"/>
    <w:rsid w:val="00A2722A"/>
    <w:rsid w:val="00A2726D"/>
    <w:rsid w:val="00A273E2"/>
    <w:rsid w:val="00A276A9"/>
    <w:rsid w:val="00A27CC6"/>
    <w:rsid w:val="00A30627"/>
    <w:rsid w:val="00A30B6C"/>
    <w:rsid w:val="00A31B92"/>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15CF"/>
    <w:rsid w:val="00A43813"/>
    <w:rsid w:val="00A43D47"/>
    <w:rsid w:val="00A440A6"/>
    <w:rsid w:val="00A4618D"/>
    <w:rsid w:val="00A464E1"/>
    <w:rsid w:val="00A46C4E"/>
    <w:rsid w:val="00A46D95"/>
    <w:rsid w:val="00A46E0E"/>
    <w:rsid w:val="00A47081"/>
    <w:rsid w:val="00A47480"/>
    <w:rsid w:val="00A47E8C"/>
    <w:rsid w:val="00A50173"/>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247"/>
    <w:rsid w:val="00A63679"/>
    <w:rsid w:val="00A63A8F"/>
    <w:rsid w:val="00A64389"/>
    <w:rsid w:val="00A64797"/>
    <w:rsid w:val="00A64817"/>
    <w:rsid w:val="00A71960"/>
    <w:rsid w:val="00A71CDE"/>
    <w:rsid w:val="00A7252E"/>
    <w:rsid w:val="00A72BBC"/>
    <w:rsid w:val="00A72E18"/>
    <w:rsid w:val="00A730F3"/>
    <w:rsid w:val="00A74BE6"/>
    <w:rsid w:val="00A7557C"/>
    <w:rsid w:val="00A758A4"/>
    <w:rsid w:val="00A768A2"/>
    <w:rsid w:val="00A76A55"/>
    <w:rsid w:val="00A773B4"/>
    <w:rsid w:val="00A80948"/>
    <w:rsid w:val="00A81CAD"/>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1FE5"/>
    <w:rsid w:val="00A92A16"/>
    <w:rsid w:val="00A93154"/>
    <w:rsid w:val="00A93214"/>
    <w:rsid w:val="00A93552"/>
    <w:rsid w:val="00A93C27"/>
    <w:rsid w:val="00A93C2B"/>
    <w:rsid w:val="00A93DC1"/>
    <w:rsid w:val="00A94D8C"/>
    <w:rsid w:val="00A95EA8"/>
    <w:rsid w:val="00A96FC0"/>
    <w:rsid w:val="00A97BFA"/>
    <w:rsid w:val="00AA007C"/>
    <w:rsid w:val="00AA0B30"/>
    <w:rsid w:val="00AA1C6C"/>
    <w:rsid w:val="00AA25C9"/>
    <w:rsid w:val="00AA3726"/>
    <w:rsid w:val="00AA40AA"/>
    <w:rsid w:val="00AA4F09"/>
    <w:rsid w:val="00AA5C2A"/>
    <w:rsid w:val="00AA7A72"/>
    <w:rsid w:val="00AA7DCE"/>
    <w:rsid w:val="00AA7E19"/>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6F61"/>
    <w:rsid w:val="00AB7601"/>
    <w:rsid w:val="00AB7957"/>
    <w:rsid w:val="00AB7A15"/>
    <w:rsid w:val="00AB7D9C"/>
    <w:rsid w:val="00AC0B45"/>
    <w:rsid w:val="00AC1506"/>
    <w:rsid w:val="00AC1E53"/>
    <w:rsid w:val="00AC3D15"/>
    <w:rsid w:val="00AC42FA"/>
    <w:rsid w:val="00AC455C"/>
    <w:rsid w:val="00AC4D66"/>
    <w:rsid w:val="00AC53A7"/>
    <w:rsid w:val="00AC5C0E"/>
    <w:rsid w:val="00AC5FCE"/>
    <w:rsid w:val="00AC615E"/>
    <w:rsid w:val="00AC62B7"/>
    <w:rsid w:val="00AC6BDA"/>
    <w:rsid w:val="00AC6E20"/>
    <w:rsid w:val="00AC7A38"/>
    <w:rsid w:val="00AD07F1"/>
    <w:rsid w:val="00AD08BD"/>
    <w:rsid w:val="00AD20E0"/>
    <w:rsid w:val="00AD2BE1"/>
    <w:rsid w:val="00AD330F"/>
    <w:rsid w:val="00AD3C49"/>
    <w:rsid w:val="00AD3D21"/>
    <w:rsid w:val="00AD4939"/>
    <w:rsid w:val="00AD4A59"/>
    <w:rsid w:val="00AD5A14"/>
    <w:rsid w:val="00AD68F8"/>
    <w:rsid w:val="00AE0B68"/>
    <w:rsid w:val="00AE0F54"/>
    <w:rsid w:val="00AE10CD"/>
    <w:rsid w:val="00AE1499"/>
    <w:rsid w:val="00AE2D0A"/>
    <w:rsid w:val="00AE3725"/>
    <w:rsid w:val="00AE4E58"/>
    <w:rsid w:val="00AE5139"/>
    <w:rsid w:val="00AE5307"/>
    <w:rsid w:val="00AE54FA"/>
    <w:rsid w:val="00AE5C8B"/>
    <w:rsid w:val="00AE5DD0"/>
    <w:rsid w:val="00AE653E"/>
    <w:rsid w:val="00AE65CA"/>
    <w:rsid w:val="00AE6800"/>
    <w:rsid w:val="00AE6CDA"/>
    <w:rsid w:val="00AE72FC"/>
    <w:rsid w:val="00AE751E"/>
    <w:rsid w:val="00AF16A0"/>
    <w:rsid w:val="00AF239F"/>
    <w:rsid w:val="00AF23AA"/>
    <w:rsid w:val="00AF23C2"/>
    <w:rsid w:val="00AF3040"/>
    <w:rsid w:val="00AF39BC"/>
    <w:rsid w:val="00AF4046"/>
    <w:rsid w:val="00AF4B87"/>
    <w:rsid w:val="00AF51E5"/>
    <w:rsid w:val="00AF52E7"/>
    <w:rsid w:val="00AF5D55"/>
    <w:rsid w:val="00AF605B"/>
    <w:rsid w:val="00AF741B"/>
    <w:rsid w:val="00AF7453"/>
    <w:rsid w:val="00AF7C3D"/>
    <w:rsid w:val="00AF7E72"/>
    <w:rsid w:val="00B007A2"/>
    <w:rsid w:val="00B0115C"/>
    <w:rsid w:val="00B0432F"/>
    <w:rsid w:val="00B043ED"/>
    <w:rsid w:val="00B054FF"/>
    <w:rsid w:val="00B05CB6"/>
    <w:rsid w:val="00B0633F"/>
    <w:rsid w:val="00B070A0"/>
    <w:rsid w:val="00B07CC0"/>
    <w:rsid w:val="00B07D53"/>
    <w:rsid w:val="00B102F5"/>
    <w:rsid w:val="00B103BE"/>
    <w:rsid w:val="00B103E9"/>
    <w:rsid w:val="00B10C24"/>
    <w:rsid w:val="00B11586"/>
    <w:rsid w:val="00B11E6D"/>
    <w:rsid w:val="00B11FA4"/>
    <w:rsid w:val="00B12242"/>
    <w:rsid w:val="00B1393B"/>
    <w:rsid w:val="00B140D2"/>
    <w:rsid w:val="00B14CD1"/>
    <w:rsid w:val="00B15491"/>
    <w:rsid w:val="00B1562F"/>
    <w:rsid w:val="00B159D6"/>
    <w:rsid w:val="00B16D63"/>
    <w:rsid w:val="00B17629"/>
    <w:rsid w:val="00B21D6E"/>
    <w:rsid w:val="00B222E4"/>
    <w:rsid w:val="00B22C39"/>
    <w:rsid w:val="00B22DE0"/>
    <w:rsid w:val="00B23D2D"/>
    <w:rsid w:val="00B243E5"/>
    <w:rsid w:val="00B24FEA"/>
    <w:rsid w:val="00B2540B"/>
    <w:rsid w:val="00B25B94"/>
    <w:rsid w:val="00B25FE6"/>
    <w:rsid w:val="00B26102"/>
    <w:rsid w:val="00B26407"/>
    <w:rsid w:val="00B26CD6"/>
    <w:rsid w:val="00B27255"/>
    <w:rsid w:val="00B2749B"/>
    <w:rsid w:val="00B2763A"/>
    <w:rsid w:val="00B27A0A"/>
    <w:rsid w:val="00B30160"/>
    <w:rsid w:val="00B3068C"/>
    <w:rsid w:val="00B308B8"/>
    <w:rsid w:val="00B3155C"/>
    <w:rsid w:val="00B317DC"/>
    <w:rsid w:val="00B31E48"/>
    <w:rsid w:val="00B327F4"/>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44BC"/>
    <w:rsid w:val="00B45535"/>
    <w:rsid w:val="00B4553C"/>
    <w:rsid w:val="00B4572C"/>
    <w:rsid w:val="00B459C8"/>
    <w:rsid w:val="00B45BAB"/>
    <w:rsid w:val="00B46975"/>
    <w:rsid w:val="00B472EC"/>
    <w:rsid w:val="00B52046"/>
    <w:rsid w:val="00B5259A"/>
    <w:rsid w:val="00B528DA"/>
    <w:rsid w:val="00B52CB1"/>
    <w:rsid w:val="00B53C9A"/>
    <w:rsid w:val="00B53D31"/>
    <w:rsid w:val="00B549CA"/>
    <w:rsid w:val="00B54F64"/>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014"/>
    <w:rsid w:val="00B65382"/>
    <w:rsid w:val="00B65491"/>
    <w:rsid w:val="00B65CBD"/>
    <w:rsid w:val="00B66802"/>
    <w:rsid w:val="00B67453"/>
    <w:rsid w:val="00B675F7"/>
    <w:rsid w:val="00B67A78"/>
    <w:rsid w:val="00B7086A"/>
    <w:rsid w:val="00B70A5F"/>
    <w:rsid w:val="00B70C27"/>
    <w:rsid w:val="00B70E97"/>
    <w:rsid w:val="00B715DC"/>
    <w:rsid w:val="00B71ACD"/>
    <w:rsid w:val="00B7211A"/>
    <w:rsid w:val="00B722FE"/>
    <w:rsid w:val="00B729F1"/>
    <w:rsid w:val="00B7300C"/>
    <w:rsid w:val="00B73222"/>
    <w:rsid w:val="00B74D56"/>
    <w:rsid w:val="00B759A8"/>
    <w:rsid w:val="00B75CCA"/>
    <w:rsid w:val="00B768A7"/>
    <w:rsid w:val="00B76970"/>
    <w:rsid w:val="00B7738B"/>
    <w:rsid w:val="00B77A80"/>
    <w:rsid w:val="00B77D39"/>
    <w:rsid w:val="00B77E9E"/>
    <w:rsid w:val="00B80406"/>
    <w:rsid w:val="00B80A5E"/>
    <w:rsid w:val="00B80F1F"/>
    <w:rsid w:val="00B8146F"/>
    <w:rsid w:val="00B8167D"/>
    <w:rsid w:val="00B82C49"/>
    <w:rsid w:val="00B82D90"/>
    <w:rsid w:val="00B82FB4"/>
    <w:rsid w:val="00B83B69"/>
    <w:rsid w:val="00B83DFC"/>
    <w:rsid w:val="00B84F5E"/>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97D66"/>
    <w:rsid w:val="00BA0391"/>
    <w:rsid w:val="00BA060B"/>
    <w:rsid w:val="00BA0DCD"/>
    <w:rsid w:val="00BA2423"/>
    <w:rsid w:val="00BA34B1"/>
    <w:rsid w:val="00BA382E"/>
    <w:rsid w:val="00BA3830"/>
    <w:rsid w:val="00BA41E7"/>
    <w:rsid w:val="00BA42E0"/>
    <w:rsid w:val="00BA4640"/>
    <w:rsid w:val="00BA5792"/>
    <w:rsid w:val="00BA7701"/>
    <w:rsid w:val="00BA7BAB"/>
    <w:rsid w:val="00BA7C02"/>
    <w:rsid w:val="00BA7C73"/>
    <w:rsid w:val="00BB00C3"/>
    <w:rsid w:val="00BB01F3"/>
    <w:rsid w:val="00BB0741"/>
    <w:rsid w:val="00BB1020"/>
    <w:rsid w:val="00BB17AD"/>
    <w:rsid w:val="00BB292D"/>
    <w:rsid w:val="00BB300F"/>
    <w:rsid w:val="00BB369B"/>
    <w:rsid w:val="00BB3866"/>
    <w:rsid w:val="00BB3919"/>
    <w:rsid w:val="00BB3A56"/>
    <w:rsid w:val="00BB3E2E"/>
    <w:rsid w:val="00BB49CB"/>
    <w:rsid w:val="00BB4CAE"/>
    <w:rsid w:val="00BB6187"/>
    <w:rsid w:val="00BB67F1"/>
    <w:rsid w:val="00BB79C2"/>
    <w:rsid w:val="00BB7F0F"/>
    <w:rsid w:val="00BC0EC7"/>
    <w:rsid w:val="00BC1722"/>
    <w:rsid w:val="00BC194A"/>
    <w:rsid w:val="00BC2214"/>
    <w:rsid w:val="00BC2825"/>
    <w:rsid w:val="00BC28B3"/>
    <w:rsid w:val="00BC2E96"/>
    <w:rsid w:val="00BC365F"/>
    <w:rsid w:val="00BC406F"/>
    <w:rsid w:val="00BC4C88"/>
    <w:rsid w:val="00BC4F84"/>
    <w:rsid w:val="00BC59CA"/>
    <w:rsid w:val="00BC6836"/>
    <w:rsid w:val="00BC6970"/>
    <w:rsid w:val="00BC6D81"/>
    <w:rsid w:val="00BC6F87"/>
    <w:rsid w:val="00BC734E"/>
    <w:rsid w:val="00BC7713"/>
    <w:rsid w:val="00BC7C93"/>
    <w:rsid w:val="00BC7F2A"/>
    <w:rsid w:val="00BD0286"/>
    <w:rsid w:val="00BD1B3F"/>
    <w:rsid w:val="00BD33A9"/>
    <w:rsid w:val="00BD33BE"/>
    <w:rsid w:val="00BD3792"/>
    <w:rsid w:val="00BD3C72"/>
    <w:rsid w:val="00BD4E12"/>
    <w:rsid w:val="00BD5D4E"/>
    <w:rsid w:val="00BD7991"/>
    <w:rsid w:val="00BE0BDD"/>
    <w:rsid w:val="00BE21E3"/>
    <w:rsid w:val="00BE305B"/>
    <w:rsid w:val="00BE61FE"/>
    <w:rsid w:val="00BE62B2"/>
    <w:rsid w:val="00BE6350"/>
    <w:rsid w:val="00BE6C24"/>
    <w:rsid w:val="00BE7287"/>
    <w:rsid w:val="00BE7C93"/>
    <w:rsid w:val="00BF0362"/>
    <w:rsid w:val="00BF0479"/>
    <w:rsid w:val="00BF0D73"/>
    <w:rsid w:val="00BF1D23"/>
    <w:rsid w:val="00BF1F82"/>
    <w:rsid w:val="00BF2520"/>
    <w:rsid w:val="00BF3470"/>
    <w:rsid w:val="00BF3B94"/>
    <w:rsid w:val="00BF3FF8"/>
    <w:rsid w:val="00BF4C53"/>
    <w:rsid w:val="00BF5294"/>
    <w:rsid w:val="00BF54DC"/>
    <w:rsid w:val="00BF5748"/>
    <w:rsid w:val="00BF6270"/>
    <w:rsid w:val="00BF67B7"/>
    <w:rsid w:val="00BF6E82"/>
    <w:rsid w:val="00BF770B"/>
    <w:rsid w:val="00C00567"/>
    <w:rsid w:val="00C01510"/>
    <w:rsid w:val="00C01CEB"/>
    <w:rsid w:val="00C01F6E"/>
    <w:rsid w:val="00C03249"/>
    <w:rsid w:val="00C05896"/>
    <w:rsid w:val="00C0599A"/>
    <w:rsid w:val="00C0651F"/>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F8A"/>
    <w:rsid w:val="00C24B05"/>
    <w:rsid w:val="00C25D31"/>
    <w:rsid w:val="00C265D0"/>
    <w:rsid w:val="00C26A6C"/>
    <w:rsid w:val="00C26FE5"/>
    <w:rsid w:val="00C3022B"/>
    <w:rsid w:val="00C30723"/>
    <w:rsid w:val="00C30D0E"/>
    <w:rsid w:val="00C31756"/>
    <w:rsid w:val="00C31F7F"/>
    <w:rsid w:val="00C32186"/>
    <w:rsid w:val="00C32A3B"/>
    <w:rsid w:val="00C33285"/>
    <w:rsid w:val="00C335AE"/>
    <w:rsid w:val="00C35C70"/>
    <w:rsid w:val="00C35E26"/>
    <w:rsid w:val="00C36684"/>
    <w:rsid w:val="00C36F0A"/>
    <w:rsid w:val="00C36F4F"/>
    <w:rsid w:val="00C372CB"/>
    <w:rsid w:val="00C4067A"/>
    <w:rsid w:val="00C41480"/>
    <w:rsid w:val="00C4368E"/>
    <w:rsid w:val="00C44052"/>
    <w:rsid w:val="00C44368"/>
    <w:rsid w:val="00C46111"/>
    <w:rsid w:val="00C46822"/>
    <w:rsid w:val="00C46CE5"/>
    <w:rsid w:val="00C50260"/>
    <w:rsid w:val="00C51395"/>
    <w:rsid w:val="00C51553"/>
    <w:rsid w:val="00C518A5"/>
    <w:rsid w:val="00C51A60"/>
    <w:rsid w:val="00C51C2C"/>
    <w:rsid w:val="00C52334"/>
    <w:rsid w:val="00C52C65"/>
    <w:rsid w:val="00C53110"/>
    <w:rsid w:val="00C53636"/>
    <w:rsid w:val="00C5367D"/>
    <w:rsid w:val="00C53B12"/>
    <w:rsid w:val="00C541B2"/>
    <w:rsid w:val="00C54928"/>
    <w:rsid w:val="00C54A44"/>
    <w:rsid w:val="00C54E2A"/>
    <w:rsid w:val="00C56318"/>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57"/>
    <w:rsid w:val="00C66492"/>
    <w:rsid w:val="00C664AB"/>
    <w:rsid w:val="00C66584"/>
    <w:rsid w:val="00C66705"/>
    <w:rsid w:val="00C67754"/>
    <w:rsid w:val="00C70254"/>
    <w:rsid w:val="00C703C0"/>
    <w:rsid w:val="00C706D1"/>
    <w:rsid w:val="00C706E1"/>
    <w:rsid w:val="00C70FAE"/>
    <w:rsid w:val="00C71284"/>
    <w:rsid w:val="00C72DD5"/>
    <w:rsid w:val="00C733A6"/>
    <w:rsid w:val="00C737B0"/>
    <w:rsid w:val="00C73D39"/>
    <w:rsid w:val="00C75B40"/>
    <w:rsid w:val="00C75CE0"/>
    <w:rsid w:val="00C7675A"/>
    <w:rsid w:val="00C76E9D"/>
    <w:rsid w:val="00C77A62"/>
    <w:rsid w:val="00C816DF"/>
    <w:rsid w:val="00C820EE"/>
    <w:rsid w:val="00C84713"/>
    <w:rsid w:val="00C84758"/>
    <w:rsid w:val="00C84B4F"/>
    <w:rsid w:val="00C853AB"/>
    <w:rsid w:val="00C85E30"/>
    <w:rsid w:val="00C85F72"/>
    <w:rsid w:val="00C86896"/>
    <w:rsid w:val="00C876E1"/>
    <w:rsid w:val="00C87792"/>
    <w:rsid w:val="00C90522"/>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567"/>
    <w:rsid w:val="00CB277F"/>
    <w:rsid w:val="00CB2D1B"/>
    <w:rsid w:val="00CB310A"/>
    <w:rsid w:val="00CB3318"/>
    <w:rsid w:val="00CB3628"/>
    <w:rsid w:val="00CB407C"/>
    <w:rsid w:val="00CB46B4"/>
    <w:rsid w:val="00CB4940"/>
    <w:rsid w:val="00CB5D5B"/>
    <w:rsid w:val="00CB6D0C"/>
    <w:rsid w:val="00CB6E94"/>
    <w:rsid w:val="00CB7060"/>
    <w:rsid w:val="00CB77F2"/>
    <w:rsid w:val="00CB7DD6"/>
    <w:rsid w:val="00CC0438"/>
    <w:rsid w:val="00CC0563"/>
    <w:rsid w:val="00CC140D"/>
    <w:rsid w:val="00CC2270"/>
    <w:rsid w:val="00CC3277"/>
    <w:rsid w:val="00CC385B"/>
    <w:rsid w:val="00CC4207"/>
    <w:rsid w:val="00CC5102"/>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7055"/>
    <w:rsid w:val="00CD7340"/>
    <w:rsid w:val="00CD7AAA"/>
    <w:rsid w:val="00CE06B1"/>
    <w:rsid w:val="00CE0944"/>
    <w:rsid w:val="00CE0A76"/>
    <w:rsid w:val="00CE0CBC"/>
    <w:rsid w:val="00CE1F13"/>
    <w:rsid w:val="00CE2292"/>
    <w:rsid w:val="00CE2D08"/>
    <w:rsid w:val="00CE3120"/>
    <w:rsid w:val="00CE3C60"/>
    <w:rsid w:val="00CE42DB"/>
    <w:rsid w:val="00CE4C6F"/>
    <w:rsid w:val="00CE52CC"/>
    <w:rsid w:val="00CE53F4"/>
    <w:rsid w:val="00CE5510"/>
    <w:rsid w:val="00CE57C2"/>
    <w:rsid w:val="00CE5B19"/>
    <w:rsid w:val="00CE5B5C"/>
    <w:rsid w:val="00CE5B69"/>
    <w:rsid w:val="00CE6071"/>
    <w:rsid w:val="00CE66E3"/>
    <w:rsid w:val="00CE793F"/>
    <w:rsid w:val="00CF0FA5"/>
    <w:rsid w:val="00CF15DD"/>
    <w:rsid w:val="00CF223D"/>
    <w:rsid w:val="00CF2824"/>
    <w:rsid w:val="00CF3526"/>
    <w:rsid w:val="00CF357F"/>
    <w:rsid w:val="00CF3A33"/>
    <w:rsid w:val="00CF3C7D"/>
    <w:rsid w:val="00CF45BF"/>
    <w:rsid w:val="00CF4755"/>
    <w:rsid w:val="00CF51C1"/>
    <w:rsid w:val="00CF5B47"/>
    <w:rsid w:val="00CF5B54"/>
    <w:rsid w:val="00CF5EE3"/>
    <w:rsid w:val="00CF61E1"/>
    <w:rsid w:val="00CF6C01"/>
    <w:rsid w:val="00CF7105"/>
    <w:rsid w:val="00CF7305"/>
    <w:rsid w:val="00D005E0"/>
    <w:rsid w:val="00D012FF"/>
    <w:rsid w:val="00D0157B"/>
    <w:rsid w:val="00D01CC4"/>
    <w:rsid w:val="00D01E6B"/>
    <w:rsid w:val="00D0264B"/>
    <w:rsid w:val="00D0354D"/>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3CDB"/>
    <w:rsid w:val="00D146FE"/>
    <w:rsid w:val="00D1581E"/>
    <w:rsid w:val="00D15D19"/>
    <w:rsid w:val="00D15D93"/>
    <w:rsid w:val="00D15DA1"/>
    <w:rsid w:val="00D15EEC"/>
    <w:rsid w:val="00D1635E"/>
    <w:rsid w:val="00D16380"/>
    <w:rsid w:val="00D163FF"/>
    <w:rsid w:val="00D166B5"/>
    <w:rsid w:val="00D16E87"/>
    <w:rsid w:val="00D17335"/>
    <w:rsid w:val="00D17F7B"/>
    <w:rsid w:val="00D20031"/>
    <w:rsid w:val="00D2079E"/>
    <w:rsid w:val="00D21356"/>
    <w:rsid w:val="00D2142F"/>
    <w:rsid w:val="00D216EE"/>
    <w:rsid w:val="00D220B5"/>
    <w:rsid w:val="00D233CD"/>
    <w:rsid w:val="00D23AD3"/>
    <w:rsid w:val="00D23FC0"/>
    <w:rsid w:val="00D23FCE"/>
    <w:rsid w:val="00D24032"/>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A90"/>
    <w:rsid w:val="00D34D1F"/>
    <w:rsid w:val="00D35597"/>
    <w:rsid w:val="00D35689"/>
    <w:rsid w:val="00D36180"/>
    <w:rsid w:val="00D365FA"/>
    <w:rsid w:val="00D368A1"/>
    <w:rsid w:val="00D37093"/>
    <w:rsid w:val="00D40425"/>
    <w:rsid w:val="00D40BC3"/>
    <w:rsid w:val="00D40D6B"/>
    <w:rsid w:val="00D4129E"/>
    <w:rsid w:val="00D418A3"/>
    <w:rsid w:val="00D42946"/>
    <w:rsid w:val="00D42950"/>
    <w:rsid w:val="00D43984"/>
    <w:rsid w:val="00D43BD7"/>
    <w:rsid w:val="00D44230"/>
    <w:rsid w:val="00D4459D"/>
    <w:rsid w:val="00D45FC9"/>
    <w:rsid w:val="00D46BE9"/>
    <w:rsid w:val="00D46FA2"/>
    <w:rsid w:val="00D47451"/>
    <w:rsid w:val="00D477E8"/>
    <w:rsid w:val="00D47947"/>
    <w:rsid w:val="00D50053"/>
    <w:rsid w:val="00D504FA"/>
    <w:rsid w:val="00D50F10"/>
    <w:rsid w:val="00D50F83"/>
    <w:rsid w:val="00D512D8"/>
    <w:rsid w:val="00D51610"/>
    <w:rsid w:val="00D516DF"/>
    <w:rsid w:val="00D51A99"/>
    <w:rsid w:val="00D51C73"/>
    <w:rsid w:val="00D51E13"/>
    <w:rsid w:val="00D51F07"/>
    <w:rsid w:val="00D51F15"/>
    <w:rsid w:val="00D520D7"/>
    <w:rsid w:val="00D52146"/>
    <w:rsid w:val="00D524AF"/>
    <w:rsid w:val="00D52810"/>
    <w:rsid w:val="00D52A8A"/>
    <w:rsid w:val="00D52C43"/>
    <w:rsid w:val="00D5329D"/>
    <w:rsid w:val="00D533FE"/>
    <w:rsid w:val="00D534C8"/>
    <w:rsid w:val="00D5473D"/>
    <w:rsid w:val="00D54B1D"/>
    <w:rsid w:val="00D5509F"/>
    <w:rsid w:val="00D55425"/>
    <w:rsid w:val="00D5578A"/>
    <w:rsid w:val="00D5616C"/>
    <w:rsid w:val="00D56C00"/>
    <w:rsid w:val="00D57082"/>
    <w:rsid w:val="00D577BB"/>
    <w:rsid w:val="00D57B91"/>
    <w:rsid w:val="00D62320"/>
    <w:rsid w:val="00D6248B"/>
    <w:rsid w:val="00D62B5D"/>
    <w:rsid w:val="00D62FB9"/>
    <w:rsid w:val="00D63379"/>
    <w:rsid w:val="00D635B1"/>
    <w:rsid w:val="00D639C5"/>
    <w:rsid w:val="00D63B0B"/>
    <w:rsid w:val="00D63DB5"/>
    <w:rsid w:val="00D64155"/>
    <w:rsid w:val="00D64BEA"/>
    <w:rsid w:val="00D65C02"/>
    <w:rsid w:val="00D661D2"/>
    <w:rsid w:val="00D66410"/>
    <w:rsid w:val="00D66648"/>
    <w:rsid w:val="00D66FDA"/>
    <w:rsid w:val="00D67292"/>
    <w:rsid w:val="00D70C38"/>
    <w:rsid w:val="00D70DB6"/>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A2B"/>
    <w:rsid w:val="00D8301D"/>
    <w:rsid w:val="00D8473E"/>
    <w:rsid w:val="00D86255"/>
    <w:rsid w:val="00D863D1"/>
    <w:rsid w:val="00D872B7"/>
    <w:rsid w:val="00D8763A"/>
    <w:rsid w:val="00D87C07"/>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6FC"/>
    <w:rsid w:val="00DA5CD6"/>
    <w:rsid w:val="00DA6868"/>
    <w:rsid w:val="00DB0312"/>
    <w:rsid w:val="00DB115A"/>
    <w:rsid w:val="00DB1B88"/>
    <w:rsid w:val="00DB3213"/>
    <w:rsid w:val="00DB387C"/>
    <w:rsid w:val="00DB43F8"/>
    <w:rsid w:val="00DB46DA"/>
    <w:rsid w:val="00DB5A7F"/>
    <w:rsid w:val="00DB640B"/>
    <w:rsid w:val="00DB656B"/>
    <w:rsid w:val="00DB6A23"/>
    <w:rsid w:val="00DB6FE6"/>
    <w:rsid w:val="00DB75BE"/>
    <w:rsid w:val="00DB7D6B"/>
    <w:rsid w:val="00DC01DD"/>
    <w:rsid w:val="00DC0423"/>
    <w:rsid w:val="00DC29D6"/>
    <w:rsid w:val="00DC430F"/>
    <w:rsid w:val="00DC43B0"/>
    <w:rsid w:val="00DC478C"/>
    <w:rsid w:val="00DC47BF"/>
    <w:rsid w:val="00DC4CEC"/>
    <w:rsid w:val="00DC5055"/>
    <w:rsid w:val="00DC5F0A"/>
    <w:rsid w:val="00DC6348"/>
    <w:rsid w:val="00DC6447"/>
    <w:rsid w:val="00DC6F43"/>
    <w:rsid w:val="00DC7069"/>
    <w:rsid w:val="00DC7AD9"/>
    <w:rsid w:val="00DD06D7"/>
    <w:rsid w:val="00DD0C80"/>
    <w:rsid w:val="00DD2409"/>
    <w:rsid w:val="00DD2798"/>
    <w:rsid w:val="00DD2A6B"/>
    <w:rsid w:val="00DD3A79"/>
    <w:rsid w:val="00DD4174"/>
    <w:rsid w:val="00DD418A"/>
    <w:rsid w:val="00DD452E"/>
    <w:rsid w:val="00DD4929"/>
    <w:rsid w:val="00DD6998"/>
    <w:rsid w:val="00DD7C1F"/>
    <w:rsid w:val="00DD7C32"/>
    <w:rsid w:val="00DE00A7"/>
    <w:rsid w:val="00DE0A7D"/>
    <w:rsid w:val="00DE0DC9"/>
    <w:rsid w:val="00DE12EF"/>
    <w:rsid w:val="00DE19AA"/>
    <w:rsid w:val="00DE367F"/>
    <w:rsid w:val="00DE3E2A"/>
    <w:rsid w:val="00DE5469"/>
    <w:rsid w:val="00DE5D83"/>
    <w:rsid w:val="00DE7DBA"/>
    <w:rsid w:val="00DE7FB5"/>
    <w:rsid w:val="00DF0953"/>
    <w:rsid w:val="00DF1742"/>
    <w:rsid w:val="00DF1A4E"/>
    <w:rsid w:val="00DF33E8"/>
    <w:rsid w:val="00DF354D"/>
    <w:rsid w:val="00DF3B05"/>
    <w:rsid w:val="00DF44BC"/>
    <w:rsid w:val="00DF46D2"/>
    <w:rsid w:val="00DF5209"/>
    <w:rsid w:val="00DF5300"/>
    <w:rsid w:val="00DF5BF1"/>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4F44"/>
    <w:rsid w:val="00E053BA"/>
    <w:rsid w:val="00E0562D"/>
    <w:rsid w:val="00E05C05"/>
    <w:rsid w:val="00E06510"/>
    <w:rsid w:val="00E066EF"/>
    <w:rsid w:val="00E06848"/>
    <w:rsid w:val="00E072B0"/>
    <w:rsid w:val="00E07C90"/>
    <w:rsid w:val="00E111E7"/>
    <w:rsid w:val="00E111F8"/>
    <w:rsid w:val="00E11C10"/>
    <w:rsid w:val="00E12618"/>
    <w:rsid w:val="00E129DF"/>
    <w:rsid w:val="00E12B5D"/>
    <w:rsid w:val="00E13435"/>
    <w:rsid w:val="00E13F23"/>
    <w:rsid w:val="00E143D4"/>
    <w:rsid w:val="00E14773"/>
    <w:rsid w:val="00E1521D"/>
    <w:rsid w:val="00E155E5"/>
    <w:rsid w:val="00E1662B"/>
    <w:rsid w:val="00E16E19"/>
    <w:rsid w:val="00E1769F"/>
    <w:rsid w:val="00E17930"/>
    <w:rsid w:val="00E20164"/>
    <w:rsid w:val="00E210FC"/>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92C"/>
    <w:rsid w:val="00E41DF6"/>
    <w:rsid w:val="00E420CB"/>
    <w:rsid w:val="00E44877"/>
    <w:rsid w:val="00E451B6"/>
    <w:rsid w:val="00E454AD"/>
    <w:rsid w:val="00E4671A"/>
    <w:rsid w:val="00E474DE"/>
    <w:rsid w:val="00E47920"/>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ACF"/>
    <w:rsid w:val="00E56F73"/>
    <w:rsid w:val="00E57DB1"/>
    <w:rsid w:val="00E603AF"/>
    <w:rsid w:val="00E604FA"/>
    <w:rsid w:val="00E60FAB"/>
    <w:rsid w:val="00E615BD"/>
    <w:rsid w:val="00E61F48"/>
    <w:rsid w:val="00E624DD"/>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655"/>
    <w:rsid w:val="00E742E4"/>
    <w:rsid w:val="00E752A9"/>
    <w:rsid w:val="00E75529"/>
    <w:rsid w:val="00E75D96"/>
    <w:rsid w:val="00E75DC3"/>
    <w:rsid w:val="00E75EF0"/>
    <w:rsid w:val="00E76D6E"/>
    <w:rsid w:val="00E77396"/>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4274"/>
    <w:rsid w:val="00E94584"/>
    <w:rsid w:val="00E95058"/>
    <w:rsid w:val="00E95C26"/>
    <w:rsid w:val="00E95CEA"/>
    <w:rsid w:val="00E967F1"/>
    <w:rsid w:val="00E97D20"/>
    <w:rsid w:val="00E97FE2"/>
    <w:rsid w:val="00E97FE6"/>
    <w:rsid w:val="00EA08E8"/>
    <w:rsid w:val="00EA1903"/>
    <w:rsid w:val="00EA1A5A"/>
    <w:rsid w:val="00EA2FC0"/>
    <w:rsid w:val="00EA3F5C"/>
    <w:rsid w:val="00EA42D5"/>
    <w:rsid w:val="00EA4397"/>
    <w:rsid w:val="00EA499D"/>
    <w:rsid w:val="00EA4FFF"/>
    <w:rsid w:val="00EA5148"/>
    <w:rsid w:val="00EA54A1"/>
    <w:rsid w:val="00EA54AD"/>
    <w:rsid w:val="00EA58A0"/>
    <w:rsid w:val="00EA5AE3"/>
    <w:rsid w:val="00EA5C8C"/>
    <w:rsid w:val="00EA5ECB"/>
    <w:rsid w:val="00EA62F8"/>
    <w:rsid w:val="00EA6B56"/>
    <w:rsid w:val="00EA6D49"/>
    <w:rsid w:val="00EA7144"/>
    <w:rsid w:val="00EA770F"/>
    <w:rsid w:val="00EA7D0C"/>
    <w:rsid w:val="00EA7F0B"/>
    <w:rsid w:val="00EB0CCF"/>
    <w:rsid w:val="00EB114C"/>
    <w:rsid w:val="00EB18C0"/>
    <w:rsid w:val="00EB20F4"/>
    <w:rsid w:val="00EB2490"/>
    <w:rsid w:val="00EB3F05"/>
    <w:rsid w:val="00EB43BA"/>
    <w:rsid w:val="00EB56C4"/>
    <w:rsid w:val="00EB5955"/>
    <w:rsid w:val="00EB6662"/>
    <w:rsid w:val="00EB6878"/>
    <w:rsid w:val="00EB6E71"/>
    <w:rsid w:val="00EB73BE"/>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503"/>
    <w:rsid w:val="00ED35D8"/>
    <w:rsid w:val="00ED4807"/>
    <w:rsid w:val="00ED4DFC"/>
    <w:rsid w:val="00ED4E42"/>
    <w:rsid w:val="00ED5E54"/>
    <w:rsid w:val="00ED7786"/>
    <w:rsid w:val="00ED7EA9"/>
    <w:rsid w:val="00EE00E5"/>
    <w:rsid w:val="00EE0B31"/>
    <w:rsid w:val="00EE1A50"/>
    <w:rsid w:val="00EE1E9C"/>
    <w:rsid w:val="00EE200B"/>
    <w:rsid w:val="00EE2083"/>
    <w:rsid w:val="00EE20A8"/>
    <w:rsid w:val="00EE21BD"/>
    <w:rsid w:val="00EE23BC"/>
    <w:rsid w:val="00EE25D9"/>
    <w:rsid w:val="00EE2ADD"/>
    <w:rsid w:val="00EE433B"/>
    <w:rsid w:val="00EE46D0"/>
    <w:rsid w:val="00EE476D"/>
    <w:rsid w:val="00EE49A6"/>
    <w:rsid w:val="00EE4C73"/>
    <w:rsid w:val="00EE5716"/>
    <w:rsid w:val="00EE5C23"/>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927"/>
    <w:rsid w:val="00EF3D14"/>
    <w:rsid w:val="00EF3EEE"/>
    <w:rsid w:val="00EF3F88"/>
    <w:rsid w:val="00EF576D"/>
    <w:rsid w:val="00EF75A6"/>
    <w:rsid w:val="00F0045E"/>
    <w:rsid w:val="00F00724"/>
    <w:rsid w:val="00F00774"/>
    <w:rsid w:val="00F0081B"/>
    <w:rsid w:val="00F01968"/>
    <w:rsid w:val="00F01F95"/>
    <w:rsid w:val="00F0256E"/>
    <w:rsid w:val="00F0356A"/>
    <w:rsid w:val="00F03681"/>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210C"/>
    <w:rsid w:val="00F22ACB"/>
    <w:rsid w:val="00F231FB"/>
    <w:rsid w:val="00F243C4"/>
    <w:rsid w:val="00F243FF"/>
    <w:rsid w:val="00F25199"/>
    <w:rsid w:val="00F254D8"/>
    <w:rsid w:val="00F26955"/>
    <w:rsid w:val="00F26A46"/>
    <w:rsid w:val="00F26F86"/>
    <w:rsid w:val="00F271AB"/>
    <w:rsid w:val="00F2780A"/>
    <w:rsid w:val="00F311C3"/>
    <w:rsid w:val="00F314EF"/>
    <w:rsid w:val="00F3167E"/>
    <w:rsid w:val="00F332B2"/>
    <w:rsid w:val="00F33DD2"/>
    <w:rsid w:val="00F33E94"/>
    <w:rsid w:val="00F33F0D"/>
    <w:rsid w:val="00F352BD"/>
    <w:rsid w:val="00F3589E"/>
    <w:rsid w:val="00F35DAE"/>
    <w:rsid w:val="00F36723"/>
    <w:rsid w:val="00F368F2"/>
    <w:rsid w:val="00F3698C"/>
    <w:rsid w:val="00F3715D"/>
    <w:rsid w:val="00F37A09"/>
    <w:rsid w:val="00F404BF"/>
    <w:rsid w:val="00F40EB5"/>
    <w:rsid w:val="00F40F31"/>
    <w:rsid w:val="00F41380"/>
    <w:rsid w:val="00F41421"/>
    <w:rsid w:val="00F41886"/>
    <w:rsid w:val="00F419C3"/>
    <w:rsid w:val="00F41A80"/>
    <w:rsid w:val="00F41C4B"/>
    <w:rsid w:val="00F42E64"/>
    <w:rsid w:val="00F43206"/>
    <w:rsid w:val="00F435B6"/>
    <w:rsid w:val="00F4392C"/>
    <w:rsid w:val="00F448F9"/>
    <w:rsid w:val="00F44EC7"/>
    <w:rsid w:val="00F44EC8"/>
    <w:rsid w:val="00F452E7"/>
    <w:rsid w:val="00F4670C"/>
    <w:rsid w:val="00F467C0"/>
    <w:rsid w:val="00F47C6B"/>
    <w:rsid w:val="00F5038D"/>
    <w:rsid w:val="00F503D2"/>
    <w:rsid w:val="00F505AC"/>
    <w:rsid w:val="00F50603"/>
    <w:rsid w:val="00F50B64"/>
    <w:rsid w:val="00F50C03"/>
    <w:rsid w:val="00F50F47"/>
    <w:rsid w:val="00F51899"/>
    <w:rsid w:val="00F51E43"/>
    <w:rsid w:val="00F51E44"/>
    <w:rsid w:val="00F5253A"/>
    <w:rsid w:val="00F5325B"/>
    <w:rsid w:val="00F53610"/>
    <w:rsid w:val="00F53830"/>
    <w:rsid w:val="00F53AF0"/>
    <w:rsid w:val="00F55337"/>
    <w:rsid w:val="00F55B1A"/>
    <w:rsid w:val="00F55F0A"/>
    <w:rsid w:val="00F56456"/>
    <w:rsid w:val="00F5652C"/>
    <w:rsid w:val="00F575D1"/>
    <w:rsid w:val="00F57C49"/>
    <w:rsid w:val="00F57C79"/>
    <w:rsid w:val="00F57D6B"/>
    <w:rsid w:val="00F60A98"/>
    <w:rsid w:val="00F618C4"/>
    <w:rsid w:val="00F618C5"/>
    <w:rsid w:val="00F619E0"/>
    <w:rsid w:val="00F622E5"/>
    <w:rsid w:val="00F626FF"/>
    <w:rsid w:val="00F627D0"/>
    <w:rsid w:val="00F6380C"/>
    <w:rsid w:val="00F63BB1"/>
    <w:rsid w:val="00F63E23"/>
    <w:rsid w:val="00F65D31"/>
    <w:rsid w:val="00F65E8F"/>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079"/>
    <w:rsid w:val="00F824D5"/>
    <w:rsid w:val="00F82628"/>
    <w:rsid w:val="00F82D8E"/>
    <w:rsid w:val="00F8321D"/>
    <w:rsid w:val="00F83461"/>
    <w:rsid w:val="00F83585"/>
    <w:rsid w:val="00F83883"/>
    <w:rsid w:val="00F83ACF"/>
    <w:rsid w:val="00F8517B"/>
    <w:rsid w:val="00F853BE"/>
    <w:rsid w:val="00F87971"/>
    <w:rsid w:val="00F87B71"/>
    <w:rsid w:val="00F87EB0"/>
    <w:rsid w:val="00F9052C"/>
    <w:rsid w:val="00F9135D"/>
    <w:rsid w:val="00F91B71"/>
    <w:rsid w:val="00F91BA8"/>
    <w:rsid w:val="00F9260F"/>
    <w:rsid w:val="00F9308E"/>
    <w:rsid w:val="00F9563D"/>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74F"/>
    <w:rsid w:val="00FB1F42"/>
    <w:rsid w:val="00FB1FEB"/>
    <w:rsid w:val="00FB28DA"/>
    <w:rsid w:val="00FB4250"/>
    <w:rsid w:val="00FB42B4"/>
    <w:rsid w:val="00FB5638"/>
    <w:rsid w:val="00FB59AB"/>
    <w:rsid w:val="00FB5A8D"/>
    <w:rsid w:val="00FB6627"/>
    <w:rsid w:val="00FB6721"/>
    <w:rsid w:val="00FB7318"/>
    <w:rsid w:val="00FB77DE"/>
    <w:rsid w:val="00FC0251"/>
    <w:rsid w:val="00FC1102"/>
    <w:rsid w:val="00FC16AD"/>
    <w:rsid w:val="00FC1F94"/>
    <w:rsid w:val="00FC2C74"/>
    <w:rsid w:val="00FC2E23"/>
    <w:rsid w:val="00FC2E6F"/>
    <w:rsid w:val="00FC3241"/>
    <w:rsid w:val="00FC3BB3"/>
    <w:rsid w:val="00FC3ED9"/>
    <w:rsid w:val="00FC45F0"/>
    <w:rsid w:val="00FC54D5"/>
    <w:rsid w:val="00FC664D"/>
    <w:rsid w:val="00FC737A"/>
    <w:rsid w:val="00FC7844"/>
    <w:rsid w:val="00FD0A8B"/>
    <w:rsid w:val="00FD1512"/>
    <w:rsid w:val="00FD163B"/>
    <w:rsid w:val="00FD1AB4"/>
    <w:rsid w:val="00FD1DDF"/>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320"/>
    <w:rsid w:val="00FE345D"/>
    <w:rsid w:val="00FE4788"/>
    <w:rsid w:val="00FE486C"/>
    <w:rsid w:val="00FE4E00"/>
    <w:rsid w:val="00FE5194"/>
    <w:rsid w:val="00FE544E"/>
    <w:rsid w:val="00FE54F6"/>
    <w:rsid w:val="00FE5A35"/>
    <w:rsid w:val="00FE64A9"/>
    <w:rsid w:val="00FE6BD7"/>
    <w:rsid w:val="00FE6C8F"/>
    <w:rsid w:val="00FF0644"/>
    <w:rsid w:val="00FF094E"/>
    <w:rsid w:val="00FF0A66"/>
    <w:rsid w:val="00FF1632"/>
    <w:rsid w:val="00FF1FCE"/>
    <w:rsid w:val="00FF20DF"/>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2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paragraph" w:customStyle="1" w:styleId="Char1">
    <w:name w:val="Char"/>
    <w:basedOn w:val="Normal"/>
    <w:rsid w:val="00940BA5"/>
    <w:pPr>
      <w:spacing w:after="160" w:line="240" w:lineRule="exact"/>
    </w:pPr>
    <w:rPr>
      <w:rFonts w:ascii="Verdana" w:eastAsia="MS Mincho" w:hAnsi="Verdana" w:cs="Verdana"/>
      <w:lang w:val="en-US" w:eastAsia="en-US"/>
    </w:rPr>
  </w:style>
  <w:style w:type="paragraph" w:customStyle="1" w:styleId="Char2">
    <w:name w:val="Char"/>
    <w:basedOn w:val="Normal"/>
    <w:rsid w:val="009044BC"/>
    <w:pPr>
      <w:spacing w:after="160" w:line="240" w:lineRule="exact"/>
    </w:pPr>
    <w:rPr>
      <w:rFonts w:ascii="Verdana" w:eastAsia="MS Mincho"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paragraph" w:customStyle="1" w:styleId="Char1">
    <w:name w:val="Char"/>
    <w:basedOn w:val="Normal"/>
    <w:rsid w:val="00940BA5"/>
    <w:pPr>
      <w:spacing w:after="160" w:line="240" w:lineRule="exact"/>
    </w:pPr>
    <w:rPr>
      <w:rFonts w:ascii="Verdana" w:eastAsia="MS Mincho" w:hAnsi="Verdana" w:cs="Verdana"/>
      <w:lang w:val="en-US" w:eastAsia="en-US"/>
    </w:rPr>
  </w:style>
  <w:style w:type="paragraph" w:customStyle="1" w:styleId="Char2">
    <w:name w:val="Char"/>
    <w:basedOn w:val="Normal"/>
    <w:rsid w:val="009044BC"/>
    <w:pPr>
      <w:spacing w:after="160" w:line="240" w:lineRule="exact"/>
    </w:pPr>
    <w:rPr>
      <w:rFonts w:ascii="Verdana" w:eastAsia="MS Mincho"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60951596">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7383701">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9340532">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9500854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888224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68428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48839335">
      <w:bodyDiv w:val="1"/>
      <w:marLeft w:val="0"/>
      <w:marRight w:val="0"/>
      <w:marTop w:val="0"/>
      <w:marBottom w:val="0"/>
      <w:divBdr>
        <w:top w:val="none" w:sz="0" w:space="0" w:color="auto"/>
        <w:left w:val="none" w:sz="0" w:space="0" w:color="auto"/>
        <w:bottom w:val="none" w:sz="0" w:space="0" w:color="auto"/>
        <w:right w:val="none" w:sz="0" w:space="0" w:color="auto"/>
      </w:divBdr>
    </w:div>
    <w:div w:id="157654962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9020287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4878698">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16222275">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333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921C5-FE64-4459-A77E-C0E76C03D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5209</Words>
  <Characters>30603</Characters>
  <Application>Microsoft Office Word</Application>
  <DocSecurity>0</DocSecurity>
  <Lines>255</Lines>
  <Paragraphs>71</Paragraphs>
  <ScaleCrop>false</ScaleCrop>
  <Company/>
  <LinksUpToDate>false</LinksUpToDate>
  <CharactersWithSpaces>35741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2017-02-03T04:49:00Z</dcterms:created>
  <dcterms:modified xsi:type="dcterms:W3CDTF">2017-02-03T04:49:00Z</dcterms:modified>
</cp:coreProperties>
</file>