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987FDA" w:rsidRPr="00F609BF" w:rsidTr="00553371">
        <w:trPr>
          <w:tblHeader/>
        </w:trPr>
        <w:tc>
          <w:tcPr>
            <w:tcW w:w="2977" w:type="dxa"/>
            <w:tcMar>
              <w:top w:w="28" w:type="dxa"/>
              <w:bottom w:w="28" w:type="dxa"/>
            </w:tcMar>
          </w:tcPr>
          <w:p w:rsidR="0065234B" w:rsidRDefault="002960C3" w:rsidP="005B6EB7">
            <w:pPr>
              <w:widowControl w:val="0"/>
              <w:jc w:val="center"/>
              <w:rPr>
                <w:rFonts w:ascii="Arial" w:hAnsi="Arial" w:cs="Arial"/>
                <w:b/>
              </w:rPr>
            </w:pPr>
            <w:bookmarkStart w:id="0" w:name="_GoBack"/>
            <w:bookmarkEnd w:id="0"/>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5B6EB7">
            <w:pPr>
              <w:widowControl w:val="0"/>
              <w:jc w:val="center"/>
              <w:rPr>
                <w:rFonts w:ascii="Arial" w:hAnsi="Arial" w:cs="Arial"/>
                <w:b/>
              </w:rPr>
            </w:pPr>
          </w:p>
        </w:tc>
        <w:tc>
          <w:tcPr>
            <w:tcW w:w="2126" w:type="dxa"/>
            <w:tcMar>
              <w:top w:w="28" w:type="dxa"/>
              <w:bottom w:w="28" w:type="dxa"/>
            </w:tcMar>
          </w:tcPr>
          <w:p w:rsidR="00987FDA" w:rsidRPr="00F609BF" w:rsidRDefault="002960C3" w:rsidP="005B6EB7">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5B6EB7">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5B6EB7">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F609BF" w:rsidRDefault="00987FDA" w:rsidP="005B6EB7">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453612" w:rsidRPr="00726A5E" w:rsidTr="00553371">
        <w:trPr>
          <w:trHeight w:val="546"/>
        </w:trPr>
        <w:tc>
          <w:tcPr>
            <w:tcW w:w="2977" w:type="dxa"/>
            <w:tcMar>
              <w:top w:w="28" w:type="dxa"/>
              <w:bottom w:w="28" w:type="dxa"/>
            </w:tcMar>
          </w:tcPr>
          <w:p w:rsidR="00453612" w:rsidRPr="009044BC" w:rsidRDefault="00453612" w:rsidP="00F772B4">
            <w:pPr>
              <w:rPr>
                <w:rFonts w:ascii="Arial" w:hAnsi="Arial" w:cs="Arial"/>
                <w:color w:val="000000"/>
              </w:rPr>
            </w:pPr>
            <w:r w:rsidRPr="009044BC">
              <w:rPr>
                <w:rFonts w:ascii="Arial" w:hAnsi="Arial" w:cs="Arial"/>
                <w:color w:val="000000"/>
              </w:rPr>
              <w:t>ADALIMUMAB</w:t>
            </w:r>
          </w:p>
          <w:p w:rsidR="00453612" w:rsidRPr="009044BC" w:rsidRDefault="00453612" w:rsidP="00F772B4">
            <w:pPr>
              <w:rPr>
                <w:rFonts w:ascii="Arial" w:hAnsi="Arial" w:cs="Arial"/>
                <w:color w:val="000000"/>
              </w:rPr>
            </w:pPr>
          </w:p>
          <w:p w:rsidR="00453612" w:rsidRPr="009044BC" w:rsidRDefault="00453612" w:rsidP="00F772B4">
            <w:pPr>
              <w:rPr>
                <w:rFonts w:ascii="Arial" w:hAnsi="Arial" w:cs="Arial"/>
                <w:color w:val="000000"/>
              </w:rPr>
            </w:pPr>
            <w:r w:rsidRPr="009044BC">
              <w:rPr>
                <w:rFonts w:ascii="Arial" w:hAnsi="Arial" w:cs="Arial"/>
                <w:color w:val="000000"/>
              </w:rPr>
              <w:t>Injection 40 mg in 0.8 mL pre-filled pen</w:t>
            </w:r>
          </w:p>
          <w:p w:rsidR="00453612" w:rsidRPr="009044BC" w:rsidRDefault="00453612" w:rsidP="00F772B4">
            <w:pPr>
              <w:rPr>
                <w:rFonts w:ascii="Arial" w:hAnsi="Arial" w:cs="Arial"/>
                <w:color w:val="000000"/>
              </w:rPr>
            </w:pPr>
            <w:r w:rsidRPr="009044BC">
              <w:rPr>
                <w:rFonts w:ascii="Arial" w:hAnsi="Arial" w:cs="Arial"/>
                <w:color w:val="000000"/>
              </w:rPr>
              <w:t>Injection 40 mg in 0.8 mL pre-filled syringe</w:t>
            </w:r>
          </w:p>
          <w:p w:rsidR="00453612" w:rsidRPr="009044BC" w:rsidRDefault="00453612" w:rsidP="00F772B4">
            <w:pPr>
              <w:rPr>
                <w:rFonts w:ascii="Arial" w:hAnsi="Arial" w:cs="Arial"/>
                <w:color w:val="000000"/>
              </w:rPr>
            </w:pPr>
          </w:p>
          <w:p w:rsidR="008B76D6" w:rsidRDefault="00453612" w:rsidP="00F772B4">
            <w:pPr>
              <w:rPr>
                <w:rFonts w:ascii="Arial" w:hAnsi="Arial" w:cs="Arial"/>
                <w:color w:val="000000"/>
              </w:rPr>
            </w:pPr>
            <w:r w:rsidRPr="009044BC">
              <w:rPr>
                <w:rFonts w:ascii="Arial" w:hAnsi="Arial" w:cs="Arial"/>
                <w:color w:val="000000"/>
              </w:rPr>
              <w:t>Humira®</w:t>
            </w:r>
          </w:p>
          <w:p w:rsidR="008B76D6" w:rsidRPr="009044BC" w:rsidRDefault="008B76D6" w:rsidP="00F772B4">
            <w:pPr>
              <w:rPr>
                <w:rFonts w:ascii="Arial" w:hAnsi="Arial" w:cs="Arial"/>
                <w:color w:val="000000"/>
              </w:rPr>
            </w:pPr>
          </w:p>
          <w:p w:rsidR="00453612" w:rsidRDefault="00453612" w:rsidP="00F772B4">
            <w:pPr>
              <w:rPr>
                <w:rFonts w:ascii="Arial" w:hAnsi="Arial" w:cs="Arial"/>
                <w:color w:val="000000"/>
              </w:rPr>
            </w:pPr>
            <w:r w:rsidRPr="009044BC">
              <w:rPr>
                <w:rFonts w:ascii="Arial" w:hAnsi="Arial" w:cs="Arial"/>
                <w:color w:val="000000"/>
              </w:rPr>
              <w:t>AbbVie Pty Ltd</w:t>
            </w:r>
          </w:p>
          <w:p w:rsidR="008B76D6" w:rsidRDefault="008B76D6" w:rsidP="00F772B4">
            <w:pPr>
              <w:rPr>
                <w:rFonts w:ascii="Arial" w:hAnsi="Arial" w:cs="Arial"/>
                <w:color w:val="000000"/>
              </w:rPr>
            </w:pPr>
          </w:p>
          <w:p w:rsidR="008B76D6" w:rsidRDefault="008B76D6" w:rsidP="00F772B4">
            <w:pPr>
              <w:rPr>
                <w:rFonts w:ascii="Arial" w:hAnsi="Arial" w:cs="Arial"/>
                <w:color w:val="000000"/>
              </w:rPr>
            </w:pPr>
            <w:r>
              <w:rPr>
                <w:rFonts w:ascii="Arial" w:hAnsi="Arial" w:cs="Arial"/>
                <w:color w:val="000000"/>
              </w:rPr>
              <w:t>Change to recommended listing</w:t>
            </w:r>
          </w:p>
          <w:p w:rsidR="008B76D6" w:rsidRDefault="008B76D6" w:rsidP="00F772B4">
            <w:pPr>
              <w:rPr>
                <w:rFonts w:ascii="Arial" w:hAnsi="Arial" w:cs="Arial"/>
                <w:color w:val="000000"/>
              </w:rPr>
            </w:pPr>
          </w:p>
          <w:p w:rsidR="008B76D6" w:rsidRPr="00767E3C" w:rsidRDefault="008B76D6" w:rsidP="00F772B4">
            <w:pPr>
              <w:rPr>
                <w:rFonts w:ascii="Arial" w:hAnsi="Arial" w:cs="Arial"/>
                <w:color w:val="000000"/>
              </w:rPr>
            </w:pPr>
            <w:r>
              <w:rPr>
                <w:rFonts w:ascii="Arial" w:hAnsi="Arial" w:cs="Arial"/>
                <w:color w:val="000000"/>
              </w:rPr>
              <w:t>(Minor submission)</w:t>
            </w:r>
          </w:p>
        </w:tc>
        <w:tc>
          <w:tcPr>
            <w:tcW w:w="2126" w:type="dxa"/>
          </w:tcPr>
          <w:p w:rsidR="00453612" w:rsidRPr="00767E3C" w:rsidRDefault="00453612" w:rsidP="00F772B4">
            <w:pPr>
              <w:rPr>
                <w:rFonts w:ascii="Arial" w:hAnsi="Arial" w:cs="Arial"/>
                <w:color w:val="000000"/>
              </w:rPr>
            </w:pPr>
            <w:r>
              <w:rPr>
                <w:rFonts w:ascii="Arial" w:hAnsi="Arial" w:cs="Arial"/>
                <w:color w:val="000000"/>
              </w:rPr>
              <w:t>Ulcerative Colitis (UC)</w:t>
            </w:r>
          </w:p>
        </w:tc>
        <w:tc>
          <w:tcPr>
            <w:tcW w:w="3261" w:type="dxa"/>
            <w:tcMar>
              <w:top w:w="28" w:type="dxa"/>
              <w:bottom w:w="28" w:type="dxa"/>
            </w:tcMar>
          </w:tcPr>
          <w:p w:rsidR="00453612" w:rsidRPr="00767E3C" w:rsidRDefault="00453612" w:rsidP="00453612">
            <w:pPr>
              <w:rPr>
                <w:rFonts w:ascii="Arial" w:hAnsi="Arial" w:cs="Arial"/>
                <w:color w:val="000000"/>
              </w:rPr>
            </w:pPr>
            <w:r w:rsidRPr="009044BC">
              <w:rPr>
                <w:rFonts w:ascii="Arial" w:hAnsi="Arial" w:cs="Arial"/>
                <w:color w:val="000000"/>
              </w:rPr>
              <w:t xml:space="preserve">To request consideration if paediatric patients with moderate to severe </w:t>
            </w:r>
            <w:r>
              <w:rPr>
                <w:rFonts w:ascii="Arial" w:hAnsi="Arial" w:cs="Arial"/>
                <w:color w:val="000000"/>
              </w:rPr>
              <w:t>UC</w:t>
            </w:r>
            <w:r w:rsidRPr="009044BC">
              <w:rPr>
                <w:rFonts w:ascii="Arial" w:hAnsi="Arial" w:cs="Arial"/>
                <w:color w:val="000000"/>
              </w:rPr>
              <w:t xml:space="preserve"> may swap between PBS-subsidised infliximab and adalimumab.</w:t>
            </w:r>
          </w:p>
        </w:tc>
        <w:tc>
          <w:tcPr>
            <w:tcW w:w="6947" w:type="dxa"/>
          </w:tcPr>
          <w:p w:rsidR="00453612" w:rsidRPr="00C0651F" w:rsidRDefault="00453612" w:rsidP="00F772B4">
            <w:pPr>
              <w:jc w:val="both"/>
              <w:outlineLvl w:val="0"/>
              <w:rPr>
                <w:rFonts w:ascii="Arial" w:hAnsi="Arial" w:cs="Arial"/>
                <w:color w:val="000000"/>
              </w:rPr>
            </w:pPr>
            <w:r w:rsidRPr="00C0651F">
              <w:rPr>
                <w:rFonts w:ascii="Arial" w:hAnsi="Arial" w:cs="Arial"/>
                <w:color w:val="000000"/>
              </w:rPr>
              <w:t xml:space="preserve">The PBAC recommended that paediatric patients with moderate to severe </w:t>
            </w:r>
            <w:r>
              <w:rPr>
                <w:rFonts w:ascii="Arial" w:hAnsi="Arial" w:cs="Arial"/>
                <w:color w:val="000000"/>
              </w:rPr>
              <w:t xml:space="preserve">UC </w:t>
            </w:r>
            <w:r w:rsidRPr="00C0651F">
              <w:rPr>
                <w:rFonts w:ascii="Arial" w:hAnsi="Arial" w:cs="Arial"/>
                <w:color w:val="000000"/>
              </w:rPr>
              <w:t>may swap between infliximab and adalimumab and vice versa, without having to experience a disease flare within the same treatment cycle.</w:t>
            </w:r>
          </w:p>
          <w:p w:rsidR="00453612" w:rsidRPr="00C0651F" w:rsidRDefault="00453612" w:rsidP="00F772B4">
            <w:pPr>
              <w:jc w:val="both"/>
              <w:outlineLvl w:val="0"/>
              <w:rPr>
                <w:rFonts w:ascii="Arial" w:hAnsi="Arial" w:cs="Arial"/>
                <w:color w:val="000000"/>
              </w:rPr>
            </w:pPr>
          </w:p>
          <w:p w:rsidR="00453612" w:rsidRPr="00BA1352" w:rsidRDefault="00453612" w:rsidP="00EC7A66">
            <w:pPr>
              <w:jc w:val="both"/>
              <w:rPr>
                <w:rFonts w:ascii="Arial" w:hAnsi="Arial" w:cs="Arial"/>
                <w:color w:val="000000"/>
              </w:rPr>
            </w:pPr>
            <w:r w:rsidRPr="00C0651F">
              <w:rPr>
                <w:rFonts w:ascii="Arial" w:hAnsi="Arial" w:cs="Arial"/>
                <w:color w:val="000000"/>
              </w:rPr>
              <w:t xml:space="preserve">The PBAC also recommended that paediatric patients receiving adalimumab or infliximab for moderate to severe UC </w:t>
            </w:r>
            <w:r w:rsidR="00EC7A66">
              <w:rPr>
                <w:rFonts w:ascii="Arial" w:hAnsi="Arial" w:cs="Arial"/>
                <w:color w:val="000000"/>
              </w:rPr>
              <w:t>should</w:t>
            </w:r>
            <w:r w:rsidRPr="00C0651F">
              <w:rPr>
                <w:rFonts w:ascii="Arial" w:hAnsi="Arial" w:cs="Arial"/>
                <w:color w:val="000000"/>
              </w:rPr>
              <w:t xml:space="preserve"> not </w:t>
            </w:r>
            <w:r w:rsidR="00EC7A66">
              <w:rPr>
                <w:rFonts w:ascii="Arial" w:hAnsi="Arial" w:cs="Arial"/>
                <w:color w:val="000000"/>
              </w:rPr>
              <w:t xml:space="preserve">be eligible to </w:t>
            </w:r>
            <w:r w:rsidRPr="00C0651F">
              <w:rPr>
                <w:rFonts w:ascii="Arial" w:hAnsi="Arial" w:cs="Arial"/>
                <w:color w:val="000000"/>
              </w:rPr>
              <w:t>trial and fail</w:t>
            </w:r>
            <w:r w:rsidR="00EC7A66">
              <w:rPr>
                <w:rFonts w:ascii="Arial" w:hAnsi="Arial" w:cs="Arial"/>
                <w:color w:val="000000"/>
              </w:rPr>
              <w:t>,</w:t>
            </w:r>
            <w:r w:rsidRPr="00C0651F">
              <w:rPr>
                <w:rFonts w:ascii="Arial" w:hAnsi="Arial" w:cs="Arial"/>
                <w:color w:val="000000"/>
              </w:rPr>
              <w:t xml:space="preserve"> or cease to respond to, the same PBS-subsidised TNF-alfa antagonist more than twice within the same treatment cycle. The PBAC recommended that once a patient has either failed or ceased to respond to treatment three times, they are deemed to have completed a treatment cycle and must have, at a minimum, a five year break in PBS-subsidised TNF-alfa antagonist treatment before they are eligible to commence the next treatment cycle.</w:t>
            </w:r>
          </w:p>
        </w:tc>
      </w:tr>
      <w:tr w:rsidR="00D0753E" w:rsidRPr="00726A5E" w:rsidTr="00553371">
        <w:trPr>
          <w:trHeight w:val="546"/>
        </w:trPr>
        <w:tc>
          <w:tcPr>
            <w:tcW w:w="2977" w:type="dxa"/>
            <w:tcMar>
              <w:top w:w="28" w:type="dxa"/>
              <w:bottom w:w="28" w:type="dxa"/>
            </w:tcMar>
          </w:tcPr>
          <w:p w:rsidR="00D0753E" w:rsidRPr="00C75CE0" w:rsidRDefault="00D0753E" w:rsidP="00F772B4">
            <w:pPr>
              <w:rPr>
                <w:rFonts w:ascii="Arial" w:hAnsi="Arial" w:cs="Arial"/>
                <w:color w:val="000000"/>
              </w:rPr>
            </w:pPr>
            <w:r w:rsidRPr="00C75CE0">
              <w:rPr>
                <w:rFonts w:ascii="Arial" w:hAnsi="Arial" w:cs="Arial"/>
                <w:color w:val="000000"/>
              </w:rPr>
              <w:t>ANTI-VASCULAR ENDOTHELIAL GROWTH FACTOR (ANTI-VEGF) THERAPIES</w:t>
            </w:r>
          </w:p>
          <w:p w:rsidR="00D0753E" w:rsidRPr="00C75CE0" w:rsidRDefault="00D0753E" w:rsidP="00F772B4">
            <w:pPr>
              <w:rPr>
                <w:rFonts w:ascii="Arial" w:hAnsi="Arial" w:cs="Arial"/>
                <w:color w:val="000000"/>
              </w:rPr>
            </w:pPr>
          </w:p>
          <w:p w:rsidR="00D0753E" w:rsidRPr="00C75CE0" w:rsidRDefault="00D0753E" w:rsidP="00F772B4">
            <w:pPr>
              <w:rPr>
                <w:rFonts w:ascii="Arial" w:hAnsi="Arial" w:cs="Arial"/>
                <w:color w:val="000000"/>
              </w:rPr>
            </w:pPr>
            <w:r w:rsidRPr="00C75CE0">
              <w:rPr>
                <w:rFonts w:ascii="Arial" w:hAnsi="Arial" w:cs="Arial"/>
                <w:color w:val="000000"/>
              </w:rPr>
              <w:t>AFLIBERCEPT</w:t>
            </w:r>
          </w:p>
          <w:p w:rsidR="00D0753E" w:rsidRPr="00C75CE0" w:rsidRDefault="00D0753E" w:rsidP="00F772B4">
            <w:pPr>
              <w:rPr>
                <w:rFonts w:ascii="Arial" w:hAnsi="Arial" w:cs="Arial"/>
                <w:color w:val="000000"/>
              </w:rPr>
            </w:pPr>
            <w:r w:rsidRPr="00C75CE0">
              <w:rPr>
                <w:rFonts w:ascii="Arial" w:hAnsi="Arial" w:cs="Arial"/>
                <w:color w:val="000000"/>
              </w:rPr>
              <w:t>4 mg/0.1 mL injection, 0.1 mL vial</w:t>
            </w:r>
          </w:p>
          <w:p w:rsidR="00D0753E" w:rsidRPr="00C75CE0" w:rsidRDefault="00D0753E" w:rsidP="00F772B4">
            <w:pPr>
              <w:rPr>
                <w:rFonts w:ascii="Arial" w:hAnsi="Arial" w:cs="Arial"/>
                <w:color w:val="000000"/>
              </w:rPr>
            </w:pPr>
            <w:r w:rsidRPr="00C75CE0">
              <w:rPr>
                <w:rFonts w:ascii="Arial" w:hAnsi="Arial" w:cs="Arial"/>
                <w:color w:val="000000"/>
              </w:rPr>
              <w:t>Eylea®</w:t>
            </w:r>
          </w:p>
          <w:p w:rsidR="00D0753E" w:rsidRPr="00C75CE0" w:rsidRDefault="00D0753E" w:rsidP="00F772B4">
            <w:pPr>
              <w:rPr>
                <w:rFonts w:ascii="Arial" w:hAnsi="Arial" w:cs="Arial"/>
                <w:color w:val="000000"/>
              </w:rPr>
            </w:pPr>
            <w:r w:rsidRPr="00C75CE0">
              <w:rPr>
                <w:rFonts w:ascii="Arial" w:hAnsi="Arial" w:cs="Arial"/>
                <w:color w:val="000000"/>
              </w:rPr>
              <w:t>Bayer Australia Ltd</w:t>
            </w:r>
          </w:p>
          <w:p w:rsidR="00D0753E" w:rsidRPr="00C75CE0" w:rsidRDefault="00D0753E" w:rsidP="00F772B4">
            <w:pPr>
              <w:rPr>
                <w:rFonts w:ascii="Arial" w:hAnsi="Arial" w:cs="Arial"/>
                <w:color w:val="000000"/>
              </w:rPr>
            </w:pPr>
          </w:p>
          <w:p w:rsidR="00D0753E" w:rsidRPr="00C75CE0" w:rsidRDefault="00D0753E" w:rsidP="00F772B4">
            <w:pPr>
              <w:rPr>
                <w:rFonts w:ascii="Arial" w:hAnsi="Arial" w:cs="Arial"/>
                <w:color w:val="000000"/>
              </w:rPr>
            </w:pPr>
            <w:r w:rsidRPr="00C75CE0">
              <w:rPr>
                <w:rFonts w:ascii="Arial" w:hAnsi="Arial" w:cs="Arial"/>
                <w:color w:val="000000"/>
              </w:rPr>
              <w:t>RANIBIZUMAB</w:t>
            </w:r>
          </w:p>
          <w:p w:rsidR="00D0753E" w:rsidRPr="00C75CE0" w:rsidRDefault="00D0753E" w:rsidP="00F772B4">
            <w:pPr>
              <w:rPr>
                <w:rFonts w:ascii="Arial" w:hAnsi="Arial" w:cs="Arial"/>
                <w:color w:val="000000"/>
              </w:rPr>
            </w:pPr>
            <w:r w:rsidRPr="00C75CE0">
              <w:rPr>
                <w:rFonts w:ascii="Arial" w:hAnsi="Arial" w:cs="Arial"/>
                <w:color w:val="000000"/>
              </w:rPr>
              <w:t>1.65 mg/0.165 mL injection, 1 x 0.165 mL syringe</w:t>
            </w:r>
          </w:p>
          <w:p w:rsidR="00D0753E" w:rsidRPr="00C75CE0" w:rsidRDefault="00D0753E" w:rsidP="00F772B4">
            <w:pPr>
              <w:rPr>
                <w:rFonts w:ascii="Arial" w:hAnsi="Arial" w:cs="Arial"/>
                <w:color w:val="000000"/>
              </w:rPr>
            </w:pPr>
            <w:r w:rsidRPr="00C75CE0">
              <w:rPr>
                <w:rFonts w:ascii="Arial" w:hAnsi="Arial" w:cs="Arial"/>
                <w:color w:val="000000"/>
              </w:rPr>
              <w:t>2.3 mg/0.23 mL injection, 0.23 mL vial</w:t>
            </w:r>
          </w:p>
          <w:p w:rsidR="00D0753E" w:rsidRPr="00C75CE0" w:rsidRDefault="00D0753E" w:rsidP="00F772B4">
            <w:pPr>
              <w:rPr>
                <w:rFonts w:ascii="Arial" w:hAnsi="Arial" w:cs="Arial"/>
                <w:color w:val="000000"/>
              </w:rPr>
            </w:pPr>
            <w:r w:rsidRPr="00C75CE0">
              <w:rPr>
                <w:rFonts w:ascii="Arial" w:hAnsi="Arial" w:cs="Arial"/>
                <w:color w:val="000000"/>
              </w:rPr>
              <w:t>Lucentis®</w:t>
            </w:r>
          </w:p>
          <w:p w:rsidR="00D0753E" w:rsidRPr="00C75CE0" w:rsidRDefault="00D0753E" w:rsidP="00F772B4">
            <w:pPr>
              <w:rPr>
                <w:rFonts w:ascii="Arial" w:hAnsi="Arial" w:cs="Arial"/>
                <w:color w:val="000000"/>
              </w:rPr>
            </w:pPr>
            <w:r w:rsidRPr="00C75CE0">
              <w:rPr>
                <w:rFonts w:ascii="Arial" w:hAnsi="Arial" w:cs="Arial"/>
                <w:color w:val="000000"/>
              </w:rPr>
              <w:t>Novartis Pharmaceuticals Australia Pty Limited</w:t>
            </w:r>
          </w:p>
          <w:p w:rsidR="00D0753E" w:rsidRDefault="00D0753E" w:rsidP="00F772B4">
            <w:pPr>
              <w:rPr>
                <w:rFonts w:ascii="Arial" w:hAnsi="Arial" w:cs="Arial"/>
                <w:color w:val="000000"/>
              </w:rPr>
            </w:pPr>
          </w:p>
          <w:p w:rsidR="006D54E6" w:rsidRPr="00C75CE0" w:rsidRDefault="006D54E6" w:rsidP="00F772B4">
            <w:pPr>
              <w:rPr>
                <w:rFonts w:ascii="Arial" w:hAnsi="Arial" w:cs="Arial"/>
                <w:color w:val="000000"/>
              </w:rPr>
            </w:pPr>
          </w:p>
          <w:p w:rsidR="00D0753E" w:rsidRPr="00C75CE0" w:rsidRDefault="00D0753E" w:rsidP="00F772B4">
            <w:pPr>
              <w:rPr>
                <w:rFonts w:ascii="Arial" w:hAnsi="Arial" w:cs="Arial"/>
                <w:color w:val="000000"/>
              </w:rPr>
            </w:pPr>
            <w:r w:rsidRPr="00C75CE0">
              <w:rPr>
                <w:rFonts w:ascii="Arial" w:hAnsi="Arial" w:cs="Arial"/>
                <w:color w:val="000000"/>
              </w:rPr>
              <w:lastRenderedPageBreak/>
              <w:t>DEXAMETHASONE</w:t>
            </w:r>
          </w:p>
          <w:p w:rsidR="00D0753E" w:rsidRPr="00C75CE0" w:rsidRDefault="00D0753E" w:rsidP="00F772B4">
            <w:pPr>
              <w:rPr>
                <w:rFonts w:ascii="Arial" w:hAnsi="Arial" w:cs="Arial"/>
                <w:color w:val="222222"/>
                <w:shd w:val="clear" w:color="auto" w:fill="FFFFFF"/>
              </w:rPr>
            </w:pPr>
            <w:r w:rsidRPr="00C75CE0">
              <w:rPr>
                <w:rFonts w:ascii="Arial" w:hAnsi="Arial" w:cs="Arial"/>
                <w:color w:val="222222"/>
                <w:shd w:val="clear" w:color="auto" w:fill="FFFFFF"/>
              </w:rPr>
              <w:t>700 microgram implant, 1</w:t>
            </w:r>
          </w:p>
          <w:p w:rsidR="00D0753E" w:rsidRPr="00C75CE0" w:rsidRDefault="00D0753E" w:rsidP="00F772B4">
            <w:pPr>
              <w:rPr>
                <w:rFonts w:ascii="Arial" w:hAnsi="Arial" w:cs="Arial"/>
                <w:color w:val="222222"/>
                <w:shd w:val="clear" w:color="auto" w:fill="FFFFFF"/>
              </w:rPr>
            </w:pPr>
            <w:r w:rsidRPr="00C75CE0">
              <w:rPr>
                <w:rFonts w:ascii="Arial" w:hAnsi="Arial" w:cs="Arial"/>
                <w:color w:val="222222"/>
                <w:shd w:val="clear" w:color="auto" w:fill="FFFFFF"/>
              </w:rPr>
              <w:t>Ozurdex®</w:t>
            </w:r>
          </w:p>
          <w:p w:rsidR="00D0753E" w:rsidRPr="00C75CE0" w:rsidRDefault="00D0753E" w:rsidP="00F772B4">
            <w:pPr>
              <w:rPr>
                <w:rFonts w:ascii="Arial" w:hAnsi="Arial" w:cs="Arial"/>
                <w:color w:val="000000"/>
              </w:rPr>
            </w:pPr>
            <w:r w:rsidRPr="00C75CE0">
              <w:rPr>
                <w:rFonts w:ascii="Arial" w:hAnsi="Arial" w:cs="Arial"/>
                <w:color w:val="000000"/>
              </w:rPr>
              <w:t>Allergan Australia Pty Limited</w:t>
            </w:r>
          </w:p>
          <w:p w:rsidR="00D0753E" w:rsidRPr="00C75CE0" w:rsidRDefault="00D0753E" w:rsidP="00F772B4">
            <w:pPr>
              <w:rPr>
                <w:rFonts w:ascii="Arial" w:hAnsi="Arial" w:cs="Arial"/>
                <w:color w:val="000000"/>
              </w:rPr>
            </w:pPr>
          </w:p>
          <w:p w:rsidR="00D0753E" w:rsidRPr="00C75CE0" w:rsidRDefault="00D0753E" w:rsidP="00F772B4">
            <w:pPr>
              <w:rPr>
                <w:rFonts w:ascii="Arial" w:hAnsi="Arial" w:cs="Arial"/>
                <w:color w:val="000000"/>
              </w:rPr>
            </w:pPr>
            <w:r w:rsidRPr="00C75CE0">
              <w:rPr>
                <w:rFonts w:ascii="Arial" w:hAnsi="Arial" w:cs="Arial"/>
                <w:color w:val="000000"/>
              </w:rPr>
              <w:t>VERTEPORFIN</w:t>
            </w:r>
          </w:p>
          <w:p w:rsidR="00D0753E" w:rsidRPr="00C75CE0" w:rsidRDefault="00D0753E" w:rsidP="00F772B4">
            <w:pPr>
              <w:rPr>
                <w:rFonts w:ascii="Arial" w:hAnsi="Arial" w:cs="Arial"/>
                <w:color w:val="000000"/>
              </w:rPr>
            </w:pPr>
            <w:r w:rsidRPr="00C75CE0">
              <w:rPr>
                <w:rFonts w:ascii="Arial" w:hAnsi="Arial" w:cs="Arial"/>
                <w:color w:val="000000"/>
              </w:rPr>
              <w:t>15 mg injection, 1 vial</w:t>
            </w:r>
          </w:p>
          <w:p w:rsidR="00D0753E" w:rsidRPr="00C75CE0" w:rsidRDefault="00D0753E" w:rsidP="00F772B4">
            <w:pPr>
              <w:rPr>
                <w:rFonts w:ascii="Arial" w:hAnsi="Arial" w:cs="Arial"/>
                <w:color w:val="000000"/>
              </w:rPr>
            </w:pPr>
            <w:r w:rsidRPr="00C75CE0">
              <w:rPr>
                <w:rFonts w:ascii="Arial" w:hAnsi="Arial" w:cs="Arial"/>
                <w:color w:val="000000"/>
              </w:rPr>
              <w:t>Visudyne®</w:t>
            </w:r>
          </w:p>
          <w:p w:rsidR="00D0753E" w:rsidRDefault="00D0753E" w:rsidP="00F772B4">
            <w:pPr>
              <w:rPr>
                <w:rFonts w:ascii="Arial" w:hAnsi="Arial" w:cs="Arial"/>
                <w:color w:val="000000"/>
              </w:rPr>
            </w:pPr>
            <w:r w:rsidRPr="00C75CE0">
              <w:rPr>
                <w:rFonts w:ascii="Arial" w:hAnsi="Arial" w:cs="Arial"/>
                <w:color w:val="000000"/>
              </w:rPr>
              <w:t>Novartis Pharmaceuticals Australia Pty Limited</w:t>
            </w:r>
          </w:p>
          <w:p w:rsidR="008B76D6" w:rsidRDefault="008B76D6" w:rsidP="00F772B4">
            <w:pPr>
              <w:rPr>
                <w:rFonts w:ascii="Arial" w:hAnsi="Arial" w:cs="Arial"/>
                <w:color w:val="000000"/>
              </w:rPr>
            </w:pPr>
          </w:p>
          <w:p w:rsidR="008B76D6" w:rsidRDefault="008B76D6" w:rsidP="00F772B4">
            <w:pPr>
              <w:rPr>
                <w:rFonts w:ascii="Arial" w:hAnsi="Arial" w:cs="Arial"/>
                <w:color w:val="000000"/>
              </w:rPr>
            </w:pPr>
            <w:r>
              <w:rPr>
                <w:rFonts w:ascii="Arial" w:hAnsi="Arial" w:cs="Arial"/>
                <w:color w:val="000000"/>
              </w:rPr>
              <w:t>Change to listing</w:t>
            </w:r>
          </w:p>
          <w:p w:rsidR="008B76D6" w:rsidRDefault="008B76D6" w:rsidP="00F772B4">
            <w:pPr>
              <w:rPr>
                <w:rFonts w:ascii="Arial" w:hAnsi="Arial" w:cs="Arial"/>
                <w:color w:val="000000"/>
              </w:rPr>
            </w:pPr>
          </w:p>
          <w:p w:rsidR="008B76D6" w:rsidRPr="00C75CE0" w:rsidRDefault="008B76D6" w:rsidP="00F772B4">
            <w:pPr>
              <w:rPr>
                <w:rFonts w:ascii="Arial" w:hAnsi="Arial" w:cs="Arial"/>
                <w:color w:val="000000"/>
              </w:rPr>
            </w:pPr>
            <w:r>
              <w:rPr>
                <w:rFonts w:ascii="Arial" w:hAnsi="Arial" w:cs="Arial"/>
                <w:color w:val="000000"/>
              </w:rPr>
              <w:t>(Correspondence)</w:t>
            </w:r>
          </w:p>
        </w:tc>
        <w:tc>
          <w:tcPr>
            <w:tcW w:w="2126" w:type="dxa"/>
          </w:tcPr>
          <w:p w:rsidR="00D0753E" w:rsidRPr="00C75CE0" w:rsidRDefault="00D0753E" w:rsidP="00F772B4">
            <w:pPr>
              <w:rPr>
                <w:rFonts w:ascii="Arial" w:hAnsi="Arial" w:cs="Arial"/>
                <w:color w:val="000000"/>
              </w:rPr>
            </w:pPr>
            <w:r w:rsidRPr="00C75CE0">
              <w:rPr>
                <w:rFonts w:ascii="Arial" w:hAnsi="Arial" w:cs="Arial"/>
                <w:color w:val="000000"/>
              </w:rPr>
              <w:lastRenderedPageBreak/>
              <w:t>Diabetic macular oedema; subfoveal choroidal neovascularisation (due to age-related macular degeneration); central retinal vein occlusion with macular oedema; branch retinal vein occlusion with macular oedema</w:t>
            </w:r>
          </w:p>
        </w:tc>
        <w:tc>
          <w:tcPr>
            <w:tcW w:w="3261" w:type="dxa"/>
            <w:tcMar>
              <w:top w:w="28" w:type="dxa"/>
              <w:bottom w:w="28" w:type="dxa"/>
            </w:tcMar>
          </w:tcPr>
          <w:p w:rsidR="00D0753E" w:rsidRPr="00C75CE0" w:rsidRDefault="00D0753E" w:rsidP="00F772B4">
            <w:pPr>
              <w:jc w:val="both"/>
              <w:rPr>
                <w:rFonts w:ascii="Arial" w:hAnsi="Arial" w:cs="Arial"/>
                <w:color w:val="000000"/>
              </w:rPr>
            </w:pPr>
            <w:r w:rsidRPr="00C75CE0">
              <w:rPr>
                <w:rFonts w:ascii="Arial" w:hAnsi="Arial" w:cs="Arial"/>
                <w:color w:val="000000"/>
              </w:rPr>
              <w:t>Correspondence from Vision2020 Australia to request changes to the listings of anti</w:t>
            </w:r>
            <w:r w:rsidRPr="00C75CE0">
              <w:rPr>
                <w:rFonts w:ascii="Arial" w:hAnsi="Arial" w:cs="Arial"/>
                <w:color w:val="000000"/>
              </w:rPr>
              <w:noBreakHyphen/>
              <w:t>VEGF therapies to include prescribing by ophthalmology registrars.</w:t>
            </w:r>
          </w:p>
        </w:tc>
        <w:tc>
          <w:tcPr>
            <w:tcW w:w="6947" w:type="dxa"/>
          </w:tcPr>
          <w:p w:rsidR="00D0753E" w:rsidRPr="00C75CE0" w:rsidRDefault="00D0753E" w:rsidP="00F772B4">
            <w:pPr>
              <w:widowControl w:val="0"/>
              <w:jc w:val="both"/>
              <w:rPr>
                <w:rFonts w:ascii="Arial" w:hAnsi="Arial" w:cs="Arial"/>
                <w:bCs/>
                <w:snapToGrid w:val="0"/>
              </w:rPr>
            </w:pPr>
            <w:r w:rsidRPr="00C75CE0">
              <w:rPr>
                <w:rFonts w:ascii="Arial" w:hAnsi="Arial" w:cs="Arial"/>
                <w:bCs/>
                <w:snapToGrid w:val="0"/>
              </w:rPr>
              <w:t>The PBAC recommended amending the restrictions of anti-VEGF therapies, including aflibercept, ranibizumab, dexamethasone implant and verteporfin to permit prescribing by ophthalmology registrars</w:t>
            </w:r>
            <w:r>
              <w:rPr>
                <w:rFonts w:ascii="Arial" w:hAnsi="Arial" w:cs="Arial"/>
                <w:bCs/>
                <w:snapToGrid w:val="0"/>
              </w:rPr>
              <w:t xml:space="preserve"> and other medical practitioners</w:t>
            </w:r>
            <w:r w:rsidRPr="00C75CE0">
              <w:rPr>
                <w:rFonts w:ascii="Arial" w:hAnsi="Arial" w:cs="Arial"/>
                <w:bCs/>
                <w:snapToGrid w:val="0"/>
              </w:rPr>
              <w:t>, in consultation with an ophthalmologist. The PBAC considered that this change may help reduce access barriers to anti-VEGF therapies for indigenous patients and those living in rural and remote areas.</w:t>
            </w:r>
          </w:p>
          <w:p w:rsidR="00D0753E" w:rsidRPr="00C75CE0" w:rsidRDefault="00D0753E" w:rsidP="00F772B4">
            <w:pPr>
              <w:jc w:val="both"/>
              <w:rPr>
                <w:rFonts w:ascii="Arial" w:hAnsi="Arial" w:cs="Arial"/>
              </w:rPr>
            </w:pPr>
          </w:p>
        </w:tc>
      </w:tr>
      <w:tr w:rsidR="008B76D6" w:rsidRPr="00726A5E" w:rsidTr="00553371">
        <w:trPr>
          <w:trHeight w:val="546"/>
        </w:trPr>
        <w:tc>
          <w:tcPr>
            <w:tcW w:w="2977" w:type="dxa"/>
            <w:tcMar>
              <w:top w:w="28" w:type="dxa"/>
              <w:bottom w:w="28" w:type="dxa"/>
            </w:tcMar>
          </w:tcPr>
          <w:p w:rsidR="008B76D6" w:rsidRPr="003F0D3E" w:rsidRDefault="008B76D6" w:rsidP="003A6E8B">
            <w:pPr>
              <w:keepNext/>
              <w:rPr>
                <w:rFonts w:ascii="Arial" w:hAnsi="Arial" w:cs="Arial"/>
              </w:rPr>
            </w:pPr>
            <w:r w:rsidRPr="003F0D3E">
              <w:rPr>
                <w:rFonts w:ascii="Arial" w:hAnsi="Arial" w:cs="Arial"/>
              </w:rPr>
              <w:lastRenderedPageBreak/>
              <w:t>FERROUS FUMARATE</w:t>
            </w:r>
          </w:p>
          <w:p w:rsidR="008B76D6" w:rsidRPr="003F0D3E" w:rsidRDefault="008B76D6" w:rsidP="003A6E8B">
            <w:pPr>
              <w:keepNext/>
              <w:rPr>
                <w:rFonts w:ascii="Arial" w:hAnsi="Arial" w:cs="Arial"/>
              </w:rPr>
            </w:pPr>
            <w:r w:rsidRPr="003F0D3E">
              <w:rPr>
                <w:rFonts w:ascii="Arial" w:hAnsi="Arial" w:cs="Arial"/>
              </w:rPr>
              <w:t>Tablet 200mg</w:t>
            </w:r>
          </w:p>
          <w:p w:rsidR="008B76D6" w:rsidRPr="003F0D3E" w:rsidRDefault="008B76D6" w:rsidP="003A6E8B">
            <w:pPr>
              <w:keepNext/>
              <w:rPr>
                <w:rFonts w:ascii="Arial" w:hAnsi="Arial" w:cs="Arial"/>
              </w:rPr>
            </w:pPr>
            <w:r w:rsidRPr="003F0D3E">
              <w:rPr>
                <w:rFonts w:ascii="Arial" w:hAnsi="Arial" w:cs="Arial"/>
              </w:rPr>
              <w:t>Ferro-tab</w:t>
            </w:r>
            <w:r w:rsidRPr="003F0D3E">
              <w:rPr>
                <w:rFonts w:ascii="Arial" w:hAnsi="Arial" w:cs="Arial"/>
                <w:vertAlign w:val="superscript"/>
              </w:rPr>
              <w:t>®</w:t>
            </w:r>
            <w:r w:rsidRPr="003F0D3E">
              <w:rPr>
                <w:rFonts w:ascii="Arial" w:hAnsi="Arial" w:cs="Arial"/>
              </w:rPr>
              <w:t xml:space="preserve"> </w:t>
            </w:r>
          </w:p>
          <w:p w:rsidR="008B76D6" w:rsidRPr="003F0D3E" w:rsidRDefault="008B76D6" w:rsidP="003A6E8B">
            <w:pPr>
              <w:ind w:left="108"/>
              <w:rPr>
                <w:rFonts w:ascii="Arial" w:hAnsi="Arial" w:cs="Arial"/>
                <w:color w:val="000000"/>
              </w:rPr>
            </w:pPr>
          </w:p>
          <w:p w:rsidR="008B76D6" w:rsidRPr="003F0D3E" w:rsidRDefault="008B76D6" w:rsidP="003A6E8B">
            <w:pPr>
              <w:keepNext/>
              <w:rPr>
                <w:rFonts w:ascii="Arial" w:hAnsi="Arial" w:cs="Arial"/>
              </w:rPr>
            </w:pPr>
            <w:r w:rsidRPr="003F0D3E">
              <w:rPr>
                <w:rFonts w:ascii="Arial" w:hAnsi="Arial" w:cs="Arial"/>
              </w:rPr>
              <w:t>FERROUS FUMARATE + FOLIC ACID</w:t>
            </w:r>
          </w:p>
          <w:p w:rsidR="008B76D6" w:rsidRPr="003F0D3E" w:rsidRDefault="008B76D6" w:rsidP="003A6E8B">
            <w:pPr>
              <w:rPr>
                <w:rFonts w:ascii="Arial Narrow" w:hAnsi="Arial Narrow"/>
              </w:rPr>
            </w:pPr>
            <w:r w:rsidRPr="003F0D3E">
              <w:rPr>
                <w:rFonts w:ascii="Arial" w:hAnsi="Arial" w:cs="Arial"/>
              </w:rPr>
              <w:t>Ferrous fumarate 310 mg + folic acid 350 microgram tablet</w:t>
            </w:r>
            <w:r w:rsidRPr="003F0D3E">
              <w:rPr>
                <w:rFonts w:ascii="Arial Narrow" w:hAnsi="Arial Narrow"/>
              </w:rPr>
              <w:t xml:space="preserve"> </w:t>
            </w:r>
          </w:p>
          <w:p w:rsidR="008B76D6" w:rsidRPr="003F0D3E" w:rsidRDefault="008B76D6" w:rsidP="003A6E8B">
            <w:pPr>
              <w:rPr>
                <w:rFonts w:ascii="Arial" w:hAnsi="Arial" w:cs="Arial"/>
              </w:rPr>
            </w:pPr>
            <w:r w:rsidRPr="003F0D3E">
              <w:rPr>
                <w:rFonts w:ascii="Arial" w:hAnsi="Arial" w:cs="Arial"/>
              </w:rPr>
              <w:t>Ferro-f-tab</w:t>
            </w:r>
            <w:r w:rsidRPr="003F0D3E">
              <w:rPr>
                <w:rFonts w:ascii="Arial" w:hAnsi="Arial" w:cs="Arial"/>
                <w:vertAlign w:val="superscript"/>
              </w:rPr>
              <w:t>®</w:t>
            </w:r>
          </w:p>
          <w:p w:rsidR="008B76D6" w:rsidRPr="003F0D3E" w:rsidRDefault="008B76D6" w:rsidP="003A6E8B">
            <w:pPr>
              <w:rPr>
                <w:rFonts w:ascii="Arial" w:hAnsi="Arial" w:cs="Arial"/>
              </w:rPr>
            </w:pPr>
          </w:p>
          <w:p w:rsidR="008B76D6" w:rsidRDefault="008B76D6" w:rsidP="003A6E8B">
            <w:pPr>
              <w:rPr>
                <w:rFonts w:ascii="Arial" w:hAnsi="Arial" w:cs="Arial"/>
                <w:color w:val="000000"/>
              </w:rPr>
            </w:pPr>
            <w:r w:rsidRPr="003F0D3E">
              <w:rPr>
                <w:rFonts w:ascii="Arial" w:hAnsi="Arial" w:cs="Arial"/>
                <w:color w:val="000000"/>
              </w:rPr>
              <w:t>AFT Pharmaceuticals Pty Ltd</w:t>
            </w:r>
          </w:p>
          <w:p w:rsidR="008B76D6" w:rsidRDefault="008B76D6" w:rsidP="003A6E8B">
            <w:pPr>
              <w:rPr>
                <w:rFonts w:ascii="Arial" w:hAnsi="Arial" w:cs="Arial"/>
                <w:color w:val="000000"/>
              </w:rPr>
            </w:pPr>
          </w:p>
          <w:p w:rsidR="008B76D6" w:rsidRDefault="008B76D6" w:rsidP="003A6E8B">
            <w:pPr>
              <w:rPr>
                <w:rFonts w:ascii="Arial" w:hAnsi="Arial" w:cs="Arial"/>
                <w:color w:val="000000"/>
              </w:rPr>
            </w:pPr>
            <w:r>
              <w:rPr>
                <w:rFonts w:ascii="Arial" w:hAnsi="Arial" w:cs="Arial"/>
                <w:color w:val="000000"/>
              </w:rPr>
              <w:t>New listing</w:t>
            </w:r>
          </w:p>
          <w:p w:rsidR="008B76D6" w:rsidRDefault="008B76D6" w:rsidP="003A6E8B">
            <w:pPr>
              <w:rPr>
                <w:rFonts w:ascii="Arial" w:hAnsi="Arial" w:cs="Arial"/>
                <w:color w:val="000000"/>
              </w:rPr>
            </w:pPr>
          </w:p>
          <w:p w:rsidR="008B76D6" w:rsidRPr="003F0D3E" w:rsidRDefault="008B76D6" w:rsidP="003A6E8B">
            <w:pPr>
              <w:rPr>
                <w:rFonts w:ascii="Arial" w:hAnsi="Arial" w:cs="Arial"/>
                <w:color w:val="000000"/>
              </w:rPr>
            </w:pPr>
            <w:r>
              <w:rPr>
                <w:rFonts w:ascii="Arial" w:hAnsi="Arial" w:cs="Arial"/>
                <w:color w:val="000000"/>
              </w:rPr>
              <w:t>(Correspondence)</w:t>
            </w:r>
          </w:p>
        </w:tc>
        <w:tc>
          <w:tcPr>
            <w:tcW w:w="2126" w:type="dxa"/>
          </w:tcPr>
          <w:p w:rsidR="008B76D6" w:rsidRPr="003F0D3E" w:rsidRDefault="008B76D6" w:rsidP="003A6E8B">
            <w:pPr>
              <w:rPr>
                <w:rFonts w:ascii="Arial" w:hAnsi="Arial" w:cs="Arial"/>
                <w:color w:val="000000"/>
              </w:rPr>
            </w:pPr>
            <w:r w:rsidRPr="003F0D3E">
              <w:rPr>
                <w:rFonts w:ascii="Arial" w:hAnsi="Arial" w:cs="Arial"/>
                <w:color w:val="000000"/>
              </w:rPr>
              <w:t>Treatment of a patient identifying as Aboriginal or Torres Strait Islander</w:t>
            </w:r>
          </w:p>
        </w:tc>
        <w:tc>
          <w:tcPr>
            <w:tcW w:w="3261" w:type="dxa"/>
            <w:tcMar>
              <w:top w:w="28" w:type="dxa"/>
              <w:bottom w:w="28" w:type="dxa"/>
            </w:tcMar>
          </w:tcPr>
          <w:p w:rsidR="008B76D6" w:rsidRPr="003F0D3E" w:rsidRDefault="008B76D6" w:rsidP="003A6E8B">
            <w:pPr>
              <w:jc w:val="both"/>
              <w:rPr>
                <w:rFonts w:ascii="Arial" w:hAnsi="Arial" w:cs="Arial"/>
                <w:color w:val="000000"/>
              </w:rPr>
            </w:pPr>
            <w:r w:rsidRPr="003F0D3E">
              <w:rPr>
                <w:rFonts w:ascii="Arial" w:hAnsi="Arial" w:cs="Arial"/>
                <w:color w:val="000000"/>
              </w:rPr>
              <w:t xml:space="preserve">To </w:t>
            </w:r>
            <w:r>
              <w:rPr>
                <w:rFonts w:ascii="Arial" w:hAnsi="Arial" w:cs="Arial"/>
                <w:color w:val="000000"/>
              </w:rPr>
              <w:t>request a Restricted Benefit listing</w:t>
            </w:r>
            <w:r w:rsidRPr="003F0D3E">
              <w:rPr>
                <w:rFonts w:ascii="Arial" w:hAnsi="Arial" w:cs="Arial"/>
                <w:color w:val="000000"/>
              </w:rPr>
              <w:t xml:space="preserve"> </w:t>
            </w:r>
            <w:r>
              <w:rPr>
                <w:rFonts w:ascii="Arial" w:hAnsi="Arial" w:cs="Arial"/>
                <w:color w:val="000000"/>
              </w:rPr>
              <w:t xml:space="preserve">for the treatment of a patients identifying as </w:t>
            </w:r>
            <w:r w:rsidRPr="006B27D6">
              <w:rPr>
                <w:rFonts w:ascii="Arial" w:hAnsi="Arial" w:cs="Arial"/>
                <w:color w:val="000000"/>
              </w:rPr>
              <w:t>Aboriginal or Torres Strait Islander</w:t>
            </w:r>
            <w:r w:rsidRPr="003F0D3E">
              <w:rPr>
                <w:rFonts w:ascii="Arial" w:hAnsi="Arial" w:cs="Arial"/>
                <w:color w:val="000000"/>
              </w:rPr>
              <w:t>.</w:t>
            </w:r>
          </w:p>
        </w:tc>
        <w:tc>
          <w:tcPr>
            <w:tcW w:w="6947" w:type="dxa"/>
          </w:tcPr>
          <w:p w:rsidR="008B76D6" w:rsidRPr="003F0D3E" w:rsidRDefault="008B76D6" w:rsidP="003A6E8B">
            <w:pPr>
              <w:jc w:val="both"/>
              <w:rPr>
                <w:rFonts w:ascii="Arial" w:hAnsi="Arial" w:cs="Arial"/>
              </w:rPr>
            </w:pPr>
            <w:r w:rsidRPr="003F0D3E">
              <w:rPr>
                <w:rFonts w:ascii="Arial" w:hAnsi="Arial" w:cs="Arial"/>
              </w:rPr>
              <w:t>The PBAC recommended that ferrous fumarate and ferrous fumarate with folic acid be listed on the PBS at th</w:t>
            </w:r>
            <w:r>
              <w:rPr>
                <w:rFonts w:ascii="Arial" w:hAnsi="Arial" w:cs="Arial"/>
              </w:rPr>
              <w:t xml:space="preserve">e price proposed by the sponsor, </w:t>
            </w:r>
            <w:r w:rsidRPr="003F0D3E">
              <w:rPr>
                <w:rFonts w:ascii="Arial" w:hAnsi="Arial" w:cs="Arial"/>
              </w:rPr>
              <w:t>in line with the current price of ferrous fumarate and ferrous fumara</w:t>
            </w:r>
            <w:r>
              <w:rPr>
                <w:rFonts w:ascii="Arial" w:hAnsi="Arial" w:cs="Arial"/>
              </w:rPr>
              <w:t>te with folic acid on the RPBS.</w:t>
            </w:r>
          </w:p>
          <w:p w:rsidR="008B76D6" w:rsidRPr="003F0D3E" w:rsidRDefault="008B76D6" w:rsidP="003A6E8B">
            <w:pPr>
              <w:jc w:val="both"/>
              <w:rPr>
                <w:rFonts w:ascii="Arial" w:hAnsi="Arial" w:cs="Arial"/>
              </w:rPr>
            </w:pPr>
          </w:p>
        </w:tc>
      </w:tr>
      <w:tr w:rsidR="00453612" w:rsidRPr="00726A5E" w:rsidTr="00553371">
        <w:trPr>
          <w:trHeight w:val="546"/>
        </w:trPr>
        <w:tc>
          <w:tcPr>
            <w:tcW w:w="2977" w:type="dxa"/>
            <w:tcMar>
              <w:top w:w="28" w:type="dxa"/>
              <w:bottom w:w="28" w:type="dxa"/>
            </w:tcMar>
          </w:tcPr>
          <w:p w:rsidR="00453612" w:rsidRPr="00BB0C45" w:rsidRDefault="00453612" w:rsidP="00F772B4">
            <w:pPr>
              <w:rPr>
                <w:rFonts w:ascii="Arial" w:hAnsi="Arial" w:cs="Arial"/>
                <w:color w:val="000000"/>
              </w:rPr>
            </w:pPr>
            <w:r w:rsidRPr="00BB0C45">
              <w:rPr>
                <w:rFonts w:ascii="Arial" w:hAnsi="Arial" w:cs="Arial"/>
                <w:color w:val="000000"/>
              </w:rPr>
              <w:t>FLUDARABINE</w:t>
            </w:r>
          </w:p>
          <w:p w:rsidR="00453612" w:rsidRPr="00BB0C45" w:rsidRDefault="00453612" w:rsidP="00F772B4">
            <w:pPr>
              <w:rPr>
                <w:rFonts w:ascii="Arial" w:hAnsi="Arial" w:cs="Arial"/>
                <w:color w:val="000000"/>
              </w:rPr>
            </w:pPr>
          </w:p>
          <w:p w:rsidR="00453612" w:rsidRPr="00BB0C45" w:rsidRDefault="00453612" w:rsidP="00F772B4">
            <w:pPr>
              <w:rPr>
                <w:rFonts w:ascii="Arial" w:hAnsi="Arial" w:cs="Arial"/>
                <w:color w:val="000000"/>
              </w:rPr>
            </w:pPr>
            <w:r w:rsidRPr="00BB0C45">
              <w:rPr>
                <w:rFonts w:ascii="Arial" w:hAnsi="Arial" w:cs="Arial"/>
                <w:color w:val="000000"/>
              </w:rPr>
              <w:t xml:space="preserve">50 mg injection, 1 vial, </w:t>
            </w:r>
          </w:p>
          <w:p w:rsidR="00453612" w:rsidRPr="00BB0C45" w:rsidRDefault="00453612" w:rsidP="00F772B4">
            <w:pPr>
              <w:rPr>
                <w:rFonts w:ascii="Arial" w:hAnsi="Arial" w:cs="Arial"/>
                <w:color w:val="000000"/>
              </w:rPr>
            </w:pPr>
            <w:r w:rsidRPr="00BB0C45">
              <w:rPr>
                <w:rFonts w:ascii="Arial" w:hAnsi="Arial" w:cs="Arial"/>
                <w:color w:val="000000"/>
              </w:rPr>
              <w:t xml:space="preserve">Fludarabine ACT, </w:t>
            </w:r>
          </w:p>
          <w:p w:rsidR="00453612" w:rsidRPr="00BB0C45" w:rsidRDefault="00453612" w:rsidP="00F772B4">
            <w:pPr>
              <w:rPr>
                <w:rFonts w:ascii="Arial" w:hAnsi="Arial" w:cs="Arial"/>
                <w:color w:val="000000"/>
              </w:rPr>
            </w:pPr>
            <w:r w:rsidRPr="00BB0C45">
              <w:rPr>
                <w:rFonts w:ascii="Arial" w:hAnsi="Arial" w:cs="Arial"/>
                <w:color w:val="000000"/>
              </w:rPr>
              <w:t>Amneal Pharmaceuticals Pty Ltd</w:t>
            </w:r>
          </w:p>
          <w:p w:rsidR="00453612" w:rsidRPr="00BB0C45" w:rsidRDefault="00453612" w:rsidP="00F772B4">
            <w:pPr>
              <w:rPr>
                <w:rFonts w:ascii="Arial" w:hAnsi="Arial" w:cs="Arial"/>
                <w:color w:val="000000"/>
              </w:rPr>
            </w:pPr>
          </w:p>
          <w:p w:rsidR="00453612" w:rsidRPr="00BB0C45" w:rsidRDefault="00453612" w:rsidP="00F772B4">
            <w:pPr>
              <w:rPr>
                <w:rFonts w:ascii="Arial" w:hAnsi="Arial" w:cs="Arial"/>
                <w:color w:val="000000"/>
              </w:rPr>
            </w:pPr>
            <w:r w:rsidRPr="00BB0C45">
              <w:rPr>
                <w:rFonts w:ascii="Arial" w:hAnsi="Arial" w:cs="Arial"/>
                <w:color w:val="000000"/>
              </w:rPr>
              <w:lastRenderedPageBreak/>
              <w:t xml:space="preserve">50 mg/2 mL injection, 5 x 2 mL vials, Fludarabine Ebewe, </w:t>
            </w:r>
          </w:p>
          <w:p w:rsidR="00453612" w:rsidRDefault="00453612" w:rsidP="00F772B4">
            <w:pPr>
              <w:rPr>
                <w:rFonts w:ascii="Arial" w:hAnsi="Arial" w:cs="Arial"/>
                <w:color w:val="000000"/>
              </w:rPr>
            </w:pPr>
            <w:r w:rsidRPr="00BB0C45">
              <w:rPr>
                <w:rFonts w:ascii="Arial" w:hAnsi="Arial" w:cs="Arial"/>
                <w:color w:val="000000"/>
              </w:rPr>
              <w:t>Sandoz Pty Ltd</w:t>
            </w:r>
          </w:p>
          <w:p w:rsidR="008B76D6" w:rsidRDefault="008B76D6" w:rsidP="00F772B4">
            <w:pPr>
              <w:rPr>
                <w:rFonts w:ascii="Arial" w:hAnsi="Arial" w:cs="Arial"/>
                <w:color w:val="000000"/>
              </w:rPr>
            </w:pPr>
          </w:p>
          <w:p w:rsidR="008B76D6" w:rsidRDefault="008B76D6" w:rsidP="00F772B4">
            <w:pPr>
              <w:rPr>
                <w:rFonts w:ascii="Arial" w:hAnsi="Arial" w:cs="Arial"/>
                <w:color w:val="000000"/>
              </w:rPr>
            </w:pPr>
            <w:r>
              <w:rPr>
                <w:rFonts w:ascii="Arial" w:hAnsi="Arial" w:cs="Arial"/>
                <w:color w:val="000000"/>
              </w:rPr>
              <w:t>Change to listing</w:t>
            </w:r>
          </w:p>
          <w:p w:rsidR="008B76D6" w:rsidRDefault="008B76D6" w:rsidP="00F772B4">
            <w:pPr>
              <w:rPr>
                <w:rFonts w:ascii="Arial" w:hAnsi="Arial" w:cs="Arial"/>
                <w:color w:val="000000"/>
              </w:rPr>
            </w:pPr>
          </w:p>
          <w:p w:rsidR="008B76D6" w:rsidRPr="00BB0C45" w:rsidRDefault="008B76D6" w:rsidP="00F772B4">
            <w:pPr>
              <w:rPr>
                <w:rFonts w:ascii="Arial" w:hAnsi="Arial" w:cs="Arial"/>
                <w:color w:val="000000"/>
              </w:rPr>
            </w:pPr>
            <w:r>
              <w:rPr>
                <w:rFonts w:ascii="Arial" w:hAnsi="Arial" w:cs="Arial"/>
                <w:color w:val="000000"/>
              </w:rPr>
              <w:t>(Correspondence)</w:t>
            </w:r>
          </w:p>
        </w:tc>
        <w:tc>
          <w:tcPr>
            <w:tcW w:w="2126" w:type="dxa"/>
          </w:tcPr>
          <w:p w:rsidR="00453612" w:rsidRPr="00BB0C45" w:rsidRDefault="00453612" w:rsidP="00F772B4">
            <w:pPr>
              <w:rPr>
                <w:rFonts w:ascii="Arial" w:hAnsi="Arial" w:cs="Arial"/>
                <w:color w:val="000000"/>
              </w:rPr>
            </w:pPr>
            <w:r w:rsidRPr="00BB0C45">
              <w:rPr>
                <w:rFonts w:ascii="Arial" w:hAnsi="Arial" w:cs="Arial"/>
                <w:color w:val="000000"/>
              </w:rPr>
              <w:lastRenderedPageBreak/>
              <w:t>B-cell chronic lymphocytic leukaemia (CLL)</w:t>
            </w:r>
          </w:p>
        </w:tc>
        <w:tc>
          <w:tcPr>
            <w:tcW w:w="3261" w:type="dxa"/>
            <w:tcMar>
              <w:top w:w="28" w:type="dxa"/>
              <w:bottom w:w="28" w:type="dxa"/>
            </w:tcMar>
          </w:tcPr>
          <w:p w:rsidR="00453612" w:rsidRPr="00BB0C45" w:rsidRDefault="00453612" w:rsidP="00453612">
            <w:pPr>
              <w:rPr>
                <w:rFonts w:ascii="Arial" w:hAnsi="Arial" w:cs="Arial"/>
                <w:color w:val="000000"/>
              </w:rPr>
            </w:pPr>
            <w:r w:rsidRPr="00BB0C45">
              <w:rPr>
                <w:rFonts w:ascii="Arial" w:hAnsi="Arial" w:cs="Arial"/>
                <w:color w:val="000000"/>
              </w:rPr>
              <w:t>To seek the PBAC’s advice regarding the restriction level of fludarabine intravenous preparations.</w:t>
            </w:r>
          </w:p>
        </w:tc>
        <w:tc>
          <w:tcPr>
            <w:tcW w:w="6947" w:type="dxa"/>
          </w:tcPr>
          <w:p w:rsidR="00453612" w:rsidRPr="00C0651F" w:rsidRDefault="00036FA6" w:rsidP="00F772B4">
            <w:pPr>
              <w:widowControl w:val="0"/>
              <w:contextualSpacing/>
              <w:jc w:val="both"/>
              <w:rPr>
                <w:rFonts w:ascii="Arial" w:hAnsi="Arial" w:cs="Arial"/>
                <w:bCs/>
                <w:snapToGrid w:val="0"/>
              </w:rPr>
            </w:pPr>
            <w:r w:rsidRPr="00036FA6">
              <w:rPr>
                <w:rFonts w:ascii="Arial" w:hAnsi="Arial" w:cs="Arial"/>
                <w:bCs/>
                <w:snapToGrid w:val="0"/>
              </w:rPr>
              <w:t>The PBAC recommended that the restriction for fludarabine IV be amended from Authority Required (STREAMLINED) to an unrestricted benefit listing, consistent with fludarabine tablets.</w:t>
            </w:r>
          </w:p>
        </w:tc>
      </w:tr>
      <w:tr w:rsidR="00453612" w:rsidRPr="00726A5E" w:rsidTr="00553371">
        <w:trPr>
          <w:trHeight w:val="546"/>
        </w:trPr>
        <w:tc>
          <w:tcPr>
            <w:tcW w:w="2977" w:type="dxa"/>
            <w:tcMar>
              <w:top w:w="28" w:type="dxa"/>
              <w:bottom w:w="28" w:type="dxa"/>
            </w:tcMar>
          </w:tcPr>
          <w:p w:rsidR="00453612" w:rsidRDefault="00453612" w:rsidP="00F772B4">
            <w:pPr>
              <w:rPr>
                <w:rFonts w:ascii="Arial" w:hAnsi="Arial" w:cs="Arial"/>
                <w:color w:val="000000"/>
              </w:rPr>
            </w:pPr>
            <w:r>
              <w:rPr>
                <w:rFonts w:ascii="Arial" w:hAnsi="Arial" w:cs="Arial"/>
                <w:color w:val="000000"/>
              </w:rPr>
              <w:lastRenderedPageBreak/>
              <w:t xml:space="preserve">Hepatitis C treatment </w:t>
            </w:r>
          </w:p>
          <w:p w:rsidR="00453612" w:rsidRDefault="00453612" w:rsidP="00F772B4">
            <w:pPr>
              <w:rPr>
                <w:rFonts w:ascii="Arial" w:hAnsi="Arial" w:cs="Arial"/>
                <w:color w:val="000000"/>
              </w:rPr>
            </w:pPr>
          </w:p>
          <w:p w:rsidR="00453612" w:rsidRDefault="00453612" w:rsidP="00F772B4">
            <w:pPr>
              <w:rPr>
                <w:rFonts w:ascii="Arial" w:hAnsi="Arial" w:cs="Arial"/>
                <w:color w:val="000000"/>
              </w:rPr>
            </w:pPr>
            <w:r>
              <w:rPr>
                <w:rFonts w:ascii="Arial" w:hAnsi="Arial" w:cs="Arial"/>
                <w:color w:val="000000"/>
              </w:rPr>
              <w:t>Gilead Sciences Pty Ltd</w:t>
            </w:r>
          </w:p>
          <w:p w:rsidR="008B76D6" w:rsidRDefault="008B76D6" w:rsidP="00F772B4">
            <w:pPr>
              <w:rPr>
                <w:rFonts w:ascii="Arial" w:hAnsi="Arial" w:cs="Arial"/>
                <w:color w:val="000000"/>
              </w:rPr>
            </w:pPr>
          </w:p>
          <w:p w:rsidR="008B76D6" w:rsidRDefault="008B76D6" w:rsidP="00F772B4">
            <w:pPr>
              <w:rPr>
                <w:rFonts w:ascii="Arial" w:hAnsi="Arial" w:cs="Arial"/>
                <w:color w:val="000000"/>
              </w:rPr>
            </w:pPr>
            <w:r>
              <w:rPr>
                <w:rFonts w:ascii="Arial" w:hAnsi="Arial" w:cs="Arial"/>
                <w:color w:val="000000"/>
              </w:rPr>
              <w:t>Change to listing</w:t>
            </w:r>
          </w:p>
          <w:p w:rsidR="008B76D6" w:rsidRDefault="008B76D6" w:rsidP="00F772B4">
            <w:pPr>
              <w:rPr>
                <w:rFonts w:ascii="Arial" w:hAnsi="Arial" w:cs="Arial"/>
                <w:color w:val="000000"/>
              </w:rPr>
            </w:pPr>
          </w:p>
          <w:p w:rsidR="008B76D6" w:rsidRDefault="008B76D6" w:rsidP="00F772B4">
            <w:pPr>
              <w:rPr>
                <w:rFonts w:ascii="Arial" w:hAnsi="Arial" w:cs="Arial"/>
                <w:color w:val="000000"/>
              </w:rPr>
            </w:pPr>
            <w:r>
              <w:rPr>
                <w:rFonts w:ascii="Arial" w:hAnsi="Arial" w:cs="Arial"/>
                <w:color w:val="000000"/>
              </w:rPr>
              <w:t>(Correspondence)</w:t>
            </w:r>
          </w:p>
        </w:tc>
        <w:tc>
          <w:tcPr>
            <w:tcW w:w="2126" w:type="dxa"/>
          </w:tcPr>
          <w:p w:rsidR="00453612" w:rsidRDefault="00453612" w:rsidP="00F772B4">
            <w:pPr>
              <w:rPr>
                <w:rFonts w:ascii="Arial" w:hAnsi="Arial" w:cs="Arial"/>
                <w:color w:val="000000"/>
              </w:rPr>
            </w:pPr>
            <w:r>
              <w:rPr>
                <w:rFonts w:ascii="Arial" w:hAnsi="Arial" w:cs="Arial"/>
                <w:color w:val="000000"/>
              </w:rPr>
              <w:t>Chronic hepatitis C virus (HCV) infection</w:t>
            </w:r>
          </w:p>
        </w:tc>
        <w:tc>
          <w:tcPr>
            <w:tcW w:w="3261" w:type="dxa"/>
            <w:tcMar>
              <w:top w:w="28" w:type="dxa"/>
              <w:bottom w:w="28" w:type="dxa"/>
            </w:tcMar>
          </w:tcPr>
          <w:p w:rsidR="00453612" w:rsidRDefault="00453612" w:rsidP="00453612">
            <w:pPr>
              <w:rPr>
                <w:rFonts w:ascii="Arial" w:hAnsi="Arial" w:cs="Arial"/>
                <w:color w:val="000000"/>
              </w:rPr>
            </w:pPr>
            <w:r>
              <w:rPr>
                <w:rFonts w:ascii="Arial" w:hAnsi="Arial" w:cs="Arial"/>
                <w:color w:val="000000"/>
              </w:rPr>
              <w:t xml:space="preserve">To request </w:t>
            </w:r>
            <w:r w:rsidRPr="00244C4D">
              <w:rPr>
                <w:rFonts w:ascii="Arial" w:hAnsi="Arial" w:cs="Arial"/>
                <w:color w:val="000000"/>
              </w:rPr>
              <w:t>an amendment to the wording of the current “General statement for drugs for the treatment of hepatitis C” on the PBS, in order to align with the most recent best practice for prescribing ledipasvir/sofosbuvir (Harvoni®) and sofosbuvir (Sovaldi®)-based treatment regimens for chronic hepatitis C virus (HCV)</w:t>
            </w:r>
            <w:r>
              <w:rPr>
                <w:rFonts w:ascii="Arial" w:hAnsi="Arial" w:cs="Arial"/>
                <w:color w:val="000000"/>
              </w:rPr>
              <w:t xml:space="preserve"> infection</w:t>
            </w:r>
            <w:r w:rsidRPr="00244C4D">
              <w:rPr>
                <w:rFonts w:ascii="Arial" w:hAnsi="Arial" w:cs="Arial"/>
                <w:color w:val="000000"/>
              </w:rPr>
              <w:t>.</w:t>
            </w:r>
          </w:p>
        </w:tc>
        <w:tc>
          <w:tcPr>
            <w:tcW w:w="6947" w:type="dxa"/>
          </w:tcPr>
          <w:p w:rsidR="00453612" w:rsidRPr="00C0651F" w:rsidRDefault="00453612" w:rsidP="00F772B4">
            <w:pPr>
              <w:widowControl w:val="0"/>
              <w:jc w:val="both"/>
              <w:rPr>
                <w:rFonts w:ascii="Arial" w:hAnsi="Arial" w:cs="Arial"/>
                <w:color w:val="000000"/>
              </w:rPr>
            </w:pPr>
            <w:r w:rsidRPr="00244C4D">
              <w:rPr>
                <w:rFonts w:ascii="Arial" w:hAnsi="Arial" w:cs="Arial"/>
                <w:color w:val="000000"/>
              </w:rPr>
              <w:t>The PBAC recommended the removal of footnotes 4, 5, 6, 7, 8, 9, and 11 from the “General statement for drugs for the treatment of hepatitis C”. The PBAC noted that there are published guidelines for the treatment of HCV and therefore the request was appropriate and clinically justified.</w:t>
            </w:r>
            <w:r w:rsidR="00BA1352">
              <w:rPr>
                <w:rFonts w:ascii="Arial" w:hAnsi="Arial" w:cs="Arial"/>
                <w:color w:val="000000"/>
              </w:rPr>
              <w:t xml:space="preserve"> </w:t>
            </w:r>
            <w:r w:rsidR="00BC3D9C">
              <w:rPr>
                <w:rFonts w:ascii="Arial" w:hAnsi="Arial" w:cs="Arial"/>
                <w:color w:val="000000"/>
              </w:rPr>
              <w:t>The footnotes r</w:t>
            </w:r>
            <w:r w:rsidR="00B90027">
              <w:rPr>
                <w:rFonts w:ascii="Arial" w:hAnsi="Arial" w:cs="Arial"/>
                <w:color w:val="000000"/>
              </w:rPr>
              <w:t>efer to failure of prior treatment</w:t>
            </w:r>
            <w:r w:rsidR="00BC3D9C">
              <w:rPr>
                <w:rFonts w:ascii="Arial" w:hAnsi="Arial" w:cs="Arial"/>
                <w:color w:val="000000"/>
              </w:rPr>
              <w:t xml:space="preserve"> with a peginterferon containing regimen.</w:t>
            </w:r>
          </w:p>
        </w:tc>
      </w:tr>
      <w:tr w:rsidR="00453612" w:rsidRPr="00726A5E" w:rsidTr="00553371">
        <w:trPr>
          <w:trHeight w:val="546"/>
        </w:trPr>
        <w:tc>
          <w:tcPr>
            <w:tcW w:w="2977" w:type="dxa"/>
            <w:tcMar>
              <w:top w:w="28" w:type="dxa"/>
              <w:bottom w:w="28" w:type="dxa"/>
            </w:tcMar>
          </w:tcPr>
          <w:p w:rsidR="00453612" w:rsidRDefault="00453612" w:rsidP="00F772B4">
            <w:pPr>
              <w:rPr>
                <w:rFonts w:ascii="Arial" w:hAnsi="Arial" w:cs="Arial"/>
                <w:color w:val="000000"/>
              </w:rPr>
            </w:pPr>
            <w:r>
              <w:rPr>
                <w:rFonts w:ascii="Arial" w:hAnsi="Arial" w:cs="Arial"/>
                <w:color w:val="000000"/>
              </w:rPr>
              <w:t>VISMODEGIB</w:t>
            </w:r>
          </w:p>
          <w:p w:rsidR="00453612" w:rsidRDefault="00453612" w:rsidP="00F772B4">
            <w:pPr>
              <w:rPr>
                <w:rFonts w:ascii="Arial" w:hAnsi="Arial" w:cs="Arial"/>
                <w:color w:val="000000"/>
              </w:rPr>
            </w:pPr>
          </w:p>
          <w:p w:rsidR="00453612" w:rsidRPr="004A4A6D" w:rsidRDefault="00453612" w:rsidP="00F772B4">
            <w:pPr>
              <w:keepNext/>
              <w:spacing w:line="276" w:lineRule="auto"/>
              <w:rPr>
                <w:rFonts w:ascii="Arial" w:hAnsi="Arial" w:cs="Arial"/>
              </w:rPr>
            </w:pPr>
            <w:r w:rsidRPr="004A4A6D">
              <w:rPr>
                <w:rFonts w:ascii="Arial" w:hAnsi="Arial" w:cs="Arial"/>
              </w:rPr>
              <w:t>Capsule 150 mg</w:t>
            </w:r>
          </w:p>
          <w:p w:rsidR="00453612" w:rsidRPr="004A4A6D" w:rsidRDefault="00453612" w:rsidP="00F772B4">
            <w:pPr>
              <w:keepNext/>
              <w:spacing w:line="276" w:lineRule="auto"/>
              <w:rPr>
                <w:rFonts w:ascii="Arial" w:hAnsi="Arial" w:cs="Arial"/>
              </w:rPr>
            </w:pPr>
          </w:p>
          <w:p w:rsidR="00453612" w:rsidRPr="004A4A6D" w:rsidRDefault="00453612" w:rsidP="00F772B4">
            <w:pPr>
              <w:keepNext/>
              <w:spacing w:line="276" w:lineRule="auto"/>
              <w:rPr>
                <w:rFonts w:ascii="Arial" w:hAnsi="Arial" w:cs="Arial"/>
              </w:rPr>
            </w:pPr>
            <w:r w:rsidRPr="004A4A6D">
              <w:rPr>
                <w:rFonts w:ascii="Arial" w:hAnsi="Arial" w:cs="Arial"/>
              </w:rPr>
              <w:t>Erivedge®</w:t>
            </w:r>
          </w:p>
          <w:p w:rsidR="00453612" w:rsidRPr="004A4A6D" w:rsidRDefault="00453612" w:rsidP="00F772B4">
            <w:pPr>
              <w:keepNext/>
              <w:spacing w:line="276" w:lineRule="auto"/>
              <w:rPr>
                <w:rFonts w:ascii="Arial" w:hAnsi="Arial" w:cs="Arial"/>
              </w:rPr>
            </w:pPr>
          </w:p>
          <w:p w:rsidR="00453612" w:rsidRDefault="00453612" w:rsidP="00F772B4">
            <w:pPr>
              <w:keepNext/>
              <w:spacing w:line="276" w:lineRule="auto"/>
              <w:rPr>
                <w:rFonts w:ascii="Arial" w:hAnsi="Arial" w:cs="Arial"/>
              </w:rPr>
            </w:pPr>
            <w:r w:rsidRPr="004A4A6D">
              <w:rPr>
                <w:rFonts w:ascii="Arial" w:hAnsi="Arial" w:cs="Arial"/>
              </w:rPr>
              <w:t>Roche Products Pty Ltd</w:t>
            </w:r>
          </w:p>
          <w:p w:rsidR="008B76D6" w:rsidRDefault="008B76D6" w:rsidP="00F772B4">
            <w:pPr>
              <w:keepNext/>
              <w:spacing w:line="276" w:lineRule="auto"/>
              <w:rPr>
                <w:rFonts w:ascii="Arial" w:hAnsi="Arial" w:cs="Arial"/>
              </w:rPr>
            </w:pPr>
          </w:p>
          <w:p w:rsidR="008B76D6" w:rsidRDefault="008B76D6" w:rsidP="00F772B4">
            <w:pPr>
              <w:keepNext/>
              <w:spacing w:line="276" w:lineRule="auto"/>
              <w:rPr>
                <w:rFonts w:ascii="Arial" w:hAnsi="Arial" w:cs="Arial"/>
              </w:rPr>
            </w:pPr>
            <w:r>
              <w:rPr>
                <w:rFonts w:ascii="Arial" w:hAnsi="Arial" w:cs="Arial"/>
              </w:rPr>
              <w:t>Change to recommended listing</w:t>
            </w:r>
          </w:p>
          <w:p w:rsidR="008B76D6" w:rsidRDefault="008B76D6" w:rsidP="00F772B4">
            <w:pPr>
              <w:keepNext/>
              <w:spacing w:line="276" w:lineRule="auto"/>
              <w:rPr>
                <w:rFonts w:ascii="Arial" w:hAnsi="Arial" w:cs="Arial"/>
              </w:rPr>
            </w:pPr>
          </w:p>
          <w:p w:rsidR="00453612" w:rsidRPr="008B76D6" w:rsidRDefault="008B76D6" w:rsidP="008B76D6">
            <w:pPr>
              <w:keepNext/>
              <w:spacing w:line="276" w:lineRule="auto"/>
              <w:rPr>
                <w:rFonts w:ascii="Arial" w:hAnsi="Arial" w:cs="Arial"/>
              </w:rPr>
            </w:pPr>
            <w:r>
              <w:rPr>
                <w:rFonts w:ascii="Arial" w:hAnsi="Arial" w:cs="Arial"/>
              </w:rPr>
              <w:t>(Minor submission)</w:t>
            </w:r>
          </w:p>
        </w:tc>
        <w:tc>
          <w:tcPr>
            <w:tcW w:w="2126" w:type="dxa"/>
          </w:tcPr>
          <w:p w:rsidR="00453612" w:rsidRDefault="00453612" w:rsidP="00F772B4">
            <w:pPr>
              <w:rPr>
                <w:rFonts w:ascii="Arial" w:hAnsi="Arial" w:cs="Arial"/>
                <w:color w:val="000000"/>
              </w:rPr>
            </w:pPr>
            <w:r>
              <w:rPr>
                <w:rFonts w:ascii="Arial" w:hAnsi="Arial" w:cs="Arial"/>
              </w:rPr>
              <w:t>Vismodegib is indicated for the treatment of adult patients with metastatic basal cell carcinoma, or with locally advanced basal cell carcinoma (BCC) where surgery and/or radiation therapy are not appropriate.</w:t>
            </w:r>
          </w:p>
        </w:tc>
        <w:tc>
          <w:tcPr>
            <w:tcW w:w="3261" w:type="dxa"/>
            <w:tcMar>
              <w:top w:w="28" w:type="dxa"/>
              <w:bottom w:w="28" w:type="dxa"/>
            </w:tcMar>
          </w:tcPr>
          <w:p w:rsidR="00453612" w:rsidRDefault="00453612" w:rsidP="00453612">
            <w:pPr>
              <w:rPr>
                <w:rFonts w:ascii="Arial" w:hAnsi="Arial" w:cs="Arial"/>
                <w:color w:val="000000"/>
              </w:rPr>
            </w:pPr>
            <w:r w:rsidRPr="00F516E0">
              <w:rPr>
                <w:rFonts w:ascii="Arial" w:hAnsi="Arial" w:cs="Arial"/>
                <w:color w:val="000000"/>
              </w:rPr>
              <w:t>Resubmission to supply new clinical information in relation to the March 2016 PBAC recommendation of vismodegib for the treatment of metastatic or locally advanced BCC.</w:t>
            </w:r>
          </w:p>
        </w:tc>
        <w:tc>
          <w:tcPr>
            <w:tcW w:w="6947" w:type="dxa"/>
          </w:tcPr>
          <w:p w:rsidR="00453612" w:rsidRPr="00726A5E" w:rsidRDefault="00453612" w:rsidP="00BA1352">
            <w:pPr>
              <w:jc w:val="both"/>
              <w:rPr>
                <w:rFonts w:ascii="Arial" w:hAnsi="Arial" w:cs="Arial"/>
                <w:color w:val="000000"/>
              </w:rPr>
            </w:pPr>
            <w:r w:rsidRPr="001A579F">
              <w:rPr>
                <w:rFonts w:ascii="Arial" w:hAnsi="Arial" w:cs="Arial"/>
                <w:color w:val="000000"/>
              </w:rPr>
              <w:t xml:space="preserve">The PBAC </w:t>
            </w:r>
            <w:r>
              <w:rPr>
                <w:rFonts w:ascii="Arial" w:hAnsi="Arial" w:cs="Arial"/>
                <w:color w:val="000000"/>
              </w:rPr>
              <w:t>changed</w:t>
            </w:r>
            <w:r w:rsidRPr="001A579F">
              <w:rPr>
                <w:rFonts w:ascii="Arial" w:hAnsi="Arial" w:cs="Arial"/>
                <w:color w:val="000000"/>
              </w:rPr>
              <w:t xml:space="preserve"> the advice that it provided in March 2016 when recommending an Authority Required listing of vismodegib for the treatment of metastatic or locally advanced BCC inappropriate for surgery and curative radiotherapy.</w:t>
            </w:r>
          </w:p>
        </w:tc>
      </w:tr>
    </w:tbl>
    <w:p w:rsidR="00640C80" w:rsidRDefault="00640C80" w:rsidP="005B6EB7">
      <w:pPr>
        <w:tabs>
          <w:tab w:val="left" w:pos="5210"/>
        </w:tabs>
        <w:rPr>
          <w:rFonts w:ascii="Arial" w:hAnsi="Arial" w:cs="Arial"/>
          <w:lang w:val="en-US"/>
        </w:rPr>
      </w:pPr>
    </w:p>
    <w:p w:rsidR="00162E5A" w:rsidRDefault="00162E5A" w:rsidP="005B6EB7">
      <w:pPr>
        <w:tabs>
          <w:tab w:val="left" w:pos="5210"/>
        </w:tabs>
        <w:rPr>
          <w:rFonts w:ascii="Arial" w:hAnsi="Arial" w:cs="Arial"/>
          <w:lang w:val="en-US"/>
        </w:rPr>
      </w:pPr>
    </w:p>
    <w:p w:rsidR="00162E5A" w:rsidRDefault="00162E5A" w:rsidP="00690FAA">
      <w:pPr>
        <w:tabs>
          <w:tab w:val="left" w:pos="5210"/>
        </w:tabs>
        <w:rPr>
          <w:rFonts w:ascii="Arial" w:hAnsi="Arial" w:cs="Arial"/>
          <w:lang w:val="en-US"/>
        </w:rPr>
      </w:pPr>
    </w:p>
    <w:sectPr w:rsidR="00162E5A" w:rsidSect="00257615">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404" w:rsidRDefault="00AD0404">
      <w:r>
        <w:separator/>
      </w:r>
    </w:p>
  </w:endnote>
  <w:endnote w:type="continuationSeparator" w:id="0">
    <w:p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1F3B" w:rsidRDefault="005E1F3B"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E32379">
      <w:rPr>
        <w:rStyle w:val="PageNumber"/>
        <w:rFonts w:ascii="Arial" w:hAnsi="Arial" w:cs="Arial"/>
        <w:noProof/>
      </w:rPr>
      <w:t>1</w:t>
    </w:r>
    <w:r w:rsidRPr="00287C89">
      <w:rPr>
        <w:rStyle w:val="PageNumber"/>
        <w:rFonts w:ascii="Arial" w:hAnsi="Arial" w:cs="Arial"/>
      </w:rPr>
      <w:fldChar w:fldCharType="end"/>
    </w:r>
  </w:p>
  <w:p w:rsidR="005E1F3B" w:rsidRDefault="005E1F3B" w:rsidP="00FE2A81">
    <w:pPr>
      <w:pStyle w:val="Footer"/>
      <w:ind w:right="360"/>
    </w:pPr>
  </w:p>
  <w:p w:rsidR="00257615" w:rsidRDefault="00257615"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79" w:rsidRDefault="00E32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404" w:rsidRDefault="00AD0404">
      <w:r>
        <w:separator/>
      </w:r>
    </w:p>
  </w:footnote>
  <w:footnote w:type="continuationSeparator" w:id="0">
    <w:p w:rsidR="00AD0404" w:rsidRDefault="00AD0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79" w:rsidRDefault="00E32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6F" w:rsidRDefault="001A08BC" w:rsidP="0071356F">
    <w:pPr>
      <w:pStyle w:val="Header"/>
      <w:jc w:val="center"/>
      <w:rPr>
        <w:rFonts w:ascii="Arial" w:hAnsi="Arial" w:cs="Arial"/>
        <w:b/>
      </w:rPr>
    </w:pPr>
    <w:r>
      <w:rPr>
        <w:rFonts w:ascii="Arial" w:hAnsi="Arial" w:cs="Arial"/>
        <w:b/>
      </w:rPr>
      <w:t>NOVEMBER</w:t>
    </w:r>
    <w:r w:rsidR="009C64D7">
      <w:rPr>
        <w:rFonts w:ascii="Arial" w:hAnsi="Arial" w:cs="Arial"/>
        <w:b/>
      </w:rPr>
      <w:t xml:space="preserve"> 2016</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C44EC5">
      <w:rPr>
        <w:rFonts w:ascii="Arial" w:hAnsi="Arial" w:cs="Arial"/>
        <w:b/>
      </w:rPr>
      <w:t>OTHER MATTERS</w:t>
    </w:r>
  </w:p>
  <w:p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79" w:rsidRDefault="00E32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nsid w:val="11C607FF"/>
    <w:multiLevelType w:val="hybridMultilevel"/>
    <w:tmpl w:val="F9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7">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4">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8">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nsid w:val="5FDC3476"/>
    <w:multiLevelType w:val="hybridMultilevel"/>
    <w:tmpl w:val="83422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564CBC"/>
    <w:multiLevelType w:val="hybridMultilevel"/>
    <w:tmpl w:val="01C64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5">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8">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ABB39AE"/>
    <w:multiLevelType w:val="hybridMultilevel"/>
    <w:tmpl w:val="32148FB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FD26FAC"/>
    <w:multiLevelType w:val="hybridMultilevel"/>
    <w:tmpl w:val="EED04ECA"/>
    <w:lvl w:ilvl="0" w:tplc="0C090001">
      <w:start w:val="1"/>
      <w:numFmt w:val="bullet"/>
      <w:lvlText w:val=""/>
      <w:lvlJc w:val="left"/>
      <w:pPr>
        <w:ind w:left="720" w:hanging="360"/>
      </w:pPr>
      <w:rPr>
        <w:rFonts w:ascii="Symbol" w:hAnsi="Symbol" w:hint="default"/>
      </w:rPr>
    </w:lvl>
    <w:lvl w:ilvl="1" w:tplc="BBEC001A">
      <w:start w:val="1"/>
      <w:numFmt w:val="bullet"/>
      <w:lvlText w:val=""/>
      <w:lvlJc w:val="righ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31"/>
  </w:num>
  <w:num w:numId="3">
    <w:abstractNumId w:val="30"/>
  </w:num>
  <w:num w:numId="4">
    <w:abstractNumId w:val="22"/>
  </w:num>
  <w:num w:numId="5">
    <w:abstractNumId w:val="12"/>
  </w:num>
  <w:num w:numId="6">
    <w:abstractNumId w:val="7"/>
  </w:num>
  <w:num w:numId="7">
    <w:abstractNumId w:val="33"/>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6"/>
  </w:num>
  <w:num w:numId="11">
    <w:abstractNumId w:val="24"/>
  </w:num>
  <w:num w:numId="12">
    <w:abstractNumId w:val="27"/>
  </w:num>
  <w:num w:numId="13">
    <w:abstractNumId w:val="8"/>
  </w:num>
  <w:num w:numId="14">
    <w:abstractNumId w:val="26"/>
  </w:num>
  <w:num w:numId="15">
    <w:abstractNumId w:val="28"/>
  </w:num>
  <w:num w:numId="16">
    <w:abstractNumId w:val="23"/>
  </w:num>
  <w:num w:numId="17">
    <w:abstractNumId w:val="41"/>
  </w:num>
  <w:num w:numId="18">
    <w:abstractNumId w:val="43"/>
  </w:num>
  <w:num w:numId="19">
    <w:abstractNumId w:val="5"/>
  </w:num>
  <w:num w:numId="20">
    <w:abstractNumId w:val="13"/>
  </w:num>
  <w:num w:numId="21">
    <w:abstractNumId w:val="15"/>
  </w:num>
  <w:num w:numId="22">
    <w:abstractNumId w:val="38"/>
  </w:num>
  <w:num w:numId="23">
    <w:abstractNumId w:val="4"/>
  </w:num>
  <w:num w:numId="24">
    <w:abstractNumId w:val="18"/>
  </w:num>
  <w:num w:numId="25">
    <w:abstractNumId w:val="11"/>
  </w:num>
  <w:num w:numId="26">
    <w:abstractNumId w:val="9"/>
  </w:num>
  <w:num w:numId="27">
    <w:abstractNumId w:val="20"/>
  </w:num>
  <w:num w:numId="28">
    <w:abstractNumId w:val="21"/>
  </w:num>
  <w:num w:numId="29">
    <w:abstractNumId w:val="19"/>
  </w:num>
  <w:num w:numId="30">
    <w:abstractNumId w:val="42"/>
  </w:num>
  <w:num w:numId="31">
    <w:abstractNumId w:val="16"/>
  </w:num>
  <w:num w:numId="32">
    <w:abstractNumId w:val="34"/>
  </w:num>
  <w:num w:numId="33">
    <w:abstractNumId w:val="40"/>
  </w:num>
  <w:num w:numId="34">
    <w:abstractNumId w:val="37"/>
  </w:num>
  <w:num w:numId="35">
    <w:abstractNumId w:val="3"/>
  </w:num>
  <w:num w:numId="36">
    <w:abstractNumId w:val="35"/>
  </w:num>
  <w:num w:numId="37">
    <w:abstractNumId w:val="2"/>
  </w:num>
  <w:num w:numId="38">
    <w:abstractNumId w:val="17"/>
  </w:num>
  <w:num w:numId="39">
    <w:abstractNumId w:val="1"/>
  </w:num>
  <w:num w:numId="40">
    <w:abstractNumId w:val="44"/>
  </w:num>
  <w:num w:numId="41">
    <w:abstractNumId w:val="25"/>
  </w:num>
  <w:num w:numId="42">
    <w:abstractNumId w:val="29"/>
  </w:num>
  <w:num w:numId="43">
    <w:abstractNumId w:val="6"/>
  </w:num>
  <w:num w:numId="44">
    <w:abstractNumId w:val="32"/>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5B0"/>
    <w:rsid w:val="00036CF7"/>
    <w:rsid w:val="00036FA6"/>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79F"/>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1F6"/>
    <w:rsid w:val="00293203"/>
    <w:rsid w:val="0029329A"/>
    <w:rsid w:val="00293A15"/>
    <w:rsid w:val="00295693"/>
    <w:rsid w:val="002960C3"/>
    <w:rsid w:val="002969C0"/>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6522"/>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023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094"/>
    <w:rsid w:val="003E367A"/>
    <w:rsid w:val="003E37A4"/>
    <w:rsid w:val="003E4136"/>
    <w:rsid w:val="003E4E45"/>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78B"/>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2ED7"/>
    <w:rsid w:val="00463886"/>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725"/>
    <w:rsid w:val="00550292"/>
    <w:rsid w:val="005512BB"/>
    <w:rsid w:val="00551309"/>
    <w:rsid w:val="00552426"/>
    <w:rsid w:val="00552F1A"/>
    <w:rsid w:val="00553371"/>
    <w:rsid w:val="0055363B"/>
    <w:rsid w:val="00553693"/>
    <w:rsid w:val="00553934"/>
    <w:rsid w:val="00553B71"/>
    <w:rsid w:val="00554C4D"/>
    <w:rsid w:val="00556A43"/>
    <w:rsid w:val="00557CB3"/>
    <w:rsid w:val="0056087F"/>
    <w:rsid w:val="00560B84"/>
    <w:rsid w:val="0056121A"/>
    <w:rsid w:val="00562195"/>
    <w:rsid w:val="0056261D"/>
    <w:rsid w:val="00562918"/>
    <w:rsid w:val="00563269"/>
    <w:rsid w:val="00564643"/>
    <w:rsid w:val="00564772"/>
    <w:rsid w:val="00565698"/>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603"/>
    <w:rsid w:val="00595917"/>
    <w:rsid w:val="00595BE6"/>
    <w:rsid w:val="005969F6"/>
    <w:rsid w:val="00596FEB"/>
    <w:rsid w:val="005979BE"/>
    <w:rsid w:val="00597A00"/>
    <w:rsid w:val="00597AB3"/>
    <w:rsid w:val="00597DBB"/>
    <w:rsid w:val="005A118A"/>
    <w:rsid w:val="005A1897"/>
    <w:rsid w:val="005A3B97"/>
    <w:rsid w:val="005A45EC"/>
    <w:rsid w:val="005A4A89"/>
    <w:rsid w:val="005A55F6"/>
    <w:rsid w:val="005A57D4"/>
    <w:rsid w:val="005A59B1"/>
    <w:rsid w:val="005A5C31"/>
    <w:rsid w:val="005A5DB4"/>
    <w:rsid w:val="005A600A"/>
    <w:rsid w:val="005A74D9"/>
    <w:rsid w:val="005A7B45"/>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3D2"/>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A9E"/>
    <w:rsid w:val="00884ED2"/>
    <w:rsid w:val="00885317"/>
    <w:rsid w:val="0088567D"/>
    <w:rsid w:val="00885D0E"/>
    <w:rsid w:val="008863EC"/>
    <w:rsid w:val="00887227"/>
    <w:rsid w:val="008900AA"/>
    <w:rsid w:val="00890427"/>
    <w:rsid w:val="0089096B"/>
    <w:rsid w:val="008918D1"/>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CB"/>
    <w:rsid w:val="009C7C85"/>
    <w:rsid w:val="009D03F6"/>
    <w:rsid w:val="009D6353"/>
    <w:rsid w:val="009D6CF0"/>
    <w:rsid w:val="009D6E22"/>
    <w:rsid w:val="009D7050"/>
    <w:rsid w:val="009D7327"/>
    <w:rsid w:val="009D75A9"/>
    <w:rsid w:val="009E0A40"/>
    <w:rsid w:val="009E153F"/>
    <w:rsid w:val="009E19AE"/>
    <w:rsid w:val="009E1E3F"/>
    <w:rsid w:val="009E1E60"/>
    <w:rsid w:val="009E1F86"/>
    <w:rsid w:val="009E216D"/>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34D"/>
    <w:rsid w:val="00A97BFA"/>
    <w:rsid w:val="00AA007C"/>
    <w:rsid w:val="00AA0B30"/>
    <w:rsid w:val="00AA25C9"/>
    <w:rsid w:val="00AA3726"/>
    <w:rsid w:val="00AA40AA"/>
    <w:rsid w:val="00AA4F09"/>
    <w:rsid w:val="00AA53BB"/>
    <w:rsid w:val="00AA7A72"/>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E20"/>
    <w:rsid w:val="00AC7A38"/>
    <w:rsid w:val="00AC7FF7"/>
    <w:rsid w:val="00AD0404"/>
    <w:rsid w:val="00AD07F1"/>
    <w:rsid w:val="00AD20E0"/>
    <w:rsid w:val="00AD2BE1"/>
    <w:rsid w:val="00AD3C49"/>
    <w:rsid w:val="00AD3D21"/>
    <w:rsid w:val="00AD68F8"/>
    <w:rsid w:val="00AD692B"/>
    <w:rsid w:val="00AD6AA3"/>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633F"/>
    <w:rsid w:val="00B070A0"/>
    <w:rsid w:val="00B07CC0"/>
    <w:rsid w:val="00B07E41"/>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D56"/>
    <w:rsid w:val="00B75CCA"/>
    <w:rsid w:val="00B768A7"/>
    <w:rsid w:val="00B76970"/>
    <w:rsid w:val="00B76F65"/>
    <w:rsid w:val="00B7738B"/>
    <w:rsid w:val="00B77809"/>
    <w:rsid w:val="00B77E9E"/>
    <w:rsid w:val="00B80406"/>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DDC"/>
    <w:rsid w:val="00C34E1F"/>
    <w:rsid w:val="00C35C70"/>
    <w:rsid w:val="00C35E26"/>
    <w:rsid w:val="00C3626A"/>
    <w:rsid w:val="00C36684"/>
    <w:rsid w:val="00C36F0A"/>
    <w:rsid w:val="00C36F4F"/>
    <w:rsid w:val="00C372CB"/>
    <w:rsid w:val="00C4067A"/>
    <w:rsid w:val="00C41480"/>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5222"/>
    <w:rsid w:val="00CC5775"/>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946"/>
    <w:rsid w:val="00DD3A79"/>
    <w:rsid w:val="00DD4174"/>
    <w:rsid w:val="00DD418A"/>
    <w:rsid w:val="00DD452E"/>
    <w:rsid w:val="00DD4929"/>
    <w:rsid w:val="00DD6998"/>
    <w:rsid w:val="00DD7C32"/>
    <w:rsid w:val="00DE00A7"/>
    <w:rsid w:val="00DE0A7D"/>
    <w:rsid w:val="00DE0B84"/>
    <w:rsid w:val="00DE0DC9"/>
    <w:rsid w:val="00DE12EF"/>
    <w:rsid w:val="00DE19AA"/>
    <w:rsid w:val="00DE367F"/>
    <w:rsid w:val="00DE3E2A"/>
    <w:rsid w:val="00DE5469"/>
    <w:rsid w:val="00DE5D83"/>
    <w:rsid w:val="00DE7DBA"/>
    <w:rsid w:val="00DE7FB5"/>
    <w:rsid w:val="00DF0953"/>
    <w:rsid w:val="00DF28B5"/>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F98"/>
    <w:rsid w:val="00E20164"/>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3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2FC0"/>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433B"/>
    <w:rsid w:val="00EE46D0"/>
    <w:rsid w:val="00EE476D"/>
    <w:rsid w:val="00EE49A6"/>
    <w:rsid w:val="00EE4C73"/>
    <w:rsid w:val="00EE5C23"/>
    <w:rsid w:val="00EE67FE"/>
    <w:rsid w:val="00EE703E"/>
    <w:rsid w:val="00EE749C"/>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CDC"/>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EB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E5913-6EA0-4AEB-ABAC-87178348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4544</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2016-12-15T01:11:00Z</dcterms:created>
  <dcterms:modified xsi:type="dcterms:W3CDTF">2016-12-15T01:11:00Z</dcterms:modified>
</cp:coreProperties>
</file>