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016"/>
        <w:gridCol w:w="2774"/>
        <w:gridCol w:w="6299"/>
      </w:tblGrid>
      <w:tr w:rsidR="00615FFE" w:rsidRPr="00767E3C" w:rsidTr="00E34312">
        <w:trPr>
          <w:tblHeader/>
        </w:trPr>
        <w:tc>
          <w:tcPr>
            <w:tcW w:w="3085" w:type="dxa"/>
            <w:tcMar>
              <w:top w:w="28" w:type="dxa"/>
              <w:bottom w:w="28" w:type="dxa"/>
            </w:tcMar>
          </w:tcPr>
          <w:p w:rsidR="00615FFE" w:rsidRPr="00767E3C" w:rsidRDefault="00615FFE" w:rsidP="000D6F5C">
            <w:pPr>
              <w:jc w:val="center"/>
              <w:rPr>
                <w:rFonts w:ascii="Arial" w:hAnsi="Arial" w:cs="Arial"/>
                <w:b/>
              </w:rPr>
            </w:pPr>
            <w:bookmarkStart w:id="0" w:name="_GoBack"/>
            <w:bookmarkEnd w:id="0"/>
            <w:r w:rsidRPr="00767E3C">
              <w:rPr>
                <w:rFonts w:ascii="Arial" w:hAnsi="Arial" w:cs="Arial"/>
                <w:b/>
              </w:rPr>
              <w:t>DRUG, SPONSOR, TYPE OF SUBMISSION</w:t>
            </w:r>
          </w:p>
          <w:p w:rsidR="00615FFE" w:rsidRPr="00767E3C" w:rsidRDefault="00615FFE" w:rsidP="000D6F5C">
            <w:pPr>
              <w:jc w:val="center"/>
              <w:rPr>
                <w:rFonts w:ascii="Arial" w:hAnsi="Arial" w:cs="Arial"/>
                <w:snapToGrid w:val="0"/>
                <w:lang w:eastAsia="en-US"/>
              </w:rPr>
            </w:pPr>
          </w:p>
          <w:p w:rsidR="00615FFE" w:rsidRPr="00767E3C" w:rsidRDefault="00615FFE" w:rsidP="000D6F5C">
            <w:pPr>
              <w:jc w:val="center"/>
              <w:rPr>
                <w:rFonts w:ascii="Arial" w:hAnsi="Arial" w:cs="Arial"/>
                <w:b/>
              </w:rPr>
            </w:pPr>
          </w:p>
        </w:tc>
        <w:tc>
          <w:tcPr>
            <w:tcW w:w="2016" w:type="dxa"/>
            <w:tcMar>
              <w:top w:w="28" w:type="dxa"/>
              <w:bottom w:w="28" w:type="dxa"/>
            </w:tcMar>
          </w:tcPr>
          <w:p w:rsidR="00615FFE" w:rsidRPr="00767E3C" w:rsidRDefault="00615FFE" w:rsidP="000D6F5C">
            <w:pPr>
              <w:jc w:val="center"/>
              <w:rPr>
                <w:rFonts w:ascii="Arial" w:hAnsi="Arial" w:cs="Arial"/>
                <w:b/>
                <w:snapToGrid w:val="0"/>
                <w:lang w:eastAsia="en-US"/>
              </w:rPr>
            </w:pPr>
            <w:r w:rsidRPr="00767E3C">
              <w:rPr>
                <w:rFonts w:ascii="Arial" w:hAnsi="Arial" w:cs="Arial"/>
                <w:b/>
                <w:snapToGrid w:val="0"/>
                <w:lang w:eastAsia="en-US"/>
              </w:rPr>
              <w:t>DRUG TYPE OR USE</w:t>
            </w:r>
          </w:p>
          <w:p w:rsidR="00615FFE" w:rsidRPr="00767E3C" w:rsidRDefault="00615FFE" w:rsidP="000D6F5C">
            <w:pPr>
              <w:jc w:val="center"/>
              <w:rPr>
                <w:rFonts w:ascii="Arial" w:hAnsi="Arial" w:cs="Arial"/>
                <w:b/>
                <w:i/>
                <w:snapToGrid w:val="0"/>
                <w:lang w:eastAsia="en-US"/>
              </w:rPr>
            </w:pPr>
          </w:p>
        </w:tc>
        <w:tc>
          <w:tcPr>
            <w:tcW w:w="2774" w:type="dxa"/>
            <w:tcMar>
              <w:top w:w="28" w:type="dxa"/>
              <w:bottom w:w="28" w:type="dxa"/>
            </w:tcMar>
          </w:tcPr>
          <w:p w:rsidR="00615FFE" w:rsidRPr="00767E3C" w:rsidRDefault="00615FFE" w:rsidP="000D6F5C">
            <w:pPr>
              <w:jc w:val="center"/>
              <w:rPr>
                <w:rFonts w:ascii="Arial" w:hAnsi="Arial" w:cs="Arial"/>
                <w:i/>
                <w:snapToGrid w:val="0"/>
                <w:lang w:eastAsia="en-US"/>
              </w:rPr>
            </w:pPr>
            <w:r w:rsidRPr="00767E3C">
              <w:rPr>
                <w:rFonts w:ascii="Arial" w:hAnsi="Arial" w:cs="Arial"/>
                <w:b/>
                <w:snapToGrid w:val="0"/>
                <w:lang w:eastAsia="en-US"/>
              </w:rPr>
              <w:t>LISTING REQUESTED BY SPONSOR / PURPOSE OF SUBMISSION</w:t>
            </w:r>
          </w:p>
          <w:p w:rsidR="00615FFE" w:rsidRPr="00767E3C" w:rsidRDefault="00615FFE" w:rsidP="000D6F5C">
            <w:pPr>
              <w:rPr>
                <w:rFonts w:ascii="Arial" w:hAnsi="Arial" w:cs="Arial"/>
                <w:b/>
                <w:snapToGrid w:val="0"/>
                <w:lang w:eastAsia="en-US"/>
              </w:rPr>
            </w:pPr>
          </w:p>
        </w:tc>
        <w:tc>
          <w:tcPr>
            <w:tcW w:w="6299" w:type="dxa"/>
          </w:tcPr>
          <w:p w:rsidR="00615FFE" w:rsidRPr="00767E3C" w:rsidRDefault="00615FFE" w:rsidP="000D6F5C">
            <w:pPr>
              <w:jc w:val="center"/>
              <w:rPr>
                <w:rFonts w:ascii="Arial" w:hAnsi="Arial" w:cs="Arial"/>
                <w:b/>
                <w:snapToGrid w:val="0"/>
                <w:lang w:eastAsia="en-US"/>
              </w:rPr>
            </w:pPr>
            <w:r w:rsidRPr="00767E3C">
              <w:rPr>
                <w:rFonts w:ascii="Arial" w:hAnsi="Arial" w:cs="Arial"/>
                <w:b/>
                <w:snapToGrid w:val="0"/>
                <w:lang w:eastAsia="en-US"/>
              </w:rPr>
              <w:t>PBAC OUTCOME</w:t>
            </w:r>
          </w:p>
        </w:tc>
      </w:tr>
      <w:tr w:rsidR="00647696" w:rsidRPr="00461D75" w:rsidTr="007F1C74">
        <w:trPr>
          <w:trHeight w:val="405"/>
        </w:trPr>
        <w:tc>
          <w:tcPr>
            <w:tcW w:w="3085" w:type="dxa"/>
            <w:vMerge w:val="restart"/>
            <w:tcBorders>
              <w:top w:val="single" w:sz="4" w:space="0" w:color="auto"/>
              <w:left w:val="single" w:sz="4" w:space="0" w:color="auto"/>
              <w:right w:val="single" w:sz="4" w:space="0" w:color="auto"/>
            </w:tcBorders>
            <w:tcMar>
              <w:top w:w="28" w:type="dxa"/>
              <w:bottom w:w="28" w:type="dxa"/>
            </w:tcMar>
          </w:tcPr>
          <w:p w:rsidR="00E34312" w:rsidRPr="00E34312" w:rsidRDefault="00E34312" w:rsidP="000D6F5C">
            <w:pPr>
              <w:rPr>
                <w:rFonts w:ascii="Arial" w:hAnsi="Arial" w:cs="Arial"/>
                <w:bCs/>
                <w:color w:val="000000"/>
              </w:rPr>
            </w:pPr>
            <w:r w:rsidRPr="00E34312">
              <w:rPr>
                <w:rFonts w:ascii="Arial" w:hAnsi="Arial" w:cs="Arial"/>
                <w:bCs/>
                <w:color w:val="000000"/>
              </w:rPr>
              <w:t>ADALIMUMAB</w:t>
            </w:r>
          </w:p>
          <w:p w:rsidR="00E34312" w:rsidRPr="00E34312" w:rsidRDefault="00E34312" w:rsidP="000D6F5C">
            <w:pPr>
              <w:rPr>
                <w:rFonts w:ascii="Arial" w:hAnsi="Arial" w:cs="Arial"/>
                <w:bCs/>
                <w:color w:val="000000"/>
              </w:rPr>
            </w:pPr>
          </w:p>
          <w:p w:rsidR="00E34312" w:rsidRPr="00E34312" w:rsidRDefault="00E34312" w:rsidP="000D6F5C">
            <w:pPr>
              <w:rPr>
                <w:rFonts w:ascii="Arial" w:hAnsi="Arial" w:cs="Arial"/>
                <w:bCs/>
                <w:color w:val="000000"/>
              </w:rPr>
            </w:pPr>
            <w:r w:rsidRPr="00E34312">
              <w:rPr>
                <w:rFonts w:ascii="Arial" w:hAnsi="Arial" w:cs="Arial"/>
                <w:bCs/>
                <w:color w:val="000000"/>
              </w:rPr>
              <w:t>Injection 40 mg in 0.8 mL pre-filled pen</w:t>
            </w:r>
          </w:p>
          <w:p w:rsidR="00E34312" w:rsidRPr="00E34312" w:rsidRDefault="00E34312" w:rsidP="000D6F5C">
            <w:pPr>
              <w:rPr>
                <w:rFonts w:ascii="Arial" w:hAnsi="Arial" w:cs="Arial"/>
                <w:bCs/>
                <w:color w:val="000000"/>
              </w:rPr>
            </w:pPr>
            <w:r w:rsidRPr="00E34312">
              <w:rPr>
                <w:rFonts w:ascii="Arial" w:hAnsi="Arial" w:cs="Arial"/>
                <w:bCs/>
                <w:color w:val="000000"/>
              </w:rPr>
              <w:t>Injection 40 mg in 0.8 mL pre-filled syringe</w:t>
            </w:r>
          </w:p>
          <w:p w:rsidR="00E34312" w:rsidRPr="00E34312" w:rsidRDefault="00E34312" w:rsidP="000D6F5C">
            <w:pPr>
              <w:rPr>
                <w:rFonts w:ascii="Arial" w:hAnsi="Arial" w:cs="Arial"/>
                <w:bCs/>
                <w:color w:val="000000"/>
              </w:rPr>
            </w:pPr>
          </w:p>
          <w:p w:rsidR="00E34312" w:rsidRPr="00E34312" w:rsidRDefault="00E34312" w:rsidP="000D6F5C">
            <w:pPr>
              <w:rPr>
                <w:rFonts w:ascii="Arial" w:hAnsi="Arial" w:cs="Arial"/>
                <w:bCs/>
                <w:color w:val="000000"/>
              </w:rPr>
            </w:pPr>
            <w:r w:rsidRPr="00E34312">
              <w:rPr>
                <w:rFonts w:ascii="Arial" w:hAnsi="Arial" w:cs="Arial"/>
                <w:bCs/>
                <w:color w:val="000000"/>
              </w:rPr>
              <w:t>Humira®</w:t>
            </w:r>
          </w:p>
          <w:p w:rsidR="00E34312" w:rsidRPr="00E34312" w:rsidRDefault="00E34312" w:rsidP="000D6F5C">
            <w:pPr>
              <w:rPr>
                <w:rFonts w:ascii="Arial" w:hAnsi="Arial" w:cs="Arial"/>
                <w:bCs/>
                <w:color w:val="000000"/>
              </w:rPr>
            </w:pPr>
          </w:p>
          <w:p w:rsidR="00647696" w:rsidRDefault="00E34312" w:rsidP="000D6F5C">
            <w:pPr>
              <w:rPr>
                <w:rFonts w:ascii="Arial" w:hAnsi="Arial" w:cs="Arial"/>
                <w:bCs/>
                <w:color w:val="000000"/>
              </w:rPr>
            </w:pPr>
            <w:proofErr w:type="spellStart"/>
            <w:r w:rsidRPr="00E34312">
              <w:rPr>
                <w:rFonts w:ascii="Arial" w:hAnsi="Arial" w:cs="Arial"/>
                <w:bCs/>
                <w:color w:val="000000"/>
              </w:rPr>
              <w:t>AbbVie</w:t>
            </w:r>
            <w:proofErr w:type="spellEnd"/>
            <w:r w:rsidRPr="00E34312">
              <w:rPr>
                <w:rFonts w:ascii="Arial" w:hAnsi="Arial" w:cs="Arial"/>
                <w:bCs/>
                <w:color w:val="000000"/>
              </w:rPr>
              <w:t xml:space="preserve"> Pty Ltd</w:t>
            </w:r>
          </w:p>
          <w:p w:rsidR="00EC5330" w:rsidRDefault="00EC5330" w:rsidP="000D6F5C">
            <w:pPr>
              <w:rPr>
                <w:rFonts w:ascii="Arial" w:hAnsi="Arial" w:cs="Arial"/>
                <w:bCs/>
                <w:color w:val="000000"/>
              </w:rPr>
            </w:pPr>
          </w:p>
          <w:p w:rsidR="00EC5330" w:rsidRDefault="00EC5330" w:rsidP="000D6F5C">
            <w:pPr>
              <w:rPr>
                <w:rFonts w:ascii="Arial" w:hAnsi="Arial" w:cs="Arial"/>
                <w:bCs/>
                <w:color w:val="000000"/>
              </w:rPr>
            </w:pPr>
            <w:r>
              <w:rPr>
                <w:rFonts w:ascii="Arial" w:hAnsi="Arial" w:cs="Arial"/>
                <w:bCs/>
                <w:color w:val="000000"/>
              </w:rPr>
              <w:t>Change to listing</w:t>
            </w:r>
          </w:p>
          <w:p w:rsidR="00EC5330" w:rsidRDefault="00EC5330" w:rsidP="000D6F5C">
            <w:pPr>
              <w:rPr>
                <w:rFonts w:ascii="Arial" w:hAnsi="Arial" w:cs="Arial"/>
                <w:bCs/>
                <w:color w:val="000000"/>
              </w:rPr>
            </w:pPr>
          </w:p>
          <w:p w:rsidR="00EC5330" w:rsidRPr="00363865" w:rsidRDefault="00EC5330" w:rsidP="000D6F5C">
            <w:pPr>
              <w:rPr>
                <w:rFonts w:ascii="Arial" w:hAnsi="Arial" w:cs="Arial"/>
                <w:bCs/>
                <w:color w:val="000000"/>
              </w:rPr>
            </w:pPr>
            <w:r>
              <w:rPr>
                <w:rFonts w:ascii="Arial" w:hAnsi="Arial" w:cs="Arial"/>
                <w:bCs/>
                <w:color w:val="000000"/>
              </w:rPr>
              <w:t>(Major submission)</w:t>
            </w:r>
          </w:p>
        </w:tc>
        <w:tc>
          <w:tcPr>
            <w:tcW w:w="2016" w:type="dxa"/>
            <w:vMerge w:val="restart"/>
            <w:tcBorders>
              <w:top w:val="single" w:sz="4" w:space="0" w:color="auto"/>
              <w:left w:val="single" w:sz="4" w:space="0" w:color="auto"/>
              <w:right w:val="single" w:sz="4" w:space="0" w:color="auto"/>
            </w:tcBorders>
            <w:tcMar>
              <w:top w:w="28" w:type="dxa"/>
              <w:bottom w:w="28" w:type="dxa"/>
            </w:tcMar>
          </w:tcPr>
          <w:p w:rsidR="00647696" w:rsidRPr="00363865" w:rsidRDefault="00E34312" w:rsidP="000D6F5C">
            <w:pPr>
              <w:rPr>
                <w:rFonts w:ascii="Arial" w:hAnsi="Arial" w:cs="Arial"/>
                <w:bCs/>
                <w:color w:val="000000"/>
              </w:rPr>
            </w:pPr>
            <w:r w:rsidRPr="00E34312">
              <w:rPr>
                <w:rFonts w:ascii="Arial" w:hAnsi="Arial" w:cs="Arial"/>
                <w:bCs/>
                <w:color w:val="000000"/>
              </w:rPr>
              <w:t>Hidradenitis suppurativa</w:t>
            </w:r>
            <w:r w:rsidR="000D6F5C">
              <w:rPr>
                <w:rFonts w:ascii="Arial" w:hAnsi="Arial" w:cs="Arial"/>
                <w:bCs/>
                <w:color w:val="000000"/>
              </w:rPr>
              <w:t xml:space="preserve"> (HS)</w:t>
            </w:r>
          </w:p>
        </w:tc>
        <w:tc>
          <w:tcPr>
            <w:tcW w:w="2774" w:type="dxa"/>
            <w:tcBorders>
              <w:top w:val="single" w:sz="4" w:space="0" w:color="auto"/>
              <w:left w:val="single" w:sz="4" w:space="0" w:color="auto"/>
              <w:right w:val="single" w:sz="4" w:space="0" w:color="auto"/>
            </w:tcBorders>
            <w:tcMar>
              <w:top w:w="28" w:type="dxa"/>
              <w:bottom w:w="28" w:type="dxa"/>
            </w:tcMar>
          </w:tcPr>
          <w:p w:rsidR="00647696" w:rsidRPr="00363865" w:rsidRDefault="00E34312" w:rsidP="000D6F5C">
            <w:pPr>
              <w:rPr>
                <w:rFonts w:ascii="Arial" w:hAnsi="Arial" w:cs="Arial"/>
                <w:bCs/>
                <w:color w:val="000000"/>
              </w:rPr>
            </w:pPr>
            <w:r w:rsidRPr="00E34312">
              <w:rPr>
                <w:rFonts w:ascii="Arial" w:hAnsi="Arial" w:cs="Arial"/>
                <w:bCs/>
                <w:color w:val="000000"/>
              </w:rPr>
              <w:t xml:space="preserve">Resubmission to request an Authority Required listing for the treatment of moderate to severe </w:t>
            </w:r>
            <w:r w:rsidR="000D6F5C">
              <w:rPr>
                <w:rFonts w:ascii="Arial" w:hAnsi="Arial" w:cs="Arial"/>
                <w:bCs/>
                <w:color w:val="000000"/>
              </w:rPr>
              <w:t>HS</w:t>
            </w:r>
            <w:r w:rsidRPr="00E34312">
              <w:rPr>
                <w:rFonts w:ascii="Arial" w:hAnsi="Arial" w:cs="Arial"/>
                <w:bCs/>
                <w:color w:val="000000"/>
              </w:rPr>
              <w:t>.</w:t>
            </w:r>
          </w:p>
        </w:tc>
        <w:tc>
          <w:tcPr>
            <w:tcW w:w="6299" w:type="dxa"/>
            <w:tcBorders>
              <w:top w:val="single" w:sz="4" w:space="0" w:color="auto"/>
              <w:left w:val="single" w:sz="4" w:space="0" w:color="auto"/>
              <w:right w:val="single" w:sz="4" w:space="0" w:color="auto"/>
            </w:tcBorders>
          </w:tcPr>
          <w:p w:rsidR="0085395E" w:rsidRPr="0085395E" w:rsidRDefault="0085395E" w:rsidP="008145BD">
            <w:pPr>
              <w:jc w:val="both"/>
              <w:rPr>
                <w:rFonts w:ascii="Arial" w:hAnsi="Arial" w:cs="Arial"/>
                <w:bCs/>
                <w:color w:val="000000"/>
              </w:rPr>
            </w:pPr>
            <w:r w:rsidRPr="0085395E">
              <w:rPr>
                <w:rFonts w:ascii="Arial" w:hAnsi="Arial" w:cs="Arial"/>
                <w:bCs/>
                <w:color w:val="000000"/>
              </w:rPr>
              <w:t xml:space="preserve">The PBAC deferred making a recommendation on whether adalimumab should be listed for the treatment of moderate-to-severe HS pending further discussion with the sponsor regarding an acceptable price and risk-sharing arrangements. </w:t>
            </w:r>
          </w:p>
          <w:p w:rsidR="0085395E" w:rsidRPr="0085395E" w:rsidRDefault="0085395E" w:rsidP="008145BD">
            <w:pPr>
              <w:jc w:val="both"/>
              <w:rPr>
                <w:rFonts w:ascii="Arial" w:hAnsi="Arial" w:cs="Arial"/>
                <w:bCs/>
                <w:color w:val="000000"/>
              </w:rPr>
            </w:pPr>
          </w:p>
          <w:p w:rsidR="0085395E" w:rsidRPr="0085395E" w:rsidRDefault="0085395E" w:rsidP="008145BD">
            <w:pPr>
              <w:jc w:val="both"/>
              <w:rPr>
                <w:rFonts w:ascii="Arial" w:hAnsi="Arial" w:cs="Arial"/>
                <w:bCs/>
                <w:color w:val="000000"/>
              </w:rPr>
            </w:pPr>
            <w:r w:rsidRPr="0085395E">
              <w:rPr>
                <w:rFonts w:ascii="Arial" w:hAnsi="Arial" w:cs="Arial"/>
                <w:bCs/>
                <w:color w:val="000000"/>
              </w:rPr>
              <w:t xml:space="preserve">The PBAC reaffirmed that there is a high clinical need for an effective treatment for moderate-to-severe HS, and that the chronic nature of the inflammatory skin disease causes significant morbidity and poor quality of life. </w:t>
            </w:r>
          </w:p>
          <w:p w:rsidR="0085395E" w:rsidRPr="0085395E" w:rsidRDefault="0085395E" w:rsidP="008145BD">
            <w:pPr>
              <w:jc w:val="both"/>
              <w:rPr>
                <w:rFonts w:ascii="Arial" w:hAnsi="Arial" w:cs="Arial"/>
                <w:bCs/>
                <w:color w:val="000000"/>
              </w:rPr>
            </w:pPr>
          </w:p>
          <w:p w:rsidR="0085395E" w:rsidRPr="0085395E" w:rsidRDefault="0085395E" w:rsidP="008145BD">
            <w:pPr>
              <w:jc w:val="both"/>
              <w:rPr>
                <w:rFonts w:ascii="Arial" w:hAnsi="Arial" w:cs="Arial"/>
                <w:bCs/>
                <w:color w:val="000000"/>
              </w:rPr>
            </w:pPr>
            <w:r w:rsidRPr="0085395E">
              <w:rPr>
                <w:rFonts w:ascii="Arial" w:hAnsi="Arial" w:cs="Arial"/>
                <w:bCs/>
                <w:color w:val="000000"/>
              </w:rPr>
              <w:t>The PBAC considered that the claim of superior comparative effectiveness was adequately supported by the data for the first 12 weeks of treatment. The PBAC considered that while the claim of superior comparative effectiveness was likely to be reasonable beyond week 12, the magnitude of the incremental benefit, as measured by the proportion of continuing patients who maintain a response to treatment</w:t>
            </w:r>
            <w:r w:rsidR="008145BD">
              <w:rPr>
                <w:rFonts w:ascii="Arial" w:hAnsi="Arial" w:cs="Arial"/>
                <w:bCs/>
                <w:color w:val="000000"/>
              </w:rPr>
              <w:t>,</w:t>
            </w:r>
            <w:r w:rsidRPr="0085395E">
              <w:rPr>
                <w:rFonts w:ascii="Arial" w:hAnsi="Arial" w:cs="Arial"/>
                <w:bCs/>
                <w:color w:val="000000"/>
              </w:rPr>
              <w:t xml:space="preserve"> remained the key uncertainty.</w:t>
            </w:r>
          </w:p>
          <w:p w:rsidR="0085395E" w:rsidRPr="0085395E" w:rsidRDefault="0085395E" w:rsidP="008145BD">
            <w:pPr>
              <w:jc w:val="both"/>
              <w:rPr>
                <w:rFonts w:ascii="Arial" w:hAnsi="Arial" w:cs="Arial"/>
                <w:bCs/>
                <w:color w:val="000000"/>
              </w:rPr>
            </w:pPr>
          </w:p>
          <w:p w:rsidR="00647696" w:rsidRPr="00461D75" w:rsidRDefault="0085395E" w:rsidP="008145BD">
            <w:pPr>
              <w:jc w:val="both"/>
              <w:rPr>
                <w:rFonts w:ascii="Arial" w:hAnsi="Arial" w:cs="Arial"/>
                <w:bCs/>
                <w:color w:val="000000"/>
              </w:rPr>
            </w:pPr>
            <w:r w:rsidRPr="0085395E">
              <w:rPr>
                <w:rFonts w:ascii="Arial" w:hAnsi="Arial" w:cs="Arial"/>
                <w:bCs/>
                <w:color w:val="000000"/>
              </w:rPr>
              <w:t>The PBAC considered that the incremental cost</w:t>
            </w:r>
            <w:r w:rsidR="008145BD">
              <w:rPr>
                <w:rFonts w:ascii="Arial" w:hAnsi="Arial" w:cs="Arial"/>
                <w:bCs/>
                <w:color w:val="000000"/>
              </w:rPr>
              <w:t xml:space="preserve"> </w:t>
            </w:r>
            <w:r w:rsidR="008145BD" w:rsidRPr="0085395E">
              <w:rPr>
                <w:rFonts w:ascii="Arial" w:hAnsi="Arial" w:cs="Arial"/>
                <w:bCs/>
                <w:color w:val="000000"/>
              </w:rPr>
              <w:t>per quality adjusted life year gained</w:t>
            </w:r>
            <w:r w:rsidR="008145BD">
              <w:rPr>
                <w:rFonts w:ascii="Arial" w:hAnsi="Arial" w:cs="Arial"/>
                <w:bCs/>
                <w:color w:val="000000"/>
              </w:rPr>
              <w:t>,</w:t>
            </w:r>
            <w:r w:rsidRPr="0085395E">
              <w:rPr>
                <w:rFonts w:ascii="Arial" w:hAnsi="Arial" w:cs="Arial"/>
                <w:bCs/>
                <w:color w:val="000000"/>
              </w:rPr>
              <w:t xml:space="preserve"> of $45,000-$75,000, was uncertain and unacceptably high at the requested price.</w:t>
            </w:r>
          </w:p>
        </w:tc>
      </w:tr>
      <w:tr w:rsidR="00647696" w:rsidRPr="00461D75" w:rsidTr="00E34312">
        <w:trPr>
          <w:trHeight w:val="499"/>
        </w:trPr>
        <w:tc>
          <w:tcPr>
            <w:tcW w:w="3085" w:type="dxa"/>
            <w:vMerge/>
            <w:tcBorders>
              <w:left w:val="single" w:sz="4" w:space="0" w:color="auto"/>
              <w:right w:val="single" w:sz="4" w:space="0" w:color="auto"/>
            </w:tcBorders>
            <w:tcMar>
              <w:top w:w="28" w:type="dxa"/>
              <w:bottom w:w="28" w:type="dxa"/>
            </w:tcMar>
          </w:tcPr>
          <w:p w:rsidR="00647696" w:rsidRPr="009074F0" w:rsidRDefault="00647696" w:rsidP="000D6F5C">
            <w:pPr>
              <w:rPr>
                <w:rFonts w:ascii="Arial" w:hAnsi="Arial" w:cs="Arial"/>
                <w:bCs/>
                <w:color w:val="000000"/>
              </w:rPr>
            </w:pPr>
          </w:p>
        </w:tc>
        <w:tc>
          <w:tcPr>
            <w:tcW w:w="2016" w:type="dxa"/>
            <w:vMerge/>
            <w:tcBorders>
              <w:left w:val="single" w:sz="4" w:space="0" w:color="auto"/>
              <w:right w:val="single" w:sz="4" w:space="0" w:color="auto"/>
            </w:tcBorders>
            <w:tcMar>
              <w:top w:w="28" w:type="dxa"/>
              <w:bottom w:w="28" w:type="dxa"/>
            </w:tcMar>
          </w:tcPr>
          <w:p w:rsidR="00647696" w:rsidRDefault="00647696" w:rsidP="000D6F5C">
            <w:pPr>
              <w:rPr>
                <w:rFonts w:ascii="Arial" w:hAnsi="Arial" w:cs="Arial"/>
                <w:bCs/>
                <w:color w:val="000000"/>
              </w:rPr>
            </w:pPr>
          </w:p>
        </w:tc>
        <w:tc>
          <w:tcPr>
            <w:tcW w:w="2774" w:type="dxa"/>
            <w:tcBorders>
              <w:top w:val="single" w:sz="4" w:space="0" w:color="auto"/>
              <w:left w:val="single" w:sz="4" w:space="0" w:color="auto"/>
              <w:right w:val="single" w:sz="4" w:space="0" w:color="auto"/>
            </w:tcBorders>
            <w:tcMar>
              <w:top w:w="28" w:type="dxa"/>
              <w:bottom w:w="28" w:type="dxa"/>
            </w:tcMar>
          </w:tcPr>
          <w:p w:rsidR="00647696" w:rsidRPr="00461D75" w:rsidRDefault="00A2694F" w:rsidP="000D6F5C">
            <w:pPr>
              <w:rPr>
                <w:rFonts w:ascii="Arial" w:hAnsi="Arial" w:cs="Arial"/>
                <w:bCs/>
                <w:color w:val="000000"/>
              </w:rPr>
            </w:pPr>
            <w:r>
              <w:rPr>
                <w:rFonts w:ascii="Arial" w:hAnsi="Arial" w:cs="Arial"/>
                <w:bCs/>
                <w:color w:val="000000"/>
              </w:rPr>
              <w:t>Sponsor Comment:</w:t>
            </w:r>
          </w:p>
        </w:tc>
        <w:tc>
          <w:tcPr>
            <w:tcW w:w="6299" w:type="dxa"/>
            <w:tcBorders>
              <w:left w:val="single" w:sz="4" w:space="0" w:color="auto"/>
              <w:bottom w:val="single" w:sz="4" w:space="0" w:color="auto"/>
              <w:right w:val="single" w:sz="4" w:space="0" w:color="auto"/>
            </w:tcBorders>
          </w:tcPr>
          <w:p w:rsidR="00647696" w:rsidRPr="00461D75" w:rsidRDefault="00767753" w:rsidP="00F93C22">
            <w:pPr>
              <w:rPr>
                <w:rFonts w:ascii="Arial" w:hAnsi="Arial" w:cs="Arial"/>
                <w:bCs/>
                <w:color w:val="000000"/>
              </w:rPr>
            </w:pPr>
            <w:proofErr w:type="spellStart"/>
            <w:r w:rsidRPr="00767753">
              <w:rPr>
                <w:rFonts w:ascii="Arial" w:hAnsi="Arial" w:cs="Arial"/>
                <w:bCs/>
                <w:color w:val="000000"/>
              </w:rPr>
              <w:t>AbbVie</w:t>
            </w:r>
            <w:proofErr w:type="spellEnd"/>
            <w:r w:rsidRPr="00767753">
              <w:rPr>
                <w:rFonts w:ascii="Arial" w:hAnsi="Arial" w:cs="Arial"/>
                <w:bCs/>
                <w:color w:val="000000"/>
              </w:rPr>
              <w:t xml:space="preserve"> welcomes the PBAC’s reconfirmation of the high clinical need in this disease area and is committed to working with the Department to ensure that PBS funded </w:t>
            </w:r>
            <w:proofErr w:type="spellStart"/>
            <w:r w:rsidRPr="00767753">
              <w:rPr>
                <w:rFonts w:ascii="Arial" w:hAnsi="Arial" w:cs="Arial"/>
                <w:bCs/>
                <w:color w:val="000000"/>
              </w:rPr>
              <w:t>Humira</w:t>
            </w:r>
            <w:proofErr w:type="spellEnd"/>
            <w:r w:rsidRPr="00767753">
              <w:rPr>
                <w:rFonts w:ascii="Arial" w:hAnsi="Arial" w:cs="Arial"/>
                <w:bCs/>
                <w:color w:val="000000"/>
              </w:rPr>
              <w:t xml:space="preserve"> is made available for patients with </w:t>
            </w:r>
            <w:r w:rsidR="00F93C22">
              <w:rPr>
                <w:rFonts w:ascii="Arial" w:hAnsi="Arial" w:cs="Arial"/>
                <w:bCs/>
                <w:color w:val="000000"/>
              </w:rPr>
              <w:t>HS</w:t>
            </w:r>
            <w:r w:rsidRPr="00767753">
              <w:rPr>
                <w:rFonts w:ascii="Arial" w:hAnsi="Arial" w:cs="Arial"/>
                <w:bCs/>
                <w:color w:val="000000"/>
              </w:rPr>
              <w:t>.</w:t>
            </w:r>
          </w:p>
        </w:tc>
      </w:tr>
      <w:tr w:rsidR="00647696" w:rsidRPr="00461D75" w:rsidTr="009724C4">
        <w:trPr>
          <w:cantSplit/>
          <w:trHeight w:val="547"/>
        </w:trPr>
        <w:tc>
          <w:tcPr>
            <w:tcW w:w="3085" w:type="dxa"/>
            <w:vMerge w:val="restart"/>
            <w:tcBorders>
              <w:top w:val="single" w:sz="4" w:space="0" w:color="auto"/>
              <w:left w:val="single" w:sz="4" w:space="0" w:color="auto"/>
              <w:right w:val="single" w:sz="4" w:space="0" w:color="auto"/>
            </w:tcBorders>
            <w:tcMar>
              <w:top w:w="28" w:type="dxa"/>
              <w:bottom w:w="28" w:type="dxa"/>
            </w:tcMar>
          </w:tcPr>
          <w:p w:rsidR="00E34312" w:rsidRPr="00E34312" w:rsidRDefault="00E34312" w:rsidP="000D6F5C">
            <w:pPr>
              <w:rPr>
                <w:rFonts w:ascii="Arial" w:hAnsi="Arial" w:cs="Arial"/>
                <w:bCs/>
                <w:color w:val="000000"/>
              </w:rPr>
            </w:pPr>
            <w:r w:rsidRPr="00E34312">
              <w:rPr>
                <w:rFonts w:ascii="Arial" w:hAnsi="Arial" w:cs="Arial"/>
                <w:bCs/>
                <w:color w:val="000000"/>
              </w:rPr>
              <w:lastRenderedPageBreak/>
              <w:t>GOSERELIN</w:t>
            </w:r>
          </w:p>
          <w:p w:rsidR="00E34312" w:rsidRPr="00E34312" w:rsidRDefault="00E34312" w:rsidP="000D6F5C">
            <w:pPr>
              <w:rPr>
                <w:rFonts w:ascii="Arial" w:hAnsi="Arial" w:cs="Arial"/>
                <w:bCs/>
                <w:color w:val="000000"/>
              </w:rPr>
            </w:pPr>
          </w:p>
          <w:p w:rsidR="00E34312" w:rsidRPr="00E34312" w:rsidRDefault="00E34312" w:rsidP="000D6F5C">
            <w:pPr>
              <w:rPr>
                <w:rFonts w:ascii="Arial" w:hAnsi="Arial" w:cs="Arial"/>
                <w:bCs/>
                <w:color w:val="000000"/>
              </w:rPr>
            </w:pPr>
            <w:r w:rsidRPr="00E34312">
              <w:rPr>
                <w:rFonts w:ascii="Arial" w:hAnsi="Arial" w:cs="Arial"/>
                <w:bCs/>
                <w:color w:val="000000"/>
              </w:rPr>
              <w:t>Implant, 3.6 mg Implant 10.8 mg</w:t>
            </w:r>
          </w:p>
          <w:p w:rsidR="00E34312" w:rsidRPr="00E34312" w:rsidRDefault="00E34312" w:rsidP="000D6F5C">
            <w:pPr>
              <w:rPr>
                <w:rFonts w:ascii="Arial" w:hAnsi="Arial" w:cs="Arial"/>
                <w:bCs/>
                <w:color w:val="000000"/>
              </w:rPr>
            </w:pPr>
          </w:p>
          <w:p w:rsidR="00E34312" w:rsidRPr="00E34312" w:rsidRDefault="00E34312" w:rsidP="000D6F5C">
            <w:pPr>
              <w:rPr>
                <w:rFonts w:ascii="Arial" w:hAnsi="Arial" w:cs="Arial"/>
                <w:bCs/>
                <w:color w:val="000000"/>
              </w:rPr>
            </w:pPr>
            <w:proofErr w:type="spellStart"/>
            <w:r w:rsidRPr="00E34312">
              <w:rPr>
                <w:rFonts w:ascii="Arial" w:hAnsi="Arial" w:cs="Arial"/>
                <w:bCs/>
                <w:color w:val="000000"/>
              </w:rPr>
              <w:t>Zoladex</w:t>
            </w:r>
            <w:proofErr w:type="spellEnd"/>
            <w:r w:rsidRPr="00E34312">
              <w:rPr>
                <w:rFonts w:ascii="Arial" w:hAnsi="Arial" w:cs="Arial"/>
                <w:bCs/>
                <w:color w:val="000000"/>
              </w:rPr>
              <w:t>® Implant</w:t>
            </w:r>
          </w:p>
          <w:p w:rsidR="00E34312" w:rsidRPr="00E34312" w:rsidRDefault="00E34312" w:rsidP="000D6F5C">
            <w:pPr>
              <w:rPr>
                <w:rFonts w:ascii="Arial" w:hAnsi="Arial" w:cs="Arial"/>
                <w:bCs/>
                <w:color w:val="000000"/>
              </w:rPr>
            </w:pPr>
          </w:p>
          <w:p w:rsidR="00647696" w:rsidRDefault="00E34312" w:rsidP="000D6F5C">
            <w:pPr>
              <w:rPr>
                <w:rFonts w:ascii="Arial" w:hAnsi="Arial" w:cs="Arial"/>
                <w:bCs/>
                <w:color w:val="000000"/>
              </w:rPr>
            </w:pPr>
            <w:r w:rsidRPr="00E34312">
              <w:rPr>
                <w:rFonts w:ascii="Arial" w:hAnsi="Arial" w:cs="Arial"/>
                <w:bCs/>
                <w:color w:val="000000"/>
              </w:rPr>
              <w:t>Medical Oncology Group of Australia</w:t>
            </w:r>
          </w:p>
          <w:p w:rsidR="00EC5330" w:rsidRDefault="00EC5330" w:rsidP="000D6F5C">
            <w:pPr>
              <w:rPr>
                <w:rFonts w:ascii="Arial" w:hAnsi="Arial" w:cs="Arial"/>
                <w:bCs/>
                <w:color w:val="000000"/>
              </w:rPr>
            </w:pPr>
          </w:p>
          <w:p w:rsidR="00EC5330" w:rsidRDefault="00EC5330" w:rsidP="000D6F5C">
            <w:pPr>
              <w:rPr>
                <w:rFonts w:ascii="Arial" w:hAnsi="Arial" w:cs="Arial"/>
                <w:bCs/>
                <w:color w:val="000000"/>
              </w:rPr>
            </w:pPr>
            <w:r>
              <w:rPr>
                <w:rFonts w:ascii="Arial" w:hAnsi="Arial" w:cs="Arial"/>
                <w:bCs/>
                <w:color w:val="000000"/>
              </w:rPr>
              <w:t>Change to listing</w:t>
            </w:r>
          </w:p>
          <w:p w:rsidR="00EC5330" w:rsidRDefault="00EC5330" w:rsidP="000D6F5C">
            <w:pPr>
              <w:rPr>
                <w:rFonts w:ascii="Arial" w:hAnsi="Arial" w:cs="Arial"/>
                <w:bCs/>
                <w:color w:val="000000"/>
              </w:rPr>
            </w:pPr>
          </w:p>
          <w:p w:rsidR="00EC5330" w:rsidRPr="00363865" w:rsidRDefault="00EC5330" w:rsidP="000D6F5C">
            <w:pPr>
              <w:rPr>
                <w:rFonts w:ascii="Arial" w:hAnsi="Arial" w:cs="Arial"/>
                <w:bCs/>
                <w:color w:val="000000"/>
              </w:rPr>
            </w:pPr>
            <w:r>
              <w:rPr>
                <w:rFonts w:ascii="Arial" w:hAnsi="Arial" w:cs="Arial"/>
                <w:bCs/>
                <w:color w:val="000000"/>
              </w:rPr>
              <w:t>(Minor submission)</w:t>
            </w:r>
          </w:p>
        </w:tc>
        <w:tc>
          <w:tcPr>
            <w:tcW w:w="2016" w:type="dxa"/>
            <w:vMerge w:val="restart"/>
            <w:tcBorders>
              <w:top w:val="single" w:sz="4" w:space="0" w:color="auto"/>
              <w:left w:val="single" w:sz="4" w:space="0" w:color="auto"/>
              <w:right w:val="single" w:sz="4" w:space="0" w:color="auto"/>
            </w:tcBorders>
            <w:tcMar>
              <w:top w:w="28" w:type="dxa"/>
              <w:bottom w:w="28" w:type="dxa"/>
            </w:tcMar>
          </w:tcPr>
          <w:p w:rsidR="00647696" w:rsidRPr="00363865" w:rsidRDefault="00E34312" w:rsidP="000D6F5C">
            <w:pPr>
              <w:rPr>
                <w:rFonts w:ascii="Arial" w:hAnsi="Arial" w:cs="Arial"/>
                <w:bCs/>
                <w:color w:val="000000"/>
              </w:rPr>
            </w:pPr>
            <w:r w:rsidRPr="00E34312">
              <w:rPr>
                <w:rFonts w:ascii="Arial" w:hAnsi="Arial" w:cs="Arial"/>
                <w:bCs/>
                <w:color w:val="000000"/>
              </w:rPr>
              <w:t>Chemotherapy-induced menopause</w:t>
            </w:r>
          </w:p>
        </w:tc>
        <w:tc>
          <w:tcPr>
            <w:tcW w:w="2774" w:type="dxa"/>
            <w:tcBorders>
              <w:top w:val="single" w:sz="4" w:space="0" w:color="auto"/>
              <w:left w:val="single" w:sz="4" w:space="0" w:color="auto"/>
              <w:right w:val="single" w:sz="4" w:space="0" w:color="auto"/>
            </w:tcBorders>
            <w:tcMar>
              <w:top w:w="28" w:type="dxa"/>
              <w:bottom w:w="28" w:type="dxa"/>
            </w:tcMar>
          </w:tcPr>
          <w:p w:rsidR="00647696" w:rsidRPr="00363865" w:rsidRDefault="00E34312" w:rsidP="000D6F5C">
            <w:pPr>
              <w:rPr>
                <w:rFonts w:ascii="Arial" w:hAnsi="Arial" w:cs="Arial"/>
                <w:bCs/>
                <w:color w:val="000000"/>
              </w:rPr>
            </w:pPr>
            <w:r w:rsidRPr="00E34312">
              <w:rPr>
                <w:rFonts w:ascii="Arial" w:hAnsi="Arial" w:cs="Arial"/>
                <w:bCs/>
                <w:color w:val="000000"/>
              </w:rPr>
              <w:t>To request a Restricted Benefit listing for the prevention of chemotherapy-induced menopause in breast cancer.</w:t>
            </w:r>
          </w:p>
        </w:tc>
        <w:tc>
          <w:tcPr>
            <w:tcW w:w="6299" w:type="dxa"/>
            <w:tcBorders>
              <w:top w:val="single" w:sz="4" w:space="0" w:color="auto"/>
              <w:left w:val="single" w:sz="4" w:space="0" w:color="auto"/>
              <w:right w:val="single" w:sz="4" w:space="0" w:color="auto"/>
            </w:tcBorders>
          </w:tcPr>
          <w:p w:rsidR="00647696" w:rsidRPr="009724C4" w:rsidRDefault="009724C4" w:rsidP="009B538B">
            <w:pPr>
              <w:jc w:val="both"/>
              <w:rPr>
                <w:rFonts w:ascii="Arial" w:hAnsi="Arial" w:cs="Arial"/>
                <w:sz w:val="18"/>
                <w:szCs w:val="18"/>
              </w:rPr>
            </w:pPr>
            <w:r>
              <w:rPr>
                <w:rFonts w:ascii="Arial" w:hAnsi="Arial" w:cs="Arial"/>
                <w:color w:val="000000"/>
              </w:rPr>
              <w:t xml:space="preserve">The PBAC deferred making a </w:t>
            </w:r>
            <w:r w:rsidR="009B538B">
              <w:rPr>
                <w:rFonts w:ascii="Arial" w:hAnsi="Arial" w:cs="Arial"/>
                <w:color w:val="000000"/>
              </w:rPr>
              <w:t>decision</w:t>
            </w:r>
            <w:r>
              <w:rPr>
                <w:rFonts w:ascii="Arial" w:hAnsi="Arial" w:cs="Arial"/>
                <w:color w:val="000000"/>
              </w:rPr>
              <w:t xml:space="preserve"> regarding amending the current listing of goserelin </w:t>
            </w:r>
            <w:r w:rsidR="009B538B">
              <w:rPr>
                <w:rFonts w:ascii="Arial" w:hAnsi="Arial" w:cs="Arial"/>
                <w:color w:val="000000"/>
              </w:rPr>
              <w:t>3.6 mg implant to allow for PBS</w:t>
            </w:r>
            <w:r w:rsidR="009B538B">
              <w:rPr>
                <w:rFonts w:ascii="Arial" w:hAnsi="Arial" w:cs="Arial"/>
                <w:color w:val="000000"/>
              </w:rPr>
              <w:noBreakHyphen/>
            </w:r>
            <w:r>
              <w:rPr>
                <w:rFonts w:ascii="Arial" w:hAnsi="Arial" w:cs="Arial"/>
                <w:color w:val="000000"/>
              </w:rPr>
              <w:t>subsidised access for the preservation of fertility in premenopausal women with breast cancer undergoing chemotherapy. The PBAC considered that there is a clinical need for preserving fertility in all premenopausal women undergoing chemotherapy and that the submission’s proposal to restrict use to only patients with breast cancer was inequitable.</w:t>
            </w:r>
          </w:p>
        </w:tc>
      </w:tr>
      <w:tr w:rsidR="00647696" w:rsidRPr="00461D75" w:rsidTr="00E34312">
        <w:trPr>
          <w:trHeight w:val="499"/>
        </w:trPr>
        <w:tc>
          <w:tcPr>
            <w:tcW w:w="3085" w:type="dxa"/>
            <w:vMerge/>
            <w:tcBorders>
              <w:left w:val="single" w:sz="4" w:space="0" w:color="auto"/>
              <w:right w:val="single" w:sz="4" w:space="0" w:color="auto"/>
            </w:tcBorders>
            <w:tcMar>
              <w:top w:w="28" w:type="dxa"/>
              <w:bottom w:w="28" w:type="dxa"/>
            </w:tcMar>
          </w:tcPr>
          <w:p w:rsidR="00647696" w:rsidRPr="009074F0" w:rsidRDefault="00647696" w:rsidP="000D6F5C">
            <w:pPr>
              <w:rPr>
                <w:rFonts w:ascii="Arial" w:hAnsi="Arial" w:cs="Arial"/>
                <w:bCs/>
                <w:color w:val="000000"/>
              </w:rPr>
            </w:pPr>
          </w:p>
        </w:tc>
        <w:tc>
          <w:tcPr>
            <w:tcW w:w="2016" w:type="dxa"/>
            <w:vMerge/>
            <w:tcBorders>
              <w:left w:val="single" w:sz="4" w:space="0" w:color="auto"/>
              <w:right w:val="single" w:sz="4" w:space="0" w:color="auto"/>
            </w:tcBorders>
            <w:tcMar>
              <w:top w:w="28" w:type="dxa"/>
              <w:bottom w:w="28" w:type="dxa"/>
            </w:tcMar>
          </w:tcPr>
          <w:p w:rsidR="00647696" w:rsidRDefault="00647696" w:rsidP="000D6F5C">
            <w:pPr>
              <w:rPr>
                <w:rFonts w:ascii="Arial" w:hAnsi="Arial" w:cs="Arial"/>
                <w:bCs/>
                <w:color w:val="000000"/>
              </w:rPr>
            </w:pPr>
          </w:p>
        </w:tc>
        <w:tc>
          <w:tcPr>
            <w:tcW w:w="2774" w:type="dxa"/>
            <w:tcBorders>
              <w:top w:val="single" w:sz="4" w:space="0" w:color="auto"/>
              <w:left w:val="single" w:sz="4" w:space="0" w:color="auto"/>
              <w:right w:val="single" w:sz="4" w:space="0" w:color="auto"/>
            </w:tcBorders>
            <w:tcMar>
              <w:top w:w="28" w:type="dxa"/>
              <w:bottom w:w="28" w:type="dxa"/>
            </w:tcMar>
          </w:tcPr>
          <w:p w:rsidR="00647696" w:rsidRPr="00461D75" w:rsidRDefault="00A2694F" w:rsidP="000D6F5C">
            <w:pPr>
              <w:rPr>
                <w:rFonts w:ascii="Arial" w:hAnsi="Arial" w:cs="Arial"/>
                <w:bCs/>
                <w:color w:val="000000"/>
              </w:rPr>
            </w:pPr>
            <w:r w:rsidRPr="006A299F">
              <w:rPr>
                <w:rFonts w:ascii="Arial" w:hAnsi="Arial" w:cs="Arial"/>
                <w:bCs/>
                <w:color w:val="000000"/>
              </w:rPr>
              <w:t>Sponsor Comment:</w:t>
            </w:r>
          </w:p>
        </w:tc>
        <w:tc>
          <w:tcPr>
            <w:tcW w:w="6299" w:type="dxa"/>
            <w:tcBorders>
              <w:left w:val="single" w:sz="4" w:space="0" w:color="auto"/>
              <w:bottom w:val="single" w:sz="4" w:space="0" w:color="auto"/>
              <w:right w:val="single" w:sz="4" w:space="0" w:color="auto"/>
            </w:tcBorders>
          </w:tcPr>
          <w:p w:rsidR="00647696" w:rsidRPr="00461D75" w:rsidRDefault="006A299F" w:rsidP="000D6F5C">
            <w:pPr>
              <w:rPr>
                <w:rFonts w:ascii="Arial" w:hAnsi="Arial" w:cs="Arial"/>
                <w:bCs/>
                <w:color w:val="000000"/>
              </w:rPr>
            </w:pPr>
            <w:r w:rsidRPr="006A299F">
              <w:rPr>
                <w:rFonts w:ascii="Arial" w:hAnsi="Arial" w:cs="Arial"/>
                <w:bCs/>
                <w:color w:val="000000"/>
              </w:rPr>
              <w:t>The sponsor had no comment.</w:t>
            </w:r>
          </w:p>
        </w:tc>
      </w:tr>
      <w:tr w:rsidR="00647696" w:rsidRPr="00461D75" w:rsidTr="00E34312">
        <w:trPr>
          <w:trHeight w:val="547"/>
        </w:trPr>
        <w:tc>
          <w:tcPr>
            <w:tcW w:w="3085" w:type="dxa"/>
            <w:vMerge w:val="restart"/>
            <w:tcBorders>
              <w:top w:val="single" w:sz="4" w:space="0" w:color="auto"/>
              <w:left w:val="single" w:sz="4" w:space="0" w:color="auto"/>
              <w:right w:val="single" w:sz="4" w:space="0" w:color="auto"/>
            </w:tcBorders>
            <w:tcMar>
              <w:top w:w="28" w:type="dxa"/>
              <w:bottom w:w="28" w:type="dxa"/>
            </w:tcMar>
          </w:tcPr>
          <w:p w:rsidR="00E34312" w:rsidRPr="00E34312" w:rsidRDefault="00E34312" w:rsidP="000D6F5C">
            <w:pPr>
              <w:rPr>
                <w:rFonts w:ascii="Arial" w:hAnsi="Arial" w:cs="Arial"/>
                <w:bCs/>
                <w:color w:val="000000"/>
              </w:rPr>
            </w:pPr>
            <w:r w:rsidRPr="00E34312">
              <w:rPr>
                <w:rFonts w:ascii="Arial" w:hAnsi="Arial" w:cs="Arial"/>
                <w:bCs/>
                <w:color w:val="000000"/>
              </w:rPr>
              <w:t>IVACAFTOR</w:t>
            </w:r>
          </w:p>
          <w:p w:rsidR="00E34312" w:rsidRPr="00E34312" w:rsidRDefault="00E34312" w:rsidP="000D6F5C">
            <w:pPr>
              <w:rPr>
                <w:rFonts w:ascii="Arial" w:hAnsi="Arial" w:cs="Arial"/>
                <w:bCs/>
                <w:color w:val="000000"/>
              </w:rPr>
            </w:pPr>
          </w:p>
          <w:p w:rsidR="00E34312" w:rsidRPr="00E34312" w:rsidRDefault="00E34312" w:rsidP="000D6F5C">
            <w:pPr>
              <w:rPr>
                <w:rFonts w:ascii="Arial" w:hAnsi="Arial" w:cs="Arial"/>
                <w:bCs/>
                <w:color w:val="000000"/>
              </w:rPr>
            </w:pPr>
            <w:r w:rsidRPr="00E34312">
              <w:rPr>
                <w:rFonts w:ascii="Arial" w:hAnsi="Arial" w:cs="Arial"/>
                <w:bCs/>
                <w:color w:val="000000"/>
              </w:rPr>
              <w:t>Sachet containing granules 50 mg</w:t>
            </w:r>
          </w:p>
          <w:p w:rsidR="00E34312" w:rsidRPr="00E34312" w:rsidRDefault="00E34312" w:rsidP="000D6F5C">
            <w:pPr>
              <w:rPr>
                <w:rFonts w:ascii="Arial" w:hAnsi="Arial" w:cs="Arial"/>
                <w:bCs/>
                <w:color w:val="000000"/>
              </w:rPr>
            </w:pPr>
            <w:r w:rsidRPr="00E34312">
              <w:rPr>
                <w:rFonts w:ascii="Arial" w:hAnsi="Arial" w:cs="Arial"/>
                <w:bCs/>
                <w:color w:val="000000"/>
              </w:rPr>
              <w:t>Sachet containing granules 75 mg</w:t>
            </w:r>
          </w:p>
          <w:p w:rsidR="00E34312" w:rsidRPr="00E34312" w:rsidRDefault="00E34312" w:rsidP="000D6F5C">
            <w:pPr>
              <w:rPr>
                <w:rFonts w:ascii="Arial" w:hAnsi="Arial" w:cs="Arial"/>
                <w:bCs/>
                <w:color w:val="000000"/>
              </w:rPr>
            </w:pPr>
          </w:p>
          <w:p w:rsidR="00E34312" w:rsidRPr="00E34312" w:rsidRDefault="00E34312" w:rsidP="000D6F5C">
            <w:pPr>
              <w:rPr>
                <w:rFonts w:ascii="Arial" w:hAnsi="Arial" w:cs="Arial"/>
                <w:bCs/>
                <w:color w:val="000000"/>
              </w:rPr>
            </w:pPr>
            <w:proofErr w:type="spellStart"/>
            <w:r w:rsidRPr="00E34312">
              <w:rPr>
                <w:rFonts w:ascii="Arial" w:hAnsi="Arial" w:cs="Arial"/>
                <w:bCs/>
                <w:color w:val="000000"/>
              </w:rPr>
              <w:t>Kalydeco</w:t>
            </w:r>
            <w:proofErr w:type="spellEnd"/>
            <w:r w:rsidRPr="00E34312">
              <w:rPr>
                <w:rFonts w:ascii="Arial" w:hAnsi="Arial" w:cs="Arial"/>
                <w:bCs/>
                <w:color w:val="000000"/>
              </w:rPr>
              <w:t>®</w:t>
            </w:r>
          </w:p>
          <w:p w:rsidR="00E34312" w:rsidRPr="00E34312" w:rsidRDefault="00E34312" w:rsidP="000D6F5C">
            <w:pPr>
              <w:rPr>
                <w:rFonts w:ascii="Arial" w:hAnsi="Arial" w:cs="Arial"/>
                <w:bCs/>
                <w:color w:val="000000"/>
              </w:rPr>
            </w:pPr>
          </w:p>
          <w:p w:rsidR="00647696" w:rsidRDefault="00E34312" w:rsidP="000D6F5C">
            <w:pPr>
              <w:rPr>
                <w:rFonts w:ascii="Arial" w:hAnsi="Arial" w:cs="Arial"/>
                <w:bCs/>
                <w:color w:val="000000"/>
              </w:rPr>
            </w:pPr>
            <w:r w:rsidRPr="00E34312">
              <w:rPr>
                <w:rFonts w:ascii="Arial" w:hAnsi="Arial" w:cs="Arial"/>
                <w:bCs/>
                <w:color w:val="000000"/>
              </w:rPr>
              <w:t>Vertex Pharmaceuticals (Australia) Pty Ltd</w:t>
            </w:r>
          </w:p>
          <w:p w:rsidR="00EC5330" w:rsidRDefault="00EC5330" w:rsidP="000D6F5C">
            <w:pPr>
              <w:rPr>
                <w:rFonts w:ascii="Arial" w:hAnsi="Arial" w:cs="Arial"/>
                <w:bCs/>
                <w:color w:val="000000"/>
              </w:rPr>
            </w:pPr>
          </w:p>
          <w:p w:rsidR="00EC5330" w:rsidRDefault="00EC5330" w:rsidP="000D6F5C">
            <w:pPr>
              <w:rPr>
                <w:rFonts w:ascii="Arial" w:hAnsi="Arial" w:cs="Arial"/>
                <w:bCs/>
                <w:color w:val="000000"/>
              </w:rPr>
            </w:pPr>
            <w:r>
              <w:rPr>
                <w:rFonts w:ascii="Arial" w:hAnsi="Arial" w:cs="Arial"/>
                <w:bCs/>
                <w:color w:val="000000"/>
              </w:rPr>
              <w:t>Change to listing</w:t>
            </w:r>
          </w:p>
          <w:p w:rsidR="00EC5330" w:rsidRDefault="00EC5330" w:rsidP="000D6F5C">
            <w:pPr>
              <w:rPr>
                <w:rFonts w:ascii="Arial" w:hAnsi="Arial" w:cs="Arial"/>
                <w:bCs/>
                <w:color w:val="000000"/>
              </w:rPr>
            </w:pPr>
          </w:p>
          <w:p w:rsidR="00EC5330" w:rsidRPr="00363865" w:rsidRDefault="00EC5330" w:rsidP="000D6F5C">
            <w:pPr>
              <w:rPr>
                <w:rFonts w:ascii="Arial" w:hAnsi="Arial" w:cs="Arial"/>
                <w:bCs/>
                <w:color w:val="000000"/>
              </w:rPr>
            </w:pPr>
            <w:r>
              <w:rPr>
                <w:rFonts w:ascii="Arial" w:hAnsi="Arial" w:cs="Arial"/>
                <w:bCs/>
                <w:color w:val="000000"/>
              </w:rPr>
              <w:t>(Major submission)</w:t>
            </w:r>
          </w:p>
        </w:tc>
        <w:tc>
          <w:tcPr>
            <w:tcW w:w="2016" w:type="dxa"/>
            <w:vMerge w:val="restart"/>
            <w:tcBorders>
              <w:top w:val="single" w:sz="4" w:space="0" w:color="auto"/>
              <w:left w:val="single" w:sz="4" w:space="0" w:color="auto"/>
              <w:right w:val="single" w:sz="4" w:space="0" w:color="auto"/>
            </w:tcBorders>
            <w:tcMar>
              <w:top w:w="28" w:type="dxa"/>
              <w:bottom w:w="28" w:type="dxa"/>
            </w:tcMar>
          </w:tcPr>
          <w:p w:rsidR="00647696" w:rsidRPr="00363865" w:rsidRDefault="00E34312" w:rsidP="000D6F5C">
            <w:pPr>
              <w:rPr>
                <w:rFonts w:ascii="Arial" w:hAnsi="Arial" w:cs="Arial"/>
                <w:bCs/>
                <w:color w:val="000000"/>
              </w:rPr>
            </w:pPr>
            <w:r w:rsidRPr="00E34312">
              <w:rPr>
                <w:rFonts w:ascii="Arial" w:hAnsi="Arial" w:cs="Arial"/>
                <w:bCs/>
                <w:color w:val="000000"/>
              </w:rPr>
              <w:t>Cystic fibrosis</w:t>
            </w:r>
          </w:p>
        </w:tc>
        <w:tc>
          <w:tcPr>
            <w:tcW w:w="2774" w:type="dxa"/>
            <w:tcBorders>
              <w:top w:val="single" w:sz="4" w:space="0" w:color="auto"/>
              <w:left w:val="single" w:sz="4" w:space="0" w:color="auto"/>
              <w:right w:val="single" w:sz="4" w:space="0" w:color="auto"/>
            </w:tcBorders>
            <w:tcMar>
              <w:top w:w="28" w:type="dxa"/>
              <w:bottom w:w="28" w:type="dxa"/>
            </w:tcMar>
          </w:tcPr>
          <w:p w:rsidR="00647696" w:rsidRPr="00363865" w:rsidRDefault="00E34312" w:rsidP="000D6F5C">
            <w:pPr>
              <w:rPr>
                <w:rFonts w:ascii="Arial" w:hAnsi="Arial" w:cs="Arial"/>
                <w:bCs/>
                <w:color w:val="000000"/>
              </w:rPr>
            </w:pPr>
            <w:r w:rsidRPr="00E34312">
              <w:rPr>
                <w:rFonts w:ascii="Arial" w:hAnsi="Arial" w:cs="Arial"/>
                <w:bCs/>
                <w:color w:val="000000"/>
              </w:rPr>
              <w:t xml:space="preserve">To request a Section 100 (Highly Specialised Drugs Program) listing of a new form of ivacaftor;  and an extension to </w:t>
            </w:r>
            <w:r w:rsidR="000D6F5C">
              <w:rPr>
                <w:rFonts w:ascii="Arial" w:hAnsi="Arial" w:cs="Arial"/>
                <w:bCs/>
                <w:color w:val="000000"/>
              </w:rPr>
              <w:t xml:space="preserve">the </w:t>
            </w:r>
            <w:r w:rsidRPr="00E34312">
              <w:rPr>
                <w:rFonts w:ascii="Arial" w:hAnsi="Arial" w:cs="Arial"/>
                <w:bCs/>
                <w:color w:val="000000"/>
              </w:rPr>
              <w:t>current ivacaftor listing</w:t>
            </w:r>
            <w:r w:rsidR="000D6F5C">
              <w:rPr>
                <w:rFonts w:ascii="Arial" w:hAnsi="Arial" w:cs="Arial"/>
                <w:bCs/>
                <w:color w:val="000000"/>
              </w:rPr>
              <w:t xml:space="preserve"> for patients</w:t>
            </w:r>
            <w:r w:rsidRPr="00E34312">
              <w:rPr>
                <w:rFonts w:ascii="Arial" w:hAnsi="Arial" w:cs="Arial"/>
                <w:bCs/>
                <w:color w:val="000000"/>
              </w:rPr>
              <w:t xml:space="preserve"> </w:t>
            </w:r>
            <w:r w:rsidR="000D6F5C">
              <w:rPr>
                <w:rFonts w:ascii="Arial" w:hAnsi="Arial" w:cs="Arial"/>
                <w:bCs/>
                <w:color w:val="000000"/>
              </w:rPr>
              <w:t xml:space="preserve">aged 6 and above </w:t>
            </w:r>
            <w:r w:rsidRPr="00E34312">
              <w:rPr>
                <w:rFonts w:ascii="Arial" w:hAnsi="Arial" w:cs="Arial"/>
                <w:bCs/>
                <w:color w:val="000000"/>
              </w:rPr>
              <w:t xml:space="preserve">who have a G551D or other gating (class III) mutation in the </w:t>
            </w:r>
            <w:r w:rsidR="009724C4" w:rsidRPr="00547408">
              <w:rPr>
                <w:rFonts w:ascii="Arial" w:hAnsi="Arial" w:cs="Arial"/>
                <w:bCs/>
                <w:color w:val="000000"/>
              </w:rPr>
              <w:t>cystic fibrosis transmembrane regulator</w:t>
            </w:r>
            <w:r w:rsidR="009724C4" w:rsidRPr="00E34312">
              <w:rPr>
                <w:rFonts w:ascii="Arial" w:hAnsi="Arial" w:cs="Arial"/>
                <w:bCs/>
                <w:color w:val="000000"/>
              </w:rPr>
              <w:t xml:space="preserve"> </w:t>
            </w:r>
            <w:r w:rsidR="009724C4">
              <w:rPr>
                <w:rFonts w:ascii="Arial" w:hAnsi="Arial" w:cs="Arial"/>
                <w:bCs/>
                <w:color w:val="000000"/>
              </w:rPr>
              <w:t>(</w:t>
            </w:r>
            <w:r w:rsidRPr="00E34312">
              <w:rPr>
                <w:rFonts w:ascii="Arial" w:hAnsi="Arial" w:cs="Arial"/>
                <w:bCs/>
                <w:color w:val="000000"/>
              </w:rPr>
              <w:t>CFTR</w:t>
            </w:r>
            <w:r w:rsidR="009724C4">
              <w:rPr>
                <w:rFonts w:ascii="Arial" w:hAnsi="Arial" w:cs="Arial"/>
                <w:bCs/>
                <w:color w:val="000000"/>
              </w:rPr>
              <w:t>)</w:t>
            </w:r>
            <w:r w:rsidRPr="00E34312">
              <w:rPr>
                <w:rFonts w:ascii="Arial" w:hAnsi="Arial" w:cs="Arial"/>
                <w:bCs/>
                <w:color w:val="000000"/>
              </w:rPr>
              <w:t xml:space="preserve"> gene</w:t>
            </w:r>
            <w:r w:rsidR="000D6F5C">
              <w:rPr>
                <w:rFonts w:ascii="Arial" w:hAnsi="Arial" w:cs="Arial"/>
                <w:bCs/>
                <w:color w:val="000000"/>
              </w:rPr>
              <w:t xml:space="preserve"> </w:t>
            </w:r>
            <w:r w:rsidR="000D6F5C" w:rsidRPr="00E34312">
              <w:rPr>
                <w:rFonts w:ascii="Arial" w:hAnsi="Arial" w:cs="Arial"/>
                <w:bCs/>
                <w:color w:val="000000"/>
              </w:rPr>
              <w:t>to include patients aged 2-5 years</w:t>
            </w:r>
            <w:r w:rsidRPr="00E34312">
              <w:rPr>
                <w:rFonts w:ascii="Arial" w:hAnsi="Arial" w:cs="Arial"/>
                <w:bCs/>
                <w:color w:val="000000"/>
              </w:rPr>
              <w:t>.</w:t>
            </w:r>
          </w:p>
        </w:tc>
        <w:tc>
          <w:tcPr>
            <w:tcW w:w="6299" w:type="dxa"/>
            <w:tcBorders>
              <w:top w:val="single" w:sz="4" w:space="0" w:color="auto"/>
              <w:left w:val="single" w:sz="4" w:space="0" w:color="auto"/>
              <w:right w:val="single" w:sz="4" w:space="0" w:color="auto"/>
            </w:tcBorders>
          </w:tcPr>
          <w:p w:rsidR="0011029B" w:rsidRPr="0011029B" w:rsidRDefault="0011029B" w:rsidP="0011029B">
            <w:pPr>
              <w:jc w:val="both"/>
              <w:rPr>
                <w:rFonts w:ascii="Arial" w:hAnsi="Arial" w:cs="Arial"/>
                <w:color w:val="000000"/>
              </w:rPr>
            </w:pPr>
            <w:r w:rsidRPr="0011029B">
              <w:rPr>
                <w:rFonts w:ascii="Arial" w:hAnsi="Arial" w:cs="Arial"/>
                <w:color w:val="000000"/>
              </w:rPr>
              <w:t>The PBAC deferred making a recommendation regarding listing ivacaftor granules for the treatment of cystic fibrosis in patients aged 2 to 5 years with a G551D mutation or other class III gating mutation in the CFTR gene to allow further negotiation with the sponsor. The PBAC noted the difficulty in demonstrating the incremental benefit (and therefore the cost-effectiveness) of earlier initiation of treatment with ivacaftor and requested that the Department work with the sponsor to navigate this challenge.</w:t>
            </w:r>
          </w:p>
          <w:p w:rsidR="00647696" w:rsidRDefault="00647696" w:rsidP="008145BD">
            <w:pPr>
              <w:pStyle w:val="ListParagraph"/>
              <w:ind w:left="0"/>
              <w:jc w:val="both"/>
              <w:rPr>
                <w:rFonts w:ascii="Arial" w:eastAsia="Times New Roman" w:hAnsi="Arial" w:cs="Arial"/>
                <w:bCs/>
                <w:color w:val="000000"/>
                <w:sz w:val="20"/>
                <w:szCs w:val="20"/>
              </w:rPr>
            </w:pPr>
          </w:p>
          <w:p w:rsidR="008531A7" w:rsidRPr="008531A7" w:rsidRDefault="008531A7" w:rsidP="008145BD">
            <w:pPr>
              <w:pStyle w:val="ListParagraph"/>
              <w:ind w:left="0"/>
              <w:jc w:val="both"/>
              <w:rPr>
                <w:rFonts w:ascii="Arial" w:eastAsia="Times New Roman" w:hAnsi="Arial" w:cs="Arial"/>
                <w:bCs/>
                <w:color w:val="000000"/>
                <w:sz w:val="20"/>
                <w:szCs w:val="20"/>
              </w:rPr>
            </w:pPr>
            <w:r w:rsidRPr="008531A7">
              <w:rPr>
                <w:rFonts w:ascii="Arial" w:eastAsia="Times New Roman" w:hAnsi="Arial" w:cs="Arial"/>
                <w:bCs/>
                <w:color w:val="000000"/>
                <w:sz w:val="20"/>
                <w:szCs w:val="20"/>
              </w:rPr>
              <w:t>Note: The PBAC subsequently considered additional information relating to the issues identified in their deferral. For more information see November 2016 – positive recommendations.</w:t>
            </w:r>
          </w:p>
        </w:tc>
      </w:tr>
      <w:tr w:rsidR="00647696" w:rsidRPr="00461D75" w:rsidTr="00E34312">
        <w:trPr>
          <w:trHeight w:val="499"/>
        </w:trPr>
        <w:tc>
          <w:tcPr>
            <w:tcW w:w="3085" w:type="dxa"/>
            <w:vMerge/>
            <w:tcBorders>
              <w:left w:val="single" w:sz="4" w:space="0" w:color="auto"/>
              <w:right w:val="single" w:sz="4" w:space="0" w:color="auto"/>
            </w:tcBorders>
            <w:tcMar>
              <w:top w:w="28" w:type="dxa"/>
              <w:bottom w:w="28" w:type="dxa"/>
            </w:tcMar>
          </w:tcPr>
          <w:p w:rsidR="00647696" w:rsidRPr="009074F0" w:rsidRDefault="00647696" w:rsidP="000D6F5C">
            <w:pPr>
              <w:rPr>
                <w:rFonts w:ascii="Arial" w:hAnsi="Arial" w:cs="Arial"/>
                <w:bCs/>
                <w:color w:val="000000"/>
              </w:rPr>
            </w:pPr>
          </w:p>
        </w:tc>
        <w:tc>
          <w:tcPr>
            <w:tcW w:w="2016" w:type="dxa"/>
            <w:vMerge/>
            <w:tcBorders>
              <w:left w:val="single" w:sz="4" w:space="0" w:color="auto"/>
              <w:right w:val="single" w:sz="4" w:space="0" w:color="auto"/>
            </w:tcBorders>
            <w:tcMar>
              <w:top w:w="28" w:type="dxa"/>
              <w:bottom w:w="28" w:type="dxa"/>
            </w:tcMar>
          </w:tcPr>
          <w:p w:rsidR="00647696" w:rsidRDefault="00647696" w:rsidP="000D6F5C">
            <w:pPr>
              <w:rPr>
                <w:rFonts w:ascii="Arial" w:hAnsi="Arial" w:cs="Arial"/>
                <w:bCs/>
                <w:color w:val="000000"/>
              </w:rPr>
            </w:pPr>
          </w:p>
        </w:tc>
        <w:tc>
          <w:tcPr>
            <w:tcW w:w="2774" w:type="dxa"/>
            <w:tcBorders>
              <w:top w:val="single" w:sz="4" w:space="0" w:color="auto"/>
              <w:left w:val="single" w:sz="4" w:space="0" w:color="auto"/>
              <w:right w:val="single" w:sz="4" w:space="0" w:color="auto"/>
            </w:tcBorders>
            <w:tcMar>
              <w:top w:w="28" w:type="dxa"/>
              <w:bottom w:w="28" w:type="dxa"/>
            </w:tcMar>
          </w:tcPr>
          <w:p w:rsidR="00647696" w:rsidRPr="00461D75" w:rsidRDefault="00A2694F" w:rsidP="000D6F5C">
            <w:pPr>
              <w:rPr>
                <w:rFonts w:ascii="Arial" w:hAnsi="Arial" w:cs="Arial"/>
                <w:bCs/>
                <w:color w:val="000000"/>
              </w:rPr>
            </w:pPr>
            <w:r>
              <w:rPr>
                <w:rFonts w:ascii="Arial" w:hAnsi="Arial" w:cs="Arial"/>
                <w:bCs/>
                <w:color w:val="000000"/>
              </w:rPr>
              <w:t>Sponsor Comment:</w:t>
            </w:r>
          </w:p>
        </w:tc>
        <w:tc>
          <w:tcPr>
            <w:tcW w:w="6299" w:type="dxa"/>
            <w:tcBorders>
              <w:left w:val="single" w:sz="4" w:space="0" w:color="auto"/>
              <w:bottom w:val="single" w:sz="4" w:space="0" w:color="auto"/>
              <w:right w:val="single" w:sz="4" w:space="0" w:color="auto"/>
            </w:tcBorders>
          </w:tcPr>
          <w:p w:rsidR="00647696" w:rsidRPr="00461D75" w:rsidRDefault="00767753" w:rsidP="000D6F5C">
            <w:pPr>
              <w:rPr>
                <w:rFonts w:ascii="Arial" w:hAnsi="Arial" w:cs="Arial"/>
                <w:bCs/>
                <w:color w:val="000000"/>
              </w:rPr>
            </w:pPr>
            <w:r>
              <w:rPr>
                <w:rFonts w:ascii="Arial" w:hAnsi="Arial" w:cs="Arial"/>
                <w:bCs/>
                <w:color w:val="000000"/>
              </w:rPr>
              <w:t>The sponsor had no comment.</w:t>
            </w:r>
          </w:p>
        </w:tc>
      </w:tr>
      <w:tr w:rsidR="00647696" w:rsidRPr="00461D75" w:rsidTr="00E34312">
        <w:trPr>
          <w:trHeight w:val="547"/>
        </w:trPr>
        <w:tc>
          <w:tcPr>
            <w:tcW w:w="3085" w:type="dxa"/>
            <w:vMerge w:val="restart"/>
            <w:tcBorders>
              <w:top w:val="single" w:sz="4" w:space="0" w:color="auto"/>
              <w:left w:val="single" w:sz="4" w:space="0" w:color="auto"/>
              <w:right w:val="single" w:sz="4" w:space="0" w:color="auto"/>
            </w:tcBorders>
            <w:tcMar>
              <w:top w:w="28" w:type="dxa"/>
              <w:bottom w:w="28" w:type="dxa"/>
            </w:tcMar>
          </w:tcPr>
          <w:p w:rsidR="00E34312" w:rsidRPr="00161D7D" w:rsidRDefault="00E34312" w:rsidP="000D6F5C">
            <w:pPr>
              <w:rPr>
                <w:rFonts w:ascii="Arial" w:hAnsi="Arial" w:cs="Arial"/>
                <w:bCs/>
                <w:color w:val="000000"/>
              </w:rPr>
            </w:pPr>
            <w:r w:rsidRPr="00161D7D">
              <w:rPr>
                <w:rFonts w:ascii="Arial" w:hAnsi="Arial" w:cs="Arial"/>
                <w:bCs/>
                <w:color w:val="000000"/>
              </w:rPr>
              <w:t>NIVOLUMAB</w:t>
            </w:r>
          </w:p>
          <w:p w:rsidR="00E34312" w:rsidRPr="00161D7D" w:rsidRDefault="00E34312" w:rsidP="000D6F5C">
            <w:pPr>
              <w:rPr>
                <w:rFonts w:ascii="Arial" w:hAnsi="Arial" w:cs="Arial"/>
                <w:bCs/>
                <w:color w:val="000000"/>
              </w:rPr>
            </w:pPr>
          </w:p>
          <w:p w:rsidR="00E34312" w:rsidRPr="00161D7D" w:rsidRDefault="00E34312" w:rsidP="000D6F5C">
            <w:pPr>
              <w:rPr>
                <w:rFonts w:ascii="Arial" w:hAnsi="Arial" w:cs="Arial"/>
                <w:bCs/>
                <w:color w:val="000000"/>
              </w:rPr>
            </w:pPr>
            <w:r w:rsidRPr="00161D7D">
              <w:rPr>
                <w:rFonts w:ascii="Arial" w:hAnsi="Arial" w:cs="Arial"/>
                <w:bCs/>
                <w:color w:val="000000"/>
              </w:rPr>
              <w:t xml:space="preserve">Injection concentrate for I.V. </w:t>
            </w:r>
            <w:r w:rsidRPr="00161D7D">
              <w:rPr>
                <w:rFonts w:ascii="Arial" w:hAnsi="Arial" w:cs="Arial"/>
                <w:bCs/>
                <w:color w:val="000000"/>
              </w:rPr>
              <w:lastRenderedPageBreak/>
              <w:t xml:space="preserve">infusion 40 mg in 4 mL </w:t>
            </w:r>
          </w:p>
          <w:p w:rsidR="00E34312" w:rsidRPr="00161D7D" w:rsidRDefault="00E34312" w:rsidP="000D6F5C">
            <w:pPr>
              <w:rPr>
                <w:rFonts w:ascii="Arial" w:hAnsi="Arial" w:cs="Arial"/>
                <w:bCs/>
                <w:color w:val="000000"/>
              </w:rPr>
            </w:pPr>
            <w:r w:rsidRPr="00161D7D">
              <w:rPr>
                <w:rFonts w:ascii="Arial" w:hAnsi="Arial" w:cs="Arial"/>
                <w:bCs/>
                <w:color w:val="000000"/>
              </w:rPr>
              <w:t>Injection concentrate for I.V. infusion 100 mg in 10 mL</w:t>
            </w:r>
          </w:p>
          <w:p w:rsidR="00E34312" w:rsidRPr="00161D7D" w:rsidRDefault="00E34312" w:rsidP="000D6F5C">
            <w:pPr>
              <w:rPr>
                <w:rFonts w:ascii="Arial" w:hAnsi="Arial" w:cs="Arial"/>
                <w:bCs/>
                <w:color w:val="000000"/>
              </w:rPr>
            </w:pPr>
          </w:p>
          <w:p w:rsidR="00E34312" w:rsidRPr="00161D7D" w:rsidRDefault="00E34312" w:rsidP="000D6F5C">
            <w:pPr>
              <w:rPr>
                <w:rFonts w:ascii="Arial" w:hAnsi="Arial" w:cs="Arial"/>
                <w:bCs/>
                <w:color w:val="000000"/>
              </w:rPr>
            </w:pPr>
            <w:r w:rsidRPr="00161D7D">
              <w:rPr>
                <w:rFonts w:ascii="Arial" w:hAnsi="Arial" w:cs="Arial"/>
                <w:bCs/>
                <w:color w:val="000000"/>
              </w:rPr>
              <w:t>Opdivo®</w:t>
            </w:r>
          </w:p>
          <w:p w:rsidR="00E34312" w:rsidRPr="00161D7D" w:rsidRDefault="00E34312" w:rsidP="000D6F5C">
            <w:pPr>
              <w:rPr>
                <w:rFonts w:ascii="Arial" w:hAnsi="Arial" w:cs="Arial"/>
                <w:bCs/>
                <w:color w:val="000000"/>
              </w:rPr>
            </w:pPr>
          </w:p>
          <w:p w:rsidR="00647696" w:rsidRPr="00161D7D" w:rsidRDefault="00E34312" w:rsidP="000D6F5C">
            <w:pPr>
              <w:rPr>
                <w:rFonts w:ascii="Arial" w:hAnsi="Arial" w:cs="Arial"/>
                <w:bCs/>
                <w:color w:val="000000"/>
              </w:rPr>
            </w:pPr>
            <w:r w:rsidRPr="00161D7D">
              <w:rPr>
                <w:rFonts w:ascii="Arial" w:hAnsi="Arial" w:cs="Arial"/>
                <w:bCs/>
                <w:color w:val="000000"/>
              </w:rPr>
              <w:t>Bristol-Myers Squibb Australia Pty Ltd</w:t>
            </w:r>
          </w:p>
          <w:p w:rsidR="00EC5330" w:rsidRPr="00161D7D" w:rsidRDefault="00EC5330" w:rsidP="000D6F5C">
            <w:pPr>
              <w:rPr>
                <w:rFonts w:ascii="Arial" w:hAnsi="Arial" w:cs="Arial"/>
                <w:bCs/>
                <w:color w:val="000000"/>
              </w:rPr>
            </w:pPr>
          </w:p>
          <w:p w:rsidR="00EC5330" w:rsidRPr="00161D7D" w:rsidRDefault="00EC5330" w:rsidP="000D6F5C">
            <w:pPr>
              <w:rPr>
                <w:rFonts w:ascii="Arial" w:hAnsi="Arial" w:cs="Arial"/>
                <w:bCs/>
                <w:color w:val="000000"/>
              </w:rPr>
            </w:pPr>
            <w:r w:rsidRPr="00161D7D">
              <w:rPr>
                <w:rFonts w:ascii="Arial" w:hAnsi="Arial" w:cs="Arial"/>
                <w:bCs/>
                <w:color w:val="000000"/>
              </w:rPr>
              <w:t>Change to listing</w:t>
            </w:r>
          </w:p>
          <w:p w:rsidR="00EC5330" w:rsidRPr="00161D7D" w:rsidRDefault="00EC5330" w:rsidP="000D6F5C">
            <w:pPr>
              <w:rPr>
                <w:rFonts w:ascii="Arial" w:hAnsi="Arial" w:cs="Arial"/>
                <w:bCs/>
                <w:color w:val="000000"/>
              </w:rPr>
            </w:pPr>
          </w:p>
          <w:p w:rsidR="00EC5330" w:rsidRPr="00161D7D" w:rsidRDefault="00EC5330" w:rsidP="000D6F5C">
            <w:pPr>
              <w:rPr>
                <w:rFonts w:ascii="Arial" w:hAnsi="Arial" w:cs="Arial"/>
                <w:bCs/>
                <w:color w:val="000000"/>
              </w:rPr>
            </w:pPr>
            <w:r w:rsidRPr="00161D7D">
              <w:rPr>
                <w:rFonts w:ascii="Arial" w:hAnsi="Arial" w:cs="Arial"/>
                <w:bCs/>
                <w:color w:val="000000"/>
              </w:rPr>
              <w:t>(Major submission)</w:t>
            </w:r>
          </w:p>
        </w:tc>
        <w:tc>
          <w:tcPr>
            <w:tcW w:w="2016" w:type="dxa"/>
            <w:vMerge w:val="restart"/>
            <w:tcBorders>
              <w:top w:val="single" w:sz="4" w:space="0" w:color="auto"/>
              <w:left w:val="single" w:sz="4" w:space="0" w:color="auto"/>
              <w:right w:val="single" w:sz="4" w:space="0" w:color="auto"/>
            </w:tcBorders>
            <w:tcMar>
              <w:top w:w="28" w:type="dxa"/>
              <w:bottom w:w="28" w:type="dxa"/>
            </w:tcMar>
          </w:tcPr>
          <w:p w:rsidR="00647696" w:rsidRPr="00161D7D" w:rsidRDefault="00E34312" w:rsidP="000D6F5C">
            <w:pPr>
              <w:rPr>
                <w:rFonts w:ascii="Arial" w:hAnsi="Arial" w:cs="Arial"/>
                <w:bCs/>
                <w:color w:val="000000"/>
              </w:rPr>
            </w:pPr>
            <w:r w:rsidRPr="00161D7D">
              <w:rPr>
                <w:rFonts w:ascii="Arial" w:hAnsi="Arial" w:cs="Arial"/>
                <w:bCs/>
                <w:color w:val="000000"/>
              </w:rPr>
              <w:lastRenderedPageBreak/>
              <w:t>Squamous non-small cell lung cancer (NSCLC)</w:t>
            </w:r>
          </w:p>
        </w:tc>
        <w:tc>
          <w:tcPr>
            <w:tcW w:w="2774" w:type="dxa"/>
            <w:tcBorders>
              <w:top w:val="single" w:sz="4" w:space="0" w:color="auto"/>
              <w:left w:val="single" w:sz="4" w:space="0" w:color="auto"/>
              <w:right w:val="single" w:sz="4" w:space="0" w:color="auto"/>
            </w:tcBorders>
            <w:tcMar>
              <w:top w:w="28" w:type="dxa"/>
              <w:bottom w:w="28" w:type="dxa"/>
            </w:tcMar>
          </w:tcPr>
          <w:p w:rsidR="00647696" w:rsidRPr="00161D7D" w:rsidRDefault="00E34312" w:rsidP="000D6F5C">
            <w:pPr>
              <w:rPr>
                <w:rFonts w:ascii="Arial" w:hAnsi="Arial" w:cs="Arial"/>
                <w:bCs/>
                <w:color w:val="000000"/>
              </w:rPr>
            </w:pPr>
            <w:r w:rsidRPr="00161D7D">
              <w:rPr>
                <w:rFonts w:ascii="Arial" w:hAnsi="Arial" w:cs="Arial"/>
                <w:bCs/>
                <w:color w:val="000000"/>
              </w:rPr>
              <w:t xml:space="preserve">Resubmission to request a Section 100 (Efficient Funding of Chemotherapy) </w:t>
            </w:r>
            <w:r w:rsidRPr="00161D7D">
              <w:rPr>
                <w:rFonts w:ascii="Arial" w:hAnsi="Arial" w:cs="Arial"/>
                <w:bCs/>
                <w:color w:val="000000"/>
              </w:rPr>
              <w:lastRenderedPageBreak/>
              <w:t>Authority Required (STREAMLINED) listing for the treatment of locally advanced or metastatic squamous NSCLC with progression on or after prior chemotherapy.</w:t>
            </w:r>
          </w:p>
        </w:tc>
        <w:tc>
          <w:tcPr>
            <w:tcW w:w="6299" w:type="dxa"/>
            <w:tcBorders>
              <w:top w:val="single" w:sz="4" w:space="0" w:color="auto"/>
              <w:left w:val="single" w:sz="4" w:space="0" w:color="auto"/>
              <w:right w:val="single" w:sz="4" w:space="0" w:color="auto"/>
            </w:tcBorders>
          </w:tcPr>
          <w:p w:rsidR="008145BD" w:rsidRPr="00161D7D" w:rsidRDefault="008145BD" w:rsidP="008145BD">
            <w:pPr>
              <w:jc w:val="both"/>
              <w:rPr>
                <w:rFonts w:ascii="Arial" w:hAnsi="Arial" w:cs="Arial"/>
                <w:bCs/>
                <w:color w:val="000000"/>
              </w:rPr>
            </w:pPr>
            <w:r w:rsidRPr="00161D7D">
              <w:rPr>
                <w:rFonts w:ascii="Arial" w:hAnsi="Arial" w:cs="Arial"/>
                <w:bCs/>
                <w:color w:val="000000"/>
              </w:rPr>
              <w:lastRenderedPageBreak/>
              <w:t xml:space="preserve">The PBAC deferred making a recommendation regarding the listing of </w:t>
            </w:r>
            <w:proofErr w:type="spellStart"/>
            <w:r w:rsidRPr="00161D7D">
              <w:rPr>
                <w:rFonts w:ascii="Arial" w:hAnsi="Arial" w:cs="Arial"/>
                <w:bCs/>
                <w:color w:val="000000"/>
              </w:rPr>
              <w:t>nivolumab</w:t>
            </w:r>
            <w:proofErr w:type="spellEnd"/>
            <w:r w:rsidRPr="00161D7D">
              <w:rPr>
                <w:rFonts w:ascii="Arial" w:hAnsi="Arial" w:cs="Arial"/>
                <w:bCs/>
                <w:color w:val="000000"/>
              </w:rPr>
              <w:t xml:space="preserve"> for the treatment of squamous NSCLC on the basis of concerns regarding the variation in the extent of effectiveness in </w:t>
            </w:r>
            <w:r w:rsidRPr="00161D7D">
              <w:rPr>
                <w:rFonts w:ascii="Arial" w:hAnsi="Arial" w:cs="Arial"/>
                <w:bCs/>
                <w:color w:val="000000"/>
              </w:rPr>
              <w:lastRenderedPageBreak/>
              <w:t>patients over 75 years, especially given the high incremental cost-effectiveness ratio (ICER) presented in the resubmission and doubts about the ability of the proposed risk share arrangement to achieve the sponsor’s intended effect on this ICER. The PBAC requested that the Department hold discussions with the sponsor in order to develop a proposal for a Managed Entry Scheme (MES) to address these concerns.</w:t>
            </w:r>
          </w:p>
          <w:p w:rsidR="008145BD" w:rsidRPr="00161D7D" w:rsidRDefault="008145BD" w:rsidP="008145BD">
            <w:pPr>
              <w:rPr>
                <w:rFonts w:ascii="Arial" w:hAnsi="Arial" w:cs="Arial"/>
                <w:bCs/>
                <w:color w:val="000000"/>
              </w:rPr>
            </w:pPr>
          </w:p>
          <w:p w:rsidR="008145BD" w:rsidRPr="00161D7D" w:rsidRDefault="008145BD" w:rsidP="008145BD">
            <w:pPr>
              <w:jc w:val="both"/>
              <w:rPr>
                <w:rFonts w:ascii="Arial" w:hAnsi="Arial" w:cs="Arial"/>
                <w:bCs/>
                <w:color w:val="000000"/>
              </w:rPr>
            </w:pPr>
            <w:r w:rsidRPr="00161D7D">
              <w:rPr>
                <w:rFonts w:ascii="Arial" w:hAnsi="Arial" w:cs="Arial"/>
                <w:bCs/>
                <w:color w:val="000000"/>
              </w:rPr>
              <w:t xml:space="preserve">On the basis of the direct evidence presented by the submission, for every 100 squamous NSCLC patients treated with </w:t>
            </w:r>
            <w:proofErr w:type="spellStart"/>
            <w:r w:rsidRPr="00161D7D">
              <w:rPr>
                <w:rFonts w:ascii="Arial" w:hAnsi="Arial" w:cs="Arial"/>
                <w:bCs/>
                <w:color w:val="000000"/>
              </w:rPr>
              <w:t>nivolumab</w:t>
            </w:r>
            <w:proofErr w:type="spellEnd"/>
            <w:r w:rsidRPr="00161D7D">
              <w:rPr>
                <w:rFonts w:ascii="Arial" w:hAnsi="Arial" w:cs="Arial"/>
                <w:bCs/>
                <w:color w:val="000000"/>
              </w:rPr>
              <w:t xml:space="preserve"> in comparison to docetaxel:</w:t>
            </w:r>
          </w:p>
          <w:p w:rsidR="008145BD" w:rsidRPr="00161D7D" w:rsidRDefault="008145BD" w:rsidP="008145BD">
            <w:pPr>
              <w:pStyle w:val="ListParagraph"/>
              <w:numPr>
                <w:ilvl w:val="0"/>
                <w:numId w:val="7"/>
              </w:numPr>
              <w:ind w:left="205" w:hanging="205"/>
              <w:jc w:val="both"/>
              <w:rPr>
                <w:rFonts w:ascii="Arial" w:eastAsia="Times New Roman" w:hAnsi="Arial" w:cs="Arial"/>
                <w:bCs/>
                <w:color w:val="000000"/>
                <w:sz w:val="20"/>
                <w:szCs w:val="20"/>
              </w:rPr>
            </w:pPr>
            <w:r w:rsidRPr="00161D7D">
              <w:rPr>
                <w:rFonts w:ascii="Arial" w:eastAsia="Times New Roman" w:hAnsi="Arial" w:cs="Arial"/>
                <w:bCs/>
                <w:color w:val="000000"/>
                <w:sz w:val="20"/>
                <w:szCs w:val="20"/>
              </w:rPr>
              <w:t xml:space="preserve">Approximately 15 additional patients would be expected to be alive at 18 months. There was a 3.2 month difference in median </w:t>
            </w:r>
            <w:r w:rsidR="00161D7D">
              <w:rPr>
                <w:rFonts w:ascii="Arial" w:eastAsia="Times New Roman" w:hAnsi="Arial" w:cs="Arial"/>
                <w:bCs/>
                <w:color w:val="000000"/>
                <w:sz w:val="20"/>
                <w:szCs w:val="20"/>
              </w:rPr>
              <w:t>overall survival</w:t>
            </w:r>
            <w:r w:rsidRPr="00161D7D">
              <w:rPr>
                <w:rFonts w:ascii="Arial" w:eastAsia="Times New Roman" w:hAnsi="Arial" w:cs="Arial"/>
                <w:bCs/>
                <w:color w:val="000000"/>
                <w:sz w:val="20"/>
                <w:szCs w:val="20"/>
              </w:rPr>
              <w:t xml:space="preserve"> time favouring patients treated with </w:t>
            </w:r>
            <w:proofErr w:type="spellStart"/>
            <w:r w:rsidRPr="00161D7D">
              <w:rPr>
                <w:rFonts w:ascii="Arial" w:eastAsia="Times New Roman" w:hAnsi="Arial" w:cs="Arial"/>
                <w:bCs/>
                <w:color w:val="000000"/>
                <w:sz w:val="20"/>
                <w:szCs w:val="20"/>
              </w:rPr>
              <w:t>nivolumab</w:t>
            </w:r>
            <w:proofErr w:type="spellEnd"/>
            <w:r w:rsidRPr="00161D7D">
              <w:rPr>
                <w:rFonts w:ascii="Arial" w:eastAsia="Times New Roman" w:hAnsi="Arial" w:cs="Arial"/>
                <w:bCs/>
                <w:color w:val="000000"/>
                <w:sz w:val="20"/>
                <w:szCs w:val="20"/>
              </w:rPr>
              <w:t xml:space="preserve"> over those treated with docetaxel;</w:t>
            </w:r>
          </w:p>
          <w:p w:rsidR="00647696" w:rsidRPr="00161D7D" w:rsidRDefault="008145BD" w:rsidP="000D6F5C">
            <w:pPr>
              <w:pStyle w:val="ListParagraph"/>
              <w:numPr>
                <w:ilvl w:val="0"/>
                <w:numId w:val="7"/>
              </w:numPr>
              <w:ind w:left="205" w:hanging="205"/>
              <w:jc w:val="both"/>
              <w:rPr>
                <w:rFonts w:ascii="Arial" w:eastAsia="Times New Roman" w:hAnsi="Arial" w:cs="Arial"/>
                <w:bCs/>
                <w:color w:val="000000"/>
                <w:sz w:val="20"/>
                <w:szCs w:val="20"/>
              </w:rPr>
            </w:pPr>
            <w:r w:rsidRPr="00161D7D">
              <w:rPr>
                <w:rFonts w:ascii="Arial" w:eastAsia="Times New Roman" w:hAnsi="Arial" w:cs="Arial"/>
                <w:bCs/>
                <w:color w:val="000000"/>
                <w:sz w:val="20"/>
                <w:szCs w:val="20"/>
              </w:rPr>
              <w:t>Approximately 17 fewer patients would experience a drug-related Grade 3 or 4 serious adverse event and 29 fewer patients would experience drug-related Grade ≥3 neutropenia, but 5 more patients would experience endocrine-related adverse events.</w:t>
            </w:r>
          </w:p>
        </w:tc>
      </w:tr>
      <w:tr w:rsidR="00647696" w:rsidRPr="00461D75" w:rsidTr="00E34312">
        <w:trPr>
          <w:trHeight w:val="499"/>
        </w:trPr>
        <w:tc>
          <w:tcPr>
            <w:tcW w:w="3085" w:type="dxa"/>
            <w:vMerge/>
            <w:tcBorders>
              <w:left w:val="single" w:sz="4" w:space="0" w:color="auto"/>
              <w:right w:val="single" w:sz="4" w:space="0" w:color="auto"/>
            </w:tcBorders>
            <w:tcMar>
              <w:top w:w="28" w:type="dxa"/>
              <w:bottom w:w="28" w:type="dxa"/>
            </w:tcMar>
          </w:tcPr>
          <w:p w:rsidR="00647696" w:rsidRPr="00161D7D" w:rsidRDefault="00647696" w:rsidP="000D6F5C">
            <w:pPr>
              <w:rPr>
                <w:rFonts w:ascii="Arial" w:hAnsi="Arial" w:cs="Arial"/>
                <w:bCs/>
                <w:color w:val="000000"/>
              </w:rPr>
            </w:pPr>
          </w:p>
        </w:tc>
        <w:tc>
          <w:tcPr>
            <w:tcW w:w="2016" w:type="dxa"/>
            <w:vMerge/>
            <w:tcBorders>
              <w:left w:val="single" w:sz="4" w:space="0" w:color="auto"/>
              <w:right w:val="single" w:sz="4" w:space="0" w:color="auto"/>
            </w:tcBorders>
            <w:tcMar>
              <w:top w:w="28" w:type="dxa"/>
              <w:bottom w:w="28" w:type="dxa"/>
            </w:tcMar>
          </w:tcPr>
          <w:p w:rsidR="00647696" w:rsidRPr="00161D7D" w:rsidRDefault="00647696" w:rsidP="000D6F5C">
            <w:pPr>
              <w:rPr>
                <w:rFonts w:ascii="Arial" w:hAnsi="Arial" w:cs="Arial"/>
                <w:bCs/>
                <w:color w:val="000000"/>
              </w:rPr>
            </w:pPr>
          </w:p>
        </w:tc>
        <w:tc>
          <w:tcPr>
            <w:tcW w:w="2774" w:type="dxa"/>
            <w:tcBorders>
              <w:top w:val="single" w:sz="4" w:space="0" w:color="auto"/>
              <w:left w:val="single" w:sz="4" w:space="0" w:color="auto"/>
              <w:right w:val="single" w:sz="4" w:space="0" w:color="auto"/>
            </w:tcBorders>
            <w:tcMar>
              <w:top w:w="28" w:type="dxa"/>
              <w:bottom w:w="28" w:type="dxa"/>
            </w:tcMar>
          </w:tcPr>
          <w:p w:rsidR="00647696" w:rsidRPr="00161D7D" w:rsidRDefault="00A2694F" w:rsidP="000D6F5C">
            <w:pPr>
              <w:rPr>
                <w:rFonts w:ascii="Arial" w:hAnsi="Arial" w:cs="Arial"/>
                <w:bCs/>
                <w:color w:val="000000"/>
              </w:rPr>
            </w:pPr>
            <w:r w:rsidRPr="00161D7D">
              <w:rPr>
                <w:rFonts w:ascii="Arial" w:hAnsi="Arial" w:cs="Arial"/>
                <w:bCs/>
                <w:color w:val="000000"/>
              </w:rPr>
              <w:t>Sponsor’s Comment:</w:t>
            </w:r>
          </w:p>
        </w:tc>
        <w:tc>
          <w:tcPr>
            <w:tcW w:w="6299" w:type="dxa"/>
            <w:tcBorders>
              <w:left w:val="single" w:sz="4" w:space="0" w:color="auto"/>
              <w:bottom w:val="single" w:sz="4" w:space="0" w:color="auto"/>
              <w:right w:val="single" w:sz="4" w:space="0" w:color="auto"/>
            </w:tcBorders>
          </w:tcPr>
          <w:p w:rsidR="00647696" w:rsidRPr="00161D7D" w:rsidRDefault="00D859F7" w:rsidP="000D6F5C">
            <w:pPr>
              <w:rPr>
                <w:rFonts w:ascii="Arial" w:hAnsi="Arial" w:cs="Arial"/>
                <w:bCs/>
                <w:color w:val="000000"/>
              </w:rPr>
            </w:pPr>
            <w:r w:rsidRPr="00D859F7">
              <w:rPr>
                <w:rFonts w:ascii="Arial" w:hAnsi="Arial" w:cs="Arial"/>
                <w:bCs/>
                <w:color w:val="000000"/>
              </w:rPr>
              <w:t xml:space="preserve">The sponsor is committed to working with the PBAC to ensure the earliest possible PBS listing of </w:t>
            </w:r>
            <w:proofErr w:type="spellStart"/>
            <w:r w:rsidRPr="00D859F7">
              <w:rPr>
                <w:rFonts w:ascii="Arial" w:hAnsi="Arial" w:cs="Arial"/>
                <w:bCs/>
                <w:color w:val="000000"/>
              </w:rPr>
              <w:t>nivolumab</w:t>
            </w:r>
            <w:proofErr w:type="spellEnd"/>
            <w:r w:rsidRPr="00D859F7">
              <w:rPr>
                <w:rFonts w:ascii="Arial" w:hAnsi="Arial" w:cs="Arial"/>
                <w:bCs/>
                <w:color w:val="000000"/>
              </w:rPr>
              <w:t xml:space="preserve"> for all eligible NSCLC patients, who have progressed on or after platinum based chemotherapy.</w:t>
            </w:r>
          </w:p>
        </w:tc>
      </w:tr>
      <w:tr w:rsidR="00647696" w:rsidRPr="00461D75" w:rsidTr="00E34312">
        <w:trPr>
          <w:trHeight w:val="547"/>
        </w:trPr>
        <w:tc>
          <w:tcPr>
            <w:tcW w:w="3085" w:type="dxa"/>
            <w:vMerge w:val="restart"/>
            <w:tcBorders>
              <w:top w:val="single" w:sz="4" w:space="0" w:color="auto"/>
              <w:left w:val="single" w:sz="4" w:space="0" w:color="auto"/>
              <w:right w:val="single" w:sz="4" w:space="0" w:color="auto"/>
            </w:tcBorders>
            <w:tcMar>
              <w:top w:w="28" w:type="dxa"/>
              <w:bottom w:w="28" w:type="dxa"/>
            </w:tcMar>
          </w:tcPr>
          <w:p w:rsidR="00E34312" w:rsidRPr="00161D7D" w:rsidRDefault="00E34312" w:rsidP="000D6F5C">
            <w:pPr>
              <w:rPr>
                <w:rFonts w:ascii="Arial" w:hAnsi="Arial" w:cs="Arial"/>
                <w:bCs/>
                <w:color w:val="000000"/>
              </w:rPr>
            </w:pPr>
            <w:r w:rsidRPr="00161D7D">
              <w:rPr>
                <w:rFonts w:ascii="Arial" w:hAnsi="Arial" w:cs="Arial"/>
                <w:bCs/>
                <w:color w:val="000000"/>
              </w:rPr>
              <w:t>NIVOLUMAB</w:t>
            </w:r>
          </w:p>
          <w:p w:rsidR="00E34312" w:rsidRPr="00161D7D" w:rsidRDefault="00E34312" w:rsidP="000D6F5C">
            <w:pPr>
              <w:rPr>
                <w:rFonts w:ascii="Arial" w:hAnsi="Arial" w:cs="Arial"/>
                <w:bCs/>
                <w:color w:val="000000"/>
              </w:rPr>
            </w:pPr>
          </w:p>
          <w:p w:rsidR="00E34312" w:rsidRPr="00161D7D" w:rsidRDefault="00E34312" w:rsidP="000D6F5C">
            <w:pPr>
              <w:rPr>
                <w:rFonts w:ascii="Arial" w:hAnsi="Arial" w:cs="Arial"/>
                <w:bCs/>
                <w:color w:val="000000"/>
              </w:rPr>
            </w:pPr>
            <w:r w:rsidRPr="00161D7D">
              <w:rPr>
                <w:rFonts w:ascii="Arial" w:hAnsi="Arial" w:cs="Arial"/>
                <w:bCs/>
                <w:color w:val="000000"/>
              </w:rPr>
              <w:t xml:space="preserve">Injection concentrate for I.V. infusion 40 mg in 4 mL </w:t>
            </w:r>
          </w:p>
          <w:p w:rsidR="00E34312" w:rsidRPr="00161D7D" w:rsidRDefault="00E34312" w:rsidP="000D6F5C">
            <w:pPr>
              <w:rPr>
                <w:rFonts w:ascii="Arial" w:hAnsi="Arial" w:cs="Arial"/>
                <w:bCs/>
                <w:color w:val="000000"/>
              </w:rPr>
            </w:pPr>
            <w:r w:rsidRPr="00161D7D">
              <w:rPr>
                <w:rFonts w:ascii="Arial" w:hAnsi="Arial" w:cs="Arial"/>
                <w:bCs/>
                <w:color w:val="000000"/>
              </w:rPr>
              <w:t>Injection concentrate for I.V. infusion 100 mg in 10 mL</w:t>
            </w:r>
          </w:p>
          <w:p w:rsidR="00E34312" w:rsidRPr="00161D7D" w:rsidRDefault="00E34312" w:rsidP="000D6F5C">
            <w:pPr>
              <w:rPr>
                <w:rFonts w:ascii="Arial" w:hAnsi="Arial" w:cs="Arial"/>
                <w:bCs/>
                <w:color w:val="000000"/>
              </w:rPr>
            </w:pPr>
          </w:p>
          <w:p w:rsidR="00E34312" w:rsidRPr="00161D7D" w:rsidRDefault="00E34312" w:rsidP="000D6F5C">
            <w:pPr>
              <w:rPr>
                <w:rFonts w:ascii="Arial" w:hAnsi="Arial" w:cs="Arial"/>
                <w:bCs/>
                <w:color w:val="000000"/>
              </w:rPr>
            </w:pPr>
            <w:r w:rsidRPr="00161D7D">
              <w:rPr>
                <w:rFonts w:ascii="Arial" w:hAnsi="Arial" w:cs="Arial"/>
                <w:bCs/>
                <w:color w:val="000000"/>
              </w:rPr>
              <w:lastRenderedPageBreak/>
              <w:t>Opdivo®</w:t>
            </w:r>
          </w:p>
          <w:p w:rsidR="00E34312" w:rsidRPr="00161D7D" w:rsidRDefault="00E34312" w:rsidP="000D6F5C">
            <w:pPr>
              <w:rPr>
                <w:rFonts w:ascii="Arial" w:hAnsi="Arial" w:cs="Arial"/>
                <w:bCs/>
                <w:color w:val="000000"/>
              </w:rPr>
            </w:pPr>
          </w:p>
          <w:p w:rsidR="00647696" w:rsidRPr="00161D7D" w:rsidRDefault="00E34312" w:rsidP="000D6F5C">
            <w:pPr>
              <w:rPr>
                <w:rFonts w:ascii="Arial" w:hAnsi="Arial" w:cs="Arial"/>
                <w:bCs/>
                <w:color w:val="000000"/>
              </w:rPr>
            </w:pPr>
            <w:r w:rsidRPr="00161D7D">
              <w:rPr>
                <w:rFonts w:ascii="Arial" w:hAnsi="Arial" w:cs="Arial"/>
                <w:bCs/>
                <w:color w:val="000000"/>
              </w:rPr>
              <w:t>Bristol-Myers Squibb Australia Pty Ltd</w:t>
            </w:r>
          </w:p>
          <w:p w:rsidR="00EC5330" w:rsidRPr="00161D7D" w:rsidRDefault="00EC5330" w:rsidP="000D6F5C">
            <w:pPr>
              <w:rPr>
                <w:rFonts w:ascii="Arial" w:hAnsi="Arial" w:cs="Arial"/>
                <w:bCs/>
                <w:color w:val="000000"/>
              </w:rPr>
            </w:pPr>
          </w:p>
          <w:p w:rsidR="00EC5330" w:rsidRPr="00161D7D" w:rsidRDefault="00EC5330" w:rsidP="000D6F5C">
            <w:pPr>
              <w:rPr>
                <w:rFonts w:ascii="Arial" w:hAnsi="Arial" w:cs="Arial"/>
                <w:bCs/>
                <w:color w:val="000000"/>
              </w:rPr>
            </w:pPr>
            <w:r w:rsidRPr="00161D7D">
              <w:rPr>
                <w:rFonts w:ascii="Arial" w:hAnsi="Arial" w:cs="Arial"/>
                <w:bCs/>
                <w:color w:val="000000"/>
              </w:rPr>
              <w:t>Change to listing</w:t>
            </w:r>
          </w:p>
          <w:p w:rsidR="00EC5330" w:rsidRPr="00161D7D" w:rsidRDefault="00EC5330" w:rsidP="000D6F5C">
            <w:pPr>
              <w:rPr>
                <w:rFonts w:ascii="Arial" w:hAnsi="Arial" w:cs="Arial"/>
                <w:bCs/>
                <w:color w:val="000000"/>
              </w:rPr>
            </w:pPr>
          </w:p>
          <w:p w:rsidR="00EC5330" w:rsidRPr="00161D7D" w:rsidRDefault="00EC5330" w:rsidP="000D6F5C">
            <w:pPr>
              <w:rPr>
                <w:rFonts w:ascii="Arial" w:hAnsi="Arial" w:cs="Arial"/>
                <w:bCs/>
                <w:color w:val="000000"/>
              </w:rPr>
            </w:pPr>
            <w:r w:rsidRPr="00161D7D">
              <w:rPr>
                <w:rFonts w:ascii="Arial" w:hAnsi="Arial" w:cs="Arial"/>
                <w:bCs/>
                <w:color w:val="000000"/>
              </w:rPr>
              <w:t>(Major submission)</w:t>
            </w:r>
          </w:p>
        </w:tc>
        <w:tc>
          <w:tcPr>
            <w:tcW w:w="2016" w:type="dxa"/>
            <w:vMerge w:val="restart"/>
            <w:tcBorders>
              <w:top w:val="single" w:sz="4" w:space="0" w:color="auto"/>
              <w:left w:val="single" w:sz="4" w:space="0" w:color="auto"/>
              <w:right w:val="single" w:sz="4" w:space="0" w:color="auto"/>
            </w:tcBorders>
            <w:tcMar>
              <w:top w:w="28" w:type="dxa"/>
              <w:bottom w:w="28" w:type="dxa"/>
            </w:tcMar>
          </w:tcPr>
          <w:p w:rsidR="00647696" w:rsidRPr="00161D7D" w:rsidRDefault="00E34312" w:rsidP="000D6F5C">
            <w:pPr>
              <w:rPr>
                <w:rFonts w:ascii="Arial" w:hAnsi="Arial" w:cs="Arial"/>
                <w:bCs/>
                <w:color w:val="000000"/>
              </w:rPr>
            </w:pPr>
            <w:r w:rsidRPr="00161D7D">
              <w:rPr>
                <w:rFonts w:ascii="Arial" w:hAnsi="Arial" w:cs="Arial"/>
                <w:bCs/>
                <w:color w:val="000000"/>
              </w:rPr>
              <w:lastRenderedPageBreak/>
              <w:t>Non-squamous non-small cell lung cancer (NSCLC)</w:t>
            </w:r>
          </w:p>
        </w:tc>
        <w:tc>
          <w:tcPr>
            <w:tcW w:w="2774" w:type="dxa"/>
            <w:tcBorders>
              <w:top w:val="single" w:sz="4" w:space="0" w:color="auto"/>
              <w:left w:val="single" w:sz="4" w:space="0" w:color="auto"/>
              <w:right w:val="single" w:sz="4" w:space="0" w:color="auto"/>
            </w:tcBorders>
            <w:tcMar>
              <w:top w:w="28" w:type="dxa"/>
              <w:bottom w:w="28" w:type="dxa"/>
            </w:tcMar>
          </w:tcPr>
          <w:p w:rsidR="00647696" w:rsidRPr="00161D7D" w:rsidRDefault="00E34312" w:rsidP="000D6F5C">
            <w:pPr>
              <w:rPr>
                <w:rFonts w:ascii="Arial" w:hAnsi="Arial" w:cs="Arial"/>
                <w:bCs/>
                <w:color w:val="000000"/>
              </w:rPr>
            </w:pPr>
            <w:r w:rsidRPr="00161D7D">
              <w:rPr>
                <w:rFonts w:ascii="Arial" w:hAnsi="Arial" w:cs="Arial"/>
                <w:bCs/>
                <w:color w:val="000000"/>
              </w:rPr>
              <w:t>Resubmission to request a Section 100 (Efficient Funding of Chemotherapy) Authority Required (STREAMLINED) listing for the treatment of locally advanced or metastatic non-</w:t>
            </w:r>
            <w:r w:rsidRPr="00161D7D">
              <w:rPr>
                <w:rFonts w:ascii="Arial" w:hAnsi="Arial" w:cs="Arial"/>
                <w:bCs/>
                <w:color w:val="000000"/>
              </w:rPr>
              <w:lastRenderedPageBreak/>
              <w:t>squamous NSCLC with progression on or after prior chemotherapy.</w:t>
            </w:r>
          </w:p>
        </w:tc>
        <w:tc>
          <w:tcPr>
            <w:tcW w:w="6299" w:type="dxa"/>
            <w:tcBorders>
              <w:top w:val="single" w:sz="4" w:space="0" w:color="auto"/>
              <w:left w:val="single" w:sz="4" w:space="0" w:color="auto"/>
              <w:right w:val="single" w:sz="4" w:space="0" w:color="auto"/>
            </w:tcBorders>
          </w:tcPr>
          <w:p w:rsidR="008145BD" w:rsidRPr="00161D7D" w:rsidRDefault="008145BD" w:rsidP="008145BD">
            <w:pPr>
              <w:jc w:val="both"/>
              <w:rPr>
                <w:rFonts w:ascii="Arial" w:hAnsi="Arial" w:cs="Arial"/>
                <w:bCs/>
                <w:color w:val="000000"/>
              </w:rPr>
            </w:pPr>
            <w:r w:rsidRPr="00161D7D">
              <w:rPr>
                <w:rFonts w:ascii="Arial" w:hAnsi="Arial" w:cs="Arial"/>
                <w:bCs/>
                <w:color w:val="000000"/>
              </w:rPr>
              <w:lastRenderedPageBreak/>
              <w:t xml:space="preserve">The PBAC deferred making a recommendation regarding the listing of </w:t>
            </w:r>
            <w:proofErr w:type="spellStart"/>
            <w:r w:rsidRPr="00161D7D">
              <w:rPr>
                <w:rFonts w:ascii="Arial" w:hAnsi="Arial" w:cs="Arial"/>
                <w:bCs/>
                <w:color w:val="000000"/>
              </w:rPr>
              <w:t>nivolumab</w:t>
            </w:r>
            <w:proofErr w:type="spellEnd"/>
            <w:r w:rsidRPr="00161D7D">
              <w:rPr>
                <w:rFonts w:ascii="Arial" w:hAnsi="Arial" w:cs="Arial"/>
                <w:bCs/>
                <w:color w:val="000000"/>
              </w:rPr>
              <w:t xml:space="preserve"> for the treatment of non-squamous NSCLC </w:t>
            </w:r>
            <w:r w:rsidR="00161D7D">
              <w:rPr>
                <w:rFonts w:ascii="Arial" w:hAnsi="Arial" w:cs="Arial"/>
                <w:bCs/>
                <w:color w:val="000000"/>
              </w:rPr>
              <w:t xml:space="preserve">on the basis of </w:t>
            </w:r>
            <w:r w:rsidRPr="00161D7D">
              <w:rPr>
                <w:rFonts w:ascii="Arial" w:hAnsi="Arial" w:cs="Arial"/>
                <w:bCs/>
                <w:color w:val="000000"/>
              </w:rPr>
              <w:t xml:space="preserve">concerns regarding the variation in the extent of effectiveness in patients over 75 years, especially given the high incremental cost-effectiveness ratios (ICERs) presented in the resubmission and doubts about the ability of the proposed risk share arrangement to achieve the sponsor’s intended effect on these </w:t>
            </w:r>
            <w:r w:rsidRPr="00161D7D">
              <w:rPr>
                <w:rFonts w:ascii="Arial" w:hAnsi="Arial" w:cs="Arial"/>
                <w:bCs/>
                <w:color w:val="000000"/>
              </w:rPr>
              <w:lastRenderedPageBreak/>
              <w:t>ICERs. The PBAC requested that the Department hold discussions with the sponsor in order to develop a proposal for a Managed Entry Scheme (MES) to address these concerns.</w:t>
            </w:r>
          </w:p>
          <w:p w:rsidR="008145BD" w:rsidRPr="00161D7D" w:rsidRDefault="008145BD" w:rsidP="008145BD">
            <w:pPr>
              <w:jc w:val="both"/>
              <w:rPr>
                <w:rFonts w:ascii="Arial" w:hAnsi="Arial" w:cs="Arial"/>
                <w:bCs/>
                <w:color w:val="000000"/>
              </w:rPr>
            </w:pPr>
          </w:p>
          <w:p w:rsidR="008145BD" w:rsidRPr="00161D7D" w:rsidRDefault="008145BD" w:rsidP="008145BD">
            <w:pPr>
              <w:jc w:val="both"/>
              <w:rPr>
                <w:rFonts w:ascii="Arial" w:hAnsi="Arial" w:cs="Arial"/>
                <w:bCs/>
                <w:color w:val="000000"/>
              </w:rPr>
            </w:pPr>
            <w:r w:rsidRPr="00161D7D">
              <w:rPr>
                <w:rFonts w:ascii="Arial" w:hAnsi="Arial" w:cs="Arial"/>
                <w:bCs/>
                <w:color w:val="000000"/>
              </w:rPr>
              <w:t xml:space="preserve">On the basis of the direct evidence presented by the submission, for every 100 non-squamous NSCLC patients treated with </w:t>
            </w:r>
            <w:proofErr w:type="spellStart"/>
            <w:r w:rsidRPr="00161D7D">
              <w:rPr>
                <w:rFonts w:ascii="Arial" w:hAnsi="Arial" w:cs="Arial"/>
                <w:bCs/>
                <w:color w:val="000000"/>
              </w:rPr>
              <w:t>nivolumab</w:t>
            </w:r>
            <w:proofErr w:type="spellEnd"/>
            <w:r w:rsidRPr="00161D7D">
              <w:rPr>
                <w:rFonts w:ascii="Arial" w:hAnsi="Arial" w:cs="Arial"/>
                <w:bCs/>
                <w:color w:val="000000"/>
              </w:rPr>
              <w:t xml:space="preserve"> in comparison to docetaxel:</w:t>
            </w:r>
          </w:p>
          <w:p w:rsidR="008145BD" w:rsidRPr="00161D7D" w:rsidRDefault="008145BD" w:rsidP="008145BD">
            <w:pPr>
              <w:pStyle w:val="ListParagraph"/>
              <w:numPr>
                <w:ilvl w:val="0"/>
                <w:numId w:val="7"/>
              </w:numPr>
              <w:ind w:left="205" w:hanging="205"/>
              <w:jc w:val="both"/>
              <w:rPr>
                <w:rFonts w:ascii="Arial" w:eastAsia="Times New Roman" w:hAnsi="Arial" w:cs="Arial"/>
                <w:bCs/>
                <w:color w:val="000000"/>
                <w:sz w:val="20"/>
                <w:szCs w:val="20"/>
              </w:rPr>
            </w:pPr>
            <w:r w:rsidRPr="00161D7D">
              <w:rPr>
                <w:rFonts w:ascii="Arial" w:eastAsia="Times New Roman" w:hAnsi="Arial" w:cs="Arial"/>
                <w:bCs/>
                <w:color w:val="000000"/>
                <w:sz w:val="20"/>
                <w:szCs w:val="20"/>
              </w:rPr>
              <w:t xml:space="preserve">Approximately 16 additional patients would be expected to be alive at 18 months. However, whilst </w:t>
            </w:r>
            <w:proofErr w:type="spellStart"/>
            <w:r w:rsidRPr="00161D7D">
              <w:rPr>
                <w:rFonts w:ascii="Arial" w:eastAsia="Times New Roman" w:hAnsi="Arial" w:cs="Arial"/>
                <w:bCs/>
                <w:color w:val="000000"/>
                <w:sz w:val="20"/>
                <w:szCs w:val="20"/>
              </w:rPr>
              <w:t>nivolumab</w:t>
            </w:r>
            <w:proofErr w:type="spellEnd"/>
            <w:r w:rsidRPr="00161D7D">
              <w:rPr>
                <w:rFonts w:ascii="Arial" w:eastAsia="Times New Roman" w:hAnsi="Arial" w:cs="Arial"/>
                <w:bCs/>
                <w:color w:val="000000"/>
                <w:sz w:val="20"/>
                <w:szCs w:val="20"/>
              </w:rPr>
              <w:t xml:space="preserve"> doubled median </w:t>
            </w:r>
            <w:r w:rsidR="00161D7D">
              <w:rPr>
                <w:rFonts w:ascii="Arial" w:eastAsia="Times New Roman" w:hAnsi="Arial" w:cs="Arial"/>
                <w:bCs/>
                <w:color w:val="000000"/>
                <w:sz w:val="20"/>
                <w:szCs w:val="20"/>
              </w:rPr>
              <w:t>overall survival</w:t>
            </w:r>
            <w:r w:rsidRPr="00161D7D">
              <w:rPr>
                <w:rFonts w:ascii="Arial" w:eastAsia="Times New Roman" w:hAnsi="Arial" w:cs="Arial"/>
                <w:bCs/>
                <w:color w:val="000000"/>
                <w:sz w:val="20"/>
                <w:szCs w:val="20"/>
              </w:rPr>
              <w:t xml:space="preserve"> compared to docetaxel in PD-L1 positive patients, there was no meaningful median </w:t>
            </w:r>
            <w:r w:rsidR="00161D7D">
              <w:rPr>
                <w:rFonts w:ascii="Arial" w:eastAsia="Times New Roman" w:hAnsi="Arial" w:cs="Arial"/>
                <w:bCs/>
                <w:color w:val="000000"/>
                <w:sz w:val="20"/>
                <w:szCs w:val="20"/>
              </w:rPr>
              <w:t>overall survival</w:t>
            </w:r>
            <w:r w:rsidR="00161D7D" w:rsidRPr="00161D7D">
              <w:rPr>
                <w:rFonts w:ascii="Arial" w:eastAsia="Times New Roman" w:hAnsi="Arial" w:cs="Arial"/>
                <w:bCs/>
                <w:color w:val="000000"/>
                <w:sz w:val="20"/>
                <w:szCs w:val="20"/>
              </w:rPr>
              <w:t xml:space="preserve"> </w:t>
            </w:r>
            <w:r w:rsidRPr="00161D7D">
              <w:rPr>
                <w:rFonts w:ascii="Arial" w:eastAsia="Times New Roman" w:hAnsi="Arial" w:cs="Arial"/>
                <w:bCs/>
                <w:color w:val="000000"/>
                <w:sz w:val="20"/>
                <w:szCs w:val="20"/>
              </w:rPr>
              <w:t xml:space="preserve">difference between </w:t>
            </w:r>
            <w:proofErr w:type="spellStart"/>
            <w:r w:rsidRPr="00161D7D">
              <w:rPr>
                <w:rFonts w:ascii="Arial" w:eastAsia="Times New Roman" w:hAnsi="Arial" w:cs="Arial"/>
                <w:bCs/>
                <w:color w:val="000000"/>
                <w:sz w:val="20"/>
                <w:szCs w:val="20"/>
              </w:rPr>
              <w:t>nivolumab</w:t>
            </w:r>
            <w:proofErr w:type="spellEnd"/>
            <w:r w:rsidRPr="00161D7D">
              <w:rPr>
                <w:rFonts w:ascii="Arial" w:eastAsia="Times New Roman" w:hAnsi="Arial" w:cs="Arial"/>
                <w:bCs/>
                <w:color w:val="000000"/>
                <w:sz w:val="20"/>
                <w:szCs w:val="20"/>
              </w:rPr>
              <w:t xml:space="preserve"> and </w:t>
            </w:r>
            <w:proofErr w:type="spellStart"/>
            <w:r w:rsidRPr="00161D7D">
              <w:rPr>
                <w:rFonts w:ascii="Arial" w:eastAsia="Times New Roman" w:hAnsi="Arial" w:cs="Arial"/>
                <w:bCs/>
                <w:color w:val="000000"/>
                <w:sz w:val="20"/>
                <w:szCs w:val="20"/>
              </w:rPr>
              <w:t>docetaxel</w:t>
            </w:r>
            <w:proofErr w:type="spellEnd"/>
            <w:r w:rsidRPr="00161D7D">
              <w:rPr>
                <w:rFonts w:ascii="Arial" w:eastAsia="Times New Roman" w:hAnsi="Arial" w:cs="Arial"/>
                <w:bCs/>
                <w:color w:val="000000"/>
                <w:sz w:val="20"/>
                <w:szCs w:val="20"/>
              </w:rPr>
              <w:t xml:space="preserve"> in PD-L1 negative patients;</w:t>
            </w:r>
          </w:p>
          <w:p w:rsidR="008145BD" w:rsidRPr="00161D7D" w:rsidRDefault="008145BD" w:rsidP="008145BD">
            <w:pPr>
              <w:pStyle w:val="ListParagraph"/>
              <w:numPr>
                <w:ilvl w:val="0"/>
                <w:numId w:val="7"/>
              </w:numPr>
              <w:ind w:left="205" w:hanging="205"/>
              <w:jc w:val="both"/>
              <w:rPr>
                <w:rFonts w:ascii="Arial" w:eastAsia="Times New Roman" w:hAnsi="Arial" w:cs="Arial"/>
                <w:bCs/>
                <w:color w:val="000000"/>
                <w:sz w:val="20"/>
                <w:szCs w:val="20"/>
              </w:rPr>
            </w:pPr>
            <w:r w:rsidRPr="00161D7D">
              <w:rPr>
                <w:rFonts w:ascii="Arial" w:eastAsia="Times New Roman" w:hAnsi="Arial" w:cs="Arial"/>
                <w:bCs/>
                <w:color w:val="000000"/>
                <w:sz w:val="20"/>
                <w:szCs w:val="20"/>
              </w:rPr>
              <w:t>Approximately 43 fewer patients would experience a drug-related Grade 3 or 4 adverse event, 27 fewer patients would experience drug-related neutropenia, but an additional 9 patients would experience a Grade 3 or 4 endocrine adverse event. These differences would be expected to be fairly similar for both PD-L1 positive and negative patients.</w:t>
            </w:r>
          </w:p>
          <w:p w:rsidR="008145BD" w:rsidRPr="00161D7D" w:rsidRDefault="008145BD" w:rsidP="008145BD">
            <w:pPr>
              <w:jc w:val="both"/>
              <w:rPr>
                <w:rFonts w:ascii="Arial" w:hAnsi="Arial" w:cs="Arial"/>
                <w:bCs/>
                <w:color w:val="000000"/>
              </w:rPr>
            </w:pPr>
          </w:p>
          <w:p w:rsidR="00647696" w:rsidRPr="00161D7D" w:rsidRDefault="008145BD" w:rsidP="008145BD">
            <w:pPr>
              <w:jc w:val="both"/>
              <w:rPr>
                <w:rFonts w:ascii="Arial" w:hAnsi="Arial" w:cs="Arial"/>
                <w:bCs/>
                <w:color w:val="000000"/>
              </w:rPr>
            </w:pPr>
            <w:r w:rsidRPr="00161D7D">
              <w:rPr>
                <w:rFonts w:ascii="Arial" w:hAnsi="Arial" w:cs="Arial"/>
                <w:bCs/>
                <w:color w:val="000000"/>
              </w:rPr>
              <w:t xml:space="preserve">The comparative benefits for </w:t>
            </w:r>
            <w:proofErr w:type="spellStart"/>
            <w:r w:rsidRPr="00161D7D">
              <w:rPr>
                <w:rFonts w:ascii="Arial" w:hAnsi="Arial" w:cs="Arial"/>
                <w:bCs/>
                <w:color w:val="000000"/>
              </w:rPr>
              <w:t>nivolumab</w:t>
            </w:r>
            <w:proofErr w:type="spellEnd"/>
            <w:r w:rsidRPr="00161D7D">
              <w:rPr>
                <w:rFonts w:ascii="Arial" w:hAnsi="Arial" w:cs="Arial"/>
                <w:bCs/>
                <w:color w:val="000000"/>
              </w:rPr>
              <w:t xml:space="preserve"> versus </w:t>
            </w:r>
            <w:proofErr w:type="spellStart"/>
            <w:r w:rsidRPr="00161D7D">
              <w:rPr>
                <w:rFonts w:ascii="Arial" w:hAnsi="Arial" w:cs="Arial"/>
                <w:bCs/>
                <w:color w:val="000000"/>
              </w:rPr>
              <w:t>pemetrexed</w:t>
            </w:r>
            <w:proofErr w:type="spellEnd"/>
            <w:r w:rsidRPr="00161D7D">
              <w:rPr>
                <w:rFonts w:ascii="Arial" w:hAnsi="Arial" w:cs="Arial"/>
                <w:bCs/>
                <w:color w:val="000000"/>
              </w:rPr>
              <w:t>, via an indirect comparison, were unable to be determined with confidence.</w:t>
            </w:r>
          </w:p>
        </w:tc>
      </w:tr>
      <w:tr w:rsidR="00647696" w:rsidRPr="00461D75" w:rsidTr="00E34312">
        <w:trPr>
          <w:trHeight w:val="499"/>
        </w:trPr>
        <w:tc>
          <w:tcPr>
            <w:tcW w:w="3085" w:type="dxa"/>
            <w:vMerge/>
            <w:tcBorders>
              <w:left w:val="single" w:sz="4" w:space="0" w:color="auto"/>
              <w:right w:val="single" w:sz="4" w:space="0" w:color="auto"/>
            </w:tcBorders>
            <w:tcMar>
              <w:top w:w="28" w:type="dxa"/>
              <w:bottom w:w="28" w:type="dxa"/>
            </w:tcMar>
          </w:tcPr>
          <w:p w:rsidR="00647696" w:rsidRPr="009074F0" w:rsidRDefault="00647696" w:rsidP="000D6F5C">
            <w:pPr>
              <w:rPr>
                <w:rFonts w:ascii="Arial" w:hAnsi="Arial" w:cs="Arial"/>
                <w:bCs/>
                <w:color w:val="000000"/>
              </w:rPr>
            </w:pPr>
          </w:p>
        </w:tc>
        <w:tc>
          <w:tcPr>
            <w:tcW w:w="2016" w:type="dxa"/>
            <w:vMerge/>
            <w:tcBorders>
              <w:left w:val="single" w:sz="4" w:space="0" w:color="auto"/>
              <w:right w:val="single" w:sz="4" w:space="0" w:color="auto"/>
            </w:tcBorders>
            <w:tcMar>
              <w:top w:w="28" w:type="dxa"/>
              <w:bottom w:w="28" w:type="dxa"/>
            </w:tcMar>
          </w:tcPr>
          <w:p w:rsidR="00647696" w:rsidRDefault="00647696" w:rsidP="000D6F5C">
            <w:pPr>
              <w:rPr>
                <w:rFonts w:ascii="Arial" w:hAnsi="Arial" w:cs="Arial"/>
                <w:bCs/>
                <w:color w:val="000000"/>
              </w:rPr>
            </w:pPr>
          </w:p>
        </w:tc>
        <w:tc>
          <w:tcPr>
            <w:tcW w:w="2774" w:type="dxa"/>
            <w:tcBorders>
              <w:top w:val="single" w:sz="4" w:space="0" w:color="auto"/>
              <w:left w:val="single" w:sz="4" w:space="0" w:color="auto"/>
              <w:right w:val="single" w:sz="4" w:space="0" w:color="auto"/>
            </w:tcBorders>
            <w:tcMar>
              <w:top w:w="28" w:type="dxa"/>
              <w:bottom w:w="28" w:type="dxa"/>
            </w:tcMar>
          </w:tcPr>
          <w:p w:rsidR="00647696" w:rsidRPr="00461D75" w:rsidRDefault="00A2694F" w:rsidP="000D6F5C">
            <w:pPr>
              <w:rPr>
                <w:rFonts w:ascii="Arial" w:hAnsi="Arial" w:cs="Arial"/>
                <w:bCs/>
                <w:color w:val="000000"/>
              </w:rPr>
            </w:pPr>
            <w:r>
              <w:rPr>
                <w:rFonts w:ascii="Arial" w:hAnsi="Arial" w:cs="Arial"/>
                <w:bCs/>
                <w:color w:val="000000"/>
              </w:rPr>
              <w:t>Sponsor Comment:</w:t>
            </w:r>
          </w:p>
        </w:tc>
        <w:tc>
          <w:tcPr>
            <w:tcW w:w="6299" w:type="dxa"/>
            <w:tcBorders>
              <w:left w:val="single" w:sz="4" w:space="0" w:color="auto"/>
              <w:bottom w:val="single" w:sz="4" w:space="0" w:color="auto"/>
              <w:right w:val="single" w:sz="4" w:space="0" w:color="auto"/>
            </w:tcBorders>
          </w:tcPr>
          <w:p w:rsidR="00647696" w:rsidRPr="00461D75" w:rsidRDefault="00D859F7" w:rsidP="000D6F5C">
            <w:pPr>
              <w:rPr>
                <w:rFonts w:ascii="Arial" w:hAnsi="Arial" w:cs="Arial"/>
                <w:bCs/>
                <w:color w:val="000000"/>
              </w:rPr>
            </w:pPr>
            <w:r w:rsidRPr="00D859F7">
              <w:rPr>
                <w:rFonts w:ascii="Arial" w:hAnsi="Arial" w:cs="Arial"/>
                <w:bCs/>
                <w:color w:val="000000"/>
              </w:rPr>
              <w:t xml:space="preserve">The sponsor is committed to working with the PBAC to ensure the earliest possible PBS listing of </w:t>
            </w:r>
            <w:proofErr w:type="spellStart"/>
            <w:r w:rsidRPr="00D859F7">
              <w:rPr>
                <w:rFonts w:ascii="Arial" w:hAnsi="Arial" w:cs="Arial"/>
                <w:bCs/>
                <w:color w:val="000000"/>
              </w:rPr>
              <w:t>nivolumab</w:t>
            </w:r>
            <w:proofErr w:type="spellEnd"/>
            <w:r w:rsidRPr="00D859F7">
              <w:rPr>
                <w:rFonts w:ascii="Arial" w:hAnsi="Arial" w:cs="Arial"/>
                <w:bCs/>
                <w:color w:val="000000"/>
              </w:rPr>
              <w:t xml:space="preserve"> for all eligible NSCLC patients, who have progressed on or after platinum based chemotherapy.</w:t>
            </w:r>
          </w:p>
        </w:tc>
      </w:tr>
      <w:tr w:rsidR="00647696" w:rsidRPr="00461D75" w:rsidTr="00E34312">
        <w:trPr>
          <w:trHeight w:val="547"/>
        </w:trPr>
        <w:tc>
          <w:tcPr>
            <w:tcW w:w="3085" w:type="dxa"/>
            <w:vMerge w:val="restart"/>
            <w:tcBorders>
              <w:top w:val="single" w:sz="4" w:space="0" w:color="auto"/>
              <w:left w:val="single" w:sz="4" w:space="0" w:color="auto"/>
              <w:right w:val="single" w:sz="4" w:space="0" w:color="auto"/>
            </w:tcBorders>
            <w:tcMar>
              <w:top w:w="28" w:type="dxa"/>
              <w:bottom w:w="28" w:type="dxa"/>
            </w:tcMar>
          </w:tcPr>
          <w:p w:rsidR="00E34312" w:rsidRPr="00E34312" w:rsidRDefault="00E34312" w:rsidP="000D6F5C">
            <w:pPr>
              <w:rPr>
                <w:rFonts w:ascii="Arial" w:hAnsi="Arial" w:cs="Arial"/>
                <w:bCs/>
                <w:color w:val="000000"/>
              </w:rPr>
            </w:pPr>
            <w:r w:rsidRPr="00E34312">
              <w:rPr>
                <w:rFonts w:ascii="Arial" w:hAnsi="Arial" w:cs="Arial"/>
                <w:bCs/>
                <w:color w:val="000000"/>
              </w:rPr>
              <w:t xml:space="preserve">PIRFENIDONE </w:t>
            </w:r>
          </w:p>
          <w:p w:rsidR="00E34312" w:rsidRPr="00E34312" w:rsidRDefault="00E34312" w:rsidP="000D6F5C">
            <w:pPr>
              <w:rPr>
                <w:rFonts w:ascii="Arial" w:hAnsi="Arial" w:cs="Arial"/>
                <w:bCs/>
                <w:color w:val="000000"/>
              </w:rPr>
            </w:pPr>
          </w:p>
          <w:p w:rsidR="00E34312" w:rsidRPr="00E34312" w:rsidRDefault="00E34312" w:rsidP="000D6F5C">
            <w:pPr>
              <w:rPr>
                <w:rFonts w:ascii="Arial" w:hAnsi="Arial" w:cs="Arial"/>
                <w:bCs/>
                <w:color w:val="000000"/>
              </w:rPr>
            </w:pPr>
            <w:r w:rsidRPr="00E34312">
              <w:rPr>
                <w:rFonts w:ascii="Arial" w:hAnsi="Arial" w:cs="Arial"/>
                <w:bCs/>
                <w:color w:val="000000"/>
              </w:rPr>
              <w:t>Capsule 267 mg</w:t>
            </w:r>
          </w:p>
          <w:p w:rsidR="00E34312" w:rsidRPr="00E34312" w:rsidRDefault="00E34312" w:rsidP="000D6F5C">
            <w:pPr>
              <w:rPr>
                <w:rFonts w:ascii="Arial" w:hAnsi="Arial" w:cs="Arial"/>
                <w:bCs/>
                <w:color w:val="000000"/>
              </w:rPr>
            </w:pPr>
          </w:p>
          <w:p w:rsidR="00E34312" w:rsidRPr="00E34312" w:rsidRDefault="00E34312" w:rsidP="000D6F5C">
            <w:pPr>
              <w:rPr>
                <w:rFonts w:ascii="Arial" w:hAnsi="Arial" w:cs="Arial"/>
                <w:bCs/>
                <w:color w:val="000000"/>
              </w:rPr>
            </w:pPr>
            <w:r w:rsidRPr="00E34312">
              <w:rPr>
                <w:rFonts w:ascii="Arial" w:hAnsi="Arial" w:cs="Arial"/>
                <w:bCs/>
                <w:color w:val="000000"/>
              </w:rPr>
              <w:t>Esbriet®</w:t>
            </w:r>
          </w:p>
          <w:p w:rsidR="00E34312" w:rsidRPr="00E34312" w:rsidRDefault="00E34312" w:rsidP="000D6F5C">
            <w:pPr>
              <w:rPr>
                <w:rFonts w:ascii="Arial" w:hAnsi="Arial" w:cs="Arial"/>
                <w:bCs/>
                <w:color w:val="000000"/>
              </w:rPr>
            </w:pPr>
          </w:p>
          <w:p w:rsidR="00647696" w:rsidRDefault="00E34312" w:rsidP="000D6F5C">
            <w:pPr>
              <w:rPr>
                <w:rFonts w:ascii="Arial" w:hAnsi="Arial" w:cs="Arial"/>
                <w:bCs/>
                <w:color w:val="000000"/>
              </w:rPr>
            </w:pPr>
            <w:r w:rsidRPr="00E34312">
              <w:rPr>
                <w:rFonts w:ascii="Arial" w:hAnsi="Arial" w:cs="Arial"/>
                <w:bCs/>
                <w:color w:val="000000"/>
              </w:rPr>
              <w:t>Roche Products Pty Ltd</w:t>
            </w:r>
          </w:p>
          <w:p w:rsidR="00EC5330" w:rsidRDefault="00EC5330" w:rsidP="000D6F5C">
            <w:pPr>
              <w:rPr>
                <w:rFonts w:ascii="Arial" w:hAnsi="Arial" w:cs="Arial"/>
                <w:bCs/>
                <w:color w:val="000000"/>
              </w:rPr>
            </w:pPr>
          </w:p>
          <w:p w:rsidR="00EC5330" w:rsidRDefault="00EC5330" w:rsidP="000D6F5C">
            <w:pPr>
              <w:rPr>
                <w:rFonts w:ascii="Arial" w:hAnsi="Arial" w:cs="Arial"/>
                <w:bCs/>
                <w:color w:val="000000"/>
              </w:rPr>
            </w:pPr>
            <w:r>
              <w:rPr>
                <w:rFonts w:ascii="Arial" w:hAnsi="Arial" w:cs="Arial"/>
                <w:bCs/>
                <w:color w:val="000000"/>
              </w:rPr>
              <w:t>New listing</w:t>
            </w:r>
          </w:p>
          <w:p w:rsidR="00EC5330" w:rsidRDefault="00EC5330" w:rsidP="000D6F5C">
            <w:pPr>
              <w:rPr>
                <w:rFonts w:ascii="Arial" w:hAnsi="Arial" w:cs="Arial"/>
                <w:bCs/>
                <w:color w:val="000000"/>
              </w:rPr>
            </w:pPr>
          </w:p>
          <w:p w:rsidR="00EC5330" w:rsidRPr="00363865" w:rsidRDefault="00EC5330" w:rsidP="000D6F5C">
            <w:pPr>
              <w:rPr>
                <w:rFonts w:ascii="Arial" w:hAnsi="Arial" w:cs="Arial"/>
                <w:bCs/>
                <w:color w:val="000000"/>
              </w:rPr>
            </w:pPr>
            <w:r>
              <w:rPr>
                <w:rFonts w:ascii="Arial" w:hAnsi="Arial" w:cs="Arial"/>
                <w:bCs/>
                <w:color w:val="000000"/>
              </w:rPr>
              <w:t>(Major submission)</w:t>
            </w:r>
          </w:p>
        </w:tc>
        <w:tc>
          <w:tcPr>
            <w:tcW w:w="2016" w:type="dxa"/>
            <w:vMerge w:val="restart"/>
            <w:tcBorders>
              <w:top w:val="single" w:sz="4" w:space="0" w:color="auto"/>
              <w:left w:val="single" w:sz="4" w:space="0" w:color="auto"/>
              <w:right w:val="single" w:sz="4" w:space="0" w:color="auto"/>
            </w:tcBorders>
            <w:tcMar>
              <w:top w:w="28" w:type="dxa"/>
              <w:bottom w:w="28" w:type="dxa"/>
            </w:tcMar>
          </w:tcPr>
          <w:p w:rsidR="00647696" w:rsidRPr="00363865" w:rsidRDefault="00E34312" w:rsidP="000D6F5C">
            <w:pPr>
              <w:rPr>
                <w:rFonts w:ascii="Arial" w:hAnsi="Arial" w:cs="Arial"/>
                <w:bCs/>
                <w:color w:val="000000"/>
              </w:rPr>
            </w:pPr>
            <w:r w:rsidRPr="00E34312">
              <w:rPr>
                <w:rFonts w:ascii="Arial" w:hAnsi="Arial" w:cs="Arial"/>
                <w:bCs/>
                <w:color w:val="000000"/>
              </w:rPr>
              <w:lastRenderedPageBreak/>
              <w:t>Idiopathic pulmonary fibrosis (IPF)</w:t>
            </w:r>
          </w:p>
        </w:tc>
        <w:tc>
          <w:tcPr>
            <w:tcW w:w="2774" w:type="dxa"/>
            <w:tcBorders>
              <w:top w:val="single" w:sz="4" w:space="0" w:color="auto"/>
              <w:left w:val="single" w:sz="4" w:space="0" w:color="auto"/>
              <w:right w:val="single" w:sz="4" w:space="0" w:color="auto"/>
            </w:tcBorders>
            <w:tcMar>
              <w:top w:w="28" w:type="dxa"/>
              <w:bottom w:w="28" w:type="dxa"/>
            </w:tcMar>
          </w:tcPr>
          <w:p w:rsidR="00647696" w:rsidRPr="00363865" w:rsidRDefault="00E34312" w:rsidP="000D6F5C">
            <w:pPr>
              <w:rPr>
                <w:rFonts w:ascii="Arial" w:hAnsi="Arial" w:cs="Arial"/>
                <w:bCs/>
                <w:color w:val="000000"/>
              </w:rPr>
            </w:pPr>
            <w:r w:rsidRPr="00E34312">
              <w:rPr>
                <w:rFonts w:ascii="Arial" w:hAnsi="Arial" w:cs="Arial"/>
                <w:bCs/>
                <w:color w:val="000000"/>
              </w:rPr>
              <w:t>Resubmission to request a Section 100 (Highly Specialised Drugs Program) Authority Required listing for the treatment of IPF.</w:t>
            </w:r>
          </w:p>
        </w:tc>
        <w:tc>
          <w:tcPr>
            <w:tcW w:w="6299" w:type="dxa"/>
            <w:tcBorders>
              <w:top w:val="single" w:sz="4" w:space="0" w:color="auto"/>
              <w:left w:val="single" w:sz="4" w:space="0" w:color="auto"/>
              <w:right w:val="single" w:sz="4" w:space="0" w:color="auto"/>
            </w:tcBorders>
          </w:tcPr>
          <w:p w:rsidR="007C49BE" w:rsidRDefault="007C49BE" w:rsidP="00735F3E">
            <w:pPr>
              <w:jc w:val="both"/>
              <w:rPr>
                <w:rFonts w:ascii="Arial" w:hAnsi="Arial" w:cs="Arial"/>
                <w:bCs/>
                <w:color w:val="000000"/>
              </w:rPr>
            </w:pPr>
            <w:r w:rsidRPr="007C49BE">
              <w:rPr>
                <w:rFonts w:ascii="Arial" w:hAnsi="Arial" w:cs="Arial"/>
                <w:bCs/>
                <w:color w:val="000000"/>
              </w:rPr>
              <w:t>The PBAC deferred making a recommendation on whether pirfenidone should be listed for the treatment of idiopathic pulmonary fibrosis to allow for further discussions regarding an acceptable price and risk sharing arrangement.</w:t>
            </w:r>
          </w:p>
          <w:p w:rsidR="00862016" w:rsidRDefault="00862016" w:rsidP="007C49BE">
            <w:pPr>
              <w:rPr>
                <w:rFonts w:ascii="Arial" w:hAnsi="Arial" w:cs="Arial"/>
                <w:bCs/>
                <w:color w:val="000000"/>
              </w:rPr>
            </w:pPr>
          </w:p>
          <w:p w:rsidR="00862016" w:rsidRPr="007C49BE" w:rsidRDefault="00862016" w:rsidP="00735F3E">
            <w:pPr>
              <w:jc w:val="both"/>
              <w:rPr>
                <w:rFonts w:ascii="Arial" w:hAnsi="Arial" w:cs="Arial"/>
                <w:bCs/>
                <w:color w:val="000000"/>
              </w:rPr>
            </w:pPr>
            <w:r w:rsidRPr="00862016">
              <w:rPr>
                <w:rFonts w:ascii="Arial" w:hAnsi="Arial" w:cs="Arial"/>
                <w:bCs/>
                <w:color w:val="000000"/>
              </w:rPr>
              <w:lastRenderedPageBreak/>
              <w:t>The PBAC reaffirmed that best supportive care was an appropriate comparator for pirfenidone for IPF. Another novel agent for the treatment of IPF, nintedanib, was also considered at the November 2016 PBAC meeting and was a relevant secondary comparator.</w:t>
            </w:r>
          </w:p>
          <w:p w:rsidR="007C49BE" w:rsidRPr="007C49BE" w:rsidRDefault="007C49BE" w:rsidP="007C49BE">
            <w:pPr>
              <w:rPr>
                <w:rFonts w:ascii="Arial" w:hAnsi="Arial" w:cs="Arial"/>
                <w:bCs/>
                <w:color w:val="000000"/>
              </w:rPr>
            </w:pPr>
          </w:p>
          <w:p w:rsidR="007C49BE" w:rsidRDefault="007C49BE" w:rsidP="00735F3E">
            <w:pPr>
              <w:jc w:val="both"/>
              <w:rPr>
                <w:rFonts w:ascii="Arial" w:hAnsi="Arial" w:cs="Arial"/>
                <w:bCs/>
                <w:color w:val="000000"/>
              </w:rPr>
            </w:pPr>
            <w:r w:rsidRPr="007C49BE">
              <w:rPr>
                <w:rFonts w:ascii="Arial" w:hAnsi="Arial" w:cs="Arial"/>
                <w:bCs/>
                <w:color w:val="000000"/>
              </w:rPr>
              <w:t>The PBAC noted the resubmission presented the same three head-to-head randomised clinical trials comparing pirfenidone with placebo as in the March 2016 and November 2015 submissions. A pooled meta-analysis of these trials was conducted, as was an indirect comparison comparing pirfenidone and nintedanib. On the basis of direct evidence in comparison to placebo presented by the submission,</w:t>
            </w:r>
            <w:r w:rsidR="00735F3E">
              <w:rPr>
                <w:rFonts w:ascii="Arial" w:hAnsi="Arial" w:cs="Arial"/>
                <w:bCs/>
                <w:color w:val="000000"/>
              </w:rPr>
              <w:t xml:space="preserve"> t</w:t>
            </w:r>
            <w:r w:rsidR="00735F3E" w:rsidRPr="00735F3E">
              <w:rPr>
                <w:rFonts w:ascii="Arial" w:hAnsi="Arial" w:cs="Arial"/>
                <w:bCs/>
                <w:color w:val="000000"/>
              </w:rPr>
              <w:t>he PBAC reaffirmed that the claim of superior effectiveness and inferior safety, compared with placebo, was reasonable.</w:t>
            </w:r>
          </w:p>
          <w:p w:rsidR="00735F3E" w:rsidRPr="007C49BE" w:rsidRDefault="00735F3E" w:rsidP="007C49BE">
            <w:pPr>
              <w:rPr>
                <w:rFonts w:ascii="Arial" w:hAnsi="Arial" w:cs="Arial"/>
                <w:bCs/>
                <w:color w:val="000000"/>
              </w:rPr>
            </w:pPr>
          </w:p>
          <w:p w:rsidR="007C49BE" w:rsidRPr="007C49BE" w:rsidRDefault="007C49BE" w:rsidP="00735F3E">
            <w:pPr>
              <w:jc w:val="both"/>
              <w:rPr>
                <w:rFonts w:ascii="Arial" w:hAnsi="Arial" w:cs="Arial"/>
                <w:bCs/>
                <w:color w:val="000000"/>
              </w:rPr>
            </w:pPr>
            <w:r w:rsidRPr="007C49BE">
              <w:rPr>
                <w:rFonts w:ascii="Arial" w:hAnsi="Arial" w:cs="Arial"/>
                <w:bCs/>
                <w:color w:val="000000"/>
              </w:rPr>
              <w:t>A resubmission for nintedanib for the treatment of IPF was also considered by the PBAC at the November 2016 meeting. The PBAC noted the challenges of making comparisons across the nintedanib and pirfenidone submissions for IPF given that the two submissions adopted distinct economic modelling approaches. The PBAC noted that the available comparative evidence suggested that the two drugs are likely to be similarly clinically effective. Accordingly, the PBAC considered that any difference in incremental life years gained between the pirfenidone and nintedanib models contradicted the clinical evidence and was an artefact of the different modelling approaches. The PBAC considered that the only inputs that should result in a difference in the cost effectiveness of pirfenidone and nintedanib are the proposed drug costs and, potentially, any differences in costs or quality of life associated with differences in comparative safety.</w:t>
            </w:r>
          </w:p>
          <w:p w:rsidR="007C49BE" w:rsidRPr="007C49BE" w:rsidRDefault="007C49BE" w:rsidP="007C49BE">
            <w:pPr>
              <w:rPr>
                <w:rFonts w:ascii="Arial" w:hAnsi="Arial" w:cs="Arial"/>
                <w:bCs/>
                <w:color w:val="000000"/>
              </w:rPr>
            </w:pPr>
          </w:p>
          <w:p w:rsidR="00647696" w:rsidRPr="00461D75" w:rsidRDefault="007C49BE" w:rsidP="00735F3E">
            <w:pPr>
              <w:jc w:val="both"/>
              <w:rPr>
                <w:rFonts w:ascii="Arial" w:hAnsi="Arial" w:cs="Arial"/>
                <w:bCs/>
                <w:color w:val="000000"/>
              </w:rPr>
            </w:pPr>
            <w:r w:rsidRPr="007C49BE">
              <w:rPr>
                <w:rFonts w:ascii="Arial" w:hAnsi="Arial" w:cs="Arial"/>
                <w:bCs/>
                <w:color w:val="000000"/>
              </w:rPr>
              <w:lastRenderedPageBreak/>
              <w:t>In its comparative assessment of the outcomes of the pirfenidone and nintedanib models, the PBAC considered that the pirfenidone model may have resulted in an overestimate of the incremental benefit associated with pirfenidone (in terms of life years gained). Accordingly, the PBAC considered that the estimated cost effectiveness of pirfenidone was uncertain and likely to be unacceptable at the requested price.</w:t>
            </w:r>
          </w:p>
        </w:tc>
      </w:tr>
      <w:tr w:rsidR="00647696" w:rsidRPr="00461D75" w:rsidTr="00E34312">
        <w:trPr>
          <w:trHeight w:val="499"/>
        </w:trPr>
        <w:tc>
          <w:tcPr>
            <w:tcW w:w="3085" w:type="dxa"/>
            <w:vMerge/>
            <w:tcBorders>
              <w:left w:val="single" w:sz="4" w:space="0" w:color="auto"/>
              <w:right w:val="single" w:sz="4" w:space="0" w:color="auto"/>
            </w:tcBorders>
            <w:tcMar>
              <w:top w:w="28" w:type="dxa"/>
              <w:bottom w:w="28" w:type="dxa"/>
            </w:tcMar>
          </w:tcPr>
          <w:p w:rsidR="00647696" w:rsidRPr="009074F0" w:rsidRDefault="00647696" w:rsidP="000D6F5C">
            <w:pPr>
              <w:rPr>
                <w:rFonts w:ascii="Arial" w:hAnsi="Arial" w:cs="Arial"/>
                <w:bCs/>
                <w:color w:val="000000"/>
              </w:rPr>
            </w:pPr>
          </w:p>
        </w:tc>
        <w:tc>
          <w:tcPr>
            <w:tcW w:w="2016" w:type="dxa"/>
            <w:vMerge/>
            <w:tcBorders>
              <w:left w:val="single" w:sz="4" w:space="0" w:color="auto"/>
              <w:right w:val="single" w:sz="4" w:space="0" w:color="auto"/>
            </w:tcBorders>
            <w:tcMar>
              <w:top w:w="28" w:type="dxa"/>
              <w:bottom w:w="28" w:type="dxa"/>
            </w:tcMar>
          </w:tcPr>
          <w:p w:rsidR="00647696" w:rsidRDefault="00647696" w:rsidP="000D6F5C">
            <w:pPr>
              <w:rPr>
                <w:rFonts w:ascii="Arial" w:hAnsi="Arial" w:cs="Arial"/>
                <w:bCs/>
                <w:color w:val="000000"/>
              </w:rPr>
            </w:pPr>
          </w:p>
        </w:tc>
        <w:tc>
          <w:tcPr>
            <w:tcW w:w="2774" w:type="dxa"/>
            <w:tcBorders>
              <w:top w:val="single" w:sz="4" w:space="0" w:color="auto"/>
              <w:left w:val="single" w:sz="4" w:space="0" w:color="auto"/>
              <w:right w:val="single" w:sz="4" w:space="0" w:color="auto"/>
            </w:tcBorders>
            <w:tcMar>
              <w:top w:w="28" w:type="dxa"/>
              <w:bottom w:w="28" w:type="dxa"/>
            </w:tcMar>
          </w:tcPr>
          <w:p w:rsidR="00647696" w:rsidRPr="00461D75" w:rsidRDefault="00394C4F" w:rsidP="000D6F5C">
            <w:pPr>
              <w:rPr>
                <w:rFonts w:ascii="Arial" w:hAnsi="Arial" w:cs="Arial"/>
                <w:bCs/>
                <w:color w:val="000000"/>
              </w:rPr>
            </w:pPr>
            <w:r w:rsidRPr="00394C4F">
              <w:rPr>
                <w:rFonts w:ascii="Arial" w:hAnsi="Arial" w:cs="Arial"/>
                <w:bCs/>
                <w:color w:val="000000"/>
              </w:rPr>
              <w:t>Sponsor Comment:</w:t>
            </w:r>
          </w:p>
        </w:tc>
        <w:tc>
          <w:tcPr>
            <w:tcW w:w="6299" w:type="dxa"/>
            <w:tcBorders>
              <w:left w:val="single" w:sz="4" w:space="0" w:color="auto"/>
              <w:bottom w:val="single" w:sz="4" w:space="0" w:color="auto"/>
              <w:right w:val="single" w:sz="4" w:space="0" w:color="auto"/>
            </w:tcBorders>
          </w:tcPr>
          <w:p w:rsidR="00647696" w:rsidRPr="00461D75" w:rsidRDefault="000648A3" w:rsidP="000D6F5C">
            <w:pPr>
              <w:rPr>
                <w:rFonts w:ascii="Arial" w:hAnsi="Arial" w:cs="Arial"/>
                <w:bCs/>
                <w:color w:val="000000"/>
              </w:rPr>
            </w:pPr>
            <w:r w:rsidRPr="000648A3">
              <w:rPr>
                <w:rFonts w:ascii="Arial" w:hAnsi="Arial" w:cs="Arial"/>
                <w:bCs/>
                <w:color w:val="000000"/>
              </w:rPr>
              <w:t>Roche  will continue to work with the PBAC to seek access at the earliest opportunity to pirfenidone for patients with IPF.</w:t>
            </w:r>
          </w:p>
        </w:tc>
      </w:tr>
      <w:tr w:rsidR="00647696" w:rsidRPr="00461D75" w:rsidTr="00E34312">
        <w:trPr>
          <w:trHeight w:val="547"/>
        </w:trPr>
        <w:tc>
          <w:tcPr>
            <w:tcW w:w="3085" w:type="dxa"/>
            <w:vMerge w:val="restart"/>
            <w:tcBorders>
              <w:top w:val="single" w:sz="4" w:space="0" w:color="auto"/>
              <w:left w:val="single" w:sz="4" w:space="0" w:color="auto"/>
              <w:right w:val="single" w:sz="4" w:space="0" w:color="auto"/>
            </w:tcBorders>
            <w:tcMar>
              <w:top w:w="28" w:type="dxa"/>
              <w:bottom w:w="28" w:type="dxa"/>
            </w:tcMar>
          </w:tcPr>
          <w:p w:rsidR="00E34312" w:rsidRDefault="00E34312" w:rsidP="000D6F5C">
            <w:pPr>
              <w:rPr>
                <w:rFonts w:ascii="Arial" w:hAnsi="Arial" w:cs="Arial"/>
                <w:color w:val="000000"/>
              </w:rPr>
            </w:pPr>
            <w:r>
              <w:rPr>
                <w:rFonts w:ascii="Arial" w:hAnsi="Arial" w:cs="Arial"/>
                <w:color w:val="000000"/>
              </w:rPr>
              <w:t>SOMATROPIN</w:t>
            </w:r>
            <w:r>
              <w:rPr>
                <w:rFonts w:ascii="Arial" w:hAnsi="Arial" w:cs="Arial"/>
                <w:color w:val="000000"/>
              </w:rPr>
              <w:br w:type="page"/>
            </w:r>
            <w:r>
              <w:rPr>
                <w:rFonts w:ascii="Arial" w:hAnsi="Arial" w:cs="Arial"/>
                <w:color w:val="000000"/>
              </w:rPr>
              <w:br w:type="page"/>
            </w:r>
          </w:p>
          <w:p w:rsidR="00E34312" w:rsidRDefault="00E34312" w:rsidP="000D6F5C">
            <w:pPr>
              <w:rPr>
                <w:rFonts w:ascii="Arial" w:hAnsi="Arial" w:cs="Arial"/>
                <w:color w:val="000000"/>
              </w:rPr>
            </w:pPr>
          </w:p>
          <w:p w:rsidR="00E34312" w:rsidRDefault="00E34312" w:rsidP="000D6F5C">
            <w:pPr>
              <w:rPr>
                <w:rFonts w:ascii="Arial" w:hAnsi="Arial" w:cs="Arial"/>
                <w:color w:val="000000"/>
              </w:rPr>
            </w:pPr>
            <w:r>
              <w:rPr>
                <w:rFonts w:ascii="Arial" w:hAnsi="Arial" w:cs="Arial"/>
                <w:color w:val="000000"/>
              </w:rPr>
              <w:t>All forms and strengths</w:t>
            </w:r>
          </w:p>
          <w:p w:rsidR="00E34312" w:rsidRDefault="00E34312" w:rsidP="000D6F5C">
            <w:pPr>
              <w:rPr>
                <w:rFonts w:ascii="Arial" w:hAnsi="Arial" w:cs="Arial"/>
                <w:color w:val="000000"/>
              </w:rPr>
            </w:pPr>
          </w:p>
          <w:p w:rsidR="00E34312" w:rsidRDefault="00E34312" w:rsidP="000D6F5C">
            <w:pPr>
              <w:rPr>
                <w:rFonts w:ascii="Arial" w:hAnsi="Arial" w:cs="Arial"/>
                <w:color w:val="000000"/>
              </w:rPr>
            </w:pPr>
            <w:r>
              <w:rPr>
                <w:rFonts w:ascii="Arial" w:hAnsi="Arial" w:cs="Arial"/>
                <w:color w:val="000000"/>
              </w:rPr>
              <w:br w:type="page"/>
            </w:r>
            <w:r>
              <w:rPr>
                <w:rFonts w:ascii="Arial" w:hAnsi="Arial" w:cs="Arial"/>
                <w:color w:val="000000"/>
              </w:rPr>
              <w:br w:type="page"/>
              <w:t>All brands</w:t>
            </w:r>
          </w:p>
          <w:p w:rsidR="00E34312" w:rsidRDefault="00E34312" w:rsidP="000D6F5C">
            <w:pPr>
              <w:rPr>
                <w:rFonts w:ascii="Arial" w:hAnsi="Arial" w:cs="Arial"/>
                <w:color w:val="000000"/>
              </w:rPr>
            </w:pPr>
          </w:p>
          <w:p w:rsidR="00E34312" w:rsidRDefault="00E34312" w:rsidP="000D6F5C">
            <w:pPr>
              <w:rPr>
                <w:rFonts w:ascii="Arial" w:hAnsi="Arial" w:cs="Arial"/>
                <w:color w:val="000000"/>
              </w:rPr>
            </w:pPr>
            <w:r>
              <w:rPr>
                <w:rFonts w:ascii="Arial" w:hAnsi="Arial" w:cs="Arial"/>
                <w:color w:val="000000"/>
              </w:rPr>
              <w:br w:type="page"/>
            </w:r>
            <w:r>
              <w:rPr>
                <w:rFonts w:ascii="Arial" w:hAnsi="Arial" w:cs="Arial"/>
                <w:color w:val="000000"/>
              </w:rPr>
              <w:br w:type="page"/>
              <w:t>Endocrine Society of Australia;</w:t>
            </w:r>
            <w:r>
              <w:rPr>
                <w:rFonts w:ascii="Arial" w:hAnsi="Arial" w:cs="Arial"/>
                <w:color w:val="000000"/>
              </w:rPr>
              <w:br w:type="page"/>
            </w:r>
          </w:p>
          <w:p w:rsidR="00647696" w:rsidRDefault="00E34312" w:rsidP="000D6F5C">
            <w:pPr>
              <w:rPr>
                <w:rFonts w:ascii="Arial" w:hAnsi="Arial" w:cs="Arial"/>
                <w:color w:val="000000"/>
              </w:rPr>
            </w:pPr>
            <w:r>
              <w:rPr>
                <w:rFonts w:ascii="Arial" w:hAnsi="Arial" w:cs="Arial"/>
                <w:color w:val="000000"/>
              </w:rPr>
              <w:t>Australian Paediatric Endocrine Group</w:t>
            </w:r>
          </w:p>
          <w:p w:rsidR="00EC5330" w:rsidRDefault="00EC5330" w:rsidP="000D6F5C">
            <w:pPr>
              <w:rPr>
                <w:rFonts w:ascii="Arial" w:hAnsi="Arial" w:cs="Arial"/>
                <w:color w:val="000000"/>
              </w:rPr>
            </w:pPr>
          </w:p>
          <w:p w:rsidR="00EC5330" w:rsidRDefault="00EC5330" w:rsidP="000D6F5C">
            <w:pPr>
              <w:rPr>
                <w:rFonts w:ascii="Arial" w:hAnsi="Arial" w:cs="Arial"/>
                <w:bCs/>
                <w:color w:val="000000"/>
              </w:rPr>
            </w:pPr>
            <w:r>
              <w:rPr>
                <w:rFonts w:ascii="Arial" w:hAnsi="Arial" w:cs="Arial"/>
                <w:bCs/>
                <w:color w:val="000000"/>
              </w:rPr>
              <w:t>Change to listing</w:t>
            </w:r>
          </w:p>
          <w:p w:rsidR="00EC5330" w:rsidRDefault="00EC5330" w:rsidP="000D6F5C">
            <w:pPr>
              <w:rPr>
                <w:rFonts w:ascii="Arial" w:hAnsi="Arial" w:cs="Arial"/>
                <w:bCs/>
                <w:color w:val="000000"/>
              </w:rPr>
            </w:pPr>
          </w:p>
          <w:p w:rsidR="00EC5330" w:rsidRPr="00363865" w:rsidRDefault="00EC5330" w:rsidP="000D6F5C">
            <w:pPr>
              <w:rPr>
                <w:rFonts w:ascii="Arial" w:hAnsi="Arial" w:cs="Arial"/>
                <w:bCs/>
                <w:color w:val="000000"/>
              </w:rPr>
            </w:pPr>
            <w:r>
              <w:rPr>
                <w:rFonts w:ascii="Arial" w:hAnsi="Arial" w:cs="Arial"/>
                <w:bCs/>
                <w:color w:val="000000"/>
              </w:rPr>
              <w:t>(Major submission)</w:t>
            </w:r>
          </w:p>
        </w:tc>
        <w:tc>
          <w:tcPr>
            <w:tcW w:w="2016" w:type="dxa"/>
            <w:vMerge w:val="restart"/>
            <w:tcBorders>
              <w:top w:val="single" w:sz="4" w:space="0" w:color="auto"/>
              <w:left w:val="single" w:sz="4" w:space="0" w:color="auto"/>
              <w:right w:val="single" w:sz="4" w:space="0" w:color="auto"/>
            </w:tcBorders>
            <w:tcMar>
              <w:top w:w="28" w:type="dxa"/>
              <w:bottom w:w="28" w:type="dxa"/>
            </w:tcMar>
          </w:tcPr>
          <w:p w:rsidR="00647696" w:rsidRPr="00363865" w:rsidRDefault="00E34312" w:rsidP="000D6F5C">
            <w:pPr>
              <w:rPr>
                <w:rFonts w:ascii="Arial" w:hAnsi="Arial" w:cs="Arial"/>
                <w:bCs/>
                <w:color w:val="000000"/>
              </w:rPr>
            </w:pPr>
            <w:r w:rsidRPr="00E34312">
              <w:rPr>
                <w:rFonts w:ascii="Arial" w:hAnsi="Arial" w:cs="Arial"/>
                <w:bCs/>
                <w:color w:val="000000"/>
              </w:rPr>
              <w:t>Severe growth hormone deficiency</w:t>
            </w:r>
          </w:p>
        </w:tc>
        <w:tc>
          <w:tcPr>
            <w:tcW w:w="2774" w:type="dxa"/>
            <w:tcBorders>
              <w:top w:val="single" w:sz="4" w:space="0" w:color="auto"/>
              <w:left w:val="single" w:sz="4" w:space="0" w:color="auto"/>
              <w:right w:val="single" w:sz="4" w:space="0" w:color="auto"/>
            </w:tcBorders>
            <w:tcMar>
              <w:top w:w="28" w:type="dxa"/>
              <w:bottom w:w="28" w:type="dxa"/>
            </w:tcMar>
          </w:tcPr>
          <w:p w:rsidR="00647696" w:rsidRPr="00363865" w:rsidRDefault="00E34312" w:rsidP="000D6F5C">
            <w:pPr>
              <w:rPr>
                <w:rFonts w:ascii="Arial" w:hAnsi="Arial" w:cs="Arial"/>
                <w:bCs/>
                <w:color w:val="000000"/>
              </w:rPr>
            </w:pPr>
            <w:r>
              <w:rPr>
                <w:rFonts w:ascii="Arial" w:hAnsi="Arial" w:cs="Arial"/>
                <w:color w:val="000000"/>
              </w:rPr>
              <w:t>Resubmission to request a Section 100 (Growth Hormone) Authority Required listing for the treatment of adults with severe growth hormone deficiency</w:t>
            </w:r>
            <w:r w:rsidR="00DC24DC">
              <w:rPr>
                <w:rFonts w:ascii="Arial" w:hAnsi="Arial" w:cs="Arial"/>
                <w:color w:val="000000"/>
              </w:rPr>
              <w:t xml:space="preserve"> (GHD)</w:t>
            </w:r>
            <w:r>
              <w:rPr>
                <w:rFonts w:ascii="Arial" w:hAnsi="Arial" w:cs="Arial"/>
                <w:color w:val="000000"/>
              </w:rPr>
              <w:t xml:space="preserve"> and substantially impaired quality of life </w:t>
            </w:r>
            <w:r w:rsidR="00DC24DC">
              <w:rPr>
                <w:rFonts w:ascii="Arial" w:hAnsi="Arial" w:cs="Arial"/>
                <w:color w:val="000000"/>
              </w:rPr>
              <w:t xml:space="preserve">(QoL) </w:t>
            </w:r>
            <w:r>
              <w:rPr>
                <w:rFonts w:ascii="Arial" w:hAnsi="Arial" w:cs="Arial"/>
                <w:color w:val="000000"/>
              </w:rPr>
              <w:t>at baseline.</w:t>
            </w:r>
          </w:p>
        </w:tc>
        <w:tc>
          <w:tcPr>
            <w:tcW w:w="6299" w:type="dxa"/>
            <w:tcBorders>
              <w:top w:val="single" w:sz="4" w:space="0" w:color="auto"/>
              <w:left w:val="single" w:sz="4" w:space="0" w:color="auto"/>
              <w:right w:val="single" w:sz="4" w:space="0" w:color="auto"/>
            </w:tcBorders>
          </w:tcPr>
          <w:p w:rsidR="00647696" w:rsidRPr="00461D75" w:rsidRDefault="00C46C29" w:rsidP="00DC24DC">
            <w:pPr>
              <w:rPr>
                <w:rFonts w:ascii="Arial" w:hAnsi="Arial" w:cs="Arial"/>
                <w:bCs/>
                <w:color w:val="000000"/>
              </w:rPr>
            </w:pPr>
            <w:r w:rsidRPr="00C46C29">
              <w:rPr>
                <w:rFonts w:ascii="Arial" w:hAnsi="Arial" w:cs="Arial"/>
                <w:bCs/>
                <w:color w:val="000000"/>
              </w:rPr>
              <w:t>The PBAC decided to defer making its decision on whether to list somatropin on the PBS for the treatment of adults with severe GHD and substantially impaired QoL at baseline. In making this decision, the PBAC considered that although there was a place for this drug in treatment of adults with severe GHD, the clinical benefit in terms of QoL was uncertain and the magnitude was likely overestimated.  The PBAC therefore considered that the cost-effectiveness of the somatropin for this indication was uncertain. The PBAC deferred its decision to seek further comparative analysis on the range of clinical benefits provided by somatropin, to clarify the proposed PBS restriction, and discuss pricing in this setting with sponsors of somatropin products registered for use in adults.</w:t>
            </w:r>
          </w:p>
        </w:tc>
      </w:tr>
      <w:tr w:rsidR="00647696" w:rsidRPr="00461D75" w:rsidTr="00E34312">
        <w:trPr>
          <w:trHeight w:val="499"/>
        </w:trPr>
        <w:tc>
          <w:tcPr>
            <w:tcW w:w="3085" w:type="dxa"/>
            <w:vMerge/>
            <w:tcBorders>
              <w:left w:val="single" w:sz="4" w:space="0" w:color="auto"/>
              <w:right w:val="single" w:sz="4" w:space="0" w:color="auto"/>
            </w:tcBorders>
            <w:tcMar>
              <w:top w:w="28" w:type="dxa"/>
              <w:bottom w:w="28" w:type="dxa"/>
            </w:tcMar>
          </w:tcPr>
          <w:p w:rsidR="00647696" w:rsidRPr="009074F0" w:rsidRDefault="00647696" w:rsidP="000D6F5C">
            <w:pPr>
              <w:rPr>
                <w:rFonts w:ascii="Arial" w:hAnsi="Arial" w:cs="Arial"/>
                <w:bCs/>
                <w:color w:val="000000"/>
              </w:rPr>
            </w:pPr>
          </w:p>
        </w:tc>
        <w:tc>
          <w:tcPr>
            <w:tcW w:w="2016" w:type="dxa"/>
            <w:vMerge/>
            <w:tcBorders>
              <w:left w:val="single" w:sz="4" w:space="0" w:color="auto"/>
              <w:right w:val="single" w:sz="4" w:space="0" w:color="auto"/>
            </w:tcBorders>
            <w:tcMar>
              <w:top w:w="28" w:type="dxa"/>
              <w:bottom w:w="28" w:type="dxa"/>
            </w:tcMar>
          </w:tcPr>
          <w:p w:rsidR="00647696" w:rsidRDefault="00647696" w:rsidP="000D6F5C">
            <w:pPr>
              <w:rPr>
                <w:rFonts w:ascii="Arial" w:hAnsi="Arial" w:cs="Arial"/>
                <w:bCs/>
                <w:color w:val="000000"/>
              </w:rPr>
            </w:pPr>
          </w:p>
        </w:tc>
        <w:tc>
          <w:tcPr>
            <w:tcW w:w="2774" w:type="dxa"/>
            <w:tcBorders>
              <w:top w:val="single" w:sz="4" w:space="0" w:color="auto"/>
              <w:left w:val="single" w:sz="4" w:space="0" w:color="auto"/>
              <w:right w:val="single" w:sz="4" w:space="0" w:color="auto"/>
            </w:tcBorders>
            <w:tcMar>
              <w:top w:w="28" w:type="dxa"/>
              <w:bottom w:w="28" w:type="dxa"/>
            </w:tcMar>
          </w:tcPr>
          <w:p w:rsidR="00647696" w:rsidRPr="00461D75" w:rsidRDefault="00A2694F" w:rsidP="000D6F5C">
            <w:pPr>
              <w:rPr>
                <w:rFonts w:ascii="Arial" w:hAnsi="Arial" w:cs="Arial"/>
                <w:bCs/>
                <w:color w:val="000000"/>
              </w:rPr>
            </w:pPr>
            <w:r>
              <w:rPr>
                <w:rFonts w:ascii="Arial" w:hAnsi="Arial" w:cs="Arial"/>
                <w:bCs/>
                <w:color w:val="000000"/>
              </w:rPr>
              <w:t>Sponsor</w:t>
            </w:r>
            <w:r w:rsidR="00A34E0C">
              <w:rPr>
                <w:rFonts w:ascii="Arial" w:hAnsi="Arial" w:cs="Arial"/>
                <w:bCs/>
                <w:color w:val="000000"/>
              </w:rPr>
              <w:t xml:space="preserve"> </w:t>
            </w:r>
            <w:r>
              <w:rPr>
                <w:rFonts w:ascii="Arial" w:hAnsi="Arial" w:cs="Arial"/>
                <w:bCs/>
                <w:color w:val="000000"/>
              </w:rPr>
              <w:t>Comment:</w:t>
            </w:r>
          </w:p>
        </w:tc>
        <w:tc>
          <w:tcPr>
            <w:tcW w:w="6299" w:type="dxa"/>
            <w:tcBorders>
              <w:left w:val="single" w:sz="4" w:space="0" w:color="auto"/>
              <w:bottom w:val="single" w:sz="4" w:space="0" w:color="auto"/>
              <w:right w:val="single" w:sz="4" w:space="0" w:color="auto"/>
            </w:tcBorders>
          </w:tcPr>
          <w:p w:rsidR="00647696" w:rsidRPr="00461D75" w:rsidRDefault="007343AB" w:rsidP="000D6F5C">
            <w:pPr>
              <w:rPr>
                <w:rFonts w:ascii="Arial" w:hAnsi="Arial" w:cs="Arial"/>
                <w:bCs/>
                <w:color w:val="000000"/>
              </w:rPr>
            </w:pPr>
            <w:r w:rsidRPr="007343AB">
              <w:rPr>
                <w:rFonts w:ascii="Arial" w:hAnsi="Arial" w:cs="Arial"/>
                <w:bCs/>
                <w:color w:val="000000"/>
              </w:rPr>
              <w:t>The ESA and APEG will continue to work with the PBAC and the Department to ensure somatropin is available to adults with severe growth hormone deficiency.</w:t>
            </w:r>
          </w:p>
        </w:tc>
      </w:tr>
      <w:tr w:rsidR="00647696" w:rsidRPr="00461D75" w:rsidTr="00E34312">
        <w:trPr>
          <w:trHeight w:val="547"/>
        </w:trPr>
        <w:tc>
          <w:tcPr>
            <w:tcW w:w="3085" w:type="dxa"/>
            <w:vMerge w:val="restart"/>
            <w:tcBorders>
              <w:top w:val="single" w:sz="4" w:space="0" w:color="auto"/>
              <w:left w:val="single" w:sz="4" w:space="0" w:color="auto"/>
              <w:right w:val="single" w:sz="4" w:space="0" w:color="auto"/>
            </w:tcBorders>
            <w:tcMar>
              <w:top w:w="28" w:type="dxa"/>
              <w:bottom w:w="28" w:type="dxa"/>
            </w:tcMar>
          </w:tcPr>
          <w:p w:rsidR="00E34312" w:rsidRPr="00E34312" w:rsidRDefault="00E34312" w:rsidP="000D6F5C">
            <w:pPr>
              <w:rPr>
                <w:rFonts w:ascii="Arial" w:hAnsi="Arial" w:cs="Arial"/>
                <w:bCs/>
                <w:color w:val="000000"/>
              </w:rPr>
            </w:pPr>
            <w:r w:rsidRPr="00E34312">
              <w:rPr>
                <w:rFonts w:ascii="Arial" w:hAnsi="Arial" w:cs="Arial"/>
                <w:bCs/>
                <w:color w:val="000000"/>
              </w:rPr>
              <w:t>TIOTROPIUM with OLODATEROL</w:t>
            </w:r>
          </w:p>
          <w:p w:rsidR="00E34312" w:rsidRPr="00E34312" w:rsidRDefault="00E34312" w:rsidP="000D6F5C">
            <w:pPr>
              <w:rPr>
                <w:rFonts w:ascii="Arial" w:hAnsi="Arial" w:cs="Arial"/>
                <w:bCs/>
                <w:color w:val="000000"/>
              </w:rPr>
            </w:pPr>
          </w:p>
          <w:p w:rsidR="00E34312" w:rsidRPr="00E34312" w:rsidRDefault="00E34312" w:rsidP="000D6F5C">
            <w:pPr>
              <w:rPr>
                <w:rFonts w:ascii="Arial" w:hAnsi="Arial" w:cs="Arial"/>
                <w:bCs/>
                <w:color w:val="000000"/>
              </w:rPr>
            </w:pPr>
            <w:r w:rsidRPr="00E34312">
              <w:rPr>
                <w:rFonts w:ascii="Arial" w:hAnsi="Arial" w:cs="Arial"/>
                <w:bCs/>
                <w:color w:val="000000"/>
              </w:rPr>
              <w:t xml:space="preserve">Solution for oral inhalation containing tiotropium 2.5 micrograms (as bromide </w:t>
            </w:r>
            <w:r w:rsidRPr="00E34312">
              <w:rPr>
                <w:rFonts w:ascii="Arial" w:hAnsi="Arial" w:cs="Arial"/>
                <w:bCs/>
                <w:color w:val="000000"/>
              </w:rPr>
              <w:lastRenderedPageBreak/>
              <w:t xml:space="preserve">monohydrate) with </w:t>
            </w:r>
            <w:proofErr w:type="spellStart"/>
            <w:r w:rsidRPr="00E34312">
              <w:rPr>
                <w:rFonts w:ascii="Arial" w:hAnsi="Arial" w:cs="Arial"/>
                <w:bCs/>
                <w:color w:val="000000"/>
              </w:rPr>
              <w:t>olodaterol</w:t>
            </w:r>
            <w:proofErr w:type="spellEnd"/>
            <w:r w:rsidRPr="00E34312">
              <w:rPr>
                <w:rFonts w:ascii="Arial" w:hAnsi="Arial" w:cs="Arial"/>
                <w:bCs/>
                <w:color w:val="000000"/>
              </w:rPr>
              <w:t xml:space="preserve"> 2.5 micrograms (as hydrochloride) per dose, 60 doses</w:t>
            </w:r>
          </w:p>
          <w:p w:rsidR="00E34312" w:rsidRPr="00E34312" w:rsidRDefault="00E34312" w:rsidP="000D6F5C">
            <w:pPr>
              <w:rPr>
                <w:rFonts w:ascii="Arial" w:hAnsi="Arial" w:cs="Arial"/>
                <w:bCs/>
                <w:color w:val="000000"/>
              </w:rPr>
            </w:pPr>
          </w:p>
          <w:p w:rsidR="00E34312" w:rsidRPr="00E34312" w:rsidRDefault="00E34312" w:rsidP="000D6F5C">
            <w:pPr>
              <w:rPr>
                <w:rFonts w:ascii="Arial" w:hAnsi="Arial" w:cs="Arial"/>
                <w:bCs/>
                <w:color w:val="000000"/>
              </w:rPr>
            </w:pPr>
            <w:proofErr w:type="spellStart"/>
            <w:r w:rsidRPr="00E34312">
              <w:rPr>
                <w:rFonts w:ascii="Arial" w:hAnsi="Arial" w:cs="Arial"/>
                <w:bCs/>
                <w:color w:val="000000"/>
              </w:rPr>
              <w:t>Spiolto</w:t>
            </w:r>
            <w:proofErr w:type="spellEnd"/>
            <w:r w:rsidRPr="00E34312">
              <w:rPr>
                <w:rFonts w:ascii="Arial" w:hAnsi="Arial" w:cs="Arial"/>
                <w:bCs/>
                <w:color w:val="000000"/>
              </w:rPr>
              <w:t xml:space="preserve">® </w:t>
            </w:r>
            <w:proofErr w:type="spellStart"/>
            <w:r w:rsidRPr="00E34312">
              <w:rPr>
                <w:rFonts w:ascii="Arial" w:hAnsi="Arial" w:cs="Arial"/>
                <w:bCs/>
                <w:color w:val="000000"/>
              </w:rPr>
              <w:t>Respimat</w:t>
            </w:r>
            <w:proofErr w:type="spellEnd"/>
            <w:r w:rsidRPr="00E34312">
              <w:rPr>
                <w:rFonts w:ascii="Arial" w:hAnsi="Arial" w:cs="Arial"/>
                <w:bCs/>
                <w:color w:val="000000"/>
              </w:rPr>
              <w:t>®</w:t>
            </w:r>
          </w:p>
          <w:p w:rsidR="00E34312" w:rsidRPr="00E34312" w:rsidRDefault="00E34312" w:rsidP="000D6F5C">
            <w:pPr>
              <w:rPr>
                <w:rFonts w:ascii="Arial" w:hAnsi="Arial" w:cs="Arial"/>
                <w:bCs/>
                <w:color w:val="000000"/>
              </w:rPr>
            </w:pPr>
          </w:p>
          <w:p w:rsidR="00647696" w:rsidRDefault="00E34312" w:rsidP="000D6F5C">
            <w:pPr>
              <w:rPr>
                <w:rFonts w:ascii="Arial" w:hAnsi="Arial" w:cs="Arial"/>
                <w:bCs/>
                <w:color w:val="000000"/>
              </w:rPr>
            </w:pPr>
            <w:proofErr w:type="spellStart"/>
            <w:r w:rsidRPr="00E34312">
              <w:rPr>
                <w:rFonts w:ascii="Arial" w:hAnsi="Arial" w:cs="Arial"/>
                <w:bCs/>
                <w:color w:val="000000"/>
              </w:rPr>
              <w:t>Boehringer</w:t>
            </w:r>
            <w:proofErr w:type="spellEnd"/>
            <w:r w:rsidRPr="00E34312">
              <w:rPr>
                <w:rFonts w:ascii="Arial" w:hAnsi="Arial" w:cs="Arial"/>
                <w:bCs/>
                <w:color w:val="000000"/>
              </w:rPr>
              <w:t xml:space="preserve"> </w:t>
            </w:r>
            <w:proofErr w:type="spellStart"/>
            <w:r w:rsidRPr="00E34312">
              <w:rPr>
                <w:rFonts w:ascii="Arial" w:hAnsi="Arial" w:cs="Arial"/>
                <w:bCs/>
                <w:color w:val="000000"/>
              </w:rPr>
              <w:t>Ingelheim</w:t>
            </w:r>
            <w:proofErr w:type="spellEnd"/>
            <w:r w:rsidRPr="00E34312">
              <w:rPr>
                <w:rFonts w:ascii="Arial" w:hAnsi="Arial" w:cs="Arial"/>
                <w:bCs/>
                <w:color w:val="000000"/>
              </w:rPr>
              <w:t xml:space="preserve"> Pty Ltd</w:t>
            </w:r>
          </w:p>
          <w:p w:rsidR="00EC5330" w:rsidRDefault="00EC5330" w:rsidP="000D6F5C">
            <w:pPr>
              <w:rPr>
                <w:rFonts w:ascii="Arial" w:hAnsi="Arial" w:cs="Arial"/>
                <w:bCs/>
                <w:color w:val="000000"/>
              </w:rPr>
            </w:pPr>
          </w:p>
          <w:p w:rsidR="00EC5330" w:rsidRDefault="00EC5330" w:rsidP="000D6F5C">
            <w:pPr>
              <w:rPr>
                <w:rFonts w:ascii="Arial" w:hAnsi="Arial" w:cs="Arial"/>
                <w:bCs/>
                <w:color w:val="000000"/>
              </w:rPr>
            </w:pPr>
            <w:r>
              <w:rPr>
                <w:rFonts w:ascii="Arial" w:hAnsi="Arial" w:cs="Arial"/>
                <w:bCs/>
                <w:color w:val="000000"/>
              </w:rPr>
              <w:t>Change to listing</w:t>
            </w:r>
          </w:p>
          <w:p w:rsidR="00EC5330" w:rsidRDefault="00EC5330" w:rsidP="000D6F5C">
            <w:pPr>
              <w:rPr>
                <w:rFonts w:ascii="Arial" w:hAnsi="Arial" w:cs="Arial"/>
                <w:bCs/>
                <w:color w:val="000000"/>
              </w:rPr>
            </w:pPr>
          </w:p>
          <w:p w:rsidR="00EC5330" w:rsidRPr="00363865" w:rsidRDefault="00EC5330" w:rsidP="000D6F5C">
            <w:pPr>
              <w:rPr>
                <w:rFonts w:ascii="Arial" w:hAnsi="Arial" w:cs="Arial"/>
                <w:bCs/>
                <w:color w:val="000000"/>
              </w:rPr>
            </w:pPr>
            <w:r>
              <w:rPr>
                <w:rFonts w:ascii="Arial" w:hAnsi="Arial" w:cs="Arial"/>
                <w:bCs/>
                <w:color w:val="000000"/>
              </w:rPr>
              <w:t>(Minor submission)</w:t>
            </w:r>
          </w:p>
        </w:tc>
        <w:tc>
          <w:tcPr>
            <w:tcW w:w="2016" w:type="dxa"/>
            <w:vMerge w:val="restart"/>
            <w:tcBorders>
              <w:top w:val="single" w:sz="4" w:space="0" w:color="auto"/>
              <w:left w:val="single" w:sz="4" w:space="0" w:color="auto"/>
              <w:right w:val="single" w:sz="4" w:space="0" w:color="auto"/>
            </w:tcBorders>
            <w:tcMar>
              <w:top w:w="28" w:type="dxa"/>
              <w:bottom w:w="28" w:type="dxa"/>
            </w:tcMar>
          </w:tcPr>
          <w:p w:rsidR="00647696" w:rsidRPr="00363865" w:rsidRDefault="00E34312" w:rsidP="000D6F5C">
            <w:pPr>
              <w:rPr>
                <w:rFonts w:ascii="Arial" w:hAnsi="Arial" w:cs="Arial"/>
                <w:bCs/>
                <w:color w:val="000000"/>
              </w:rPr>
            </w:pPr>
            <w:r w:rsidRPr="00E34312">
              <w:rPr>
                <w:rFonts w:ascii="Arial" w:hAnsi="Arial" w:cs="Arial"/>
                <w:bCs/>
                <w:color w:val="000000"/>
              </w:rPr>
              <w:lastRenderedPageBreak/>
              <w:t>Chronic obstructive pulmonary disease (COPD)</w:t>
            </w:r>
          </w:p>
        </w:tc>
        <w:tc>
          <w:tcPr>
            <w:tcW w:w="2774" w:type="dxa"/>
            <w:tcBorders>
              <w:top w:val="single" w:sz="4" w:space="0" w:color="auto"/>
              <w:left w:val="single" w:sz="4" w:space="0" w:color="auto"/>
              <w:right w:val="single" w:sz="4" w:space="0" w:color="auto"/>
            </w:tcBorders>
            <w:tcMar>
              <w:top w:w="28" w:type="dxa"/>
              <w:bottom w:w="28" w:type="dxa"/>
            </w:tcMar>
          </w:tcPr>
          <w:p w:rsidR="00647696" w:rsidRPr="00363865" w:rsidRDefault="00E34312" w:rsidP="000D6F5C">
            <w:pPr>
              <w:rPr>
                <w:rFonts w:ascii="Arial" w:hAnsi="Arial" w:cs="Arial"/>
                <w:bCs/>
                <w:color w:val="000000"/>
              </w:rPr>
            </w:pPr>
            <w:r w:rsidRPr="00E34312">
              <w:rPr>
                <w:rFonts w:ascii="Arial" w:hAnsi="Arial" w:cs="Arial"/>
                <w:bCs/>
                <w:color w:val="000000"/>
              </w:rPr>
              <w:t xml:space="preserve">To request a change to the current Authority Required (STREAMLINED) listing for </w:t>
            </w:r>
            <w:proofErr w:type="spellStart"/>
            <w:r w:rsidRPr="00E34312">
              <w:rPr>
                <w:rFonts w:ascii="Arial" w:hAnsi="Arial" w:cs="Arial"/>
                <w:bCs/>
                <w:color w:val="000000"/>
              </w:rPr>
              <w:t>tiotropium</w:t>
            </w:r>
            <w:proofErr w:type="spellEnd"/>
            <w:r w:rsidRPr="00E34312">
              <w:rPr>
                <w:rFonts w:ascii="Arial" w:hAnsi="Arial" w:cs="Arial"/>
                <w:bCs/>
                <w:color w:val="000000"/>
              </w:rPr>
              <w:t xml:space="preserve"> with </w:t>
            </w:r>
            <w:proofErr w:type="spellStart"/>
            <w:r w:rsidRPr="00E34312">
              <w:rPr>
                <w:rFonts w:ascii="Arial" w:hAnsi="Arial" w:cs="Arial"/>
                <w:bCs/>
                <w:color w:val="000000"/>
              </w:rPr>
              <w:t>olodaterol</w:t>
            </w:r>
            <w:proofErr w:type="spellEnd"/>
            <w:r w:rsidRPr="00E34312">
              <w:rPr>
                <w:rFonts w:ascii="Arial" w:hAnsi="Arial" w:cs="Arial"/>
                <w:bCs/>
                <w:color w:val="000000"/>
              </w:rPr>
              <w:t xml:space="preserve"> to include patients who have persistent COPD symptoms </w:t>
            </w:r>
            <w:r w:rsidRPr="00E34312">
              <w:rPr>
                <w:rFonts w:ascii="Arial" w:hAnsi="Arial" w:cs="Arial"/>
                <w:bCs/>
                <w:color w:val="000000"/>
              </w:rPr>
              <w:lastRenderedPageBreak/>
              <w:t xml:space="preserve">despite regular monotherapy with a long-acting muscarinic antagonist </w:t>
            </w:r>
            <w:r w:rsidR="000D6F5C">
              <w:rPr>
                <w:rFonts w:ascii="Arial" w:hAnsi="Arial" w:cs="Arial"/>
                <w:bCs/>
                <w:color w:val="000000"/>
              </w:rPr>
              <w:t xml:space="preserve">(LAMA) </w:t>
            </w:r>
            <w:r w:rsidRPr="00E34312">
              <w:rPr>
                <w:rFonts w:ascii="Arial" w:hAnsi="Arial" w:cs="Arial"/>
                <w:bCs/>
                <w:color w:val="000000"/>
              </w:rPr>
              <w:t>or a long-acting beta-2 agonist</w:t>
            </w:r>
            <w:r w:rsidR="000D6F5C">
              <w:rPr>
                <w:rFonts w:ascii="Arial" w:hAnsi="Arial" w:cs="Arial"/>
                <w:bCs/>
                <w:color w:val="000000"/>
              </w:rPr>
              <w:t xml:space="preserve"> (LABA)</w:t>
            </w:r>
            <w:r w:rsidRPr="00E34312">
              <w:rPr>
                <w:rFonts w:ascii="Arial" w:hAnsi="Arial" w:cs="Arial"/>
                <w:bCs/>
                <w:color w:val="000000"/>
              </w:rPr>
              <w:t>.</w:t>
            </w:r>
          </w:p>
        </w:tc>
        <w:tc>
          <w:tcPr>
            <w:tcW w:w="6299" w:type="dxa"/>
            <w:tcBorders>
              <w:top w:val="single" w:sz="4" w:space="0" w:color="auto"/>
              <w:left w:val="single" w:sz="4" w:space="0" w:color="auto"/>
              <w:right w:val="single" w:sz="4" w:space="0" w:color="auto"/>
            </w:tcBorders>
          </w:tcPr>
          <w:p w:rsidR="00647696" w:rsidRPr="00461D75" w:rsidRDefault="008733C0" w:rsidP="00EA34AB">
            <w:pPr>
              <w:rPr>
                <w:rFonts w:ascii="Arial" w:hAnsi="Arial" w:cs="Arial"/>
                <w:bCs/>
                <w:color w:val="000000"/>
              </w:rPr>
            </w:pPr>
            <w:r w:rsidRPr="008733C0">
              <w:rPr>
                <w:rFonts w:ascii="Arial" w:hAnsi="Arial" w:cs="Arial"/>
                <w:bCs/>
                <w:color w:val="000000"/>
              </w:rPr>
              <w:lastRenderedPageBreak/>
              <w:t xml:space="preserve">The PBAC decided to defer the proposed change to the Authority Required (STREAMLINED) listing for </w:t>
            </w:r>
            <w:proofErr w:type="spellStart"/>
            <w:r w:rsidRPr="008733C0">
              <w:rPr>
                <w:rFonts w:ascii="Arial" w:hAnsi="Arial" w:cs="Arial"/>
                <w:bCs/>
                <w:color w:val="000000"/>
              </w:rPr>
              <w:t>tiotropium</w:t>
            </w:r>
            <w:proofErr w:type="spellEnd"/>
            <w:r w:rsidRPr="008733C0">
              <w:rPr>
                <w:rFonts w:ascii="Arial" w:hAnsi="Arial" w:cs="Arial"/>
                <w:bCs/>
                <w:color w:val="000000"/>
              </w:rPr>
              <w:t xml:space="preserve"> with </w:t>
            </w:r>
            <w:proofErr w:type="spellStart"/>
            <w:r w:rsidRPr="008733C0">
              <w:rPr>
                <w:rFonts w:ascii="Arial" w:hAnsi="Arial" w:cs="Arial"/>
                <w:bCs/>
                <w:color w:val="000000"/>
              </w:rPr>
              <w:t>olodaterol</w:t>
            </w:r>
            <w:proofErr w:type="spellEnd"/>
            <w:r w:rsidRPr="008733C0">
              <w:rPr>
                <w:rFonts w:ascii="Arial" w:hAnsi="Arial" w:cs="Arial"/>
                <w:bCs/>
                <w:color w:val="000000"/>
              </w:rPr>
              <w:t xml:space="preserve"> fixed dose combination (FDC) to allow patients taking either a LAMA or LABA to move straight to the FDC. The PBAC noted, the current Post-Market Review of COPD medicines includes matters that will be relevant to this request. Therefore, the PBAC considered that it </w:t>
            </w:r>
            <w:r w:rsidRPr="008733C0">
              <w:rPr>
                <w:rFonts w:ascii="Arial" w:hAnsi="Arial" w:cs="Arial"/>
                <w:bCs/>
                <w:color w:val="000000"/>
              </w:rPr>
              <w:lastRenderedPageBreak/>
              <w:t>would be more appropriate to defer making a decision on this request until it has considered the Post-market Review of COPD medicines.</w:t>
            </w:r>
          </w:p>
        </w:tc>
      </w:tr>
      <w:tr w:rsidR="00647696" w:rsidRPr="00461D75" w:rsidTr="00E34312">
        <w:trPr>
          <w:trHeight w:val="499"/>
        </w:trPr>
        <w:tc>
          <w:tcPr>
            <w:tcW w:w="3085" w:type="dxa"/>
            <w:vMerge/>
            <w:tcBorders>
              <w:left w:val="single" w:sz="4" w:space="0" w:color="auto"/>
              <w:right w:val="single" w:sz="4" w:space="0" w:color="auto"/>
            </w:tcBorders>
            <w:tcMar>
              <w:top w:w="28" w:type="dxa"/>
              <w:bottom w:w="28" w:type="dxa"/>
            </w:tcMar>
          </w:tcPr>
          <w:p w:rsidR="00647696" w:rsidRPr="009074F0" w:rsidRDefault="00647696" w:rsidP="000D6F5C">
            <w:pPr>
              <w:rPr>
                <w:rFonts w:ascii="Arial" w:hAnsi="Arial" w:cs="Arial"/>
                <w:bCs/>
                <w:color w:val="000000"/>
              </w:rPr>
            </w:pPr>
          </w:p>
        </w:tc>
        <w:tc>
          <w:tcPr>
            <w:tcW w:w="2016" w:type="dxa"/>
            <w:vMerge/>
            <w:tcBorders>
              <w:left w:val="single" w:sz="4" w:space="0" w:color="auto"/>
              <w:right w:val="single" w:sz="4" w:space="0" w:color="auto"/>
            </w:tcBorders>
            <w:tcMar>
              <w:top w:w="28" w:type="dxa"/>
              <w:bottom w:w="28" w:type="dxa"/>
            </w:tcMar>
          </w:tcPr>
          <w:p w:rsidR="00647696" w:rsidRDefault="00647696" w:rsidP="000D6F5C">
            <w:pPr>
              <w:rPr>
                <w:rFonts w:ascii="Arial" w:hAnsi="Arial" w:cs="Arial"/>
                <w:bCs/>
                <w:color w:val="000000"/>
              </w:rPr>
            </w:pPr>
          </w:p>
        </w:tc>
        <w:tc>
          <w:tcPr>
            <w:tcW w:w="2774" w:type="dxa"/>
            <w:tcBorders>
              <w:top w:val="single" w:sz="4" w:space="0" w:color="auto"/>
              <w:left w:val="single" w:sz="4" w:space="0" w:color="auto"/>
              <w:right w:val="single" w:sz="4" w:space="0" w:color="auto"/>
            </w:tcBorders>
            <w:tcMar>
              <w:top w:w="28" w:type="dxa"/>
              <w:bottom w:w="28" w:type="dxa"/>
            </w:tcMar>
          </w:tcPr>
          <w:p w:rsidR="00647696" w:rsidRPr="00461D75" w:rsidRDefault="00A2694F" w:rsidP="000D6F5C">
            <w:pPr>
              <w:rPr>
                <w:rFonts w:ascii="Arial" w:hAnsi="Arial" w:cs="Arial"/>
                <w:bCs/>
                <w:color w:val="000000"/>
              </w:rPr>
            </w:pPr>
            <w:r w:rsidRPr="006A299F">
              <w:rPr>
                <w:rFonts w:ascii="Arial" w:hAnsi="Arial" w:cs="Arial"/>
                <w:bCs/>
                <w:color w:val="000000"/>
              </w:rPr>
              <w:t>Sponsor Comment:</w:t>
            </w:r>
          </w:p>
        </w:tc>
        <w:tc>
          <w:tcPr>
            <w:tcW w:w="6299" w:type="dxa"/>
            <w:tcBorders>
              <w:left w:val="single" w:sz="4" w:space="0" w:color="auto"/>
              <w:bottom w:val="single" w:sz="4" w:space="0" w:color="auto"/>
              <w:right w:val="single" w:sz="4" w:space="0" w:color="auto"/>
            </w:tcBorders>
          </w:tcPr>
          <w:p w:rsidR="00647696" w:rsidRPr="00461D75" w:rsidRDefault="006A299F" w:rsidP="000D6F5C">
            <w:pPr>
              <w:rPr>
                <w:rFonts w:ascii="Arial" w:hAnsi="Arial" w:cs="Arial"/>
                <w:bCs/>
                <w:color w:val="000000"/>
              </w:rPr>
            </w:pPr>
            <w:r w:rsidRPr="006A299F">
              <w:rPr>
                <w:rFonts w:ascii="Arial" w:hAnsi="Arial" w:cs="Arial"/>
                <w:bCs/>
                <w:color w:val="000000"/>
              </w:rPr>
              <w:t>The sponsor had no comment.</w:t>
            </w:r>
          </w:p>
        </w:tc>
      </w:tr>
      <w:tr w:rsidR="0008036D" w:rsidRPr="002E3A4B" w:rsidTr="002E66AC">
        <w:trPr>
          <w:trHeight w:val="405"/>
        </w:trPr>
        <w:tc>
          <w:tcPr>
            <w:tcW w:w="3085" w:type="dxa"/>
            <w:vMerge w:val="restart"/>
            <w:tcBorders>
              <w:top w:val="single" w:sz="4" w:space="0" w:color="auto"/>
              <w:left w:val="single" w:sz="4" w:space="0" w:color="auto"/>
              <w:right w:val="single" w:sz="4" w:space="0" w:color="auto"/>
            </w:tcBorders>
            <w:tcMar>
              <w:top w:w="28" w:type="dxa"/>
              <w:bottom w:w="28" w:type="dxa"/>
            </w:tcMar>
          </w:tcPr>
          <w:p w:rsidR="0008036D" w:rsidRPr="004C3D83" w:rsidRDefault="0008036D" w:rsidP="002E66AC">
            <w:pPr>
              <w:rPr>
                <w:rFonts w:ascii="Arial" w:hAnsi="Arial" w:cs="Arial"/>
                <w:bCs/>
                <w:color w:val="000000"/>
              </w:rPr>
            </w:pPr>
            <w:r w:rsidRPr="004C3D83">
              <w:rPr>
                <w:rFonts w:ascii="Arial" w:hAnsi="Arial" w:cs="Arial"/>
                <w:bCs/>
                <w:color w:val="000000"/>
              </w:rPr>
              <w:t>TOLVAPTAN</w:t>
            </w:r>
          </w:p>
          <w:p w:rsidR="0008036D" w:rsidRPr="004C3D83" w:rsidRDefault="0008036D" w:rsidP="002E66AC">
            <w:pPr>
              <w:rPr>
                <w:rFonts w:ascii="Arial" w:hAnsi="Arial" w:cs="Arial"/>
                <w:bCs/>
                <w:color w:val="000000"/>
              </w:rPr>
            </w:pPr>
          </w:p>
          <w:p w:rsidR="0008036D" w:rsidRPr="004C3D83" w:rsidRDefault="0008036D" w:rsidP="002E66AC">
            <w:pPr>
              <w:rPr>
                <w:rFonts w:ascii="Arial" w:hAnsi="Arial" w:cs="Arial"/>
                <w:bCs/>
                <w:color w:val="000000"/>
              </w:rPr>
            </w:pPr>
            <w:r w:rsidRPr="004C3D83">
              <w:rPr>
                <w:rFonts w:ascii="Arial" w:hAnsi="Arial" w:cs="Arial"/>
                <w:bCs/>
                <w:color w:val="000000"/>
              </w:rPr>
              <w:t>Tablet 15 mg</w:t>
            </w:r>
          </w:p>
          <w:p w:rsidR="0008036D" w:rsidRPr="004C3D83" w:rsidRDefault="0008036D" w:rsidP="002E66AC">
            <w:pPr>
              <w:rPr>
                <w:rFonts w:ascii="Arial" w:hAnsi="Arial" w:cs="Arial"/>
                <w:bCs/>
                <w:color w:val="000000"/>
              </w:rPr>
            </w:pPr>
            <w:r w:rsidRPr="004C3D83">
              <w:rPr>
                <w:rFonts w:ascii="Arial" w:hAnsi="Arial" w:cs="Arial"/>
                <w:bCs/>
                <w:color w:val="000000"/>
              </w:rPr>
              <w:t>Tablet 30 mg</w:t>
            </w:r>
          </w:p>
          <w:p w:rsidR="0008036D" w:rsidRPr="004C3D83" w:rsidRDefault="0008036D" w:rsidP="002E66AC">
            <w:pPr>
              <w:rPr>
                <w:rFonts w:ascii="Arial" w:hAnsi="Arial" w:cs="Arial"/>
                <w:bCs/>
                <w:color w:val="000000"/>
              </w:rPr>
            </w:pPr>
            <w:r w:rsidRPr="004C3D83">
              <w:rPr>
                <w:rFonts w:ascii="Arial" w:hAnsi="Arial" w:cs="Arial"/>
                <w:bCs/>
                <w:color w:val="000000"/>
              </w:rPr>
              <w:t>Pack containing 28 tablets 15 mg and 28 tablets 45 mg</w:t>
            </w:r>
          </w:p>
          <w:p w:rsidR="0008036D" w:rsidRPr="004C3D83" w:rsidRDefault="0008036D" w:rsidP="002E66AC">
            <w:pPr>
              <w:rPr>
                <w:rFonts w:ascii="Arial" w:hAnsi="Arial" w:cs="Arial"/>
                <w:bCs/>
                <w:color w:val="000000"/>
              </w:rPr>
            </w:pPr>
            <w:r w:rsidRPr="004C3D83">
              <w:rPr>
                <w:rFonts w:ascii="Arial" w:hAnsi="Arial" w:cs="Arial"/>
                <w:bCs/>
                <w:color w:val="000000"/>
              </w:rPr>
              <w:t>Pack containing 28 tablets 30 mg and 28 tablets 60 mg</w:t>
            </w:r>
          </w:p>
          <w:p w:rsidR="0008036D" w:rsidRPr="004C3D83" w:rsidRDefault="0008036D" w:rsidP="002E66AC">
            <w:pPr>
              <w:rPr>
                <w:rFonts w:ascii="Arial" w:hAnsi="Arial" w:cs="Arial"/>
                <w:bCs/>
                <w:color w:val="000000"/>
              </w:rPr>
            </w:pPr>
            <w:r w:rsidRPr="004C3D83">
              <w:rPr>
                <w:rFonts w:ascii="Arial" w:hAnsi="Arial" w:cs="Arial"/>
                <w:bCs/>
                <w:color w:val="000000"/>
              </w:rPr>
              <w:t>Pack containing 28 tablets 30 mg and 28 tablets 90 mg</w:t>
            </w:r>
          </w:p>
          <w:p w:rsidR="0008036D" w:rsidRPr="004C3D83" w:rsidRDefault="0008036D" w:rsidP="002E66AC">
            <w:pPr>
              <w:rPr>
                <w:rFonts w:ascii="Arial" w:hAnsi="Arial" w:cs="Arial"/>
                <w:bCs/>
                <w:color w:val="000000"/>
              </w:rPr>
            </w:pPr>
          </w:p>
          <w:p w:rsidR="0008036D" w:rsidRPr="004C3D83" w:rsidRDefault="0008036D" w:rsidP="002E66AC">
            <w:pPr>
              <w:rPr>
                <w:rFonts w:ascii="Arial" w:hAnsi="Arial" w:cs="Arial"/>
                <w:bCs/>
                <w:color w:val="000000"/>
              </w:rPr>
            </w:pPr>
            <w:proofErr w:type="spellStart"/>
            <w:r w:rsidRPr="004C3D83">
              <w:rPr>
                <w:rFonts w:ascii="Arial" w:hAnsi="Arial" w:cs="Arial"/>
                <w:bCs/>
                <w:color w:val="000000"/>
              </w:rPr>
              <w:t>Jinarc</w:t>
            </w:r>
            <w:proofErr w:type="spellEnd"/>
            <w:r w:rsidRPr="004C3D83">
              <w:rPr>
                <w:rFonts w:ascii="Arial" w:hAnsi="Arial" w:cs="Arial"/>
                <w:bCs/>
                <w:color w:val="000000"/>
              </w:rPr>
              <w:t>®</w:t>
            </w:r>
          </w:p>
          <w:p w:rsidR="0008036D" w:rsidRPr="004C3D83" w:rsidRDefault="0008036D" w:rsidP="002E66AC">
            <w:pPr>
              <w:rPr>
                <w:rFonts w:ascii="Arial" w:hAnsi="Arial" w:cs="Arial"/>
                <w:bCs/>
                <w:color w:val="000000"/>
              </w:rPr>
            </w:pPr>
          </w:p>
          <w:p w:rsidR="0008036D" w:rsidRPr="004C3D83" w:rsidRDefault="0008036D" w:rsidP="002E66AC">
            <w:pPr>
              <w:rPr>
                <w:rFonts w:ascii="Arial" w:hAnsi="Arial" w:cs="Arial"/>
                <w:bCs/>
                <w:color w:val="000000"/>
              </w:rPr>
            </w:pPr>
            <w:r w:rsidRPr="004C3D83">
              <w:rPr>
                <w:rFonts w:ascii="Arial" w:hAnsi="Arial" w:cs="Arial"/>
                <w:bCs/>
                <w:color w:val="000000"/>
              </w:rPr>
              <w:t>Otsuka Australia Pharmaceutical Pty Ltd</w:t>
            </w:r>
          </w:p>
          <w:p w:rsidR="0008036D" w:rsidRPr="004C3D83" w:rsidRDefault="0008036D" w:rsidP="002E66AC">
            <w:pPr>
              <w:rPr>
                <w:rFonts w:ascii="Arial" w:hAnsi="Arial" w:cs="Arial"/>
                <w:bCs/>
                <w:color w:val="000000"/>
              </w:rPr>
            </w:pPr>
          </w:p>
          <w:p w:rsidR="0008036D" w:rsidRPr="004C3D83" w:rsidRDefault="0008036D" w:rsidP="002E66AC">
            <w:pPr>
              <w:rPr>
                <w:rFonts w:ascii="Arial" w:hAnsi="Arial" w:cs="Arial"/>
                <w:bCs/>
                <w:color w:val="000000"/>
              </w:rPr>
            </w:pPr>
            <w:r w:rsidRPr="004C3D83">
              <w:rPr>
                <w:rFonts w:ascii="Arial" w:hAnsi="Arial" w:cs="Arial"/>
                <w:bCs/>
                <w:color w:val="000000"/>
              </w:rPr>
              <w:t>New listing</w:t>
            </w:r>
          </w:p>
          <w:p w:rsidR="0008036D" w:rsidRPr="004C3D83" w:rsidRDefault="0008036D" w:rsidP="002E66AC">
            <w:pPr>
              <w:rPr>
                <w:rFonts w:ascii="Arial" w:hAnsi="Arial" w:cs="Arial"/>
                <w:bCs/>
                <w:color w:val="000000"/>
              </w:rPr>
            </w:pPr>
          </w:p>
          <w:p w:rsidR="0008036D" w:rsidRPr="004C3D83" w:rsidRDefault="0008036D" w:rsidP="002E66AC">
            <w:pPr>
              <w:rPr>
                <w:rFonts w:ascii="Arial" w:hAnsi="Arial" w:cs="Arial"/>
                <w:bCs/>
                <w:color w:val="000000"/>
              </w:rPr>
            </w:pPr>
            <w:r w:rsidRPr="004C3D83">
              <w:rPr>
                <w:rFonts w:ascii="Arial" w:hAnsi="Arial" w:cs="Arial"/>
                <w:bCs/>
                <w:color w:val="000000"/>
              </w:rPr>
              <w:t>(Major submission)</w:t>
            </w:r>
          </w:p>
        </w:tc>
        <w:tc>
          <w:tcPr>
            <w:tcW w:w="2016" w:type="dxa"/>
            <w:vMerge w:val="restart"/>
            <w:tcBorders>
              <w:top w:val="single" w:sz="4" w:space="0" w:color="auto"/>
              <w:left w:val="single" w:sz="4" w:space="0" w:color="auto"/>
              <w:right w:val="single" w:sz="4" w:space="0" w:color="auto"/>
            </w:tcBorders>
            <w:tcMar>
              <w:top w:w="28" w:type="dxa"/>
              <w:bottom w:w="28" w:type="dxa"/>
            </w:tcMar>
          </w:tcPr>
          <w:p w:rsidR="0008036D" w:rsidRPr="004C3D83" w:rsidRDefault="0008036D" w:rsidP="002E66AC">
            <w:pPr>
              <w:rPr>
                <w:rFonts w:ascii="Arial" w:hAnsi="Arial" w:cs="Arial"/>
                <w:bCs/>
                <w:color w:val="000000"/>
              </w:rPr>
            </w:pPr>
            <w:r w:rsidRPr="004C3D83">
              <w:rPr>
                <w:rFonts w:ascii="Arial" w:hAnsi="Arial" w:cs="Arial"/>
                <w:bCs/>
                <w:color w:val="000000"/>
              </w:rPr>
              <w:t>Autosomal dominant polycystic kidney disease (ADPKD)</w:t>
            </w:r>
          </w:p>
        </w:tc>
        <w:tc>
          <w:tcPr>
            <w:tcW w:w="2774" w:type="dxa"/>
            <w:tcBorders>
              <w:top w:val="single" w:sz="4" w:space="0" w:color="auto"/>
              <w:left w:val="single" w:sz="4" w:space="0" w:color="auto"/>
              <w:bottom w:val="single" w:sz="4" w:space="0" w:color="auto"/>
              <w:right w:val="single" w:sz="4" w:space="0" w:color="auto"/>
            </w:tcBorders>
            <w:tcMar>
              <w:top w:w="28" w:type="dxa"/>
              <w:bottom w:w="28" w:type="dxa"/>
            </w:tcMar>
          </w:tcPr>
          <w:p w:rsidR="0008036D" w:rsidRPr="004C3D83" w:rsidRDefault="0008036D" w:rsidP="002E66AC">
            <w:pPr>
              <w:rPr>
                <w:rFonts w:ascii="Arial" w:hAnsi="Arial" w:cs="Arial"/>
                <w:bCs/>
                <w:color w:val="000000"/>
              </w:rPr>
            </w:pPr>
            <w:r w:rsidRPr="004C3D83">
              <w:rPr>
                <w:rFonts w:ascii="Arial" w:hAnsi="Arial" w:cs="Arial"/>
                <w:bCs/>
                <w:color w:val="000000"/>
              </w:rPr>
              <w:t>To request an Authority Required listing for the treatment of ADPKD.</w:t>
            </w:r>
          </w:p>
        </w:tc>
        <w:tc>
          <w:tcPr>
            <w:tcW w:w="6299" w:type="dxa"/>
            <w:tcBorders>
              <w:top w:val="single" w:sz="4" w:space="0" w:color="auto"/>
              <w:left w:val="single" w:sz="4" w:space="0" w:color="auto"/>
              <w:bottom w:val="single" w:sz="4" w:space="0" w:color="auto"/>
              <w:right w:val="single" w:sz="4" w:space="0" w:color="auto"/>
            </w:tcBorders>
          </w:tcPr>
          <w:p w:rsidR="0008036D" w:rsidRPr="004C3D83" w:rsidRDefault="0008036D" w:rsidP="002E66AC">
            <w:pPr>
              <w:rPr>
                <w:rFonts w:ascii="Arial" w:hAnsi="Arial" w:cs="Arial"/>
                <w:bCs/>
                <w:color w:val="000000"/>
              </w:rPr>
            </w:pPr>
            <w:r w:rsidRPr="004C3D83">
              <w:rPr>
                <w:rFonts w:ascii="Arial" w:hAnsi="Arial" w:cs="Arial"/>
                <w:bCs/>
                <w:color w:val="000000"/>
              </w:rPr>
              <w:t>The PBAC deferred consideration of this item until the TGA evaluation has further progressed.</w:t>
            </w:r>
          </w:p>
        </w:tc>
      </w:tr>
      <w:tr w:rsidR="0008036D" w:rsidRPr="002E3A4B" w:rsidTr="002E66AC">
        <w:trPr>
          <w:trHeight w:val="405"/>
        </w:trPr>
        <w:tc>
          <w:tcPr>
            <w:tcW w:w="3085" w:type="dxa"/>
            <w:vMerge/>
            <w:tcBorders>
              <w:left w:val="single" w:sz="4" w:space="0" w:color="auto"/>
              <w:bottom w:val="single" w:sz="4" w:space="0" w:color="auto"/>
              <w:right w:val="single" w:sz="4" w:space="0" w:color="auto"/>
            </w:tcBorders>
            <w:tcMar>
              <w:top w:w="28" w:type="dxa"/>
              <w:bottom w:w="28" w:type="dxa"/>
            </w:tcMar>
          </w:tcPr>
          <w:p w:rsidR="0008036D" w:rsidRPr="004C3D83" w:rsidRDefault="0008036D" w:rsidP="002E66AC">
            <w:pPr>
              <w:rPr>
                <w:rFonts w:ascii="Arial" w:hAnsi="Arial" w:cs="Arial"/>
                <w:bCs/>
                <w:color w:val="000000"/>
              </w:rPr>
            </w:pPr>
          </w:p>
        </w:tc>
        <w:tc>
          <w:tcPr>
            <w:tcW w:w="2016" w:type="dxa"/>
            <w:vMerge/>
            <w:tcBorders>
              <w:left w:val="single" w:sz="4" w:space="0" w:color="auto"/>
              <w:bottom w:val="single" w:sz="4" w:space="0" w:color="auto"/>
              <w:right w:val="single" w:sz="4" w:space="0" w:color="auto"/>
            </w:tcBorders>
            <w:tcMar>
              <w:top w:w="28" w:type="dxa"/>
              <w:bottom w:w="28" w:type="dxa"/>
            </w:tcMar>
          </w:tcPr>
          <w:p w:rsidR="0008036D" w:rsidRPr="004C3D83" w:rsidRDefault="0008036D" w:rsidP="002E66AC">
            <w:pPr>
              <w:rPr>
                <w:rFonts w:ascii="Arial" w:hAnsi="Arial" w:cs="Arial"/>
                <w:bCs/>
                <w:color w:val="000000"/>
              </w:rPr>
            </w:pPr>
          </w:p>
        </w:tc>
        <w:tc>
          <w:tcPr>
            <w:tcW w:w="2774" w:type="dxa"/>
            <w:tcBorders>
              <w:top w:val="single" w:sz="4" w:space="0" w:color="auto"/>
              <w:left w:val="single" w:sz="4" w:space="0" w:color="auto"/>
              <w:bottom w:val="single" w:sz="4" w:space="0" w:color="auto"/>
              <w:right w:val="single" w:sz="4" w:space="0" w:color="auto"/>
            </w:tcBorders>
            <w:tcMar>
              <w:top w:w="28" w:type="dxa"/>
              <w:bottom w:w="28" w:type="dxa"/>
            </w:tcMar>
          </w:tcPr>
          <w:p w:rsidR="0008036D" w:rsidRPr="004C3D83" w:rsidRDefault="0008036D" w:rsidP="002E66AC">
            <w:pPr>
              <w:rPr>
                <w:rFonts w:ascii="Arial" w:hAnsi="Arial" w:cs="Arial"/>
                <w:bCs/>
                <w:color w:val="000000"/>
              </w:rPr>
            </w:pPr>
            <w:r w:rsidRPr="004C3D83">
              <w:rPr>
                <w:rFonts w:ascii="Arial" w:hAnsi="Arial" w:cs="Arial"/>
                <w:bCs/>
                <w:color w:val="000000"/>
              </w:rPr>
              <w:t>Sponsor Comment:</w:t>
            </w:r>
          </w:p>
        </w:tc>
        <w:tc>
          <w:tcPr>
            <w:tcW w:w="6299" w:type="dxa"/>
            <w:tcBorders>
              <w:top w:val="single" w:sz="4" w:space="0" w:color="auto"/>
              <w:left w:val="single" w:sz="4" w:space="0" w:color="auto"/>
              <w:bottom w:val="single" w:sz="4" w:space="0" w:color="auto"/>
              <w:right w:val="single" w:sz="4" w:space="0" w:color="auto"/>
            </w:tcBorders>
          </w:tcPr>
          <w:p w:rsidR="0008036D" w:rsidRPr="004C3D83" w:rsidRDefault="0008036D" w:rsidP="002E66AC">
            <w:pPr>
              <w:autoSpaceDE w:val="0"/>
              <w:autoSpaceDN w:val="0"/>
              <w:rPr>
                <w:rFonts w:ascii="Arial" w:hAnsi="Arial" w:cs="Arial"/>
                <w:bCs/>
                <w:color w:val="000000"/>
              </w:rPr>
            </w:pPr>
            <w:r w:rsidRPr="004C3D83">
              <w:rPr>
                <w:rFonts w:ascii="Arial" w:hAnsi="Arial" w:cs="Arial"/>
                <w:bCs/>
                <w:color w:val="000000"/>
              </w:rPr>
              <w:t xml:space="preserve">Whilst disappointed by the deferral, Otsuka Australia Pharmaceutical look forward to the PBAC consideration of </w:t>
            </w:r>
            <w:proofErr w:type="spellStart"/>
            <w:r w:rsidRPr="004C3D83">
              <w:rPr>
                <w:rFonts w:ascii="Arial" w:hAnsi="Arial" w:cs="Arial"/>
                <w:bCs/>
                <w:color w:val="000000"/>
              </w:rPr>
              <w:t>tolvaptan</w:t>
            </w:r>
            <w:proofErr w:type="spellEnd"/>
            <w:r w:rsidRPr="004C3D83">
              <w:rPr>
                <w:rFonts w:ascii="Arial" w:hAnsi="Arial" w:cs="Arial"/>
                <w:bCs/>
                <w:color w:val="000000"/>
              </w:rPr>
              <w:t xml:space="preserve"> for ADPKD at its March 2017 meeting.</w:t>
            </w:r>
          </w:p>
          <w:p w:rsidR="0008036D" w:rsidRPr="004C3D83" w:rsidRDefault="0008036D" w:rsidP="002E66AC">
            <w:pPr>
              <w:rPr>
                <w:rFonts w:ascii="Arial" w:hAnsi="Arial" w:cs="Arial"/>
                <w:bCs/>
                <w:color w:val="000000"/>
              </w:rPr>
            </w:pPr>
          </w:p>
        </w:tc>
      </w:tr>
      <w:tr w:rsidR="00E34312" w:rsidRPr="00461D75" w:rsidTr="005528FF">
        <w:trPr>
          <w:trHeight w:val="547"/>
        </w:trPr>
        <w:tc>
          <w:tcPr>
            <w:tcW w:w="3085" w:type="dxa"/>
            <w:vMerge w:val="restart"/>
            <w:tcBorders>
              <w:top w:val="single" w:sz="4" w:space="0" w:color="auto"/>
              <w:left w:val="single" w:sz="4" w:space="0" w:color="auto"/>
              <w:right w:val="single" w:sz="4" w:space="0" w:color="auto"/>
            </w:tcBorders>
            <w:tcMar>
              <w:top w:w="28" w:type="dxa"/>
              <w:bottom w:w="28" w:type="dxa"/>
            </w:tcMar>
          </w:tcPr>
          <w:p w:rsidR="00E34312" w:rsidRPr="00E34312" w:rsidRDefault="00E34312" w:rsidP="000D6F5C">
            <w:pPr>
              <w:rPr>
                <w:rFonts w:ascii="Arial" w:hAnsi="Arial" w:cs="Arial"/>
                <w:bCs/>
                <w:color w:val="000000"/>
              </w:rPr>
            </w:pPr>
            <w:r w:rsidRPr="00E34312">
              <w:rPr>
                <w:rFonts w:ascii="Arial" w:hAnsi="Arial" w:cs="Arial"/>
                <w:bCs/>
                <w:color w:val="000000"/>
              </w:rPr>
              <w:lastRenderedPageBreak/>
              <w:t>VORINOSTAT</w:t>
            </w:r>
          </w:p>
          <w:p w:rsidR="00E34312" w:rsidRPr="00E34312" w:rsidRDefault="00E34312" w:rsidP="000D6F5C">
            <w:pPr>
              <w:rPr>
                <w:rFonts w:ascii="Arial" w:hAnsi="Arial" w:cs="Arial"/>
                <w:bCs/>
                <w:color w:val="000000"/>
              </w:rPr>
            </w:pPr>
          </w:p>
          <w:p w:rsidR="00E34312" w:rsidRPr="00E34312" w:rsidRDefault="00E34312" w:rsidP="000D6F5C">
            <w:pPr>
              <w:rPr>
                <w:rFonts w:ascii="Arial" w:hAnsi="Arial" w:cs="Arial"/>
                <w:bCs/>
                <w:color w:val="000000"/>
              </w:rPr>
            </w:pPr>
            <w:r w:rsidRPr="00E34312">
              <w:rPr>
                <w:rFonts w:ascii="Arial" w:hAnsi="Arial" w:cs="Arial"/>
                <w:bCs/>
                <w:color w:val="000000"/>
              </w:rPr>
              <w:t>Capsule 100 mg</w:t>
            </w:r>
          </w:p>
          <w:p w:rsidR="00E34312" w:rsidRPr="00E34312" w:rsidRDefault="00E34312" w:rsidP="000D6F5C">
            <w:pPr>
              <w:rPr>
                <w:rFonts w:ascii="Arial" w:hAnsi="Arial" w:cs="Arial"/>
                <w:bCs/>
                <w:color w:val="000000"/>
              </w:rPr>
            </w:pPr>
          </w:p>
          <w:p w:rsidR="00E34312" w:rsidRPr="00E34312" w:rsidRDefault="00E34312" w:rsidP="000D6F5C">
            <w:pPr>
              <w:rPr>
                <w:rFonts w:ascii="Arial" w:hAnsi="Arial" w:cs="Arial"/>
                <w:bCs/>
                <w:color w:val="000000"/>
              </w:rPr>
            </w:pPr>
            <w:proofErr w:type="spellStart"/>
            <w:r w:rsidRPr="00E34312">
              <w:rPr>
                <w:rFonts w:ascii="Arial" w:hAnsi="Arial" w:cs="Arial"/>
                <w:bCs/>
                <w:color w:val="000000"/>
              </w:rPr>
              <w:t>Zolinza</w:t>
            </w:r>
            <w:proofErr w:type="spellEnd"/>
            <w:r w:rsidRPr="00E34312">
              <w:rPr>
                <w:rFonts w:ascii="Arial" w:hAnsi="Arial" w:cs="Arial"/>
                <w:bCs/>
                <w:color w:val="000000"/>
              </w:rPr>
              <w:t xml:space="preserve">® </w:t>
            </w:r>
          </w:p>
          <w:p w:rsidR="00E34312" w:rsidRPr="00E34312" w:rsidRDefault="00E34312" w:rsidP="000D6F5C">
            <w:pPr>
              <w:rPr>
                <w:rFonts w:ascii="Arial" w:hAnsi="Arial" w:cs="Arial"/>
                <w:bCs/>
                <w:color w:val="000000"/>
              </w:rPr>
            </w:pPr>
          </w:p>
          <w:p w:rsidR="00E34312" w:rsidRDefault="00735F3E" w:rsidP="000D6F5C">
            <w:pPr>
              <w:rPr>
                <w:rFonts w:ascii="Arial" w:hAnsi="Arial" w:cs="Arial"/>
                <w:bCs/>
                <w:color w:val="000000"/>
              </w:rPr>
            </w:pPr>
            <w:r w:rsidRPr="00735F3E">
              <w:rPr>
                <w:rFonts w:ascii="Arial" w:hAnsi="Arial" w:cs="Arial"/>
                <w:bCs/>
                <w:color w:val="000000"/>
              </w:rPr>
              <w:t xml:space="preserve">Merck Sharp &amp; Dohme (Australia) Pty Ltd </w:t>
            </w:r>
            <w:r>
              <w:rPr>
                <w:rFonts w:ascii="Arial" w:hAnsi="Arial" w:cs="Arial"/>
                <w:bCs/>
                <w:color w:val="000000"/>
              </w:rPr>
              <w:t xml:space="preserve">(submitted by </w:t>
            </w:r>
            <w:r w:rsidR="00E34312" w:rsidRPr="00E34312">
              <w:rPr>
                <w:rFonts w:ascii="Arial" w:hAnsi="Arial" w:cs="Arial"/>
                <w:bCs/>
                <w:color w:val="000000"/>
              </w:rPr>
              <w:t>Rare Cancers Australia</w:t>
            </w:r>
            <w:r>
              <w:rPr>
                <w:rFonts w:ascii="Arial" w:hAnsi="Arial" w:cs="Arial"/>
                <w:bCs/>
                <w:color w:val="000000"/>
              </w:rPr>
              <w:t>)</w:t>
            </w:r>
          </w:p>
          <w:p w:rsidR="00EC5330" w:rsidRDefault="00EC5330" w:rsidP="000D6F5C">
            <w:pPr>
              <w:rPr>
                <w:rFonts w:ascii="Arial" w:hAnsi="Arial" w:cs="Arial"/>
                <w:bCs/>
                <w:color w:val="000000"/>
              </w:rPr>
            </w:pPr>
          </w:p>
          <w:p w:rsidR="00EC5330" w:rsidRDefault="00EC5330" w:rsidP="000D6F5C">
            <w:pPr>
              <w:rPr>
                <w:rFonts w:ascii="Arial" w:hAnsi="Arial" w:cs="Arial"/>
                <w:bCs/>
                <w:color w:val="000000"/>
              </w:rPr>
            </w:pPr>
            <w:r>
              <w:rPr>
                <w:rFonts w:ascii="Arial" w:hAnsi="Arial" w:cs="Arial"/>
                <w:bCs/>
                <w:color w:val="000000"/>
              </w:rPr>
              <w:t>New listing</w:t>
            </w:r>
          </w:p>
          <w:p w:rsidR="00EC5330" w:rsidRDefault="00EC5330" w:rsidP="000D6F5C">
            <w:pPr>
              <w:rPr>
                <w:rFonts w:ascii="Arial" w:hAnsi="Arial" w:cs="Arial"/>
                <w:bCs/>
                <w:color w:val="000000"/>
              </w:rPr>
            </w:pPr>
          </w:p>
          <w:p w:rsidR="00EC5330" w:rsidRPr="00363865" w:rsidRDefault="00EC5330" w:rsidP="000D6F5C">
            <w:pPr>
              <w:rPr>
                <w:rFonts w:ascii="Arial" w:hAnsi="Arial" w:cs="Arial"/>
                <w:bCs/>
                <w:color w:val="000000"/>
              </w:rPr>
            </w:pPr>
            <w:r>
              <w:rPr>
                <w:rFonts w:ascii="Arial" w:hAnsi="Arial" w:cs="Arial"/>
                <w:bCs/>
                <w:color w:val="000000"/>
              </w:rPr>
              <w:t>(Major submission)</w:t>
            </w:r>
          </w:p>
        </w:tc>
        <w:tc>
          <w:tcPr>
            <w:tcW w:w="2016" w:type="dxa"/>
            <w:vMerge w:val="restart"/>
            <w:tcBorders>
              <w:top w:val="single" w:sz="4" w:space="0" w:color="auto"/>
              <w:left w:val="single" w:sz="4" w:space="0" w:color="auto"/>
              <w:right w:val="single" w:sz="4" w:space="0" w:color="auto"/>
            </w:tcBorders>
            <w:tcMar>
              <w:top w:w="28" w:type="dxa"/>
              <w:bottom w:w="28" w:type="dxa"/>
            </w:tcMar>
          </w:tcPr>
          <w:p w:rsidR="00E34312" w:rsidRPr="00363865" w:rsidRDefault="00E34312" w:rsidP="000D6F5C">
            <w:pPr>
              <w:rPr>
                <w:rFonts w:ascii="Arial" w:hAnsi="Arial" w:cs="Arial"/>
                <w:bCs/>
                <w:color w:val="000000"/>
              </w:rPr>
            </w:pPr>
            <w:r w:rsidRPr="00E34312">
              <w:rPr>
                <w:rFonts w:ascii="Arial" w:hAnsi="Arial" w:cs="Arial"/>
                <w:bCs/>
                <w:color w:val="000000"/>
              </w:rPr>
              <w:t>Relapsed or refractory cutaneous T-cell lymphoma</w:t>
            </w:r>
          </w:p>
        </w:tc>
        <w:tc>
          <w:tcPr>
            <w:tcW w:w="2774" w:type="dxa"/>
            <w:tcBorders>
              <w:top w:val="single" w:sz="4" w:space="0" w:color="auto"/>
              <w:left w:val="single" w:sz="4" w:space="0" w:color="auto"/>
              <w:right w:val="single" w:sz="4" w:space="0" w:color="auto"/>
            </w:tcBorders>
            <w:tcMar>
              <w:top w:w="28" w:type="dxa"/>
              <w:bottom w:w="28" w:type="dxa"/>
            </w:tcMar>
          </w:tcPr>
          <w:p w:rsidR="00E34312" w:rsidRPr="00363865" w:rsidRDefault="00E34312" w:rsidP="000D6F5C">
            <w:pPr>
              <w:rPr>
                <w:rFonts w:ascii="Arial" w:hAnsi="Arial" w:cs="Arial"/>
                <w:bCs/>
                <w:color w:val="000000"/>
              </w:rPr>
            </w:pPr>
            <w:r w:rsidRPr="00E34312">
              <w:rPr>
                <w:rFonts w:ascii="Arial" w:hAnsi="Arial" w:cs="Arial"/>
                <w:bCs/>
                <w:color w:val="000000"/>
              </w:rPr>
              <w:t>Resubmission to request an Authority Required listing for the treatment of relapsed or chemotherapy refractory cutaneous T-cell lymphoma.</w:t>
            </w:r>
          </w:p>
        </w:tc>
        <w:tc>
          <w:tcPr>
            <w:tcW w:w="6299" w:type="dxa"/>
            <w:tcBorders>
              <w:top w:val="single" w:sz="4" w:space="0" w:color="auto"/>
              <w:left w:val="single" w:sz="4" w:space="0" w:color="auto"/>
              <w:right w:val="single" w:sz="4" w:space="0" w:color="auto"/>
            </w:tcBorders>
          </w:tcPr>
          <w:p w:rsidR="00D66A4B" w:rsidRPr="00D66A4B" w:rsidRDefault="00D66A4B" w:rsidP="00D66A4B">
            <w:pPr>
              <w:jc w:val="both"/>
              <w:rPr>
                <w:rFonts w:ascii="Arial" w:hAnsi="Arial" w:cs="Arial"/>
                <w:snapToGrid w:val="0"/>
                <w:lang w:eastAsia="en-US"/>
              </w:rPr>
            </w:pPr>
            <w:r w:rsidRPr="00D66A4B">
              <w:rPr>
                <w:rFonts w:ascii="Arial" w:hAnsi="Arial" w:cs="Arial"/>
                <w:snapToGrid w:val="0"/>
                <w:lang w:eastAsia="en-US"/>
              </w:rPr>
              <w:t xml:space="preserve">The PBAC deferred its decision on whether to recommend the Authority Required listing of vorinostat for the treatment of cutaneous T-cell lymphoma. The PBAC considered that the uncertainty of the cost-effectiveness analysis presented in the previous submission was diminished in the context of a substantial price reduction offered in the resubmission. The PBAC then considered that given the high and unmet clinical need in a small group of patients, the reasonable evidence of some clinical benefit, and the modest overall financial impact, it would be appropriate to seek further clarification from the sponsor regarding the financial impact of listing on the PBS, specifically, the patient numbers and an agreement </w:t>
            </w:r>
            <w:r w:rsidR="00161D7D">
              <w:rPr>
                <w:rFonts w:ascii="Arial" w:hAnsi="Arial" w:cs="Arial"/>
                <w:snapToGrid w:val="0"/>
                <w:lang w:eastAsia="en-US"/>
              </w:rPr>
              <w:t>for a</w:t>
            </w:r>
            <w:r w:rsidRPr="00D66A4B">
              <w:rPr>
                <w:rFonts w:ascii="Arial" w:hAnsi="Arial" w:cs="Arial"/>
                <w:snapToGrid w:val="0"/>
                <w:lang w:eastAsia="en-US"/>
              </w:rPr>
              <w:t xml:space="preserve"> Risk Sharing Arrangement.</w:t>
            </w:r>
          </w:p>
          <w:p w:rsidR="00E34312" w:rsidRPr="00461D75" w:rsidRDefault="00E34312" w:rsidP="000D6F5C">
            <w:pPr>
              <w:rPr>
                <w:rFonts w:ascii="Arial" w:hAnsi="Arial" w:cs="Arial"/>
                <w:bCs/>
                <w:color w:val="000000"/>
              </w:rPr>
            </w:pPr>
          </w:p>
        </w:tc>
      </w:tr>
      <w:tr w:rsidR="00E34312" w:rsidRPr="00461D75" w:rsidTr="005528FF">
        <w:trPr>
          <w:trHeight w:val="499"/>
        </w:trPr>
        <w:tc>
          <w:tcPr>
            <w:tcW w:w="3085" w:type="dxa"/>
            <w:vMerge/>
            <w:tcBorders>
              <w:left w:val="single" w:sz="4" w:space="0" w:color="auto"/>
              <w:right w:val="single" w:sz="4" w:space="0" w:color="auto"/>
            </w:tcBorders>
            <w:tcMar>
              <w:top w:w="28" w:type="dxa"/>
              <w:bottom w:w="28" w:type="dxa"/>
            </w:tcMar>
          </w:tcPr>
          <w:p w:rsidR="00E34312" w:rsidRPr="009074F0" w:rsidRDefault="00E34312" w:rsidP="000D6F5C">
            <w:pPr>
              <w:rPr>
                <w:rFonts w:ascii="Arial" w:hAnsi="Arial" w:cs="Arial"/>
                <w:bCs/>
                <w:color w:val="000000"/>
              </w:rPr>
            </w:pPr>
          </w:p>
        </w:tc>
        <w:tc>
          <w:tcPr>
            <w:tcW w:w="2016" w:type="dxa"/>
            <w:vMerge/>
            <w:tcBorders>
              <w:left w:val="single" w:sz="4" w:space="0" w:color="auto"/>
              <w:right w:val="single" w:sz="4" w:space="0" w:color="auto"/>
            </w:tcBorders>
            <w:tcMar>
              <w:top w:w="28" w:type="dxa"/>
              <w:bottom w:w="28" w:type="dxa"/>
            </w:tcMar>
          </w:tcPr>
          <w:p w:rsidR="00E34312" w:rsidRDefault="00E34312" w:rsidP="000D6F5C">
            <w:pPr>
              <w:rPr>
                <w:rFonts w:ascii="Arial" w:hAnsi="Arial" w:cs="Arial"/>
                <w:bCs/>
                <w:color w:val="000000"/>
              </w:rPr>
            </w:pPr>
          </w:p>
        </w:tc>
        <w:tc>
          <w:tcPr>
            <w:tcW w:w="2774" w:type="dxa"/>
            <w:tcBorders>
              <w:top w:val="single" w:sz="4" w:space="0" w:color="auto"/>
              <w:left w:val="single" w:sz="4" w:space="0" w:color="auto"/>
              <w:right w:val="single" w:sz="4" w:space="0" w:color="auto"/>
            </w:tcBorders>
            <w:tcMar>
              <w:top w:w="28" w:type="dxa"/>
              <w:bottom w:w="28" w:type="dxa"/>
            </w:tcMar>
          </w:tcPr>
          <w:p w:rsidR="00E34312" w:rsidRPr="00461D75" w:rsidRDefault="00A2694F" w:rsidP="000D6F5C">
            <w:pPr>
              <w:rPr>
                <w:rFonts w:ascii="Arial" w:hAnsi="Arial" w:cs="Arial"/>
                <w:bCs/>
                <w:color w:val="000000"/>
              </w:rPr>
            </w:pPr>
            <w:r w:rsidRPr="006A299F">
              <w:rPr>
                <w:rFonts w:ascii="Arial" w:hAnsi="Arial" w:cs="Arial"/>
                <w:bCs/>
                <w:color w:val="000000"/>
              </w:rPr>
              <w:t>Sponsor Comment:</w:t>
            </w:r>
          </w:p>
        </w:tc>
        <w:tc>
          <w:tcPr>
            <w:tcW w:w="6299" w:type="dxa"/>
            <w:tcBorders>
              <w:left w:val="single" w:sz="4" w:space="0" w:color="auto"/>
              <w:bottom w:val="single" w:sz="4" w:space="0" w:color="auto"/>
              <w:right w:val="single" w:sz="4" w:space="0" w:color="auto"/>
            </w:tcBorders>
          </w:tcPr>
          <w:p w:rsidR="00E34312" w:rsidRPr="00461D75" w:rsidRDefault="00550325" w:rsidP="000D6F5C">
            <w:pPr>
              <w:rPr>
                <w:rFonts w:ascii="Arial" w:hAnsi="Arial" w:cs="Arial"/>
                <w:bCs/>
                <w:color w:val="000000"/>
              </w:rPr>
            </w:pPr>
            <w:r w:rsidRPr="00550325">
              <w:rPr>
                <w:rFonts w:ascii="Arial" w:hAnsi="Arial" w:cs="Arial"/>
                <w:iCs/>
              </w:rPr>
              <w:t xml:space="preserve">Rare Cancers Australia (RCA) is greatly encouraged by the PBAC’s decision to defer its recommendation regarding </w:t>
            </w:r>
            <w:proofErr w:type="spellStart"/>
            <w:r w:rsidRPr="00550325">
              <w:rPr>
                <w:rFonts w:ascii="Arial" w:hAnsi="Arial" w:cs="Arial"/>
                <w:iCs/>
              </w:rPr>
              <w:t>vorinostat</w:t>
            </w:r>
            <w:proofErr w:type="spellEnd"/>
            <w:r w:rsidRPr="00550325">
              <w:rPr>
                <w:rFonts w:ascii="Arial" w:hAnsi="Arial" w:cs="Arial"/>
                <w:iCs/>
              </w:rPr>
              <w:t xml:space="preserve"> in the treatment of cutaneous T-cell lymphoma.  RCA is confident the manufacturer of </w:t>
            </w:r>
            <w:proofErr w:type="spellStart"/>
            <w:r w:rsidRPr="00550325">
              <w:rPr>
                <w:rFonts w:ascii="Arial" w:hAnsi="Arial" w:cs="Arial"/>
                <w:iCs/>
              </w:rPr>
              <w:t>vorinostat</w:t>
            </w:r>
            <w:proofErr w:type="spellEnd"/>
            <w:r w:rsidRPr="00550325">
              <w:rPr>
                <w:rFonts w:ascii="Arial" w:hAnsi="Arial" w:cs="Arial"/>
                <w:iCs/>
              </w:rPr>
              <w:t xml:space="preserve"> will provide the additional clarifications requested by the PBAC and that an appropriate Risk Sharing Arrangement can be agreed upon.   </w:t>
            </w:r>
          </w:p>
        </w:tc>
      </w:tr>
    </w:tbl>
    <w:p w:rsidR="00B42851" w:rsidRPr="00647696" w:rsidRDefault="00B42851" w:rsidP="000D6F5C"/>
    <w:sectPr w:rsidR="00B42851" w:rsidRPr="00647696" w:rsidSect="00615FFE">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991" w:rsidRDefault="00AA5991" w:rsidP="00615FFE">
      <w:r>
        <w:separator/>
      </w:r>
    </w:p>
  </w:endnote>
  <w:endnote w:type="continuationSeparator" w:id="0">
    <w:p w:rsidR="00AA5991" w:rsidRDefault="00AA5991" w:rsidP="0061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F0E" w:rsidRDefault="00870F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F0E" w:rsidRDefault="00870F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F0E" w:rsidRDefault="00870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991" w:rsidRDefault="00AA5991" w:rsidP="00615FFE">
      <w:r>
        <w:separator/>
      </w:r>
    </w:p>
  </w:footnote>
  <w:footnote w:type="continuationSeparator" w:id="0">
    <w:p w:rsidR="00AA5991" w:rsidRDefault="00AA5991" w:rsidP="00615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F0E" w:rsidRDefault="00870F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91" w:rsidRDefault="002A660F" w:rsidP="000D6F5C">
    <w:pPr>
      <w:pStyle w:val="Header"/>
      <w:jc w:val="center"/>
    </w:pPr>
    <w:r>
      <w:rPr>
        <w:rFonts w:ascii="Arial" w:hAnsi="Arial" w:cs="Arial"/>
        <w:b/>
        <w:snapToGrid w:val="0"/>
        <w:lang w:eastAsia="en-US"/>
      </w:rPr>
      <w:t>NOVEMBER</w:t>
    </w:r>
    <w:r w:rsidR="00AA5991">
      <w:rPr>
        <w:rFonts w:ascii="Arial" w:hAnsi="Arial" w:cs="Arial"/>
        <w:b/>
        <w:snapToGrid w:val="0"/>
        <w:lang w:eastAsia="en-US"/>
      </w:rPr>
      <w:t xml:space="preserve"> 2016 PBAC MEETING – DEFERRALS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F0E" w:rsidRDefault="00870F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91BE4"/>
    <w:multiLevelType w:val="hybridMultilevel"/>
    <w:tmpl w:val="F086E60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303F2FEF"/>
    <w:multiLevelType w:val="hybridMultilevel"/>
    <w:tmpl w:val="37B201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4D139EC"/>
    <w:multiLevelType w:val="hybridMultilevel"/>
    <w:tmpl w:val="C074D5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nsid w:val="5C143145"/>
    <w:multiLevelType w:val="hybridMultilevel"/>
    <w:tmpl w:val="CADAB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50F399D"/>
    <w:multiLevelType w:val="hybridMultilevel"/>
    <w:tmpl w:val="0FCC75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6FB82C09"/>
    <w:multiLevelType w:val="hybridMultilevel"/>
    <w:tmpl w:val="394ED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CD26532"/>
    <w:multiLevelType w:val="multilevel"/>
    <w:tmpl w:val="8CCCEDE2"/>
    <w:lvl w:ilvl="0">
      <w:start w:val="1"/>
      <w:numFmt w:val="decimal"/>
      <w:lvlText w:val="%1"/>
      <w:lvlJc w:val="left"/>
      <w:pPr>
        <w:ind w:left="720" w:hanging="720"/>
      </w:pPr>
      <w:rPr>
        <w:rFonts w:hint="default"/>
        <w:b/>
      </w:rPr>
    </w:lvl>
    <w:lvl w:ilvl="1">
      <w:start w:val="1"/>
      <w:numFmt w:val="decimal"/>
      <w:lvlText w:val="%1.%2"/>
      <w:lvlJc w:val="left"/>
      <w:pPr>
        <w:ind w:left="525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FFE"/>
    <w:rsid w:val="000648A3"/>
    <w:rsid w:val="0008036D"/>
    <w:rsid w:val="000C6EC9"/>
    <w:rsid w:val="000D6F5C"/>
    <w:rsid w:val="000E7FB1"/>
    <w:rsid w:val="0011029B"/>
    <w:rsid w:val="00161D7D"/>
    <w:rsid w:val="001B3443"/>
    <w:rsid w:val="001B3CAC"/>
    <w:rsid w:val="001D50E0"/>
    <w:rsid w:val="00292005"/>
    <w:rsid w:val="002A660F"/>
    <w:rsid w:val="0030786C"/>
    <w:rsid w:val="003653E1"/>
    <w:rsid w:val="00394C4F"/>
    <w:rsid w:val="003E76CD"/>
    <w:rsid w:val="00430CFA"/>
    <w:rsid w:val="00461D75"/>
    <w:rsid w:val="004867E2"/>
    <w:rsid w:val="00490CF5"/>
    <w:rsid w:val="004C3D83"/>
    <w:rsid w:val="0053293F"/>
    <w:rsid w:val="00547408"/>
    <w:rsid w:val="00550325"/>
    <w:rsid w:val="00580F52"/>
    <w:rsid w:val="00615FFE"/>
    <w:rsid w:val="00620239"/>
    <w:rsid w:val="00647696"/>
    <w:rsid w:val="006A299F"/>
    <w:rsid w:val="006C7674"/>
    <w:rsid w:val="006F52D5"/>
    <w:rsid w:val="007343AB"/>
    <w:rsid w:val="00735089"/>
    <w:rsid w:val="00735F3E"/>
    <w:rsid w:val="00751E60"/>
    <w:rsid w:val="00767753"/>
    <w:rsid w:val="00790BED"/>
    <w:rsid w:val="007C49BE"/>
    <w:rsid w:val="007F1C74"/>
    <w:rsid w:val="008145BD"/>
    <w:rsid w:val="008264EB"/>
    <w:rsid w:val="008531A7"/>
    <w:rsid w:val="0085395E"/>
    <w:rsid w:val="00862016"/>
    <w:rsid w:val="00870F0E"/>
    <w:rsid w:val="00871B8A"/>
    <w:rsid w:val="008733C0"/>
    <w:rsid w:val="008E0403"/>
    <w:rsid w:val="00900391"/>
    <w:rsid w:val="009074F0"/>
    <w:rsid w:val="009259D1"/>
    <w:rsid w:val="00944764"/>
    <w:rsid w:val="00951A1C"/>
    <w:rsid w:val="0096382B"/>
    <w:rsid w:val="009724C4"/>
    <w:rsid w:val="009A74EF"/>
    <w:rsid w:val="009B538B"/>
    <w:rsid w:val="009B7368"/>
    <w:rsid w:val="009D1FAD"/>
    <w:rsid w:val="00A02BD2"/>
    <w:rsid w:val="00A2694F"/>
    <w:rsid w:val="00A34E0C"/>
    <w:rsid w:val="00AA5991"/>
    <w:rsid w:val="00AE73DD"/>
    <w:rsid w:val="00B25DE7"/>
    <w:rsid w:val="00B42851"/>
    <w:rsid w:val="00C46C29"/>
    <w:rsid w:val="00C67884"/>
    <w:rsid w:val="00C7726F"/>
    <w:rsid w:val="00CB5B1A"/>
    <w:rsid w:val="00D14445"/>
    <w:rsid w:val="00D66A4B"/>
    <w:rsid w:val="00D859F7"/>
    <w:rsid w:val="00DB7B22"/>
    <w:rsid w:val="00DC24DC"/>
    <w:rsid w:val="00E32B8C"/>
    <w:rsid w:val="00E34312"/>
    <w:rsid w:val="00EA34AB"/>
    <w:rsid w:val="00EC5330"/>
    <w:rsid w:val="00F93C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5FFE"/>
  </w:style>
  <w:style w:type="paragraph" w:styleId="Heading1">
    <w:name w:val="heading 1"/>
    <w:basedOn w:val="Normal"/>
    <w:next w:val="Normal"/>
    <w:link w:val="Heading1Char"/>
    <w:qFormat/>
    <w:rsid w:val="008264EB"/>
    <w:pPr>
      <w:keepNext/>
      <w:spacing w:before="240" w:after="60"/>
      <w:outlineLvl w:val="0"/>
    </w:pPr>
    <w:rPr>
      <w:rFonts w:cs="Arial"/>
      <w:b/>
      <w:bCs/>
      <w:kern w:val="32"/>
      <w:sz w:val="32"/>
      <w:szCs w:val="32"/>
    </w:rPr>
  </w:style>
  <w:style w:type="paragraph" w:styleId="Heading2">
    <w:name w:val="heading 2"/>
    <w:basedOn w:val="Normal"/>
    <w:next w:val="Normal"/>
    <w:qFormat/>
    <w:rsid w:val="008264EB"/>
    <w:pPr>
      <w:keepNext/>
      <w:spacing w:before="240" w:after="60"/>
      <w:outlineLvl w:val="1"/>
    </w:pPr>
    <w:rPr>
      <w:rFonts w:cs="Arial"/>
      <w:b/>
      <w:bCs/>
      <w:i/>
      <w:iCs/>
      <w:sz w:val="28"/>
      <w:szCs w:val="28"/>
    </w:rPr>
  </w:style>
  <w:style w:type="paragraph" w:styleId="Heading3">
    <w:name w:val="heading 3"/>
    <w:basedOn w:val="Normal"/>
    <w:next w:val="Normal"/>
    <w:qFormat/>
    <w:rsid w:val="008264EB"/>
    <w:pPr>
      <w:keepNext/>
      <w:spacing w:before="240" w:after="60"/>
      <w:outlineLvl w:val="2"/>
    </w:pPr>
    <w:rPr>
      <w:rFonts w:cs="Arial"/>
      <w:b/>
      <w:bCs/>
      <w:sz w:val="26"/>
      <w:szCs w:val="26"/>
    </w:rPr>
  </w:style>
  <w:style w:type="paragraph" w:styleId="Heading4">
    <w:name w:val="heading 4"/>
    <w:basedOn w:val="Normal"/>
    <w:next w:val="Normal"/>
    <w:qFormat/>
    <w:rsid w:val="00CB5B1A"/>
    <w:pPr>
      <w:keepNext/>
      <w:spacing w:before="240" w:after="60"/>
      <w:outlineLvl w:val="3"/>
    </w:pPr>
    <w:rPr>
      <w:b/>
      <w:bCs/>
      <w:i/>
      <w:sz w:val="26"/>
      <w:szCs w:val="28"/>
    </w:rPr>
  </w:style>
  <w:style w:type="paragraph" w:styleId="Heading5">
    <w:name w:val="heading 5"/>
    <w:basedOn w:val="Normal"/>
    <w:next w:val="Normal"/>
    <w:qFormat/>
    <w:rsid w:val="00CB5B1A"/>
    <w:pPr>
      <w:spacing w:before="240" w:after="60"/>
      <w:outlineLvl w:val="4"/>
    </w:pPr>
    <w:rPr>
      <w:b/>
      <w:bCs/>
      <w:iCs/>
      <w:sz w:val="26"/>
      <w:szCs w:val="26"/>
    </w:rPr>
  </w:style>
  <w:style w:type="paragraph" w:styleId="Heading6">
    <w:name w:val="heading 6"/>
    <w:basedOn w:val="Normal"/>
    <w:next w:val="Normal"/>
    <w:qFormat/>
    <w:rsid w:val="00CB5B1A"/>
    <w:pPr>
      <w:spacing w:before="240" w:after="60"/>
      <w:outlineLvl w:val="5"/>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5FFE"/>
    <w:rPr>
      <w:rFonts w:cs="Arial"/>
      <w:b/>
      <w:bCs/>
      <w:kern w:val="32"/>
      <w:sz w:val="32"/>
      <w:szCs w:val="32"/>
      <w:lang w:val="en-US" w:eastAsia="en-US"/>
    </w:rPr>
  </w:style>
  <w:style w:type="paragraph" w:styleId="ListParagraph">
    <w:name w:val="List Paragraph"/>
    <w:aliases w:val="BulletPoints"/>
    <w:basedOn w:val="Normal"/>
    <w:link w:val="ListParagraphChar"/>
    <w:uiPriority w:val="72"/>
    <w:qFormat/>
    <w:rsid w:val="00615FFE"/>
    <w:pPr>
      <w:ind w:left="720"/>
      <w:contextualSpacing/>
    </w:pPr>
    <w:rPr>
      <w:rFonts w:eastAsia="SimSun"/>
      <w:sz w:val="24"/>
      <w:szCs w:val="24"/>
    </w:rPr>
  </w:style>
  <w:style w:type="character" w:customStyle="1" w:styleId="ListParagraphChar">
    <w:name w:val="List Paragraph Char"/>
    <w:aliases w:val="BulletPoints Char"/>
    <w:link w:val="ListParagraph"/>
    <w:uiPriority w:val="72"/>
    <w:rsid w:val="00615FFE"/>
    <w:rPr>
      <w:rFonts w:eastAsia="SimSun"/>
      <w:sz w:val="24"/>
      <w:szCs w:val="24"/>
    </w:rPr>
  </w:style>
  <w:style w:type="paragraph" w:styleId="Header">
    <w:name w:val="header"/>
    <w:basedOn w:val="Normal"/>
    <w:link w:val="HeaderChar"/>
    <w:rsid w:val="00615FFE"/>
    <w:pPr>
      <w:tabs>
        <w:tab w:val="center" w:pos="4513"/>
        <w:tab w:val="right" w:pos="9026"/>
      </w:tabs>
    </w:pPr>
  </w:style>
  <w:style w:type="character" w:customStyle="1" w:styleId="HeaderChar">
    <w:name w:val="Header Char"/>
    <w:basedOn w:val="DefaultParagraphFont"/>
    <w:link w:val="Header"/>
    <w:rsid w:val="00615FFE"/>
  </w:style>
  <w:style w:type="paragraph" w:styleId="Footer">
    <w:name w:val="footer"/>
    <w:basedOn w:val="Normal"/>
    <w:link w:val="FooterChar"/>
    <w:rsid w:val="00615FFE"/>
    <w:pPr>
      <w:tabs>
        <w:tab w:val="center" w:pos="4513"/>
        <w:tab w:val="right" w:pos="9026"/>
      </w:tabs>
    </w:pPr>
  </w:style>
  <w:style w:type="character" w:customStyle="1" w:styleId="FooterChar">
    <w:name w:val="Footer Char"/>
    <w:basedOn w:val="DefaultParagraphFont"/>
    <w:link w:val="Footer"/>
    <w:rsid w:val="00615FFE"/>
  </w:style>
  <w:style w:type="paragraph" w:styleId="BalloonText">
    <w:name w:val="Balloon Text"/>
    <w:basedOn w:val="Normal"/>
    <w:link w:val="BalloonTextChar"/>
    <w:rsid w:val="00615FFE"/>
    <w:rPr>
      <w:rFonts w:ascii="Tahoma" w:hAnsi="Tahoma" w:cs="Tahoma"/>
      <w:sz w:val="16"/>
      <w:szCs w:val="16"/>
    </w:rPr>
  </w:style>
  <w:style w:type="character" w:customStyle="1" w:styleId="BalloonTextChar">
    <w:name w:val="Balloon Text Char"/>
    <w:basedOn w:val="DefaultParagraphFont"/>
    <w:link w:val="BalloonText"/>
    <w:rsid w:val="00615FFE"/>
    <w:rPr>
      <w:rFonts w:ascii="Tahoma" w:hAnsi="Tahoma" w:cs="Tahoma"/>
      <w:sz w:val="16"/>
      <w:szCs w:val="16"/>
    </w:rPr>
  </w:style>
  <w:style w:type="paragraph" w:customStyle="1" w:styleId="Char">
    <w:name w:val="Char"/>
    <w:basedOn w:val="Normal"/>
    <w:rsid w:val="00615FFE"/>
    <w:pPr>
      <w:spacing w:after="160" w:line="240" w:lineRule="exact"/>
    </w:pPr>
    <w:rPr>
      <w:rFonts w:ascii="Verdana" w:eastAsia="MS Mincho" w:hAnsi="Verdana" w:cs="Verdana"/>
      <w:lang w:val="en-US" w:eastAsia="en-US"/>
    </w:rPr>
  </w:style>
  <w:style w:type="character" w:styleId="CommentReference">
    <w:name w:val="annotation reference"/>
    <w:basedOn w:val="DefaultParagraphFont"/>
    <w:rsid w:val="009074F0"/>
    <w:rPr>
      <w:sz w:val="16"/>
      <w:szCs w:val="16"/>
    </w:rPr>
  </w:style>
  <w:style w:type="paragraph" w:styleId="CommentText">
    <w:name w:val="annotation text"/>
    <w:basedOn w:val="Normal"/>
    <w:link w:val="CommentTextChar"/>
    <w:rsid w:val="009074F0"/>
  </w:style>
  <w:style w:type="character" w:customStyle="1" w:styleId="CommentTextChar">
    <w:name w:val="Comment Text Char"/>
    <w:basedOn w:val="DefaultParagraphFont"/>
    <w:link w:val="CommentText"/>
    <w:rsid w:val="009074F0"/>
  </w:style>
  <w:style w:type="paragraph" w:styleId="CommentSubject">
    <w:name w:val="annotation subject"/>
    <w:basedOn w:val="CommentText"/>
    <w:next w:val="CommentText"/>
    <w:link w:val="CommentSubjectChar"/>
    <w:rsid w:val="009074F0"/>
    <w:rPr>
      <w:b/>
      <w:bCs/>
    </w:rPr>
  </w:style>
  <w:style w:type="character" w:customStyle="1" w:styleId="CommentSubjectChar">
    <w:name w:val="Comment Subject Char"/>
    <w:basedOn w:val="CommentTextChar"/>
    <w:link w:val="CommentSubject"/>
    <w:rsid w:val="009074F0"/>
    <w:rPr>
      <w:b/>
      <w:bCs/>
    </w:rPr>
  </w:style>
  <w:style w:type="paragraph" w:customStyle="1" w:styleId="Char0">
    <w:name w:val="Char"/>
    <w:basedOn w:val="Normal"/>
    <w:rsid w:val="0053293F"/>
    <w:pPr>
      <w:spacing w:after="160" w:line="240" w:lineRule="exact"/>
    </w:pPr>
    <w:rPr>
      <w:rFonts w:ascii="Verdana" w:eastAsia="MS Mincho" w:hAnsi="Verdana" w:cs="Verdana"/>
      <w:lang w:val="en-US" w:eastAsia="en-US"/>
    </w:rPr>
  </w:style>
  <w:style w:type="paragraph" w:styleId="Revision">
    <w:name w:val="Revision"/>
    <w:hidden/>
    <w:uiPriority w:val="99"/>
    <w:semiHidden/>
    <w:rsid w:val="009D1FAD"/>
  </w:style>
  <w:style w:type="paragraph" w:customStyle="1" w:styleId="Char1">
    <w:name w:val="Char"/>
    <w:basedOn w:val="Normal"/>
    <w:rsid w:val="00E34312"/>
    <w:pPr>
      <w:spacing w:after="160" w:line="240" w:lineRule="exact"/>
    </w:pPr>
    <w:rPr>
      <w:rFonts w:ascii="Verdana" w:eastAsia="MS Mincho" w:hAnsi="Verdana" w:cs="Verdana"/>
      <w:lang w:val="en-US" w:eastAsia="en-US"/>
    </w:rPr>
  </w:style>
  <w:style w:type="paragraph" w:customStyle="1" w:styleId="PBACHeading1">
    <w:name w:val="PBAC Heading 1"/>
    <w:qFormat/>
    <w:rsid w:val="00547408"/>
    <w:pPr>
      <w:ind w:left="720" w:hanging="720"/>
      <w:outlineLvl w:val="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5FFE"/>
  </w:style>
  <w:style w:type="paragraph" w:styleId="Heading1">
    <w:name w:val="heading 1"/>
    <w:basedOn w:val="Normal"/>
    <w:next w:val="Normal"/>
    <w:link w:val="Heading1Char"/>
    <w:qFormat/>
    <w:rsid w:val="008264EB"/>
    <w:pPr>
      <w:keepNext/>
      <w:spacing w:before="240" w:after="60"/>
      <w:outlineLvl w:val="0"/>
    </w:pPr>
    <w:rPr>
      <w:rFonts w:cs="Arial"/>
      <w:b/>
      <w:bCs/>
      <w:kern w:val="32"/>
      <w:sz w:val="32"/>
      <w:szCs w:val="32"/>
    </w:rPr>
  </w:style>
  <w:style w:type="paragraph" w:styleId="Heading2">
    <w:name w:val="heading 2"/>
    <w:basedOn w:val="Normal"/>
    <w:next w:val="Normal"/>
    <w:qFormat/>
    <w:rsid w:val="008264EB"/>
    <w:pPr>
      <w:keepNext/>
      <w:spacing w:before="240" w:after="60"/>
      <w:outlineLvl w:val="1"/>
    </w:pPr>
    <w:rPr>
      <w:rFonts w:cs="Arial"/>
      <w:b/>
      <w:bCs/>
      <w:i/>
      <w:iCs/>
      <w:sz w:val="28"/>
      <w:szCs w:val="28"/>
    </w:rPr>
  </w:style>
  <w:style w:type="paragraph" w:styleId="Heading3">
    <w:name w:val="heading 3"/>
    <w:basedOn w:val="Normal"/>
    <w:next w:val="Normal"/>
    <w:qFormat/>
    <w:rsid w:val="008264EB"/>
    <w:pPr>
      <w:keepNext/>
      <w:spacing w:before="240" w:after="60"/>
      <w:outlineLvl w:val="2"/>
    </w:pPr>
    <w:rPr>
      <w:rFonts w:cs="Arial"/>
      <w:b/>
      <w:bCs/>
      <w:sz w:val="26"/>
      <w:szCs w:val="26"/>
    </w:rPr>
  </w:style>
  <w:style w:type="paragraph" w:styleId="Heading4">
    <w:name w:val="heading 4"/>
    <w:basedOn w:val="Normal"/>
    <w:next w:val="Normal"/>
    <w:qFormat/>
    <w:rsid w:val="00CB5B1A"/>
    <w:pPr>
      <w:keepNext/>
      <w:spacing w:before="240" w:after="60"/>
      <w:outlineLvl w:val="3"/>
    </w:pPr>
    <w:rPr>
      <w:b/>
      <w:bCs/>
      <w:i/>
      <w:sz w:val="26"/>
      <w:szCs w:val="28"/>
    </w:rPr>
  </w:style>
  <w:style w:type="paragraph" w:styleId="Heading5">
    <w:name w:val="heading 5"/>
    <w:basedOn w:val="Normal"/>
    <w:next w:val="Normal"/>
    <w:qFormat/>
    <w:rsid w:val="00CB5B1A"/>
    <w:pPr>
      <w:spacing w:before="240" w:after="60"/>
      <w:outlineLvl w:val="4"/>
    </w:pPr>
    <w:rPr>
      <w:b/>
      <w:bCs/>
      <w:iCs/>
      <w:sz w:val="26"/>
      <w:szCs w:val="26"/>
    </w:rPr>
  </w:style>
  <w:style w:type="paragraph" w:styleId="Heading6">
    <w:name w:val="heading 6"/>
    <w:basedOn w:val="Normal"/>
    <w:next w:val="Normal"/>
    <w:qFormat/>
    <w:rsid w:val="00CB5B1A"/>
    <w:pPr>
      <w:spacing w:before="240" w:after="60"/>
      <w:outlineLvl w:val="5"/>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5FFE"/>
    <w:rPr>
      <w:rFonts w:cs="Arial"/>
      <w:b/>
      <w:bCs/>
      <w:kern w:val="32"/>
      <w:sz w:val="32"/>
      <w:szCs w:val="32"/>
      <w:lang w:val="en-US" w:eastAsia="en-US"/>
    </w:rPr>
  </w:style>
  <w:style w:type="paragraph" w:styleId="ListParagraph">
    <w:name w:val="List Paragraph"/>
    <w:aliases w:val="BulletPoints"/>
    <w:basedOn w:val="Normal"/>
    <w:link w:val="ListParagraphChar"/>
    <w:uiPriority w:val="72"/>
    <w:qFormat/>
    <w:rsid w:val="00615FFE"/>
    <w:pPr>
      <w:ind w:left="720"/>
      <w:contextualSpacing/>
    </w:pPr>
    <w:rPr>
      <w:rFonts w:eastAsia="SimSun"/>
      <w:sz w:val="24"/>
      <w:szCs w:val="24"/>
    </w:rPr>
  </w:style>
  <w:style w:type="character" w:customStyle="1" w:styleId="ListParagraphChar">
    <w:name w:val="List Paragraph Char"/>
    <w:aliases w:val="BulletPoints Char"/>
    <w:link w:val="ListParagraph"/>
    <w:uiPriority w:val="72"/>
    <w:rsid w:val="00615FFE"/>
    <w:rPr>
      <w:rFonts w:eastAsia="SimSun"/>
      <w:sz w:val="24"/>
      <w:szCs w:val="24"/>
    </w:rPr>
  </w:style>
  <w:style w:type="paragraph" w:styleId="Header">
    <w:name w:val="header"/>
    <w:basedOn w:val="Normal"/>
    <w:link w:val="HeaderChar"/>
    <w:rsid w:val="00615FFE"/>
    <w:pPr>
      <w:tabs>
        <w:tab w:val="center" w:pos="4513"/>
        <w:tab w:val="right" w:pos="9026"/>
      </w:tabs>
    </w:pPr>
  </w:style>
  <w:style w:type="character" w:customStyle="1" w:styleId="HeaderChar">
    <w:name w:val="Header Char"/>
    <w:basedOn w:val="DefaultParagraphFont"/>
    <w:link w:val="Header"/>
    <w:rsid w:val="00615FFE"/>
  </w:style>
  <w:style w:type="paragraph" w:styleId="Footer">
    <w:name w:val="footer"/>
    <w:basedOn w:val="Normal"/>
    <w:link w:val="FooterChar"/>
    <w:rsid w:val="00615FFE"/>
    <w:pPr>
      <w:tabs>
        <w:tab w:val="center" w:pos="4513"/>
        <w:tab w:val="right" w:pos="9026"/>
      </w:tabs>
    </w:pPr>
  </w:style>
  <w:style w:type="character" w:customStyle="1" w:styleId="FooterChar">
    <w:name w:val="Footer Char"/>
    <w:basedOn w:val="DefaultParagraphFont"/>
    <w:link w:val="Footer"/>
    <w:rsid w:val="00615FFE"/>
  </w:style>
  <w:style w:type="paragraph" w:styleId="BalloonText">
    <w:name w:val="Balloon Text"/>
    <w:basedOn w:val="Normal"/>
    <w:link w:val="BalloonTextChar"/>
    <w:rsid w:val="00615FFE"/>
    <w:rPr>
      <w:rFonts w:ascii="Tahoma" w:hAnsi="Tahoma" w:cs="Tahoma"/>
      <w:sz w:val="16"/>
      <w:szCs w:val="16"/>
    </w:rPr>
  </w:style>
  <w:style w:type="character" w:customStyle="1" w:styleId="BalloonTextChar">
    <w:name w:val="Balloon Text Char"/>
    <w:basedOn w:val="DefaultParagraphFont"/>
    <w:link w:val="BalloonText"/>
    <w:rsid w:val="00615FFE"/>
    <w:rPr>
      <w:rFonts w:ascii="Tahoma" w:hAnsi="Tahoma" w:cs="Tahoma"/>
      <w:sz w:val="16"/>
      <w:szCs w:val="16"/>
    </w:rPr>
  </w:style>
  <w:style w:type="paragraph" w:customStyle="1" w:styleId="Char">
    <w:name w:val="Char"/>
    <w:basedOn w:val="Normal"/>
    <w:rsid w:val="00615FFE"/>
    <w:pPr>
      <w:spacing w:after="160" w:line="240" w:lineRule="exact"/>
    </w:pPr>
    <w:rPr>
      <w:rFonts w:ascii="Verdana" w:eastAsia="MS Mincho" w:hAnsi="Verdana" w:cs="Verdana"/>
      <w:lang w:val="en-US" w:eastAsia="en-US"/>
    </w:rPr>
  </w:style>
  <w:style w:type="character" w:styleId="CommentReference">
    <w:name w:val="annotation reference"/>
    <w:basedOn w:val="DefaultParagraphFont"/>
    <w:rsid w:val="009074F0"/>
    <w:rPr>
      <w:sz w:val="16"/>
      <w:szCs w:val="16"/>
    </w:rPr>
  </w:style>
  <w:style w:type="paragraph" w:styleId="CommentText">
    <w:name w:val="annotation text"/>
    <w:basedOn w:val="Normal"/>
    <w:link w:val="CommentTextChar"/>
    <w:rsid w:val="009074F0"/>
  </w:style>
  <w:style w:type="character" w:customStyle="1" w:styleId="CommentTextChar">
    <w:name w:val="Comment Text Char"/>
    <w:basedOn w:val="DefaultParagraphFont"/>
    <w:link w:val="CommentText"/>
    <w:rsid w:val="009074F0"/>
  </w:style>
  <w:style w:type="paragraph" w:styleId="CommentSubject">
    <w:name w:val="annotation subject"/>
    <w:basedOn w:val="CommentText"/>
    <w:next w:val="CommentText"/>
    <w:link w:val="CommentSubjectChar"/>
    <w:rsid w:val="009074F0"/>
    <w:rPr>
      <w:b/>
      <w:bCs/>
    </w:rPr>
  </w:style>
  <w:style w:type="character" w:customStyle="1" w:styleId="CommentSubjectChar">
    <w:name w:val="Comment Subject Char"/>
    <w:basedOn w:val="CommentTextChar"/>
    <w:link w:val="CommentSubject"/>
    <w:rsid w:val="009074F0"/>
    <w:rPr>
      <w:b/>
      <w:bCs/>
    </w:rPr>
  </w:style>
  <w:style w:type="paragraph" w:customStyle="1" w:styleId="Char0">
    <w:name w:val="Char"/>
    <w:basedOn w:val="Normal"/>
    <w:rsid w:val="0053293F"/>
    <w:pPr>
      <w:spacing w:after="160" w:line="240" w:lineRule="exact"/>
    </w:pPr>
    <w:rPr>
      <w:rFonts w:ascii="Verdana" w:eastAsia="MS Mincho" w:hAnsi="Verdana" w:cs="Verdana"/>
      <w:lang w:val="en-US" w:eastAsia="en-US"/>
    </w:rPr>
  </w:style>
  <w:style w:type="paragraph" w:styleId="Revision">
    <w:name w:val="Revision"/>
    <w:hidden/>
    <w:uiPriority w:val="99"/>
    <w:semiHidden/>
    <w:rsid w:val="009D1FAD"/>
  </w:style>
  <w:style w:type="paragraph" w:customStyle="1" w:styleId="Char1">
    <w:name w:val="Char"/>
    <w:basedOn w:val="Normal"/>
    <w:rsid w:val="00E34312"/>
    <w:pPr>
      <w:spacing w:after="160" w:line="240" w:lineRule="exact"/>
    </w:pPr>
    <w:rPr>
      <w:rFonts w:ascii="Verdana" w:eastAsia="MS Mincho" w:hAnsi="Verdana" w:cs="Verdana"/>
      <w:lang w:val="en-US" w:eastAsia="en-US"/>
    </w:rPr>
  </w:style>
  <w:style w:type="paragraph" w:customStyle="1" w:styleId="PBACHeading1">
    <w:name w:val="PBAC Heading 1"/>
    <w:qFormat/>
    <w:rsid w:val="00547408"/>
    <w:pPr>
      <w:ind w:left="720" w:hanging="720"/>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482">
      <w:bodyDiv w:val="1"/>
      <w:marLeft w:val="0"/>
      <w:marRight w:val="0"/>
      <w:marTop w:val="0"/>
      <w:marBottom w:val="0"/>
      <w:divBdr>
        <w:top w:val="none" w:sz="0" w:space="0" w:color="auto"/>
        <w:left w:val="none" w:sz="0" w:space="0" w:color="auto"/>
        <w:bottom w:val="none" w:sz="0" w:space="0" w:color="auto"/>
        <w:right w:val="none" w:sz="0" w:space="0" w:color="auto"/>
      </w:divBdr>
    </w:div>
    <w:div w:id="1251741323">
      <w:bodyDiv w:val="1"/>
      <w:marLeft w:val="0"/>
      <w:marRight w:val="0"/>
      <w:marTop w:val="0"/>
      <w:marBottom w:val="0"/>
      <w:divBdr>
        <w:top w:val="none" w:sz="0" w:space="0" w:color="auto"/>
        <w:left w:val="none" w:sz="0" w:space="0" w:color="auto"/>
        <w:bottom w:val="none" w:sz="0" w:space="0" w:color="auto"/>
        <w:right w:val="none" w:sz="0" w:space="0" w:color="auto"/>
      </w:divBdr>
    </w:div>
    <w:div w:id="1864130259">
      <w:bodyDiv w:val="1"/>
      <w:marLeft w:val="0"/>
      <w:marRight w:val="0"/>
      <w:marTop w:val="0"/>
      <w:marBottom w:val="0"/>
      <w:divBdr>
        <w:top w:val="none" w:sz="0" w:space="0" w:color="auto"/>
        <w:left w:val="none" w:sz="0" w:space="0" w:color="auto"/>
        <w:bottom w:val="none" w:sz="0" w:space="0" w:color="auto"/>
        <w:right w:val="none" w:sz="0" w:space="0" w:color="auto"/>
      </w:divBdr>
    </w:div>
    <w:div w:id="210338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2273</Words>
  <Characters>13134</Characters>
  <Application>Microsoft Office Word</Application>
  <DocSecurity>0</DocSecurity>
  <Lines>109</Lines>
  <Paragraphs>30</Paragraphs>
  <ScaleCrop>false</ScaleCrop>
  <Company/>
  <LinksUpToDate>false</LinksUpToDate>
  <CharactersWithSpaces>15377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2017-03-07T03:17:00Z</dcterms:created>
  <dcterms:modified xsi:type="dcterms:W3CDTF">2017-03-07T03:17:00Z</dcterms:modified>
</cp:coreProperties>
</file>