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2311"/>
        <w:gridCol w:w="4113"/>
        <w:gridCol w:w="5884"/>
      </w:tblGrid>
      <w:tr w:rsidR="00987FDA" w:rsidRPr="00F609BF" w:rsidTr="007A3893">
        <w:trPr>
          <w:tblHeader/>
        </w:trPr>
        <w:tc>
          <w:tcPr>
            <w:tcW w:w="0" w:type="auto"/>
            <w:tcMar>
              <w:top w:w="28" w:type="dxa"/>
              <w:bottom w:w="28" w:type="dxa"/>
            </w:tcMar>
          </w:tcPr>
          <w:p w:rsidR="0065234B" w:rsidRDefault="002960C3"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2960C3">
            <w:pPr>
              <w:widowControl w:val="0"/>
              <w:jc w:val="center"/>
              <w:rPr>
                <w:rFonts w:ascii="Arial" w:hAnsi="Arial" w:cs="Arial"/>
                <w:b/>
              </w:rPr>
            </w:pPr>
          </w:p>
        </w:tc>
        <w:tc>
          <w:tcPr>
            <w:tcW w:w="0" w:type="auto"/>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0" w:type="auto"/>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0" w:type="auto"/>
          </w:tcPr>
          <w:p w:rsidR="00987FDA" w:rsidRPr="00F609BF" w:rsidRDefault="00987FDA" w:rsidP="00D167D0">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9C64D7" w:rsidRPr="00395B97" w:rsidTr="007A3893">
        <w:trPr>
          <w:cantSplit/>
          <w:trHeight w:val="1693"/>
        </w:trPr>
        <w:tc>
          <w:tcPr>
            <w:tcW w:w="0" w:type="auto"/>
            <w:vMerge w:val="restart"/>
            <w:tcMar>
              <w:top w:w="28" w:type="dxa"/>
              <w:bottom w:w="28" w:type="dxa"/>
            </w:tcMar>
          </w:tcPr>
          <w:p w:rsidR="009C64D7" w:rsidRDefault="004D1133" w:rsidP="0043678B">
            <w:pPr>
              <w:rPr>
                <w:rFonts w:ascii="Arial" w:hAnsi="Arial" w:cs="Arial"/>
                <w:bCs/>
                <w:color w:val="000000"/>
              </w:rPr>
            </w:pPr>
            <w:r w:rsidRPr="005D1C1E">
              <w:rPr>
                <w:rFonts w:ascii="Arial" w:hAnsi="Arial" w:cs="Arial"/>
                <w:bCs/>
                <w:color w:val="000000"/>
              </w:rPr>
              <w:t>BRIVARACETAM</w:t>
            </w:r>
            <w:r w:rsidRPr="005D1C1E">
              <w:rPr>
                <w:rFonts w:ascii="Arial" w:hAnsi="Arial" w:cs="Arial"/>
                <w:bCs/>
                <w:color w:val="000000"/>
              </w:rPr>
              <w:br/>
            </w:r>
            <w:r w:rsidRPr="005D1C1E">
              <w:rPr>
                <w:rFonts w:ascii="Arial" w:hAnsi="Arial" w:cs="Arial"/>
                <w:bCs/>
                <w:color w:val="000000"/>
              </w:rPr>
              <w:br/>
              <w:t>25 mg tablet, 56</w:t>
            </w:r>
            <w:r w:rsidRPr="005D1C1E">
              <w:rPr>
                <w:rFonts w:ascii="Arial" w:hAnsi="Arial" w:cs="Arial"/>
                <w:bCs/>
                <w:color w:val="000000"/>
              </w:rPr>
              <w:br/>
              <w:t>50 mg tablet, 56</w:t>
            </w:r>
            <w:r w:rsidRPr="005D1C1E">
              <w:rPr>
                <w:rFonts w:ascii="Arial" w:hAnsi="Arial" w:cs="Arial"/>
                <w:bCs/>
                <w:color w:val="000000"/>
              </w:rPr>
              <w:br/>
              <w:t>75 mg tablet, 56</w:t>
            </w:r>
            <w:r w:rsidRPr="005D1C1E">
              <w:rPr>
                <w:rFonts w:ascii="Arial" w:hAnsi="Arial" w:cs="Arial"/>
                <w:bCs/>
                <w:color w:val="000000"/>
              </w:rPr>
              <w:br/>
              <w:t>100 mg tablet, 56</w:t>
            </w:r>
            <w:r w:rsidRPr="005D1C1E">
              <w:rPr>
                <w:rFonts w:ascii="Arial" w:hAnsi="Arial" w:cs="Arial"/>
                <w:bCs/>
                <w:color w:val="000000"/>
              </w:rPr>
              <w:br/>
              <w:t>10 mg/mL, 300 mL</w:t>
            </w:r>
            <w:r w:rsidRPr="005D1C1E">
              <w:rPr>
                <w:rFonts w:ascii="Arial" w:hAnsi="Arial" w:cs="Arial"/>
                <w:bCs/>
                <w:color w:val="000000"/>
              </w:rPr>
              <w:br/>
            </w:r>
            <w:r w:rsidRPr="005D1C1E">
              <w:rPr>
                <w:rFonts w:ascii="Arial" w:hAnsi="Arial" w:cs="Arial"/>
                <w:bCs/>
                <w:color w:val="000000"/>
              </w:rPr>
              <w:br/>
              <w:t>Briviact</w:t>
            </w:r>
            <w:r w:rsidRPr="009D7050">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UCB Australia Pty Ltd</w:t>
            </w:r>
          </w:p>
          <w:p w:rsidR="004D1133" w:rsidRDefault="004D1133" w:rsidP="0043678B">
            <w:pPr>
              <w:rPr>
                <w:rFonts w:ascii="Arial" w:hAnsi="Arial" w:cs="Arial"/>
                <w:bCs/>
                <w:color w:val="000000"/>
              </w:rPr>
            </w:pPr>
          </w:p>
          <w:p w:rsidR="004D1133" w:rsidRDefault="004D1133" w:rsidP="0043678B">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(Major Submission)</w:t>
            </w:r>
          </w:p>
        </w:tc>
        <w:tc>
          <w:tcPr>
            <w:tcW w:w="0" w:type="auto"/>
            <w:vMerge w:val="restart"/>
          </w:tcPr>
          <w:p w:rsidR="009C64D7" w:rsidRPr="004D1133" w:rsidRDefault="004D1133" w:rsidP="004D1133">
            <w:pPr>
              <w:rPr>
                <w:rFonts w:ascii="Arial" w:hAnsi="Arial" w:cs="Arial"/>
              </w:rPr>
            </w:pPr>
            <w:r w:rsidRPr="005D1C1E">
              <w:rPr>
                <w:rFonts w:ascii="Arial" w:hAnsi="Arial" w:cs="Arial"/>
                <w:bCs/>
                <w:color w:val="000000"/>
              </w:rPr>
              <w:t>Epilepsy</w:t>
            </w:r>
          </w:p>
        </w:tc>
        <w:tc>
          <w:tcPr>
            <w:tcW w:w="0" w:type="auto"/>
            <w:tcMar>
              <w:top w:w="28" w:type="dxa"/>
              <w:bottom w:w="28" w:type="dxa"/>
            </w:tcMar>
          </w:tcPr>
          <w:p w:rsidR="009C64D7" w:rsidRDefault="004D1133" w:rsidP="0043678B">
            <w:pPr>
              <w:rPr>
                <w:rFonts w:ascii="Arial" w:hAnsi="Arial" w:cs="Arial"/>
                <w:color w:val="000000"/>
              </w:rPr>
            </w:pPr>
            <w:r w:rsidRPr="005D1C1E">
              <w:rPr>
                <w:rFonts w:ascii="Arial" w:hAnsi="Arial" w:cs="Arial"/>
                <w:bCs/>
                <w:color w:val="000000"/>
              </w:rPr>
              <w:t>Authority Required (STREAMLINED) listing for treatment of partial epileptic seizures.</w:t>
            </w:r>
          </w:p>
        </w:tc>
        <w:tc>
          <w:tcPr>
            <w:tcW w:w="0" w:type="auto"/>
          </w:tcPr>
          <w:p w:rsidR="009C64D7" w:rsidRPr="00726A5E" w:rsidRDefault="00E36CFD" w:rsidP="00021827">
            <w:pPr>
              <w:spacing w:after="240"/>
              <w:rPr>
                <w:rFonts w:ascii="Arial" w:hAnsi="Arial" w:cs="Arial"/>
                <w:color w:val="000000"/>
              </w:rPr>
            </w:pPr>
            <w:r w:rsidRPr="00E36CFD">
              <w:rPr>
                <w:rFonts w:ascii="Arial" w:hAnsi="Arial" w:cs="Arial"/>
                <w:color w:val="000000"/>
              </w:rPr>
              <w:t>The PBAC did not recommend the listing</w:t>
            </w:r>
            <w:r w:rsidR="00A33DF3">
              <w:rPr>
                <w:rFonts w:ascii="Arial" w:hAnsi="Arial" w:cs="Arial"/>
                <w:color w:val="000000"/>
              </w:rPr>
              <w:t xml:space="preserve"> of</w:t>
            </w:r>
            <w:r w:rsidRPr="00E36CFD">
              <w:rPr>
                <w:rFonts w:ascii="Arial" w:hAnsi="Arial" w:cs="Arial"/>
                <w:color w:val="000000"/>
              </w:rPr>
              <w:t xml:space="preserve"> brivaracetam for intractable partial epileptic seizures on the basis of a lack of clinical data </w:t>
            </w:r>
            <w:r w:rsidR="00A33DF3">
              <w:rPr>
                <w:rFonts w:ascii="Arial" w:hAnsi="Arial" w:cs="Arial"/>
                <w:color w:val="000000"/>
              </w:rPr>
              <w:t xml:space="preserve">for use </w:t>
            </w:r>
            <w:r w:rsidRPr="00E36CFD">
              <w:rPr>
                <w:rFonts w:ascii="Arial" w:hAnsi="Arial" w:cs="Arial"/>
                <w:color w:val="000000"/>
              </w:rPr>
              <w:t xml:space="preserve">in the requested PBS population, and lack of a comparison with levetiracetam, or other similarly listed </w:t>
            </w:r>
            <w:r w:rsidR="00021827">
              <w:rPr>
                <w:rFonts w:ascii="Arial" w:hAnsi="Arial" w:cs="Arial"/>
                <w:color w:val="000000"/>
              </w:rPr>
              <w:t>anti-epileptic drugs</w:t>
            </w:r>
            <w:r w:rsidRPr="00E36CFD">
              <w:rPr>
                <w:rFonts w:ascii="Arial" w:hAnsi="Arial" w:cs="Arial"/>
                <w:color w:val="000000"/>
              </w:rPr>
              <w:t>, which the PBAC considered would be replaced by brivaracetam. The PBAC noted the submission considered that brivaracetam should be used before lacosamide and considered this was inconsistent with selecting lacosamide as the comparator.</w:t>
            </w:r>
          </w:p>
        </w:tc>
      </w:tr>
      <w:tr w:rsidR="004D1133" w:rsidRPr="00395B97" w:rsidTr="007A3893">
        <w:trPr>
          <w:cantSplit/>
          <w:trHeight w:val="1622"/>
        </w:trPr>
        <w:tc>
          <w:tcPr>
            <w:tcW w:w="0" w:type="auto"/>
            <w:vMerge/>
            <w:tcMar>
              <w:top w:w="28" w:type="dxa"/>
              <w:bottom w:w="28" w:type="dxa"/>
            </w:tcMar>
          </w:tcPr>
          <w:p w:rsidR="004D1133" w:rsidRPr="00395B97" w:rsidRDefault="004D1133" w:rsidP="00335779">
            <w:pPr>
              <w:rPr>
                <w:rFonts w:ascii="Arial" w:hAnsi="Arial" w:cs="Arial"/>
              </w:rPr>
            </w:pPr>
          </w:p>
        </w:tc>
        <w:tc>
          <w:tcPr>
            <w:tcW w:w="0" w:type="auto"/>
            <w:vMerge/>
          </w:tcPr>
          <w:p w:rsidR="004D1133" w:rsidRPr="00395B97" w:rsidRDefault="004D1133" w:rsidP="00335779">
            <w:pPr>
              <w:widowControl w:val="0"/>
              <w:rPr>
                <w:rFonts w:ascii="Arial" w:hAnsi="Arial" w:cs="Arial"/>
                <w:snapToGrid w:val="0"/>
                <w:lang w:eastAsia="en-US"/>
              </w:rPr>
            </w:pPr>
          </w:p>
        </w:tc>
        <w:tc>
          <w:tcPr>
            <w:tcW w:w="0" w:type="auto"/>
            <w:tcMar>
              <w:top w:w="28" w:type="dxa"/>
              <w:bottom w:w="28" w:type="dxa"/>
            </w:tcMar>
          </w:tcPr>
          <w:p w:rsidR="004D1133" w:rsidRPr="00363865" w:rsidRDefault="004D1133" w:rsidP="00ED5629">
            <w:pPr>
              <w:rPr>
                <w:rFonts w:ascii="Arial" w:hAnsi="Arial" w:cs="Arial"/>
                <w:bCs/>
                <w:color w:val="000000"/>
              </w:rPr>
            </w:pPr>
            <w:r w:rsidRPr="00461D75">
              <w:rPr>
                <w:rFonts w:ascii="Arial" w:hAnsi="Arial" w:cs="Arial"/>
                <w:bCs/>
                <w:color w:val="000000"/>
              </w:rPr>
              <w:t>Sponsor comment:</w:t>
            </w:r>
          </w:p>
        </w:tc>
        <w:tc>
          <w:tcPr>
            <w:tcW w:w="0" w:type="auto"/>
          </w:tcPr>
          <w:p w:rsidR="004D1133" w:rsidRPr="008918D1" w:rsidRDefault="003F54CA" w:rsidP="008918D1">
            <w:pPr>
              <w:spacing w:after="240"/>
              <w:rPr>
                <w:rFonts w:ascii="Arial" w:hAnsi="Arial" w:cs="Arial"/>
                <w:color w:val="000000"/>
              </w:rPr>
            </w:pPr>
            <w:r w:rsidRPr="003F54CA">
              <w:rPr>
                <w:rFonts w:ascii="Arial" w:hAnsi="Arial" w:cs="Arial"/>
                <w:color w:val="000000"/>
              </w:rPr>
              <w:t xml:space="preserve">UCB is disappointed regarding the PBAC outcome, however UCB will continue to work with the Department and the </w:t>
            </w:r>
            <w:r>
              <w:rPr>
                <w:rFonts w:ascii="Arial" w:hAnsi="Arial" w:cs="Arial"/>
                <w:color w:val="000000"/>
              </w:rPr>
              <w:t>PBAC to secure reimbursement of</w:t>
            </w:r>
            <w:r w:rsidRPr="003F54CA">
              <w:rPr>
                <w:rFonts w:ascii="Arial" w:hAnsi="Arial" w:cs="Arial"/>
                <w:color w:val="000000"/>
              </w:rPr>
              <w:t xml:space="preserve"> Briviact for patient benefit. </w:t>
            </w:r>
          </w:p>
          <w:p w:rsidR="004D1133" w:rsidRDefault="004D1133" w:rsidP="000E1E84">
            <w:pPr>
              <w:pStyle w:val="ListParagraph"/>
              <w:ind w:left="0"/>
              <w:jc w:val="both"/>
              <w:rPr>
                <w:rFonts w:ascii="Arial" w:hAnsi="Arial" w:cs="Arial"/>
                <w:iCs/>
                <w:sz w:val="20"/>
                <w:szCs w:val="20"/>
              </w:rPr>
            </w:pPr>
          </w:p>
          <w:p w:rsidR="004D1133" w:rsidRPr="00395B97" w:rsidRDefault="004D1133" w:rsidP="000E1E84">
            <w:pPr>
              <w:pStyle w:val="ListParagraph"/>
              <w:ind w:left="0"/>
              <w:jc w:val="both"/>
              <w:rPr>
                <w:rFonts w:ascii="Arial" w:hAnsi="Arial" w:cs="Arial"/>
                <w:iCs/>
                <w:sz w:val="20"/>
                <w:szCs w:val="20"/>
              </w:rPr>
            </w:pPr>
          </w:p>
        </w:tc>
      </w:tr>
      <w:tr w:rsidR="004D1133" w:rsidRPr="00395B97" w:rsidTr="007A3893">
        <w:trPr>
          <w:cantSplit/>
          <w:trHeight w:val="4387"/>
        </w:trPr>
        <w:tc>
          <w:tcPr>
            <w:tcW w:w="0" w:type="auto"/>
            <w:vMerge w:val="restart"/>
            <w:tcMar>
              <w:top w:w="28" w:type="dxa"/>
              <w:bottom w:w="28" w:type="dxa"/>
            </w:tcMar>
          </w:tcPr>
          <w:p w:rsidR="004D1133" w:rsidRDefault="004D1133" w:rsidP="00884A9E">
            <w:pPr>
              <w:rPr>
                <w:rFonts w:ascii="Arial" w:hAnsi="Arial" w:cs="Arial"/>
                <w:bCs/>
                <w:color w:val="000000"/>
              </w:rPr>
            </w:pPr>
            <w:r w:rsidRPr="005D1C1E">
              <w:rPr>
                <w:rFonts w:ascii="Arial" w:hAnsi="Arial" w:cs="Arial"/>
                <w:bCs/>
                <w:color w:val="000000"/>
              </w:rPr>
              <w:lastRenderedPageBreak/>
              <w:t>DACTYLIS GLOMERATA with POA PRATENSIS, LOLIUM PERENNE, ANTHOXANTHUM ODORATUM and PHLEUM PRATENSE</w:t>
            </w:r>
            <w:r w:rsidRPr="005D1C1E">
              <w:rPr>
                <w:rFonts w:ascii="Arial" w:hAnsi="Arial" w:cs="Arial"/>
                <w:bCs/>
                <w:color w:val="000000"/>
              </w:rPr>
              <w:br/>
            </w:r>
            <w:r w:rsidRPr="005D1C1E">
              <w:rPr>
                <w:rFonts w:ascii="Arial" w:hAnsi="Arial" w:cs="Arial"/>
                <w:bCs/>
                <w:color w:val="000000"/>
              </w:rPr>
              <w:br/>
            </w:r>
            <w:r w:rsidRPr="00FD4DD3">
              <w:rPr>
                <w:rFonts w:ascii="Arial" w:hAnsi="Arial" w:cs="Arial"/>
                <w:bCs/>
                <w:color w:val="000000"/>
              </w:rPr>
              <w:t>100 IR tablet: sublingual, 3 + 300 IR tablet: sublingual, 28;</w:t>
            </w:r>
            <w:r w:rsidRPr="00FD4DD3">
              <w:rPr>
                <w:rFonts w:ascii="Arial" w:hAnsi="Arial" w:cs="Arial"/>
                <w:bCs/>
                <w:color w:val="000000"/>
              </w:rPr>
              <w:br/>
              <w:t>300 IR tablet: sublingual, 30</w:t>
            </w:r>
            <w:r w:rsidRPr="005D1C1E">
              <w:rPr>
                <w:rFonts w:ascii="Arial" w:hAnsi="Arial" w:cs="Arial"/>
                <w:bCs/>
                <w:color w:val="000000"/>
              </w:rPr>
              <w:br/>
            </w:r>
            <w:r w:rsidRPr="005D1C1E">
              <w:rPr>
                <w:rFonts w:ascii="Arial" w:hAnsi="Arial" w:cs="Arial"/>
                <w:bCs/>
                <w:color w:val="000000"/>
              </w:rPr>
              <w:br/>
              <w:t>Oralair</w:t>
            </w:r>
            <w:r w:rsidRPr="009D7050">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Stallergenes Australia Pty Ltd</w:t>
            </w:r>
          </w:p>
          <w:p w:rsidR="004D1133" w:rsidRDefault="004D1133" w:rsidP="00884A9E">
            <w:pPr>
              <w:rPr>
                <w:rFonts w:ascii="Arial" w:hAnsi="Arial" w:cs="Arial"/>
                <w:bCs/>
                <w:color w:val="000000"/>
              </w:rPr>
            </w:pPr>
          </w:p>
          <w:p w:rsidR="00E1153D" w:rsidRDefault="004D1133" w:rsidP="00884A9E">
            <w:pPr>
              <w:rPr>
                <w:rFonts w:ascii="Arial" w:hAnsi="Arial" w:cs="Arial"/>
                <w:color w:val="000000"/>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(Major Submission)</w:t>
            </w:r>
          </w:p>
          <w:p w:rsidR="00E1153D" w:rsidRPr="00E1153D" w:rsidRDefault="00E1153D" w:rsidP="00E1153D">
            <w:pPr>
              <w:rPr>
                <w:rFonts w:ascii="Arial" w:hAnsi="Arial" w:cs="Arial"/>
              </w:rPr>
            </w:pPr>
          </w:p>
          <w:p w:rsidR="00E1153D" w:rsidRPr="00E1153D" w:rsidRDefault="00E1153D" w:rsidP="00E1153D">
            <w:pPr>
              <w:rPr>
                <w:rFonts w:ascii="Arial" w:hAnsi="Arial" w:cs="Arial"/>
              </w:rPr>
            </w:pPr>
          </w:p>
          <w:p w:rsidR="004D1133" w:rsidRPr="00E1153D" w:rsidRDefault="004D1133" w:rsidP="00CB7DC1">
            <w:pPr>
              <w:rPr>
                <w:rFonts w:ascii="Arial" w:hAnsi="Arial" w:cs="Arial"/>
              </w:rPr>
            </w:pPr>
          </w:p>
        </w:tc>
        <w:tc>
          <w:tcPr>
            <w:tcW w:w="0" w:type="auto"/>
            <w:vMerge w:val="restart"/>
          </w:tcPr>
          <w:p w:rsidR="004D1133" w:rsidRDefault="004D1133" w:rsidP="00884A9E">
            <w:pPr>
              <w:rPr>
                <w:rFonts w:ascii="Arial" w:hAnsi="Arial" w:cs="Arial"/>
                <w:color w:val="000000"/>
              </w:rPr>
            </w:pPr>
            <w:r w:rsidRPr="005D1C1E">
              <w:rPr>
                <w:rFonts w:ascii="Arial" w:hAnsi="Arial" w:cs="Arial"/>
                <w:bCs/>
                <w:color w:val="000000"/>
              </w:rPr>
              <w:t>Allergic rhinitis due to grass pollens</w:t>
            </w:r>
          </w:p>
        </w:tc>
        <w:tc>
          <w:tcPr>
            <w:tcW w:w="0" w:type="auto"/>
            <w:tcMar>
              <w:top w:w="28" w:type="dxa"/>
              <w:bottom w:w="28" w:type="dxa"/>
            </w:tcMar>
          </w:tcPr>
          <w:p w:rsidR="004D1133" w:rsidRPr="005D1C1E" w:rsidRDefault="004D1133" w:rsidP="00ED5629">
            <w:pPr>
              <w:rPr>
                <w:rFonts w:ascii="Arial" w:hAnsi="Arial" w:cs="Arial"/>
                <w:bCs/>
                <w:color w:val="000000"/>
              </w:rPr>
            </w:pPr>
            <w:r w:rsidRPr="005D1C1E">
              <w:rPr>
                <w:rFonts w:ascii="Arial" w:hAnsi="Arial" w:cs="Arial"/>
                <w:bCs/>
                <w:color w:val="000000"/>
              </w:rPr>
              <w:t>Authority Required (STREAMLINED) listing for allergic rhinitis</w:t>
            </w:r>
            <w:r w:rsidRPr="001A37EB">
              <w:rPr>
                <w:rFonts w:ascii="Arial" w:hAnsi="Arial" w:cs="Arial"/>
                <w:bCs/>
                <w:color w:val="000000"/>
              </w:rPr>
              <w:t xml:space="preserve"> due to grass pollen.</w:t>
            </w:r>
          </w:p>
        </w:tc>
        <w:tc>
          <w:tcPr>
            <w:tcW w:w="0" w:type="auto"/>
          </w:tcPr>
          <w:p w:rsidR="00E1153D" w:rsidRPr="00E1153D" w:rsidRDefault="00E1153D" w:rsidP="00E1153D">
            <w:pPr>
              <w:rPr>
                <w:rFonts w:ascii="Arial" w:hAnsi="Arial" w:cs="Arial"/>
                <w:color w:val="000000"/>
              </w:rPr>
            </w:pPr>
            <w:r w:rsidRPr="00E1153D">
              <w:rPr>
                <w:rFonts w:ascii="Arial" w:hAnsi="Arial" w:cs="Arial"/>
                <w:color w:val="000000"/>
              </w:rPr>
              <w:t>The PBAC did not recommend the listing of a sublingual form of allergen immunotherapy, Dactylis glomerata with Poa pratensis with Lolium perenne with Anthoxanthum odoratum and Phleum pratense (referred to by the trade name, Oralair</w:t>
            </w:r>
            <w:r w:rsidRPr="009D7050">
              <w:rPr>
                <w:rFonts w:ascii="Arial" w:hAnsi="Arial" w:cs="Arial"/>
                <w:color w:val="000000"/>
                <w:vertAlign w:val="superscript"/>
              </w:rPr>
              <w:t>®</w:t>
            </w:r>
            <w:r w:rsidRPr="00E1153D">
              <w:rPr>
                <w:rFonts w:ascii="Arial" w:hAnsi="Arial" w:cs="Arial"/>
                <w:color w:val="000000"/>
              </w:rPr>
              <w:t>), on the PBS for allergic rhinitis due to grass pollen. In reaching this conclusion, the PBAC considered that the magnitude of clinical benefit was unclear and the cost-effectiveness of the requested listing was unknown.</w:t>
            </w:r>
          </w:p>
          <w:p w:rsidR="00E1153D" w:rsidRPr="00E1153D" w:rsidRDefault="00E1153D" w:rsidP="00E1153D">
            <w:pPr>
              <w:rPr>
                <w:rFonts w:ascii="Arial" w:hAnsi="Arial" w:cs="Arial"/>
                <w:color w:val="000000"/>
              </w:rPr>
            </w:pPr>
          </w:p>
          <w:p w:rsidR="00E1153D" w:rsidRPr="00E1153D" w:rsidRDefault="00E1153D" w:rsidP="00E1153D">
            <w:pPr>
              <w:rPr>
                <w:rFonts w:ascii="Arial" w:hAnsi="Arial" w:cs="Arial"/>
                <w:bCs/>
                <w:szCs w:val="22"/>
              </w:rPr>
            </w:pPr>
            <w:r w:rsidRPr="00E1153D">
              <w:rPr>
                <w:rFonts w:ascii="Arial" w:hAnsi="Arial" w:cs="Arial"/>
                <w:bCs/>
                <w:szCs w:val="22"/>
              </w:rPr>
              <w:t>On the basis of the meta-analysed results of the clinical trials presented in the submission, Oralair compared with placebo resulted in:</w:t>
            </w:r>
          </w:p>
          <w:p w:rsidR="00E1153D" w:rsidRPr="00E1153D" w:rsidRDefault="00E1153D" w:rsidP="00BC2791">
            <w:pPr>
              <w:pStyle w:val="ListParagraph"/>
              <w:numPr>
                <w:ilvl w:val="0"/>
                <w:numId w:val="44"/>
              </w:numPr>
              <w:ind w:left="284" w:hanging="284"/>
              <w:rPr>
                <w:rFonts w:ascii="Arial" w:hAnsi="Arial" w:cs="Arial"/>
                <w:sz w:val="20"/>
                <w:szCs w:val="20"/>
              </w:rPr>
            </w:pPr>
            <w:r w:rsidRPr="00E1153D">
              <w:rPr>
                <w:rFonts w:ascii="Arial" w:hAnsi="Arial" w:cs="Arial"/>
                <w:sz w:val="20"/>
                <w:szCs w:val="20"/>
              </w:rPr>
              <w:t>A reduction in symptoms as measured by the average rhinoconjunctivitis total symptom score (ARcTSS) score, of 1.0 on the 18</w:t>
            </w:r>
            <w:r w:rsidRPr="00E1153D">
              <w:rPr>
                <w:rFonts w:ascii="Arial" w:hAnsi="Arial" w:cs="Arial"/>
                <w:sz w:val="20"/>
                <w:szCs w:val="20"/>
              </w:rPr>
              <w:noBreakHyphen/>
              <w:t>point symptom scale. A one point reduction in the symptom score represents a reduction in the severity of one of six allergic rhinitis symptoms (sneezing, rhinorrhoea, nasal pruritus, nasal congestion, ocular pruritus and watery eyes) from severe to moderate, moderate to mild, or mild to no symptom.  The PBAC noted that the six allergic rhinitis symptoms may not be all equally relevant in patients suffering from allergic rhinitis due to grass pollen.</w:t>
            </w:r>
          </w:p>
          <w:p w:rsidR="00E1153D" w:rsidRPr="00E1153D" w:rsidRDefault="00E1153D" w:rsidP="00BC2791">
            <w:pPr>
              <w:pStyle w:val="ListParagraph"/>
              <w:numPr>
                <w:ilvl w:val="0"/>
                <w:numId w:val="44"/>
              </w:numPr>
              <w:ind w:left="284" w:hanging="284"/>
              <w:rPr>
                <w:rFonts w:ascii="Arial" w:hAnsi="Arial" w:cs="Arial"/>
                <w:sz w:val="20"/>
                <w:szCs w:val="20"/>
              </w:rPr>
            </w:pPr>
            <w:r w:rsidRPr="00E1153D">
              <w:rPr>
                <w:rFonts w:ascii="Arial" w:hAnsi="Arial" w:cs="Arial"/>
                <w:sz w:val="20"/>
                <w:szCs w:val="20"/>
              </w:rPr>
              <w:t xml:space="preserve">A 6% increase in the number of days in which allergic rhinitis symptoms were controlled without the use of symptomatic treatments (e.g. oral antihistamines, nasal corticosteroids). With an average duration of pollen season of approximately 2 months across the trials, this translates to an additional 3.5 symptom controlled days. </w:t>
            </w:r>
          </w:p>
          <w:p w:rsidR="00E1153D" w:rsidRPr="00E1153D" w:rsidRDefault="00E1153D" w:rsidP="00E1153D">
            <w:pPr>
              <w:rPr>
                <w:rFonts w:ascii="Arial" w:hAnsi="Arial" w:cs="Arial"/>
              </w:rPr>
            </w:pPr>
            <w:r w:rsidRPr="00E1153D">
              <w:rPr>
                <w:rFonts w:ascii="Arial" w:hAnsi="Arial" w:cs="Arial"/>
              </w:rPr>
              <w:t>The PBAC considered the clinical evidence presented in the submission to be difficult to interpret and therefore considered the likely treatment benefits to be uncertain.</w:t>
            </w:r>
          </w:p>
          <w:p w:rsidR="00E1153D" w:rsidRPr="00E1153D" w:rsidRDefault="00E1153D" w:rsidP="00E1153D">
            <w:pPr>
              <w:rPr>
                <w:rFonts w:ascii="Arial" w:hAnsi="Arial" w:cs="Arial"/>
              </w:rPr>
            </w:pPr>
          </w:p>
          <w:p w:rsidR="00E1153D" w:rsidRDefault="00E1153D" w:rsidP="00E1153D">
            <w:pPr>
              <w:rPr>
                <w:rFonts w:ascii="Arial" w:hAnsi="Arial" w:cs="Arial"/>
                <w:bCs/>
                <w:szCs w:val="22"/>
                <w:lang w:val="en-GB"/>
              </w:rPr>
            </w:pPr>
            <w:r w:rsidRPr="00E1153D">
              <w:rPr>
                <w:rFonts w:ascii="Arial" w:hAnsi="Arial" w:cs="Arial"/>
                <w:bCs/>
                <w:szCs w:val="22"/>
                <w:lang w:val="en-GB"/>
              </w:rPr>
              <w:t xml:space="preserve">The PBAC considered the cost effectiveness was hard to interpret as the submission effectively modelled outcomes in terms of </w:t>
            </w:r>
            <w:r w:rsidRPr="00E1153D">
              <w:rPr>
                <w:rFonts w:ascii="Arial" w:hAnsi="Arial" w:cs="Arial"/>
                <w:szCs w:val="22"/>
              </w:rPr>
              <w:t>rhinitis symptom adjusted life years (</w:t>
            </w:r>
            <w:r w:rsidRPr="00E1153D">
              <w:rPr>
                <w:rFonts w:ascii="Arial" w:hAnsi="Arial" w:cs="Arial"/>
                <w:bCs/>
                <w:szCs w:val="22"/>
                <w:lang w:val="en-GB"/>
              </w:rPr>
              <w:t xml:space="preserve">RSALYs) instead of quality adjusted life years (QALYs) and therefore the results did not allow for a comparison of cost effectiveness to other health interventions. In addition, the incremental cost effectiveness per RSALY was uncertain as </w:t>
            </w:r>
            <w:r w:rsidR="00FD4DD3">
              <w:rPr>
                <w:rFonts w:ascii="Arial" w:hAnsi="Arial" w:cs="Arial"/>
                <w:bCs/>
                <w:szCs w:val="22"/>
                <w:lang w:val="en-GB"/>
              </w:rPr>
              <w:t xml:space="preserve">the </w:t>
            </w:r>
            <w:r w:rsidRPr="00E1153D">
              <w:rPr>
                <w:rFonts w:ascii="Arial" w:hAnsi="Arial" w:cs="Arial"/>
                <w:bCs/>
                <w:szCs w:val="22"/>
                <w:lang w:val="en-GB"/>
              </w:rPr>
              <w:t>model did not adequately account for the substantial variability expected in treatment effects due to variations of patient characteristics and allergen exposure (including length of pollen season). Further, the submission assumed a sustained and constant treatment effect of six years after three years of treatment which the PBAC considered was not adequately supported by the clinical evidence.</w:t>
            </w:r>
          </w:p>
          <w:p w:rsidR="004D1133" w:rsidRPr="00E1153D" w:rsidRDefault="004D1133" w:rsidP="00E1153D">
            <w:pPr>
              <w:rPr>
                <w:rFonts w:ascii="Arial" w:hAnsi="Arial" w:cs="Arial"/>
                <w:iCs/>
              </w:rPr>
            </w:pPr>
          </w:p>
        </w:tc>
      </w:tr>
      <w:tr w:rsidR="00E1153D" w:rsidRPr="00395B97" w:rsidTr="007A3893">
        <w:trPr>
          <w:cantSplit/>
          <w:trHeight w:val="465"/>
        </w:trPr>
        <w:tc>
          <w:tcPr>
            <w:tcW w:w="0" w:type="auto"/>
            <w:vMerge/>
            <w:tcMar>
              <w:top w:w="28" w:type="dxa"/>
              <w:bottom w:w="28" w:type="dxa"/>
            </w:tcMar>
          </w:tcPr>
          <w:p w:rsidR="00E1153D" w:rsidRPr="00395B97" w:rsidRDefault="00E1153D" w:rsidP="00335779">
            <w:pPr>
              <w:rPr>
                <w:rFonts w:ascii="Arial" w:hAnsi="Arial" w:cs="Arial"/>
              </w:rPr>
            </w:pPr>
          </w:p>
        </w:tc>
        <w:tc>
          <w:tcPr>
            <w:tcW w:w="0" w:type="auto"/>
            <w:vMerge/>
          </w:tcPr>
          <w:p w:rsidR="00E1153D" w:rsidRPr="00395B97" w:rsidRDefault="00E1153D" w:rsidP="00335779">
            <w:pPr>
              <w:widowControl w:val="0"/>
              <w:rPr>
                <w:rFonts w:ascii="Arial" w:hAnsi="Arial" w:cs="Arial"/>
                <w:snapToGrid w:val="0"/>
                <w:lang w:eastAsia="en-US"/>
              </w:rPr>
            </w:pPr>
          </w:p>
        </w:tc>
        <w:tc>
          <w:tcPr>
            <w:tcW w:w="0" w:type="auto"/>
            <w:tcMar>
              <w:top w:w="28" w:type="dxa"/>
              <w:bottom w:w="28" w:type="dxa"/>
            </w:tcMar>
          </w:tcPr>
          <w:p w:rsidR="00E1153D" w:rsidRPr="00461D75" w:rsidRDefault="00E1153D" w:rsidP="00ED5629">
            <w:pPr>
              <w:rPr>
                <w:rFonts w:ascii="Arial" w:hAnsi="Arial" w:cs="Arial"/>
                <w:bCs/>
                <w:color w:val="000000"/>
              </w:rPr>
            </w:pPr>
          </w:p>
        </w:tc>
        <w:tc>
          <w:tcPr>
            <w:tcW w:w="0" w:type="auto"/>
          </w:tcPr>
          <w:p w:rsidR="00E1153D" w:rsidRPr="00E1153D" w:rsidRDefault="00E1153D" w:rsidP="00E1153D">
            <w:pPr>
              <w:rPr>
                <w:rFonts w:ascii="Arial" w:hAnsi="Arial" w:cs="Arial"/>
                <w:bCs/>
                <w:szCs w:val="22"/>
                <w:lang w:val="en-GB"/>
              </w:rPr>
            </w:pPr>
            <w:r>
              <w:rPr>
                <w:rFonts w:ascii="Arial" w:hAnsi="Arial" w:cs="Arial"/>
                <w:bCs/>
                <w:szCs w:val="22"/>
                <w:lang w:val="en-GB"/>
              </w:rPr>
              <w:t>T</w:t>
            </w:r>
            <w:r w:rsidRPr="00E1153D">
              <w:rPr>
                <w:rFonts w:ascii="Arial" w:hAnsi="Arial" w:cs="Arial"/>
                <w:bCs/>
                <w:szCs w:val="22"/>
                <w:lang w:val="en-GB"/>
              </w:rPr>
              <w:t>he PBAC considered that the estimated financial implications and utilisation were uncertain and likely to be underestimated.</w:t>
            </w:r>
          </w:p>
        </w:tc>
      </w:tr>
      <w:tr w:rsidR="004D1133" w:rsidRPr="00395B97" w:rsidTr="007A3893">
        <w:trPr>
          <w:cantSplit/>
          <w:trHeight w:val="465"/>
        </w:trPr>
        <w:tc>
          <w:tcPr>
            <w:tcW w:w="0" w:type="auto"/>
            <w:vMerge/>
            <w:tcMar>
              <w:top w:w="28" w:type="dxa"/>
              <w:bottom w:w="28" w:type="dxa"/>
            </w:tcMar>
          </w:tcPr>
          <w:p w:rsidR="004D1133" w:rsidRPr="00395B97" w:rsidRDefault="004D1133" w:rsidP="00335779">
            <w:pPr>
              <w:rPr>
                <w:rFonts w:ascii="Arial" w:hAnsi="Arial" w:cs="Arial"/>
              </w:rPr>
            </w:pPr>
          </w:p>
        </w:tc>
        <w:tc>
          <w:tcPr>
            <w:tcW w:w="0" w:type="auto"/>
            <w:vMerge/>
          </w:tcPr>
          <w:p w:rsidR="004D1133" w:rsidRPr="00395B97" w:rsidRDefault="004D1133" w:rsidP="00335779">
            <w:pPr>
              <w:widowControl w:val="0"/>
              <w:rPr>
                <w:rFonts w:ascii="Arial" w:hAnsi="Arial" w:cs="Arial"/>
                <w:snapToGrid w:val="0"/>
                <w:lang w:eastAsia="en-US"/>
              </w:rPr>
            </w:pPr>
          </w:p>
        </w:tc>
        <w:tc>
          <w:tcPr>
            <w:tcW w:w="0" w:type="auto"/>
            <w:tcMar>
              <w:top w:w="28" w:type="dxa"/>
              <w:bottom w:w="28" w:type="dxa"/>
            </w:tcMar>
          </w:tcPr>
          <w:p w:rsidR="004D1133" w:rsidRPr="00363865" w:rsidRDefault="004D1133" w:rsidP="00ED5629">
            <w:pPr>
              <w:rPr>
                <w:rFonts w:ascii="Arial" w:hAnsi="Arial" w:cs="Arial"/>
                <w:bCs/>
                <w:color w:val="000000"/>
              </w:rPr>
            </w:pPr>
            <w:r w:rsidRPr="00461D75">
              <w:rPr>
                <w:rFonts w:ascii="Arial" w:hAnsi="Arial" w:cs="Arial"/>
                <w:bCs/>
                <w:color w:val="000000"/>
              </w:rPr>
              <w:t>Sponsor comment:</w:t>
            </w:r>
          </w:p>
        </w:tc>
        <w:tc>
          <w:tcPr>
            <w:tcW w:w="0" w:type="auto"/>
          </w:tcPr>
          <w:p w:rsidR="000F7649" w:rsidRPr="000F7649" w:rsidRDefault="000F7649" w:rsidP="000F7649">
            <w:pPr>
              <w:rPr>
                <w:rFonts w:ascii="Arial" w:hAnsi="Arial" w:cs="Arial"/>
                <w:bCs/>
                <w:szCs w:val="22"/>
                <w:lang w:val="en-GB"/>
              </w:rPr>
            </w:pPr>
            <w:r w:rsidRPr="000F7649">
              <w:rPr>
                <w:rFonts w:ascii="Arial" w:hAnsi="Arial" w:cs="Arial"/>
                <w:bCs/>
                <w:szCs w:val="22"/>
                <w:lang w:val="en-GB"/>
              </w:rPr>
              <w:t xml:space="preserve">Stallergenes is committed to working with the PBAC and the Department of Health to provide access to this </w:t>
            </w:r>
            <w:r>
              <w:rPr>
                <w:rFonts w:ascii="Arial" w:hAnsi="Arial" w:cs="Arial"/>
                <w:bCs/>
                <w:szCs w:val="22"/>
                <w:lang w:val="en-GB"/>
              </w:rPr>
              <w:t xml:space="preserve">therapeutic alternative </w:t>
            </w:r>
            <w:r w:rsidRPr="000F7649">
              <w:rPr>
                <w:rFonts w:ascii="Arial" w:hAnsi="Arial" w:cs="Arial"/>
                <w:bCs/>
                <w:szCs w:val="22"/>
                <w:lang w:val="en-GB"/>
              </w:rPr>
              <w:t xml:space="preserve">for patients with moderate to severe allergic rhinitis induced </w:t>
            </w:r>
            <w:r>
              <w:rPr>
                <w:rFonts w:ascii="Arial" w:hAnsi="Arial" w:cs="Arial"/>
                <w:bCs/>
                <w:szCs w:val="22"/>
                <w:lang w:val="en-GB"/>
              </w:rPr>
              <w:t xml:space="preserve">by grass pollen who are </w:t>
            </w:r>
            <w:r w:rsidRPr="000F7649">
              <w:rPr>
                <w:rFonts w:ascii="Arial" w:hAnsi="Arial" w:cs="Arial"/>
                <w:bCs/>
                <w:szCs w:val="22"/>
                <w:lang w:val="en-GB"/>
              </w:rPr>
              <w:t>not properly controlled by standard treatments.</w:t>
            </w:r>
          </w:p>
          <w:p w:rsidR="004D1133" w:rsidRPr="00E1153D" w:rsidRDefault="004D1133" w:rsidP="002B45D1">
            <w:pPr>
              <w:jc w:val="both"/>
              <w:rPr>
                <w:rFonts w:ascii="Arial" w:hAnsi="Arial" w:cs="Arial"/>
                <w:iCs/>
              </w:rPr>
            </w:pPr>
          </w:p>
          <w:p w:rsidR="004D1133" w:rsidRPr="00E1153D" w:rsidRDefault="004D1133" w:rsidP="002B45D1">
            <w:pPr>
              <w:jc w:val="both"/>
              <w:rPr>
                <w:rFonts w:ascii="Arial" w:hAnsi="Arial" w:cs="Arial"/>
                <w:iCs/>
              </w:rPr>
            </w:pPr>
          </w:p>
          <w:p w:rsidR="004D1133" w:rsidRPr="00E1153D" w:rsidRDefault="004D1133" w:rsidP="002B45D1">
            <w:pPr>
              <w:jc w:val="both"/>
              <w:rPr>
                <w:rFonts w:ascii="Arial" w:hAnsi="Arial" w:cs="Arial"/>
                <w:iCs/>
              </w:rPr>
            </w:pPr>
          </w:p>
        </w:tc>
      </w:tr>
      <w:tr w:rsidR="004D1133" w:rsidRPr="00395B97" w:rsidTr="007A3893">
        <w:trPr>
          <w:cantSplit/>
          <w:trHeight w:val="211"/>
        </w:trPr>
        <w:tc>
          <w:tcPr>
            <w:tcW w:w="0" w:type="auto"/>
            <w:vMerge w:val="restart"/>
            <w:tcMar>
              <w:top w:w="28" w:type="dxa"/>
              <w:bottom w:w="28" w:type="dxa"/>
            </w:tcMar>
          </w:tcPr>
          <w:p w:rsidR="006A7E21" w:rsidRPr="00FD4DD3" w:rsidRDefault="004D1133" w:rsidP="00ED5629">
            <w:pPr>
              <w:rPr>
                <w:rFonts w:ascii="Arial" w:hAnsi="Arial" w:cs="Arial"/>
                <w:bCs/>
                <w:color w:val="000000"/>
              </w:rPr>
            </w:pPr>
            <w:r w:rsidRPr="005D1C1E">
              <w:rPr>
                <w:rFonts w:ascii="Arial" w:hAnsi="Arial" w:cs="Arial"/>
                <w:bCs/>
                <w:color w:val="000000"/>
              </w:rPr>
              <w:lastRenderedPageBreak/>
              <w:t>HOUSE DUST MITE AMERICAN with HOUSE DUST MITE EUROPEAN</w:t>
            </w:r>
            <w:r w:rsidRPr="005D1C1E">
              <w:rPr>
                <w:rFonts w:ascii="Arial" w:hAnsi="Arial" w:cs="Arial"/>
                <w:bCs/>
                <w:color w:val="000000"/>
              </w:rPr>
              <w:br/>
            </w:r>
            <w:r w:rsidRPr="005D1C1E">
              <w:rPr>
                <w:rFonts w:ascii="Arial" w:hAnsi="Arial" w:cs="Arial"/>
                <w:bCs/>
                <w:color w:val="000000"/>
              </w:rPr>
              <w:br/>
            </w:r>
            <w:r w:rsidRPr="00FD4DD3">
              <w:rPr>
                <w:rFonts w:ascii="Arial" w:hAnsi="Arial" w:cs="Arial"/>
                <w:bCs/>
                <w:color w:val="000000"/>
              </w:rPr>
              <w:t xml:space="preserve">100 IR tablet: sublingual, </w:t>
            </w:r>
          </w:p>
          <w:p w:rsidR="006A7E21" w:rsidRPr="00642334" w:rsidRDefault="004D1133" w:rsidP="00ED5629">
            <w:pPr>
              <w:rPr>
                <w:rFonts w:ascii="Arial" w:hAnsi="Arial" w:cs="Arial"/>
                <w:bCs/>
                <w:color w:val="000000"/>
              </w:rPr>
            </w:pPr>
            <w:r w:rsidRPr="00AA53BB">
              <w:rPr>
                <w:rFonts w:ascii="Arial" w:hAnsi="Arial" w:cs="Arial"/>
                <w:bCs/>
                <w:color w:val="000000"/>
              </w:rPr>
              <w:t>3 + 300 IR tablet: sublingual, 28;</w:t>
            </w:r>
            <w:r w:rsidR="00021827" w:rsidRPr="00642334">
              <w:rPr>
                <w:rFonts w:ascii="Arial" w:hAnsi="Arial" w:cs="Arial"/>
                <w:bCs/>
                <w:color w:val="000000"/>
              </w:rPr>
              <w:t xml:space="preserve"> </w:t>
            </w:r>
          </w:p>
          <w:p w:rsidR="004D1133" w:rsidRDefault="004D1133" w:rsidP="00ED5629">
            <w:pPr>
              <w:rPr>
                <w:rFonts w:ascii="Arial" w:hAnsi="Arial" w:cs="Arial"/>
                <w:bCs/>
                <w:color w:val="000000"/>
              </w:rPr>
            </w:pPr>
            <w:r w:rsidRPr="00642334">
              <w:rPr>
                <w:rFonts w:ascii="Arial" w:hAnsi="Arial" w:cs="Arial"/>
                <w:bCs/>
                <w:color w:val="000000"/>
              </w:rPr>
              <w:t>300 IR tablet: sublingual, 30</w:t>
            </w:r>
            <w:r w:rsidRPr="005D1C1E">
              <w:rPr>
                <w:rFonts w:ascii="Arial" w:hAnsi="Arial" w:cs="Arial"/>
                <w:bCs/>
                <w:color w:val="000000"/>
              </w:rPr>
              <w:br/>
            </w:r>
            <w:r w:rsidRPr="005D1C1E">
              <w:rPr>
                <w:rFonts w:ascii="Arial" w:hAnsi="Arial" w:cs="Arial"/>
                <w:bCs/>
                <w:color w:val="000000"/>
              </w:rPr>
              <w:br/>
              <w:t>Actair</w:t>
            </w:r>
            <w:r w:rsidRPr="009D7050">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Stallergenes Australia Pty Ltd</w:t>
            </w:r>
          </w:p>
          <w:p w:rsidR="004D1133" w:rsidRDefault="004D1133" w:rsidP="00ED5629">
            <w:pPr>
              <w:rPr>
                <w:rFonts w:ascii="Arial" w:hAnsi="Arial" w:cs="Arial"/>
                <w:bCs/>
                <w:color w:val="000000"/>
              </w:rPr>
            </w:pPr>
          </w:p>
          <w:p w:rsidR="004D1133" w:rsidRPr="00395B97" w:rsidRDefault="004D1133" w:rsidP="00ED5629">
            <w:pPr>
              <w:rPr>
                <w:rFonts w:ascii="Arial" w:hAnsi="Arial" w:cs="Arial"/>
              </w:rPr>
            </w:pPr>
            <w:r w:rsidRPr="005D1C1E">
              <w:rPr>
                <w:rFonts w:ascii="Arial" w:hAnsi="Arial" w:cs="Arial"/>
                <w:bCs/>
                <w:color w:val="000000"/>
              </w:rPr>
              <w:t>New listing</w:t>
            </w:r>
            <w:r w:rsidRPr="005D1C1E">
              <w:rPr>
                <w:rFonts w:ascii="Arial" w:hAnsi="Arial" w:cs="Arial"/>
                <w:bCs/>
                <w:color w:val="000000"/>
              </w:rPr>
              <w:br/>
            </w:r>
            <w:r w:rsidRPr="005D1C1E">
              <w:rPr>
                <w:rFonts w:ascii="Arial" w:hAnsi="Arial" w:cs="Arial"/>
                <w:bCs/>
                <w:color w:val="000000"/>
              </w:rPr>
              <w:br/>
              <w:t>(Major Submission)</w:t>
            </w:r>
          </w:p>
        </w:tc>
        <w:tc>
          <w:tcPr>
            <w:tcW w:w="0" w:type="auto"/>
            <w:vMerge w:val="restart"/>
          </w:tcPr>
          <w:p w:rsidR="004D1133" w:rsidRPr="00395B97" w:rsidRDefault="004D1133" w:rsidP="00ED5629">
            <w:pPr>
              <w:widowControl w:val="0"/>
              <w:rPr>
                <w:rFonts w:ascii="Arial" w:hAnsi="Arial" w:cs="Arial"/>
                <w:snapToGrid w:val="0"/>
                <w:lang w:eastAsia="en-US"/>
              </w:rPr>
            </w:pPr>
            <w:r w:rsidRPr="005D1C1E">
              <w:rPr>
                <w:rFonts w:ascii="Arial" w:hAnsi="Arial" w:cs="Arial"/>
                <w:bCs/>
                <w:color w:val="000000"/>
              </w:rPr>
              <w:t>Allergic rhinitis due to house dust mites</w:t>
            </w:r>
          </w:p>
        </w:tc>
        <w:tc>
          <w:tcPr>
            <w:tcW w:w="0" w:type="auto"/>
            <w:tcMar>
              <w:top w:w="28" w:type="dxa"/>
              <w:bottom w:w="28" w:type="dxa"/>
            </w:tcMar>
          </w:tcPr>
          <w:p w:rsidR="004D1133" w:rsidRPr="00395B97" w:rsidRDefault="004D1133" w:rsidP="004D1133">
            <w:pPr>
              <w:rPr>
                <w:rFonts w:ascii="Arial" w:hAnsi="Arial" w:cs="Arial"/>
                <w:snapToGrid w:val="0"/>
                <w:lang w:eastAsia="en-US"/>
              </w:rPr>
            </w:pPr>
            <w:r w:rsidRPr="005D1C1E">
              <w:rPr>
                <w:rFonts w:ascii="Arial" w:hAnsi="Arial" w:cs="Arial"/>
                <w:bCs/>
                <w:color w:val="000000"/>
              </w:rPr>
              <w:t>Authority Required (STREAMLINED) listing for allergic rhinitis</w:t>
            </w:r>
            <w:r w:rsidRPr="001A37EB">
              <w:rPr>
                <w:rFonts w:ascii="Arial" w:hAnsi="Arial" w:cs="Arial"/>
                <w:bCs/>
                <w:color w:val="000000"/>
              </w:rPr>
              <w:t xml:space="preserve"> due to house dust mite</w:t>
            </w:r>
            <w:r w:rsidRPr="005D1C1E">
              <w:rPr>
                <w:rFonts w:ascii="Arial" w:hAnsi="Arial" w:cs="Arial"/>
                <w:bCs/>
                <w:color w:val="000000"/>
              </w:rPr>
              <w:t>.</w:t>
            </w:r>
          </w:p>
        </w:tc>
        <w:tc>
          <w:tcPr>
            <w:tcW w:w="0" w:type="auto"/>
          </w:tcPr>
          <w:p w:rsidR="003444EC" w:rsidRPr="003444EC" w:rsidRDefault="003444EC" w:rsidP="003444EC">
            <w:pPr>
              <w:contextualSpacing/>
              <w:rPr>
                <w:rFonts w:ascii="Arial" w:hAnsi="Arial" w:cs="Arial"/>
                <w:bCs/>
                <w:szCs w:val="22"/>
                <w:lang w:val="en-GB"/>
              </w:rPr>
            </w:pPr>
            <w:r w:rsidRPr="003444EC">
              <w:rPr>
                <w:rFonts w:ascii="Arial" w:hAnsi="Arial" w:cs="Arial"/>
                <w:bCs/>
                <w:szCs w:val="22"/>
                <w:lang w:val="en-GB"/>
              </w:rPr>
              <w:t xml:space="preserve">The PBAC did not recommend the listing of </w:t>
            </w:r>
            <w:r w:rsidRPr="003444EC">
              <w:rPr>
                <w:rFonts w:ascii="Arial" w:hAnsi="Arial" w:cs="Arial"/>
                <w:color w:val="000000"/>
              </w:rPr>
              <w:t>a sublingual form of allergen immunotherapy,</w:t>
            </w:r>
            <w:r w:rsidRPr="003444EC">
              <w:rPr>
                <w:rFonts w:ascii="Arial" w:hAnsi="Arial" w:cs="Arial"/>
                <w:bCs/>
                <w:szCs w:val="22"/>
                <w:lang w:val="en-GB"/>
              </w:rPr>
              <w:t xml:space="preserve"> </w:t>
            </w:r>
            <w:r w:rsidRPr="003444EC">
              <w:rPr>
                <w:rFonts w:ascii="Arial" w:hAnsi="Arial" w:cs="Arial"/>
                <w:szCs w:val="22"/>
              </w:rPr>
              <w:t>house dust mite American with house dust mite European (referred to by the trade name Actair</w:t>
            </w:r>
            <w:r w:rsidRPr="009D7050">
              <w:rPr>
                <w:rFonts w:ascii="Arial" w:hAnsi="Arial" w:cs="Arial"/>
                <w:szCs w:val="22"/>
                <w:vertAlign w:val="superscript"/>
              </w:rPr>
              <w:t>®</w:t>
            </w:r>
            <w:r w:rsidRPr="003444EC">
              <w:rPr>
                <w:rFonts w:ascii="Arial" w:hAnsi="Arial" w:cs="Arial"/>
                <w:szCs w:val="22"/>
              </w:rPr>
              <w:t xml:space="preserve">) </w:t>
            </w:r>
            <w:r w:rsidRPr="003444EC">
              <w:rPr>
                <w:rFonts w:ascii="Arial" w:hAnsi="Arial" w:cs="Arial"/>
                <w:bCs/>
                <w:szCs w:val="22"/>
                <w:lang w:val="en-GB"/>
              </w:rPr>
              <w:t>on the PBS for allergic rhinitis due to house dust mites. In reaching this conclusion, the PBAC considered that the magnitude of clinical benefit was unclear, and the estimate of cost</w:t>
            </w:r>
            <w:r w:rsidRPr="003444EC">
              <w:rPr>
                <w:rFonts w:ascii="Arial" w:hAnsi="Arial" w:cs="Arial"/>
                <w:bCs/>
                <w:szCs w:val="22"/>
                <w:lang w:val="en-GB"/>
              </w:rPr>
              <w:noBreakHyphen/>
              <w:t>effectiveness as presented in the submission was unknown.</w:t>
            </w:r>
          </w:p>
          <w:p w:rsidR="003444EC" w:rsidRPr="003444EC" w:rsidRDefault="003444EC" w:rsidP="003444EC">
            <w:pPr>
              <w:contextualSpacing/>
              <w:rPr>
                <w:rFonts w:ascii="Arial" w:hAnsi="Arial" w:cs="Arial"/>
                <w:bCs/>
                <w:szCs w:val="22"/>
                <w:lang w:val="en-GB"/>
              </w:rPr>
            </w:pPr>
          </w:p>
          <w:p w:rsidR="003444EC" w:rsidRPr="003444EC" w:rsidRDefault="003444EC" w:rsidP="003444EC">
            <w:pPr>
              <w:rPr>
                <w:rFonts w:ascii="Arial" w:hAnsi="Arial" w:cs="Arial"/>
                <w:szCs w:val="22"/>
              </w:rPr>
            </w:pPr>
            <w:r w:rsidRPr="003444EC">
              <w:rPr>
                <w:rFonts w:ascii="Arial" w:hAnsi="Arial" w:cs="Arial"/>
              </w:rPr>
              <w:t>On the basis of the evidence presente</w:t>
            </w:r>
            <w:r w:rsidR="009D7050">
              <w:rPr>
                <w:rFonts w:ascii="Arial" w:hAnsi="Arial" w:cs="Arial"/>
              </w:rPr>
              <w:t xml:space="preserve">d in the submission for Actair </w:t>
            </w:r>
            <w:r w:rsidRPr="003444EC">
              <w:rPr>
                <w:rFonts w:ascii="Arial" w:hAnsi="Arial" w:cs="Arial"/>
              </w:rPr>
              <w:t>compared to placebo resulted in an average reduction in symptoms, as measured by the rhinitis total symptom score of between 0.62 (on a scale of 0 to 12) as measured in trial VO57.07, to 1.31 (on a scale of 0 to 15) in trial 1207d1731. A 1 point reduction in symptom scores represents a reduction in the severity of one of four symptoms (sneezing, rhinorrhoea, nasal congestion, nasal pruritus) from severe to moderate, moderate to mild, or mild to no symptoms.</w:t>
            </w:r>
          </w:p>
          <w:p w:rsidR="003444EC" w:rsidRPr="003444EC" w:rsidRDefault="003444EC" w:rsidP="003444EC">
            <w:pPr>
              <w:rPr>
                <w:rFonts w:ascii="Arial" w:hAnsi="Arial" w:cs="Arial"/>
                <w:szCs w:val="22"/>
              </w:rPr>
            </w:pPr>
          </w:p>
          <w:p w:rsidR="003444EC" w:rsidRPr="003444EC" w:rsidRDefault="003444EC" w:rsidP="003444EC">
            <w:pPr>
              <w:rPr>
                <w:rFonts w:ascii="Arial" w:hAnsi="Arial" w:cs="Arial"/>
              </w:rPr>
            </w:pPr>
            <w:r w:rsidRPr="003444EC">
              <w:rPr>
                <w:rFonts w:ascii="Arial" w:hAnsi="Arial" w:cs="Arial"/>
              </w:rPr>
              <w:t>The PBAC considered the clinical evidence presented in the submission to be difficult to interpret and therefore considered the likely benefits to patients to be uncertain.</w:t>
            </w:r>
          </w:p>
          <w:p w:rsidR="003444EC" w:rsidRPr="003444EC" w:rsidRDefault="003444EC" w:rsidP="003444EC">
            <w:pPr>
              <w:rPr>
                <w:rStyle w:val="IntenseReference"/>
                <w:rFonts w:ascii="Arial" w:hAnsi="Arial" w:cs="Arial"/>
                <w:b w:val="0"/>
                <w:bCs w:val="0"/>
                <w:i w:val="0"/>
                <w:smallCaps w:val="0"/>
              </w:rPr>
            </w:pPr>
          </w:p>
          <w:p w:rsidR="003444EC" w:rsidRPr="003444EC" w:rsidRDefault="003444EC" w:rsidP="003444EC">
            <w:pPr>
              <w:rPr>
                <w:rFonts w:ascii="Arial" w:hAnsi="Arial" w:cs="Arial"/>
                <w:bCs/>
                <w:szCs w:val="22"/>
                <w:lang w:val="en-GB"/>
              </w:rPr>
            </w:pPr>
            <w:r w:rsidRPr="003444EC">
              <w:rPr>
                <w:rFonts w:ascii="Arial" w:hAnsi="Arial" w:cs="Arial"/>
                <w:bCs/>
                <w:szCs w:val="22"/>
                <w:lang w:val="en-GB"/>
              </w:rPr>
              <w:t xml:space="preserve">The PBAC considered the cost effectiveness was hard to interpret as the submission effectively modelled outcomes in terms of </w:t>
            </w:r>
            <w:r w:rsidRPr="003444EC">
              <w:rPr>
                <w:rFonts w:ascii="Arial" w:hAnsi="Arial" w:cs="Arial"/>
                <w:szCs w:val="22"/>
              </w:rPr>
              <w:t>rhinitis symptom adjusted life years (</w:t>
            </w:r>
            <w:r w:rsidRPr="003444EC">
              <w:rPr>
                <w:rFonts w:ascii="Arial" w:hAnsi="Arial" w:cs="Arial"/>
                <w:bCs/>
                <w:szCs w:val="22"/>
                <w:lang w:val="en-GB"/>
              </w:rPr>
              <w:t xml:space="preserve">RSALYs) instead of quality adjusted life years (QALYs) and therefore the results did not allow for a comparison of cost effectiveness to other health interventions. In addition, the incremental cost effectiveness per RSALY was uncertain as </w:t>
            </w:r>
            <w:r w:rsidR="00FD4DD3">
              <w:rPr>
                <w:rFonts w:ascii="Arial" w:hAnsi="Arial" w:cs="Arial"/>
                <w:bCs/>
                <w:szCs w:val="22"/>
                <w:lang w:val="en-GB"/>
              </w:rPr>
              <w:t xml:space="preserve">the </w:t>
            </w:r>
            <w:r w:rsidRPr="003444EC">
              <w:rPr>
                <w:rFonts w:ascii="Arial" w:hAnsi="Arial" w:cs="Arial"/>
                <w:bCs/>
                <w:szCs w:val="22"/>
                <w:lang w:val="en-GB"/>
              </w:rPr>
              <w:t>model did not adequately account for the substantial variability expected in treatment effects due to variations of patient characteristics and allergen exposure. Further, the submission assumed a sustained and constant treatment effect of six years after three years of treatment which the PBAC considered was not adequately supported by the clinical evidence.</w:t>
            </w:r>
          </w:p>
          <w:p w:rsidR="003444EC" w:rsidRPr="003444EC" w:rsidRDefault="003444EC" w:rsidP="003444EC">
            <w:pPr>
              <w:rPr>
                <w:rFonts w:ascii="Arial" w:hAnsi="Arial" w:cs="Arial"/>
                <w:color w:val="000000"/>
              </w:rPr>
            </w:pPr>
          </w:p>
          <w:p w:rsidR="003444EC" w:rsidRPr="003444EC" w:rsidRDefault="003444EC" w:rsidP="003444EC">
            <w:pPr>
              <w:contextualSpacing/>
              <w:rPr>
                <w:rFonts w:ascii="Arial" w:hAnsi="Arial" w:cs="Arial"/>
                <w:bCs/>
                <w:szCs w:val="22"/>
                <w:lang w:val="en-GB"/>
              </w:rPr>
            </w:pPr>
            <w:r w:rsidRPr="003444EC">
              <w:rPr>
                <w:rFonts w:ascii="Arial" w:hAnsi="Arial" w:cs="Arial"/>
                <w:bCs/>
                <w:szCs w:val="22"/>
                <w:lang w:val="en-GB"/>
              </w:rPr>
              <w:t>The PBAC considered that the estimated financial implications and utilisation were uncertain and likely to be underestimated.</w:t>
            </w:r>
          </w:p>
          <w:p w:rsidR="004D1133" w:rsidRPr="00E1153D" w:rsidRDefault="004D1133" w:rsidP="00ED5629">
            <w:pPr>
              <w:jc w:val="both"/>
              <w:rPr>
                <w:rFonts w:ascii="Arial" w:hAnsi="Arial" w:cs="Arial"/>
                <w:iCs/>
              </w:rPr>
            </w:pPr>
          </w:p>
        </w:tc>
      </w:tr>
      <w:tr w:rsidR="004D1133" w:rsidRPr="00395B97" w:rsidTr="007A3893">
        <w:trPr>
          <w:cantSplit/>
          <w:trHeight w:val="1739"/>
        </w:trPr>
        <w:tc>
          <w:tcPr>
            <w:tcW w:w="0" w:type="auto"/>
            <w:vMerge/>
            <w:tcMar>
              <w:top w:w="28" w:type="dxa"/>
              <w:bottom w:w="28" w:type="dxa"/>
            </w:tcMar>
          </w:tcPr>
          <w:p w:rsidR="004D1133" w:rsidRPr="00395B97" w:rsidRDefault="004D1133" w:rsidP="00335779">
            <w:pPr>
              <w:rPr>
                <w:rFonts w:ascii="Arial" w:hAnsi="Arial" w:cs="Arial"/>
              </w:rPr>
            </w:pPr>
          </w:p>
        </w:tc>
        <w:tc>
          <w:tcPr>
            <w:tcW w:w="0" w:type="auto"/>
            <w:vMerge/>
          </w:tcPr>
          <w:p w:rsidR="004D1133" w:rsidRPr="00395B97" w:rsidRDefault="004D1133" w:rsidP="00335779">
            <w:pPr>
              <w:widowControl w:val="0"/>
              <w:rPr>
                <w:rFonts w:ascii="Arial" w:hAnsi="Arial" w:cs="Arial"/>
                <w:snapToGrid w:val="0"/>
                <w:lang w:eastAsia="en-US"/>
              </w:rPr>
            </w:pPr>
          </w:p>
        </w:tc>
        <w:tc>
          <w:tcPr>
            <w:tcW w:w="0" w:type="auto"/>
            <w:tcMar>
              <w:top w:w="28" w:type="dxa"/>
              <w:bottom w:w="28" w:type="dxa"/>
            </w:tcMar>
          </w:tcPr>
          <w:p w:rsidR="004D1133" w:rsidRPr="00363865" w:rsidRDefault="004D1133" w:rsidP="004D1133">
            <w:pPr>
              <w:rPr>
                <w:rFonts w:ascii="Arial" w:hAnsi="Arial" w:cs="Arial"/>
                <w:bCs/>
                <w:color w:val="000000"/>
              </w:rPr>
            </w:pPr>
            <w:r w:rsidRPr="00461D75">
              <w:rPr>
                <w:rFonts w:ascii="Arial" w:hAnsi="Arial" w:cs="Arial"/>
                <w:bCs/>
                <w:color w:val="000000"/>
              </w:rPr>
              <w:t>Sponsor comment:</w:t>
            </w:r>
          </w:p>
        </w:tc>
        <w:tc>
          <w:tcPr>
            <w:tcW w:w="0" w:type="auto"/>
          </w:tcPr>
          <w:p w:rsidR="000F7649" w:rsidRPr="000F7649" w:rsidRDefault="000F7649" w:rsidP="000F7649">
            <w:pPr>
              <w:jc w:val="both"/>
              <w:rPr>
                <w:rFonts w:ascii="Arial" w:hAnsi="Arial" w:cs="Arial"/>
                <w:bCs/>
                <w:szCs w:val="22"/>
                <w:lang w:val="en-GB"/>
              </w:rPr>
            </w:pPr>
            <w:r w:rsidRPr="000F7649">
              <w:rPr>
                <w:rFonts w:ascii="Arial" w:hAnsi="Arial" w:cs="Arial"/>
                <w:bCs/>
                <w:szCs w:val="22"/>
                <w:lang w:val="en-GB"/>
              </w:rPr>
              <w:t>Stallergenes is committed to working with the PBAC and the Department of Health to provide access to this therapeutic alternative for patients with moderate to severe allergic rhinitis due to House Dust Mites who are not properly controlled by standard treatments.</w:t>
            </w:r>
          </w:p>
          <w:p w:rsidR="004D1133" w:rsidRPr="00E1153D" w:rsidRDefault="004D1133" w:rsidP="002B45D1">
            <w:pPr>
              <w:jc w:val="both"/>
              <w:rPr>
                <w:rFonts w:ascii="Arial" w:hAnsi="Arial" w:cs="Arial"/>
                <w:iCs/>
              </w:rPr>
            </w:pPr>
          </w:p>
        </w:tc>
      </w:tr>
      <w:tr w:rsidR="004D1133" w:rsidRPr="00395B97" w:rsidTr="007A3893">
        <w:trPr>
          <w:cantSplit/>
          <w:trHeight w:val="2530"/>
        </w:trPr>
        <w:tc>
          <w:tcPr>
            <w:tcW w:w="0" w:type="auto"/>
            <w:vMerge w:val="restart"/>
            <w:tcMar>
              <w:top w:w="28" w:type="dxa"/>
              <w:bottom w:w="28" w:type="dxa"/>
            </w:tcMar>
          </w:tcPr>
          <w:p w:rsidR="004D1133" w:rsidRDefault="004D1133" w:rsidP="00335779">
            <w:pPr>
              <w:rPr>
                <w:rFonts w:ascii="Arial" w:hAnsi="Arial" w:cs="Arial"/>
                <w:bCs/>
                <w:color w:val="000000"/>
              </w:rPr>
            </w:pPr>
            <w:r w:rsidRPr="005D1C1E">
              <w:rPr>
                <w:rFonts w:ascii="Arial" w:hAnsi="Arial" w:cs="Arial"/>
                <w:bCs/>
                <w:color w:val="000000"/>
              </w:rPr>
              <w:lastRenderedPageBreak/>
              <w:t>LENALIDOMIDE</w:t>
            </w:r>
            <w:r w:rsidRPr="005D1C1E">
              <w:rPr>
                <w:rFonts w:ascii="Arial" w:hAnsi="Arial" w:cs="Arial"/>
                <w:bCs/>
                <w:color w:val="000000"/>
              </w:rPr>
              <w:br/>
            </w:r>
            <w:r w:rsidRPr="005D1C1E">
              <w:rPr>
                <w:rFonts w:ascii="Arial" w:hAnsi="Arial" w:cs="Arial"/>
                <w:bCs/>
                <w:color w:val="000000"/>
              </w:rPr>
              <w:br/>
              <w:t>5 mg capsule, 21</w:t>
            </w:r>
            <w:r w:rsidRPr="005D1C1E">
              <w:rPr>
                <w:rFonts w:ascii="Arial" w:hAnsi="Arial" w:cs="Arial"/>
                <w:bCs/>
                <w:color w:val="000000"/>
              </w:rPr>
              <w:br/>
              <w:t>10 mg capsule, 21</w:t>
            </w:r>
            <w:r w:rsidRPr="005D1C1E">
              <w:rPr>
                <w:rFonts w:ascii="Arial" w:hAnsi="Arial" w:cs="Arial"/>
                <w:bCs/>
                <w:color w:val="000000"/>
              </w:rPr>
              <w:br/>
              <w:t>15 mg capsule, 21</w:t>
            </w:r>
            <w:r w:rsidRPr="005D1C1E">
              <w:rPr>
                <w:rFonts w:ascii="Arial" w:hAnsi="Arial" w:cs="Arial"/>
                <w:bCs/>
                <w:color w:val="000000"/>
              </w:rPr>
              <w:br/>
              <w:t>25 mg capsule, 21</w:t>
            </w:r>
            <w:r w:rsidRPr="005D1C1E">
              <w:rPr>
                <w:rFonts w:ascii="Arial" w:hAnsi="Arial" w:cs="Arial"/>
                <w:bCs/>
                <w:color w:val="000000"/>
              </w:rPr>
              <w:br/>
            </w:r>
            <w:r w:rsidRPr="005D1C1E">
              <w:rPr>
                <w:rFonts w:ascii="Arial" w:hAnsi="Arial" w:cs="Arial"/>
                <w:bCs/>
                <w:color w:val="000000"/>
              </w:rPr>
              <w:br/>
              <w:t>Revlemid</w:t>
            </w:r>
            <w:r w:rsidRPr="009D7050">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Celgene Pty Ltd</w:t>
            </w:r>
          </w:p>
          <w:p w:rsidR="004D1133" w:rsidRDefault="004D1133" w:rsidP="00335779">
            <w:pPr>
              <w:rPr>
                <w:rFonts w:ascii="Arial" w:hAnsi="Arial" w:cs="Arial"/>
              </w:rPr>
            </w:pPr>
          </w:p>
          <w:p w:rsidR="004D1133" w:rsidRPr="00395B97" w:rsidRDefault="004D1133" w:rsidP="00335779">
            <w:pPr>
              <w:rPr>
                <w:rFonts w:ascii="Arial" w:hAnsi="Arial" w:cs="Arial"/>
              </w:rPr>
            </w:pPr>
            <w:r w:rsidRPr="005D1C1E">
              <w:rPr>
                <w:rFonts w:ascii="Arial" w:hAnsi="Arial" w:cs="Arial"/>
                <w:bCs/>
                <w:color w:val="000000"/>
              </w:rPr>
              <w:t>Change to listing</w:t>
            </w:r>
            <w:r w:rsidRPr="005D1C1E">
              <w:rPr>
                <w:rFonts w:ascii="Arial" w:hAnsi="Arial" w:cs="Arial"/>
                <w:bCs/>
                <w:color w:val="000000"/>
              </w:rPr>
              <w:br/>
            </w:r>
            <w:r w:rsidRPr="005D1C1E">
              <w:rPr>
                <w:rFonts w:ascii="Arial" w:hAnsi="Arial" w:cs="Arial"/>
                <w:bCs/>
                <w:color w:val="000000"/>
              </w:rPr>
              <w:br/>
              <w:t>(Major Submission)</w:t>
            </w:r>
          </w:p>
        </w:tc>
        <w:tc>
          <w:tcPr>
            <w:tcW w:w="0" w:type="auto"/>
            <w:vMerge w:val="restart"/>
          </w:tcPr>
          <w:p w:rsidR="004D1133" w:rsidRPr="00395B97" w:rsidRDefault="004D1133" w:rsidP="00335779">
            <w:pPr>
              <w:widowControl w:val="0"/>
              <w:rPr>
                <w:rFonts w:ascii="Arial" w:hAnsi="Arial" w:cs="Arial"/>
                <w:snapToGrid w:val="0"/>
                <w:lang w:eastAsia="en-US"/>
              </w:rPr>
            </w:pPr>
            <w:r w:rsidRPr="005D1C1E">
              <w:rPr>
                <w:rFonts w:ascii="Arial" w:hAnsi="Arial" w:cs="Arial"/>
                <w:bCs/>
                <w:color w:val="000000"/>
              </w:rPr>
              <w:t>Relapsed or refractory mantle cell lymphoma</w:t>
            </w:r>
          </w:p>
        </w:tc>
        <w:tc>
          <w:tcPr>
            <w:tcW w:w="0" w:type="auto"/>
            <w:tcMar>
              <w:top w:w="28" w:type="dxa"/>
              <w:bottom w:w="28" w:type="dxa"/>
            </w:tcMar>
          </w:tcPr>
          <w:p w:rsidR="004D1133" w:rsidRPr="00395B97" w:rsidRDefault="00FD1ED9" w:rsidP="00FD1ED9">
            <w:pPr>
              <w:widowControl w:val="0"/>
              <w:rPr>
                <w:rFonts w:ascii="Arial" w:hAnsi="Arial" w:cs="Arial"/>
                <w:snapToGrid w:val="0"/>
                <w:lang w:eastAsia="en-US"/>
              </w:rPr>
            </w:pPr>
            <w:r w:rsidRPr="005D1C1E">
              <w:rPr>
                <w:rFonts w:ascii="Arial" w:hAnsi="Arial" w:cs="Arial"/>
                <w:bCs/>
                <w:color w:val="000000"/>
              </w:rPr>
              <w:t>Authority Required listing for treatment of relapsed or refractory mantle cell lymphoma.</w:t>
            </w:r>
          </w:p>
        </w:tc>
        <w:tc>
          <w:tcPr>
            <w:tcW w:w="0" w:type="auto"/>
          </w:tcPr>
          <w:p w:rsidR="00B8062C" w:rsidRPr="00E1153D" w:rsidRDefault="00DE0B84" w:rsidP="00BC2791">
            <w:pPr>
              <w:rPr>
                <w:rFonts w:ascii="Arial" w:hAnsi="Arial" w:cs="Arial"/>
                <w:iCs/>
              </w:rPr>
            </w:pPr>
            <w:r>
              <w:rPr>
                <w:rFonts w:ascii="Arial" w:hAnsi="Arial" w:cs="Arial"/>
                <w:iCs/>
              </w:rPr>
              <w:t>T</w:t>
            </w:r>
            <w:r w:rsidR="00B8062C" w:rsidRPr="00E1153D">
              <w:rPr>
                <w:rFonts w:ascii="Arial" w:hAnsi="Arial" w:cs="Arial"/>
                <w:iCs/>
              </w:rPr>
              <w:t xml:space="preserve">he PBAC decided not to recommend the listing of lenalidomide for relapsed/refractory mantle cell lymphoma, on the basis of uncertain effectiveness, with no overall survival gain demonstrated in the trial, and uncertain cost-effectiveness. The PBAC were of the view that many assumptions used in the estimation of the cost-effectiveness were optimistic, and that the </w:t>
            </w:r>
            <w:r w:rsidR="00FD4DD3">
              <w:rPr>
                <w:rFonts w:ascii="Arial" w:hAnsi="Arial" w:cs="Arial"/>
                <w:iCs/>
              </w:rPr>
              <w:t>incremental cost-effectiveness ratio (</w:t>
            </w:r>
            <w:r w:rsidR="00B8062C" w:rsidRPr="00E1153D">
              <w:rPr>
                <w:rFonts w:ascii="Arial" w:hAnsi="Arial" w:cs="Arial"/>
                <w:iCs/>
              </w:rPr>
              <w:t>ICER</w:t>
            </w:r>
            <w:r w:rsidR="00FD4DD3">
              <w:rPr>
                <w:rFonts w:ascii="Arial" w:hAnsi="Arial" w:cs="Arial"/>
                <w:iCs/>
              </w:rPr>
              <w:t>)</w:t>
            </w:r>
            <w:r w:rsidR="00B8062C" w:rsidRPr="00E1153D">
              <w:rPr>
                <w:rFonts w:ascii="Arial" w:hAnsi="Arial" w:cs="Arial"/>
                <w:iCs/>
              </w:rPr>
              <w:t xml:space="preserve"> was therefore likely to be higher than estimated in the submission.</w:t>
            </w:r>
          </w:p>
          <w:p w:rsidR="00B8062C" w:rsidRPr="00E1153D" w:rsidRDefault="00B8062C" w:rsidP="00BC2791">
            <w:pPr>
              <w:rPr>
                <w:rFonts w:ascii="Arial" w:hAnsi="Arial" w:cs="Arial"/>
                <w:iCs/>
              </w:rPr>
            </w:pPr>
          </w:p>
          <w:p w:rsidR="00B8062C" w:rsidRPr="00E1153D" w:rsidRDefault="00B8062C" w:rsidP="00BC2791">
            <w:pPr>
              <w:rPr>
                <w:rFonts w:ascii="Arial" w:hAnsi="Arial" w:cs="Arial"/>
                <w:iCs/>
              </w:rPr>
            </w:pPr>
            <w:r w:rsidRPr="00E1153D">
              <w:rPr>
                <w:rFonts w:ascii="Arial" w:hAnsi="Arial" w:cs="Arial"/>
                <w:iCs/>
              </w:rPr>
              <w:t>In making this decision, the PBAC recognised that there is a need for a treatment option that induces a high response rate with minimal toxicity for patients with relapsed/refractory mantle cell lymphoma, who are unsuitable for chemotherapy. The extent to which the addition of lenalidomide would improve management in this population of patients with poor prognosis remained unknown.</w:t>
            </w:r>
          </w:p>
          <w:p w:rsidR="00B8062C" w:rsidRPr="00E1153D" w:rsidRDefault="00B8062C" w:rsidP="00BC2791">
            <w:pPr>
              <w:rPr>
                <w:rFonts w:ascii="Arial" w:hAnsi="Arial" w:cs="Arial"/>
                <w:iCs/>
              </w:rPr>
            </w:pPr>
          </w:p>
          <w:p w:rsidR="00B8062C" w:rsidRPr="00E1153D" w:rsidRDefault="00B8062C" w:rsidP="00BC2791">
            <w:pPr>
              <w:rPr>
                <w:rFonts w:ascii="Arial" w:hAnsi="Arial" w:cs="Arial"/>
                <w:iCs/>
              </w:rPr>
            </w:pPr>
            <w:r w:rsidRPr="00E1153D">
              <w:rPr>
                <w:rFonts w:ascii="Arial" w:hAnsi="Arial" w:cs="Arial"/>
                <w:iCs/>
              </w:rPr>
              <w:t>On the basis of direct evidence presented by the submission, in comparison with investigator’s choice of chemotherapy, lenalidomide monotherapy resulted in:</w:t>
            </w:r>
          </w:p>
          <w:p w:rsidR="00B8062C" w:rsidRPr="00E1153D" w:rsidRDefault="00B8062C" w:rsidP="00BC2791">
            <w:pPr>
              <w:pStyle w:val="ListParagraph"/>
              <w:numPr>
                <w:ilvl w:val="0"/>
                <w:numId w:val="42"/>
              </w:numPr>
              <w:rPr>
                <w:rFonts w:ascii="Arial" w:eastAsia="Times New Roman" w:hAnsi="Arial" w:cs="Arial"/>
                <w:iCs/>
                <w:sz w:val="20"/>
                <w:szCs w:val="20"/>
              </w:rPr>
            </w:pPr>
            <w:r w:rsidRPr="00E1153D">
              <w:rPr>
                <w:rFonts w:ascii="Arial" w:eastAsia="Times New Roman" w:hAnsi="Arial" w:cs="Arial"/>
                <w:iCs/>
                <w:sz w:val="20"/>
                <w:szCs w:val="20"/>
              </w:rPr>
              <w:t xml:space="preserve">A reduction of approximately 39% in the risk of </w:t>
            </w:r>
            <w:r w:rsidR="003F54CA">
              <w:rPr>
                <w:rFonts w:ascii="Arial" w:eastAsia="Times New Roman" w:hAnsi="Arial" w:cs="Arial"/>
                <w:iCs/>
                <w:sz w:val="20"/>
                <w:szCs w:val="20"/>
              </w:rPr>
              <w:t xml:space="preserve">a </w:t>
            </w:r>
            <w:r w:rsidRPr="00E1153D">
              <w:rPr>
                <w:rFonts w:ascii="Arial" w:eastAsia="Times New Roman" w:hAnsi="Arial" w:cs="Arial"/>
                <w:iCs/>
                <w:sz w:val="20"/>
                <w:szCs w:val="20"/>
              </w:rPr>
              <w:t xml:space="preserve">disease progression </w:t>
            </w:r>
            <w:r w:rsidR="003F54CA">
              <w:rPr>
                <w:rFonts w:ascii="Arial" w:eastAsia="Times New Roman" w:hAnsi="Arial" w:cs="Arial"/>
                <w:iCs/>
                <w:sz w:val="20"/>
                <w:szCs w:val="20"/>
              </w:rPr>
              <w:t>event</w:t>
            </w:r>
            <w:r w:rsidRPr="00E1153D">
              <w:rPr>
                <w:rFonts w:ascii="Arial" w:eastAsia="Times New Roman" w:hAnsi="Arial" w:cs="Arial"/>
                <w:iCs/>
                <w:sz w:val="20"/>
                <w:szCs w:val="20"/>
              </w:rPr>
              <w:t xml:space="preserve"> over a duration of follow-up of 15.9 months; and </w:t>
            </w:r>
          </w:p>
          <w:p w:rsidR="00B8062C" w:rsidRPr="00E1153D" w:rsidRDefault="00B8062C" w:rsidP="00BC2791">
            <w:pPr>
              <w:pStyle w:val="ListParagraph"/>
              <w:numPr>
                <w:ilvl w:val="0"/>
                <w:numId w:val="42"/>
              </w:numPr>
              <w:rPr>
                <w:rFonts w:ascii="Arial" w:eastAsia="Times New Roman" w:hAnsi="Arial" w:cs="Arial"/>
                <w:iCs/>
                <w:sz w:val="20"/>
                <w:szCs w:val="20"/>
              </w:rPr>
            </w:pPr>
            <w:r w:rsidRPr="00E1153D">
              <w:rPr>
                <w:rFonts w:ascii="Arial" w:eastAsia="Times New Roman" w:hAnsi="Arial" w:cs="Arial"/>
                <w:iCs/>
                <w:sz w:val="20"/>
                <w:szCs w:val="20"/>
              </w:rPr>
              <w:t>No statistically significant improvement in overall survival over a duration of follow-up of 15.9 months.</w:t>
            </w:r>
          </w:p>
          <w:p w:rsidR="00B8062C" w:rsidRPr="00E1153D" w:rsidRDefault="00B8062C" w:rsidP="00B8062C">
            <w:pPr>
              <w:jc w:val="both"/>
              <w:rPr>
                <w:rFonts w:ascii="Arial" w:hAnsi="Arial" w:cs="Arial"/>
                <w:iCs/>
              </w:rPr>
            </w:pPr>
            <w:r w:rsidRPr="00E1153D">
              <w:rPr>
                <w:rFonts w:ascii="Arial" w:hAnsi="Arial" w:cs="Arial"/>
                <w:iCs/>
              </w:rPr>
              <w:t xml:space="preserve"> </w:t>
            </w:r>
          </w:p>
          <w:p w:rsidR="00B8062C" w:rsidRPr="00E1153D" w:rsidRDefault="00B8062C" w:rsidP="00BC2791">
            <w:pPr>
              <w:rPr>
                <w:rFonts w:ascii="Arial" w:hAnsi="Arial" w:cs="Arial"/>
                <w:iCs/>
              </w:rPr>
            </w:pPr>
            <w:r w:rsidRPr="00E1153D">
              <w:rPr>
                <w:rFonts w:ascii="Arial" w:hAnsi="Arial" w:cs="Arial"/>
                <w:iCs/>
              </w:rPr>
              <w:t xml:space="preserve">For every 100 patients treated with lenalidomide in comparison with investigator’s choice over a median duration of follow-up of approximately 15.9 months: </w:t>
            </w:r>
          </w:p>
          <w:p w:rsidR="00B8062C" w:rsidRPr="00E1153D" w:rsidRDefault="00B8062C" w:rsidP="00BC2791">
            <w:pPr>
              <w:pStyle w:val="ListParagraph"/>
              <w:numPr>
                <w:ilvl w:val="0"/>
                <w:numId w:val="43"/>
              </w:numPr>
              <w:rPr>
                <w:rFonts w:ascii="Arial" w:eastAsia="Times New Roman" w:hAnsi="Arial" w:cs="Arial"/>
                <w:iCs/>
                <w:sz w:val="20"/>
                <w:szCs w:val="20"/>
              </w:rPr>
            </w:pPr>
            <w:r w:rsidRPr="00E1153D">
              <w:rPr>
                <w:rFonts w:ascii="Arial" w:eastAsia="Times New Roman" w:hAnsi="Arial" w:cs="Arial"/>
                <w:iCs/>
                <w:sz w:val="20"/>
                <w:szCs w:val="20"/>
              </w:rPr>
              <w:t xml:space="preserve">5 more patients will experience Grade 3 or 4 nervous system disorders; and </w:t>
            </w:r>
          </w:p>
          <w:p w:rsidR="00B8062C" w:rsidRPr="00E1153D" w:rsidRDefault="00B8062C" w:rsidP="00BC2791">
            <w:pPr>
              <w:pStyle w:val="ListParagraph"/>
              <w:numPr>
                <w:ilvl w:val="0"/>
                <w:numId w:val="43"/>
              </w:numPr>
              <w:rPr>
                <w:rFonts w:ascii="Arial" w:eastAsia="Times New Roman" w:hAnsi="Arial" w:cs="Arial"/>
                <w:iCs/>
                <w:sz w:val="20"/>
                <w:szCs w:val="20"/>
              </w:rPr>
            </w:pPr>
            <w:r w:rsidRPr="00E1153D">
              <w:rPr>
                <w:rFonts w:ascii="Arial" w:eastAsia="Times New Roman" w:hAnsi="Arial" w:cs="Arial"/>
                <w:iCs/>
                <w:sz w:val="20"/>
                <w:szCs w:val="20"/>
              </w:rPr>
              <w:t>4 more patients will experience Grade 3 or 4 pulmonary embolism.</w:t>
            </w:r>
          </w:p>
          <w:p w:rsidR="004D1133" w:rsidRPr="00E1153D" w:rsidRDefault="004D1133" w:rsidP="002B45D1">
            <w:pPr>
              <w:jc w:val="both"/>
              <w:rPr>
                <w:rFonts w:ascii="Arial" w:hAnsi="Arial" w:cs="Arial"/>
                <w:iCs/>
              </w:rPr>
            </w:pPr>
          </w:p>
        </w:tc>
      </w:tr>
      <w:tr w:rsidR="004D1133" w:rsidRPr="00395B97" w:rsidTr="007A3893">
        <w:trPr>
          <w:cantSplit/>
          <w:trHeight w:val="829"/>
        </w:trPr>
        <w:tc>
          <w:tcPr>
            <w:tcW w:w="0" w:type="auto"/>
            <w:vMerge/>
            <w:tcMar>
              <w:top w:w="28" w:type="dxa"/>
              <w:bottom w:w="28" w:type="dxa"/>
            </w:tcMar>
          </w:tcPr>
          <w:p w:rsidR="004D1133" w:rsidRPr="00395B97" w:rsidRDefault="004D1133" w:rsidP="00335779">
            <w:pPr>
              <w:rPr>
                <w:rFonts w:ascii="Arial" w:hAnsi="Arial" w:cs="Arial"/>
              </w:rPr>
            </w:pPr>
          </w:p>
        </w:tc>
        <w:tc>
          <w:tcPr>
            <w:tcW w:w="0" w:type="auto"/>
            <w:vMerge/>
          </w:tcPr>
          <w:p w:rsidR="004D1133" w:rsidRPr="00395B97" w:rsidRDefault="004D1133" w:rsidP="00335779">
            <w:pPr>
              <w:widowControl w:val="0"/>
              <w:rPr>
                <w:rFonts w:ascii="Arial" w:hAnsi="Arial" w:cs="Arial"/>
                <w:snapToGrid w:val="0"/>
                <w:lang w:eastAsia="en-US"/>
              </w:rPr>
            </w:pPr>
          </w:p>
        </w:tc>
        <w:tc>
          <w:tcPr>
            <w:tcW w:w="0" w:type="auto"/>
            <w:tcMar>
              <w:top w:w="28" w:type="dxa"/>
              <w:bottom w:w="28" w:type="dxa"/>
            </w:tcMar>
          </w:tcPr>
          <w:p w:rsidR="004D1133" w:rsidRPr="00363865" w:rsidRDefault="004D1133" w:rsidP="00ED5629">
            <w:pPr>
              <w:rPr>
                <w:rFonts w:ascii="Arial" w:hAnsi="Arial" w:cs="Arial"/>
                <w:bCs/>
                <w:color w:val="000000"/>
              </w:rPr>
            </w:pPr>
            <w:r w:rsidRPr="00461D75">
              <w:rPr>
                <w:rFonts w:ascii="Arial" w:hAnsi="Arial" w:cs="Arial"/>
                <w:bCs/>
                <w:color w:val="000000"/>
              </w:rPr>
              <w:t>Sponsor comment:</w:t>
            </w:r>
          </w:p>
        </w:tc>
        <w:tc>
          <w:tcPr>
            <w:tcW w:w="0" w:type="auto"/>
          </w:tcPr>
          <w:p w:rsidR="00FD1ED9" w:rsidRDefault="00462ED7" w:rsidP="00462ED7">
            <w:pPr>
              <w:rPr>
                <w:rFonts w:ascii="Arial" w:hAnsi="Arial" w:cs="Arial"/>
                <w:iCs/>
              </w:rPr>
            </w:pPr>
            <w:r w:rsidRPr="00462ED7">
              <w:rPr>
                <w:rFonts w:ascii="Arial" w:hAnsi="Arial" w:cs="Arial"/>
                <w:iCs/>
              </w:rPr>
              <w:t>Celgene acknowledges some of the limitations in the data but will work constructively with the PBAC to try and mitigate some of the outstanding issues as there is a clear need for effective options for these patients.</w:t>
            </w:r>
          </w:p>
          <w:p w:rsidR="00FD1ED9" w:rsidRPr="00395B97" w:rsidRDefault="00FD1ED9" w:rsidP="002B45D1">
            <w:pPr>
              <w:jc w:val="both"/>
              <w:rPr>
                <w:rFonts w:ascii="Arial" w:hAnsi="Arial" w:cs="Arial"/>
                <w:iCs/>
              </w:rPr>
            </w:pPr>
          </w:p>
        </w:tc>
      </w:tr>
      <w:tr w:rsidR="00EA6ED4" w:rsidRPr="00395B97" w:rsidTr="007A3893">
        <w:trPr>
          <w:cantSplit/>
          <w:trHeight w:val="3948"/>
        </w:trPr>
        <w:tc>
          <w:tcPr>
            <w:tcW w:w="0" w:type="auto"/>
            <w:vMerge w:val="restart"/>
            <w:tcMar>
              <w:top w:w="28" w:type="dxa"/>
              <w:bottom w:w="28" w:type="dxa"/>
            </w:tcMar>
          </w:tcPr>
          <w:p w:rsidR="00EA6ED4" w:rsidRDefault="00EA6ED4" w:rsidP="00A738B4">
            <w:pPr>
              <w:rPr>
                <w:rFonts w:ascii="Arial" w:hAnsi="Arial" w:cs="Arial"/>
                <w:bCs/>
                <w:color w:val="000000"/>
              </w:rPr>
            </w:pPr>
            <w:r>
              <w:rPr>
                <w:rFonts w:ascii="Arial" w:hAnsi="Arial" w:cs="Arial"/>
                <w:bCs/>
                <w:color w:val="000000"/>
              </w:rPr>
              <w:t>NIVOLUMAB</w:t>
            </w:r>
            <w:r>
              <w:rPr>
                <w:rFonts w:ascii="Arial" w:hAnsi="Arial" w:cs="Arial"/>
                <w:bCs/>
                <w:color w:val="000000"/>
              </w:rPr>
              <w:br/>
            </w:r>
            <w:r>
              <w:rPr>
                <w:rFonts w:ascii="Arial" w:hAnsi="Arial" w:cs="Arial"/>
                <w:bCs/>
                <w:color w:val="000000"/>
              </w:rPr>
              <w:br/>
              <w:t>40 mg in 4 mL (10mg/mL concentrate for IV infusion) 1 x 4 mL vial</w:t>
            </w:r>
            <w:r>
              <w:rPr>
                <w:rFonts w:ascii="Arial" w:hAnsi="Arial" w:cs="Arial"/>
                <w:bCs/>
                <w:color w:val="000000"/>
              </w:rPr>
              <w:br/>
              <w:t>100 mg/10 mL injection (10mg/mL concentrate for IV infusion) 1 x 10 mL vial</w:t>
            </w:r>
            <w:r>
              <w:rPr>
                <w:rFonts w:ascii="Arial" w:hAnsi="Arial" w:cs="Arial"/>
                <w:bCs/>
                <w:color w:val="000000"/>
              </w:rPr>
              <w:br/>
            </w:r>
            <w:r>
              <w:rPr>
                <w:rFonts w:ascii="Arial" w:hAnsi="Arial" w:cs="Arial"/>
                <w:bCs/>
                <w:color w:val="000000"/>
              </w:rPr>
              <w:br/>
              <w:t>Opdivo</w:t>
            </w:r>
            <w:r w:rsidRPr="00316EAB">
              <w:rPr>
                <w:rFonts w:ascii="Arial" w:hAnsi="Arial" w:cs="Arial"/>
                <w:bCs/>
                <w:color w:val="000000"/>
                <w:vertAlign w:val="superscript"/>
              </w:rPr>
              <w:t>®</w:t>
            </w:r>
            <w:r>
              <w:rPr>
                <w:rFonts w:ascii="Arial" w:hAnsi="Arial" w:cs="Arial"/>
                <w:bCs/>
                <w:color w:val="000000"/>
              </w:rPr>
              <w:br/>
            </w:r>
            <w:r>
              <w:rPr>
                <w:rFonts w:ascii="Arial" w:hAnsi="Arial" w:cs="Arial"/>
                <w:bCs/>
                <w:color w:val="000000"/>
              </w:rPr>
              <w:br/>
              <w:t>Bristol-Myers Squibb Australia Pty Ltd</w:t>
            </w:r>
          </w:p>
          <w:p w:rsidR="00EA6ED4" w:rsidRDefault="00EA6ED4" w:rsidP="00A738B4">
            <w:pPr>
              <w:rPr>
                <w:rFonts w:ascii="Arial" w:hAnsi="Arial" w:cs="Arial"/>
                <w:bCs/>
                <w:color w:val="000000"/>
              </w:rPr>
            </w:pPr>
          </w:p>
          <w:p w:rsidR="00EA6ED4" w:rsidRDefault="00EA6ED4" w:rsidP="00A738B4">
            <w:pPr>
              <w:rPr>
                <w:rFonts w:ascii="Arial" w:hAnsi="Arial" w:cs="Arial"/>
              </w:rPr>
            </w:pPr>
            <w:r>
              <w:rPr>
                <w:rFonts w:ascii="Arial" w:hAnsi="Arial" w:cs="Arial"/>
                <w:bCs/>
                <w:color w:val="000000"/>
              </w:rPr>
              <w:t>Change to listing</w:t>
            </w:r>
            <w:r>
              <w:rPr>
                <w:rFonts w:ascii="Arial" w:hAnsi="Arial" w:cs="Arial"/>
                <w:bCs/>
                <w:color w:val="000000"/>
              </w:rPr>
              <w:br/>
            </w:r>
            <w:r>
              <w:rPr>
                <w:rFonts w:ascii="Arial" w:hAnsi="Arial" w:cs="Arial"/>
                <w:bCs/>
                <w:color w:val="000000"/>
              </w:rPr>
              <w:br/>
              <w:t>(Major Submission)</w:t>
            </w:r>
          </w:p>
        </w:tc>
        <w:tc>
          <w:tcPr>
            <w:tcW w:w="0" w:type="auto"/>
            <w:vMerge w:val="restart"/>
          </w:tcPr>
          <w:p w:rsidR="00EA6ED4" w:rsidRDefault="00EA6ED4" w:rsidP="00A738B4">
            <w:pPr>
              <w:rPr>
                <w:rFonts w:ascii="Arial" w:hAnsi="Arial" w:cs="Arial"/>
                <w:bCs/>
                <w:color w:val="000000"/>
              </w:rPr>
            </w:pPr>
            <w:r>
              <w:rPr>
                <w:rFonts w:ascii="Arial" w:hAnsi="Arial" w:cs="Arial"/>
                <w:bCs/>
                <w:color w:val="000000"/>
              </w:rPr>
              <w:t>Metastatic renal cell carcinoma</w:t>
            </w:r>
          </w:p>
        </w:tc>
        <w:tc>
          <w:tcPr>
            <w:tcW w:w="0" w:type="auto"/>
            <w:tcMar>
              <w:top w:w="28" w:type="dxa"/>
              <w:bottom w:w="28" w:type="dxa"/>
            </w:tcMar>
          </w:tcPr>
          <w:p w:rsidR="00EA6ED4" w:rsidRDefault="00EA6ED4" w:rsidP="00A738B4">
            <w:pPr>
              <w:rPr>
                <w:rFonts w:ascii="Arial" w:hAnsi="Arial" w:cs="Arial"/>
                <w:bCs/>
                <w:color w:val="000000"/>
              </w:rPr>
            </w:pPr>
            <w:r>
              <w:rPr>
                <w:rFonts w:ascii="Arial" w:hAnsi="Arial" w:cs="Arial"/>
                <w:bCs/>
                <w:color w:val="000000"/>
              </w:rPr>
              <w:t>Authority Required (STREAMLINED) listing for treatment of advanced or metastatic clear cell variant renal cell carcinoma.</w:t>
            </w:r>
          </w:p>
        </w:tc>
        <w:tc>
          <w:tcPr>
            <w:tcW w:w="0" w:type="auto"/>
          </w:tcPr>
          <w:p w:rsidR="00EA6ED4" w:rsidRDefault="00EA6ED4" w:rsidP="00A738B4">
            <w:pPr>
              <w:rPr>
                <w:rFonts w:ascii="Arial" w:hAnsi="Arial" w:cs="Arial"/>
                <w:iCs/>
              </w:rPr>
            </w:pPr>
            <w:r w:rsidRPr="00EA6ED4">
              <w:rPr>
                <w:rFonts w:ascii="Arial" w:hAnsi="Arial" w:cs="Arial"/>
                <w:iCs/>
              </w:rPr>
              <w:t>The PBAC did not recommend that nivolumab be listed on the PBS for the treatment of advanced or metastatic clear cell variant renal cell carcinoma (RCC) based on unacceptable and uncertain cost-effectiveness at the requested price. The PBAC recognised the clinical need for nivolumab in this relatively rare cancer. Based on data presented from a randomised, open-label, phase 3 study of nivolumab versus everolimus, the PBAC accepted that nivolumab statistically significantly increases overall survival compared to everolimus. However, the PBAC considered that when the model was specified appropriately and used effective prices, nivolumab was unlikely to be cost-effective.</w:t>
            </w:r>
          </w:p>
        </w:tc>
      </w:tr>
      <w:tr w:rsidR="00EA6ED4" w:rsidRPr="00395B97" w:rsidTr="007A3893">
        <w:trPr>
          <w:cantSplit/>
          <w:trHeight w:val="1957"/>
        </w:trPr>
        <w:tc>
          <w:tcPr>
            <w:tcW w:w="0" w:type="auto"/>
            <w:vMerge/>
            <w:tcMar>
              <w:top w:w="28" w:type="dxa"/>
              <w:bottom w:w="28" w:type="dxa"/>
            </w:tcMar>
          </w:tcPr>
          <w:p w:rsidR="00EA6ED4" w:rsidRDefault="00EA6ED4" w:rsidP="00A738B4">
            <w:pPr>
              <w:rPr>
                <w:rFonts w:ascii="Arial" w:hAnsi="Arial" w:cs="Arial"/>
                <w:bCs/>
                <w:color w:val="000000"/>
              </w:rPr>
            </w:pPr>
          </w:p>
        </w:tc>
        <w:tc>
          <w:tcPr>
            <w:tcW w:w="0" w:type="auto"/>
            <w:vMerge/>
          </w:tcPr>
          <w:p w:rsidR="00EA6ED4" w:rsidRDefault="00EA6ED4" w:rsidP="00A738B4">
            <w:pPr>
              <w:rPr>
                <w:rFonts w:ascii="Arial" w:hAnsi="Arial" w:cs="Arial"/>
                <w:bCs/>
                <w:color w:val="000000"/>
              </w:rPr>
            </w:pPr>
          </w:p>
        </w:tc>
        <w:tc>
          <w:tcPr>
            <w:tcW w:w="0" w:type="auto"/>
            <w:tcMar>
              <w:top w:w="28" w:type="dxa"/>
              <w:bottom w:w="28" w:type="dxa"/>
            </w:tcMar>
          </w:tcPr>
          <w:p w:rsidR="00EA6ED4" w:rsidRDefault="00EA6ED4" w:rsidP="00A738B4">
            <w:pPr>
              <w:rPr>
                <w:rFonts w:ascii="Arial" w:hAnsi="Arial" w:cs="Arial"/>
                <w:bCs/>
                <w:color w:val="000000"/>
              </w:rPr>
            </w:pPr>
            <w:r w:rsidRPr="00461D75">
              <w:rPr>
                <w:rFonts w:ascii="Arial" w:hAnsi="Arial" w:cs="Arial"/>
                <w:bCs/>
                <w:color w:val="000000"/>
              </w:rPr>
              <w:t>Sponsor comment:</w:t>
            </w:r>
          </w:p>
        </w:tc>
        <w:tc>
          <w:tcPr>
            <w:tcW w:w="0" w:type="auto"/>
          </w:tcPr>
          <w:p w:rsidR="00EA6ED4" w:rsidRPr="00EA6ED4" w:rsidRDefault="00EA6ED4" w:rsidP="00EA6ED4">
            <w:pPr>
              <w:rPr>
                <w:rFonts w:ascii="Arial" w:hAnsi="Arial" w:cs="Arial"/>
                <w:iCs/>
              </w:rPr>
            </w:pPr>
            <w:r w:rsidRPr="00EA6ED4">
              <w:rPr>
                <w:rFonts w:ascii="Arial" w:hAnsi="Arial" w:cs="Arial"/>
                <w:iCs/>
              </w:rPr>
              <w:t>The sponsor is disappointed with the outcome, however is committed to working with the PBAC to ensure nivolumab is available to Australian patients for the treatment of RCC via the PBS in the earliest possible timeframe.</w:t>
            </w:r>
          </w:p>
          <w:p w:rsidR="00EA6ED4" w:rsidRDefault="00EA6ED4" w:rsidP="00A738B4">
            <w:pPr>
              <w:rPr>
                <w:rFonts w:ascii="Arial" w:hAnsi="Arial" w:cs="Arial"/>
                <w:iCs/>
              </w:rPr>
            </w:pPr>
          </w:p>
        </w:tc>
      </w:tr>
      <w:tr w:rsidR="00EA6ED4" w:rsidRPr="00395B97" w:rsidTr="007A3893">
        <w:trPr>
          <w:trHeight w:val="1538"/>
        </w:trPr>
        <w:tc>
          <w:tcPr>
            <w:tcW w:w="0" w:type="auto"/>
            <w:vMerge w:val="restart"/>
            <w:tcMar>
              <w:top w:w="28" w:type="dxa"/>
              <w:bottom w:w="28" w:type="dxa"/>
            </w:tcMar>
          </w:tcPr>
          <w:p w:rsidR="00EA6ED4" w:rsidRPr="00FD1ED9" w:rsidRDefault="00EA6ED4" w:rsidP="00FD1ED9">
            <w:pPr>
              <w:rPr>
                <w:rFonts w:ascii="Arial" w:hAnsi="Arial" w:cs="Arial"/>
              </w:rPr>
            </w:pPr>
            <w:r w:rsidRPr="00FD1ED9">
              <w:rPr>
                <w:rFonts w:ascii="Arial" w:hAnsi="Arial" w:cs="Arial"/>
              </w:rPr>
              <w:lastRenderedPageBreak/>
              <w:t>OLAPARIB</w:t>
            </w:r>
          </w:p>
          <w:p w:rsidR="00EA6ED4" w:rsidRPr="00FD1ED9" w:rsidRDefault="00EA6ED4" w:rsidP="00FD1ED9">
            <w:pPr>
              <w:rPr>
                <w:rFonts w:ascii="Arial" w:hAnsi="Arial" w:cs="Arial"/>
              </w:rPr>
            </w:pPr>
          </w:p>
          <w:p w:rsidR="00EA6ED4" w:rsidRPr="00FD1ED9" w:rsidRDefault="00EA6ED4" w:rsidP="00FD1ED9">
            <w:pPr>
              <w:rPr>
                <w:rFonts w:ascii="Arial" w:hAnsi="Arial" w:cs="Arial"/>
              </w:rPr>
            </w:pPr>
            <w:r w:rsidRPr="00FD1ED9">
              <w:rPr>
                <w:rFonts w:ascii="Arial" w:hAnsi="Arial" w:cs="Arial"/>
              </w:rPr>
              <w:t>50mg capsule, 4 x 112 capsules</w:t>
            </w:r>
          </w:p>
          <w:p w:rsidR="00EA6ED4" w:rsidRPr="00FD1ED9" w:rsidRDefault="00EA6ED4" w:rsidP="00FD1ED9">
            <w:pPr>
              <w:rPr>
                <w:rFonts w:ascii="Arial" w:hAnsi="Arial" w:cs="Arial"/>
              </w:rPr>
            </w:pPr>
          </w:p>
          <w:p w:rsidR="00EA6ED4" w:rsidRPr="00FD1ED9" w:rsidRDefault="00EA6ED4" w:rsidP="00FD1ED9">
            <w:pPr>
              <w:rPr>
                <w:rFonts w:ascii="Arial" w:hAnsi="Arial" w:cs="Arial"/>
              </w:rPr>
            </w:pPr>
            <w:r w:rsidRPr="00FD1ED9">
              <w:rPr>
                <w:rFonts w:ascii="Arial" w:hAnsi="Arial" w:cs="Arial"/>
              </w:rPr>
              <w:t>Lynparza™</w:t>
            </w:r>
          </w:p>
          <w:p w:rsidR="00EA6ED4" w:rsidRPr="00FD1ED9" w:rsidRDefault="00EA6ED4" w:rsidP="00FD1ED9">
            <w:pPr>
              <w:rPr>
                <w:rFonts w:ascii="Arial" w:hAnsi="Arial" w:cs="Arial"/>
              </w:rPr>
            </w:pPr>
          </w:p>
          <w:p w:rsidR="00EA6ED4" w:rsidRDefault="00EA6ED4" w:rsidP="00FD1ED9">
            <w:pPr>
              <w:rPr>
                <w:rFonts w:ascii="Arial" w:hAnsi="Arial" w:cs="Arial"/>
              </w:rPr>
            </w:pPr>
            <w:r w:rsidRPr="00FD1ED9">
              <w:rPr>
                <w:rFonts w:ascii="Arial" w:hAnsi="Arial" w:cs="Arial"/>
              </w:rPr>
              <w:t>AstraZeneca Pty Ltd</w:t>
            </w:r>
          </w:p>
          <w:p w:rsidR="00EA6ED4" w:rsidRPr="00FD1ED9" w:rsidRDefault="00EA6ED4" w:rsidP="00FD1ED9">
            <w:pPr>
              <w:rPr>
                <w:rFonts w:ascii="Arial" w:hAnsi="Arial" w:cs="Arial"/>
              </w:rPr>
            </w:pPr>
            <w:r w:rsidRPr="00FD1ED9">
              <w:rPr>
                <w:rFonts w:ascii="Arial" w:hAnsi="Arial" w:cs="Arial"/>
              </w:rPr>
              <w:t>Matters Outstanding</w:t>
            </w:r>
          </w:p>
          <w:p w:rsidR="00EA6ED4" w:rsidRPr="00FD1ED9" w:rsidRDefault="00EA6ED4" w:rsidP="00FD1ED9">
            <w:pPr>
              <w:rPr>
                <w:rFonts w:ascii="Arial" w:hAnsi="Arial" w:cs="Arial"/>
              </w:rPr>
            </w:pPr>
          </w:p>
          <w:p w:rsidR="00EA6ED4" w:rsidRPr="00395B97" w:rsidRDefault="00EA6ED4" w:rsidP="00FD1ED9">
            <w:pPr>
              <w:rPr>
                <w:rFonts w:ascii="Arial" w:hAnsi="Arial" w:cs="Arial"/>
              </w:rPr>
            </w:pPr>
            <w:r w:rsidRPr="00FD1ED9">
              <w:rPr>
                <w:rFonts w:ascii="Arial" w:hAnsi="Arial" w:cs="Arial"/>
              </w:rPr>
              <w:t>(Minor Submission)</w:t>
            </w:r>
          </w:p>
        </w:tc>
        <w:tc>
          <w:tcPr>
            <w:tcW w:w="0" w:type="auto"/>
            <w:vMerge w:val="restart"/>
          </w:tcPr>
          <w:p w:rsidR="00EA6ED4" w:rsidRPr="00395B97" w:rsidRDefault="00EA6ED4" w:rsidP="00335779">
            <w:pPr>
              <w:widowControl w:val="0"/>
              <w:rPr>
                <w:rFonts w:ascii="Arial" w:hAnsi="Arial" w:cs="Arial"/>
                <w:snapToGrid w:val="0"/>
                <w:lang w:eastAsia="en-US"/>
              </w:rPr>
            </w:pPr>
            <w:r w:rsidRPr="00FD1ED9">
              <w:rPr>
                <w:rFonts w:ascii="Arial" w:hAnsi="Arial" w:cs="Arial"/>
                <w:snapToGrid w:val="0"/>
                <w:lang w:eastAsia="en-US"/>
              </w:rPr>
              <w:t>Ovarian, fallopian tube or primary peritoneal cancer</w:t>
            </w:r>
          </w:p>
        </w:tc>
        <w:tc>
          <w:tcPr>
            <w:tcW w:w="0" w:type="auto"/>
            <w:tcMar>
              <w:top w:w="28" w:type="dxa"/>
              <w:bottom w:w="28" w:type="dxa"/>
            </w:tcMar>
          </w:tcPr>
          <w:p w:rsidR="00EA6ED4" w:rsidRPr="00395B97" w:rsidRDefault="00EA6ED4" w:rsidP="00FD1ED9">
            <w:pPr>
              <w:pStyle w:val="ListParagraph"/>
              <w:ind w:left="0"/>
              <w:rPr>
                <w:rFonts w:ascii="Arial" w:hAnsi="Arial" w:cs="Arial"/>
                <w:snapToGrid w:val="0"/>
                <w:sz w:val="20"/>
                <w:szCs w:val="20"/>
                <w:lang w:eastAsia="en-US"/>
              </w:rPr>
            </w:pPr>
            <w:r w:rsidRPr="00FD1ED9">
              <w:rPr>
                <w:rFonts w:ascii="Arial" w:hAnsi="Arial" w:cs="Arial"/>
                <w:snapToGrid w:val="0"/>
                <w:sz w:val="20"/>
                <w:szCs w:val="20"/>
                <w:lang w:eastAsia="en-US"/>
              </w:rPr>
              <w:t>Resubmission for an Authority Required (STREAMLINED) listing for the treatment of platinum-sensitive relapsed ovarian, fallopian tube or primary peritoneal cancer with high-grade serous features or a high grade serous component.</w:t>
            </w:r>
          </w:p>
        </w:tc>
        <w:tc>
          <w:tcPr>
            <w:tcW w:w="0" w:type="auto"/>
          </w:tcPr>
          <w:p w:rsidR="00EA6ED4" w:rsidRPr="00395B97" w:rsidRDefault="00EA6ED4" w:rsidP="00BC2791">
            <w:pPr>
              <w:rPr>
                <w:rFonts w:ascii="Arial" w:hAnsi="Arial" w:cs="Arial"/>
                <w:iCs/>
              </w:rPr>
            </w:pPr>
            <w:r w:rsidRPr="0085579E">
              <w:rPr>
                <w:rFonts w:ascii="Arial" w:hAnsi="Arial" w:cs="Arial"/>
                <w:iCs/>
              </w:rPr>
              <w:t>The PBAC did not recommend the listing of olaparib for the treatment of high grade serous ovarian, fallopian tube, or primary peritoneal cancer on the basis that the economic model presented did not align with the observed results of the clinical trial. The overall survival benefit was therefore significantly overestimated in the model and, once this is corrected, the cost effectiveness would be unacceptable.</w:t>
            </w:r>
          </w:p>
        </w:tc>
      </w:tr>
      <w:tr w:rsidR="00EA6ED4" w:rsidRPr="00395B97" w:rsidTr="007A3893">
        <w:trPr>
          <w:cantSplit/>
          <w:trHeight w:val="102"/>
        </w:trPr>
        <w:tc>
          <w:tcPr>
            <w:tcW w:w="0" w:type="auto"/>
            <w:vMerge/>
            <w:tcMar>
              <w:top w:w="28" w:type="dxa"/>
              <w:bottom w:w="28" w:type="dxa"/>
            </w:tcMar>
          </w:tcPr>
          <w:p w:rsidR="00EA6ED4" w:rsidRPr="00395B97" w:rsidRDefault="00EA6ED4" w:rsidP="00335779">
            <w:pPr>
              <w:rPr>
                <w:rFonts w:ascii="Arial" w:hAnsi="Arial" w:cs="Arial"/>
              </w:rPr>
            </w:pPr>
          </w:p>
        </w:tc>
        <w:tc>
          <w:tcPr>
            <w:tcW w:w="0" w:type="auto"/>
            <w:vMerge/>
          </w:tcPr>
          <w:p w:rsidR="00EA6ED4" w:rsidRPr="00395B97" w:rsidRDefault="00EA6ED4" w:rsidP="00335779">
            <w:pPr>
              <w:widowControl w:val="0"/>
              <w:rPr>
                <w:rFonts w:ascii="Arial" w:hAnsi="Arial" w:cs="Arial"/>
                <w:snapToGrid w:val="0"/>
                <w:lang w:eastAsia="en-US"/>
              </w:rPr>
            </w:pPr>
          </w:p>
        </w:tc>
        <w:tc>
          <w:tcPr>
            <w:tcW w:w="0" w:type="auto"/>
            <w:tcMar>
              <w:top w:w="28" w:type="dxa"/>
              <w:bottom w:w="28" w:type="dxa"/>
            </w:tcMar>
          </w:tcPr>
          <w:p w:rsidR="00EA6ED4" w:rsidRPr="00395B97" w:rsidRDefault="00EA6ED4" w:rsidP="00FD1ED9">
            <w:pPr>
              <w:pStyle w:val="ListParagraph"/>
              <w:ind w:left="0"/>
              <w:rPr>
                <w:rFonts w:ascii="Arial" w:hAnsi="Arial" w:cs="Arial"/>
                <w:snapToGrid w:val="0"/>
                <w:sz w:val="20"/>
                <w:szCs w:val="20"/>
                <w:lang w:eastAsia="en-US"/>
              </w:rPr>
            </w:pPr>
            <w:r w:rsidRPr="00FD1ED9">
              <w:rPr>
                <w:rFonts w:ascii="Arial" w:hAnsi="Arial" w:cs="Arial"/>
                <w:snapToGrid w:val="0"/>
                <w:sz w:val="20"/>
                <w:szCs w:val="20"/>
                <w:lang w:eastAsia="en-US"/>
              </w:rPr>
              <w:t>Sponsor comment:</w:t>
            </w:r>
          </w:p>
        </w:tc>
        <w:tc>
          <w:tcPr>
            <w:tcW w:w="0" w:type="auto"/>
          </w:tcPr>
          <w:p w:rsidR="00EA6ED4" w:rsidRPr="00395B97" w:rsidRDefault="00EA6ED4" w:rsidP="002B45D1">
            <w:pPr>
              <w:jc w:val="both"/>
              <w:rPr>
                <w:rFonts w:ascii="Arial" w:hAnsi="Arial" w:cs="Arial"/>
                <w:iCs/>
              </w:rPr>
            </w:pPr>
            <w:r>
              <w:rPr>
                <w:rFonts w:ascii="Arial" w:hAnsi="Arial" w:cs="Arial"/>
                <w:iCs/>
              </w:rPr>
              <w:t>The sponsor had no comment.</w:t>
            </w:r>
          </w:p>
        </w:tc>
      </w:tr>
      <w:tr w:rsidR="00EA6ED4" w:rsidRPr="00395B97" w:rsidTr="007A3893">
        <w:trPr>
          <w:cantSplit/>
          <w:trHeight w:val="2969"/>
        </w:trPr>
        <w:tc>
          <w:tcPr>
            <w:tcW w:w="0" w:type="auto"/>
            <w:vMerge w:val="restart"/>
            <w:tcMar>
              <w:top w:w="28" w:type="dxa"/>
              <w:bottom w:w="28" w:type="dxa"/>
            </w:tcMar>
          </w:tcPr>
          <w:p w:rsidR="00EA6ED4" w:rsidRDefault="00EA6ED4" w:rsidP="00335779">
            <w:pPr>
              <w:rPr>
                <w:rFonts w:ascii="Arial" w:hAnsi="Arial" w:cs="Arial"/>
              </w:rPr>
            </w:pPr>
            <w:r w:rsidRPr="00363865">
              <w:rPr>
                <w:rFonts w:ascii="Arial" w:hAnsi="Arial" w:cs="Arial"/>
                <w:bCs/>
                <w:color w:val="000000"/>
              </w:rPr>
              <w:t>PERAMPANEL</w:t>
            </w:r>
            <w:r w:rsidRPr="00363865">
              <w:rPr>
                <w:rFonts w:ascii="Arial" w:hAnsi="Arial" w:cs="Arial"/>
                <w:bCs/>
                <w:color w:val="000000"/>
              </w:rPr>
              <w:br/>
            </w:r>
            <w:r w:rsidRPr="00363865">
              <w:rPr>
                <w:rFonts w:ascii="Arial" w:hAnsi="Arial" w:cs="Arial"/>
                <w:bCs/>
                <w:color w:val="000000"/>
              </w:rPr>
              <w:br/>
              <w:t>2 mg tablet, 7</w:t>
            </w:r>
            <w:r w:rsidRPr="00363865">
              <w:rPr>
                <w:rFonts w:ascii="Arial" w:hAnsi="Arial" w:cs="Arial"/>
                <w:bCs/>
                <w:color w:val="000000"/>
              </w:rPr>
              <w:br/>
              <w:t>4 mg tablet, 28</w:t>
            </w:r>
            <w:r w:rsidRPr="00363865">
              <w:rPr>
                <w:rFonts w:ascii="Arial" w:hAnsi="Arial" w:cs="Arial"/>
                <w:bCs/>
                <w:color w:val="000000"/>
              </w:rPr>
              <w:br/>
              <w:t>6 mg tablet, 28</w:t>
            </w:r>
            <w:r w:rsidRPr="00363865">
              <w:rPr>
                <w:rFonts w:ascii="Arial" w:hAnsi="Arial" w:cs="Arial"/>
                <w:bCs/>
                <w:color w:val="000000"/>
              </w:rPr>
              <w:br/>
              <w:t>8 mg tablet, 28</w:t>
            </w:r>
            <w:r w:rsidRPr="00363865">
              <w:rPr>
                <w:rFonts w:ascii="Arial" w:hAnsi="Arial" w:cs="Arial"/>
                <w:bCs/>
                <w:color w:val="000000"/>
              </w:rPr>
              <w:br/>
              <w:t>10 mg tablet, 28</w:t>
            </w:r>
            <w:r w:rsidRPr="00363865">
              <w:rPr>
                <w:rFonts w:ascii="Arial" w:hAnsi="Arial" w:cs="Arial"/>
                <w:bCs/>
                <w:color w:val="000000"/>
              </w:rPr>
              <w:br/>
              <w:t>12 mg tablet, 28</w:t>
            </w:r>
            <w:r w:rsidRPr="00363865">
              <w:rPr>
                <w:rFonts w:ascii="Arial" w:hAnsi="Arial" w:cs="Arial"/>
                <w:bCs/>
                <w:color w:val="000000"/>
              </w:rPr>
              <w:br/>
            </w:r>
            <w:r w:rsidRPr="00363865">
              <w:rPr>
                <w:rFonts w:ascii="Arial" w:hAnsi="Arial" w:cs="Arial"/>
                <w:bCs/>
                <w:color w:val="000000"/>
              </w:rPr>
              <w:br/>
              <w:t>Fycompa</w:t>
            </w:r>
            <w:r w:rsidRPr="00FA1926">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Eisai Australia Pty Limited</w:t>
            </w:r>
          </w:p>
          <w:p w:rsidR="00EA6ED4" w:rsidRDefault="00EA6ED4" w:rsidP="00335779">
            <w:pPr>
              <w:rPr>
                <w:rFonts w:ascii="Arial" w:hAnsi="Arial" w:cs="Arial"/>
              </w:rPr>
            </w:pPr>
          </w:p>
          <w:p w:rsidR="00EA6ED4" w:rsidRDefault="00EA6ED4" w:rsidP="00335779">
            <w:pPr>
              <w:rPr>
                <w:rFonts w:ascii="Arial" w:hAnsi="Arial" w:cs="Arial"/>
              </w:rPr>
            </w:pPr>
            <w:r w:rsidRPr="00363865">
              <w:rPr>
                <w:rFonts w:ascii="Arial" w:hAnsi="Arial" w:cs="Arial"/>
                <w:bCs/>
                <w:color w:val="000000"/>
              </w:rPr>
              <w:t>Change to listing</w:t>
            </w:r>
            <w:r w:rsidRPr="00363865">
              <w:rPr>
                <w:rFonts w:ascii="Arial" w:hAnsi="Arial" w:cs="Arial"/>
                <w:bCs/>
                <w:color w:val="000000"/>
              </w:rPr>
              <w:br/>
            </w:r>
            <w:r w:rsidRPr="00363865">
              <w:rPr>
                <w:rFonts w:ascii="Arial" w:hAnsi="Arial" w:cs="Arial"/>
                <w:bCs/>
                <w:color w:val="000000"/>
              </w:rPr>
              <w:br/>
              <w:t>(Major Submission)</w:t>
            </w:r>
          </w:p>
          <w:p w:rsidR="00EA6ED4" w:rsidRPr="00395B97" w:rsidRDefault="00EA6ED4" w:rsidP="00335779">
            <w:pPr>
              <w:rPr>
                <w:rFonts w:ascii="Arial" w:hAnsi="Arial" w:cs="Arial"/>
              </w:rPr>
            </w:pPr>
          </w:p>
        </w:tc>
        <w:tc>
          <w:tcPr>
            <w:tcW w:w="0" w:type="auto"/>
            <w:vMerge w:val="restart"/>
          </w:tcPr>
          <w:p w:rsidR="00EA6ED4" w:rsidRPr="00395B97" w:rsidRDefault="00EA6ED4" w:rsidP="00335779">
            <w:pPr>
              <w:widowControl w:val="0"/>
              <w:rPr>
                <w:rFonts w:ascii="Arial" w:hAnsi="Arial" w:cs="Arial"/>
                <w:snapToGrid w:val="0"/>
                <w:lang w:eastAsia="en-US"/>
              </w:rPr>
            </w:pPr>
            <w:r w:rsidRPr="001A37EB">
              <w:rPr>
                <w:rFonts w:ascii="Arial" w:hAnsi="Arial" w:cs="Arial"/>
                <w:bCs/>
                <w:color w:val="000000"/>
              </w:rPr>
              <w:t>E</w:t>
            </w:r>
            <w:r w:rsidRPr="00363865">
              <w:rPr>
                <w:rFonts w:ascii="Arial" w:hAnsi="Arial" w:cs="Arial"/>
                <w:bCs/>
                <w:color w:val="000000"/>
              </w:rPr>
              <w:t>pilepsy</w:t>
            </w:r>
          </w:p>
        </w:tc>
        <w:tc>
          <w:tcPr>
            <w:tcW w:w="0" w:type="auto"/>
            <w:tcMar>
              <w:top w:w="28" w:type="dxa"/>
              <w:bottom w:w="28" w:type="dxa"/>
            </w:tcMar>
          </w:tcPr>
          <w:p w:rsidR="00EA6ED4" w:rsidRDefault="00EA6ED4" w:rsidP="0069550C">
            <w:pPr>
              <w:pStyle w:val="ListParagraph"/>
              <w:ind w:left="0"/>
              <w:rPr>
                <w:rFonts w:ascii="Arial" w:hAnsi="Arial" w:cs="Arial"/>
                <w:snapToGrid w:val="0"/>
                <w:sz w:val="20"/>
                <w:szCs w:val="20"/>
                <w:lang w:eastAsia="en-US"/>
              </w:rPr>
            </w:pPr>
            <w:r w:rsidRPr="0069550C">
              <w:rPr>
                <w:rFonts w:ascii="Arial" w:hAnsi="Arial" w:cs="Arial"/>
                <w:snapToGrid w:val="0"/>
                <w:sz w:val="20"/>
                <w:szCs w:val="20"/>
                <w:lang w:eastAsia="en-US"/>
              </w:rPr>
              <w:t>Authority Required (STREAMLINED) for treatment of epilepsy with Primary Generalised Tonic-Clonic seizures.</w:t>
            </w:r>
          </w:p>
          <w:p w:rsidR="00EA6ED4" w:rsidRDefault="00EA6ED4" w:rsidP="00845DB3">
            <w:pPr>
              <w:pStyle w:val="ListParagraph"/>
              <w:ind w:left="0"/>
              <w:jc w:val="right"/>
              <w:rPr>
                <w:rFonts w:ascii="Arial" w:hAnsi="Arial" w:cs="Arial"/>
                <w:snapToGrid w:val="0"/>
                <w:sz w:val="20"/>
                <w:szCs w:val="20"/>
                <w:lang w:eastAsia="en-US"/>
              </w:rPr>
            </w:pPr>
          </w:p>
          <w:p w:rsidR="00EA6ED4" w:rsidRDefault="00EA6ED4" w:rsidP="00845DB3">
            <w:pPr>
              <w:pStyle w:val="ListParagraph"/>
              <w:ind w:left="0"/>
              <w:jc w:val="right"/>
              <w:rPr>
                <w:rFonts w:ascii="Arial" w:hAnsi="Arial" w:cs="Arial"/>
                <w:snapToGrid w:val="0"/>
                <w:sz w:val="20"/>
                <w:szCs w:val="20"/>
                <w:lang w:eastAsia="en-US"/>
              </w:rPr>
            </w:pPr>
          </w:p>
          <w:p w:rsidR="00EA6ED4" w:rsidRPr="00395B97" w:rsidRDefault="00EA6ED4" w:rsidP="00845DB3">
            <w:pPr>
              <w:pStyle w:val="ListParagraph"/>
              <w:ind w:left="0"/>
              <w:jc w:val="right"/>
              <w:rPr>
                <w:rFonts w:ascii="Arial" w:hAnsi="Arial" w:cs="Arial"/>
                <w:snapToGrid w:val="0"/>
                <w:sz w:val="20"/>
                <w:szCs w:val="20"/>
                <w:lang w:eastAsia="en-US"/>
              </w:rPr>
            </w:pPr>
          </w:p>
        </w:tc>
        <w:tc>
          <w:tcPr>
            <w:tcW w:w="0" w:type="auto"/>
          </w:tcPr>
          <w:p w:rsidR="00EA6ED4" w:rsidRPr="00854B1C" w:rsidRDefault="00EA6ED4" w:rsidP="00854B1C">
            <w:pPr>
              <w:pStyle w:val="ListParagraph"/>
              <w:ind w:left="0"/>
              <w:rPr>
                <w:rFonts w:ascii="Arial" w:hAnsi="Arial" w:cs="Arial"/>
                <w:snapToGrid w:val="0"/>
                <w:sz w:val="20"/>
                <w:szCs w:val="20"/>
                <w:lang w:eastAsia="en-US"/>
              </w:rPr>
            </w:pPr>
            <w:r w:rsidRPr="00854B1C">
              <w:rPr>
                <w:rFonts w:ascii="Arial" w:hAnsi="Arial" w:cs="Arial"/>
                <w:snapToGrid w:val="0"/>
                <w:sz w:val="20"/>
                <w:szCs w:val="20"/>
                <w:lang w:eastAsia="en-US"/>
              </w:rPr>
              <w:t>The PBAC did not recommend the listing of perampanel for treatment of primary generalised tonic-clonic (PGTC) seizures, on the basis of a lack of clinical data</w:t>
            </w:r>
            <w:r>
              <w:rPr>
                <w:rFonts w:ascii="Arial" w:hAnsi="Arial" w:cs="Arial"/>
                <w:snapToGrid w:val="0"/>
                <w:sz w:val="20"/>
                <w:szCs w:val="20"/>
                <w:lang w:eastAsia="en-US"/>
              </w:rPr>
              <w:t xml:space="preserve"> for use</w:t>
            </w:r>
            <w:r w:rsidRPr="00854B1C">
              <w:rPr>
                <w:rFonts w:ascii="Arial" w:hAnsi="Arial" w:cs="Arial"/>
                <w:snapToGrid w:val="0"/>
                <w:sz w:val="20"/>
                <w:szCs w:val="20"/>
                <w:lang w:eastAsia="en-US"/>
              </w:rPr>
              <w:t xml:space="preserve"> in the relevant PBS population and unknown cost-effectiveness. </w:t>
            </w:r>
          </w:p>
          <w:p w:rsidR="00EA6ED4" w:rsidRPr="00854B1C" w:rsidRDefault="00EA6ED4" w:rsidP="00854B1C">
            <w:pPr>
              <w:pStyle w:val="ListParagraph"/>
              <w:ind w:left="0"/>
              <w:rPr>
                <w:rFonts w:ascii="Arial" w:hAnsi="Arial" w:cs="Arial"/>
                <w:snapToGrid w:val="0"/>
                <w:sz w:val="20"/>
                <w:szCs w:val="20"/>
                <w:lang w:eastAsia="en-US"/>
              </w:rPr>
            </w:pPr>
          </w:p>
          <w:p w:rsidR="00EA6ED4" w:rsidRPr="00854B1C" w:rsidRDefault="00EA6ED4" w:rsidP="00854B1C">
            <w:pPr>
              <w:pStyle w:val="ListParagraph"/>
              <w:ind w:left="0"/>
              <w:rPr>
                <w:rFonts w:ascii="Arial" w:hAnsi="Arial" w:cs="Arial"/>
                <w:snapToGrid w:val="0"/>
                <w:sz w:val="20"/>
                <w:szCs w:val="20"/>
                <w:lang w:eastAsia="en-US"/>
              </w:rPr>
            </w:pPr>
            <w:r w:rsidRPr="00854B1C">
              <w:rPr>
                <w:rFonts w:ascii="Arial" w:hAnsi="Arial" w:cs="Arial"/>
                <w:snapToGrid w:val="0"/>
                <w:sz w:val="20"/>
                <w:szCs w:val="20"/>
                <w:lang w:eastAsia="en-US"/>
              </w:rPr>
              <w:t>In making this recommendation, the PBAC acknowledged the clinical need for additional therapeutic options for patients whose symptoms are not well controlled with the treatments currently available. The PBAC considered that the submission’s analysis of perampanel as a last-line therapy (i</w:t>
            </w:r>
            <w:r>
              <w:rPr>
                <w:rFonts w:ascii="Arial" w:hAnsi="Arial" w:cs="Arial"/>
                <w:snapToGrid w:val="0"/>
                <w:sz w:val="20"/>
                <w:szCs w:val="20"/>
                <w:lang w:eastAsia="en-US"/>
              </w:rPr>
              <w:t>.</w:t>
            </w:r>
            <w:r w:rsidRPr="00854B1C">
              <w:rPr>
                <w:rFonts w:ascii="Arial" w:hAnsi="Arial" w:cs="Arial"/>
                <w:snapToGrid w:val="0"/>
                <w:sz w:val="20"/>
                <w:szCs w:val="20"/>
                <w:lang w:eastAsia="en-US"/>
              </w:rPr>
              <w:t>e</w:t>
            </w:r>
            <w:r>
              <w:rPr>
                <w:rFonts w:ascii="Arial" w:hAnsi="Arial" w:cs="Arial"/>
                <w:snapToGrid w:val="0"/>
                <w:sz w:val="20"/>
                <w:szCs w:val="20"/>
                <w:lang w:eastAsia="en-US"/>
              </w:rPr>
              <w:t>.</w:t>
            </w:r>
            <w:r w:rsidRPr="00854B1C">
              <w:rPr>
                <w:rFonts w:ascii="Arial" w:hAnsi="Arial" w:cs="Arial"/>
                <w:snapToGrid w:val="0"/>
                <w:sz w:val="20"/>
                <w:szCs w:val="20"/>
                <w:lang w:eastAsia="en-US"/>
              </w:rPr>
              <w:t xml:space="preserve"> against placebo) was not an appropriate reflection of its likely place in therapy (as an additional option for refractory patients) and noted that the evidence provided in the submission did not address the refractory population.</w:t>
            </w:r>
          </w:p>
          <w:p w:rsidR="00EA6ED4" w:rsidRPr="00854B1C" w:rsidRDefault="00EA6ED4" w:rsidP="00854B1C">
            <w:pPr>
              <w:pStyle w:val="ListParagraph"/>
              <w:ind w:left="0"/>
              <w:rPr>
                <w:rFonts w:ascii="Arial" w:hAnsi="Arial" w:cs="Arial"/>
                <w:snapToGrid w:val="0"/>
                <w:sz w:val="20"/>
                <w:szCs w:val="20"/>
                <w:lang w:eastAsia="en-US"/>
              </w:rPr>
            </w:pPr>
          </w:p>
          <w:p w:rsidR="00EA6ED4" w:rsidRPr="00395B97" w:rsidRDefault="00EA6ED4" w:rsidP="00854B1C">
            <w:pPr>
              <w:pStyle w:val="ListParagraph"/>
              <w:ind w:left="0"/>
              <w:rPr>
                <w:rFonts w:ascii="Arial" w:hAnsi="Arial" w:cs="Arial"/>
                <w:iCs/>
              </w:rPr>
            </w:pPr>
            <w:r w:rsidRPr="00854B1C">
              <w:rPr>
                <w:rFonts w:ascii="Arial" w:hAnsi="Arial" w:cs="Arial"/>
                <w:snapToGrid w:val="0"/>
                <w:sz w:val="20"/>
                <w:szCs w:val="20"/>
                <w:lang w:eastAsia="en-US"/>
              </w:rPr>
              <w:t>Given their view on the appropriate clinical place for perampanel, the PBAC considered that the submission’s nomination of placebo as the comparator was not appropriate. Therefore the clinical and economic analyses presented in the submission were not informative to the consideration of the comparative efficacy and cost-effectiveness of perampanel in the relevant PBS population.</w:t>
            </w:r>
          </w:p>
        </w:tc>
      </w:tr>
      <w:tr w:rsidR="00EA6ED4" w:rsidRPr="00395B97" w:rsidTr="007A3893">
        <w:trPr>
          <w:cantSplit/>
          <w:trHeight w:val="102"/>
        </w:trPr>
        <w:tc>
          <w:tcPr>
            <w:tcW w:w="0" w:type="auto"/>
            <w:vMerge/>
            <w:tcMar>
              <w:top w:w="28" w:type="dxa"/>
              <w:bottom w:w="28" w:type="dxa"/>
            </w:tcMar>
          </w:tcPr>
          <w:p w:rsidR="00EA6ED4" w:rsidRPr="00395B97" w:rsidRDefault="00EA6ED4" w:rsidP="00335779">
            <w:pPr>
              <w:rPr>
                <w:rFonts w:ascii="Arial" w:hAnsi="Arial" w:cs="Arial"/>
              </w:rPr>
            </w:pPr>
          </w:p>
        </w:tc>
        <w:tc>
          <w:tcPr>
            <w:tcW w:w="0" w:type="auto"/>
            <w:vMerge/>
          </w:tcPr>
          <w:p w:rsidR="00EA6ED4" w:rsidRPr="00395B97" w:rsidRDefault="00EA6ED4" w:rsidP="00335779">
            <w:pPr>
              <w:widowControl w:val="0"/>
              <w:rPr>
                <w:rFonts w:ascii="Arial" w:hAnsi="Arial" w:cs="Arial"/>
                <w:snapToGrid w:val="0"/>
                <w:lang w:eastAsia="en-US"/>
              </w:rPr>
            </w:pPr>
          </w:p>
        </w:tc>
        <w:tc>
          <w:tcPr>
            <w:tcW w:w="0" w:type="auto"/>
            <w:tcMar>
              <w:top w:w="28" w:type="dxa"/>
              <w:bottom w:w="28" w:type="dxa"/>
            </w:tcMar>
          </w:tcPr>
          <w:p w:rsidR="00EA6ED4" w:rsidRPr="00395B97" w:rsidRDefault="00EA6ED4" w:rsidP="0069550C">
            <w:pPr>
              <w:pStyle w:val="ListParagraph"/>
              <w:ind w:left="0"/>
              <w:rPr>
                <w:rFonts w:ascii="Arial" w:hAnsi="Arial" w:cs="Arial"/>
                <w:snapToGrid w:val="0"/>
                <w:sz w:val="20"/>
                <w:szCs w:val="20"/>
                <w:lang w:eastAsia="en-US"/>
              </w:rPr>
            </w:pPr>
            <w:r w:rsidRPr="0069550C">
              <w:rPr>
                <w:rFonts w:ascii="Arial" w:hAnsi="Arial" w:cs="Arial"/>
                <w:snapToGrid w:val="0"/>
                <w:sz w:val="20"/>
                <w:szCs w:val="20"/>
                <w:lang w:eastAsia="en-US"/>
              </w:rPr>
              <w:t>Sponsor comment:</w:t>
            </w:r>
          </w:p>
        </w:tc>
        <w:tc>
          <w:tcPr>
            <w:tcW w:w="0" w:type="auto"/>
          </w:tcPr>
          <w:p w:rsidR="00EA6ED4" w:rsidRPr="00395B97" w:rsidRDefault="00EA6ED4" w:rsidP="002B45D1">
            <w:pPr>
              <w:jc w:val="both"/>
              <w:rPr>
                <w:rFonts w:ascii="Arial" w:hAnsi="Arial" w:cs="Arial"/>
                <w:iCs/>
              </w:rPr>
            </w:pPr>
            <w:r>
              <w:rPr>
                <w:rFonts w:ascii="Arial" w:hAnsi="Arial" w:cs="Arial"/>
                <w:iCs/>
              </w:rPr>
              <w:t xml:space="preserve">The sponsor had no comment. </w:t>
            </w:r>
          </w:p>
        </w:tc>
      </w:tr>
      <w:tr w:rsidR="00EA6ED4" w:rsidRPr="00395B97" w:rsidTr="007A3893">
        <w:trPr>
          <w:cantSplit/>
          <w:trHeight w:val="2530"/>
        </w:trPr>
        <w:tc>
          <w:tcPr>
            <w:tcW w:w="0" w:type="auto"/>
            <w:vMerge w:val="restart"/>
            <w:tcMar>
              <w:top w:w="28" w:type="dxa"/>
              <w:bottom w:w="28" w:type="dxa"/>
            </w:tcMar>
          </w:tcPr>
          <w:p w:rsidR="00EA6ED4" w:rsidRDefault="00EA6ED4" w:rsidP="00335779">
            <w:pPr>
              <w:rPr>
                <w:rFonts w:ascii="Arial" w:hAnsi="Arial" w:cs="Arial"/>
              </w:rPr>
            </w:pPr>
            <w:r w:rsidRPr="00363865">
              <w:rPr>
                <w:rFonts w:ascii="Arial" w:hAnsi="Arial" w:cs="Arial"/>
                <w:bCs/>
                <w:color w:val="000000"/>
              </w:rPr>
              <w:lastRenderedPageBreak/>
              <w:t>TALIMOGENE LAHERPAREPVEC</w:t>
            </w:r>
            <w:r w:rsidRPr="00363865">
              <w:rPr>
                <w:rFonts w:ascii="Arial" w:hAnsi="Arial" w:cs="Arial"/>
                <w:bCs/>
                <w:color w:val="000000"/>
              </w:rPr>
              <w:br/>
            </w:r>
            <w:r w:rsidRPr="00363865">
              <w:rPr>
                <w:rFonts w:ascii="Arial" w:hAnsi="Arial" w:cs="Arial"/>
                <w:bCs/>
                <w:color w:val="000000"/>
              </w:rPr>
              <w:br/>
              <w:t xml:space="preserve">1 million PFU/mL solution for injection, </w:t>
            </w:r>
            <w:r w:rsidRPr="001A37EB">
              <w:rPr>
                <w:rFonts w:ascii="Arial" w:hAnsi="Arial" w:cs="Arial"/>
                <w:bCs/>
                <w:color w:val="000000"/>
              </w:rPr>
              <w:t xml:space="preserve">1 x </w:t>
            </w:r>
            <w:r w:rsidRPr="00363865">
              <w:rPr>
                <w:rFonts w:ascii="Arial" w:hAnsi="Arial" w:cs="Arial"/>
                <w:bCs/>
                <w:color w:val="000000"/>
              </w:rPr>
              <w:t>1 mL vial</w:t>
            </w:r>
            <w:r w:rsidRPr="00363865">
              <w:rPr>
                <w:rFonts w:ascii="Arial" w:hAnsi="Arial" w:cs="Arial"/>
                <w:bCs/>
                <w:color w:val="000000"/>
              </w:rPr>
              <w:br/>
            </w:r>
            <w:r w:rsidRPr="00363865">
              <w:rPr>
                <w:rFonts w:ascii="Arial" w:hAnsi="Arial" w:cs="Arial"/>
                <w:bCs/>
                <w:color w:val="000000"/>
              </w:rPr>
              <w:br/>
              <w:t>Imlygic</w:t>
            </w:r>
            <w:r w:rsidRPr="00FA1926">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Amgen Australia Pty Ltd</w:t>
            </w:r>
          </w:p>
          <w:p w:rsidR="00EA6ED4" w:rsidRDefault="00EA6ED4" w:rsidP="00335779">
            <w:pPr>
              <w:rPr>
                <w:rFonts w:ascii="Arial" w:hAnsi="Arial" w:cs="Arial"/>
              </w:rPr>
            </w:pPr>
          </w:p>
          <w:p w:rsidR="00EA6ED4" w:rsidRDefault="00EA6ED4" w:rsidP="00335779">
            <w:pPr>
              <w:rPr>
                <w:rFonts w:ascii="Arial" w:hAnsi="Arial" w:cs="Arial"/>
              </w:rPr>
            </w:pPr>
            <w:r w:rsidRPr="00363865">
              <w:rPr>
                <w:rFonts w:ascii="Arial" w:hAnsi="Arial" w:cs="Arial"/>
                <w:bCs/>
                <w:color w:val="000000"/>
              </w:rPr>
              <w:t>New listing</w:t>
            </w:r>
            <w:r w:rsidRPr="00363865">
              <w:rPr>
                <w:rFonts w:ascii="Arial" w:hAnsi="Arial" w:cs="Arial"/>
                <w:bCs/>
                <w:color w:val="000000"/>
              </w:rPr>
              <w:br/>
            </w:r>
            <w:r w:rsidRPr="00363865">
              <w:rPr>
                <w:rFonts w:ascii="Arial" w:hAnsi="Arial" w:cs="Arial"/>
                <w:bCs/>
                <w:color w:val="000000"/>
              </w:rPr>
              <w:br/>
              <w:t>(Major Submission)</w:t>
            </w:r>
          </w:p>
          <w:p w:rsidR="00EA6ED4" w:rsidRPr="00395B97" w:rsidRDefault="00EA6ED4" w:rsidP="00335779">
            <w:pPr>
              <w:rPr>
                <w:rFonts w:ascii="Arial" w:hAnsi="Arial" w:cs="Arial"/>
              </w:rPr>
            </w:pPr>
          </w:p>
        </w:tc>
        <w:tc>
          <w:tcPr>
            <w:tcW w:w="0" w:type="auto"/>
            <w:vMerge w:val="restart"/>
          </w:tcPr>
          <w:p w:rsidR="00EA6ED4" w:rsidRDefault="00EA6ED4" w:rsidP="00335779">
            <w:pPr>
              <w:widowControl w:val="0"/>
              <w:rPr>
                <w:rFonts w:ascii="Arial" w:hAnsi="Arial" w:cs="Arial"/>
                <w:snapToGrid w:val="0"/>
                <w:lang w:eastAsia="en-US"/>
              </w:rPr>
            </w:pPr>
            <w:r w:rsidRPr="001A37EB">
              <w:rPr>
                <w:rFonts w:ascii="Arial" w:hAnsi="Arial" w:cs="Arial"/>
                <w:bCs/>
                <w:color w:val="000000"/>
              </w:rPr>
              <w:t>Melanoma</w:t>
            </w:r>
          </w:p>
          <w:p w:rsidR="00EA6ED4" w:rsidRDefault="00EA6ED4" w:rsidP="00335779">
            <w:pPr>
              <w:widowControl w:val="0"/>
              <w:rPr>
                <w:rFonts w:ascii="Arial" w:hAnsi="Arial" w:cs="Arial"/>
                <w:snapToGrid w:val="0"/>
                <w:lang w:eastAsia="en-US"/>
              </w:rPr>
            </w:pPr>
          </w:p>
          <w:p w:rsidR="00EA6ED4" w:rsidRDefault="00EA6ED4" w:rsidP="00335779">
            <w:pPr>
              <w:widowControl w:val="0"/>
              <w:rPr>
                <w:rFonts w:ascii="Arial" w:hAnsi="Arial" w:cs="Arial"/>
                <w:snapToGrid w:val="0"/>
                <w:lang w:eastAsia="en-US"/>
              </w:rPr>
            </w:pPr>
          </w:p>
          <w:p w:rsidR="00EA6ED4" w:rsidRPr="00395B97" w:rsidRDefault="00EA6ED4" w:rsidP="00335779">
            <w:pPr>
              <w:widowControl w:val="0"/>
              <w:rPr>
                <w:rFonts w:ascii="Arial" w:hAnsi="Arial" w:cs="Arial"/>
                <w:snapToGrid w:val="0"/>
                <w:lang w:eastAsia="en-US"/>
              </w:rPr>
            </w:pPr>
          </w:p>
        </w:tc>
        <w:tc>
          <w:tcPr>
            <w:tcW w:w="0" w:type="auto"/>
            <w:tcMar>
              <w:top w:w="28" w:type="dxa"/>
              <w:bottom w:w="28" w:type="dxa"/>
            </w:tcMar>
          </w:tcPr>
          <w:p w:rsidR="00EA6ED4" w:rsidRDefault="00EA6ED4" w:rsidP="0069550C">
            <w:pPr>
              <w:pStyle w:val="ListParagraph"/>
              <w:ind w:left="0"/>
              <w:rPr>
                <w:rFonts w:ascii="Arial" w:hAnsi="Arial" w:cs="Arial"/>
                <w:snapToGrid w:val="0"/>
                <w:sz w:val="20"/>
                <w:szCs w:val="20"/>
                <w:lang w:eastAsia="en-US"/>
              </w:rPr>
            </w:pPr>
            <w:r w:rsidRPr="0069550C">
              <w:rPr>
                <w:rFonts w:ascii="Arial" w:hAnsi="Arial" w:cs="Arial"/>
                <w:snapToGrid w:val="0"/>
                <w:sz w:val="20"/>
                <w:szCs w:val="20"/>
                <w:lang w:eastAsia="en-US"/>
              </w:rPr>
              <w:t>Authority Required listing for treatment of Unresectable Stage III or Stage IV melanoma without visceral metastases.</w:t>
            </w:r>
          </w:p>
          <w:p w:rsidR="00EA6ED4" w:rsidRDefault="00EA6ED4" w:rsidP="00845DB3">
            <w:pPr>
              <w:pStyle w:val="ListParagraph"/>
              <w:ind w:left="0"/>
              <w:jc w:val="right"/>
              <w:rPr>
                <w:rFonts w:ascii="Arial" w:hAnsi="Arial" w:cs="Arial"/>
                <w:snapToGrid w:val="0"/>
                <w:sz w:val="20"/>
                <w:szCs w:val="20"/>
                <w:lang w:eastAsia="en-US"/>
              </w:rPr>
            </w:pPr>
          </w:p>
          <w:p w:rsidR="00EA6ED4" w:rsidRPr="00395B97" w:rsidRDefault="00EA6ED4" w:rsidP="00845DB3">
            <w:pPr>
              <w:pStyle w:val="ListParagraph"/>
              <w:ind w:left="0"/>
              <w:jc w:val="right"/>
              <w:rPr>
                <w:rFonts w:ascii="Arial" w:hAnsi="Arial" w:cs="Arial"/>
                <w:snapToGrid w:val="0"/>
                <w:sz w:val="20"/>
                <w:szCs w:val="20"/>
                <w:lang w:eastAsia="en-US"/>
              </w:rPr>
            </w:pPr>
          </w:p>
        </w:tc>
        <w:tc>
          <w:tcPr>
            <w:tcW w:w="0" w:type="auto"/>
          </w:tcPr>
          <w:p w:rsidR="00EA6ED4" w:rsidRPr="00395B97" w:rsidRDefault="00EA6ED4" w:rsidP="00BC2791">
            <w:pPr>
              <w:rPr>
                <w:rFonts w:ascii="Arial" w:hAnsi="Arial" w:cs="Arial"/>
                <w:iCs/>
              </w:rPr>
            </w:pPr>
            <w:r w:rsidRPr="00A17EE6">
              <w:rPr>
                <w:rFonts w:ascii="Arial" w:hAnsi="Arial" w:cs="Arial"/>
                <w:iCs/>
              </w:rPr>
              <w:t xml:space="preserve">The PBAC </w:t>
            </w:r>
            <w:r>
              <w:rPr>
                <w:rFonts w:ascii="Arial" w:hAnsi="Arial" w:cs="Arial"/>
                <w:iCs/>
              </w:rPr>
              <w:t>did not recommend</w:t>
            </w:r>
            <w:r w:rsidRPr="00A17EE6">
              <w:rPr>
                <w:rFonts w:ascii="Arial" w:hAnsi="Arial" w:cs="Arial"/>
                <w:iCs/>
              </w:rPr>
              <w:t xml:space="preserve"> the listing of</w:t>
            </w:r>
            <w:r>
              <w:rPr>
                <w:rFonts w:ascii="Arial" w:hAnsi="Arial" w:cs="Arial"/>
                <w:iCs/>
              </w:rPr>
              <w:t xml:space="preserve"> talimogene laherparepvec</w:t>
            </w:r>
            <w:r w:rsidRPr="00A17EE6">
              <w:rPr>
                <w:rFonts w:ascii="Arial" w:hAnsi="Arial" w:cs="Arial"/>
                <w:iCs/>
              </w:rPr>
              <w:t xml:space="preserve"> </w:t>
            </w:r>
            <w:r>
              <w:rPr>
                <w:rFonts w:ascii="Arial" w:hAnsi="Arial" w:cs="Arial"/>
                <w:iCs/>
              </w:rPr>
              <w:t>(T-</w:t>
            </w:r>
            <w:r w:rsidRPr="00A17EE6">
              <w:rPr>
                <w:rFonts w:ascii="Arial" w:hAnsi="Arial" w:cs="Arial"/>
                <w:iCs/>
              </w:rPr>
              <w:t>VEC</w:t>
            </w:r>
            <w:r>
              <w:rPr>
                <w:rFonts w:ascii="Arial" w:hAnsi="Arial" w:cs="Arial"/>
                <w:iCs/>
              </w:rPr>
              <w:t>)</w:t>
            </w:r>
            <w:r w:rsidRPr="00A17EE6">
              <w:rPr>
                <w:rFonts w:ascii="Arial" w:hAnsi="Arial" w:cs="Arial"/>
                <w:iCs/>
              </w:rPr>
              <w:t xml:space="preserve"> on the basis of highly uncertain magnitude of clinical benefit, and thus highly uncertain cost effectiveness compared to its nominated comparators (pembrolizumab, nivolumab and ipilimumab).  The PBAC acknowledged that there may be some short-term unmet clinical need for additional therapies beyond current PBS-subsidised medicines in a small subgroup of previously untreated patients with stage IIIb/c and stage IVM1a melanoma.  However, the PBAC considered that the comparative effectiveness and safety of T-VEC versus its comparators could not be determined with sufficient confidence using the data presented in the submission.</w:t>
            </w:r>
          </w:p>
        </w:tc>
      </w:tr>
      <w:tr w:rsidR="00EA6ED4" w:rsidRPr="00395B97" w:rsidTr="007A3893">
        <w:trPr>
          <w:cantSplit/>
          <w:trHeight w:val="102"/>
        </w:trPr>
        <w:tc>
          <w:tcPr>
            <w:tcW w:w="0" w:type="auto"/>
            <w:vMerge/>
            <w:tcMar>
              <w:top w:w="28" w:type="dxa"/>
              <w:bottom w:w="28" w:type="dxa"/>
            </w:tcMar>
          </w:tcPr>
          <w:p w:rsidR="00EA6ED4" w:rsidRPr="00395B97" w:rsidRDefault="00EA6ED4" w:rsidP="00335779">
            <w:pPr>
              <w:rPr>
                <w:rFonts w:ascii="Arial" w:hAnsi="Arial" w:cs="Arial"/>
              </w:rPr>
            </w:pPr>
          </w:p>
        </w:tc>
        <w:tc>
          <w:tcPr>
            <w:tcW w:w="0" w:type="auto"/>
            <w:vMerge/>
          </w:tcPr>
          <w:p w:rsidR="00EA6ED4" w:rsidRPr="00395B97" w:rsidRDefault="00EA6ED4" w:rsidP="00335779">
            <w:pPr>
              <w:widowControl w:val="0"/>
              <w:rPr>
                <w:rFonts w:ascii="Arial" w:hAnsi="Arial" w:cs="Arial"/>
                <w:snapToGrid w:val="0"/>
                <w:lang w:eastAsia="en-US"/>
              </w:rPr>
            </w:pPr>
          </w:p>
        </w:tc>
        <w:tc>
          <w:tcPr>
            <w:tcW w:w="0" w:type="auto"/>
            <w:tcMar>
              <w:top w:w="28" w:type="dxa"/>
              <w:bottom w:w="28" w:type="dxa"/>
            </w:tcMar>
          </w:tcPr>
          <w:p w:rsidR="00EA6ED4" w:rsidRPr="00395B97" w:rsidRDefault="00EA6ED4" w:rsidP="0069550C">
            <w:pPr>
              <w:pStyle w:val="ListParagraph"/>
              <w:ind w:left="0"/>
              <w:rPr>
                <w:rFonts w:ascii="Arial" w:hAnsi="Arial" w:cs="Arial"/>
                <w:snapToGrid w:val="0"/>
                <w:sz w:val="20"/>
                <w:szCs w:val="20"/>
                <w:lang w:eastAsia="en-US"/>
              </w:rPr>
            </w:pPr>
            <w:r w:rsidRPr="0069550C">
              <w:rPr>
                <w:rFonts w:ascii="Arial" w:hAnsi="Arial" w:cs="Arial"/>
                <w:snapToGrid w:val="0"/>
                <w:sz w:val="20"/>
                <w:szCs w:val="20"/>
                <w:lang w:eastAsia="en-US"/>
              </w:rPr>
              <w:t>Sponsor comment:</w:t>
            </w:r>
          </w:p>
        </w:tc>
        <w:tc>
          <w:tcPr>
            <w:tcW w:w="0" w:type="auto"/>
          </w:tcPr>
          <w:p w:rsidR="00EA6ED4" w:rsidRPr="00334C52" w:rsidRDefault="00EA6ED4" w:rsidP="00334C52">
            <w:pPr>
              <w:rPr>
                <w:rFonts w:ascii="Arial" w:hAnsi="Arial" w:cs="Arial"/>
                <w:iCs/>
              </w:rPr>
            </w:pPr>
            <w:r w:rsidRPr="00334C52">
              <w:rPr>
                <w:rFonts w:ascii="Arial" w:hAnsi="Arial" w:cs="Arial"/>
                <w:iCs/>
              </w:rPr>
              <w:t>Despite a number of promising melanoma therapies recently being recommended by the PBAC, Australia still has one of the highest incidences of melanoma in the world and there remains a clinical need for alternative treatment options. Talimogene laherparepvec (IMLYGIC) is effective and well tolerated while offering a new and different mode of action that provides a useful addition to existing therapies. Amgen looks forward to continuing to work with the PBAC to ensure that Australian patients with melanoma are able to access treatment with talimogene laherparepvec.</w:t>
            </w:r>
          </w:p>
          <w:p w:rsidR="00EA6ED4" w:rsidRPr="00395B97" w:rsidRDefault="00EA6ED4" w:rsidP="002B45D1">
            <w:pPr>
              <w:jc w:val="both"/>
              <w:rPr>
                <w:rFonts w:ascii="Arial" w:hAnsi="Arial" w:cs="Arial"/>
                <w:iCs/>
              </w:rPr>
            </w:pPr>
          </w:p>
        </w:tc>
      </w:tr>
      <w:tr w:rsidR="00EA6ED4" w:rsidRPr="00395B97" w:rsidTr="007A3893">
        <w:trPr>
          <w:cantSplit/>
          <w:trHeight w:val="2544"/>
        </w:trPr>
        <w:tc>
          <w:tcPr>
            <w:tcW w:w="0" w:type="auto"/>
            <w:vMerge w:val="restart"/>
            <w:tcMar>
              <w:top w:w="28" w:type="dxa"/>
              <w:bottom w:w="28" w:type="dxa"/>
            </w:tcMar>
          </w:tcPr>
          <w:p w:rsidR="00EA6ED4" w:rsidRPr="006A6D21" w:rsidRDefault="00EA6ED4" w:rsidP="00335779">
            <w:pPr>
              <w:rPr>
                <w:rFonts w:ascii="Arial" w:hAnsi="Arial" w:cs="Arial"/>
                <w:bCs/>
                <w:color w:val="000000"/>
              </w:rPr>
            </w:pPr>
            <w:r w:rsidRPr="006A6D21">
              <w:rPr>
                <w:rFonts w:ascii="Arial" w:hAnsi="Arial" w:cs="Arial"/>
                <w:bCs/>
                <w:color w:val="000000"/>
              </w:rPr>
              <w:lastRenderedPageBreak/>
              <w:t>TENOFOVIR with EMTRICITABINE</w:t>
            </w:r>
            <w:r w:rsidRPr="006A6D21">
              <w:rPr>
                <w:rFonts w:ascii="Arial" w:hAnsi="Arial" w:cs="Arial"/>
                <w:bCs/>
                <w:color w:val="000000"/>
              </w:rPr>
              <w:br/>
            </w:r>
            <w:r w:rsidRPr="006A6D21">
              <w:rPr>
                <w:rFonts w:ascii="Arial" w:hAnsi="Arial" w:cs="Arial"/>
                <w:bCs/>
                <w:color w:val="000000"/>
              </w:rPr>
              <w:br/>
              <w:t>tenofovir disoproxil fumarate 300 mg + emtricitabine 200 mg tablet, 30</w:t>
            </w:r>
            <w:r w:rsidRPr="006A6D21">
              <w:rPr>
                <w:rFonts w:ascii="Arial" w:hAnsi="Arial" w:cs="Arial"/>
                <w:bCs/>
                <w:color w:val="000000"/>
              </w:rPr>
              <w:br/>
            </w:r>
            <w:r w:rsidRPr="006A6D21">
              <w:rPr>
                <w:rFonts w:ascii="Arial" w:hAnsi="Arial" w:cs="Arial"/>
                <w:bCs/>
                <w:color w:val="000000"/>
              </w:rPr>
              <w:br/>
              <w:t>Truvada</w:t>
            </w:r>
            <w:r w:rsidRPr="006A6D21">
              <w:rPr>
                <w:rFonts w:ascii="Arial" w:hAnsi="Arial" w:cs="Arial"/>
                <w:bCs/>
                <w:color w:val="000000"/>
                <w:vertAlign w:val="superscript"/>
              </w:rPr>
              <w:t>®</w:t>
            </w:r>
            <w:r w:rsidRPr="006A6D21">
              <w:rPr>
                <w:rFonts w:ascii="Arial" w:hAnsi="Arial" w:cs="Arial"/>
                <w:bCs/>
                <w:color w:val="000000"/>
              </w:rPr>
              <w:br/>
            </w:r>
            <w:r w:rsidRPr="006A6D21">
              <w:rPr>
                <w:rFonts w:ascii="Arial" w:hAnsi="Arial" w:cs="Arial"/>
                <w:bCs/>
                <w:color w:val="000000"/>
              </w:rPr>
              <w:br/>
              <w:t>Gilead Sciences Pty Ltd</w:t>
            </w:r>
          </w:p>
          <w:p w:rsidR="00EA6ED4" w:rsidRPr="006A6D21" w:rsidRDefault="00EA6ED4" w:rsidP="00335779">
            <w:pPr>
              <w:rPr>
                <w:rFonts w:ascii="Arial" w:hAnsi="Arial" w:cs="Arial"/>
                <w:bCs/>
                <w:color w:val="000000"/>
              </w:rPr>
            </w:pPr>
          </w:p>
          <w:p w:rsidR="00EA6ED4" w:rsidRPr="006A6D21" w:rsidRDefault="00EA6ED4" w:rsidP="00335779">
            <w:pPr>
              <w:rPr>
                <w:rFonts w:ascii="Arial" w:hAnsi="Arial" w:cs="Arial"/>
              </w:rPr>
            </w:pPr>
            <w:r w:rsidRPr="006A6D21">
              <w:rPr>
                <w:rFonts w:ascii="Arial" w:hAnsi="Arial" w:cs="Arial"/>
                <w:bCs/>
                <w:color w:val="000000"/>
              </w:rPr>
              <w:t>Change to listing</w:t>
            </w:r>
            <w:r w:rsidRPr="006A6D21">
              <w:rPr>
                <w:rFonts w:ascii="Arial" w:hAnsi="Arial" w:cs="Arial"/>
                <w:bCs/>
                <w:color w:val="000000"/>
              </w:rPr>
              <w:br/>
            </w:r>
            <w:r w:rsidRPr="006A6D21">
              <w:rPr>
                <w:rFonts w:ascii="Arial" w:hAnsi="Arial" w:cs="Arial"/>
                <w:bCs/>
                <w:color w:val="000000"/>
              </w:rPr>
              <w:br/>
              <w:t>(Major Submission)</w:t>
            </w:r>
          </w:p>
        </w:tc>
        <w:tc>
          <w:tcPr>
            <w:tcW w:w="0" w:type="auto"/>
            <w:vMerge w:val="restart"/>
          </w:tcPr>
          <w:p w:rsidR="00EA6ED4" w:rsidRPr="006A6D21" w:rsidRDefault="00EA6ED4" w:rsidP="00ED5629">
            <w:pPr>
              <w:rPr>
                <w:rFonts w:ascii="Arial" w:hAnsi="Arial" w:cs="Arial"/>
                <w:bCs/>
                <w:color w:val="000000"/>
              </w:rPr>
            </w:pPr>
            <w:r w:rsidRPr="006A6D21">
              <w:rPr>
                <w:rFonts w:ascii="Arial" w:hAnsi="Arial" w:cs="Arial"/>
                <w:bCs/>
                <w:color w:val="000000"/>
              </w:rPr>
              <w:t>Human immunodeficiency virus (HIV) pre-exposure prophylaxis</w:t>
            </w:r>
          </w:p>
        </w:tc>
        <w:tc>
          <w:tcPr>
            <w:tcW w:w="0" w:type="auto"/>
            <w:tcMar>
              <w:top w:w="28" w:type="dxa"/>
              <w:bottom w:w="28" w:type="dxa"/>
            </w:tcMar>
          </w:tcPr>
          <w:p w:rsidR="00EA6ED4" w:rsidRPr="006A6D21" w:rsidRDefault="00EA6ED4" w:rsidP="00324614">
            <w:pPr>
              <w:pStyle w:val="ListParagraph"/>
              <w:ind w:left="0"/>
              <w:rPr>
                <w:rFonts w:ascii="Arial" w:hAnsi="Arial" w:cs="Arial"/>
                <w:snapToGrid w:val="0"/>
                <w:sz w:val="20"/>
                <w:szCs w:val="20"/>
                <w:lang w:eastAsia="en-US"/>
              </w:rPr>
            </w:pPr>
            <w:r w:rsidRPr="006A6D21">
              <w:rPr>
                <w:rFonts w:ascii="Arial" w:hAnsi="Arial" w:cs="Arial"/>
                <w:snapToGrid w:val="0"/>
                <w:sz w:val="20"/>
                <w:szCs w:val="20"/>
                <w:lang w:eastAsia="en-US"/>
              </w:rPr>
              <w:t>Authority Required listing to reduce the risk of sexually acquired HIV infection in adults at substantial risk of HIV infection.</w:t>
            </w:r>
          </w:p>
          <w:p w:rsidR="00EA6ED4" w:rsidRPr="006A6D21" w:rsidRDefault="00EA6ED4" w:rsidP="00845DB3">
            <w:pPr>
              <w:pStyle w:val="ListParagraph"/>
              <w:ind w:left="0"/>
              <w:jc w:val="right"/>
              <w:rPr>
                <w:rFonts w:ascii="Arial" w:hAnsi="Arial" w:cs="Arial"/>
                <w:snapToGrid w:val="0"/>
                <w:sz w:val="20"/>
                <w:szCs w:val="20"/>
                <w:lang w:eastAsia="en-US"/>
              </w:rPr>
            </w:pPr>
          </w:p>
          <w:p w:rsidR="00EA6ED4" w:rsidRPr="006A6D21" w:rsidRDefault="00EA6ED4" w:rsidP="00845DB3">
            <w:pPr>
              <w:pStyle w:val="ListParagraph"/>
              <w:ind w:left="0"/>
              <w:jc w:val="right"/>
              <w:rPr>
                <w:rFonts w:ascii="Arial" w:hAnsi="Arial" w:cs="Arial"/>
                <w:snapToGrid w:val="0"/>
                <w:sz w:val="20"/>
                <w:szCs w:val="20"/>
                <w:lang w:eastAsia="en-US"/>
              </w:rPr>
            </w:pPr>
          </w:p>
          <w:p w:rsidR="00EA6ED4" w:rsidRPr="006A6D21" w:rsidRDefault="00EA6ED4" w:rsidP="00845DB3">
            <w:pPr>
              <w:pStyle w:val="ListParagraph"/>
              <w:ind w:left="0"/>
              <w:jc w:val="right"/>
              <w:rPr>
                <w:rFonts w:ascii="Arial" w:hAnsi="Arial" w:cs="Arial"/>
                <w:snapToGrid w:val="0"/>
                <w:sz w:val="20"/>
                <w:szCs w:val="20"/>
                <w:lang w:eastAsia="en-US"/>
              </w:rPr>
            </w:pPr>
          </w:p>
        </w:tc>
        <w:tc>
          <w:tcPr>
            <w:tcW w:w="0" w:type="auto"/>
          </w:tcPr>
          <w:p w:rsidR="00EA6ED4" w:rsidRDefault="00EA6ED4" w:rsidP="00BF3F3D">
            <w:pPr>
              <w:rPr>
                <w:rFonts w:ascii="Arial" w:hAnsi="Arial" w:cs="Arial"/>
              </w:rPr>
            </w:pPr>
            <w:r>
              <w:rPr>
                <w:rFonts w:ascii="Arial" w:hAnsi="Arial" w:cs="Arial"/>
              </w:rPr>
              <w:t>The PBAC did not recommend the listing of Truvada for HIV pre-exposure prophylaxis (PrEP) on the basis of unacceptable and uncertain cost effectiveness in the proposed population and at the proposed price. The PBAC considered that the cost-effectiveness estimates were unreliable and that attempts to restrict the eligible population by quantifying an individual’s future risk of HIV infection based on self-reported future behaviour, and limiting access to those with a predicted annual risk of infection of 3% or higher, may not be feasible or acceptable to clinicians and consumers. The PBAC considered it may be more appropriate for a broader group of individuals to have access to Truvada as PrEP, for example all individuals for whom clinician and consumer judge the potential benefit to outweigh the risk. The PBAC noted that in order to make Truvada available for PrEP to the whole 'at risk' population a substantial reduction in price would be needed to achieve cost effectiveness.</w:t>
            </w:r>
          </w:p>
          <w:p w:rsidR="00EA6ED4" w:rsidRDefault="00EA6ED4" w:rsidP="00BF3F3D">
            <w:pPr>
              <w:rPr>
                <w:rFonts w:ascii="Arial" w:hAnsi="Arial" w:cs="Arial"/>
              </w:rPr>
            </w:pPr>
          </w:p>
          <w:p w:rsidR="00EA6ED4" w:rsidRDefault="00EA6ED4" w:rsidP="00BF3F3D">
            <w:pPr>
              <w:rPr>
                <w:rFonts w:ascii="Arial" w:hAnsi="Arial" w:cs="Arial"/>
              </w:rPr>
            </w:pPr>
            <w:r>
              <w:rPr>
                <w:rFonts w:ascii="Arial" w:hAnsi="Arial" w:cs="Arial"/>
              </w:rPr>
              <w:t xml:space="preserve">In making its decision the PBAC noted that, based on the evidence provided, pre-exposure prophylaxis could reduce the risk of acquiring HIV when used in combination with safer sex practices and regular HIV testing, but as a strategy PrEP was not always effective in preventing the acquisition of the virus. The PBAC noted that the efficacy of Truvada was highly dependent on adherence, and that it is not clear if subjects at high risk of contracting HIV due to self-reported low adherence to safer sex practices would also have lower adherence to medication. </w:t>
            </w:r>
          </w:p>
          <w:p w:rsidR="00EA6ED4" w:rsidRDefault="00EA6ED4" w:rsidP="00BF3F3D">
            <w:pPr>
              <w:rPr>
                <w:rFonts w:ascii="Arial" w:hAnsi="Arial" w:cs="Arial"/>
              </w:rPr>
            </w:pPr>
          </w:p>
          <w:p w:rsidR="00EA6ED4" w:rsidRPr="00BF3F3D" w:rsidRDefault="00EA6ED4" w:rsidP="00BF3F3D">
            <w:pPr>
              <w:rPr>
                <w:rFonts w:ascii="Arial" w:hAnsi="Arial" w:cs="Arial"/>
              </w:rPr>
            </w:pPr>
            <w:r>
              <w:rPr>
                <w:rFonts w:ascii="Arial" w:hAnsi="Arial" w:cs="Arial"/>
              </w:rPr>
              <w:t>The PBAC considered that the economic models presented were unlikely to provide a reliable estimate of the true cost effectiveness of Truvada in the requested population. The base case incremental cost-effectiveness ratio (ICER) estimated based on the costs and consequences of treating an average individual at high risk of HIV infection (in the range $105,000-$200,000/QALY) was unacceptably high and uncertain. The cost savings (and hence dominant ICER) when incorporating the impact on the broader population were considered unlikely to be realised. A number of issues were noted with the model inputs and structure, and the results were considered to lack face validity.</w:t>
            </w:r>
          </w:p>
          <w:p w:rsidR="00EA6ED4" w:rsidRPr="006A6D21" w:rsidRDefault="00EA6ED4" w:rsidP="002B45D1">
            <w:pPr>
              <w:jc w:val="both"/>
              <w:rPr>
                <w:rFonts w:ascii="Arial" w:hAnsi="Arial" w:cs="Arial"/>
                <w:iCs/>
              </w:rPr>
            </w:pPr>
          </w:p>
        </w:tc>
      </w:tr>
      <w:tr w:rsidR="00EA6ED4" w:rsidRPr="00395B97" w:rsidTr="007A3893">
        <w:trPr>
          <w:cantSplit/>
          <w:trHeight w:val="1396"/>
        </w:trPr>
        <w:tc>
          <w:tcPr>
            <w:tcW w:w="0" w:type="auto"/>
            <w:vMerge/>
            <w:tcMar>
              <w:top w:w="28" w:type="dxa"/>
              <w:bottom w:w="28" w:type="dxa"/>
            </w:tcMar>
          </w:tcPr>
          <w:p w:rsidR="00EA6ED4" w:rsidRPr="006A6D21" w:rsidRDefault="00EA6ED4" w:rsidP="00335779">
            <w:pPr>
              <w:rPr>
                <w:rFonts w:ascii="Arial" w:hAnsi="Arial" w:cs="Arial"/>
              </w:rPr>
            </w:pPr>
          </w:p>
        </w:tc>
        <w:tc>
          <w:tcPr>
            <w:tcW w:w="0" w:type="auto"/>
            <w:vMerge/>
          </w:tcPr>
          <w:p w:rsidR="00EA6ED4" w:rsidRPr="006A6D21" w:rsidRDefault="00EA6ED4" w:rsidP="00335779">
            <w:pPr>
              <w:widowControl w:val="0"/>
              <w:rPr>
                <w:rFonts w:ascii="Arial" w:hAnsi="Arial" w:cs="Arial"/>
                <w:snapToGrid w:val="0"/>
                <w:lang w:eastAsia="en-US"/>
              </w:rPr>
            </w:pPr>
          </w:p>
        </w:tc>
        <w:tc>
          <w:tcPr>
            <w:tcW w:w="0" w:type="auto"/>
            <w:tcMar>
              <w:top w:w="28" w:type="dxa"/>
              <w:bottom w:w="28" w:type="dxa"/>
            </w:tcMar>
          </w:tcPr>
          <w:p w:rsidR="00EA6ED4" w:rsidRPr="006A6D21" w:rsidRDefault="00EA6ED4" w:rsidP="007A3893">
            <w:pPr>
              <w:pStyle w:val="ListParagraph"/>
              <w:ind w:left="0"/>
              <w:rPr>
                <w:rFonts w:ascii="Arial" w:hAnsi="Arial" w:cs="Arial"/>
                <w:snapToGrid w:val="0"/>
                <w:sz w:val="20"/>
                <w:szCs w:val="20"/>
                <w:lang w:eastAsia="en-US"/>
              </w:rPr>
            </w:pPr>
            <w:r w:rsidRPr="006A6D21">
              <w:rPr>
                <w:rFonts w:ascii="Arial" w:hAnsi="Arial" w:cs="Arial"/>
                <w:snapToGrid w:val="0"/>
                <w:sz w:val="20"/>
                <w:szCs w:val="20"/>
                <w:lang w:eastAsia="en-US"/>
              </w:rPr>
              <w:t>Sponsor comment:</w:t>
            </w:r>
          </w:p>
        </w:tc>
        <w:tc>
          <w:tcPr>
            <w:tcW w:w="0" w:type="auto"/>
          </w:tcPr>
          <w:p w:rsidR="00EA6ED4" w:rsidRPr="006A6D21" w:rsidRDefault="00EA6ED4" w:rsidP="00FB295D">
            <w:pPr>
              <w:pStyle w:val="ListParagraph"/>
              <w:ind w:left="0"/>
              <w:rPr>
                <w:rFonts w:ascii="Arial" w:hAnsi="Arial" w:cs="Arial"/>
                <w:iCs/>
              </w:rPr>
            </w:pPr>
            <w:r w:rsidRPr="00FB295D">
              <w:rPr>
                <w:rFonts w:ascii="Arial" w:hAnsi="Arial" w:cs="Arial"/>
                <w:snapToGrid w:val="0"/>
                <w:sz w:val="20"/>
                <w:szCs w:val="20"/>
                <w:lang w:eastAsia="en-US"/>
              </w:rPr>
              <w:t>The submission sought a listing consistent with the TGA indication, using the WHO recommendation for PrEP suitability to identify the eligible population, but notes the PBAC’s considerations regarding defining the eligible population. The Sponsor is committed to working with the PBAC towards the future listing of Truvada for PrEP.</w:t>
            </w:r>
          </w:p>
        </w:tc>
      </w:tr>
      <w:tr w:rsidR="00EA6ED4" w:rsidRPr="00395B97" w:rsidTr="007A3893">
        <w:trPr>
          <w:cantSplit/>
          <w:trHeight w:val="1185"/>
        </w:trPr>
        <w:tc>
          <w:tcPr>
            <w:tcW w:w="0" w:type="auto"/>
            <w:vMerge w:val="restart"/>
            <w:tcMar>
              <w:top w:w="28" w:type="dxa"/>
              <w:bottom w:w="28" w:type="dxa"/>
            </w:tcMar>
          </w:tcPr>
          <w:p w:rsidR="00EA6ED4" w:rsidRDefault="00EA6ED4" w:rsidP="00335779">
            <w:pPr>
              <w:rPr>
                <w:rFonts w:ascii="Arial" w:hAnsi="Arial" w:cs="Arial"/>
                <w:bCs/>
                <w:color w:val="000000"/>
              </w:rPr>
            </w:pPr>
            <w:r w:rsidRPr="00363865">
              <w:rPr>
                <w:rFonts w:ascii="Arial" w:hAnsi="Arial" w:cs="Arial"/>
                <w:bCs/>
                <w:color w:val="000000"/>
              </w:rPr>
              <w:t>ULIPRISTAL</w:t>
            </w:r>
            <w:r w:rsidRPr="00363865">
              <w:rPr>
                <w:rFonts w:ascii="Arial" w:hAnsi="Arial" w:cs="Arial"/>
                <w:bCs/>
                <w:color w:val="000000"/>
              </w:rPr>
              <w:br/>
            </w:r>
            <w:r w:rsidRPr="00363865">
              <w:rPr>
                <w:rFonts w:ascii="Arial" w:hAnsi="Arial" w:cs="Arial"/>
                <w:bCs/>
                <w:color w:val="000000"/>
              </w:rPr>
              <w:br/>
              <w:t>5 mg tablet, 28</w:t>
            </w:r>
            <w:r w:rsidRPr="00363865">
              <w:rPr>
                <w:rFonts w:ascii="Arial" w:hAnsi="Arial" w:cs="Arial"/>
                <w:bCs/>
                <w:color w:val="000000"/>
              </w:rPr>
              <w:br/>
            </w:r>
            <w:r w:rsidRPr="00363865">
              <w:rPr>
                <w:rFonts w:ascii="Arial" w:hAnsi="Arial" w:cs="Arial"/>
                <w:bCs/>
                <w:color w:val="000000"/>
              </w:rPr>
              <w:br/>
              <w:t>Esmya®</w:t>
            </w:r>
            <w:r w:rsidRPr="00363865">
              <w:rPr>
                <w:rFonts w:ascii="Arial" w:hAnsi="Arial" w:cs="Arial"/>
                <w:bCs/>
                <w:color w:val="000000"/>
              </w:rPr>
              <w:br/>
            </w:r>
            <w:r w:rsidRPr="00363865">
              <w:rPr>
                <w:rFonts w:ascii="Arial" w:hAnsi="Arial" w:cs="Arial"/>
                <w:bCs/>
                <w:color w:val="000000"/>
              </w:rPr>
              <w:br/>
              <w:t>Vifor Pharma Pty Ltd</w:t>
            </w:r>
          </w:p>
          <w:p w:rsidR="00EA6ED4" w:rsidRDefault="00EA6ED4" w:rsidP="00335779">
            <w:pPr>
              <w:rPr>
                <w:rFonts w:ascii="Arial" w:hAnsi="Arial" w:cs="Arial"/>
                <w:bCs/>
                <w:color w:val="000000"/>
              </w:rPr>
            </w:pPr>
          </w:p>
          <w:p w:rsidR="00EA6ED4" w:rsidRPr="00395B97" w:rsidRDefault="00EA6ED4" w:rsidP="00335779">
            <w:pPr>
              <w:rPr>
                <w:rFonts w:ascii="Arial" w:hAnsi="Arial" w:cs="Arial"/>
              </w:rPr>
            </w:pPr>
            <w:r w:rsidRPr="00363865">
              <w:rPr>
                <w:rFonts w:ascii="Arial" w:hAnsi="Arial" w:cs="Arial"/>
                <w:bCs/>
                <w:color w:val="000000"/>
              </w:rPr>
              <w:t>New listing</w:t>
            </w:r>
            <w:r w:rsidRPr="00363865">
              <w:rPr>
                <w:rFonts w:ascii="Arial" w:hAnsi="Arial" w:cs="Arial"/>
                <w:bCs/>
                <w:color w:val="000000"/>
              </w:rPr>
              <w:br/>
            </w:r>
            <w:r w:rsidRPr="00363865">
              <w:rPr>
                <w:rFonts w:ascii="Arial" w:hAnsi="Arial" w:cs="Arial"/>
                <w:bCs/>
                <w:color w:val="000000"/>
              </w:rPr>
              <w:br/>
              <w:t>(Major Submission)</w:t>
            </w:r>
          </w:p>
        </w:tc>
        <w:tc>
          <w:tcPr>
            <w:tcW w:w="0" w:type="auto"/>
            <w:vMerge w:val="restart"/>
          </w:tcPr>
          <w:p w:rsidR="00EA6ED4" w:rsidRPr="00395B97" w:rsidRDefault="00EA6ED4" w:rsidP="00335779">
            <w:pPr>
              <w:widowControl w:val="0"/>
              <w:rPr>
                <w:rFonts w:ascii="Arial" w:hAnsi="Arial" w:cs="Arial"/>
                <w:snapToGrid w:val="0"/>
                <w:lang w:eastAsia="en-US"/>
              </w:rPr>
            </w:pPr>
            <w:r w:rsidRPr="00363865">
              <w:rPr>
                <w:rFonts w:ascii="Arial" w:hAnsi="Arial" w:cs="Arial"/>
                <w:bCs/>
                <w:color w:val="000000"/>
              </w:rPr>
              <w:t>Moderate to severe symptoms of uterine fibroids</w:t>
            </w:r>
          </w:p>
        </w:tc>
        <w:tc>
          <w:tcPr>
            <w:tcW w:w="0" w:type="auto"/>
            <w:tcMar>
              <w:top w:w="28" w:type="dxa"/>
              <w:bottom w:w="28" w:type="dxa"/>
            </w:tcMar>
          </w:tcPr>
          <w:p w:rsidR="00EA6ED4" w:rsidRPr="00395B97" w:rsidRDefault="00EA6ED4" w:rsidP="00324614">
            <w:pPr>
              <w:pStyle w:val="ListParagraph"/>
              <w:ind w:left="0"/>
              <w:rPr>
                <w:rFonts w:ascii="Arial" w:hAnsi="Arial" w:cs="Arial"/>
                <w:snapToGrid w:val="0"/>
                <w:sz w:val="20"/>
                <w:szCs w:val="20"/>
                <w:lang w:eastAsia="en-US"/>
              </w:rPr>
            </w:pPr>
            <w:r w:rsidRPr="00324614">
              <w:rPr>
                <w:rFonts w:ascii="Arial" w:hAnsi="Arial" w:cs="Arial"/>
                <w:snapToGrid w:val="0"/>
                <w:sz w:val="20"/>
                <w:szCs w:val="20"/>
                <w:lang w:eastAsia="en-US"/>
              </w:rPr>
              <w:t>Authority Required (STREAMLINED) listing for treatment of moderate to severe symptoms of uterine fibroids.</w:t>
            </w:r>
          </w:p>
        </w:tc>
        <w:tc>
          <w:tcPr>
            <w:tcW w:w="0" w:type="auto"/>
          </w:tcPr>
          <w:p w:rsidR="00EA6ED4" w:rsidRDefault="00EA6ED4" w:rsidP="00FA1926">
            <w:pPr>
              <w:pStyle w:val="ListParagraph"/>
              <w:ind w:left="0"/>
              <w:rPr>
                <w:rFonts w:ascii="Arial" w:hAnsi="Arial" w:cs="Arial"/>
                <w:snapToGrid w:val="0"/>
                <w:sz w:val="20"/>
                <w:szCs w:val="20"/>
                <w:lang w:eastAsia="en-US"/>
              </w:rPr>
            </w:pPr>
            <w:r w:rsidRPr="003A6C16">
              <w:rPr>
                <w:rFonts w:ascii="Arial" w:hAnsi="Arial" w:cs="Arial"/>
                <w:snapToGrid w:val="0"/>
                <w:sz w:val="20"/>
                <w:szCs w:val="20"/>
                <w:lang w:eastAsia="en-US"/>
              </w:rPr>
              <w:t>The PBAC decided not to recommend that ulipristal be listed on the PBS for the treatment of moderate to severe uterine fibroids on the basis that</w:t>
            </w:r>
            <w:r>
              <w:rPr>
                <w:rFonts w:ascii="Arial" w:hAnsi="Arial" w:cs="Arial"/>
                <w:snapToGrid w:val="0"/>
                <w:sz w:val="20"/>
                <w:szCs w:val="20"/>
                <w:lang w:eastAsia="en-US"/>
              </w:rPr>
              <w:t>:</w:t>
            </w:r>
          </w:p>
          <w:p w:rsidR="00EA6ED4" w:rsidRPr="00BC2791" w:rsidRDefault="00EA6ED4" w:rsidP="00BC2791">
            <w:pPr>
              <w:pStyle w:val="ListParagraph"/>
              <w:numPr>
                <w:ilvl w:val="0"/>
                <w:numId w:val="45"/>
              </w:numPr>
              <w:rPr>
                <w:rFonts w:ascii="Arial" w:hAnsi="Arial" w:cs="Arial"/>
                <w:iCs/>
              </w:rPr>
            </w:pPr>
            <w:r w:rsidRPr="003A6C16">
              <w:rPr>
                <w:rFonts w:ascii="Arial" w:hAnsi="Arial" w:cs="Arial"/>
                <w:snapToGrid w:val="0"/>
                <w:sz w:val="20"/>
                <w:szCs w:val="20"/>
                <w:lang w:eastAsia="en-US"/>
              </w:rPr>
              <w:t xml:space="preserve">the clinical place of treatment was not adequately established, </w:t>
            </w:r>
          </w:p>
          <w:p w:rsidR="00EA6ED4" w:rsidRPr="00BC2791" w:rsidRDefault="00EA6ED4" w:rsidP="00BC2791">
            <w:pPr>
              <w:pStyle w:val="ListParagraph"/>
              <w:numPr>
                <w:ilvl w:val="0"/>
                <w:numId w:val="45"/>
              </w:numPr>
              <w:rPr>
                <w:rFonts w:ascii="Arial" w:hAnsi="Arial" w:cs="Arial"/>
                <w:iCs/>
              </w:rPr>
            </w:pPr>
            <w:r w:rsidRPr="003A6C16">
              <w:rPr>
                <w:rFonts w:ascii="Arial" w:hAnsi="Arial" w:cs="Arial"/>
                <w:snapToGrid w:val="0"/>
                <w:sz w:val="20"/>
                <w:szCs w:val="20"/>
                <w:lang w:eastAsia="en-US"/>
              </w:rPr>
              <w:t xml:space="preserve">the nominated comparator, goserelin, is not PBS listed for the treatment of uterine fibroids and its use in clinical practice was not substantiated, </w:t>
            </w:r>
          </w:p>
          <w:p w:rsidR="00EA6ED4" w:rsidRPr="00BC2791" w:rsidRDefault="00EA6ED4" w:rsidP="00BC2791">
            <w:pPr>
              <w:pStyle w:val="ListParagraph"/>
              <w:numPr>
                <w:ilvl w:val="0"/>
                <w:numId w:val="45"/>
              </w:numPr>
              <w:rPr>
                <w:rFonts w:ascii="Arial" w:hAnsi="Arial" w:cs="Arial"/>
                <w:iCs/>
              </w:rPr>
            </w:pPr>
            <w:r w:rsidRPr="003A6C16">
              <w:rPr>
                <w:rFonts w:ascii="Arial" w:hAnsi="Arial" w:cs="Arial"/>
                <w:snapToGrid w:val="0"/>
                <w:sz w:val="20"/>
                <w:szCs w:val="20"/>
                <w:lang w:eastAsia="en-US"/>
              </w:rPr>
              <w:t xml:space="preserve">the comparative effectiveness and safety of ulipristal compared to goserelin was not established, and </w:t>
            </w:r>
          </w:p>
          <w:p w:rsidR="00EA6ED4" w:rsidRPr="00BC2791" w:rsidRDefault="00EA6ED4" w:rsidP="00BC2791">
            <w:pPr>
              <w:pStyle w:val="ListParagraph"/>
              <w:numPr>
                <w:ilvl w:val="0"/>
                <w:numId w:val="45"/>
              </w:numPr>
              <w:rPr>
                <w:rFonts w:ascii="Arial" w:hAnsi="Arial" w:cs="Arial"/>
                <w:iCs/>
              </w:rPr>
            </w:pPr>
            <w:r w:rsidRPr="003A6C16">
              <w:rPr>
                <w:rFonts w:ascii="Arial" w:hAnsi="Arial" w:cs="Arial"/>
                <w:snapToGrid w:val="0"/>
                <w:sz w:val="20"/>
                <w:szCs w:val="20"/>
                <w:lang w:eastAsia="en-US"/>
              </w:rPr>
              <w:t xml:space="preserve">no evidence was presented assessing the impact of ulipristal on surgical outcomes. </w:t>
            </w:r>
          </w:p>
          <w:p w:rsidR="00EA6ED4" w:rsidRPr="00BC2791" w:rsidRDefault="00EA6ED4" w:rsidP="00BC2791">
            <w:pPr>
              <w:pStyle w:val="ListParagraph"/>
              <w:ind w:left="774"/>
              <w:rPr>
                <w:rFonts w:ascii="Arial" w:hAnsi="Arial" w:cs="Arial"/>
                <w:iCs/>
              </w:rPr>
            </w:pPr>
          </w:p>
          <w:p w:rsidR="00EA6ED4" w:rsidRPr="00BC2791" w:rsidRDefault="00EA6ED4" w:rsidP="00BC2791">
            <w:pPr>
              <w:rPr>
                <w:rFonts w:ascii="Arial" w:hAnsi="Arial" w:cs="Arial"/>
                <w:iCs/>
              </w:rPr>
            </w:pPr>
            <w:r w:rsidRPr="00BC2791">
              <w:rPr>
                <w:rFonts w:ascii="Arial" w:hAnsi="Arial" w:cs="Arial"/>
                <w:snapToGrid w:val="0"/>
                <w:lang w:eastAsia="en-US"/>
              </w:rPr>
              <w:t xml:space="preserve">The submission included separate sets of studies of ulipristal and goserelin that did not allow for a direct or an indirect comparison of ulipristal versus goserelin to be conducted. The PBAC agreed that there was a possible clinical place for ulipristal in the short-term treatment of moderate to severe uterine fibroids prior to surgery and that this use was supported by the Royal Australian and New Zealand College of Obstetricians and Gynaecologists. </w:t>
            </w:r>
          </w:p>
        </w:tc>
      </w:tr>
      <w:tr w:rsidR="00EA6ED4" w:rsidRPr="00395B97" w:rsidTr="007A3893">
        <w:trPr>
          <w:cantSplit/>
          <w:trHeight w:val="102"/>
        </w:trPr>
        <w:tc>
          <w:tcPr>
            <w:tcW w:w="0" w:type="auto"/>
            <w:vMerge/>
            <w:tcMar>
              <w:top w:w="28" w:type="dxa"/>
              <w:bottom w:w="28" w:type="dxa"/>
            </w:tcMar>
          </w:tcPr>
          <w:p w:rsidR="00EA6ED4" w:rsidRPr="00395B97" w:rsidRDefault="00EA6ED4" w:rsidP="00335779">
            <w:pPr>
              <w:rPr>
                <w:rFonts w:ascii="Arial" w:hAnsi="Arial" w:cs="Arial"/>
              </w:rPr>
            </w:pPr>
          </w:p>
        </w:tc>
        <w:tc>
          <w:tcPr>
            <w:tcW w:w="0" w:type="auto"/>
            <w:vMerge/>
          </w:tcPr>
          <w:p w:rsidR="00EA6ED4" w:rsidRPr="00395B97" w:rsidRDefault="00EA6ED4" w:rsidP="00335779">
            <w:pPr>
              <w:widowControl w:val="0"/>
              <w:rPr>
                <w:rFonts w:ascii="Arial" w:hAnsi="Arial" w:cs="Arial"/>
                <w:snapToGrid w:val="0"/>
                <w:lang w:eastAsia="en-US"/>
              </w:rPr>
            </w:pPr>
          </w:p>
        </w:tc>
        <w:tc>
          <w:tcPr>
            <w:tcW w:w="0" w:type="auto"/>
            <w:tcMar>
              <w:top w:w="28" w:type="dxa"/>
              <w:bottom w:w="28" w:type="dxa"/>
            </w:tcMar>
          </w:tcPr>
          <w:p w:rsidR="00EA6ED4" w:rsidRPr="00395B97" w:rsidRDefault="00EA6ED4" w:rsidP="007A3893">
            <w:pPr>
              <w:pStyle w:val="ListParagraph"/>
              <w:ind w:left="0"/>
              <w:rPr>
                <w:rFonts w:ascii="Arial" w:hAnsi="Arial" w:cs="Arial"/>
                <w:snapToGrid w:val="0"/>
                <w:sz w:val="20"/>
                <w:szCs w:val="20"/>
                <w:lang w:eastAsia="en-US"/>
              </w:rPr>
            </w:pPr>
            <w:bookmarkStart w:id="0" w:name="_GoBack"/>
            <w:bookmarkEnd w:id="0"/>
            <w:r w:rsidRPr="0069550C">
              <w:rPr>
                <w:rFonts w:ascii="Arial" w:hAnsi="Arial" w:cs="Arial"/>
                <w:snapToGrid w:val="0"/>
                <w:sz w:val="20"/>
                <w:szCs w:val="20"/>
                <w:lang w:eastAsia="en-US"/>
              </w:rPr>
              <w:t>Sponsor comment:</w:t>
            </w:r>
          </w:p>
        </w:tc>
        <w:tc>
          <w:tcPr>
            <w:tcW w:w="0" w:type="auto"/>
          </w:tcPr>
          <w:p w:rsidR="00EA6ED4" w:rsidRPr="00395B97" w:rsidRDefault="00EA6ED4" w:rsidP="008918D1">
            <w:pPr>
              <w:rPr>
                <w:rFonts w:ascii="Arial" w:hAnsi="Arial" w:cs="Arial"/>
                <w:iCs/>
              </w:rPr>
            </w:pPr>
            <w:r w:rsidRPr="008918D1">
              <w:rPr>
                <w:rFonts w:ascii="Arial" w:hAnsi="Arial" w:cs="Arial"/>
                <w:snapToGrid w:val="0"/>
                <w:lang w:eastAsia="en-US"/>
              </w:rPr>
              <w:t>Vifor Pharma believes there is a clinical place for ulipristal acetate in the Australian healthcare system and will continue to present the available evidence to demonstrate the cost-effectiveness of treating moderate to severe symptoms of uterine fibroids to the PBAC.</w:t>
            </w:r>
            <w:r>
              <w:rPr>
                <w:color w:val="1F497D"/>
              </w:rPr>
              <w:t xml:space="preserve">  </w:t>
            </w:r>
          </w:p>
        </w:tc>
      </w:tr>
    </w:tbl>
    <w:p w:rsidR="00640C80" w:rsidRDefault="00640C80" w:rsidP="00CC62C6">
      <w:pPr>
        <w:tabs>
          <w:tab w:val="left" w:pos="5210"/>
        </w:tabs>
        <w:rPr>
          <w:rFonts w:ascii="Arial" w:hAnsi="Arial" w:cs="Arial"/>
          <w:lang w:val="en-US"/>
        </w:rPr>
      </w:pPr>
    </w:p>
    <w:p w:rsidR="00162E5A" w:rsidRDefault="00162E5A" w:rsidP="00CC62C6">
      <w:pPr>
        <w:tabs>
          <w:tab w:val="left" w:pos="5210"/>
        </w:tabs>
        <w:rPr>
          <w:rFonts w:ascii="Arial" w:hAnsi="Arial" w:cs="Arial"/>
          <w:lang w:val="en-US"/>
        </w:rPr>
      </w:pPr>
    </w:p>
    <w:p w:rsidR="00162E5A" w:rsidRDefault="00162E5A" w:rsidP="00CC62C6">
      <w:pPr>
        <w:tabs>
          <w:tab w:val="left" w:pos="5210"/>
        </w:tabs>
        <w:rPr>
          <w:rFonts w:ascii="Arial" w:hAnsi="Arial" w:cs="Arial"/>
          <w:lang w:val="en-US"/>
        </w:rPr>
      </w:pPr>
    </w:p>
    <w:sectPr w:rsidR="00162E5A"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7A3893">
      <w:rPr>
        <w:rStyle w:val="PageNumber"/>
        <w:rFonts w:ascii="Arial" w:hAnsi="Arial" w:cs="Arial"/>
        <w:noProof/>
      </w:rPr>
      <w:t>11</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C1" w:rsidRDefault="00CB7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C1" w:rsidRDefault="00CB7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4B25D3" w:rsidP="0071356F">
    <w:pPr>
      <w:pStyle w:val="Header"/>
      <w:jc w:val="center"/>
      <w:rPr>
        <w:rFonts w:ascii="Arial" w:hAnsi="Arial" w:cs="Arial"/>
        <w:b/>
      </w:rPr>
    </w:pPr>
    <w:r>
      <w:rPr>
        <w:rFonts w:ascii="Arial" w:hAnsi="Arial" w:cs="Arial"/>
        <w:b/>
      </w:rPr>
      <w:t>JULY</w:t>
    </w:r>
    <w:r w:rsidR="009C64D7">
      <w:rPr>
        <w:rFonts w:ascii="Arial" w:hAnsi="Arial" w:cs="Arial"/>
        <w:b/>
      </w:rPr>
      <w:t xml:space="preserve"> 2016</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C1" w:rsidRDefault="00CB7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C607FF"/>
    <w:multiLevelType w:val="hybridMultilevel"/>
    <w:tmpl w:val="F938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5FDC3476"/>
    <w:multiLevelType w:val="hybridMultilevel"/>
    <w:tmpl w:val="8342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564CBC"/>
    <w:multiLevelType w:val="hybridMultilevel"/>
    <w:tmpl w:val="01C6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5">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8">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ABB39AE"/>
    <w:multiLevelType w:val="hybridMultilevel"/>
    <w:tmpl w:val="32148F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30"/>
  </w:num>
  <w:num w:numId="4">
    <w:abstractNumId w:val="22"/>
  </w:num>
  <w:num w:numId="5">
    <w:abstractNumId w:val="12"/>
  </w:num>
  <w:num w:numId="6">
    <w:abstractNumId w:val="7"/>
  </w:num>
  <w:num w:numId="7">
    <w:abstractNumId w:val="3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6"/>
  </w:num>
  <w:num w:numId="11">
    <w:abstractNumId w:val="24"/>
  </w:num>
  <w:num w:numId="12">
    <w:abstractNumId w:val="27"/>
  </w:num>
  <w:num w:numId="13">
    <w:abstractNumId w:val="8"/>
  </w:num>
  <w:num w:numId="14">
    <w:abstractNumId w:val="26"/>
  </w:num>
  <w:num w:numId="15">
    <w:abstractNumId w:val="28"/>
  </w:num>
  <w:num w:numId="16">
    <w:abstractNumId w:val="23"/>
  </w:num>
  <w:num w:numId="17">
    <w:abstractNumId w:val="41"/>
  </w:num>
  <w:num w:numId="18">
    <w:abstractNumId w:val="43"/>
  </w:num>
  <w:num w:numId="19">
    <w:abstractNumId w:val="5"/>
  </w:num>
  <w:num w:numId="20">
    <w:abstractNumId w:val="13"/>
  </w:num>
  <w:num w:numId="21">
    <w:abstractNumId w:val="15"/>
  </w:num>
  <w:num w:numId="22">
    <w:abstractNumId w:val="38"/>
  </w:num>
  <w:num w:numId="23">
    <w:abstractNumId w:val="4"/>
  </w:num>
  <w:num w:numId="24">
    <w:abstractNumId w:val="18"/>
  </w:num>
  <w:num w:numId="25">
    <w:abstractNumId w:val="11"/>
  </w:num>
  <w:num w:numId="26">
    <w:abstractNumId w:val="9"/>
  </w:num>
  <w:num w:numId="27">
    <w:abstractNumId w:val="20"/>
  </w:num>
  <w:num w:numId="28">
    <w:abstractNumId w:val="21"/>
  </w:num>
  <w:num w:numId="29">
    <w:abstractNumId w:val="19"/>
  </w:num>
  <w:num w:numId="30">
    <w:abstractNumId w:val="42"/>
  </w:num>
  <w:num w:numId="31">
    <w:abstractNumId w:val="16"/>
  </w:num>
  <w:num w:numId="32">
    <w:abstractNumId w:val="34"/>
  </w:num>
  <w:num w:numId="33">
    <w:abstractNumId w:val="40"/>
  </w:num>
  <w:num w:numId="34">
    <w:abstractNumId w:val="37"/>
  </w:num>
  <w:num w:numId="35">
    <w:abstractNumId w:val="3"/>
  </w:num>
  <w:num w:numId="36">
    <w:abstractNumId w:val="35"/>
  </w:num>
  <w:num w:numId="37">
    <w:abstractNumId w:val="2"/>
  </w:num>
  <w:num w:numId="38">
    <w:abstractNumId w:val="17"/>
  </w:num>
  <w:num w:numId="39">
    <w:abstractNumId w:val="1"/>
  </w:num>
  <w:num w:numId="40">
    <w:abstractNumId w:val="44"/>
  </w:num>
  <w:num w:numId="41">
    <w:abstractNumId w:val="25"/>
  </w:num>
  <w:num w:numId="42">
    <w:abstractNumId w:val="29"/>
  </w:num>
  <w:num w:numId="43">
    <w:abstractNumId w:val="6"/>
  </w:num>
  <w:num w:numId="44">
    <w:abstractNumId w:val="3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325F"/>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53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6522"/>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094"/>
    <w:rsid w:val="003E367A"/>
    <w:rsid w:val="003E37A4"/>
    <w:rsid w:val="003E4136"/>
    <w:rsid w:val="003E4E45"/>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2ED7"/>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725"/>
    <w:rsid w:val="00550292"/>
    <w:rsid w:val="005512BB"/>
    <w:rsid w:val="00551309"/>
    <w:rsid w:val="00552426"/>
    <w:rsid w:val="00552F1A"/>
    <w:rsid w:val="0055363B"/>
    <w:rsid w:val="00553693"/>
    <w:rsid w:val="00553934"/>
    <w:rsid w:val="00553B71"/>
    <w:rsid w:val="00554C4D"/>
    <w:rsid w:val="00556A43"/>
    <w:rsid w:val="00557CB3"/>
    <w:rsid w:val="0056087F"/>
    <w:rsid w:val="0056121A"/>
    <w:rsid w:val="00562195"/>
    <w:rsid w:val="0056261D"/>
    <w:rsid w:val="00562918"/>
    <w:rsid w:val="00563269"/>
    <w:rsid w:val="00564643"/>
    <w:rsid w:val="00564772"/>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74D9"/>
    <w:rsid w:val="005A7B45"/>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84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E30"/>
    <w:rsid w:val="0075707E"/>
    <w:rsid w:val="00757941"/>
    <w:rsid w:val="007636C1"/>
    <w:rsid w:val="007639A5"/>
    <w:rsid w:val="00763EE9"/>
    <w:rsid w:val="00764375"/>
    <w:rsid w:val="007653BF"/>
    <w:rsid w:val="00765630"/>
    <w:rsid w:val="00765919"/>
    <w:rsid w:val="007661BB"/>
    <w:rsid w:val="0076653E"/>
    <w:rsid w:val="00766647"/>
    <w:rsid w:val="00766EB9"/>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3893"/>
    <w:rsid w:val="007A49D9"/>
    <w:rsid w:val="007A5620"/>
    <w:rsid w:val="007B01E7"/>
    <w:rsid w:val="007B0810"/>
    <w:rsid w:val="007B104F"/>
    <w:rsid w:val="007B13D2"/>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1EB"/>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A9E"/>
    <w:rsid w:val="00884ED2"/>
    <w:rsid w:val="00885317"/>
    <w:rsid w:val="0088567D"/>
    <w:rsid w:val="00885D0E"/>
    <w:rsid w:val="008863EC"/>
    <w:rsid w:val="00887227"/>
    <w:rsid w:val="008900AA"/>
    <w:rsid w:val="00890427"/>
    <w:rsid w:val="0089096B"/>
    <w:rsid w:val="008918D1"/>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A48"/>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CB"/>
    <w:rsid w:val="009C7C85"/>
    <w:rsid w:val="009D03F6"/>
    <w:rsid w:val="009D6353"/>
    <w:rsid w:val="009D6CF0"/>
    <w:rsid w:val="009D6E22"/>
    <w:rsid w:val="009D7050"/>
    <w:rsid w:val="009D7327"/>
    <w:rsid w:val="009D75A9"/>
    <w:rsid w:val="009E0A40"/>
    <w:rsid w:val="009E153F"/>
    <w:rsid w:val="009E19AE"/>
    <w:rsid w:val="009E1E3F"/>
    <w:rsid w:val="009E1E60"/>
    <w:rsid w:val="009E1F86"/>
    <w:rsid w:val="009E216D"/>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34D"/>
    <w:rsid w:val="00A97BFA"/>
    <w:rsid w:val="00AA007C"/>
    <w:rsid w:val="00AA0B30"/>
    <w:rsid w:val="00AA25C9"/>
    <w:rsid w:val="00AA3726"/>
    <w:rsid w:val="00AA40AA"/>
    <w:rsid w:val="00AA4F09"/>
    <w:rsid w:val="00AA53BB"/>
    <w:rsid w:val="00AA7A72"/>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E20"/>
    <w:rsid w:val="00AC7A38"/>
    <w:rsid w:val="00AD0404"/>
    <w:rsid w:val="00AD07F1"/>
    <w:rsid w:val="00AD20E0"/>
    <w:rsid w:val="00AD2BE1"/>
    <w:rsid w:val="00AD3C49"/>
    <w:rsid w:val="00AD3D21"/>
    <w:rsid w:val="00AD68F8"/>
    <w:rsid w:val="00AD692B"/>
    <w:rsid w:val="00AD6AA3"/>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07E41"/>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809"/>
    <w:rsid w:val="00B77E9E"/>
    <w:rsid w:val="00B80406"/>
    <w:rsid w:val="00B8062C"/>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C1"/>
    <w:rsid w:val="00CB7DD6"/>
    <w:rsid w:val="00CC0438"/>
    <w:rsid w:val="00CC0563"/>
    <w:rsid w:val="00CC140D"/>
    <w:rsid w:val="00CC1E56"/>
    <w:rsid w:val="00CC201A"/>
    <w:rsid w:val="00CC2270"/>
    <w:rsid w:val="00CC3277"/>
    <w:rsid w:val="00CC385B"/>
    <w:rsid w:val="00CC4207"/>
    <w:rsid w:val="00CC5222"/>
    <w:rsid w:val="00CC5775"/>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946"/>
    <w:rsid w:val="00DD3A79"/>
    <w:rsid w:val="00DD4174"/>
    <w:rsid w:val="00DD418A"/>
    <w:rsid w:val="00DD452E"/>
    <w:rsid w:val="00DD4929"/>
    <w:rsid w:val="00DD6998"/>
    <w:rsid w:val="00DD7C32"/>
    <w:rsid w:val="00DE00A7"/>
    <w:rsid w:val="00DE0A7D"/>
    <w:rsid w:val="00DE0B84"/>
    <w:rsid w:val="00DE0DC9"/>
    <w:rsid w:val="00DE12EF"/>
    <w:rsid w:val="00DE19AA"/>
    <w:rsid w:val="00DE367F"/>
    <w:rsid w:val="00DE3E2A"/>
    <w:rsid w:val="00DE5469"/>
    <w:rsid w:val="00DE5D83"/>
    <w:rsid w:val="00DE7DBA"/>
    <w:rsid w:val="00DE7FB5"/>
    <w:rsid w:val="00DF0953"/>
    <w:rsid w:val="00DF28B5"/>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2FC0"/>
    <w:rsid w:val="00EA3F5C"/>
    <w:rsid w:val="00EA4397"/>
    <w:rsid w:val="00EA499D"/>
    <w:rsid w:val="00EA4FFF"/>
    <w:rsid w:val="00EA54AD"/>
    <w:rsid w:val="00EA58A0"/>
    <w:rsid w:val="00EA5AE3"/>
    <w:rsid w:val="00EA5C8C"/>
    <w:rsid w:val="00EA5ECB"/>
    <w:rsid w:val="00EA622F"/>
    <w:rsid w:val="00EA62F8"/>
    <w:rsid w:val="00EA6B56"/>
    <w:rsid w:val="00EA6D49"/>
    <w:rsid w:val="00EA6ED4"/>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433B"/>
    <w:rsid w:val="00EE46D0"/>
    <w:rsid w:val="00EE476D"/>
    <w:rsid w:val="00EE49A6"/>
    <w:rsid w:val="00EE4C73"/>
    <w:rsid w:val="00EE5C23"/>
    <w:rsid w:val="00EE67FE"/>
    <w:rsid w:val="00EE703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9848676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73F5-AC9E-47D2-BC36-7250E1D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2834</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2016-09-08T02:06:00Z</dcterms:created>
  <dcterms:modified xsi:type="dcterms:W3CDTF">2016-09-08T02:16:00Z</dcterms:modified>
</cp:coreProperties>
</file>