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933" w:rsidRDefault="00343933" w:rsidP="00620460">
      <w:pPr>
        <w:pStyle w:val="PBAC4"/>
        <w:ind w:left="0" w:firstLine="0"/>
      </w:pPr>
      <w:bookmarkStart w:id="0" w:name="_Toc412709517"/>
      <w:bookmarkStart w:id="1" w:name="_GoBack"/>
      <w:bookmarkEnd w:id="1"/>
      <w:r>
        <w:t>PBAC CONSIDERATION</w:t>
      </w:r>
      <w:r w:rsidR="0074186A">
        <w:t xml:space="preserve"> </w:t>
      </w:r>
      <w:r>
        <w:t>OF THE REPORT OF THE DRUG UTILISATION SUB-COMMITTEE</w:t>
      </w:r>
    </w:p>
    <w:p w:rsidR="00343933" w:rsidRPr="00CA3617" w:rsidRDefault="00343933" w:rsidP="00680E33">
      <w:pPr>
        <w:spacing w:before="120" w:after="240" w:line="276" w:lineRule="auto"/>
        <w:ind w:left="0" w:firstLine="0"/>
        <w:jc w:val="both"/>
        <w:rPr>
          <w:b/>
        </w:rPr>
      </w:pPr>
      <w:r w:rsidRPr="00343933">
        <w:t xml:space="preserve">The PBAC noted utilisation reports with associated stakeholder responses from the </w:t>
      </w:r>
      <w:r w:rsidR="0074186A">
        <w:t>February 2016</w:t>
      </w:r>
      <w:r w:rsidRPr="00343933">
        <w:t xml:space="preserve"> Drug Utilisation Sub-Committee (DUSC) meeting, which were provided in it</w:t>
      </w:r>
      <w:r>
        <w:t>ems 10.03 to 10.0</w:t>
      </w:r>
      <w:r w:rsidR="0074186A">
        <w:t>7</w:t>
      </w:r>
      <w:r>
        <w:t xml:space="preserve"> of the PBAC A</w:t>
      </w:r>
      <w:r w:rsidRPr="00343933">
        <w:t>genda</w:t>
      </w:r>
      <w:r>
        <w:t xml:space="preserve">. </w:t>
      </w:r>
      <w:r w:rsidR="0074186A">
        <w:t xml:space="preserve">DUSC </w:t>
      </w:r>
      <w:r>
        <w:t xml:space="preserve">Minutes </w:t>
      </w:r>
      <w:r w:rsidR="0074186A">
        <w:t>relating to</w:t>
      </w:r>
      <w:r>
        <w:t xml:space="preserve"> these items were </w:t>
      </w:r>
      <w:r w:rsidR="0074186A">
        <w:t>provided to the PBAC</w:t>
      </w:r>
      <w:r>
        <w:t xml:space="preserve">. The </w:t>
      </w:r>
      <w:r w:rsidR="0074186A">
        <w:t xml:space="preserve">February 2016 </w:t>
      </w:r>
      <w:r>
        <w:t xml:space="preserve">DUSC Outcome Statement is available </w:t>
      </w:r>
      <w:hyperlink r:id="rId9" w:history="1">
        <w:r w:rsidR="00A5479B">
          <w:rPr>
            <w:rStyle w:val="Hyperlink"/>
            <w:color w:val="auto"/>
            <w:szCs w:val="22"/>
          </w:rPr>
          <w:t>here</w:t>
        </w:r>
      </w:hyperlink>
      <w:r w:rsidR="0074186A" w:rsidRPr="0074186A">
        <w:rPr>
          <w:rStyle w:val="Hyperlink"/>
          <w:color w:val="auto"/>
          <w:szCs w:val="22"/>
          <w:u w:val="none"/>
        </w:rPr>
        <w:t>.</w:t>
      </w:r>
    </w:p>
    <w:bookmarkEnd w:id="0"/>
    <w:p w:rsidR="001F20E9" w:rsidRDefault="001F20E9" w:rsidP="001F20E9">
      <w:pPr>
        <w:pStyle w:val="PBAC4"/>
        <w:ind w:left="0" w:firstLine="0"/>
      </w:pPr>
      <w:r>
        <w:t>BIOLOGICAL DISEASE-MODIFYING ANTI-RHEUMATIC DRUGS (bDMARDS) FOR ANKYLOSING SPONDYLITIS</w:t>
      </w:r>
    </w:p>
    <w:p w:rsidR="00FE7BEA" w:rsidRPr="00FE7BEA" w:rsidRDefault="00620460" w:rsidP="00FE7BEA">
      <w:pPr>
        <w:spacing w:before="120" w:after="240" w:line="276" w:lineRule="auto"/>
        <w:ind w:left="0" w:firstLine="0"/>
        <w:jc w:val="both"/>
      </w:pPr>
      <w:r w:rsidRPr="008D5B49">
        <w:t>Th</w:t>
      </w:r>
      <w:r w:rsidR="00B06F49" w:rsidRPr="008D5B49">
        <w:t xml:space="preserve">e PBAC </w:t>
      </w:r>
      <w:r w:rsidR="00680E33" w:rsidRPr="0011526C">
        <w:t>noted that</w:t>
      </w:r>
      <w:r w:rsidR="00680E33">
        <w:t xml:space="preserve"> </w:t>
      </w:r>
      <w:r w:rsidR="00680E33" w:rsidRPr="0011526C">
        <w:t xml:space="preserve">the use of </w:t>
      </w:r>
      <w:r w:rsidR="00680E33">
        <w:t>bDMARDs</w:t>
      </w:r>
      <w:r w:rsidR="00680E33" w:rsidRPr="0011526C">
        <w:t xml:space="preserve"> to treat </w:t>
      </w:r>
      <w:r w:rsidR="00680E33">
        <w:t>ankylosing spondylitis</w:t>
      </w:r>
      <w:r w:rsidR="00680E33" w:rsidRPr="0011526C">
        <w:t xml:space="preserve"> was increasing with no </w:t>
      </w:r>
      <w:r w:rsidR="000C5FE6">
        <w:t>sign</w:t>
      </w:r>
      <w:r w:rsidR="00680E33" w:rsidRPr="0011526C">
        <w:t xml:space="preserve"> of a slowi</w:t>
      </w:r>
      <w:r w:rsidR="00680E33">
        <w:t>ng in the growth of this market; despite it being more than 10</w:t>
      </w:r>
      <w:r w:rsidR="00437221">
        <w:t> </w:t>
      </w:r>
      <w:r w:rsidR="00680E33">
        <w:t xml:space="preserve">years since the first PBS listing of a bDMARD </w:t>
      </w:r>
      <w:r w:rsidR="00680E33" w:rsidRPr="006B36FE">
        <w:t>for this condition.</w:t>
      </w:r>
      <w:r w:rsidR="00680E33" w:rsidRPr="00680E33">
        <w:t xml:space="preserve"> </w:t>
      </w:r>
      <w:r w:rsidR="00FE7BEA" w:rsidRPr="00FE7BEA">
        <w:t>The PBAC noted that a higher proportion of patients receive a second authority approval (indicating response according to the PBS criteria) than predicted. The PBAC recalled that similar trends have been observed for bDMARDs used in other PBS listed indications. The PBAC also noted that most patients remain on bDMARD therapy for long periods of time and that only a small proportion of patients are approaching the end of a PBS treatment cycle where a 5-year break in PBS-subsidised bDMARD therapy is required before they are eligible to commence the next cycle</w:t>
      </w:r>
      <w:r w:rsidR="00C77037">
        <w:t>.</w:t>
      </w:r>
    </w:p>
    <w:p w:rsidR="002B466E" w:rsidRDefault="00C77037" w:rsidP="00680E33">
      <w:pPr>
        <w:spacing w:before="120" w:after="240" w:line="276" w:lineRule="auto"/>
        <w:ind w:left="0" w:firstLine="0"/>
        <w:jc w:val="both"/>
      </w:pPr>
      <w:r>
        <w:t>T</w:t>
      </w:r>
      <w:r w:rsidR="00680E33" w:rsidRPr="006B36FE">
        <w:t xml:space="preserve">he PBAC noted that while ankylosing spondylitis is more common in males, the ratio of male to female patients in </w:t>
      </w:r>
      <w:r w:rsidR="009355EA">
        <w:t>recent</w:t>
      </w:r>
      <w:r w:rsidR="009355EA" w:rsidRPr="006B36FE">
        <w:t xml:space="preserve"> </w:t>
      </w:r>
      <w:r w:rsidR="00680E33" w:rsidRPr="006B36FE">
        <w:t>PBS use is approximately one to one. The PBAC considered it unlikely that these patterns of use would occur if these medicines were being used in the intended population according to the restriction. The</w:t>
      </w:r>
      <w:r w:rsidR="00680E33">
        <w:t xml:space="preserve"> PBAC commented that despite the imaging requirements there may be use in other spondyloarthropathies where the evidence has not been evaluated by the committee.</w:t>
      </w:r>
    </w:p>
    <w:p w:rsidR="00680E33" w:rsidRDefault="00680E33" w:rsidP="00680E33">
      <w:pPr>
        <w:spacing w:before="120" w:line="276" w:lineRule="auto"/>
        <w:ind w:left="0" w:firstLine="0"/>
        <w:jc w:val="both"/>
      </w:pPr>
      <w:r w:rsidRPr="00680E33">
        <w:t>The PBAC requested that advice is sought from the Australian Rheumatology Association to better understand how bDMARDs are being used in ankylosing spondylitis and other spondyloarthropathies</w:t>
      </w:r>
      <w:r>
        <w:t>.</w:t>
      </w:r>
      <w:r w:rsidRPr="00680E33">
        <w:t xml:space="preserve"> </w:t>
      </w:r>
    </w:p>
    <w:p w:rsidR="001F20E9" w:rsidRDefault="001F20E9" w:rsidP="001F20E9">
      <w:pPr>
        <w:pStyle w:val="PBAC4"/>
        <w:ind w:left="0" w:firstLine="0"/>
      </w:pPr>
      <w:r>
        <w:t>BIOLOGICAL DISEASE-MODIFYING ANTI-RHEUMATIC DRUGS (bDMARDS) FOR PSORIATIC ARTHRITIS</w:t>
      </w:r>
    </w:p>
    <w:p w:rsidR="00C77037" w:rsidRDefault="00C77037" w:rsidP="00C77037">
      <w:pPr>
        <w:spacing w:before="120" w:line="276" w:lineRule="auto"/>
        <w:ind w:left="0" w:firstLine="0"/>
        <w:jc w:val="both"/>
      </w:pPr>
      <w:r>
        <w:t xml:space="preserve">The PBAC noted that </w:t>
      </w:r>
      <w:r w:rsidR="005423B1">
        <w:t>up to</w:t>
      </w:r>
      <w:r>
        <w:t xml:space="preserve"> 17% of patients may not have received methotrexate and either leflunomide or sulfasalazine prior to commencing biological disease modifying anti-rheumatic drug (bDMARD) therapy</w:t>
      </w:r>
      <w:r w:rsidR="000D1CC2">
        <w:t>;</w:t>
      </w:r>
      <w:r>
        <w:t xml:space="preserve"> as is required to meet the PBS restriction. While some of this would be accounted for by contraindications to </w:t>
      </w:r>
      <w:r w:rsidR="000E2B7B">
        <w:t xml:space="preserve">traditional </w:t>
      </w:r>
      <w:r w:rsidR="000D1CC2">
        <w:t>disease modifying anti-rheumatic drugs (</w:t>
      </w:r>
      <w:r>
        <w:t>DMARDs</w:t>
      </w:r>
      <w:r w:rsidR="000D1CC2">
        <w:t>)</w:t>
      </w:r>
      <w:r>
        <w:t>, the PBAC considered this raised an issue of potential non-compliance with the restriction in some patients. The PBAC requested that advice be sought from the Australian Rheumatology Association regarding whether there is a trend toward use of bDMARDs earlier in the treatment algorithm, whether there is an unmet need for bDMARDs</w:t>
      </w:r>
      <w:r w:rsidR="00F1082B">
        <w:t xml:space="preserve"> in the management of psoriatic arthritis</w:t>
      </w:r>
      <w:r>
        <w:t xml:space="preserve"> and whether practice is changing ahead of clinical guidelines</w:t>
      </w:r>
      <w:r w:rsidR="00A9184E">
        <w:t>.</w:t>
      </w:r>
    </w:p>
    <w:p w:rsidR="00CE0D9A" w:rsidRDefault="001F20E9" w:rsidP="006B7FB6">
      <w:pPr>
        <w:pStyle w:val="PBAC4"/>
        <w:ind w:left="0" w:firstLine="0"/>
      </w:pPr>
      <w:r>
        <w:lastRenderedPageBreak/>
        <w:t>SMOKING CESSATION</w:t>
      </w:r>
    </w:p>
    <w:p w:rsidR="006B7FB6" w:rsidRDefault="00EE31AE" w:rsidP="000D1CC2">
      <w:pPr>
        <w:shd w:val="clear" w:color="auto" w:fill="FFFFFF" w:themeFill="background1"/>
        <w:spacing w:before="120" w:line="276" w:lineRule="auto"/>
        <w:ind w:left="0" w:firstLine="0"/>
        <w:jc w:val="both"/>
      </w:pPr>
      <w:r w:rsidRPr="00B6496A">
        <w:t xml:space="preserve">The PBAC </w:t>
      </w:r>
      <w:r w:rsidR="006B7FB6">
        <w:t xml:space="preserve">considered that PBS-subsidised smoking cessation therapies form part of the suite of options available to assist people in quitting smoking. </w:t>
      </w:r>
    </w:p>
    <w:p w:rsidR="00E56CAE" w:rsidRDefault="00E56CAE" w:rsidP="000D1CC2">
      <w:pPr>
        <w:shd w:val="clear" w:color="auto" w:fill="FFFFFF" w:themeFill="background1"/>
        <w:spacing w:before="120" w:line="276" w:lineRule="auto"/>
        <w:ind w:left="0" w:firstLine="0"/>
        <w:jc w:val="both"/>
        <w:rPr>
          <w:bCs/>
        </w:rPr>
      </w:pPr>
      <w:r>
        <w:t xml:space="preserve">The PBAC noted that changing the PBS </w:t>
      </w:r>
      <w:r>
        <w:rPr>
          <w:bCs/>
        </w:rPr>
        <w:t xml:space="preserve">restriction for </w:t>
      </w:r>
      <w:r w:rsidR="00E04F18">
        <w:rPr>
          <w:bCs/>
        </w:rPr>
        <w:t>nicotine replacement therapy (</w:t>
      </w:r>
      <w:r>
        <w:rPr>
          <w:bCs/>
        </w:rPr>
        <w:t>NRT</w:t>
      </w:r>
      <w:r w:rsidR="00E04F18">
        <w:rPr>
          <w:bCs/>
        </w:rPr>
        <w:t>)</w:t>
      </w:r>
      <w:r>
        <w:rPr>
          <w:bCs/>
        </w:rPr>
        <w:t xml:space="preserve"> from Authority Required to Authority Required (STREAMLINED) did not significantly impact the utilisation trends of R/PBS smoking cessation therapies. </w:t>
      </w:r>
    </w:p>
    <w:p w:rsidR="00E56CAE" w:rsidRDefault="006B7FB6" w:rsidP="000D1CC2">
      <w:pPr>
        <w:shd w:val="clear" w:color="auto" w:fill="FFFFFF" w:themeFill="background1"/>
        <w:spacing w:before="120" w:line="276" w:lineRule="auto"/>
        <w:ind w:left="0" w:firstLine="0"/>
        <w:jc w:val="both"/>
        <w:rPr>
          <w:rFonts w:ascii="Times New Roman" w:hAnsi="Times New Roman"/>
          <w:sz w:val="24"/>
        </w:rPr>
      </w:pPr>
      <w:r>
        <w:t>The PBAC raised concerns regarding the reported adverse effects of varenicline and recent safety advice from the Therapeutic Goods Administration</w:t>
      </w:r>
      <w:r>
        <w:rPr>
          <w:rStyle w:val="FootnoteReference"/>
        </w:rPr>
        <w:footnoteReference w:id="1"/>
      </w:r>
      <w:r>
        <w:t>.</w:t>
      </w:r>
      <w:r w:rsidR="00E56CAE">
        <w:t xml:space="preserve"> The PBAC also noted that information available on the comparative efficacy of smoking cessation therapies continues to evolve. An article published in January 2016 by the Journal of the American Medical Association</w:t>
      </w:r>
      <w:r w:rsidR="00E56CAE">
        <w:rPr>
          <w:rStyle w:val="FootnoteReference"/>
        </w:rPr>
        <w:footnoteReference w:id="2"/>
      </w:r>
      <w:r w:rsidR="00E56CAE">
        <w:t xml:space="preserve"> found no significant differences in biochemically confirmed rates of smoking abstinence between varenicline and NRT.</w:t>
      </w:r>
      <w:r w:rsidR="00E56CAE">
        <w:rPr>
          <w:rFonts w:ascii="Times New Roman" w:hAnsi="Times New Roman"/>
          <w:sz w:val="24"/>
        </w:rPr>
        <w:t xml:space="preserve"> </w:t>
      </w:r>
    </w:p>
    <w:p w:rsidR="00A66FBC" w:rsidRDefault="001F20E9" w:rsidP="00A66FBC">
      <w:pPr>
        <w:pStyle w:val="PBAC4"/>
        <w:ind w:left="0" w:firstLine="0"/>
      </w:pPr>
      <w:r>
        <w:t>TICAGRELOR FOR ACUTE CORONARY SYNDROME</w:t>
      </w:r>
    </w:p>
    <w:p w:rsidR="0083719C" w:rsidRPr="0083719C" w:rsidRDefault="0083719C" w:rsidP="005A791C">
      <w:pPr>
        <w:shd w:val="clear" w:color="auto" w:fill="FFFFFF" w:themeFill="background1"/>
        <w:spacing w:before="120" w:line="276" w:lineRule="auto"/>
        <w:ind w:left="0" w:firstLine="0"/>
        <w:jc w:val="both"/>
      </w:pPr>
      <w:r w:rsidRPr="0083719C">
        <w:t xml:space="preserve">The PBAC noted the analysis of predicted versus actual use found the uptake of ticagrelor within the acute coronary syndrome market was underestimated in the early years of listing but overestimated in later years. </w:t>
      </w:r>
    </w:p>
    <w:p w:rsidR="0083719C" w:rsidRPr="0083719C" w:rsidRDefault="0083719C" w:rsidP="005A791C">
      <w:pPr>
        <w:shd w:val="clear" w:color="auto" w:fill="FFFFFF" w:themeFill="background1"/>
        <w:spacing w:before="120" w:line="276" w:lineRule="auto"/>
        <w:ind w:left="0" w:firstLine="0"/>
        <w:jc w:val="both"/>
      </w:pPr>
      <w:r w:rsidRPr="0083719C">
        <w:t>The PBAC noted from the length of treatment analysis the majority of people have stopped taking ticagrelor one year after initiation but that about 20% of patients remain on treatment for two years or more. The PBAC noted that the PBS restriction allows clinical discretion by not limiting the subsidised duration of therapy. However, the PBAC noted th</w:t>
      </w:r>
      <w:r w:rsidR="00DF10A5">
        <w:t>at the benefits and harms need</w:t>
      </w:r>
      <w:r w:rsidRPr="0083719C">
        <w:t xml:space="preserve"> to be weighed up for longer durations of treatment, particularly the risk of increased blee</w:t>
      </w:r>
      <w:r w:rsidR="005A791C">
        <w:t>ds with ongoing dual therapy.</w:t>
      </w:r>
    </w:p>
    <w:p w:rsidR="00D46AEE" w:rsidRPr="00DF10A5" w:rsidRDefault="0083719C" w:rsidP="005A791C">
      <w:pPr>
        <w:shd w:val="clear" w:color="auto" w:fill="FFFFFF" w:themeFill="background1"/>
        <w:spacing w:before="120" w:line="276" w:lineRule="auto"/>
        <w:ind w:left="0" w:firstLine="0"/>
        <w:jc w:val="both"/>
      </w:pPr>
      <w:r w:rsidRPr="0083719C">
        <w:t>The PBAC recommended that use of ticagrelor and other medicines for acute coronary syndrome be reviewed again in 12-24 months</w:t>
      </w:r>
      <w:r w:rsidR="005A791C">
        <w:t>;</w:t>
      </w:r>
      <w:r w:rsidRPr="0083719C">
        <w:t xml:space="preserve"> including an update of the length on treatment analysis and an assessment of the impact of longer durations of treatment on the costs to government</w:t>
      </w:r>
      <w:r w:rsidR="00D46AEE" w:rsidRPr="00DF10A5">
        <w:t>.</w:t>
      </w:r>
    </w:p>
    <w:p w:rsidR="005423B1" w:rsidRDefault="005423B1" w:rsidP="0083719C">
      <w:pPr>
        <w:pStyle w:val="PBAC4"/>
        <w:ind w:left="0" w:firstLine="0"/>
      </w:pPr>
      <w:r>
        <w:t>MEDICINES FOR ALZHEIMER DISEASE</w:t>
      </w:r>
    </w:p>
    <w:p w:rsidR="005423B1" w:rsidRPr="005423B1" w:rsidRDefault="005423B1" w:rsidP="005A791C">
      <w:pPr>
        <w:spacing w:before="120" w:after="240" w:line="276" w:lineRule="auto"/>
        <w:ind w:left="0" w:firstLine="0"/>
        <w:jc w:val="both"/>
      </w:pPr>
      <w:r w:rsidRPr="005423B1">
        <w:t xml:space="preserve">A post-market review was undertaken for anti-dementia medicines in 2012. The PBAC recalled that a key outcome of the post-market review was to simplify the PBS continuing restriction to better align with clinical use. The PBAC noted that as there has been no substantial change in the proportion of people continuing on anti-dementia therapies that alignment has been achieved. </w:t>
      </w:r>
    </w:p>
    <w:p w:rsidR="005423B1" w:rsidRPr="005423B1" w:rsidRDefault="005423B1" w:rsidP="005A791C">
      <w:pPr>
        <w:spacing w:before="120" w:after="240" w:line="276" w:lineRule="auto"/>
        <w:ind w:left="0" w:firstLine="0"/>
        <w:jc w:val="both"/>
      </w:pPr>
      <w:r w:rsidRPr="005423B1">
        <w:t>The PBAC noted that the price reduction arising from the post-market review re-established the cost-effectiveness of these medicines. However</w:t>
      </w:r>
      <w:r w:rsidR="005A791C">
        <w:t>,</w:t>
      </w:r>
      <w:r w:rsidRPr="005423B1">
        <w:t xml:space="preserve"> the PBAC agreed with DUSC that quality use of medicines concerns remain</w:t>
      </w:r>
      <w:r w:rsidR="005A791C">
        <w:t>,</w:t>
      </w:r>
      <w:r w:rsidRPr="005423B1">
        <w:t xml:space="preserve"> including that some patients continue on anti-dementia medicines for long periods of time where there may be little or no benefit, and co-administration of anticholinergic medicines with cholinesterase inhibitors.</w:t>
      </w:r>
    </w:p>
    <w:p w:rsidR="008D489F" w:rsidRDefault="005423B1" w:rsidP="00FA06A7">
      <w:pPr>
        <w:spacing w:before="120" w:after="240" w:line="276" w:lineRule="auto"/>
        <w:ind w:left="0" w:firstLine="0"/>
        <w:jc w:val="both"/>
      </w:pPr>
      <w:r w:rsidRPr="005423B1">
        <w:lastRenderedPageBreak/>
        <w:t>The PBAC noted there are new anti-dementia agents in the research pipeline. The PBAC considered it worthwhile to gather information from experts in the field in advance of thes</w:t>
      </w:r>
      <w:r w:rsidR="00FA06A7">
        <w:t xml:space="preserve">e drugs seeking subsidisation. </w:t>
      </w:r>
    </w:p>
    <w:sectPr w:rsidR="008D489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B86" w:rsidRDefault="003A6B86" w:rsidP="00620460">
      <w:r>
        <w:separator/>
      </w:r>
    </w:p>
  </w:endnote>
  <w:endnote w:type="continuationSeparator" w:id="0">
    <w:p w:rsidR="003A6B86" w:rsidRDefault="003A6B86" w:rsidP="0062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8E" w:rsidRDefault="00183F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922726"/>
      <w:docPartObj>
        <w:docPartGallery w:val="Page Numbers (Bottom of Page)"/>
        <w:docPartUnique/>
      </w:docPartObj>
    </w:sdtPr>
    <w:sdtEndPr>
      <w:rPr>
        <w:noProof/>
      </w:rPr>
    </w:sdtEndPr>
    <w:sdtContent>
      <w:p w:rsidR="00EF7F22" w:rsidRDefault="00EF7F22">
        <w:pPr>
          <w:pStyle w:val="Footer"/>
          <w:jc w:val="center"/>
        </w:pPr>
        <w:r>
          <w:fldChar w:fldCharType="begin"/>
        </w:r>
        <w:r>
          <w:instrText xml:space="preserve"> PAGE   \* MERGEFORMAT </w:instrText>
        </w:r>
        <w:r>
          <w:fldChar w:fldCharType="separate"/>
        </w:r>
        <w:r w:rsidR="005830CD">
          <w:rPr>
            <w:noProof/>
          </w:rPr>
          <w:t>2</w:t>
        </w:r>
        <w:r>
          <w:rPr>
            <w:noProof/>
          </w:rPr>
          <w:fldChar w:fldCharType="end"/>
        </w:r>
      </w:p>
    </w:sdtContent>
  </w:sdt>
  <w:p w:rsidR="00EF7F22" w:rsidRDefault="00EF7F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8E" w:rsidRDefault="00183F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B86" w:rsidRDefault="003A6B86" w:rsidP="00620460">
      <w:r>
        <w:separator/>
      </w:r>
    </w:p>
  </w:footnote>
  <w:footnote w:type="continuationSeparator" w:id="0">
    <w:p w:rsidR="003A6B86" w:rsidRDefault="003A6B86" w:rsidP="00620460">
      <w:r>
        <w:continuationSeparator/>
      </w:r>
    </w:p>
  </w:footnote>
  <w:footnote w:id="1">
    <w:p w:rsidR="006B7FB6" w:rsidRDefault="006B7FB6">
      <w:pPr>
        <w:pStyle w:val="FootnoteText"/>
      </w:pPr>
      <w:r>
        <w:rPr>
          <w:rStyle w:val="FootnoteReference"/>
        </w:rPr>
        <w:footnoteRef/>
      </w:r>
      <w:r>
        <w:t xml:space="preserve"> Therapeutic Goods </w:t>
      </w:r>
      <w:r w:rsidRPr="009D071C">
        <w:t xml:space="preserve">Administration. </w:t>
      </w:r>
      <w:r w:rsidRPr="009D071C">
        <w:rPr>
          <w:bCs/>
        </w:rPr>
        <w:t>Medicines Safety Update Volume 7 Number 1, February 2016</w:t>
      </w:r>
      <w:r w:rsidR="00183F8E">
        <w:rPr>
          <w:bCs/>
        </w:rPr>
        <w:t xml:space="preserve"> (website </w:t>
      </w:r>
      <w:hyperlink r:id="rId1" w:history="1">
        <w:r w:rsidR="00183F8E">
          <w:rPr>
            <w:rStyle w:val="Hyperlink"/>
            <w:color w:val="auto"/>
            <w:szCs w:val="22"/>
          </w:rPr>
          <w:t>here</w:t>
        </w:r>
      </w:hyperlink>
      <w:r w:rsidR="00183F8E">
        <w:rPr>
          <w:rStyle w:val="Hyperlink"/>
          <w:color w:val="auto"/>
          <w:szCs w:val="22"/>
        </w:rPr>
        <w:t>)</w:t>
      </w:r>
      <w:r w:rsidRPr="009D071C">
        <w:rPr>
          <w:bCs/>
        </w:rPr>
        <w:t>.</w:t>
      </w:r>
      <w:r>
        <w:rPr>
          <w:b/>
          <w:bCs/>
        </w:rPr>
        <w:t xml:space="preserve"> </w:t>
      </w:r>
    </w:p>
  </w:footnote>
  <w:footnote w:id="2">
    <w:p w:rsidR="00E56CAE" w:rsidRDefault="00E56CAE" w:rsidP="00E56CAE">
      <w:pPr>
        <w:pStyle w:val="FootnoteText"/>
        <w:ind w:left="0" w:firstLine="0"/>
      </w:pPr>
      <w:r>
        <w:rPr>
          <w:rStyle w:val="FootnoteReference"/>
        </w:rPr>
        <w:footnoteRef/>
      </w:r>
      <w:r>
        <w:t xml:space="preserve"> </w:t>
      </w:r>
      <w:r>
        <w:rPr>
          <w:szCs w:val="18"/>
        </w:rPr>
        <w:t>Baker et al. Effects of nicotine patch vs varenicline vs combination nicotine replacement therapy on smoking cessation at 26 weeks. JAMA January 2016 (315):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8E" w:rsidRDefault="00183F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460" w:rsidRPr="00343933" w:rsidRDefault="0074186A" w:rsidP="00620460">
    <w:pPr>
      <w:tabs>
        <w:tab w:val="center" w:pos="4153"/>
        <w:tab w:val="right" w:pos="8306"/>
      </w:tabs>
      <w:spacing w:after="120"/>
      <w:ind w:left="357" w:firstLine="0"/>
      <w:contextualSpacing/>
      <w:jc w:val="center"/>
      <w:rPr>
        <w:rFonts w:cs="Arial"/>
        <w:caps/>
        <w:color w:val="808080"/>
        <w:lang w:eastAsia="en-US"/>
      </w:rPr>
    </w:pPr>
    <w:r>
      <w:rPr>
        <w:rFonts w:cs="Arial"/>
        <w:caps/>
        <w:color w:val="808080"/>
        <w:lang w:eastAsia="en-US"/>
      </w:rPr>
      <w:t xml:space="preserve">MARCH 2016 </w:t>
    </w:r>
    <w:r w:rsidR="00343933" w:rsidRPr="00343933">
      <w:rPr>
        <w:rFonts w:cs="Arial"/>
        <w:caps/>
        <w:color w:val="808080"/>
        <w:lang w:eastAsia="en-US"/>
      </w:rPr>
      <w:t>PBAC Meetin</w:t>
    </w:r>
    <w:r w:rsidR="001B588B">
      <w:rPr>
        <w:rFonts w:cs="Arial"/>
        <w:caps/>
        <w:color w:val="808080"/>
        <w:lang w:eastAsia="en-US"/>
      </w:rPr>
      <w:t xml:space="preserve">g - </w:t>
    </w:r>
    <w:r w:rsidR="00343933" w:rsidRPr="00343933">
      <w:rPr>
        <w:rFonts w:cs="Arial"/>
        <w:caps/>
        <w:color w:val="808080"/>
        <w:lang w:eastAsia="en-US"/>
      </w:rPr>
      <w:t>Consideration of the report of the Drug Utilisation Sub-Committee</w:t>
    </w:r>
  </w:p>
  <w:p w:rsidR="00620460" w:rsidRDefault="006204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8E" w:rsidRDefault="00183F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0191"/>
    <w:multiLevelType w:val="multilevel"/>
    <w:tmpl w:val="625E27C2"/>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5455470"/>
    <w:multiLevelType w:val="multilevel"/>
    <w:tmpl w:val="F718E97C"/>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8501005"/>
    <w:multiLevelType w:val="multilevel"/>
    <w:tmpl w:val="6E4CCDA4"/>
    <w:lvl w:ilvl="0">
      <w:start w:val="1"/>
      <w:numFmt w:val="decimal"/>
      <w:lvlText w:val="%1"/>
      <w:lvlJc w:val="left"/>
      <w:pPr>
        <w:ind w:left="1440" w:hanging="720"/>
      </w:pPr>
      <w:rPr>
        <w:rFonts w:hint="default"/>
      </w:rPr>
    </w:lvl>
    <w:lvl w:ilvl="1">
      <w:start w:val="1"/>
      <w:numFmt w:val="bullet"/>
      <w:lvlText w:val=""/>
      <w:lvlJc w:val="left"/>
      <w:pPr>
        <w:ind w:left="1440" w:hanging="720"/>
      </w:pPr>
      <w:rPr>
        <w:rFonts w:ascii="Symbol" w:hAnsi="Symbol"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09C91C2F"/>
    <w:multiLevelType w:val="multilevel"/>
    <w:tmpl w:val="2F44A41E"/>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0C1B196C"/>
    <w:multiLevelType w:val="multilevel"/>
    <w:tmpl w:val="50D45AF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13653121"/>
    <w:multiLevelType w:val="multilevel"/>
    <w:tmpl w:val="00A65A3C"/>
    <w:lvl w:ilvl="0">
      <w:start w:val="1"/>
      <w:numFmt w:val="bullet"/>
      <w:lvlText w:val=""/>
      <w:lvlJc w:val="left"/>
      <w:pPr>
        <w:ind w:left="1440" w:hanging="720"/>
      </w:pPr>
      <w:rPr>
        <w:rFonts w:ascii="Symbol" w:hAnsi="Symbol" w:hint="default"/>
      </w:rPr>
    </w:lvl>
    <w:lvl w:ilvl="1">
      <w:start w:val="1"/>
      <w:numFmt w:val="bullet"/>
      <w:lvlText w:val="o"/>
      <w:lvlJc w:val="left"/>
      <w:pPr>
        <w:ind w:left="1440" w:hanging="720"/>
      </w:pPr>
      <w:rPr>
        <w:rFonts w:ascii="Courier New" w:hAnsi="Courier New" w:cs="Courier New"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1AB8435C"/>
    <w:multiLevelType w:val="hybridMultilevel"/>
    <w:tmpl w:val="A230BAA2"/>
    <w:lvl w:ilvl="0" w:tplc="78CA7790">
      <w:start w:val="1"/>
      <w:numFmt w:val="bullet"/>
      <w:lvlText w:val="•"/>
      <w:lvlJc w:val="left"/>
      <w:pPr>
        <w:tabs>
          <w:tab w:val="num" w:pos="720"/>
        </w:tabs>
        <w:ind w:left="720" w:hanging="360"/>
      </w:pPr>
      <w:rPr>
        <w:rFonts w:ascii="Arial" w:hAnsi="Arial" w:hint="default"/>
      </w:rPr>
    </w:lvl>
    <w:lvl w:ilvl="1" w:tplc="4C9A2076">
      <w:start w:val="1"/>
      <w:numFmt w:val="bullet"/>
      <w:lvlText w:val="•"/>
      <w:lvlJc w:val="left"/>
      <w:pPr>
        <w:tabs>
          <w:tab w:val="num" w:pos="1440"/>
        </w:tabs>
        <w:ind w:left="1440" w:hanging="360"/>
      </w:pPr>
      <w:rPr>
        <w:rFonts w:ascii="Arial" w:hAnsi="Arial" w:hint="default"/>
      </w:rPr>
    </w:lvl>
    <w:lvl w:ilvl="2" w:tplc="A3FED56E" w:tentative="1">
      <w:start w:val="1"/>
      <w:numFmt w:val="bullet"/>
      <w:lvlText w:val="•"/>
      <w:lvlJc w:val="left"/>
      <w:pPr>
        <w:tabs>
          <w:tab w:val="num" w:pos="2160"/>
        </w:tabs>
        <w:ind w:left="2160" w:hanging="360"/>
      </w:pPr>
      <w:rPr>
        <w:rFonts w:ascii="Arial" w:hAnsi="Arial" w:hint="default"/>
      </w:rPr>
    </w:lvl>
    <w:lvl w:ilvl="3" w:tplc="9F6A2946" w:tentative="1">
      <w:start w:val="1"/>
      <w:numFmt w:val="bullet"/>
      <w:lvlText w:val="•"/>
      <w:lvlJc w:val="left"/>
      <w:pPr>
        <w:tabs>
          <w:tab w:val="num" w:pos="2880"/>
        </w:tabs>
        <w:ind w:left="2880" w:hanging="360"/>
      </w:pPr>
      <w:rPr>
        <w:rFonts w:ascii="Arial" w:hAnsi="Arial" w:hint="default"/>
      </w:rPr>
    </w:lvl>
    <w:lvl w:ilvl="4" w:tplc="AA8C466E" w:tentative="1">
      <w:start w:val="1"/>
      <w:numFmt w:val="bullet"/>
      <w:lvlText w:val="•"/>
      <w:lvlJc w:val="left"/>
      <w:pPr>
        <w:tabs>
          <w:tab w:val="num" w:pos="3600"/>
        </w:tabs>
        <w:ind w:left="3600" w:hanging="360"/>
      </w:pPr>
      <w:rPr>
        <w:rFonts w:ascii="Arial" w:hAnsi="Arial" w:hint="default"/>
      </w:rPr>
    </w:lvl>
    <w:lvl w:ilvl="5" w:tplc="7D4407FA" w:tentative="1">
      <w:start w:val="1"/>
      <w:numFmt w:val="bullet"/>
      <w:lvlText w:val="•"/>
      <w:lvlJc w:val="left"/>
      <w:pPr>
        <w:tabs>
          <w:tab w:val="num" w:pos="4320"/>
        </w:tabs>
        <w:ind w:left="4320" w:hanging="360"/>
      </w:pPr>
      <w:rPr>
        <w:rFonts w:ascii="Arial" w:hAnsi="Arial" w:hint="default"/>
      </w:rPr>
    </w:lvl>
    <w:lvl w:ilvl="6" w:tplc="65F4D192" w:tentative="1">
      <w:start w:val="1"/>
      <w:numFmt w:val="bullet"/>
      <w:lvlText w:val="•"/>
      <w:lvlJc w:val="left"/>
      <w:pPr>
        <w:tabs>
          <w:tab w:val="num" w:pos="5040"/>
        </w:tabs>
        <w:ind w:left="5040" w:hanging="360"/>
      </w:pPr>
      <w:rPr>
        <w:rFonts w:ascii="Arial" w:hAnsi="Arial" w:hint="default"/>
      </w:rPr>
    </w:lvl>
    <w:lvl w:ilvl="7" w:tplc="5C92A03E" w:tentative="1">
      <w:start w:val="1"/>
      <w:numFmt w:val="bullet"/>
      <w:lvlText w:val="•"/>
      <w:lvlJc w:val="left"/>
      <w:pPr>
        <w:tabs>
          <w:tab w:val="num" w:pos="5760"/>
        </w:tabs>
        <w:ind w:left="5760" w:hanging="360"/>
      </w:pPr>
      <w:rPr>
        <w:rFonts w:ascii="Arial" w:hAnsi="Arial" w:hint="default"/>
      </w:rPr>
    </w:lvl>
    <w:lvl w:ilvl="8" w:tplc="03C2636E" w:tentative="1">
      <w:start w:val="1"/>
      <w:numFmt w:val="bullet"/>
      <w:lvlText w:val="•"/>
      <w:lvlJc w:val="left"/>
      <w:pPr>
        <w:tabs>
          <w:tab w:val="num" w:pos="6480"/>
        </w:tabs>
        <w:ind w:left="6480" w:hanging="360"/>
      </w:pPr>
      <w:rPr>
        <w:rFonts w:ascii="Arial" w:hAnsi="Arial" w:hint="default"/>
      </w:rPr>
    </w:lvl>
  </w:abstractNum>
  <w:abstractNum w:abstractNumId="7">
    <w:nsid w:val="1AEE4C96"/>
    <w:multiLevelType w:val="hybridMultilevel"/>
    <w:tmpl w:val="CA103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1E915AC0"/>
    <w:multiLevelType w:val="multilevel"/>
    <w:tmpl w:val="65E2037E"/>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1F8C7102"/>
    <w:multiLevelType w:val="multilevel"/>
    <w:tmpl w:val="4952597A"/>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21D23D6A"/>
    <w:multiLevelType w:val="hybridMultilevel"/>
    <w:tmpl w:val="07E656FC"/>
    <w:lvl w:ilvl="0" w:tplc="0C090001">
      <w:start w:val="1"/>
      <w:numFmt w:val="bullet"/>
      <w:lvlText w:val=""/>
      <w:lvlJc w:val="left"/>
      <w:pPr>
        <w:ind w:left="720" w:hanging="360"/>
      </w:pPr>
      <w:rPr>
        <w:rFonts w:ascii="Symbol" w:hAnsi="Symbol" w:hint="default"/>
      </w:rPr>
    </w:lvl>
    <w:lvl w:ilvl="1" w:tplc="C14AE0FC">
      <w:start w:val="1"/>
      <w:numFmt w:val="bullet"/>
      <w:lvlText w:val=""/>
      <w:lvlJc w:val="left"/>
      <w:pPr>
        <w:ind w:left="1440" w:hanging="360"/>
      </w:pPr>
      <w:rPr>
        <w:rFonts w:ascii="Symbol" w:hAnsi="Symbol" w:hint="default"/>
        <w:color w:val="000000" w:themeColor="text1"/>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26F4677"/>
    <w:multiLevelType w:val="multilevel"/>
    <w:tmpl w:val="F718E97C"/>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239260E8"/>
    <w:multiLevelType w:val="multilevel"/>
    <w:tmpl w:val="F718E97C"/>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2C72412D"/>
    <w:multiLevelType w:val="hybridMultilevel"/>
    <w:tmpl w:val="4F7A94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0667341"/>
    <w:multiLevelType w:val="hybridMultilevel"/>
    <w:tmpl w:val="CA1879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23C6B72"/>
    <w:multiLevelType w:val="hybridMultilevel"/>
    <w:tmpl w:val="6A6E75A8"/>
    <w:lvl w:ilvl="0" w:tplc="2758CC14">
      <w:start w:val="1"/>
      <w:numFmt w:val="bullet"/>
      <w:pStyle w:val="PBAC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7D52ADD"/>
    <w:multiLevelType w:val="hybridMultilevel"/>
    <w:tmpl w:val="3A30C3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7F0351C"/>
    <w:multiLevelType w:val="multilevel"/>
    <w:tmpl w:val="85048276"/>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8600751"/>
    <w:multiLevelType w:val="multilevel"/>
    <w:tmpl w:val="F718E97C"/>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40595698"/>
    <w:multiLevelType w:val="hybridMultilevel"/>
    <w:tmpl w:val="7B0632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422B1FC7"/>
    <w:multiLevelType w:val="hybridMultilevel"/>
    <w:tmpl w:val="B2226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8D855B2"/>
    <w:multiLevelType w:val="hybridMultilevel"/>
    <w:tmpl w:val="9920D0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91C76C4"/>
    <w:multiLevelType w:val="multilevel"/>
    <w:tmpl w:val="625E27C2"/>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4E2B0256"/>
    <w:multiLevelType w:val="multilevel"/>
    <w:tmpl w:val="50D45AF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5C4B7C7F"/>
    <w:multiLevelType w:val="multilevel"/>
    <w:tmpl w:val="85048276"/>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nsid w:val="5E1F1F7C"/>
    <w:multiLevelType w:val="multilevel"/>
    <w:tmpl w:val="2F44A41E"/>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5E6C2542"/>
    <w:multiLevelType w:val="multilevel"/>
    <w:tmpl w:val="F718E97C"/>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6ECD09FF"/>
    <w:multiLevelType w:val="multilevel"/>
    <w:tmpl w:val="00A65A3C"/>
    <w:lvl w:ilvl="0">
      <w:start w:val="1"/>
      <w:numFmt w:val="bullet"/>
      <w:lvlText w:val=""/>
      <w:lvlJc w:val="left"/>
      <w:pPr>
        <w:ind w:left="1440" w:hanging="720"/>
      </w:pPr>
      <w:rPr>
        <w:rFonts w:ascii="Symbol" w:hAnsi="Symbol" w:hint="default"/>
      </w:rPr>
    </w:lvl>
    <w:lvl w:ilvl="1">
      <w:start w:val="1"/>
      <w:numFmt w:val="bullet"/>
      <w:lvlText w:val="o"/>
      <w:lvlJc w:val="left"/>
      <w:pPr>
        <w:ind w:left="1440" w:hanging="720"/>
      </w:pPr>
      <w:rPr>
        <w:rFonts w:ascii="Courier New" w:hAnsi="Courier New" w:cs="Courier New"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70F40010"/>
    <w:multiLevelType w:val="hybridMultilevel"/>
    <w:tmpl w:val="2AEE316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4022FC7"/>
    <w:multiLevelType w:val="hybridMultilevel"/>
    <w:tmpl w:val="36E42E90"/>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75D83BE7"/>
    <w:multiLevelType w:val="hybridMultilevel"/>
    <w:tmpl w:val="74B819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70969D7"/>
    <w:multiLevelType w:val="multilevel"/>
    <w:tmpl w:val="2F44A41E"/>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nsid w:val="77332BA9"/>
    <w:multiLevelType w:val="multilevel"/>
    <w:tmpl w:val="4952597A"/>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7EA66ECC"/>
    <w:multiLevelType w:val="multilevel"/>
    <w:tmpl w:val="7644A29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7"/>
  </w:num>
  <w:num w:numId="2">
    <w:abstractNumId w:val="30"/>
  </w:num>
  <w:num w:numId="3">
    <w:abstractNumId w:val="32"/>
  </w:num>
  <w:num w:numId="4">
    <w:abstractNumId w:val="10"/>
  </w:num>
  <w:num w:numId="5">
    <w:abstractNumId w:val="34"/>
  </w:num>
  <w:num w:numId="6">
    <w:abstractNumId w:val="27"/>
    <w:lvlOverride w:ilvl="0">
      <w:lvl w:ilvl="0">
        <w:start w:val="1"/>
        <w:numFmt w:val="decimal"/>
        <w:lvlText w:val="%1"/>
        <w:lvlJc w:val="left"/>
        <w:pPr>
          <w:ind w:left="1440" w:hanging="72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bullet"/>
        <w:lvlText w:val=""/>
        <w:lvlJc w:val="left"/>
        <w:pPr>
          <w:ind w:left="1440" w:hanging="720"/>
        </w:pPr>
        <w:rPr>
          <w:rFonts w:ascii="Symbol" w:hAnsi="Symbol" w:hint="default"/>
        </w:rPr>
      </w:lvl>
    </w:lvlOverride>
    <w:lvlOverride w:ilvl="3">
      <w:lvl w:ilvl="3">
        <w:start w:val="1"/>
        <w:numFmt w:val="decimal"/>
        <w:isLgl/>
        <w:lvlText w:val="%1.%2.%3.%4"/>
        <w:lvlJc w:val="left"/>
        <w:pPr>
          <w:ind w:left="1440" w:hanging="720"/>
        </w:pPr>
        <w:rPr>
          <w:rFonts w:hint="default"/>
        </w:rPr>
      </w:lvl>
    </w:lvlOverride>
    <w:lvlOverride w:ilvl="4">
      <w:lvl w:ilvl="4">
        <w:start w:val="1"/>
        <w:numFmt w:val="decimal"/>
        <w:isLgl/>
        <w:lvlText w:val="%1.%2.%3.%4.%5"/>
        <w:lvlJc w:val="left"/>
        <w:pPr>
          <w:ind w:left="1800" w:hanging="1080"/>
        </w:pPr>
        <w:rPr>
          <w:rFonts w:hint="default"/>
        </w:rPr>
      </w:lvl>
    </w:lvlOverride>
    <w:lvlOverride w:ilvl="5">
      <w:lvl w:ilvl="5">
        <w:start w:val="1"/>
        <w:numFmt w:val="decimal"/>
        <w:isLgl/>
        <w:lvlText w:val="%1.%2.%3.%4.%5.%6"/>
        <w:lvlJc w:val="left"/>
        <w:pPr>
          <w:ind w:left="1800" w:hanging="1080"/>
        </w:pPr>
        <w:rPr>
          <w:rFonts w:hint="default"/>
        </w:rPr>
      </w:lvl>
    </w:lvlOverride>
    <w:lvlOverride w:ilvl="6">
      <w:lvl w:ilvl="6">
        <w:start w:val="1"/>
        <w:numFmt w:val="decimal"/>
        <w:isLgl/>
        <w:lvlText w:val="%1.%2.%3.%4.%5.%6.%7"/>
        <w:lvlJc w:val="left"/>
        <w:pPr>
          <w:ind w:left="2160" w:hanging="1440"/>
        </w:pPr>
        <w:rPr>
          <w:rFonts w:hint="default"/>
        </w:rPr>
      </w:lvl>
    </w:lvlOverride>
    <w:lvlOverride w:ilvl="7">
      <w:lvl w:ilvl="7">
        <w:start w:val="1"/>
        <w:numFmt w:val="decimal"/>
        <w:isLgl/>
        <w:lvlText w:val="%1.%2.%3.%4.%5.%6.%7.%8"/>
        <w:lvlJc w:val="left"/>
        <w:pPr>
          <w:ind w:left="2160" w:hanging="1440"/>
        </w:pPr>
        <w:rPr>
          <w:rFonts w:hint="default"/>
        </w:rPr>
      </w:lvl>
    </w:lvlOverride>
    <w:lvlOverride w:ilvl="8">
      <w:lvl w:ilvl="8">
        <w:start w:val="1"/>
        <w:numFmt w:val="decimal"/>
        <w:isLgl/>
        <w:lvlText w:val="%1.%2.%3.%4.%5.%6.%7.%8.%9"/>
        <w:lvlJc w:val="left"/>
        <w:pPr>
          <w:ind w:left="2520" w:hanging="1800"/>
        </w:pPr>
        <w:rPr>
          <w:rFonts w:hint="default"/>
        </w:rPr>
      </w:lvl>
    </w:lvlOverride>
  </w:num>
  <w:num w:numId="7">
    <w:abstractNumId w:val="29"/>
  </w:num>
  <w:num w:numId="8">
    <w:abstractNumId w:val="9"/>
  </w:num>
  <w:num w:numId="9">
    <w:abstractNumId w:val="22"/>
  </w:num>
  <w:num w:numId="10">
    <w:abstractNumId w:val="20"/>
  </w:num>
  <w:num w:numId="11">
    <w:abstractNumId w:val="17"/>
  </w:num>
  <w:num w:numId="12">
    <w:abstractNumId w:val="35"/>
  </w:num>
  <w:num w:numId="13">
    <w:abstractNumId w:val="21"/>
  </w:num>
  <w:num w:numId="14">
    <w:abstractNumId w:val="24"/>
  </w:num>
  <w:num w:numId="15">
    <w:abstractNumId w:val="5"/>
  </w:num>
  <w:num w:numId="16">
    <w:abstractNumId w:val="4"/>
  </w:num>
  <w:num w:numId="17">
    <w:abstractNumId w:val="14"/>
  </w:num>
  <w:num w:numId="18">
    <w:abstractNumId w:val="28"/>
  </w:num>
  <w:num w:numId="19">
    <w:abstractNumId w:val="2"/>
  </w:num>
  <w:num w:numId="20">
    <w:abstractNumId w:val="0"/>
  </w:num>
  <w:num w:numId="21">
    <w:abstractNumId w:val="7"/>
  </w:num>
  <w:num w:numId="22">
    <w:abstractNumId w:val="31"/>
  </w:num>
  <w:num w:numId="23">
    <w:abstractNumId w:val="19"/>
  </w:num>
  <w:num w:numId="24">
    <w:abstractNumId w:val="6"/>
  </w:num>
  <w:num w:numId="25">
    <w:abstractNumId w:val="25"/>
  </w:num>
  <w:num w:numId="26">
    <w:abstractNumId w:val="33"/>
  </w:num>
  <w:num w:numId="27">
    <w:abstractNumId w:val="3"/>
  </w:num>
  <w:num w:numId="28">
    <w:abstractNumId w:val="15"/>
  </w:num>
  <w:num w:numId="29">
    <w:abstractNumId w:val="8"/>
  </w:num>
  <w:num w:numId="30">
    <w:abstractNumId w:val="26"/>
  </w:num>
  <w:num w:numId="31">
    <w:abstractNumId w:val="11"/>
  </w:num>
  <w:num w:numId="32">
    <w:abstractNumId w:val="18"/>
  </w:num>
  <w:num w:numId="33">
    <w:abstractNumId w:val="12"/>
  </w:num>
  <w:num w:numId="34">
    <w:abstractNumId w:val="23"/>
  </w:num>
  <w:num w:numId="35">
    <w:abstractNumId w:val="1"/>
  </w:num>
  <w:num w:numId="36">
    <w:abstractNumId w:val="16"/>
  </w:num>
  <w:num w:numId="37">
    <w:abstractNumId w:val="13"/>
  </w:num>
  <w:num w:numId="38">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60"/>
    <w:rsid w:val="0000116B"/>
    <w:rsid w:val="000114CE"/>
    <w:rsid w:val="000174DA"/>
    <w:rsid w:val="00021876"/>
    <w:rsid w:val="000253D9"/>
    <w:rsid w:val="000302AB"/>
    <w:rsid w:val="0003093D"/>
    <w:rsid w:val="00030A70"/>
    <w:rsid w:val="00033ABB"/>
    <w:rsid w:val="0004417D"/>
    <w:rsid w:val="00046F43"/>
    <w:rsid w:val="0004741E"/>
    <w:rsid w:val="00055DBE"/>
    <w:rsid w:val="00066A81"/>
    <w:rsid w:val="00066AF9"/>
    <w:rsid w:val="00067806"/>
    <w:rsid w:val="00067EEA"/>
    <w:rsid w:val="00070C47"/>
    <w:rsid w:val="00071082"/>
    <w:rsid w:val="000722E6"/>
    <w:rsid w:val="00072FBD"/>
    <w:rsid w:val="00076012"/>
    <w:rsid w:val="00083603"/>
    <w:rsid w:val="00084D56"/>
    <w:rsid w:val="00093F6C"/>
    <w:rsid w:val="000A0A7A"/>
    <w:rsid w:val="000A17AB"/>
    <w:rsid w:val="000A79A6"/>
    <w:rsid w:val="000A7A10"/>
    <w:rsid w:val="000B45C4"/>
    <w:rsid w:val="000B58F6"/>
    <w:rsid w:val="000C06DF"/>
    <w:rsid w:val="000C2666"/>
    <w:rsid w:val="000C56C6"/>
    <w:rsid w:val="000C5FE6"/>
    <w:rsid w:val="000C6089"/>
    <w:rsid w:val="000D1CC2"/>
    <w:rsid w:val="000D28E9"/>
    <w:rsid w:val="000D305E"/>
    <w:rsid w:val="000E2B7B"/>
    <w:rsid w:val="000E76E2"/>
    <w:rsid w:val="000F5C26"/>
    <w:rsid w:val="000F5E79"/>
    <w:rsid w:val="000F6859"/>
    <w:rsid w:val="000F77D3"/>
    <w:rsid w:val="001113C6"/>
    <w:rsid w:val="0012352A"/>
    <w:rsid w:val="00131E7C"/>
    <w:rsid w:val="001321CA"/>
    <w:rsid w:val="0013558C"/>
    <w:rsid w:val="00136074"/>
    <w:rsid w:val="0013766E"/>
    <w:rsid w:val="00137982"/>
    <w:rsid w:val="001431A3"/>
    <w:rsid w:val="00144CDE"/>
    <w:rsid w:val="001472F0"/>
    <w:rsid w:val="00152397"/>
    <w:rsid w:val="00153C34"/>
    <w:rsid w:val="00155E69"/>
    <w:rsid w:val="001571B1"/>
    <w:rsid w:val="00161839"/>
    <w:rsid w:val="001619C4"/>
    <w:rsid w:val="00163DEE"/>
    <w:rsid w:val="00164374"/>
    <w:rsid w:val="00175C14"/>
    <w:rsid w:val="0017646F"/>
    <w:rsid w:val="00183395"/>
    <w:rsid w:val="0018342F"/>
    <w:rsid w:val="00183F8E"/>
    <w:rsid w:val="00185974"/>
    <w:rsid w:val="001909E5"/>
    <w:rsid w:val="00192469"/>
    <w:rsid w:val="00196C46"/>
    <w:rsid w:val="001A3447"/>
    <w:rsid w:val="001A474A"/>
    <w:rsid w:val="001A7260"/>
    <w:rsid w:val="001B02FD"/>
    <w:rsid w:val="001B588B"/>
    <w:rsid w:val="001C2F02"/>
    <w:rsid w:val="001C42A9"/>
    <w:rsid w:val="001D2BF2"/>
    <w:rsid w:val="001D6850"/>
    <w:rsid w:val="001E0B03"/>
    <w:rsid w:val="001F20E9"/>
    <w:rsid w:val="00204DD5"/>
    <w:rsid w:val="00205790"/>
    <w:rsid w:val="00207AA1"/>
    <w:rsid w:val="00212416"/>
    <w:rsid w:val="00226335"/>
    <w:rsid w:val="00232370"/>
    <w:rsid w:val="002359D3"/>
    <w:rsid w:val="00236B67"/>
    <w:rsid w:val="00243100"/>
    <w:rsid w:val="00252392"/>
    <w:rsid w:val="00252DD1"/>
    <w:rsid w:val="0026021C"/>
    <w:rsid w:val="00260F55"/>
    <w:rsid w:val="00265982"/>
    <w:rsid w:val="0027344C"/>
    <w:rsid w:val="00274947"/>
    <w:rsid w:val="00274CF8"/>
    <w:rsid w:val="0027522A"/>
    <w:rsid w:val="00277091"/>
    <w:rsid w:val="00283E2F"/>
    <w:rsid w:val="00284639"/>
    <w:rsid w:val="00284C60"/>
    <w:rsid w:val="00287760"/>
    <w:rsid w:val="00297D9D"/>
    <w:rsid w:val="002A0BDA"/>
    <w:rsid w:val="002A2829"/>
    <w:rsid w:val="002A484E"/>
    <w:rsid w:val="002B466E"/>
    <w:rsid w:val="002B54FB"/>
    <w:rsid w:val="002C242C"/>
    <w:rsid w:val="002C3CDB"/>
    <w:rsid w:val="002C4B94"/>
    <w:rsid w:val="002C6A56"/>
    <w:rsid w:val="002D2AC3"/>
    <w:rsid w:val="002D326D"/>
    <w:rsid w:val="002D6FF1"/>
    <w:rsid w:val="002E0735"/>
    <w:rsid w:val="002E1F73"/>
    <w:rsid w:val="002E6023"/>
    <w:rsid w:val="002F665A"/>
    <w:rsid w:val="00305BE0"/>
    <w:rsid w:val="00310BA3"/>
    <w:rsid w:val="00310E7E"/>
    <w:rsid w:val="003127C6"/>
    <w:rsid w:val="003144C8"/>
    <w:rsid w:val="00321C5B"/>
    <w:rsid w:val="003252B7"/>
    <w:rsid w:val="003274E2"/>
    <w:rsid w:val="003311C1"/>
    <w:rsid w:val="003313FD"/>
    <w:rsid w:val="00332BE0"/>
    <w:rsid w:val="003363F6"/>
    <w:rsid w:val="00336DB4"/>
    <w:rsid w:val="00340513"/>
    <w:rsid w:val="0034103E"/>
    <w:rsid w:val="003434F0"/>
    <w:rsid w:val="00343933"/>
    <w:rsid w:val="00345B1E"/>
    <w:rsid w:val="00350647"/>
    <w:rsid w:val="0035401F"/>
    <w:rsid w:val="00354AE3"/>
    <w:rsid w:val="003569CD"/>
    <w:rsid w:val="00373705"/>
    <w:rsid w:val="0037374B"/>
    <w:rsid w:val="00374174"/>
    <w:rsid w:val="003750BD"/>
    <w:rsid w:val="003819CC"/>
    <w:rsid w:val="0038650E"/>
    <w:rsid w:val="003A202B"/>
    <w:rsid w:val="003A3A02"/>
    <w:rsid w:val="003A480E"/>
    <w:rsid w:val="003A6603"/>
    <w:rsid w:val="003A6B86"/>
    <w:rsid w:val="003B421F"/>
    <w:rsid w:val="003B4352"/>
    <w:rsid w:val="003B5CD3"/>
    <w:rsid w:val="003B6541"/>
    <w:rsid w:val="003B7A27"/>
    <w:rsid w:val="003C66CB"/>
    <w:rsid w:val="003C7C2E"/>
    <w:rsid w:val="003D327F"/>
    <w:rsid w:val="003D35A8"/>
    <w:rsid w:val="003E07BB"/>
    <w:rsid w:val="003E2240"/>
    <w:rsid w:val="003F477F"/>
    <w:rsid w:val="003F75A7"/>
    <w:rsid w:val="0040402A"/>
    <w:rsid w:val="00406864"/>
    <w:rsid w:val="00407854"/>
    <w:rsid w:val="00411021"/>
    <w:rsid w:val="00415DF0"/>
    <w:rsid w:val="004255D8"/>
    <w:rsid w:val="0042679D"/>
    <w:rsid w:val="00427B1F"/>
    <w:rsid w:val="0043635B"/>
    <w:rsid w:val="00436617"/>
    <w:rsid w:val="00437221"/>
    <w:rsid w:val="0045017F"/>
    <w:rsid w:val="00457459"/>
    <w:rsid w:val="004835B2"/>
    <w:rsid w:val="00485EE6"/>
    <w:rsid w:val="0048681E"/>
    <w:rsid w:val="004878D0"/>
    <w:rsid w:val="00493B7E"/>
    <w:rsid w:val="00493D1F"/>
    <w:rsid w:val="004A106F"/>
    <w:rsid w:val="004A4EEF"/>
    <w:rsid w:val="004B4737"/>
    <w:rsid w:val="004C060C"/>
    <w:rsid w:val="004C550F"/>
    <w:rsid w:val="004C5E43"/>
    <w:rsid w:val="004E20F5"/>
    <w:rsid w:val="004E4B84"/>
    <w:rsid w:val="004E6066"/>
    <w:rsid w:val="004F3C04"/>
    <w:rsid w:val="004F412F"/>
    <w:rsid w:val="004F4BE8"/>
    <w:rsid w:val="0050679A"/>
    <w:rsid w:val="00513352"/>
    <w:rsid w:val="005165C1"/>
    <w:rsid w:val="00517460"/>
    <w:rsid w:val="00517E4E"/>
    <w:rsid w:val="00522A18"/>
    <w:rsid w:val="00522F66"/>
    <w:rsid w:val="0052427D"/>
    <w:rsid w:val="005423B1"/>
    <w:rsid w:val="00544588"/>
    <w:rsid w:val="005461A7"/>
    <w:rsid w:val="00547235"/>
    <w:rsid w:val="00547ADF"/>
    <w:rsid w:val="00547E31"/>
    <w:rsid w:val="005535FB"/>
    <w:rsid w:val="00561B8E"/>
    <w:rsid w:val="005673A0"/>
    <w:rsid w:val="00567B33"/>
    <w:rsid w:val="00571E0B"/>
    <w:rsid w:val="005822DD"/>
    <w:rsid w:val="005830CD"/>
    <w:rsid w:val="00583E68"/>
    <w:rsid w:val="00585D90"/>
    <w:rsid w:val="00590AE4"/>
    <w:rsid w:val="00592935"/>
    <w:rsid w:val="00594AED"/>
    <w:rsid w:val="0059757E"/>
    <w:rsid w:val="005A2754"/>
    <w:rsid w:val="005A4493"/>
    <w:rsid w:val="005A5BB1"/>
    <w:rsid w:val="005A667B"/>
    <w:rsid w:val="005A791C"/>
    <w:rsid w:val="005B3AB6"/>
    <w:rsid w:val="005B6B9F"/>
    <w:rsid w:val="005B7F2A"/>
    <w:rsid w:val="005C09F6"/>
    <w:rsid w:val="005C24F2"/>
    <w:rsid w:val="005C6C28"/>
    <w:rsid w:val="005D0C2C"/>
    <w:rsid w:val="005D2408"/>
    <w:rsid w:val="005D488D"/>
    <w:rsid w:val="005E1C64"/>
    <w:rsid w:val="005E27CA"/>
    <w:rsid w:val="005E4C6A"/>
    <w:rsid w:val="005F0A11"/>
    <w:rsid w:val="006009D7"/>
    <w:rsid w:val="0060377D"/>
    <w:rsid w:val="00612BD3"/>
    <w:rsid w:val="00612BE5"/>
    <w:rsid w:val="00613573"/>
    <w:rsid w:val="00614DD1"/>
    <w:rsid w:val="00620460"/>
    <w:rsid w:val="00621E4F"/>
    <w:rsid w:val="006340B2"/>
    <w:rsid w:val="006369C7"/>
    <w:rsid w:val="00641DE3"/>
    <w:rsid w:val="00642ACE"/>
    <w:rsid w:val="00644FC6"/>
    <w:rsid w:val="00650701"/>
    <w:rsid w:val="00653793"/>
    <w:rsid w:val="00656BF6"/>
    <w:rsid w:val="00657E2C"/>
    <w:rsid w:val="00661EB3"/>
    <w:rsid w:val="00664A2F"/>
    <w:rsid w:val="0067275F"/>
    <w:rsid w:val="00680442"/>
    <w:rsid w:val="00680E33"/>
    <w:rsid w:val="006814A6"/>
    <w:rsid w:val="0068784C"/>
    <w:rsid w:val="006905BA"/>
    <w:rsid w:val="00691744"/>
    <w:rsid w:val="006959E4"/>
    <w:rsid w:val="0069628D"/>
    <w:rsid w:val="006A7A1C"/>
    <w:rsid w:val="006B0088"/>
    <w:rsid w:val="006B0FBD"/>
    <w:rsid w:val="006B34B0"/>
    <w:rsid w:val="006B71FA"/>
    <w:rsid w:val="006B7FB6"/>
    <w:rsid w:val="006C0009"/>
    <w:rsid w:val="006C3F06"/>
    <w:rsid w:val="006D2AD9"/>
    <w:rsid w:val="006E0947"/>
    <w:rsid w:val="006E7F78"/>
    <w:rsid w:val="006F6D06"/>
    <w:rsid w:val="00701489"/>
    <w:rsid w:val="00706837"/>
    <w:rsid w:val="00706FE6"/>
    <w:rsid w:val="0070700C"/>
    <w:rsid w:val="00720AF8"/>
    <w:rsid w:val="00723F37"/>
    <w:rsid w:val="007276CC"/>
    <w:rsid w:val="00727E07"/>
    <w:rsid w:val="00731B6F"/>
    <w:rsid w:val="00740820"/>
    <w:rsid w:val="0074186A"/>
    <w:rsid w:val="007516E6"/>
    <w:rsid w:val="00753396"/>
    <w:rsid w:val="00753783"/>
    <w:rsid w:val="00754EA2"/>
    <w:rsid w:val="00763F0E"/>
    <w:rsid w:val="00771983"/>
    <w:rsid w:val="0077397A"/>
    <w:rsid w:val="007742F4"/>
    <w:rsid w:val="00775757"/>
    <w:rsid w:val="0077697A"/>
    <w:rsid w:val="00777813"/>
    <w:rsid w:val="00782172"/>
    <w:rsid w:val="00784A0B"/>
    <w:rsid w:val="00784F35"/>
    <w:rsid w:val="007922B9"/>
    <w:rsid w:val="00793B07"/>
    <w:rsid w:val="007A08EC"/>
    <w:rsid w:val="007A39C7"/>
    <w:rsid w:val="007A453E"/>
    <w:rsid w:val="007A4A41"/>
    <w:rsid w:val="007A4FA7"/>
    <w:rsid w:val="007A60ED"/>
    <w:rsid w:val="007A63FA"/>
    <w:rsid w:val="007A6FD1"/>
    <w:rsid w:val="007B28CB"/>
    <w:rsid w:val="007B6A03"/>
    <w:rsid w:val="007D20EE"/>
    <w:rsid w:val="007D5C33"/>
    <w:rsid w:val="007E2104"/>
    <w:rsid w:val="007E429F"/>
    <w:rsid w:val="007E473E"/>
    <w:rsid w:val="007E5E7E"/>
    <w:rsid w:val="0080107E"/>
    <w:rsid w:val="008031AC"/>
    <w:rsid w:val="00805EEA"/>
    <w:rsid w:val="008110B5"/>
    <w:rsid w:val="00812259"/>
    <w:rsid w:val="00816A0F"/>
    <w:rsid w:val="0083581E"/>
    <w:rsid w:val="00835A72"/>
    <w:rsid w:val="0083719C"/>
    <w:rsid w:val="00847436"/>
    <w:rsid w:val="00852BF4"/>
    <w:rsid w:val="00855FAF"/>
    <w:rsid w:val="00860A4E"/>
    <w:rsid w:val="00861AF5"/>
    <w:rsid w:val="0088087C"/>
    <w:rsid w:val="00882B7E"/>
    <w:rsid w:val="008832FC"/>
    <w:rsid w:val="00883FCA"/>
    <w:rsid w:val="00885FF8"/>
    <w:rsid w:val="0089249D"/>
    <w:rsid w:val="00894098"/>
    <w:rsid w:val="008A49E1"/>
    <w:rsid w:val="008A5AED"/>
    <w:rsid w:val="008B1E8F"/>
    <w:rsid w:val="008B5175"/>
    <w:rsid w:val="008B5C6C"/>
    <w:rsid w:val="008C022A"/>
    <w:rsid w:val="008C1C55"/>
    <w:rsid w:val="008C2214"/>
    <w:rsid w:val="008C38AF"/>
    <w:rsid w:val="008D489F"/>
    <w:rsid w:val="008D5B49"/>
    <w:rsid w:val="008D7A29"/>
    <w:rsid w:val="008E5E4E"/>
    <w:rsid w:val="008E743D"/>
    <w:rsid w:val="008F44D2"/>
    <w:rsid w:val="008F539D"/>
    <w:rsid w:val="008F5DC3"/>
    <w:rsid w:val="00900D57"/>
    <w:rsid w:val="00903479"/>
    <w:rsid w:val="00917193"/>
    <w:rsid w:val="00922CAC"/>
    <w:rsid w:val="009355EA"/>
    <w:rsid w:val="009457C6"/>
    <w:rsid w:val="00946E39"/>
    <w:rsid w:val="00954B2F"/>
    <w:rsid w:val="0095662C"/>
    <w:rsid w:val="009575C3"/>
    <w:rsid w:val="009577E7"/>
    <w:rsid w:val="00957D67"/>
    <w:rsid w:val="009657A6"/>
    <w:rsid w:val="00965CF8"/>
    <w:rsid w:val="009751D9"/>
    <w:rsid w:val="0097706D"/>
    <w:rsid w:val="0097784B"/>
    <w:rsid w:val="0098126E"/>
    <w:rsid w:val="00981950"/>
    <w:rsid w:val="00981F51"/>
    <w:rsid w:val="00991046"/>
    <w:rsid w:val="00991264"/>
    <w:rsid w:val="00993337"/>
    <w:rsid w:val="009957DF"/>
    <w:rsid w:val="00996469"/>
    <w:rsid w:val="00996ECF"/>
    <w:rsid w:val="009B078E"/>
    <w:rsid w:val="009B2B8A"/>
    <w:rsid w:val="009B7280"/>
    <w:rsid w:val="009C3017"/>
    <w:rsid w:val="009C39AD"/>
    <w:rsid w:val="009C5278"/>
    <w:rsid w:val="009C6278"/>
    <w:rsid w:val="009C716E"/>
    <w:rsid w:val="009C7A1B"/>
    <w:rsid w:val="009D10D8"/>
    <w:rsid w:val="009D1202"/>
    <w:rsid w:val="009D1288"/>
    <w:rsid w:val="009D2A4B"/>
    <w:rsid w:val="009D4194"/>
    <w:rsid w:val="009D596E"/>
    <w:rsid w:val="009D6FD3"/>
    <w:rsid w:val="009E298D"/>
    <w:rsid w:val="009F14FA"/>
    <w:rsid w:val="009F25CC"/>
    <w:rsid w:val="009F5F9A"/>
    <w:rsid w:val="009F6751"/>
    <w:rsid w:val="00A002F2"/>
    <w:rsid w:val="00A06323"/>
    <w:rsid w:val="00A07EB5"/>
    <w:rsid w:val="00A1758F"/>
    <w:rsid w:val="00A20046"/>
    <w:rsid w:val="00A24B3F"/>
    <w:rsid w:val="00A26861"/>
    <w:rsid w:val="00A27C82"/>
    <w:rsid w:val="00A313B7"/>
    <w:rsid w:val="00A378E3"/>
    <w:rsid w:val="00A41F08"/>
    <w:rsid w:val="00A42DB5"/>
    <w:rsid w:val="00A4544C"/>
    <w:rsid w:val="00A5257C"/>
    <w:rsid w:val="00A5479B"/>
    <w:rsid w:val="00A55387"/>
    <w:rsid w:val="00A575D6"/>
    <w:rsid w:val="00A62B9E"/>
    <w:rsid w:val="00A6403F"/>
    <w:rsid w:val="00A66FBC"/>
    <w:rsid w:val="00A7294C"/>
    <w:rsid w:val="00A7559C"/>
    <w:rsid w:val="00A7667B"/>
    <w:rsid w:val="00A802FA"/>
    <w:rsid w:val="00A81EC9"/>
    <w:rsid w:val="00A83E5C"/>
    <w:rsid w:val="00A87422"/>
    <w:rsid w:val="00A90757"/>
    <w:rsid w:val="00A9160D"/>
    <w:rsid w:val="00A9184E"/>
    <w:rsid w:val="00A91E23"/>
    <w:rsid w:val="00AA1B1D"/>
    <w:rsid w:val="00AA572E"/>
    <w:rsid w:val="00AA72B0"/>
    <w:rsid w:val="00AA7A48"/>
    <w:rsid w:val="00AB4E02"/>
    <w:rsid w:val="00AB64E3"/>
    <w:rsid w:val="00AC086C"/>
    <w:rsid w:val="00AC246B"/>
    <w:rsid w:val="00AD16C2"/>
    <w:rsid w:val="00AD385C"/>
    <w:rsid w:val="00AD6E1C"/>
    <w:rsid w:val="00AE0227"/>
    <w:rsid w:val="00AE2E8F"/>
    <w:rsid w:val="00AE489F"/>
    <w:rsid w:val="00AE63DB"/>
    <w:rsid w:val="00AE6B13"/>
    <w:rsid w:val="00AF4A22"/>
    <w:rsid w:val="00AF5808"/>
    <w:rsid w:val="00B01D3E"/>
    <w:rsid w:val="00B02422"/>
    <w:rsid w:val="00B03CE2"/>
    <w:rsid w:val="00B06F49"/>
    <w:rsid w:val="00B12B8F"/>
    <w:rsid w:val="00B143A2"/>
    <w:rsid w:val="00B149CE"/>
    <w:rsid w:val="00B16497"/>
    <w:rsid w:val="00B20406"/>
    <w:rsid w:val="00B24342"/>
    <w:rsid w:val="00B4191A"/>
    <w:rsid w:val="00B42D88"/>
    <w:rsid w:val="00B44905"/>
    <w:rsid w:val="00B4657C"/>
    <w:rsid w:val="00B51BCE"/>
    <w:rsid w:val="00B5425D"/>
    <w:rsid w:val="00B63538"/>
    <w:rsid w:val="00B6496A"/>
    <w:rsid w:val="00B661A6"/>
    <w:rsid w:val="00B66270"/>
    <w:rsid w:val="00B754EB"/>
    <w:rsid w:val="00B7744A"/>
    <w:rsid w:val="00B81094"/>
    <w:rsid w:val="00B8659E"/>
    <w:rsid w:val="00BA1766"/>
    <w:rsid w:val="00BA3CD3"/>
    <w:rsid w:val="00BB2424"/>
    <w:rsid w:val="00BC4537"/>
    <w:rsid w:val="00BC6604"/>
    <w:rsid w:val="00BD348D"/>
    <w:rsid w:val="00BD78EA"/>
    <w:rsid w:val="00BF6735"/>
    <w:rsid w:val="00BF7B88"/>
    <w:rsid w:val="00C04918"/>
    <w:rsid w:val="00C24F5A"/>
    <w:rsid w:val="00C31128"/>
    <w:rsid w:val="00C32447"/>
    <w:rsid w:val="00C327FC"/>
    <w:rsid w:val="00C37D84"/>
    <w:rsid w:val="00C41F5D"/>
    <w:rsid w:val="00C43733"/>
    <w:rsid w:val="00C4445A"/>
    <w:rsid w:val="00C51622"/>
    <w:rsid w:val="00C54608"/>
    <w:rsid w:val="00C54C79"/>
    <w:rsid w:val="00C6544B"/>
    <w:rsid w:val="00C66D41"/>
    <w:rsid w:val="00C67269"/>
    <w:rsid w:val="00C748AB"/>
    <w:rsid w:val="00C77037"/>
    <w:rsid w:val="00C8177B"/>
    <w:rsid w:val="00C819D8"/>
    <w:rsid w:val="00C83D0A"/>
    <w:rsid w:val="00C84D2F"/>
    <w:rsid w:val="00C856B6"/>
    <w:rsid w:val="00C90C8C"/>
    <w:rsid w:val="00C943E0"/>
    <w:rsid w:val="00C961AE"/>
    <w:rsid w:val="00CA12DA"/>
    <w:rsid w:val="00CA2028"/>
    <w:rsid w:val="00CA3617"/>
    <w:rsid w:val="00CB08A0"/>
    <w:rsid w:val="00CB540E"/>
    <w:rsid w:val="00CC55C8"/>
    <w:rsid w:val="00CD5BA6"/>
    <w:rsid w:val="00CD6B80"/>
    <w:rsid w:val="00CE0D9A"/>
    <w:rsid w:val="00CE25C6"/>
    <w:rsid w:val="00CE3329"/>
    <w:rsid w:val="00CE5B03"/>
    <w:rsid w:val="00CE6583"/>
    <w:rsid w:val="00CE6B4F"/>
    <w:rsid w:val="00CF110C"/>
    <w:rsid w:val="00CF1B1C"/>
    <w:rsid w:val="00CF2B74"/>
    <w:rsid w:val="00CF6889"/>
    <w:rsid w:val="00CF7238"/>
    <w:rsid w:val="00D0565A"/>
    <w:rsid w:val="00D05F32"/>
    <w:rsid w:val="00D14803"/>
    <w:rsid w:val="00D15D44"/>
    <w:rsid w:val="00D17238"/>
    <w:rsid w:val="00D26123"/>
    <w:rsid w:val="00D34F06"/>
    <w:rsid w:val="00D35327"/>
    <w:rsid w:val="00D41688"/>
    <w:rsid w:val="00D42BC3"/>
    <w:rsid w:val="00D43944"/>
    <w:rsid w:val="00D448C5"/>
    <w:rsid w:val="00D46AEE"/>
    <w:rsid w:val="00D56C19"/>
    <w:rsid w:val="00D60249"/>
    <w:rsid w:val="00D60D37"/>
    <w:rsid w:val="00D645A9"/>
    <w:rsid w:val="00D714A8"/>
    <w:rsid w:val="00D804DD"/>
    <w:rsid w:val="00D84CC4"/>
    <w:rsid w:val="00D967C0"/>
    <w:rsid w:val="00DA1606"/>
    <w:rsid w:val="00DA2065"/>
    <w:rsid w:val="00DA2307"/>
    <w:rsid w:val="00DA49A7"/>
    <w:rsid w:val="00DA7406"/>
    <w:rsid w:val="00DC5A14"/>
    <w:rsid w:val="00DD7D2E"/>
    <w:rsid w:val="00DE1CEA"/>
    <w:rsid w:val="00DE2404"/>
    <w:rsid w:val="00DE5A59"/>
    <w:rsid w:val="00DF10A5"/>
    <w:rsid w:val="00DF74DD"/>
    <w:rsid w:val="00E01FFE"/>
    <w:rsid w:val="00E02654"/>
    <w:rsid w:val="00E02A27"/>
    <w:rsid w:val="00E04F18"/>
    <w:rsid w:val="00E05D68"/>
    <w:rsid w:val="00E06DB3"/>
    <w:rsid w:val="00E26BD2"/>
    <w:rsid w:val="00E27323"/>
    <w:rsid w:val="00E30E63"/>
    <w:rsid w:val="00E32119"/>
    <w:rsid w:val="00E32442"/>
    <w:rsid w:val="00E36360"/>
    <w:rsid w:val="00E40B1E"/>
    <w:rsid w:val="00E42FBB"/>
    <w:rsid w:val="00E44DF3"/>
    <w:rsid w:val="00E5045B"/>
    <w:rsid w:val="00E50B6A"/>
    <w:rsid w:val="00E52745"/>
    <w:rsid w:val="00E56CAE"/>
    <w:rsid w:val="00E609BC"/>
    <w:rsid w:val="00E6305C"/>
    <w:rsid w:val="00E67609"/>
    <w:rsid w:val="00E7287A"/>
    <w:rsid w:val="00E72B75"/>
    <w:rsid w:val="00E76A43"/>
    <w:rsid w:val="00E8251F"/>
    <w:rsid w:val="00E83B72"/>
    <w:rsid w:val="00E85DBD"/>
    <w:rsid w:val="00E86E17"/>
    <w:rsid w:val="00E87E70"/>
    <w:rsid w:val="00E9260A"/>
    <w:rsid w:val="00E92FC4"/>
    <w:rsid w:val="00E96E42"/>
    <w:rsid w:val="00EA21F4"/>
    <w:rsid w:val="00EA61CA"/>
    <w:rsid w:val="00EB0649"/>
    <w:rsid w:val="00EB0C83"/>
    <w:rsid w:val="00EB3A62"/>
    <w:rsid w:val="00EB420B"/>
    <w:rsid w:val="00EC7A59"/>
    <w:rsid w:val="00ED553C"/>
    <w:rsid w:val="00EE2ADA"/>
    <w:rsid w:val="00EE31AE"/>
    <w:rsid w:val="00EE6D3E"/>
    <w:rsid w:val="00EF3518"/>
    <w:rsid w:val="00EF4B9F"/>
    <w:rsid w:val="00EF7F22"/>
    <w:rsid w:val="00EF7FB4"/>
    <w:rsid w:val="00F051F7"/>
    <w:rsid w:val="00F1082B"/>
    <w:rsid w:val="00F116D9"/>
    <w:rsid w:val="00F16EAB"/>
    <w:rsid w:val="00F24BA1"/>
    <w:rsid w:val="00F2611A"/>
    <w:rsid w:val="00F34A0B"/>
    <w:rsid w:val="00F51561"/>
    <w:rsid w:val="00F53438"/>
    <w:rsid w:val="00F63315"/>
    <w:rsid w:val="00F6418E"/>
    <w:rsid w:val="00F64B62"/>
    <w:rsid w:val="00F80E1E"/>
    <w:rsid w:val="00F84419"/>
    <w:rsid w:val="00F847E0"/>
    <w:rsid w:val="00F84877"/>
    <w:rsid w:val="00F928B5"/>
    <w:rsid w:val="00F930E0"/>
    <w:rsid w:val="00FA06A7"/>
    <w:rsid w:val="00FB5A02"/>
    <w:rsid w:val="00FB7730"/>
    <w:rsid w:val="00FC119F"/>
    <w:rsid w:val="00FD422F"/>
    <w:rsid w:val="00FD4D13"/>
    <w:rsid w:val="00FD6D8D"/>
    <w:rsid w:val="00FE3F19"/>
    <w:rsid w:val="00FE61CF"/>
    <w:rsid w:val="00FE7BEA"/>
    <w:rsid w:val="00FF0A97"/>
    <w:rsid w:val="00FF69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460"/>
    <w:pPr>
      <w:spacing w:after="0" w:line="240" w:lineRule="auto"/>
      <w:ind w:left="720" w:hanging="720"/>
    </w:pPr>
    <w:rPr>
      <w:rFonts w:ascii="Arial" w:eastAsia="Times New Roman" w:hAnsi="Arial" w:cs="Times New Roman"/>
      <w:szCs w:val="24"/>
      <w:lang w:eastAsia="en-AU"/>
    </w:rPr>
  </w:style>
  <w:style w:type="paragraph" w:styleId="Heading4">
    <w:name w:val="heading 4"/>
    <w:basedOn w:val="Normal"/>
    <w:next w:val="Normal"/>
    <w:link w:val="Heading4Char"/>
    <w:uiPriority w:val="9"/>
    <w:semiHidden/>
    <w:unhideWhenUsed/>
    <w:qFormat/>
    <w:rsid w:val="0062046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AC4">
    <w:name w:val="PBAC4"/>
    <w:basedOn w:val="Heading4"/>
    <w:link w:val="PBAC4Char"/>
    <w:qFormat/>
    <w:rsid w:val="00620460"/>
    <w:pPr>
      <w:keepLines w:val="0"/>
      <w:spacing w:before="240" w:after="60"/>
    </w:pPr>
    <w:rPr>
      <w:rFonts w:ascii="Arial" w:eastAsia="Times New Roman" w:hAnsi="Arial" w:cs="Times New Roman"/>
      <w:i w:val="0"/>
      <w:iCs w:val="0"/>
      <w:color w:val="auto"/>
      <w:sz w:val="28"/>
      <w:szCs w:val="28"/>
    </w:rPr>
  </w:style>
  <w:style w:type="character" w:customStyle="1" w:styleId="PBAC4Char">
    <w:name w:val="PBAC4 Char"/>
    <w:basedOn w:val="DefaultParagraphFont"/>
    <w:link w:val="PBAC4"/>
    <w:rsid w:val="00620460"/>
    <w:rPr>
      <w:rFonts w:ascii="Arial" w:eastAsia="Times New Roman" w:hAnsi="Arial" w:cs="Times New Roman"/>
      <w:b/>
      <w:bCs/>
      <w:sz w:val="28"/>
      <w:szCs w:val="28"/>
      <w:lang w:eastAsia="en-AU"/>
    </w:rPr>
  </w:style>
  <w:style w:type="paragraph" w:customStyle="1" w:styleId="Default">
    <w:name w:val="Default"/>
    <w:rsid w:val="00620460"/>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Heading4Char">
    <w:name w:val="Heading 4 Char"/>
    <w:basedOn w:val="DefaultParagraphFont"/>
    <w:link w:val="Heading4"/>
    <w:uiPriority w:val="9"/>
    <w:semiHidden/>
    <w:rsid w:val="00620460"/>
    <w:rPr>
      <w:rFonts w:asciiTheme="majorHAnsi" w:eastAsiaTheme="majorEastAsia" w:hAnsiTheme="majorHAnsi" w:cstheme="majorBidi"/>
      <w:b/>
      <w:bCs/>
      <w:i/>
      <w:iCs/>
      <w:color w:val="4F81BD" w:themeColor="accent1"/>
      <w:szCs w:val="24"/>
      <w:lang w:eastAsia="en-AU"/>
    </w:rPr>
  </w:style>
  <w:style w:type="paragraph" w:styleId="Header">
    <w:name w:val="header"/>
    <w:basedOn w:val="Normal"/>
    <w:link w:val="HeaderChar"/>
    <w:uiPriority w:val="99"/>
    <w:unhideWhenUsed/>
    <w:rsid w:val="00620460"/>
    <w:pPr>
      <w:tabs>
        <w:tab w:val="center" w:pos="4513"/>
        <w:tab w:val="right" w:pos="9026"/>
      </w:tabs>
    </w:pPr>
  </w:style>
  <w:style w:type="character" w:customStyle="1" w:styleId="HeaderChar">
    <w:name w:val="Header Char"/>
    <w:basedOn w:val="DefaultParagraphFont"/>
    <w:link w:val="Header"/>
    <w:uiPriority w:val="99"/>
    <w:rsid w:val="00620460"/>
    <w:rPr>
      <w:rFonts w:ascii="Arial" w:eastAsia="Times New Roman" w:hAnsi="Arial" w:cs="Times New Roman"/>
      <w:szCs w:val="24"/>
      <w:lang w:eastAsia="en-AU"/>
    </w:rPr>
  </w:style>
  <w:style w:type="paragraph" w:styleId="Footer">
    <w:name w:val="footer"/>
    <w:basedOn w:val="Normal"/>
    <w:link w:val="FooterChar"/>
    <w:uiPriority w:val="99"/>
    <w:unhideWhenUsed/>
    <w:rsid w:val="00620460"/>
    <w:pPr>
      <w:tabs>
        <w:tab w:val="center" w:pos="4513"/>
        <w:tab w:val="right" w:pos="9026"/>
      </w:tabs>
    </w:pPr>
  </w:style>
  <w:style w:type="character" w:customStyle="1" w:styleId="FooterChar">
    <w:name w:val="Footer Char"/>
    <w:basedOn w:val="DefaultParagraphFont"/>
    <w:link w:val="Footer"/>
    <w:uiPriority w:val="99"/>
    <w:rsid w:val="00620460"/>
    <w:rPr>
      <w:rFonts w:ascii="Arial" w:eastAsia="Times New Roman" w:hAnsi="Arial" w:cs="Times New Roman"/>
      <w:szCs w:val="24"/>
      <w:lang w:eastAsia="en-AU"/>
    </w:rPr>
  </w:style>
  <w:style w:type="paragraph" w:styleId="NoSpacing">
    <w:name w:val="No Spacing"/>
    <w:uiPriority w:val="1"/>
    <w:qFormat/>
    <w:rsid w:val="00B01D3E"/>
    <w:pPr>
      <w:spacing w:after="0" w:line="240" w:lineRule="auto"/>
    </w:pPr>
    <w:rPr>
      <w:rFonts w:eastAsiaTheme="minorEastAsia"/>
      <w:sz w:val="24"/>
      <w:szCs w:val="24"/>
      <w:lang w:eastAsia="en-AU"/>
    </w:rPr>
  </w:style>
  <w:style w:type="paragraph" w:styleId="ListParagraph">
    <w:name w:val="List Paragraph"/>
    <w:basedOn w:val="Normal"/>
    <w:link w:val="ListParagraphChar"/>
    <w:uiPriority w:val="34"/>
    <w:qFormat/>
    <w:rsid w:val="00B01D3E"/>
    <w:pPr>
      <w:spacing w:after="200"/>
      <w:ind w:firstLine="0"/>
      <w:contextualSpacing/>
    </w:pPr>
    <w:rPr>
      <w:rFonts w:asciiTheme="minorHAnsi" w:eastAsiaTheme="minorEastAsia" w:hAnsiTheme="minorHAnsi" w:cstheme="minorBidi"/>
      <w:sz w:val="24"/>
    </w:rPr>
  </w:style>
  <w:style w:type="character" w:customStyle="1" w:styleId="ListParagraphChar">
    <w:name w:val="List Paragraph Char"/>
    <w:link w:val="ListParagraph"/>
    <w:uiPriority w:val="34"/>
    <w:locked/>
    <w:rsid w:val="00B01D3E"/>
    <w:rPr>
      <w:rFonts w:eastAsiaTheme="minorEastAsia"/>
      <w:sz w:val="24"/>
      <w:szCs w:val="24"/>
      <w:lang w:eastAsia="en-AU"/>
    </w:rPr>
  </w:style>
  <w:style w:type="paragraph" w:styleId="CommentText">
    <w:name w:val="annotation text"/>
    <w:basedOn w:val="Normal"/>
    <w:link w:val="CommentTextChar"/>
    <w:uiPriority w:val="99"/>
    <w:semiHidden/>
    <w:unhideWhenUsed/>
    <w:rsid w:val="00590AE4"/>
    <w:rPr>
      <w:sz w:val="20"/>
      <w:szCs w:val="20"/>
    </w:rPr>
  </w:style>
  <w:style w:type="character" w:customStyle="1" w:styleId="CommentTextChar">
    <w:name w:val="Comment Text Char"/>
    <w:basedOn w:val="DefaultParagraphFont"/>
    <w:link w:val="CommentText"/>
    <w:uiPriority w:val="99"/>
    <w:semiHidden/>
    <w:rsid w:val="00590AE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90AE4"/>
    <w:pPr>
      <w:spacing w:after="200"/>
      <w:ind w:left="0" w:firstLine="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90AE4"/>
    <w:rPr>
      <w:rFonts w:ascii="Arial" w:eastAsiaTheme="minorEastAsia" w:hAnsi="Arial" w:cs="Times New Roman"/>
      <w:b/>
      <w:bCs/>
      <w:sz w:val="20"/>
      <w:szCs w:val="20"/>
      <w:lang w:eastAsia="en-AU"/>
    </w:rPr>
  </w:style>
  <w:style w:type="character" w:styleId="Emphasis">
    <w:name w:val="Emphasis"/>
    <w:basedOn w:val="DefaultParagraphFont"/>
    <w:uiPriority w:val="20"/>
    <w:qFormat/>
    <w:rsid w:val="00B06F49"/>
    <w:rPr>
      <w:i/>
      <w:iCs/>
    </w:rPr>
  </w:style>
  <w:style w:type="character" w:styleId="CommentReference">
    <w:name w:val="annotation reference"/>
    <w:basedOn w:val="DefaultParagraphFont"/>
    <w:uiPriority w:val="99"/>
    <w:semiHidden/>
    <w:unhideWhenUsed/>
    <w:rsid w:val="00664A2F"/>
    <w:rPr>
      <w:sz w:val="16"/>
      <w:szCs w:val="16"/>
    </w:rPr>
  </w:style>
  <w:style w:type="paragraph" w:styleId="BalloonText">
    <w:name w:val="Balloon Text"/>
    <w:basedOn w:val="Normal"/>
    <w:link w:val="BalloonTextChar"/>
    <w:uiPriority w:val="99"/>
    <w:semiHidden/>
    <w:unhideWhenUsed/>
    <w:rsid w:val="00664A2F"/>
    <w:rPr>
      <w:rFonts w:ascii="Tahoma" w:hAnsi="Tahoma" w:cs="Tahoma"/>
      <w:sz w:val="16"/>
      <w:szCs w:val="16"/>
    </w:rPr>
  </w:style>
  <w:style w:type="character" w:customStyle="1" w:styleId="BalloonTextChar">
    <w:name w:val="Balloon Text Char"/>
    <w:basedOn w:val="DefaultParagraphFont"/>
    <w:link w:val="BalloonText"/>
    <w:uiPriority w:val="99"/>
    <w:semiHidden/>
    <w:rsid w:val="00664A2F"/>
    <w:rPr>
      <w:rFonts w:ascii="Tahoma" w:eastAsia="Times New Roman" w:hAnsi="Tahoma" w:cs="Tahoma"/>
      <w:sz w:val="16"/>
      <w:szCs w:val="16"/>
      <w:lang w:eastAsia="en-AU"/>
    </w:rPr>
  </w:style>
  <w:style w:type="paragraph" w:styleId="Revision">
    <w:name w:val="Revision"/>
    <w:hidden/>
    <w:uiPriority w:val="99"/>
    <w:semiHidden/>
    <w:rsid w:val="004835B2"/>
    <w:pPr>
      <w:spacing w:after="0" w:line="240" w:lineRule="auto"/>
    </w:pPr>
    <w:rPr>
      <w:rFonts w:ascii="Arial" w:eastAsia="Times New Roman" w:hAnsi="Arial" w:cs="Times New Roman"/>
      <w:szCs w:val="24"/>
      <w:lang w:eastAsia="en-AU"/>
    </w:rPr>
  </w:style>
  <w:style w:type="paragraph" w:customStyle="1" w:styleId="PBACBullets">
    <w:name w:val="PBAC Bullets"/>
    <w:basedOn w:val="Normal"/>
    <w:qFormat/>
    <w:rsid w:val="00B02422"/>
    <w:pPr>
      <w:numPr>
        <w:numId w:val="28"/>
      </w:numPr>
      <w:spacing w:before="240" w:after="60"/>
      <w:ind w:left="357" w:hanging="357"/>
    </w:pPr>
    <w:rPr>
      <w:rFonts w:ascii="Calibri" w:eastAsia="Calibri" w:hAnsi="Calibri"/>
      <w:szCs w:val="22"/>
      <w:lang w:eastAsia="en-US"/>
    </w:rPr>
  </w:style>
  <w:style w:type="character" w:styleId="Hyperlink">
    <w:name w:val="Hyperlink"/>
    <w:basedOn w:val="DefaultParagraphFont"/>
    <w:unhideWhenUsed/>
    <w:rsid w:val="00CA3617"/>
    <w:rPr>
      <w:color w:val="0000FF" w:themeColor="hyperlink"/>
      <w:u w:val="single"/>
    </w:rPr>
  </w:style>
  <w:style w:type="character" w:styleId="FollowedHyperlink">
    <w:name w:val="FollowedHyperlink"/>
    <w:basedOn w:val="DefaultParagraphFont"/>
    <w:uiPriority w:val="99"/>
    <w:semiHidden/>
    <w:unhideWhenUsed/>
    <w:rsid w:val="00A5479B"/>
    <w:rPr>
      <w:color w:val="800080" w:themeColor="followedHyperlink"/>
      <w:u w:val="single"/>
    </w:rPr>
  </w:style>
  <w:style w:type="paragraph" w:styleId="FootnoteText">
    <w:name w:val="footnote text"/>
    <w:basedOn w:val="Normal"/>
    <w:link w:val="FootnoteTextChar"/>
    <w:semiHidden/>
    <w:unhideWhenUsed/>
    <w:rsid w:val="006B7FB6"/>
    <w:rPr>
      <w:sz w:val="20"/>
      <w:szCs w:val="20"/>
    </w:rPr>
  </w:style>
  <w:style w:type="character" w:customStyle="1" w:styleId="FootnoteTextChar">
    <w:name w:val="Footnote Text Char"/>
    <w:basedOn w:val="DefaultParagraphFont"/>
    <w:link w:val="FootnoteText"/>
    <w:semiHidden/>
    <w:rsid w:val="006B7FB6"/>
    <w:rPr>
      <w:rFonts w:ascii="Arial" w:eastAsia="Times New Roman" w:hAnsi="Arial" w:cs="Times New Roman"/>
      <w:sz w:val="20"/>
      <w:szCs w:val="20"/>
      <w:lang w:eastAsia="en-AU"/>
    </w:rPr>
  </w:style>
  <w:style w:type="character" w:styleId="FootnoteReference">
    <w:name w:val="footnote reference"/>
    <w:basedOn w:val="DefaultParagraphFont"/>
    <w:semiHidden/>
    <w:unhideWhenUsed/>
    <w:rsid w:val="006B7F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460"/>
    <w:pPr>
      <w:spacing w:after="0" w:line="240" w:lineRule="auto"/>
      <w:ind w:left="720" w:hanging="720"/>
    </w:pPr>
    <w:rPr>
      <w:rFonts w:ascii="Arial" w:eastAsia="Times New Roman" w:hAnsi="Arial" w:cs="Times New Roman"/>
      <w:szCs w:val="24"/>
      <w:lang w:eastAsia="en-AU"/>
    </w:rPr>
  </w:style>
  <w:style w:type="paragraph" w:styleId="Heading4">
    <w:name w:val="heading 4"/>
    <w:basedOn w:val="Normal"/>
    <w:next w:val="Normal"/>
    <w:link w:val="Heading4Char"/>
    <w:uiPriority w:val="9"/>
    <w:semiHidden/>
    <w:unhideWhenUsed/>
    <w:qFormat/>
    <w:rsid w:val="0062046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AC4">
    <w:name w:val="PBAC4"/>
    <w:basedOn w:val="Heading4"/>
    <w:link w:val="PBAC4Char"/>
    <w:qFormat/>
    <w:rsid w:val="00620460"/>
    <w:pPr>
      <w:keepLines w:val="0"/>
      <w:spacing w:before="240" w:after="60"/>
    </w:pPr>
    <w:rPr>
      <w:rFonts w:ascii="Arial" w:eastAsia="Times New Roman" w:hAnsi="Arial" w:cs="Times New Roman"/>
      <w:i w:val="0"/>
      <w:iCs w:val="0"/>
      <w:color w:val="auto"/>
      <w:sz w:val="28"/>
      <w:szCs w:val="28"/>
    </w:rPr>
  </w:style>
  <w:style w:type="character" w:customStyle="1" w:styleId="PBAC4Char">
    <w:name w:val="PBAC4 Char"/>
    <w:basedOn w:val="DefaultParagraphFont"/>
    <w:link w:val="PBAC4"/>
    <w:rsid w:val="00620460"/>
    <w:rPr>
      <w:rFonts w:ascii="Arial" w:eastAsia="Times New Roman" w:hAnsi="Arial" w:cs="Times New Roman"/>
      <w:b/>
      <w:bCs/>
      <w:sz w:val="28"/>
      <w:szCs w:val="28"/>
      <w:lang w:eastAsia="en-AU"/>
    </w:rPr>
  </w:style>
  <w:style w:type="paragraph" w:customStyle="1" w:styleId="Default">
    <w:name w:val="Default"/>
    <w:rsid w:val="00620460"/>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Heading4Char">
    <w:name w:val="Heading 4 Char"/>
    <w:basedOn w:val="DefaultParagraphFont"/>
    <w:link w:val="Heading4"/>
    <w:uiPriority w:val="9"/>
    <w:semiHidden/>
    <w:rsid w:val="00620460"/>
    <w:rPr>
      <w:rFonts w:asciiTheme="majorHAnsi" w:eastAsiaTheme="majorEastAsia" w:hAnsiTheme="majorHAnsi" w:cstheme="majorBidi"/>
      <w:b/>
      <w:bCs/>
      <w:i/>
      <w:iCs/>
      <w:color w:val="4F81BD" w:themeColor="accent1"/>
      <w:szCs w:val="24"/>
      <w:lang w:eastAsia="en-AU"/>
    </w:rPr>
  </w:style>
  <w:style w:type="paragraph" w:styleId="Header">
    <w:name w:val="header"/>
    <w:basedOn w:val="Normal"/>
    <w:link w:val="HeaderChar"/>
    <w:uiPriority w:val="99"/>
    <w:unhideWhenUsed/>
    <w:rsid w:val="00620460"/>
    <w:pPr>
      <w:tabs>
        <w:tab w:val="center" w:pos="4513"/>
        <w:tab w:val="right" w:pos="9026"/>
      </w:tabs>
    </w:pPr>
  </w:style>
  <w:style w:type="character" w:customStyle="1" w:styleId="HeaderChar">
    <w:name w:val="Header Char"/>
    <w:basedOn w:val="DefaultParagraphFont"/>
    <w:link w:val="Header"/>
    <w:uiPriority w:val="99"/>
    <w:rsid w:val="00620460"/>
    <w:rPr>
      <w:rFonts w:ascii="Arial" w:eastAsia="Times New Roman" w:hAnsi="Arial" w:cs="Times New Roman"/>
      <w:szCs w:val="24"/>
      <w:lang w:eastAsia="en-AU"/>
    </w:rPr>
  </w:style>
  <w:style w:type="paragraph" w:styleId="Footer">
    <w:name w:val="footer"/>
    <w:basedOn w:val="Normal"/>
    <w:link w:val="FooterChar"/>
    <w:uiPriority w:val="99"/>
    <w:unhideWhenUsed/>
    <w:rsid w:val="00620460"/>
    <w:pPr>
      <w:tabs>
        <w:tab w:val="center" w:pos="4513"/>
        <w:tab w:val="right" w:pos="9026"/>
      </w:tabs>
    </w:pPr>
  </w:style>
  <w:style w:type="character" w:customStyle="1" w:styleId="FooterChar">
    <w:name w:val="Footer Char"/>
    <w:basedOn w:val="DefaultParagraphFont"/>
    <w:link w:val="Footer"/>
    <w:uiPriority w:val="99"/>
    <w:rsid w:val="00620460"/>
    <w:rPr>
      <w:rFonts w:ascii="Arial" w:eastAsia="Times New Roman" w:hAnsi="Arial" w:cs="Times New Roman"/>
      <w:szCs w:val="24"/>
      <w:lang w:eastAsia="en-AU"/>
    </w:rPr>
  </w:style>
  <w:style w:type="paragraph" w:styleId="NoSpacing">
    <w:name w:val="No Spacing"/>
    <w:uiPriority w:val="1"/>
    <w:qFormat/>
    <w:rsid w:val="00B01D3E"/>
    <w:pPr>
      <w:spacing w:after="0" w:line="240" w:lineRule="auto"/>
    </w:pPr>
    <w:rPr>
      <w:rFonts w:eastAsiaTheme="minorEastAsia"/>
      <w:sz w:val="24"/>
      <w:szCs w:val="24"/>
      <w:lang w:eastAsia="en-AU"/>
    </w:rPr>
  </w:style>
  <w:style w:type="paragraph" w:styleId="ListParagraph">
    <w:name w:val="List Paragraph"/>
    <w:basedOn w:val="Normal"/>
    <w:link w:val="ListParagraphChar"/>
    <w:uiPriority w:val="34"/>
    <w:qFormat/>
    <w:rsid w:val="00B01D3E"/>
    <w:pPr>
      <w:spacing w:after="200"/>
      <w:ind w:firstLine="0"/>
      <w:contextualSpacing/>
    </w:pPr>
    <w:rPr>
      <w:rFonts w:asciiTheme="minorHAnsi" w:eastAsiaTheme="minorEastAsia" w:hAnsiTheme="minorHAnsi" w:cstheme="minorBidi"/>
      <w:sz w:val="24"/>
    </w:rPr>
  </w:style>
  <w:style w:type="character" w:customStyle="1" w:styleId="ListParagraphChar">
    <w:name w:val="List Paragraph Char"/>
    <w:link w:val="ListParagraph"/>
    <w:uiPriority w:val="34"/>
    <w:locked/>
    <w:rsid w:val="00B01D3E"/>
    <w:rPr>
      <w:rFonts w:eastAsiaTheme="minorEastAsia"/>
      <w:sz w:val="24"/>
      <w:szCs w:val="24"/>
      <w:lang w:eastAsia="en-AU"/>
    </w:rPr>
  </w:style>
  <w:style w:type="paragraph" w:styleId="CommentText">
    <w:name w:val="annotation text"/>
    <w:basedOn w:val="Normal"/>
    <w:link w:val="CommentTextChar"/>
    <w:uiPriority w:val="99"/>
    <w:semiHidden/>
    <w:unhideWhenUsed/>
    <w:rsid w:val="00590AE4"/>
    <w:rPr>
      <w:sz w:val="20"/>
      <w:szCs w:val="20"/>
    </w:rPr>
  </w:style>
  <w:style w:type="character" w:customStyle="1" w:styleId="CommentTextChar">
    <w:name w:val="Comment Text Char"/>
    <w:basedOn w:val="DefaultParagraphFont"/>
    <w:link w:val="CommentText"/>
    <w:uiPriority w:val="99"/>
    <w:semiHidden/>
    <w:rsid w:val="00590AE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90AE4"/>
    <w:pPr>
      <w:spacing w:after="200"/>
      <w:ind w:left="0" w:firstLine="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90AE4"/>
    <w:rPr>
      <w:rFonts w:ascii="Arial" w:eastAsiaTheme="minorEastAsia" w:hAnsi="Arial" w:cs="Times New Roman"/>
      <w:b/>
      <w:bCs/>
      <w:sz w:val="20"/>
      <w:szCs w:val="20"/>
      <w:lang w:eastAsia="en-AU"/>
    </w:rPr>
  </w:style>
  <w:style w:type="character" w:styleId="Emphasis">
    <w:name w:val="Emphasis"/>
    <w:basedOn w:val="DefaultParagraphFont"/>
    <w:uiPriority w:val="20"/>
    <w:qFormat/>
    <w:rsid w:val="00B06F49"/>
    <w:rPr>
      <w:i/>
      <w:iCs/>
    </w:rPr>
  </w:style>
  <w:style w:type="character" w:styleId="CommentReference">
    <w:name w:val="annotation reference"/>
    <w:basedOn w:val="DefaultParagraphFont"/>
    <w:uiPriority w:val="99"/>
    <w:semiHidden/>
    <w:unhideWhenUsed/>
    <w:rsid w:val="00664A2F"/>
    <w:rPr>
      <w:sz w:val="16"/>
      <w:szCs w:val="16"/>
    </w:rPr>
  </w:style>
  <w:style w:type="paragraph" w:styleId="BalloonText">
    <w:name w:val="Balloon Text"/>
    <w:basedOn w:val="Normal"/>
    <w:link w:val="BalloonTextChar"/>
    <w:uiPriority w:val="99"/>
    <w:semiHidden/>
    <w:unhideWhenUsed/>
    <w:rsid w:val="00664A2F"/>
    <w:rPr>
      <w:rFonts w:ascii="Tahoma" w:hAnsi="Tahoma" w:cs="Tahoma"/>
      <w:sz w:val="16"/>
      <w:szCs w:val="16"/>
    </w:rPr>
  </w:style>
  <w:style w:type="character" w:customStyle="1" w:styleId="BalloonTextChar">
    <w:name w:val="Balloon Text Char"/>
    <w:basedOn w:val="DefaultParagraphFont"/>
    <w:link w:val="BalloonText"/>
    <w:uiPriority w:val="99"/>
    <w:semiHidden/>
    <w:rsid w:val="00664A2F"/>
    <w:rPr>
      <w:rFonts w:ascii="Tahoma" w:eastAsia="Times New Roman" w:hAnsi="Tahoma" w:cs="Tahoma"/>
      <w:sz w:val="16"/>
      <w:szCs w:val="16"/>
      <w:lang w:eastAsia="en-AU"/>
    </w:rPr>
  </w:style>
  <w:style w:type="paragraph" w:styleId="Revision">
    <w:name w:val="Revision"/>
    <w:hidden/>
    <w:uiPriority w:val="99"/>
    <w:semiHidden/>
    <w:rsid w:val="004835B2"/>
    <w:pPr>
      <w:spacing w:after="0" w:line="240" w:lineRule="auto"/>
    </w:pPr>
    <w:rPr>
      <w:rFonts w:ascii="Arial" w:eastAsia="Times New Roman" w:hAnsi="Arial" w:cs="Times New Roman"/>
      <w:szCs w:val="24"/>
      <w:lang w:eastAsia="en-AU"/>
    </w:rPr>
  </w:style>
  <w:style w:type="paragraph" w:customStyle="1" w:styleId="PBACBullets">
    <w:name w:val="PBAC Bullets"/>
    <w:basedOn w:val="Normal"/>
    <w:qFormat/>
    <w:rsid w:val="00B02422"/>
    <w:pPr>
      <w:numPr>
        <w:numId w:val="28"/>
      </w:numPr>
      <w:spacing w:before="240" w:after="60"/>
      <w:ind w:left="357" w:hanging="357"/>
    </w:pPr>
    <w:rPr>
      <w:rFonts w:ascii="Calibri" w:eastAsia="Calibri" w:hAnsi="Calibri"/>
      <w:szCs w:val="22"/>
      <w:lang w:eastAsia="en-US"/>
    </w:rPr>
  </w:style>
  <w:style w:type="character" w:styleId="Hyperlink">
    <w:name w:val="Hyperlink"/>
    <w:basedOn w:val="DefaultParagraphFont"/>
    <w:unhideWhenUsed/>
    <w:rsid w:val="00CA3617"/>
    <w:rPr>
      <w:color w:val="0000FF" w:themeColor="hyperlink"/>
      <w:u w:val="single"/>
    </w:rPr>
  </w:style>
  <w:style w:type="character" w:styleId="FollowedHyperlink">
    <w:name w:val="FollowedHyperlink"/>
    <w:basedOn w:val="DefaultParagraphFont"/>
    <w:uiPriority w:val="99"/>
    <w:semiHidden/>
    <w:unhideWhenUsed/>
    <w:rsid w:val="00A5479B"/>
    <w:rPr>
      <w:color w:val="800080" w:themeColor="followedHyperlink"/>
      <w:u w:val="single"/>
    </w:rPr>
  </w:style>
  <w:style w:type="paragraph" w:styleId="FootnoteText">
    <w:name w:val="footnote text"/>
    <w:basedOn w:val="Normal"/>
    <w:link w:val="FootnoteTextChar"/>
    <w:semiHidden/>
    <w:unhideWhenUsed/>
    <w:rsid w:val="006B7FB6"/>
    <w:rPr>
      <w:sz w:val="20"/>
      <w:szCs w:val="20"/>
    </w:rPr>
  </w:style>
  <w:style w:type="character" w:customStyle="1" w:styleId="FootnoteTextChar">
    <w:name w:val="Footnote Text Char"/>
    <w:basedOn w:val="DefaultParagraphFont"/>
    <w:link w:val="FootnoteText"/>
    <w:semiHidden/>
    <w:rsid w:val="006B7FB6"/>
    <w:rPr>
      <w:rFonts w:ascii="Arial" w:eastAsia="Times New Roman" w:hAnsi="Arial" w:cs="Times New Roman"/>
      <w:sz w:val="20"/>
      <w:szCs w:val="20"/>
      <w:lang w:eastAsia="en-AU"/>
    </w:rPr>
  </w:style>
  <w:style w:type="character" w:styleId="FootnoteReference">
    <w:name w:val="footnote reference"/>
    <w:basedOn w:val="DefaultParagraphFont"/>
    <w:semiHidden/>
    <w:unhideWhenUsed/>
    <w:rsid w:val="006B7F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82345">
      <w:bodyDiv w:val="1"/>
      <w:marLeft w:val="0"/>
      <w:marRight w:val="0"/>
      <w:marTop w:val="0"/>
      <w:marBottom w:val="0"/>
      <w:divBdr>
        <w:top w:val="none" w:sz="0" w:space="0" w:color="auto"/>
        <w:left w:val="none" w:sz="0" w:space="0" w:color="auto"/>
        <w:bottom w:val="none" w:sz="0" w:space="0" w:color="auto"/>
        <w:right w:val="none" w:sz="0" w:space="0" w:color="auto"/>
      </w:divBdr>
    </w:div>
    <w:div w:id="625429890">
      <w:bodyDiv w:val="1"/>
      <w:marLeft w:val="0"/>
      <w:marRight w:val="0"/>
      <w:marTop w:val="0"/>
      <w:marBottom w:val="0"/>
      <w:divBdr>
        <w:top w:val="none" w:sz="0" w:space="0" w:color="auto"/>
        <w:left w:val="none" w:sz="0" w:space="0" w:color="auto"/>
        <w:bottom w:val="none" w:sz="0" w:space="0" w:color="auto"/>
        <w:right w:val="none" w:sz="0" w:space="0" w:color="auto"/>
      </w:divBdr>
    </w:div>
    <w:div w:id="950016672">
      <w:bodyDiv w:val="1"/>
      <w:marLeft w:val="0"/>
      <w:marRight w:val="0"/>
      <w:marTop w:val="0"/>
      <w:marBottom w:val="0"/>
      <w:divBdr>
        <w:top w:val="none" w:sz="0" w:space="0" w:color="auto"/>
        <w:left w:val="none" w:sz="0" w:space="0" w:color="auto"/>
        <w:bottom w:val="none" w:sz="0" w:space="0" w:color="auto"/>
        <w:right w:val="none" w:sz="0" w:space="0" w:color="auto"/>
      </w:divBdr>
    </w:div>
    <w:div w:id="1234050382">
      <w:bodyDiv w:val="1"/>
      <w:marLeft w:val="0"/>
      <w:marRight w:val="0"/>
      <w:marTop w:val="0"/>
      <w:marBottom w:val="0"/>
      <w:divBdr>
        <w:top w:val="none" w:sz="0" w:space="0" w:color="auto"/>
        <w:left w:val="none" w:sz="0" w:space="0" w:color="auto"/>
        <w:bottom w:val="none" w:sz="0" w:space="0" w:color="auto"/>
        <w:right w:val="none" w:sz="0" w:space="0" w:color="auto"/>
      </w:divBdr>
      <w:divsChild>
        <w:div w:id="1644701617">
          <w:marLeft w:val="1166"/>
          <w:marRight w:val="0"/>
          <w:marTop w:val="134"/>
          <w:marBottom w:val="0"/>
          <w:divBdr>
            <w:top w:val="none" w:sz="0" w:space="0" w:color="auto"/>
            <w:left w:val="none" w:sz="0" w:space="0" w:color="auto"/>
            <w:bottom w:val="none" w:sz="0" w:space="0" w:color="auto"/>
            <w:right w:val="none" w:sz="0" w:space="0" w:color="auto"/>
          </w:divBdr>
        </w:div>
      </w:divsChild>
    </w:div>
    <w:div w:id="205180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bs.gov.au/info/industry/listing/elements/dusc-meetings/dos/"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publication-issue/medicines-safety-update-volume-7-number-1-february-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7B826-A9EF-4B24-8676-5B241A40B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2016-04-18T21:43:00Z</dcterms:created>
  <dcterms:modified xsi:type="dcterms:W3CDTF">2016-04-18T23:49:00Z</dcterms:modified>
</cp:coreProperties>
</file>