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A94" w:rsidRDefault="006F6A94" w:rsidP="00C33603">
      <w:pPr>
        <w:pStyle w:val="Heading1"/>
        <w:ind w:left="0" w:firstLine="0"/>
      </w:pPr>
      <w:r>
        <w:t>OTHER MATTERS</w:t>
      </w:r>
    </w:p>
    <w:p w:rsidR="00AD6C4E" w:rsidRPr="00AD6C4E" w:rsidRDefault="00AD6C4E" w:rsidP="00AD6C4E"/>
    <w:p w:rsidR="00B10F8B" w:rsidRPr="006F6A94" w:rsidRDefault="00C33603" w:rsidP="00C33603">
      <w:pPr>
        <w:pStyle w:val="Heading1"/>
        <w:ind w:left="0" w:firstLine="0"/>
      </w:pPr>
      <w:r w:rsidRPr="006F6A94">
        <w:t>FOLLITROPIN ALFA (</w:t>
      </w:r>
      <w:r w:rsidR="000C2672" w:rsidRPr="006F6A94">
        <w:t>GONAL-f®</w:t>
      </w:r>
      <w:r w:rsidRPr="006F6A94">
        <w:t xml:space="preserve">), Merck </w:t>
      </w:r>
      <w:proofErr w:type="spellStart"/>
      <w:r w:rsidRPr="006F6A94">
        <w:t>Serono</w:t>
      </w:r>
      <w:proofErr w:type="spellEnd"/>
      <w:r w:rsidRPr="006F6A94">
        <w:t xml:space="preserve"> Australia Pty </w:t>
      </w:r>
      <w:r w:rsidR="000C2672" w:rsidRPr="006F6A94">
        <w:t>Ltd</w:t>
      </w:r>
    </w:p>
    <w:p w:rsidR="00B771D0" w:rsidRPr="00AC01DF" w:rsidRDefault="00B771D0" w:rsidP="000C2672">
      <w:pPr>
        <w:rPr>
          <w:rFonts w:ascii="Arial" w:hAnsi="Arial"/>
          <w:b/>
          <w:sz w:val="28"/>
          <w:szCs w:val="28"/>
          <w:highlight w:val="yellow"/>
        </w:rPr>
      </w:pPr>
    </w:p>
    <w:p w:rsidR="009541A0" w:rsidRDefault="009541A0" w:rsidP="009541A0">
      <w:pPr>
        <w:pStyle w:val="ListParagraph"/>
        <w:numPr>
          <w:ilvl w:val="1"/>
          <w:numId w:val="1"/>
        </w:numPr>
        <w:jc w:val="both"/>
        <w:rPr>
          <w:rFonts w:ascii="Arial" w:hAnsi="Arial"/>
          <w:sz w:val="22"/>
          <w:szCs w:val="22"/>
        </w:rPr>
      </w:pPr>
      <w:r w:rsidRPr="009541A0">
        <w:rPr>
          <w:rFonts w:ascii="Arial" w:hAnsi="Arial"/>
          <w:sz w:val="22"/>
          <w:szCs w:val="22"/>
        </w:rPr>
        <w:t xml:space="preserve">The submission requested that </w:t>
      </w:r>
      <w:proofErr w:type="spellStart"/>
      <w:r w:rsidRPr="009541A0">
        <w:rPr>
          <w:rFonts w:ascii="Arial" w:hAnsi="Arial"/>
          <w:sz w:val="22"/>
          <w:szCs w:val="22"/>
        </w:rPr>
        <w:t>follitropin</w:t>
      </w:r>
      <w:proofErr w:type="spellEnd"/>
      <w:r w:rsidRPr="009541A0">
        <w:rPr>
          <w:rFonts w:ascii="Arial" w:hAnsi="Arial"/>
          <w:sz w:val="22"/>
          <w:szCs w:val="22"/>
        </w:rPr>
        <w:t xml:space="preserve"> </w:t>
      </w:r>
      <w:proofErr w:type="spellStart"/>
      <w:r w:rsidRPr="009541A0">
        <w:rPr>
          <w:rFonts w:ascii="Arial" w:hAnsi="Arial"/>
          <w:sz w:val="22"/>
          <w:szCs w:val="22"/>
        </w:rPr>
        <w:t>alfa</w:t>
      </w:r>
      <w:proofErr w:type="spellEnd"/>
      <w:r w:rsidRPr="009541A0">
        <w:rPr>
          <w:rFonts w:ascii="Arial" w:hAnsi="Arial"/>
          <w:sz w:val="22"/>
          <w:szCs w:val="22"/>
        </w:rPr>
        <w:t xml:space="preserve"> not be 'a-flagged' to </w:t>
      </w:r>
      <w:proofErr w:type="spellStart"/>
      <w:r w:rsidRPr="009541A0">
        <w:rPr>
          <w:rFonts w:ascii="Arial" w:hAnsi="Arial"/>
          <w:sz w:val="22"/>
          <w:szCs w:val="22"/>
        </w:rPr>
        <w:t>Bemfola</w:t>
      </w:r>
      <w:proofErr w:type="spellEnd"/>
      <w:r w:rsidRPr="009541A0">
        <w:rPr>
          <w:rFonts w:ascii="Arial" w:hAnsi="Arial"/>
          <w:sz w:val="22"/>
          <w:szCs w:val="22"/>
        </w:rPr>
        <w:t>® or any futu</w:t>
      </w:r>
      <w:r>
        <w:rPr>
          <w:rFonts w:ascii="Arial" w:hAnsi="Arial"/>
          <w:sz w:val="22"/>
          <w:szCs w:val="22"/>
        </w:rPr>
        <w:t xml:space="preserve">re </w:t>
      </w:r>
      <w:proofErr w:type="spellStart"/>
      <w:r>
        <w:rPr>
          <w:rFonts w:ascii="Arial" w:hAnsi="Arial"/>
          <w:sz w:val="22"/>
          <w:szCs w:val="22"/>
        </w:rPr>
        <w:t>follitropin</w:t>
      </w:r>
      <w:proofErr w:type="spellEnd"/>
      <w:r>
        <w:rPr>
          <w:rFonts w:ascii="Arial" w:hAnsi="Arial"/>
          <w:sz w:val="22"/>
          <w:szCs w:val="22"/>
        </w:rPr>
        <w:t xml:space="preserve"> </w:t>
      </w:r>
      <w:proofErr w:type="spellStart"/>
      <w:r>
        <w:rPr>
          <w:rFonts w:ascii="Arial" w:hAnsi="Arial"/>
          <w:sz w:val="22"/>
          <w:szCs w:val="22"/>
        </w:rPr>
        <w:t>alfa</w:t>
      </w:r>
      <w:proofErr w:type="spellEnd"/>
      <w:r>
        <w:rPr>
          <w:rFonts w:ascii="Arial" w:hAnsi="Arial"/>
          <w:sz w:val="22"/>
          <w:szCs w:val="22"/>
        </w:rPr>
        <w:t xml:space="preserve"> </w:t>
      </w:r>
      <w:proofErr w:type="spellStart"/>
      <w:r>
        <w:rPr>
          <w:rFonts w:ascii="Arial" w:hAnsi="Arial"/>
          <w:sz w:val="22"/>
          <w:szCs w:val="22"/>
        </w:rPr>
        <w:t>biosimilar</w:t>
      </w:r>
      <w:proofErr w:type="spellEnd"/>
      <w:r>
        <w:rPr>
          <w:rFonts w:ascii="Arial" w:hAnsi="Arial"/>
          <w:sz w:val="22"/>
          <w:szCs w:val="22"/>
        </w:rPr>
        <w:t>.</w:t>
      </w:r>
    </w:p>
    <w:p w:rsidR="009541A0" w:rsidRDefault="009541A0" w:rsidP="009541A0">
      <w:pPr>
        <w:pStyle w:val="ListParagraph"/>
        <w:jc w:val="both"/>
        <w:rPr>
          <w:rFonts w:ascii="Arial" w:hAnsi="Arial"/>
          <w:sz w:val="22"/>
          <w:szCs w:val="22"/>
        </w:rPr>
      </w:pPr>
    </w:p>
    <w:p w:rsidR="009541A0" w:rsidRPr="009541A0" w:rsidRDefault="009541A0" w:rsidP="009541A0">
      <w:pPr>
        <w:pStyle w:val="ListParagraph"/>
        <w:numPr>
          <w:ilvl w:val="1"/>
          <w:numId w:val="1"/>
        </w:numPr>
        <w:jc w:val="both"/>
        <w:rPr>
          <w:rFonts w:ascii="Arial" w:hAnsi="Arial"/>
          <w:sz w:val="22"/>
          <w:szCs w:val="22"/>
        </w:rPr>
      </w:pPr>
      <w:r>
        <w:rPr>
          <w:rFonts w:ascii="Arial" w:hAnsi="Arial"/>
          <w:sz w:val="22"/>
          <w:szCs w:val="22"/>
        </w:rPr>
        <w:t>The PBAC noted the</w:t>
      </w:r>
      <w:r w:rsidRPr="009541A0">
        <w:rPr>
          <w:rFonts w:ascii="Arial" w:hAnsi="Arial"/>
          <w:sz w:val="22"/>
          <w:szCs w:val="22"/>
        </w:rPr>
        <w:t xml:space="preserve"> submission as part of its consideration of </w:t>
      </w:r>
      <w:proofErr w:type="spellStart"/>
      <w:r w:rsidRPr="009541A0">
        <w:rPr>
          <w:rFonts w:ascii="Arial" w:hAnsi="Arial"/>
          <w:sz w:val="22"/>
          <w:szCs w:val="22"/>
        </w:rPr>
        <w:t>follitropin</w:t>
      </w:r>
      <w:proofErr w:type="spellEnd"/>
      <w:r w:rsidRPr="009541A0">
        <w:rPr>
          <w:rFonts w:ascii="Arial" w:hAnsi="Arial"/>
          <w:sz w:val="22"/>
          <w:szCs w:val="22"/>
        </w:rPr>
        <w:t xml:space="preserve"> </w:t>
      </w:r>
      <w:proofErr w:type="spellStart"/>
      <w:r w:rsidRPr="009541A0">
        <w:rPr>
          <w:rFonts w:ascii="Arial" w:hAnsi="Arial"/>
          <w:sz w:val="22"/>
          <w:szCs w:val="22"/>
        </w:rPr>
        <w:t>alfa</w:t>
      </w:r>
      <w:proofErr w:type="spellEnd"/>
      <w:r w:rsidRPr="009541A0">
        <w:rPr>
          <w:rFonts w:ascii="Arial" w:hAnsi="Arial"/>
          <w:sz w:val="22"/>
          <w:szCs w:val="22"/>
        </w:rPr>
        <w:t xml:space="preserve"> (</w:t>
      </w:r>
      <w:proofErr w:type="spellStart"/>
      <w:r w:rsidRPr="009541A0">
        <w:rPr>
          <w:rFonts w:ascii="Arial" w:hAnsi="Arial"/>
          <w:sz w:val="22"/>
          <w:szCs w:val="22"/>
        </w:rPr>
        <w:t>Bemfola</w:t>
      </w:r>
      <w:proofErr w:type="spellEnd"/>
      <w:r w:rsidRPr="009541A0">
        <w:rPr>
          <w:rFonts w:ascii="Arial" w:hAnsi="Arial"/>
          <w:sz w:val="22"/>
          <w:szCs w:val="22"/>
        </w:rPr>
        <w:t>).</w:t>
      </w:r>
    </w:p>
    <w:p w:rsidR="004D48CD" w:rsidRDefault="004D48CD" w:rsidP="000C2672">
      <w:pPr>
        <w:rPr>
          <w:rFonts w:ascii="Arial" w:hAnsi="Arial"/>
          <w:b/>
          <w:sz w:val="28"/>
          <w:szCs w:val="28"/>
        </w:rPr>
      </w:pPr>
    </w:p>
    <w:p w:rsidR="0090379E" w:rsidRDefault="00C33603" w:rsidP="00AC01DF">
      <w:pPr>
        <w:pStyle w:val="Heading1"/>
      </w:pPr>
      <w:r>
        <w:t>Correspondence</w:t>
      </w:r>
      <w:r w:rsidR="00B771D0" w:rsidRPr="00B771D0">
        <w:t xml:space="preserve"> from t</w:t>
      </w:r>
      <w:r w:rsidR="00C0275E">
        <w:t>he Pharmacy Guild of Australia</w:t>
      </w:r>
      <w:r w:rsidR="00B771D0" w:rsidRPr="00B771D0">
        <w:br/>
      </w:r>
    </w:p>
    <w:p w:rsidR="00E321A9" w:rsidRPr="00AC01DF" w:rsidRDefault="00B10F8B" w:rsidP="009541A0">
      <w:pPr>
        <w:pStyle w:val="Heading2"/>
        <w:numPr>
          <w:ilvl w:val="0"/>
          <w:numId w:val="20"/>
        </w:numPr>
      </w:pPr>
      <w:r w:rsidRPr="00AC01DF">
        <w:t>Purpose of Item</w:t>
      </w:r>
    </w:p>
    <w:p w:rsidR="00E321A9" w:rsidRPr="00E321A9" w:rsidRDefault="00E321A9" w:rsidP="00E321A9">
      <w:pPr>
        <w:pStyle w:val="ListParagraph"/>
        <w:jc w:val="both"/>
        <w:rPr>
          <w:rFonts w:ascii="Arial" w:hAnsi="Arial"/>
          <w:b/>
          <w:sz w:val="22"/>
          <w:szCs w:val="22"/>
        </w:rPr>
      </w:pPr>
    </w:p>
    <w:p w:rsidR="0098039D" w:rsidRPr="0098039D" w:rsidRDefault="0098039D" w:rsidP="0098039D">
      <w:pPr>
        <w:pStyle w:val="ListParagraph"/>
        <w:numPr>
          <w:ilvl w:val="1"/>
          <w:numId w:val="1"/>
        </w:numPr>
        <w:jc w:val="both"/>
        <w:rPr>
          <w:rFonts w:ascii="Arial" w:hAnsi="Arial"/>
          <w:b/>
          <w:sz w:val="22"/>
          <w:szCs w:val="22"/>
        </w:rPr>
      </w:pPr>
      <w:r>
        <w:rPr>
          <w:rFonts w:ascii="Arial" w:hAnsi="Arial"/>
          <w:sz w:val="22"/>
          <w:szCs w:val="22"/>
        </w:rPr>
        <w:t xml:space="preserve">The </w:t>
      </w:r>
      <w:r w:rsidRPr="0098039D">
        <w:rPr>
          <w:rFonts w:ascii="Arial" w:hAnsi="Arial"/>
          <w:sz w:val="22"/>
          <w:szCs w:val="22"/>
        </w:rPr>
        <w:t xml:space="preserve">Minister (delegate) requested that the PBAC provide advice on </w:t>
      </w:r>
      <w:r>
        <w:rPr>
          <w:rFonts w:ascii="Arial" w:hAnsi="Arial"/>
          <w:sz w:val="22"/>
          <w:szCs w:val="22"/>
        </w:rPr>
        <w:t xml:space="preserve">the following matter(s) </w:t>
      </w:r>
      <w:r w:rsidRPr="0098039D">
        <w:rPr>
          <w:rFonts w:ascii="Arial" w:hAnsi="Arial"/>
          <w:sz w:val="22"/>
          <w:szCs w:val="22"/>
        </w:rPr>
        <w:t xml:space="preserve">matters under section 101(3) of the </w:t>
      </w:r>
      <w:r w:rsidRPr="0098039D">
        <w:rPr>
          <w:rFonts w:ascii="Arial" w:hAnsi="Arial"/>
          <w:i/>
          <w:sz w:val="22"/>
          <w:szCs w:val="22"/>
        </w:rPr>
        <w:t>National Health Act, 1953</w:t>
      </w:r>
      <w:r>
        <w:rPr>
          <w:rFonts w:ascii="Arial" w:hAnsi="Arial"/>
          <w:i/>
          <w:sz w:val="22"/>
          <w:szCs w:val="22"/>
        </w:rPr>
        <w:t>:</w:t>
      </w:r>
    </w:p>
    <w:p w:rsidR="0098039D" w:rsidRPr="0098039D" w:rsidRDefault="0098039D" w:rsidP="003D4579">
      <w:pPr>
        <w:pStyle w:val="ListParagraph"/>
        <w:numPr>
          <w:ilvl w:val="0"/>
          <w:numId w:val="6"/>
        </w:numPr>
        <w:ind w:left="993" w:hanging="284"/>
        <w:jc w:val="both"/>
        <w:rPr>
          <w:rFonts w:ascii="Arial" w:hAnsi="Arial"/>
          <w:sz w:val="22"/>
          <w:szCs w:val="22"/>
        </w:rPr>
      </w:pPr>
      <w:r w:rsidRPr="0098039D">
        <w:rPr>
          <w:rFonts w:ascii="Arial" w:hAnsi="Arial"/>
          <w:sz w:val="22"/>
          <w:szCs w:val="22"/>
        </w:rPr>
        <w:t>Correspondence from The Pharmacy Guild of Australia (the Guild) to the PBAC Chair (dated 17 December 2015)</w:t>
      </w:r>
    </w:p>
    <w:p w:rsidR="0098039D" w:rsidRPr="00217A43" w:rsidRDefault="0098039D" w:rsidP="003D4579">
      <w:pPr>
        <w:pStyle w:val="ListParagraph"/>
        <w:numPr>
          <w:ilvl w:val="0"/>
          <w:numId w:val="6"/>
        </w:numPr>
        <w:ind w:left="993" w:hanging="284"/>
        <w:jc w:val="both"/>
        <w:rPr>
          <w:rFonts w:ascii="Arial" w:hAnsi="Arial"/>
          <w:sz w:val="22"/>
          <w:szCs w:val="22"/>
        </w:rPr>
      </w:pPr>
      <w:r w:rsidRPr="00217A43">
        <w:rPr>
          <w:rFonts w:ascii="Arial" w:hAnsi="Arial"/>
          <w:sz w:val="22"/>
          <w:szCs w:val="22"/>
        </w:rPr>
        <w:t xml:space="preserve">Correspondence from the Guild to the Minister for Health (dated </w:t>
      </w:r>
      <w:r>
        <w:rPr>
          <w:rFonts w:ascii="Arial" w:hAnsi="Arial"/>
          <w:sz w:val="22"/>
          <w:szCs w:val="22"/>
        </w:rPr>
        <w:t>25 January 2016</w:t>
      </w:r>
      <w:r w:rsidRPr="00217A43">
        <w:rPr>
          <w:rFonts w:ascii="Arial" w:hAnsi="Arial"/>
          <w:sz w:val="22"/>
          <w:szCs w:val="22"/>
        </w:rPr>
        <w:t>)</w:t>
      </w:r>
      <w:r>
        <w:rPr>
          <w:rFonts w:ascii="Arial" w:hAnsi="Arial"/>
          <w:sz w:val="22"/>
          <w:szCs w:val="22"/>
        </w:rPr>
        <w:t xml:space="preserve">; </w:t>
      </w:r>
    </w:p>
    <w:p w:rsidR="00B94970" w:rsidRPr="005A5BF7" w:rsidRDefault="00B94970" w:rsidP="00B94970">
      <w:pPr>
        <w:pStyle w:val="ListParagraph"/>
        <w:numPr>
          <w:ilvl w:val="0"/>
          <w:numId w:val="6"/>
        </w:numPr>
        <w:ind w:left="993" w:hanging="284"/>
        <w:jc w:val="both"/>
        <w:rPr>
          <w:rFonts w:ascii="Arial" w:hAnsi="Arial"/>
          <w:sz w:val="22"/>
          <w:szCs w:val="22"/>
        </w:rPr>
      </w:pPr>
      <w:r w:rsidRPr="00217A43">
        <w:rPr>
          <w:rFonts w:ascii="Arial" w:hAnsi="Arial"/>
          <w:sz w:val="22"/>
          <w:szCs w:val="22"/>
        </w:rPr>
        <w:t xml:space="preserve">Correspondence from </w:t>
      </w:r>
      <w:r>
        <w:rPr>
          <w:rFonts w:ascii="Arial" w:hAnsi="Arial"/>
          <w:sz w:val="22"/>
          <w:szCs w:val="22"/>
        </w:rPr>
        <w:t>The Consumer Health Forum</w:t>
      </w:r>
      <w:r w:rsidRPr="00217A43">
        <w:rPr>
          <w:rFonts w:ascii="Arial" w:hAnsi="Arial"/>
          <w:sz w:val="22"/>
          <w:szCs w:val="22"/>
        </w:rPr>
        <w:t xml:space="preserve"> </w:t>
      </w:r>
      <w:r>
        <w:rPr>
          <w:rFonts w:ascii="Arial" w:hAnsi="Arial"/>
          <w:sz w:val="22"/>
          <w:szCs w:val="22"/>
        </w:rPr>
        <w:t xml:space="preserve">to the PBAC Chair </w:t>
      </w:r>
      <w:r w:rsidRPr="00217A43">
        <w:rPr>
          <w:rFonts w:ascii="Arial" w:hAnsi="Arial"/>
          <w:sz w:val="22"/>
          <w:szCs w:val="22"/>
        </w:rPr>
        <w:t xml:space="preserve">(dated </w:t>
      </w:r>
      <w:r>
        <w:rPr>
          <w:rFonts w:ascii="Arial" w:hAnsi="Arial"/>
          <w:sz w:val="22"/>
          <w:szCs w:val="22"/>
        </w:rPr>
        <w:t xml:space="preserve">16 February </w:t>
      </w:r>
      <w:r w:rsidRPr="005A5BF7">
        <w:rPr>
          <w:rFonts w:ascii="Arial" w:hAnsi="Arial"/>
          <w:sz w:val="22"/>
          <w:szCs w:val="22"/>
        </w:rPr>
        <w:t>2016)</w:t>
      </w:r>
    </w:p>
    <w:p w:rsidR="0098039D" w:rsidRPr="00217A43" w:rsidRDefault="0098039D" w:rsidP="003D4579">
      <w:pPr>
        <w:pStyle w:val="ListParagraph"/>
        <w:numPr>
          <w:ilvl w:val="0"/>
          <w:numId w:val="6"/>
        </w:numPr>
        <w:ind w:left="993" w:hanging="284"/>
        <w:jc w:val="both"/>
        <w:rPr>
          <w:rFonts w:ascii="Arial" w:hAnsi="Arial"/>
          <w:sz w:val="22"/>
          <w:szCs w:val="22"/>
        </w:rPr>
      </w:pPr>
      <w:r w:rsidRPr="00217A43">
        <w:rPr>
          <w:rFonts w:ascii="Arial" w:hAnsi="Arial"/>
          <w:sz w:val="22"/>
          <w:szCs w:val="22"/>
        </w:rPr>
        <w:t xml:space="preserve">Correspondence from </w:t>
      </w:r>
      <w:r>
        <w:rPr>
          <w:rFonts w:ascii="Arial" w:hAnsi="Arial"/>
          <w:sz w:val="22"/>
          <w:szCs w:val="22"/>
        </w:rPr>
        <w:t>Pain Australia to the Minister for Health</w:t>
      </w:r>
      <w:r w:rsidRPr="00217A43">
        <w:rPr>
          <w:rFonts w:ascii="Arial" w:hAnsi="Arial"/>
          <w:sz w:val="22"/>
          <w:szCs w:val="22"/>
        </w:rPr>
        <w:t xml:space="preserve"> (dated </w:t>
      </w:r>
      <w:r>
        <w:rPr>
          <w:rFonts w:ascii="Arial" w:hAnsi="Arial"/>
          <w:sz w:val="22"/>
          <w:szCs w:val="22"/>
        </w:rPr>
        <w:t>13 January 2016</w:t>
      </w:r>
      <w:r w:rsidRPr="00217A43">
        <w:rPr>
          <w:rFonts w:ascii="Arial" w:hAnsi="Arial"/>
          <w:sz w:val="22"/>
          <w:szCs w:val="22"/>
        </w:rPr>
        <w:t>)</w:t>
      </w:r>
    </w:p>
    <w:p w:rsidR="0098039D" w:rsidRPr="0098039D" w:rsidRDefault="0098039D" w:rsidP="0098039D">
      <w:pPr>
        <w:pStyle w:val="ListParagraph"/>
        <w:jc w:val="both"/>
        <w:rPr>
          <w:rFonts w:ascii="Arial" w:hAnsi="Arial"/>
          <w:b/>
          <w:sz w:val="22"/>
          <w:szCs w:val="22"/>
        </w:rPr>
      </w:pPr>
    </w:p>
    <w:p w:rsidR="00B10F8B" w:rsidRDefault="00B10F8B" w:rsidP="00E321A9">
      <w:pPr>
        <w:pStyle w:val="ListParagraph"/>
        <w:numPr>
          <w:ilvl w:val="1"/>
          <w:numId w:val="1"/>
        </w:numPr>
        <w:jc w:val="both"/>
        <w:rPr>
          <w:rFonts w:ascii="Arial" w:hAnsi="Arial"/>
          <w:sz w:val="22"/>
          <w:szCs w:val="22"/>
        </w:rPr>
      </w:pPr>
      <w:r w:rsidRPr="00E321A9">
        <w:rPr>
          <w:rFonts w:ascii="Arial" w:hAnsi="Arial"/>
          <w:sz w:val="22"/>
          <w:szCs w:val="22"/>
        </w:rPr>
        <w:t xml:space="preserve">In </w:t>
      </w:r>
      <w:r w:rsidR="0098039D">
        <w:rPr>
          <w:rFonts w:ascii="Arial" w:hAnsi="Arial"/>
          <w:sz w:val="22"/>
          <w:szCs w:val="22"/>
        </w:rPr>
        <w:t>the</w:t>
      </w:r>
      <w:r w:rsidRPr="00E321A9">
        <w:rPr>
          <w:rFonts w:ascii="Arial" w:hAnsi="Arial"/>
          <w:sz w:val="22"/>
          <w:szCs w:val="22"/>
        </w:rPr>
        <w:t xml:space="preserve"> letter to the PBAC Chair dated 17 December 2015, </w:t>
      </w:r>
      <w:r w:rsidR="0001539E" w:rsidRPr="00E321A9">
        <w:rPr>
          <w:rFonts w:ascii="Arial" w:hAnsi="Arial"/>
          <w:sz w:val="22"/>
          <w:szCs w:val="22"/>
        </w:rPr>
        <w:t xml:space="preserve">the </w:t>
      </w:r>
      <w:r w:rsidR="00F04050" w:rsidRPr="00E321A9">
        <w:rPr>
          <w:rFonts w:ascii="Arial" w:hAnsi="Arial"/>
          <w:sz w:val="22"/>
          <w:szCs w:val="22"/>
        </w:rPr>
        <w:t>Guild</w:t>
      </w:r>
      <w:r w:rsidRPr="00E321A9">
        <w:rPr>
          <w:rFonts w:ascii="Arial" w:hAnsi="Arial"/>
          <w:sz w:val="22"/>
          <w:szCs w:val="22"/>
        </w:rPr>
        <w:t xml:space="preserve"> </w:t>
      </w:r>
      <w:r w:rsidR="00574DC5" w:rsidRPr="00E321A9">
        <w:rPr>
          <w:rFonts w:ascii="Arial" w:hAnsi="Arial"/>
          <w:sz w:val="22"/>
          <w:szCs w:val="22"/>
        </w:rPr>
        <w:t xml:space="preserve">requested that the PBAC review its recommendation to delist </w:t>
      </w:r>
      <w:r w:rsidR="000A48A0">
        <w:rPr>
          <w:rFonts w:ascii="Arial" w:hAnsi="Arial"/>
          <w:sz w:val="22"/>
          <w:szCs w:val="22"/>
        </w:rPr>
        <w:t>certain medicines that are also available over</w:t>
      </w:r>
      <w:r w:rsidR="008B5B8A">
        <w:rPr>
          <w:rFonts w:ascii="Arial" w:hAnsi="Arial"/>
          <w:sz w:val="22"/>
          <w:szCs w:val="22"/>
        </w:rPr>
        <w:t xml:space="preserve"> </w:t>
      </w:r>
      <w:r w:rsidR="000A48A0">
        <w:rPr>
          <w:rFonts w:ascii="Arial" w:hAnsi="Arial"/>
          <w:sz w:val="22"/>
          <w:szCs w:val="22"/>
        </w:rPr>
        <w:t>the</w:t>
      </w:r>
      <w:r w:rsidR="008B5B8A">
        <w:rPr>
          <w:rFonts w:ascii="Arial" w:hAnsi="Arial"/>
          <w:sz w:val="22"/>
          <w:szCs w:val="22"/>
        </w:rPr>
        <w:t xml:space="preserve"> </w:t>
      </w:r>
      <w:r w:rsidR="000A48A0">
        <w:rPr>
          <w:rFonts w:ascii="Arial" w:hAnsi="Arial"/>
          <w:sz w:val="22"/>
          <w:szCs w:val="22"/>
        </w:rPr>
        <w:t xml:space="preserve">counter (OTC) </w:t>
      </w:r>
      <w:r w:rsidR="00574DC5" w:rsidRPr="00E321A9">
        <w:rPr>
          <w:rFonts w:ascii="Arial" w:hAnsi="Arial"/>
          <w:sz w:val="22"/>
          <w:szCs w:val="22"/>
        </w:rPr>
        <w:t xml:space="preserve">from general availability on the </w:t>
      </w:r>
      <w:r w:rsidR="001E6836" w:rsidRPr="00574DC5">
        <w:rPr>
          <w:rFonts w:ascii="Arial" w:hAnsi="Arial"/>
          <w:sz w:val="22"/>
          <w:szCs w:val="22"/>
        </w:rPr>
        <w:t>Pharmaceutical Benefits Scheme</w:t>
      </w:r>
      <w:r w:rsidR="000A48A0" w:rsidRPr="000A48A0">
        <w:rPr>
          <w:rFonts w:ascii="Arial" w:hAnsi="Arial"/>
          <w:sz w:val="22"/>
          <w:szCs w:val="22"/>
        </w:rPr>
        <w:t xml:space="preserve"> </w:t>
      </w:r>
      <w:r w:rsidR="000A48A0">
        <w:rPr>
          <w:rFonts w:ascii="Arial" w:hAnsi="Arial"/>
          <w:sz w:val="22"/>
          <w:szCs w:val="22"/>
        </w:rPr>
        <w:t>(with a particular emphasis on the paracetamol 665</w:t>
      </w:r>
      <w:r w:rsidR="00DF3052">
        <w:rPr>
          <w:rFonts w:ascii="Arial" w:hAnsi="Arial"/>
          <w:sz w:val="22"/>
          <w:szCs w:val="22"/>
        </w:rPr>
        <w:t xml:space="preserve"> </w:t>
      </w:r>
      <w:r w:rsidR="000A48A0">
        <w:rPr>
          <w:rFonts w:ascii="Arial" w:hAnsi="Arial"/>
          <w:sz w:val="22"/>
          <w:szCs w:val="22"/>
        </w:rPr>
        <w:t xml:space="preserve">mg and </w:t>
      </w:r>
      <w:r w:rsidR="000A48A0" w:rsidRPr="00E321A9">
        <w:rPr>
          <w:rFonts w:ascii="Arial" w:hAnsi="Arial"/>
          <w:sz w:val="22"/>
          <w:szCs w:val="22"/>
        </w:rPr>
        <w:t xml:space="preserve">Panadol </w:t>
      </w:r>
      <w:proofErr w:type="spellStart"/>
      <w:r w:rsidR="000A48A0" w:rsidRPr="00E321A9">
        <w:rPr>
          <w:rFonts w:ascii="Arial" w:hAnsi="Arial"/>
          <w:sz w:val="22"/>
          <w:szCs w:val="22"/>
        </w:rPr>
        <w:t>Osteo</w:t>
      </w:r>
      <w:proofErr w:type="spellEnd"/>
      <w:r w:rsidR="000A48A0" w:rsidRPr="00E321A9">
        <w:rPr>
          <w:rFonts w:ascii="Arial" w:hAnsi="Arial"/>
          <w:sz w:val="22"/>
          <w:szCs w:val="22"/>
        </w:rPr>
        <w:t>®</w:t>
      </w:r>
      <w:r w:rsidR="000A48A0">
        <w:rPr>
          <w:rFonts w:ascii="Arial" w:hAnsi="Arial"/>
          <w:sz w:val="22"/>
          <w:szCs w:val="22"/>
        </w:rPr>
        <w:t>)</w:t>
      </w:r>
      <w:r w:rsidR="00063033" w:rsidRPr="00E321A9">
        <w:rPr>
          <w:rFonts w:ascii="Arial" w:hAnsi="Arial"/>
          <w:sz w:val="22"/>
          <w:szCs w:val="22"/>
        </w:rPr>
        <w:t>, and raised concerns about the operation of various section 100 programs.</w:t>
      </w:r>
    </w:p>
    <w:p w:rsidR="0098039D" w:rsidRDefault="0098039D" w:rsidP="0098039D">
      <w:pPr>
        <w:pStyle w:val="ListParagraph"/>
        <w:jc w:val="both"/>
        <w:rPr>
          <w:rFonts w:ascii="Arial" w:hAnsi="Arial"/>
          <w:sz w:val="22"/>
          <w:szCs w:val="22"/>
        </w:rPr>
      </w:pPr>
    </w:p>
    <w:p w:rsidR="0098039D" w:rsidRPr="0098039D" w:rsidRDefault="0098039D" w:rsidP="00E321A9">
      <w:pPr>
        <w:pStyle w:val="ListParagraph"/>
        <w:numPr>
          <w:ilvl w:val="1"/>
          <w:numId w:val="1"/>
        </w:numPr>
        <w:jc w:val="both"/>
        <w:rPr>
          <w:rFonts w:ascii="Arial" w:hAnsi="Arial"/>
          <w:sz w:val="22"/>
          <w:szCs w:val="22"/>
        </w:rPr>
      </w:pPr>
      <w:r>
        <w:rPr>
          <w:rFonts w:ascii="Arial" w:hAnsi="Arial"/>
          <w:sz w:val="22"/>
          <w:szCs w:val="22"/>
        </w:rPr>
        <w:t>In the letter to the Minister for Health dated 25 January, the Guild raised similar matters</w:t>
      </w:r>
      <w:r w:rsidR="00997B0C">
        <w:rPr>
          <w:rFonts w:ascii="Arial" w:hAnsi="Arial"/>
          <w:sz w:val="22"/>
          <w:szCs w:val="22"/>
        </w:rPr>
        <w:t xml:space="preserve"> in relation </w:t>
      </w:r>
      <w:r w:rsidR="004848B4">
        <w:rPr>
          <w:rFonts w:ascii="Arial" w:hAnsi="Arial"/>
          <w:sz w:val="22"/>
          <w:szCs w:val="22"/>
        </w:rPr>
        <w:t xml:space="preserve">to </w:t>
      </w:r>
      <w:r w:rsidR="00997B0C">
        <w:rPr>
          <w:rFonts w:ascii="Arial" w:hAnsi="Arial"/>
          <w:sz w:val="22"/>
          <w:szCs w:val="22"/>
        </w:rPr>
        <w:t xml:space="preserve">de-listing Panadol </w:t>
      </w:r>
      <w:proofErr w:type="spellStart"/>
      <w:r w:rsidR="00997B0C">
        <w:rPr>
          <w:rFonts w:ascii="Arial" w:hAnsi="Arial"/>
          <w:sz w:val="22"/>
          <w:szCs w:val="22"/>
        </w:rPr>
        <w:t>Osteo</w:t>
      </w:r>
      <w:proofErr w:type="spellEnd"/>
      <w:r w:rsidR="00997B0C">
        <w:rPr>
          <w:rFonts w:ascii="Arial" w:hAnsi="Arial"/>
          <w:sz w:val="22"/>
          <w:szCs w:val="22"/>
        </w:rPr>
        <w:t>®</w:t>
      </w:r>
      <w:r w:rsidR="00851BE9">
        <w:rPr>
          <w:rFonts w:ascii="Arial" w:hAnsi="Arial"/>
          <w:sz w:val="22"/>
          <w:szCs w:val="22"/>
        </w:rPr>
        <w:t xml:space="preserve"> including Quality Use of Medicine concerns, and also</w:t>
      </w:r>
      <w:r>
        <w:rPr>
          <w:rFonts w:ascii="Arial" w:hAnsi="Arial"/>
          <w:sz w:val="22"/>
          <w:szCs w:val="22"/>
        </w:rPr>
        <w:t xml:space="preserve"> a request to review the eligibility criteria for oral liquid paracetamol Panamax Elixir, to allow access for people with swallowing difficulties</w:t>
      </w:r>
      <w:r w:rsidR="00997B0C">
        <w:rPr>
          <w:rFonts w:ascii="Arial" w:hAnsi="Arial"/>
          <w:sz w:val="22"/>
          <w:szCs w:val="22"/>
        </w:rPr>
        <w:t>.</w:t>
      </w:r>
    </w:p>
    <w:p w:rsidR="0098039D" w:rsidRPr="0098039D" w:rsidRDefault="0098039D" w:rsidP="0098039D">
      <w:pPr>
        <w:pStyle w:val="ListParagraph"/>
        <w:rPr>
          <w:rFonts w:ascii="Arial" w:hAnsi="Arial"/>
          <w:sz w:val="22"/>
          <w:szCs w:val="22"/>
        </w:rPr>
      </w:pPr>
    </w:p>
    <w:p w:rsidR="0098039D" w:rsidRDefault="0098039D" w:rsidP="00E321A9">
      <w:pPr>
        <w:pStyle w:val="ListParagraph"/>
        <w:numPr>
          <w:ilvl w:val="1"/>
          <w:numId w:val="1"/>
        </w:numPr>
        <w:jc w:val="both"/>
        <w:rPr>
          <w:rFonts w:ascii="Arial" w:hAnsi="Arial"/>
          <w:sz w:val="22"/>
          <w:szCs w:val="22"/>
        </w:rPr>
      </w:pPr>
      <w:r>
        <w:rPr>
          <w:rFonts w:ascii="Arial" w:hAnsi="Arial"/>
          <w:sz w:val="22"/>
          <w:szCs w:val="22"/>
        </w:rPr>
        <w:t xml:space="preserve">Pain Australia and </w:t>
      </w:r>
      <w:r w:rsidR="00B94970">
        <w:rPr>
          <w:rFonts w:ascii="Arial" w:hAnsi="Arial"/>
          <w:sz w:val="22"/>
          <w:szCs w:val="22"/>
        </w:rPr>
        <w:t>th</w:t>
      </w:r>
      <w:r>
        <w:rPr>
          <w:rFonts w:ascii="Arial" w:hAnsi="Arial"/>
          <w:sz w:val="22"/>
          <w:szCs w:val="22"/>
        </w:rPr>
        <w:t xml:space="preserve">e Consumer Health Forum </w:t>
      </w:r>
      <w:r w:rsidR="005659DF">
        <w:rPr>
          <w:rFonts w:ascii="Arial" w:hAnsi="Arial"/>
          <w:sz w:val="22"/>
          <w:szCs w:val="22"/>
        </w:rPr>
        <w:t xml:space="preserve">raised concerns about the clinical and financial implications of de-listing Panadol </w:t>
      </w:r>
      <w:proofErr w:type="spellStart"/>
      <w:r w:rsidR="005659DF">
        <w:rPr>
          <w:rFonts w:ascii="Arial" w:hAnsi="Arial"/>
          <w:sz w:val="22"/>
          <w:szCs w:val="22"/>
        </w:rPr>
        <w:t>Osteo</w:t>
      </w:r>
      <w:proofErr w:type="spellEnd"/>
      <w:r w:rsidR="005659DF">
        <w:rPr>
          <w:rFonts w:ascii="Arial" w:hAnsi="Arial"/>
          <w:sz w:val="22"/>
          <w:szCs w:val="22"/>
        </w:rPr>
        <w:t>®</w:t>
      </w:r>
      <w:r w:rsidR="00E606C9">
        <w:rPr>
          <w:rFonts w:ascii="Arial" w:hAnsi="Arial"/>
          <w:sz w:val="22"/>
          <w:szCs w:val="22"/>
        </w:rPr>
        <w:t>.</w:t>
      </w:r>
    </w:p>
    <w:p w:rsidR="0098039D" w:rsidRDefault="0098039D" w:rsidP="0098039D">
      <w:pPr>
        <w:jc w:val="both"/>
        <w:rPr>
          <w:rFonts w:ascii="Arial" w:hAnsi="Arial"/>
          <w:sz w:val="22"/>
          <w:szCs w:val="22"/>
        </w:rPr>
      </w:pPr>
    </w:p>
    <w:p w:rsidR="00B31D10" w:rsidRPr="00B31D10" w:rsidRDefault="00B31D10" w:rsidP="00B31D10">
      <w:pPr>
        <w:pStyle w:val="ListParagraph"/>
        <w:ind w:hanging="11"/>
        <w:jc w:val="both"/>
        <w:rPr>
          <w:rFonts w:ascii="Arial" w:hAnsi="Arial"/>
          <w:i/>
          <w:sz w:val="22"/>
          <w:szCs w:val="22"/>
          <w:highlight w:val="yellow"/>
        </w:rPr>
      </w:pPr>
      <w:r w:rsidRPr="00B31D10">
        <w:rPr>
          <w:rFonts w:ascii="Arial" w:hAnsi="Arial"/>
          <w:i/>
          <w:sz w:val="22"/>
          <w:szCs w:val="22"/>
        </w:rPr>
        <w:t>For more det</w:t>
      </w:r>
      <w:r>
        <w:rPr>
          <w:rFonts w:ascii="Arial" w:hAnsi="Arial"/>
          <w:i/>
          <w:sz w:val="22"/>
          <w:szCs w:val="22"/>
        </w:rPr>
        <w:t>ail on PBAC’s view, see section 3</w:t>
      </w:r>
      <w:r w:rsidRPr="00B31D10">
        <w:rPr>
          <w:rFonts w:ascii="Arial" w:hAnsi="Arial"/>
          <w:i/>
          <w:sz w:val="22"/>
          <w:szCs w:val="22"/>
        </w:rPr>
        <w:t xml:space="preserve"> “PBAC outcome”</w:t>
      </w:r>
    </w:p>
    <w:p w:rsidR="00B31D10" w:rsidRPr="0098039D" w:rsidRDefault="00B31D10" w:rsidP="0098039D">
      <w:pPr>
        <w:jc w:val="both"/>
        <w:rPr>
          <w:rFonts w:ascii="Arial" w:hAnsi="Arial"/>
          <w:sz w:val="22"/>
          <w:szCs w:val="22"/>
        </w:rPr>
      </w:pPr>
    </w:p>
    <w:p w:rsidR="000E690E" w:rsidRPr="00923572" w:rsidRDefault="000E690E" w:rsidP="00B10F8B">
      <w:pPr>
        <w:jc w:val="both"/>
        <w:rPr>
          <w:rFonts w:ascii="Arial" w:hAnsi="Arial"/>
          <w:b/>
          <w:sz w:val="22"/>
          <w:szCs w:val="22"/>
        </w:rPr>
      </w:pPr>
    </w:p>
    <w:p w:rsidR="00B10F8B" w:rsidRPr="0090379E" w:rsidRDefault="00B10F8B" w:rsidP="00AC01DF">
      <w:pPr>
        <w:pStyle w:val="Heading2"/>
      </w:pPr>
      <w:r w:rsidRPr="0090379E">
        <w:t>Background</w:t>
      </w:r>
    </w:p>
    <w:p w:rsidR="00702739" w:rsidRPr="0090379E" w:rsidRDefault="0082704C" w:rsidP="00AC01DF">
      <w:pPr>
        <w:pStyle w:val="Heading3"/>
      </w:pPr>
      <w:r w:rsidRPr="0090379E">
        <w:t>Over the counter</w:t>
      </w:r>
      <w:r w:rsidR="00702739" w:rsidRPr="0090379E">
        <w:t xml:space="preserve"> </w:t>
      </w:r>
      <w:r w:rsidRPr="0090379E">
        <w:t>d</w:t>
      </w:r>
      <w:r w:rsidR="00E66EDD" w:rsidRPr="0090379E">
        <w:t>e-listings</w:t>
      </w:r>
    </w:p>
    <w:p w:rsidR="00702739" w:rsidRDefault="00702739" w:rsidP="00B10F8B">
      <w:pPr>
        <w:pStyle w:val="ListParagraph"/>
        <w:jc w:val="both"/>
        <w:rPr>
          <w:rFonts w:ascii="Arial" w:hAnsi="Arial"/>
          <w:b/>
          <w:sz w:val="22"/>
          <w:szCs w:val="22"/>
        </w:rPr>
      </w:pPr>
    </w:p>
    <w:p w:rsidR="00574DC5" w:rsidRDefault="00702739" w:rsidP="00B72A4D">
      <w:pPr>
        <w:pStyle w:val="ListParagraph"/>
        <w:numPr>
          <w:ilvl w:val="1"/>
          <w:numId w:val="1"/>
        </w:numPr>
        <w:jc w:val="both"/>
        <w:rPr>
          <w:rFonts w:ascii="Arial" w:hAnsi="Arial"/>
          <w:sz w:val="22"/>
          <w:szCs w:val="22"/>
        </w:rPr>
      </w:pPr>
      <w:r>
        <w:rPr>
          <w:rFonts w:ascii="Arial" w:hAnsi="Arial"/>
          <w:sz w:val="22"/>
          <w:szCs w:val="22"/>
        </w:rPr>
        <w:t>On 1 Jan</w:t>
      </w:r>
      <w:r w:rsidR="00184943">
        <w:rPr>
          <w:rFonts w:ascii="Arial" w:hAnsi="Arial"/>
          <w:sz w:val="22"/>
          <w:szCs w:val="22"/>
        </w:rPr>
        <w:t>uary</w:t>
      </w:r>
      <w:r>
        <w:rPr>
          <w:rFonts w:ascii="Arial" w:hAnsi="Arial"/>
          <w:sz w:val="22"/>
          <w:szCs w:val="22"/>
        </w:rPr>
        <w:t xml:space="preserve"> 2016</w:t>
      </w:r>
      <w:r w:rsidR="00184943">
        <w:rPr>
          <w:rFonts w:ascii="Arial" w:hAnsi="Arial"/>
          <w:sz w:val="22"/>
          <w:szCs w:val="22"/>
        </w:rPr>
        <w:t>,</w:t>
      </w:r>
      <w:r w:rsidR="000A48A0">
        <w:rPr>
          <w:rFonts w:ascii="Arial" w:hAnsi="Arial"/>
          <w:sz w:val="22"/>
          <w:szCs w:val="22"/>
        </w:rPr>
        <w:t xml:space="preserve"> following receipt of PBAC advice,</w:t>
      </w:r>
      <w:r>
        <w:rPr>
          <w:rFonts w:ascii="Arial" w:hAnsi="Arial"/>
          <w:sz w:val="22"/>
          <w:szCs w:val="22"/>
        </w:rPr>
        <w:t xml:space="preserve"> </w:t>
      </w:r>
      <w:r w:rsidR="00574DC5" w:rsidRPr="00574DC5">
        <w:rPr>
          <w:rFonts w:ascii="Arial" w:hAnsi="Arial"/>
          <w:sz w:val="22"/>
          <w:szCs w:val="22"/>
        </w:rPr>
        <w:t xml:space="preserve">17 low-cost </w:t>
      </w:r>
      <w:r w:rsidR="008B5B8A">
        <w:rPr>
          <w:rFonts w:ascii="Arial" w:hAnsi="Arial"/>
          <w:sz w:val="22"/>
          <w:szCs w:val="22"/>
        </w:rPr>
        <w:t>OCT</w:t>
      </w:r>
      <w:r w:rsidR="00574DC5" w:rsidRPr="00574DC5">
        <w:rPr>
          <w:rFonts w:ascii="Arial" w:hAnsi="Arial"/>
          <w:sz w:val="22"/>
          <w:szCs w:val="22"/>
        </w:rPr>
        <w:t xml:space="preserve"> medicines were delisted from general Pharmaceutical Benefits Scheme (PBS) availability, as </w:t>
      </w:r>
      <w:r w:rsidR="00574DC5" w:rsidRPr="00574DC5">
        <w:rPr>
          <w:rFonts w:ascii="Arial" w:hAnsi="Arial"/>
          <w:sz w:val="22"/>
          <w:szCs w:val="22"/>
        </w:rPr>
        <w:lastRenderedPageBreak/>
        <w:t>part of measures agreed under the PBS Access and Sustain</w:t>
      </w:r>
      <w:r>
        <w:rPr>
          <w:rFonts w:ascii="Arial" w:hAnsi="Arial"/>
          <w:sz w:val="22"/>
          <w:szCs w:val="22"/>
        </w:rPr>
        <w:t>ability Package. This represented</w:t>
      </w:r>
      <w:r w:rsidR="00574DC5" w:rsidRPr="00574DC5">
        <w:rPr>
          <w:rFonts w:ascii="Arial" w:hAnsi="Arial"/>
          <w:sz w:val="22"/>
          <w:szCs w:val="22"/>
        </w:rPr>
        <w:t xml:space="preserve"> less than 15 per cent of all OTC </w:t>
      </w:r>
      <w:r>
        <w:rPr>
          <w:rFonts w:ascii="Arial" w:hAnsi="Arial"/>
          <w:sz w:val="22"/>
          <w:szCs w:val="22"/>
        </w:rPr>
        <w:t>products subsidised on the PBS.</w:t>
      </w:r>
    </w:p>
    <w:p w:rsidR="0001539E" w:rsidRDefault="0001539E" w:rsidP="0001539E">
      <w:pPr>
        <w:pStyle w:val="ListParagraph"/>
        <w:rPr>
          <w:rFonts w:ascii="Arial" w:hAnsi="Arial"/>
          <w:sz w:val="22"/>
          <w:szCs w:val="22"/>
        </w:rPr>
      </w:pPr>
    </w:p>
    <w:p w:rsidR="004A5E07" w:rsidRDefault="004A5E07" w:rsidP="0087142B">
      <w:pPr>
        <w:pStyle w:val="ListParagraph"/>
        <w:numPr>
          <w:ilvl w:val="1"/>
          <w:numId w:val="1"/>
        </w:numPr>
        <w:jc w:val="both"/>
        <w:rPr>
          <w:rFonts w:ascii="Arial" w:hAnsi="Arial"/>
          <w:sz w:val="22"/>
          <w:szCs w:val="22"/>
        </w:rPr>
      </w:pPr>
      <w:r>
        <w:rPr>
          <w:rFonts w:ascii="Arial" w:hAnsi="Arial"/>
          <w:sz w:val="22"/>
          <w:szCs w:val="22"/>
        </w:rPr>
        <w:t xml:space="preserve">In </w:t>
      </w:r>
      <w:r w:rsidR="0001539E">
        <w:rPr>
          <w:rFonts w:ascii="Arial" w:hAnsi="Arial"/>
          <w:sz w:val="22"/>
          <w:szCs w:val="22"/>
        </w:rPr>
        <w:t xml:space="preserve">April 2015 the PBAC </w:t>
      </w:r>
      <w:r>
        <w:rPr>
          <w:rFonts w:ascii="Arial" w:hAnsi="Arial"/>
          <w:sz w:val="22"/>
          <w:szCs w:val="22"/>
        </w:rPr>
        <w:t>advised, and in July 2015 it confirmed, the following guiding principles for removal of PBS subsidy:</w:t>
      </w:r>
    </w:p>
    <w:p w:rsidR="004A5E07" w:rsidRPr="004A5E07" w:rsidRDefault="004A5E07" w:rsidP="004A5E07">
      <w:pPr>
        <w:numPr>
          <w:ilvl w:val="2"/>
          <w:numId w:val="1"/>
        </w:numPr>
        <w:ind w:left="993" w:hanging="284"/>
        <w:rPr>
          <w:rStyle w:val="hps-normal1"/>
          <w:rFonts w:ascii="Arial" w:hAnsi="Arial" w:cs="Arial"/>
          <w:sz w:val="22"/>
          <w:szCs w:val="22"/>
        </w:rPr>
      </w:pPr>
      <w:r w:rsidRPr="004A5E07">
        <w:rPr>
          <w:rStyle w:val="hps-normal1"/>
          <w:rFonts w:ascii="Arial" w:hAnsi="Arial" w:cs="Arial"/>
          <w:sz w:val="22"/>
          <w:szCs w:val="22"/>
        </w:rPr>
        <w:t>the medicine is available over the counter without a prescription;</w:t>
      </w:r>
    </w:p>
    <w:p w:rsidR="004A5E07" w:rsidRPr="004A5E07" w:rsidRDefault="004A5E07" w:rsidP="004A5E07">
      <w:pPr>
        <w:numPr>
          <w:ilvl w:val="2"/>
          <w:numId w:val="1"/>
        </w:numPr>
        <w:ind w:left="993" w:hanging="284"/>
        <w:rPr>
          <w:rStyle w:val="hps-normal1"/>
          <w:rFonts w:ascii="Arial" w:hAnsi="Arial" w:cs="Arial"/>
          <w:sz w:val="22"/>
          <w:szCs w:val="22"/>
        </w:rPr>
      </w:pPr>
      <w:r w:rsidRPr="004A5E07">
        <w:rPr>
          <w:rStyle w:val="hps-normal1"/>
          <w:rFonts w:ascii="Arial" w:hAnsi="Arial" w:cs="Arial"/>
          <w:sz w:val="22"/>
          <w:szCs w:val="22"/>
        </w:rPr>
        <w:t>it has a low PBS-approved ex-manufacturer price where access is unlikely to change appreciably in the absence of PBS subsidy;</w:t>
      </w:r>
    </w:p>
    <w:p w:rsidR="004A5E07" w:rsidRPr="004A5E07" w:rsidRDefault="004A5E07" w:rsidP="004A5E07">
      <w:pPr>
        <w:numPr>
          <w:ilvl w:val="2"/>
          <w:numId w:val="1"/>
        </w:numPr>
        <w:ind w:left="993" w:hanging="284"/>
        <w:rPr>
          <w:rStyle w:val="hps-normal1"/>
          <w:rFonts w:ascii="Arial" w:hAnsi="Arial" w:cs="Arial"/>
          <w:sz w:val="22"/>
          <w:szCs w:val="22"/>
        </w:rPr>
      </w:pPr>
      <w:r w:rsidRPr="004A5E07">
        <w:rPr>
          <w:rStyle w:val="hps-normal1"/>
          <w:rFonts w:ascii="Arial" w:hAnsi="Arial" w:cs="Arial"/>
          <w:sz w:val="22"/>
          <w:szCs w:val="22"/>
        </w:rPr>
        <w:t>no specialist prescriber involvement is required; and</w:t>
      </w:r>
    </w:p>
    <w:p w:rsidR="004A5E07" w:rsidRPr="004A5E07" w:rsidRDefault="004A5E07" w:rsidP="004A5E07">
      <w:pPr>
        <w:numPr>
          <w:ilvl w:val="2"/>
          <w:numId w:val="1"/>
        </w:numPr>
        <w:ind w:left="993" w:hanging="284"/>
        <w:rPr>
          <w:rStyle w:val="hps-normal1"/>
          <w:rFonts w:ascii="Arial" w:hAnsi="Arial" w:cs="Arial"/>
          <w:sz w:val="22"/>
          <w:szCs w:val="22"/>
        </w:rPr>
      </w:pPr>
      <w:proofErr w:type="gramStart"/>
      <w:r w:rsidRPr="004A5E07">
        <w:rPr>
          <w:rStyle w:val="hps-normal1"/>
          <w:rFonts w:ascii="Arial" w:hAnsi="Arial" w:cs="Arial"/>
          <w:sz w:val="22"/>
          <w:szCs w:val="22"/>
        </w:rPr>
        <w:t>any</w:t>
      </w:r>
      <w:proofErr w:type="gramEnd"/>
      <w:r w:rsidRPr="004A5E07">
        <w:rPr>
          <w:rStyle w:val="hps-normal1"/>
          <w:rFonts w:ascii="Arial" w:hAnsi="Arial" w:cs="Arial"/>
          <w:sz w:val="22"/>
          <w:szCs w:val="22"/>
        </w:rPr>
        <w:t xml:space="preserve"> clinical evidence considered by the PBAC did not conclusively support current subsidy arrangements.</w:t>
      </w:r>
    </w:p>
    <w:p w:rsidR="004A5E07" w:rsidRPr="004A5E07" w:rsidRDefault="004A5E07" w:rsidP="004A5E07">
      <w:pPr>
        <w:pStyle w:val="ListParagraph"/>
        <w:rPr>
          <w:rFonts w:ascii="Arial" w:hAnsi="Arial"/>
          <w:sz w:val="22"/>
          <w:szCs w:val="22"/>
        </w:rPr>
      </w:pPr>
    </w:p>
    <w:p w:rsidR="004A5E07" w:rsidRPr="004A5E07" w:rsidRDefault="004A5E07" w:rsidP="00222400">
      <w:pPr>
        <w:pStyle w:val="ListParagraph"/>
        <w:numPr>
          <w:ilvl w:val="1"/>
          <w:numId w:val="1"/>
        </w:numPr>
        <w:jc w:val="both"/>
        <w:rPr>
          <w:rFonts w:ascii="Arial" w:hAnsi="Arial"/>
          <w:sz w:val="22"/>
          <w:szCs w:val="22"/>
        </w:rPr>
      </w:pPr>
      <w:r w:rsidRPr="004A5E07">
        <w:rPr>
          <w:rFonts w:ascii="Arial" w:hAnsi="Arial"/>
          <w:sz w:val="22"/>
          <w:szCs w:val="22"/>
        </w:rPr>
        <w:t>In July 2015 the PBAC gave the following principles for retaining medicines on the PBS:</w:t>
      </w:r>
    </w:p>
    <w:p w:rsidR="004A5E07" w:rsidRPr="004A5E07" w:rsidRDefault="004A5E07" w:rsidP="004A5E07">
      <w:pPr>
        <w:numPr>
          <w:ilvl w:val="2"/>
          <w:numId w:val="1"/>
        </w:numPr>
        <w:ind w:left="993" w:hanging="284"/>
        <w:rPr>
          <w:rStyle w:val="hps-normal1"/>
          <w:rFonts w:ascii="Arial" w:hAnsi="Arial" w:cs="Arial"/>
          <w:sz w:val="22"/>
          <w:szCs w:val="22"/>
        </w:rPr>
      </w:pPr>
      <w:r w:rsidRPr="004A5E07">
        <w:rPr>
          <w:rStyle w:val="hps-normal1"/>
          <w:rFonts w:ascii="Arial" w:hAnsi="Arial" w:cs="Arial"/>
          <w:sz w:val="22"/>
          <w:szCs w:val="22"/>
        </w:rPr>
        <w:t>high ex-manufacturer price, likely to prevent access by patients in the absence of PBS subsidy;</w:t>
      </w:r>
    </w:p>
    <w:p w:rsidR="004A5E07" w:rsidRPr="004A5E07" w:rsidRDefault="004A5E07" w:rsidP="004A5E07">
      <w:pPr>
        <w:numPr>
          <w:ilvl w:val="2"/>
          <w:numId w:val="1"/>
        </w:numPr>
        <w:ind w:left="993" w:hanging="284"/>
        <w:rPr>
          <w:rStyle w:val="hps-normal1"/>
          <w:rFonts w:ascii="Arial" w:hAnsi="Arial" w:cs="Arial"/>
          <w:sz w:val="22"/>
          <w:szCs w:val="22"/>
        </w:rPr>
      </w:pPr>
      <w:r w:rsidRPr="004A5E07">
        <w:rPr>
          <w:rStyle w:val="hps-normal1"/>
          <w:rFonts w:ascii="Arial" w:hAnsi="Arial" w:cs="Arial"/>
          <w:sz w:val="22"/>
          <w:szCs w:val="22"/>
        </w:rPr>
        <w:t>drugs for urgent or emergency situations where there should be the fewest possible barriers</w:t>
      </w:r>
    </w:p>
    <w:p w:rsidR="004A5E07" w:rsidRPr="004A5E07" w:rsidRDefault="004A5E07" w:rsidP="004A5E07">
      <w:pPr>
        <w:numPr>
          <w:ilvl w:val="2"/>
          <w:numId w:val="1"/>
        </w:numPr>
        <w:ind w:left="993" w:hanging="284"/>
        <w:rPr>
          <w:rStyle w:val="hps-normal1"/>
          <w:rFonts w:ascii="Arial" w:hAnsi="Arial" w:cs="Arial"/>
          <w:sz w:val="22"/>
          <w:szCs w:val="22"/>
        </w:rPr>
      </w:pPr>
      <w:r w:rsidRPr="004A5E07">
        <w:rPr>
          <w:rStyle w:val="hps-normal1"/>
          <w:rFonts w:ascii="Arial" w:hAnsi="Arial" w:cs="Arial"/>
          <w:sz w:val="22"/>
          <w:szCs w:val="22"/>
        </w:rPr>
        <w:t xml:space="preserve">drugs technically considered </w:t>
      </w:r>
      <w:r w:rsidR="008B5B8A">
        <w:rPr>
          <w:rStyle w:val="hps-normal1"/>
          <w:rFonts w:ascii="Arial" w:hAnsi="Arial" w:cs="Arial"/>
          <w:sz w:val="22"/>
          <w:szCs w:val="22"/>
        </w:rPr>
        <w:t>‘</w:t>
      </w:r>
      <w:r w:rsidRPr="004A5E07">
        <w:rPr>
          <w:rStyle w:val="hps-normal1"/>
          <w:rFonts w:ascii="Arial" w:hAnsi="Arial" w:cs="Arial"/>
          <w:sz w:val="22"/>
          <w:szCs w:val="22"/>
        </w:rPr>
        <w:t>over the counter</w:t>
      </w:r>
      <w:r w:rsidR="008B5B8A">
        <w:rPr>
          <w:rStyle w:val="hps-normal1"/>
          <w:rFonts w:ascii="Arial" w:hAnsi="Arial" w:cs="Arial"/>
          <w:sz w:val="22"/>
          <w:szCs w:val="22"/>
        </w:rPr>
        <w:t>’</w:t>
      </w:r>
      <w:r w:rsidRPr="004A5E07">
        <w:rPr>
          <w:rStyle w:val="hps-normal1"/>
          <w:rFonts w:ascii="Arial" w:hAnsi="Arial" w:cs="Arial"/>
          <w:sz w:val="22"/>
          <w:szCs w:val="22"/>
        </w:rPr>
        <w:t xml:space="preserve">, but only because they are not ‘Scheduled Poisons’ </w:t>
      </w:r>
      <w:r w:rsidR="008B5B8A">
        <w:rPr>
          <w:rStyle w:val="hps-normal1"/>
          <w:rFonts w:ascii="Arial" w:hAnsi="Arial" w:cs="Arial"/>
          <w:sz w:val="22"/>
          <w:szCs w:val="22"/>
        </w:rPr>
        <w:t>–</w:t>
      </w:r>
      <w:r w:rsidRPr="004A5E07">
        <w:rPr>
          <w:rStyle w:val="hps-normal1"/>
          <w:rFonts w:ascii="Arial" w:hAnsi="Arial" w:cs="Arial"/>
          <w:sz w:val="22"/>
          <w:szCs w:val="22"/>
        </w:rPr>
        <w:t xml:space="preserve"> they are unlikely to be purchased over the counter (</w:t>
      </w:r>
      <w:r w:rsidR="008B5B8A">
        <w:rPr>
          <w:rStyle w:val="hps-normal1"/>
          <w:rFonts w:ascii="Arial" w:hAnsi="Arial" w:cs="Arial"/>
          <w:sz w:val="22"/>
          <w:szCs w:val="22"/>
        </w:rPr>
        <w:t>eg</w:t>
      </w:r>
      <w:r w:rsidRPr="004A5E07">
        <w:rPr>
          <w:rStyle w:val="hps-normal1"/>
          <w:rFonts w:ascii="Arial" w:hAnsi="Arial" w:cs="Arial"/>
          <w:sz w:val="22"/>
          <w:szCs w:val="22"/>
        </w:rPr>
        <w:t>, I.V. glucose or sodium chloride)</w:t>
      </w:r>
    </w:p>
    <w:p w:rsidR="004A5E07" w:rsidRPr="004A5E07" w:rsidRDefault="004A5E07" w:rsidP="004A5E07">
      <w:pPr>
        <w:numPr>
          <w:ilvl w:val="2"/>
          <w:numId w:val="1"/>
        </w:numPr>
        <w:ind w:left="993" w:hanging="284"/>
        <w:rPr>
          <w:rStyle w:val="hps-normal1"/>
          <w:rFonts w:ascii="Arial" w:hAnsi="Arial" w:cs="Arial"/>
          <w:sz w:val="22"/>
          <w:szCs w:val="22"/>
        </w:rPr>
      </w:pPr>
      <w:r w:rsidRPr="004A5E07">
        <w:rPr>
          <w:rStyle w:val="hps-normal1"/>
          <w:rFonts w:ascii="Arial" w:hAnsi="Arial" w:cs="Arial"/>
          <w:sz w:val="22"/>
          <w:szCs w:val="22"/>
        </w:rPr>
        <w:t xml:space="preserve">Palliative Care Schedule, and access for Aboriginal </w:t>
      </w:r>
      <w:r w:rsidR="008B5B8A">
        <w:rPr>
          <w:rStyle w:val="hps-normal1"/>
          <w:rFonts w:ascii="Arial" w:hAnsi="Arial" w:cs="Arial"/>
          <w:sz w:val="22"/>
          <w:szCs w:val="22"/>
        </w:rPr>
        <w:t>and</w:t>
      </w:r>
      <w:r w:rsidR="008B5B8A" w:rsidRPr="004A5E07">
        <w:rPr>
          <w:rStyle w:val="hps-normal1"/>
          <w:rFonts w:ascii="Arial" w:hAnsi="Arial" w:cs="Arial"/>
          <w:sz w:val="22"/>
          <w:szCs w:val="22"/>
        </w:rPr>
        <w:t xml:space="preserve"> </w:t>
      </w:r>
      <w:r w:rsidRPr="004A5E07">
        <w:rPr>
          <w:rStyle w:val="hps-normal1"/>
          <w:rFonts w:ascii="Arial" w:hAnsi="Arial" w:cs="Arial"/>
          <w:sz w:val="22"/>
          <w:szCs w:val="22"/>
        </w:rPr>
        <w:t>Torres Strait Islander patients</w:t>
      </w:r>
      <w:r w:rsidR="00ED1C62">
        <w:rPr>
          <w:rStyle w:val="hps-normal1"/>
          <w:rFonts w:ascii="Arial" w:hAnsi="Arial" w:cs="Arial"/>
          <w:sz w:val="22"/>
          <w:szCs w:val="22"/>
        </w:rPr>
        <w:t xml:space="preserve"> (and for some other small programs, eg, Paraplegic and Quadriplegic access)</w:t>
      </w:r>
    </w:p>
    <w:p w:rsidR="004A5E07" w:rsidRPr="00222400" w:rsidRDefault="004A5E07" w:rsidP="004A5E07">
      <w:pPr>
        <w:numPr>
          <w:ilvl w:val="2"/>
          <w:numId w:val="9"/>
        </w:numPr>
        <w:ind w:left="1276" w:hanging="283"/>
        <w:rPr>
          <w:rStyle w:val="hps-normal1"/>
          <w:rFonts w:ascii="Arial" w:hAnsi="Arial" w:cs="Arial"/>
          <w:sz w:val="22"/>
          <w:szCs w:val="22"/>
        </w:rPr>
      </w:pPr>
      <w:r w:rsidRPr="00222400">
        <w:rPr>
          <w:rStyle w:val="hps-normal1"/>
          <w:rFonts w:ascii="Arial" w:hAnsi="Arial" w:cs="Arial"/>
          <w:sz w:val="22"/>
          <w:szCs w:val="22"/>
        </w:rPr>
        <w:t xml:space="preserve">Aboriginal and Torres Strait Islander people </w:t>
      </w:r>
      <w:r w:rsidR="000A48A0">
        <w:rPr>
          <w:rStyle w:val="hps-normal1"/>
          <w:rFonts w:ascii="Arial" w:hAnsi="Arial" w:cs="Arial"/>
          <w:sz w:val="22"/>
          <w:szCs w:val="22"/>
        </w:rPr>
        <w:t xml:space="preserve">who have or </w:t>
      </w:r>
      <w:r w:rsidR="008B5B8A">
        <w:rPr>
          <w:rStyle w:val="hps-normal1"/>
          <w:rFonts w:ascii="Arial" w:hAnsi="Arial" w:cs="Arial"/>
          <w:sz w:val="22"/>
          <w:szCs w:val="22"/>
        </w:rPr>
        <w:t xml:space="preserve">are </w:t>
      </w:r>
      <w:r w:rsidR="000A48A0">
        <w:rPr>
          <w:rStyle w:val="hps-normal1"/>
          <w:rFonts w:ascii="Arial" w:hAnsi="Arial" w:cs="Arial"/>
          <w:sz w:val="22"/>
          <w:szCs w:val="22"/>
        </w:rPr>
        <w:t xml:space="preserve">at risk of chronic disease </w:t>
      </w:r>
      <w:r w:rsidRPr="00222400">
        <w:rPr>
          <w:rStyle w:val="hps-normal1"/>
          <w:rFonts w:ascii="Arial" w:hAnsi="Arial" w:cs="Arial"/>
          <w:sz w:val="22"/>
          <w:szCs w:val="22"/>
        </w:rPr>
        <w:t>can receive their medicines without payment of the co-payment, with no requirement to reach a safety net threshold.  This initiative was part of the Close the Gap health policy, so PBS subsidised access was retained.</w:t>
      </w:r>
    </w:p>
    <w:p w:rsidR="003953CB" w:rsidRPr="00ED1C62" w:rsidRDefault="004A5E07" w:rsidP="004A5E07">
      <w:pPr>
        <w:numPr>
          <w:ilvl w:val="2"/>
          <w:numId w:val="9"/>
        </w:numPr>
        <w:ind w:left="1276" w:hanging="283"/>
        <w:rPr>
          <w:rStyle w:val="hps-normal1"/>
          <w:rFonts w:ascii="Arial" w:hAnsi="Arial" w:cs="Arial"/>
          <w:sz w:val="22"/>
          <w:szCs w:val="22"/>
        </w:rPr>
      </w:pPr>
      <w:r w:rsidRPr="00ED1C62">
        <w:rPr>
          <w:rStyle w:val="hps-normal1"/>
          <w:rFonts w:ascii="Arial" w:hAnsi="Arial" w:cs="Arial"/>
          <w:sz w:val="22"/>
          <w:szCs w:val="22"/>
        </w:rPr>
        <w:t>Palliative Care availability is intended to retain significant flexibility for supply of medicines that may be required at the end of life.  It was considered that this flexibility was best managed for relevant medicines through continued PBS subsidy.</w:t>
      </w:r>
    </w:p>
    <w:p w:rsidR="004A5E07" w:rsidRPr="0095767B" w:rsidRDefault="004A5E07" w:rsidP="0095767B">
      <w:pPr>
        <w:ind w:left="709" w:firstLine="11"/>
        <w:jc w:val="both"/>
        <w:rPr>
          <w:rFonts w:ascii="Arial" w:hAnsi="Arial"/>
          <w:sz w:val="22"/>
          <w:szCs w:val="22"/>
        </w:rPr>
      </w:pPr>
      <w:r w:rsidRPr="0095767B">
        <w:rPr>
          <w:rFonts w:ascii="Arial" w:hAnsi="Arial"/>
          <w:sz w:val="22"/>
          <w:szCs w:val="22"/>
        </w:rPr>
        <w:t xml:space="preserve">These principles resulted in a number of </w:t>
      </w:r>
      <w:r w:rsidR="008B5B8A">
        <w:rPr>
          <w:rFonts w:ascii="Arial" w:hAnsi="Arial"/>
          <w:sz w:val="22"/>
          <w:szCs w:val="22"/>
        </w:rPr>
        <w:t xml:space="preserve">OTC </w:t>
      </w:r>
      <w:r w:rsidR="008B5B8A" w:rsidRPr="0095767B">
        <w:rPr>
          <w:rFonts w:ascii="Arial" w:hAnsi="Arial"/>
          <w:sz w:val="22"/>
          <w:szCs w:val="22"/>
        </w:rPr>
        <w:t>medicines</w:t>
      </w:r>
      <w:r w:rsidRPr="0095767B">
        <w:rPr>
          <w:rFonts w:ascii="Arial" w:hAnsi="Arial"/>
          <w:sz w:val="22"/>
          <w:szCs w:val="22"/>
        </w:rPr>
        <w:t xml:space="preserve"> being retained for full PBS subsidy </w:t>
      </w:r>
      <w:r w:rsidR="008B5B8A">
        <w:rPr>
          <w:rFonts w:ascii="Arial" w:hAnsi="Arial"/>
          <w:sz w:val="22"/>
          <w:szCs w:val="22"/>
        </w:rPr>
        <w:t>–</w:t>
      </w:r>
      <w:r w:rsidRPr="0095767B">
        <w:rPr>
          <w:rFonts w:ascii="Arial" w:hAnsi="Arial"/>
          <w:sz w:val="22"/>
          <w:szCs w:val="22"/>
        </w:rPr>
        <w:t xml:space="preserve"> including emergency drugs, nicotine replacement therapy, nutritional products, intravenous drugs, enzyme replacements and vitamin supplements.</w:t>
      </w:r>
    </w:p>
    <w:p w:rsidR="0095767B" w:rsidRPr="00222400" w:rsidRDefault="0095767B" w:rsidP="0095767B">
      <w:pPr>
        <w:pStyle w:val="ListParagraph"/>
        <w:jc w:val="both"/>
        <w:rPr>
          <w:rFonts w:ascii="Arial" w:hAnsi="Arial"/>
          <w:sz w:val="22"/>
          <w:szCs w:val="22"/>
        </w:rPr>
      </w:pPr>
    </w:p>
    <w:p w:rsidR="00222400" w:rsidRDefault="00222400" w:rsidP="00B72A4D">
      <w:pPr>
        <w:pStyle w:val="ListParagraph"/>
        <w:numPr>
          <w:ilvl w:val="1"/>
          <w:numId w:val="1"/>
        </w:numPr>
        <w:jc w:val="both"/>
        <w:rPr>
          <w:rFonts w:ascii="Arial" w:hAnsi="Arial"/>
          <w:sz w:val="22"/>
          <w:szCs w:val="22"/>
        </w:rPr>
      </w:pPr>
      <w:r w:rsidRPr="00222400">
        <w:rPr>
          <w:rFonts w:ascii="Arial" w:hAnsi="Arial"/>
          <w:sz w:val="22"/>
          <w:szCs w:val="22"/>
        </w:rPr>
        <w:t>The PBAC developed a guide for considering medicine affordability.  It indicated that medicines with an approved ex-manufacturer pric</w:t>
      </w:r>
      <w:r w:rsidR="00AD3BB5">
        <w:rPr>
          <w:rFonts w:ascii="Arial" w:hAnsi="Arial"/>
          <w:sz w:val="22"/>
          <w:szCs w:val="22"/>
        </w:rPr>
        <w:t>e above the PBS c</w:t>
      </w:r>
      <w:r>
        <w:rPr>
          <w:rFonts w:ascii="Arial" w:hAnsi="Arial"/>
          <w:sz w:val="22"/>
          <w:szCs w:val="22"/>
        </w:rPr>
        <w:t xml:space="preserve">oncessional </w:t>
      </w:r>
      <w:r w:rsidR="00AD3BB5">
        <w:rPr>
          <w:rFonts w:ascii="Arial" w:hAnsi="Arial"/>
          <w:sz w:val="22"/>
          <w:szCs w:val="22"/>
        </w:rPr>
        <w:t>c</w:t>
      </w:r>
      <w:r>
        <w:rPr>
          <w:rFonts w:ascii="Arial" w:hAnsi="Arial"/>
          <w:sz w:val="22"/>
          <w:szCs w:val="22"/>
        </w:rPr>
        <w:t>o</w:t>
      </w:r>
      <w:r>
        <w:rPr>
          <w:rFonts w:ascii="Arial" w:hAnsi="Arial"/>
          <w:sz w:val="22"/>
          <w:szCs w:val="22"/>
        </w:rPr>
        <w:noBreakHyphen/>
      </w:r>
      <w:r w:rsidRPr="00222400">
        <w:rPr>
          <w:rFonts w:ascii="Arial" w:hAnsi="Arial"/>
          <w:sz w:val="22"/>
          <w:szCs w:val="22"/>
        </w:rPr>
        <w:t>payment should remain on the PBS.  The approved ex-manufacturer price is a per pack</w:t>
      </w:r>
      <w:r w:rsidR="00AD3BB5">
        <w:rPr>
          <w:rFonts w:ascii="Arial" w:hAnsi="Arial"/>
          <w:sz w:val="22"/>
          <w:szCs w:val="22"/>
        </w:rPr>
        <w:t xml:space="preserve"> price – the comparison to the concessional c</w:t>
      </w:r>
      <w:r w:rsidRPr="00222400">
        <w:rPr>
          <w:rFonts w:ascii="Arial" w:hAnsi="Arial"/>
          <w:sz w:val="22"/>
          <w:szCs w:val="22"/>
        </w:rPr>
        <w:t>o-payment amount of $6.10 was not being made for the c</w:t>
      </w:r>
      <w:r w:rsidR="0095767B">
        <w:rPr>
          <w:rFonts w:ascii="Arial" w:hAnsi="Arial"/>
          <w:sz w:val="22"/>
          <w:szCs w:val="22"/>
        </w:rPr>
        <w:t>ost of a PBS supplied quantity.</w:t>
      </w:r>
      <w:r w:rsidRPr="00222400">
        <w:rPr>
          <w:rFonts w:ascii="Arial" w:hAnsi="Arial"/>
          <w:sz w:val="22"/>
          <w:szCs w:val="22"/>
        </w:rPr>
        <w:t xml:space="preserve"> The PBAC comparison to</w:t>
      </w:r>
      <w:r w:rsidR="00063D4B">
        <w:rPr>
          <w:rFonts w:ascii="Arial" w:hAnsi="Arial"/>
          <w:sz w:val="22"/>
          <w:szCs w:val="22"/>
        </w:rPr>
        <w:t xml:space="preserve"> the</w:t>
      </w:r>
      <w:r w:rsidRPr="00222400">
        <w:rPr>
          <w:rFonts w:ascii="Arial" w:hAnsi="Arial"/>
          <w:sz w:val="22"/>
          <w:szCs w:val="22"/>
        </w:rPr>
        <w:t xml:space="preserve"> </w:t>
      </w:r>
      <w:r w:rsidR="00AD3BB5">
        <w:rPr>
          <w:rFonts w:ascii="Arial" w:hAnsi="Arial"/>
          <w:sz w:val="22"/>
          <w:szCs w:val="22"/>
        </w:rPr>
        <w:t>concessional c</w:t>
      </w:r>
      <w:r w:rsidRPr="00222400">
        <w:rPr>
          <w:rFonts w:ascii="Arial" w:hAnsi="Arial"/>
          <w:sz w:val="22"/>
          <w:szCs w:val="22"/>
        </w:rPr>
        <w:t>o-payment amount also did not account for any potential mark-ups.  This is because the PBAC approach was not intended to be a comparison of the cost before and after removal from the PBS, but a guide used to assess affordability.</w:t>
      </w:r>
    </w:p>
    <w:p w:rsidR="00222400" w:rsidRPr="00222400" w:rsidRDefault="00222400" w:rsidP="00222400">
      <w:pPr>
        <w:pStyle w:val="ListParagraph"/>
        <w:rPr>
          <w:rFonts w:ascii="Arial" w:hAnsi="Arial"/>
          <w:sz w:val="22"/>
          <w:szCs w:val="22"/>
        </w:rPr>
      </w:pPr>
    </w:p>
    <w:p w:rsidR="00E606C9" w:rsidRDefault="0001539E" w:rsidP="003B2ED2">
      <w:pPr>
        <w:pStyle w:val="ListParagraph"/>
        <w:numPr>
          <w:ilvl w:val="1"/>
          <w:numId w:val="1"/>
        </w:numPr>
        <w:jc w:val="both"/>
        <w:rPr>
          <w:rFonts w:ascii="Arial" w:hAnsi="Arial"/>
          <w:sz w:val="22"/>
          <w:szCs w:val="22"/>
        </w:rPr>
      </w:pPr>
      <w:r>
        <w:rPr>
          <w:rFonts w:ascii="Arial" w:hAnsi="Arial"/>
          <w:sz w:val="22"/>
          <w:szCs w:val="22"/>
        </w:rPr>
        <w:t xml:space="preserve">At its July 2015 meeting, the PBAC provided further advice as to specific </w:t>
      </w:r>
      <w:r w:rsidR="0095767B">
        <w:rPr>
          <w:rFonts w:ascii="Arial" w:hAnsi="Arial"/>
          <w:sz w:val="22"/>
          <w:szCs w:val="22"/>
        </w:rPr>
        <w:t xml:space="preserve">OTC </w:t>
      </w:r>
      <w:r>
        <w:rPr>
          <w:rFonts w:ascii="Arial" w:hAnsi="Arial"/>
          <w:sz w:val="22"/>
          <w:szCs w:val="22"/>
        </w:rPr>
        <w:t xml:space="preserve">drugs that were listed on the PBS and advised which of those items it may be appropriate to remove from </w:t>
      </w:r>
      <w:r w:rsidR="003953CB">
        <w:rPr>
          <w:rFonts w:ascii="Arial" w:hAnsi="Arial"/>
          <w:sz w:val="22"/>
          <w:szCs w:val="22"/>
        </w:rPr>
        <w:t xml:space="preserve">general availability on </w:t>
      </w:r>
      <w:r>
        <w:rPr>
          <w:rFonts w:ascii="Arial" w:hAnsi="Arial"/>
          <w:sz w:val="22"/>
          <w:szCs w:val="22"/>
        </w:rPr>
        <w:t>the PBS.</w:t>
      </w:r>
      <w:r w:rsidR="0082704C">
        <w:rPr>
          <w:rFonts w:ascii="Arial" w:hAnsi="Arial"/>
          <w:sz w:val="22"/>
          <w:szCs w:val="22"/>
        </w:rPr>
        <w:t xml:space="preserve"> In providing this advice, the PBAC took into account submissions from suppliers and consumer groups.</w:t>
      </w:r>
      <w:r w:rsidR="003B2ED2">
        <w:rPr>
          <w:rFonts w:ascii="Arial" w:hAnsi="Arial"/>
          <w:sz w:val="22"/>
          <w:szCs w:val="22"/>
        </w:rPr>
        <w:t xml:space="preserve"> In the Overview prepared for the PBAC, the Secretariat highlighted those</w:t>
      </w:r>
      <w:r w:rsidR="003B2ED2" w:rsidRPr="003B2ED2">
        <w:rPr>
          <w:rFonts w:ascii="Arial" w:hAnsi="Arial"/>
          <w:sz w:val="22"/>
          <w:szCs w:val="22"/>
        </w:rPr>
        <w:t xml:space="preserve"> </w:t>
      </w:r>
      <w:r w:rsidR="003B2ED2">
        <w:rPr>
          <w:rFonts w:ascii="Arial" w:hAnsi="Arial"/>
          <w:sz w:val="22"/>
          <w:szCs w:val="22"/>
        </w:rPr>
        <w:t>d</w:t>
      </w:r>
      <w:r w:rsidR="003B2ED2" w:rsidRPr="003B2ED2">
        <w:rPr>
          <w:rFonts w:ascii="Arial" w:hAnsi="Arial"/>
          <w:sz w:val="22"/>
          <w:szCs w:val="22"/>
        </w:rPr>
        <w:t xml:space="preserve">rugs where the maximum quantity was greater than the pack </w:t>
      </w:r>
      <w:r w:rsidR="003B2ED2" w:rsidRPr="00BA4E28">
        <w:rPr>
          <w:rFonts w:ascii="Arial" w:hAnsi="Arial"/>
          <w:sz w:val="22"/>
          <w:szCs w:val="22"/>
        </w:rPr>
        <w:t>size</w:t>
      </w:r>
      <w:r w:rsidR="00FC35D2" w:rsidRPr="00BA4E28">
        <w:rPr>
          <w:rFonts w:ascii="Arial" w:hAnsi="Arial"/>
          <w:sz w:val="22"/>
          <w:szCs w:val="22"/>
        </w:rPr>
        <w:t>.</w:t>
      </w:r>
      <w:r w:rsidR="00F15484" w:rsidRPr="00BA4E28">
        <w:rPr>
          <w:rFonts w:ascii="Arial" w:hAnsi="Arial"/>
          <w:sz w:val="22"/>
          <w:szCs w:val="22"/>
        </w:rPr>
        <w:t xml:space="preserve"> The PBAC cons</w:t>
      </w:r>
      <w:r w:rsidR="00F15484">
        <w:rPr>
          <w:rFonts w:ascii="Arial" w:hAnsi="Arial"/>
          <w:sz w:val="22"/>
          <w:szCs w:val="22"/>
        </w:rPr>
        <w:t xml:space="preserve">idered that since these </w:t>
      </w:r>
      <w:r w:rsidR="00F15484">
        <w:rPr>
          <w:rFonts w:ascii="Arial" w:hAnsi="Arial"/>
          <w:sz w:val="22"/>
          <w:szCs w:val="22"/>
        </w:rPr>
        <w:lastRenderedPageBreak/>
        <w:t>products would remain available to Australian patients</w:t>
      </w:r>
      <w:r w:rsidR="00FC35D2">
        <w:rPr>
          <w:rFonts w:ascii="Arial" w:hAnsi="Arial"/>
          <w:sz w:val="22"/>
          <w:szCs w:val="22"/>
        </w:rPr>
        <w:t xml:space="preserve"> at a reasonable cost</w:t>
      </w:r>
      <w:r w:rsidR="00F15484">
        <w:rPr>
          <w:rFonts w:ascii="Arial" w:hAnsi="Arial"/>
          <w:sz w:val="22"/>
          <w:szCs w:val="22"/>
        </w:rPr>
        <w:t xml:space="preserve"> in the absence of PBS subsidy, the arguments made in these submissions were not sufficient to justify the required Commonwealth expenditure.</w:t>
      </w:r>
    </w:p>
    <w:p w:rsidR="00E606C9" w:rsidRPr="00E606C9" w:rsidRDefault="00E606C9" w:rsidP="00E606C9">
      <w:pPr>
        <w:pStyle w:val="ListParagraph"/>
        <w:rPr>
          <w:rFonts w:ascii="Arial" w:hAnsi="Arial"/>
          <w:sz w:val="22"/>
          <w:szCs w:val="22"/>
        </w:rPr>
      </w:pPr>
    </w:p>
    <w:p w:rsidR="00574DC5" w:rsidRPr="0095767B" w:rsidRDefault="00574DC5" w:rsidP="0095767B">
      <w:pPr>
        <w:pStyle w:val="ListParagraph"/>
        <w:numPr>
          <w:ilvl w:val="1"/>
          <w:numId w:val="1"/>
        </w:numPr>
        <w:jc w:val="both"/>
        <w:rPr>
          <w:rFonts w:ascii="Arial" w:hAnsi="Arial"/>
          <w:sz w:val="22"/>
          <w:szCs w:val="22"/>
        </w:rPr>
      </w:pPr>
      <w:r w:rsidRPr="0095767B">
        <w:rPr>
          <w:rFonts w:ascii="Arial" w:hAnsi="Arial"/>
          <w:sz w:val="22"/>
          <w:szCs w:val="22"/>
        </w:rPr>
        <w:t>All of the OTC medicines removed from general availability on the PB</w:t>
      </w:r>
      <w:r w:rsidR="00E66EDD" w:rsidRPr="0095767B">
        <w:rPr>
          <w:rFonts w:ascii="Arial" w:hAnsi="Arial"/>
          <w:sz w:val="22"/>
          <w:szCs w:val="22"/>
        </w:rPr>
        <w:t>S</w:t>
      </w:r>
      <w:r w:rsidR="00ED1C62">
        <w:rPr>
          <w:rFonts w:ascii="Arial" w:hAnsi="Arial"/>
          <w:sz w:val="22"/>
          <w:szCs w:val="22"/>
        </w:rPr>
        <w:t xml:space="preserve"> on 1 Jan</w:t>
      </w:r>
      <w:r w:rsidR="00353823">
        <w:rPr>
          <w:rFonts w:ascii="Arial" w:hAnsi="Arial"/>
          <w:sz w:val="22"/>
          <w:szCs w:val="22"/>
        </w:rPr>
        <w:t>u</w:t>
      </w:r>
      <w:r w:rsidR="00ED1C62">
        <w:rPr>
          <w:rFonts w:ascii="Arial" w:hAnsi="Arial"/>
          <w:sz w:val="22"/>
          <w:szCs w:val="22"/>
        </w:rPr>
        <w:t>a</w:t>
      </w:r>
      <w:r w:rsidR="00353823">
        <w:rPr>
          <w:rFonts w:ascii="Arial" w:hAnsi="Arial"/>
          <w:sz w:val="22"/>
          <w:szCs w:val="22"/>
        </w:rPr>
        <w:t>ry</w:t>
      </w:r>
      <w:r w:rsidR="00ED1C62">
        <w:rPr>
          <w:rFonts w:ascii="Arial" w:hAnsi="Arial"/>
          <w:sz w:val="22"/>
          <w:szCs w:val="22"/>
        </w:rPr>
        <w:t> </w:t>
      </w:r>
      <w:r w:rsidR="00353823">
        <w:rPr>
          <w:rFonts w:ascii="Arial" w:hAnsi="Arial"/>
          <w:sz w:val="22"/>
          <w:szCs w:val="22"/>
        </w:rPr>
        <w:t>2016</w:t>
      </w:r>
      <w:r w:rsidR="00E66EDD" w:rsidRPr="0095767B">
        <w:rPr>
          <w:rFonts w:ascii="Arial" w:hAnsi="Arial"/>
          <w:sz w:val="22"/>
          <w:szCs w:val="22"/>
        </w:rPr>
        <w:t xml:space="preserve"> had an ex</w:t>
      </w:r>
      <w:r w:rsidR="00E66EDD" w:rsidRPr="0095767B">
        <w:rPr>
          <w:rFonts w:ascii="Arial" w:hAnsi="Arial"/>
          <w:sz w:val="22"/>
          <w:szCs w:val="22"/>
        </w:rPr>
        <w:noBreakHyphen/>
      </w:r>
      <w:r w:rsidRPr="0095767B">
        <w:rPr>
          <w:rFonts w:ascii="Arial" w:hAnsi="Arial"/>
          <w:sz w:val="22"/>
          <w:szCs w:val="22"/>
        </w:rPr>
        <w:t>manufacturer price per pack below the 2015 PBS concessional co-payment.</w:t>
      </w:r>
    </w:p>
    <w:p w:rsidR="0082704C" w:rsidRPr="0082704C" w:rsidRDefault="0082704C" w:rsidP="0082704C">
      <w:pPr>
        <w:pStyle w:val="ListParagraph"/>
        <w:rPr>
          <w:rFonts w:ascii="Arial" w:hAnsi="Arial"/>
          <w:sz w:val="22"/>
          <w:szCs w:val="22"/>
        </w:rPr>
      </w:pPr>
    </w:p>
    <w:p w:rsidR="0082704C" w:rsidRDefault="0082704C" w:rsidP="0087142B">
      <w:pPr>
        <w:pStyle w:val="ListParagraph"/>
        <w:numPr>
          <w:ilvl w:val="1"/>
          <w:numId w:val="1"/>
        </w:numPr>
        <w:jc w:val="both"/>
        <w:rPr>
          <w:rFonts w:ascii="Arial" w:hAnsi="Arial"/>
          <w:sz w:val="22"/>
          <w:szCs w:val="22"/>
        </w:rPr>
      </w:pPr>
      <w:r>
        <w:rPr>
          <w:rFonts w:ascii="Arial" w:hAnsi="Arial"/>
          <w:sz w:val="22"/>
          <w:szCs w:val="22"/>
        </w:rPr>
        <w:t xml:space="preserve">While some consumers will not be able to access delisted OTC products free </w:t>
      </w:r>
      <w:r w:rsidR="004A5E07">
        <w:rPr>
          <w:rFonts w:ascii="Arial" w:hAnsi="Arial"/>
          <w:sz w:val="22"/>
          <w:szCs w:val="22"/>
        </w:rPr>
        <w:t xml:space="preserve">of charge </w:t>
      </w:r>
      <w:r>
        <w:rPr>
          <w:rFonts w:ascii="Arial" w:hAnsi="Arial"/>
          <w:sz w:val="22"/>
          <w:szCs w:val="22"/>
        </w:rPr>
        <w:t xml:space="preserve">(once they reach their safety net), and may pay more for some OTC medicines, </w:t>
      </w:r>
      <w:r w:rsidR="004848B4">
        <w:rPr>
          <w:rFonts w:ascii="Arial" w:hAnsi="Arial"/>
          <w:sz w:val="22"/>
          <w:szCs w:val="22"/>
        </w:rPr>
        <w:t xml:space="preserve">it is understood by the PBAC that </w:t>
      </w:r>
      <w:r>
        <w:rPr>
          <w:rFonts w:ascii="Arial" w:hAnsi="Arial"/>
          <w:sz w:val="22"/>
          <w:szCs w:val="22"/>
        </w:rPr>
        <w:t>other measures, such as allowing pharmacies to discount the PBS co</w:t>
      </w:r>
      <w:r>
        <w:rPr>
          <w:rFonts w:ascii="Arial" w:hAnsi="Arial"/>
          <w:sz w:val="22"/>
          <w:szCs w:val="22"/>
        </w:rPr>
        <w:noBreakHyphen/>
        <w:t>payment and other changes to prices (e.g. encouraging greater access to generics) will make many medicines more affordable.</w:t>
      </w:r>
    </w:p>
    <w:p w:rsidR="0082704C" w:rsidRPr="0090379E" w:rsidRDefault="0082704C" w:rsidP="00AC01DF">
      <w:pPr>
        <w:pStyle w:val="Heading3"/>
      </w:pPr>
      <w:r w:rsidRPr="0090379E">
        <w:t xml:space="preserve">Delisting of Panadol </w:t>
      </w:r>
      <w:proofErr w:type="spellStart"/>
      <w:r w:rsidRPr="0090379E">
        <w:t>Osteo</w:t>
      </w:r>
      <w:proofErr w:type="spellEnd"/>
      <w:r w:rsidRPr="0090379E">
        <w:t>®</w:t>
      </w:r>
    </w:p>
    <w:p w:rsidR="0082704C" w:rsidRPr="00702739" w:rsidRDefault="0082704C" w:rsidP="0082704C">
      <w:pPr>
        <w:pStyle w:val="ListParagraph"/>
        <w:keepNext/>
        <w:ind w:hanging="720"/>
        <w:jc w:val="both"/>
        <w:rPr>
          <w:rFonts w:ascii="Arial" w:hAnsi="Arial"/>
          <w:b/>
          <w:i/>
          <w:sz w:val="22"/>
          <w:szCs w:val="22"/>
        </w:rPr>
      </w:pPr>
    </w:p>
    <w:p w:rsidR="004E37A9" w:rsidRDefault="0082704C" w:rsidP="00222400">
      <w:pPr>
        <w:pStyle w:val="ListParagraph"/>
        <w:numPr>
          <w:ilvl w:val="1"/>
          <w:numId w:val="1"/>
        </w:numPr>
        <w:jc w:val="both"/>
        <w:rPr>
          <w:rFonts w:ascii="Arial" w:hAnsi="Arial"/>
          <w:sz w:val="22"/>
          <w:szCs w:val="22"/>
        </w:rPr>
      </w:pPr>
      <w:r>
        <w:rPr>
          <w:rFonts w:ascii="Arial" w:hAnsi="Arial"/>
          <w:sz w:val="22"/>
          <w:szCs w:val="22"/>
        </w:rPr>
        <w:t xml:space="preserve">In this context, </w:t>
      </w:r>
      <w:r w:rsidR="00222400">
        <w:rPr>
          <w:rFonts w:ascii="Arial" w:hAnsi="Arial"/>
          <w:sz w:val="22"/>
          <w:szCs w:val="22"/>
        </w:rPr>
        <w:t xml:space="preserve">in July 2015 the </w:t>
      </w:r>
      <w:r>
        <w:rPr>
          <w:rFonts w:ascii="Arial" w:hAnsi="Arial"/>
          <w:sz w:val="22"/>
          <w:szCs w:val="22"/>
        </w:rPr>
        <w:t xml:space="preserve">PBAC </w:t>
      </w:r>
      <w:r w:rsidR="00222400">
        <w:rPr>
          <w:rFonts w:ascii="Arial" w:hAnsi="Arial"/>
          <w:sz w:val="22"/>
          <w:szCs w:val="22"/>
        </w:rPr>
        <w:t xml:space="preserve">gave specific advice that, taking into consideration the overall cost of the PBS subsidy, paracetamol 665 mg tablets should be restricted from general PBS availability. </w:t>
      </w:r>
      <w:r w:rsidR="0095096C">
        <w:rPr>
          <w:rFonts w:ascii="Arial" w:hAnsi="Arial"/>
          <w:sz w:val="22"/>
          <w:szCs w:val="22"/>
        </w:rPr>
        <w:t>The PBAC recommended that the product only remain listed for palliative care and Aboriginal and/or Torres Strait Islander patients with persistent pain associated with osteoarthritis.</w:t>
      </w:r>
    </w:p>
    <w:p w:rsidR="00D73C8E" w:rsidRDefault="00D73C8E" w:rsidP="00D73C8E">
      <w:pPr>
        <w:pStyle w:val="ListParagraph"/>
        <w:jc w:val="both"/>
        <w:rPr>
          <w:rFonts w:ascii="Arial" w:hAnsi="Arial"/>
          <w:sz w:val="22"/>
          <w:szCs w:val="22"/>
        </w:rPr>
      </w:pPr>
    </w:p>
    <w:p w:rsidR="00D73C8E" w:rsidRPr="00D73C8E" w:rsidRDefault="00D73C8E" w:rsidP="00D73C8E">
      <w:pPr>
        <w:pStyle w:val="ListParagraph"/>
        <w:numPr>
          <w:ilvl w:val="1"/>
          <w:numId w:val="1"/>
        </w:numPr>
        <w:rPr>
          <w:rFonts w:ascii="Arial" w:hAnsi="Arial"/>
          <w:sz w:val="22"/>
          <w:szCs w:val="22"/>
        </w:rPr>
      </w:pPr>
      <w:r w:rsidRPr="00D73C8E">
        <w:rPr>
          <w:rFonts w:ascii="Arial" w:hAnsi="Arial"/>
          <w:sz w:val="22"/>
          <w:szCs w:val="22"/>
        </w:rPr>
        <w:t xml:space="preserve">In making its recommendation in July 2015, the PBAC considered submissions from the Panadol </w:t>
      </w:r>
      <w:proofErr w:type="spellStart"/>
      <w:r w:rsidRPr="00D73C8E">
        <w:rPr>
          <w:rFonts w:ascii="Arial" w:hAnsi="Arial"/>
          <w:sz w:val="22"/>
          <w:szCs w:val="22"/>
        </w:rPr>
        <w:t>Osteo</w:t>
      </w:r>
      <w:proofErr w:type="spellEnd"/>
      <w:r w:rsidRPr="00D73C8E">
        <w:rPr>
          <w:rFonts w:ascii="Arial" w:hAnsi="Arial"/>
          <w:sz w:val="22"/>
          <w:szCs w:val="22"/>
        </w:rPr>
        <w:t>® sponsor and the Australian Rheumatology Association that said the over-the-counter price for the PBS quantity of two packs would be higher than the PBS cost to concessional patients.</w:t>
      </w:r>
    </w:p>
    <w:p w:rsidR="004E37A9" w:rsidRDefault="004E37A9" w:rsidP="004E37A9">
      <w:pPr>
        <w:pStyle w:val="ListParagraph"/>
        <w:jc w:val="both"/>
        <w:rPr>
          <w:rFonts w:ascii="Arial" w:hAnsi="Arial"/>
          <w:sz w:val="22"/>
          <w:szCs w:val="22"/>
        </w:rPr>
      </w:pPr>
    </w:p>
    <w:p w:rsidR="004E37A9" w:rsidRPr="00ED0380" w:rsidRDefault="004E37A9" w:rsidP="004E37A9">
      <w:pPr>
        <w:pStyle w:val="ListParagraph"/>
        <w:numPr>
          <w:ilvl w:val="1"/>
          <w:numId w:val="1"/>
        </w:numPr>
        <w:jc w:val="both"/>
        <w:rPr>
          <w:rFonts w:ascii="Arial" w:hAnsi="Arial"/>
          <w:i/>
          <w:sz w:val="22"/>
          <w:szCs w:val="22"/>
        </w:rPr>
      </w:pPr>
      <w:r>
        <w:rPr>
          <w:rFonts w:ascii="Arial" w:hAnsi="Arial"/>
          <w:sz w:val="22"/>
          <w:szCs w:val="22"/>
        </w:rPr>
        <w:t>T</w:t>
      </w:r>
      <w:r w:rsidRPr="0001539E">
        <w:rPr>
          <w:rFonts w:ascii="Arial" w:hAnsi="Arial"/>
          <w:sz w:val="22"/>
          <w:szCs w:val="22"/>
        </w:rPr>
        <w:t xml:space="preserve">he </w:t>
      </w:r>
      <w:r>
        <w:rPr>
          <w:rFonts w:ascii="Arial" w:hAnsi="Arial"/>
          <w:sz w:val="22"/>
          <w:szCs w:val="22"/>
        </w:rPr>
        <w:t>Guild correspondence</w:t>
      </w:r>
      <w:r w:rsidR="00045A4A">
        <w:rPr>
          <w:rFonts w:ascii="Arial" w:hAnsi="Arial"/>
          <w:sz w:val="22"/>
          <w:szCs w:val="22"/>
        </w:rPr>
        <w:t xml:space="preserve"> dated 17 December 2015</w:t>
      </w:r>
      <w:r>
        <w:rPr>
          <w:rFonts w:ascii="Arial" w:hAnsi="Arial"/>
          <w:sz w:val="22"/>
          <w:szCs w:val="22"/>
        </w:rPr>
        <w:t xml:space="preserve"> argued that</w:t>
      </w:r>
      <w:r w:rsidRPr="0001539E">
        <w:rPr>
          <w:rFonts w:ascii="Arial" w:hAnsi="Arial"/>
          <w:sz w:val="22"/>
          <w:szCs w:val="22"/>
        </w:rPr>
        <w:t xml:space="preserve"> patients </w:t>
      </w:r>
      <w:r>
        <w:rPr>
          <w:rFonts w:ascii="Arial" w:hAnsi="Arial"/>
          <w:sz w:val="22"/>
          <w:szCs w:val="22"/>
        </w:rPr>
        <w:t xml:space="preserve">who were previously </w:t>
      </w:r>
      <w:r w:rsidRPr="0001539E">
        <w:rPr>
          <w:rFonts w:ascii="Arial" w:hAnsi="Arial"/>
          <w:sz w:val="22"/>
          <w:szCs w:val="22"/>
        </w:rPr>
        <w:t xml:space="preserve">prescribed two packs with a single payment of $7.52 </w:t>
      </w:r>
      <w:r w:rsidR="00D73C8E">
        <w:rPr>
          <w:rFonts w:ascii="Arial" w:hAnsi="Arial"/>
          <w:sz w:val="22"/>
          <w:szCs w:val="22"/>
        </w:rPr>
        <w:t xml:space="preserve">(co-payment $6.10 + brand premium $1.42) </w:t>
      </w:r>
      <w:r w:rsidRPr="0001539E">
        <w:rPr>
          <w:rFonts w:ascii="Arial" w:hAnsi="Arial"/>
          <w:sz w:val="22"/>
          <w:szCs w:val="22"/>
        </w:rPr>
        <w:t xml:space="preserve">will be financially disadvantaged by pharmacies charging more than this for two packs of Panadol </w:t>
      </w:r>
      <w:proofErr w:type="spellStart"/>
      <w:r w:rsidRPr="0001539E">
        <w:rPr>
          <w:rFonts w:ascii="Arial" w:hAnsi="Arial"/>
          <w:sz w:val="22"/>
          <w:szCs w:val="22"/>
        </w:rPr>
        <w:t>Osteo</w:t>
      </w:r>
      <w:proofErr w:type="spellEnd"/>
      <w:r w:rsidRPr="0001539E">
        <w:rPr>
          <w:rFonts w:ascii="Arial" w:hAnsi="Arial"/>
          <w:sz w:val="22"/>
          <w:szCs w:val="22"/>
        </w:rPr>
        <w:t>® OTC.</w:t>
      </w:r>
    </w:p>
    <w:p w:rsidR="004E37A9" w:rsidRDefault="004E37A9" w:rsidP="004E37A9">
      <w:pPr>
        <w:pStyle w:val="ListParagraph"/>
        <w:jc w:val="both"/>
        <w:rPr>
          <w:rFonts w:ascii="Arial" w:hAnsi="Arial"/>
          <w:sz w:val="22"/>
          <w:szCs w:val="22"/>
        </w:rPr>
      </w:pPr>
    </w:p>
    <w:p w:rsidR="0082704C" w:rsidRDefault="00045A4A" w:rsidP="004E37A9">
      <w:pPr>
        <w:pStyle w:val="ListParagraph"/>
        <w:numPr>
          <w:ilvl w:val="1"/>
          <w:numId w:val="1"/>
        </w:numPr>
        <w:jc w:val="both"/>
        <w:rPr>
          <w:rFonts w:ascii="Arial" w:hAnsi="Arial"/>
          <w:sz w:val="22"/>
          <w:szCs w:val="22"/>
        </w:rPr>
      </w:pPr>
      <w:r>
        <w:rPr>
          <w:rFonts w:ascii="Arial" w:hAnsi="Arial"/>
          <w:sz w:val="22"/>
          <w:szCs w:val="22"/>
        </w:rPr>
        <w:t>Following notice of the recommendation to tighten the PBS listing, r</w:t>
      </w:r>
      <w:r w:rsidR="0082704C">
        <w:rPr>
          <w:rFonts w:ascii="Arial" w:hAnsi="Arial"/>
          <w:sz w:val="22"/>
          <w:szCs w:val="22"/>
        </w:rPr>
        <w:t>ather than maintain listing on the Palliative Care Schedule and for Aboriginal and/or Torres Strait Islander patients</w:t>
      </w:r>
      <w:r w:rsidR="001D2AD7">
        <w:rPr>
          <w:rFonts w:ascii="Arial" w:hAnsi="Arial"/>
          <w:sz w:val="22"/>
          <w:szCs w:val="22"/>
        </w:rPr>
        <w:t xml:space="preserve"> with persistent pain associated with osteoarthritis</w:t>
      </w:r>
      <w:r w:rsidR="0082704C">
        <w:rPr>
          <w:rFonts w:ascii="Arial" w:hAnsi="Arial"/>
          <w:sz w:val="22"/>
          <w:szCs w:val="22"/>
        </w:rPr>
        <w:t>, t</w:t>
      </w:r>
      <w:r w:rsidR="0082704C" w:rsidRPr="00574DC5">
        <w:rPr>
          <w:rFonts w:ascii="Arial" w:hAnsi="Arial"/>
          <w:sz w:val="22"/>
          <w:szCs w:val="22"/>
        </w:rPr>
        <w:t xml:space="preserve">he </w:t>
      </w:r>
      <w:r w:rsidR="0082704C">
        <w:rPr>
          <w:rFonts w:ascii="Arial" w:hAnsi="Arial"/>
          <w:sz w:val="22"/>
          <w:szCs w:val="22"/>
        </w:rPr>
        <w:t>sponsor</w:t>
      </w:r>
      <w:r w:rsidR="0082704C" w:rsidRPr="00574DC5">
        <w:rPr>
          <w:rFonts w:ascii="Arial" w:hAnsi="Arial"/>
          <w:sz w:val="22"/>
          <w:szCs w:val="22"/>
        </w:rPr>
        <w:t xml:space="preserve"> of Panadol </w:t>
      </w:r>
      <w:proofErr w:type="spellStart"/>
      <w:r w:rsidR="0082704C" w:rsidRPr="00574DC5">
        <w:rPr>
          <w:rFonts w:ascii="Arial" w:hAnsi="Arial"/>
          <w:sz w:val="22"/>
          <w:szCs w:val="22"/>
        </w:rPr>
        <w:t>Osteo</w:t>
      </w:r>
      <w:proofErr w:type="spellEnd"/>
      <w:r w:rsidR="0082704C" w:rsidRPr="00574DC5">
        <w:rPr>
          <w:rFonts w:ascii="Arial" w:hAnsi="Arial"/>
          <w:sz w:val="22"/>
          <w:szCs w:val="22"/>
        </w:rPr>
        <w:t xml:space="preserve">® decided to completely delist this product </w:t>
      </w:r>
      <w:r>
        <w:rPr>
          <w:rFonts w:ascii="Arial" w:hAnsi="Arial"/>
          <w:sz w:val="22"/>
          <w:szCs w:val="22"/>
        </w:rPr>
        <w:t xml:space="preserve">from the PBS </w:t>
      </w:r>
      <w:r w:rsidR="0082704C" w:rsidRPr="00574DC5">
        <w:rPr>
          <w:rFonts w:ascii="Arial" w:hAnsi="Arial"/>
          <w:sz w:val="22"/>
          <w:szCs w:val="22"/>
        </w:rPr>
        <w:t>and increase its OTC wholesale price by around 50 per cent.</w:t>
      </w:r>
    </w:p>
    <w:p w:rsidR="00CB576E" w:rsidRPr="00CB576E" w:rsidRDefault="00CB576E" w:rsidP="004E37A9">
      <w:pPr>
        <w:pStyle w:val="ListParagraph"/>
        <w:jc w:val="both"/>
        <w:rPr>
          <w:rFonts w:ascii="Arial" w:hAnsi="Arial"/>
          <w:sz w:val="22"/>
          <w:szCs w:val="22"/>
        </w:rPr>
      </w:pPr>
    </w:p>
    <w:p w:rsidR="00CB576E" w:rsidRPr="00BE0275" w:rsidRDefault="00BE0275" w:rsidP="004E37A9">
      <w:pPr>
        <w:pStyle w:val="ListParagraph"/>
        <w:numPr>
          <w:ilvl w:val="1"/>
          <w:numId w:val="1"/>
        </w:numPr>
        <w:jc w:val="both"/>
        <w:rPr>
          <w:rFonts w:ascii="Arial" w:hAnsi="Arial"/>
          <w:sz w:val="22"/>
          <w:szCs w:val="22"/>
        </w:rPr>
      </w:pPr>
      <w:r w:rsidRPr="00ED0380">
        <w:rPr>
          <w:rFonts w:ascii="Arial" w:hAnsi="Arial"/>
          <w:sz w:val="22"/>
          <w:szCs w:val="22"/>
        </w:rPr>
        <w:t xml:space="preserve">The market dominant brand of paracetamol 665 mg on the PBS was Panadol </w:t>
      </w:r>
      <w:proofErr w:type="spellStart"/>
      <w:r w:rsidRPr="00ED0380">
        <w:rPr>
          <w:rFonts w:ascii="Arial" w:hAnsi="Arial"/>
          <w:sz w:val="22"/>
          <w:szCs w:val="22"/>
        </w:rPr>
        <w:t>Osteo</w:t>
      </w:r>
      <w:proofErr w:type="spellEnd"/>
      <w:r w:rsidRPr="00ED0380">
        <w:rPr>
          <w:rFonts w:ascii="Arial" w:hAnsi="Arial"/>
          <w:sz w:val="22"/>
          <w:szCs w:val="22"/>
        </w:rPr>
        <w:t xml:space="preserve">®. The sponsor of the brand remaining on the PBS, </w:t>
      </w:r>
      <w:proofErr w:type="spellStart"/>
      <w:r w:rsidRPr="00ED0380">
        <w:rPr>
          <w:rFonts w:ascii="Arial" w:hAnsi="Arial"/>
          <w:sz w:val="22"/>
          <w:szCs w:val="22"/>
        </w:rPr>
        <w:t>Osteomol</w:t>
      </w:r>
      <w:proofErr w:type="spellEnd"/>
      <w:r w:rsidRPr="00ED0380">
        <w:rPr>
          <w:rFonts w:ascii="Arial" w:hAnsi="Arial"/>
          <w:sz w:val="22"/>
          <w:szCs w:val="22"/>
        </w:rPr>
        <w:t>®, would not</w:t>
      </w:r>
      <w:r w:rsidRPr="00BE0275">
        <w:rPr>
          <w:rFonts w:ascii="Arial" w:hAnsi="Arial"/>
          <w:sz w:val="22"/>
          <w:szCs w:val="22"/>
        </w:rPr>
        <w:t xml:space="preserve"> have expected to be requested to supply its product in the same high quantities as Panadol </w:t>
      </w:r>
      <w:proofErr w:type="spellStart"/>
      <w:r w:rsidRPr="00BE0275">
        <w:rPr>
          <w:rFonts w:ascii="Arial" w:hAnsi="Arial"/>
          <w:sz w:val="22"/>
          <w:szCs w:val="22"/>
        </w:rPr>
        <w:t>Osteo</w:t>
      </w:r>
      <w:proofErr w:type="spellEnd"/>
      <w:r>
        <w:rPr>
          <w:rFonts w:ascii="Arial" w:hAnsi="Arial"/>
          <w:sz w:val="22"/>
          <w:szCs w:val="22"/>
        </w:rPr>
        <w:t>®</w:t>
      </w:r>
      <w:r w:rsidR="00ED0380">
        <w:rPr>
          <w:rFonts w:ascii="Arial" w:hAnsi="Arial"/>
          <w:sz w:val="22"/>
          <w:szCs w:val="22"/>
        </w:rPr>
        <w:t>.</w:t>
      </w:r>
      <w:r w:rsidRPr="00BE0275">
        <w:rPr>
          <w:rFonts w:ascii="Arial" w:hAnsi="Arial"/>
          <w:sz w:val="22"/>
          <w:szCs w:val="22"/>
        </w:rPr>
        <w:t xml:space="preserve"> The company that produces </w:t>
      </w:r>
      <w:proofErr w:type="spellStart"/>
      <w:r w:rsidRPr="00BE0275">
        <w:rPr>
          <w:rFonts w:ascii="Arial" w:hAnsi="Arial"/>
          <w:sz w:val="22"/>
          <w:szCs w:val="22"/>
        </w:rPr>
        <w:t>Osteomol</w:t>
      </w:r>
      <w:proofErr w:type="spellEnd"/>
      <w:r w:rsidR="006F4910" w:rsidRPr="00ED0380">
        <w:rPr>
          <w:rFonts w:ascii="Arial" w:hAnsi="Arial"/>
          <w:sz w:val="22"/>
          <w:szCs w:val="22"/>
        </w:rPr>
        <w:t>®</w:t>
      </w:r>
      <w:r w:rsidRPr="00BE0275">
        <w:rPr>
          <w:rFonts w:ascii="Arial" w:hAnsi="Arial"/>
          <w:sz w:val="22"/>
          <w:szCs w:val="22"/>
        </w:rPr>
        <w:t xml:space="preserve"> is dealing with increasing supply requirements.</w:t>
      </w:r>
    </w:p>
    <w:p w:rsidR="002A6EC9" w:rsidRPr="00715F10" w:rsidRDefault="002A6EC9" w:rsidP="002A6EC9">
      <w:pPr>
        <w:jc w:val="both"/>
        <w:rPr>
          <w:rFonts w:ascii="Arial" w:hAnsi="Arial"/>
          <w:sz w:val="22"/>
          <w:szCs w:val="22"/>
        </w:rPr>
      </w:pPr>
    </w:p>
    <w:p w:rsidR="0006776B" w:rsidRPr="00F15484" w:rsidRDefault="0006776B" w:rsidP="0087142B">
      <w:pPr>
        <w:pStyle w:val="ListParagraph"/>
        <w:numPr>
          <w:ilvl w:val="1"/>
          <w:numId w:val="1"/>
        </w:numPr>
        <w:jc w:val="both"/>
        <w:rPr>
          <w:rFonts w:ascii="Arial" w:hAnsi="Arial"/>
          <w:sz w:val="22"/>
          <w:szCs w:val="22"/>
        </w:rPr>
      </w:pPr>
      <w:r w:rsidRPr="00F15484">
        <w:rPr>
          <w:rFonts w:ascii="Arial" w:hAnsi="Arial"/>
          <w:sz w:val="22"/>
          <w:szCs w:val="22"/>
        </w:rPr>
        <w:t xml:space="preserve">Price agreements are made under section 85AD of the </w:t>
      </w:r>
      <w:r w:rsidRPr="000313F6">
        <w:rPr>
          <w:rFonts w:ascii="Arial" w:hAnsi="Arial"/>
          <w:i/>
          <w:sz w:val="22"/>
          <w:szCs w:val="22"/>
        </w:rPr>
        <w:t>National Health Act 1953</w:t>
      </w:r>
      <w:r w:rsidRPr="00F15484">
        <w:rPr>
          <w:rFonts w:ascii="Arial" w:hAnsi="Arial"/>
          <w:sz w:val="22"/>
          <w:szCs w:val="22"/>
        </w:rPr>
        <w:t xml:space="preserve"> (the Act) at the ex-manufacture</w:t>
      </w:r>
      <w:r w:rsidR="000313F6">
        <w:rPr>
          <w:rFonts w:ascii="Arial" w:hAnsi="Arial"/>
          <w:sz w:val="22"/>
          <w:szCs w:val="22"/>
        </w:rPr>
        <w:t>r</w:t>
      </w:r>
      <w:r w:rsidRPr="00F15484">
        <w:rPr>
          <w:rFonts w:ascii="Arial" w:hAnsi="Arial"/>
          <w:sz w:val="22"/>
          <w:szCs w:val="22"/>
        </w:rPr>
        <w:t xml:space="preserve"> price level.</w:t>
      </w:r>
    </w:p>
    <w:p w:rsidR="0006776B" w:rsidRPr="00F15484" w:rsidRDefault="0006776B" w:rsidP="0087142B">
      <w:pPr>
        <w:pStyle w:val="ListParagraph"/>
        <w:numPr>
          <w:ilvl w:val="2"/>
          <w:numId w:val="1"/>
        </w:numPr>
        <w:ind w:left="993" w:hanging="284"/>
        <w:jc w:val="both"/>
        <w:rPr>
          <w:rFonts w:ascii="Arial" w:hAnsi="Arial"/>
          <w:sz w:val="22"/>
          <w:szCs w:val="22"/>
        </w:rPr>
      </w:pPr>
      <w:r w:rsidRPr="00F15484">
        <w:rPr>
          <w:rFonts w:ascii="Arial" w:hAnsi="Arial"/>
          <w:sz w:val="22"/>
          <w:szCs w:val="22"/>
        </w:rPr>
        <w:t xml:space="preserve">Price agreements are made for the pricing quantity of a pharmaceutical item which is the lowest of any pack quantity of any listed brand of the pharmaceutical item (Section 84AK of the Act). </w:t>
      </w:r>
    </w:p>
    <w:p w:rsidR="0006776B" w:rsidRPr="00F15484" w:rsidRDefault="0006776B" w:rsidP="0087142B">
      <w:pPr>
        <w:pStyle w:val="ListParagraph"/>
        <w:numPr>
          <w:ilvl w:val="2"/>
          <w:numId w:val="1"/>
        </w:numPr>
        <w:ind w:left="993" w:hanging="284"/>
        <w:jc w:val="both"/>
        <w:rPr>
          <w:rFonts w:ascii="Arial" w:hAnsi="Arial"/>
          <w:sz w:val="22"/>
          <w:szCs w:val="22"/>
        </w:rPr>
      </w:pPr>
      <w:r w:rsidRPr="00F15484">
        <w:rPr>
          <w:rFonts w:ascii="Arial" w:hAnsi="Arial"/>
          <w:sz w:val="22"/>
          <w:szCs w:val="22"/>
        </w:rPr>
        <w:t xml:space="preserve">For Panadol </w:t>
      </w:r>
      <w:proofErr w:type="spellStart"/>
      <w:r w:rsidRPr="00F15484">
        <w:rPr>
          <w:rFonts w:ascii="Arial" w:hAnsi="Arial"/>
          <w:sz w:val="22"/>
          <w:szCs w:val="22"/>
        </w:rPr>
        <w:t>Osteo</w:t>
      </w:r>
      <w:proofErr w:type="spellEnd"/>
      <w:r w:rsidR="00D701D1" w:rsidRPr="00F15484">
        <w:rPr>
          <w:rFonts w:ascii="Arial" w:hAnsi="Arial"/>
          <w:sz w:val="22"/>
          <w:szCs w:val="22"/>
        </w:rPr>
        <w:t>®</w:t>
      </w:r>
      <w:r w:rsidRPr="00F15484">
        <w:rPr>
          <w:rFonts w:ascii="Arial" w:hAnsi="Arial"/>
          <w:sz w:val="22"/>
          <w:szCs w:val="22"/>
        </w:rPr>
        <w:t xml:space="preserve"> the pricing quantity was 96 tablets (1 pack). The maximum quantity was 192 tablets (2 packs). </w:t>
      </w:r>
    </w:p>
    <w:p w:rsidR="0006776B" w:rsidRPr="00F15484" w:rsidRDefault="0006776B" w:rsidP="0087142B">
      <w:pPr>
        <w:pStyle w:val="ListParagraph"/>
        <w:numPr>
          <w:ilvl w:val="2"/>
          <w:numId w:val="1"/>
        </w:numPr>
        <w:ind w:left="993" w:hanging="284"/>
        <w:jc w:val="both"/>
        <w:rPr>
          <w:rFonts w:ascii="Arial" w:hAnsi="Arial"/>
          <w:sz w:val="22"/>
          <w:szCs w:val="22"/>
        </w:rPr>
      </w:pPr>
      <w:r w:rsidRPr="00F15484">
        <w:rPr>
          <w:rFonts w:ascii="Arial" w:hAnsi="Arial"/>
          <w:sz w:val="22"/>
          <w:szCs w:val="22"/>
        </w:rPr>
        <w:lastRenderedPageBreak/>
        <w:t xml:space="preserve">The approved ex-manufacturer price for Panadol </w:t>
      </w:r>
      <w:proofErr w:type="spellStart"/>
      <w:r w:rsidRPr="00F15484">
        <w:rPr>
          <w:rFonts w:ascii="Arial" w:hAnsi="Arial"/>
          <w:sz w:val="22"/>
          <w:szCs w:val="22"/>
        </w:rPr>
        <w:t>Osteo</w:t>
      </w:r>
      <w:proofErr w:type="spellEnd"/>
      <w:r w:rsidR="00D701D1" w:rsidRPr="00F15484">
        <w:rPr>
          <w:rFonts w:ascii="Arial" w:hAnsi="Arial"/>
          <w:sz w:val="22"/>
          <w:szCs w:val="22"/>
        </w:rPr>
        <w:t>®</w:t>
      </w:r>
      <w:r w:rsidRPr="00F15484">
        <w:rPr>
          <w:rFonts w:ascii="Arial" w:hAnsi="Arial"/>
          <w:sz w:val="22"/>
          <w:szCs w:val="22"/>
        </w:rPr>
        <w:t xml:space="preserve"> prior to 1 January 2016 was $3.47. </w:t>
      </w:r>
    </w:p>
    <w:p w:rsidR="0006776B" w:rsidRDefault="0006776B" w:rsidP="0087142B">
      <w:pPr>
        <w:pStyle w:val="ListParagraph"/>
        <w:numPr>
          <w:ilvl w:val="2"/>
          <w:numId w:val="1"/>
        </w:numPr>
        <w:ind w:left="993" w:hanging="284"/>
        <w:jc w:val="both"/>
        <w:rPr>
          <w:rFonts w:ascii="Arial" w:hAnsi="Arial"/>
          <w:sz w:val="22"/>
          <w:szCs w:val="22"/>
        </w:rPr>
      </w:pPr>
      <w:r w:rsidRPr="00F15484">
        <w:rPr>
          <w:rFonts w:ascii="Arial" w:hAnsi="Arial"/>
          <w:sz w:val="22"/>
          <w:szCs w:val="22"/>
        </w:rPr>
        <w:t>The ex-manufacturer price</w:t>
      </w:r>
      <w:r w:rsidR="00045A4A">
        <w:rPr>
          <w:rFonts w:ascii="Arial" w:hAnsi="Arial"/>
          <w:sz w:val="22"/>
          <w:szCs w:val="22"/>
        </w:rPr>
        <w:t xml:space="preserve"> claimed by GSK</w:t>
      </w:r>
      <w:r w:rsidRPr="00F15484">
        <w:rPr>
          <w:rFonts w:ascii="Arial" w:hAnsi="Arial"/>
          <w:sz w:val="22"/>
          <w:szCs w:val="22"/>
        </w:rPr>
        <w:t xml:space="preserve"> for Panadol </w:t>
      </w:r>
      <w:proofErr w:type="spellStart"/>
      <w:r w:rsidRPr="00F15484">
        <w:rPr>
          <w:rFonts w:ascii="Arial" w:hAnsi="Arial"/>
          <w:sz w:val="22"/>
          <w:szCs w:val="22"/>
        </w:rPr>
        <w:t>Osteo</w:t>
      </w:r>
      <w:proofErr w:type="spellEnd"/>
      <w:r w:rsidR="00D701D1" w:rsidRPr="00F15484">
        <w:rPr>
          <w:rFonts w:ascii="Arial" w:hAnsi="Arial"/>
          <w:sz w:val="22"/>
          <w:szCs w:val="22"/>
        </w:rPr>
        <w:t>®</w:t>
      </w:r>
      <w:r w:rsidRPr="00F15484">
        <w:rPr>
          <w:rFonts w:ascii="Arial" w:hAnsi="Arial"/>
          <w:sz w:val="22"/>
          <w:szCs w:val="22"/>
        </w:rPr>
        <w:t xml:space="preserve"> prior to 1</w:t>
      </w:r>
      <w:r w:rsidR="00045A4A">
        <w:rPr>
          <w:rFonts w:ascii="Arial" w:hAnsi="Arial"/>
          <w:sz w:val="22"/>
          <w:szCs w:val="22"/>
        </w:rPr>
        <w:t> </w:t>
      </w:r>
      <w:r w:rsidRPr="00F15484">
        <w:rPr>
          <w:rFonts w:ascii="Arial" w:hAnsi="Arial"/>
          <w:sz w:val="22"/>
          <w:szCs w:val="22"/>
        </w:rPr>
        <w:t>January</w:t>
      </w:r>
      <w:r w:rsidR="00045A4A">
        <w:rPr>
          <w:rFonts w:ascii="Arial" w:hAnsi="Arial"/>
          <w:sz w:val="22"/>
          <w:szCs w:val="22"/>
        </w:rPr>
        <w:t> </w:t>
      </w:r>
      <w:r w:rsidRPr="00F15484">
        <w:rPr>
          <w:rFonts w:ascii="Arial" w:hAnsi="Arial"/>
          <w:sz w:val="22"/>
          <w:szCs w:val="22"/>
        </w:rPr>
        <w:t>2016 was $4.13. The 66 cents difference between the approved and claimed prices reflects the per pack premium charged by GSK at the ex-man</w:t>
      </w:r>
      <w:r w:rsidR="000313F6">
        <w:rPr>
          <w:rFonts w:ascii="Arial" w:hAnsi="Arial"/>
          <w:sz w:val="22"/>
          <w:szCs w:val="22"/>
        </w:rPr>
        <w:t>ufacturer</w:t>
      </w:r>
      <w:r w:rsidRPr="00F15484">
        <w:rPr>
          <w:rFonts w:ascii="Arial" w:hAnsi="Arial"/>
          <w:sz w:val="22"/>
          <w:szCs w:val="22"/>
        </w:rPr>
        <w:t xml:space="preserve"> level.  This equates to a premium of $1.42 at the D</w:t>
      </w:r>
      <w:r w:rsidR="000313F6">
        <w:rPr>
          <w:rFonts w:ascii="Arial" w:hAnsi="Arial"/>
          <w:sz w:val="22"/>
          <w:szCs w:val="22"/>
        </w:rPr>
        <w:t xml:space="preserve">ispensed </w:t>
      </w:r>
      <w:r w:rsidRPr="00F15484">
        <w:rPr>
          <w:rFonts w:ascii="Arial" w:hAnsi="Arial"/>
          <w:sz w:val="22"/>
          <w:szCs w:val="22"/>
        </w:rPr>
        <w:t>P</w:t>
      </w:r>
      <w:r w:rsidR="000313F6">
        <w:rPr>
          <w:rFonts w:ascii="Arial" w:hAnsi="Arial"/>
          <w:sz w:val="22"/>
          <w:szCs w:val="22"/>
        </w:rPr>
        <w:t xml:space="preserve">rice for </w:t>
      </w:r>
      <w:r w:rsidRPr="00F15484">
        <w:rPr>
          <w:rFonts w:ascii="Arial" w:hAnsi="Arial"/>
          <w:sz w:val="22"/>
          <w:szCs w:val="22"/>
        </w:rPr>
        <w:t>M</w:t>
      </w:r>
      <w:r w:rsidR="000313F6">
        <w:rPr>
          <w:rFonts w:ascii="Arial" w:hAnsi="Arial"/>
          <w:sz w:val="22"/>
          <w:szCs w:val="22"/>
        </w:rPr>
        <w:t xml:space="preserve">aximum </w:t>
      </w:r>
      <w:r w:rsidRPr="00F15484">
        <w:rPr>
          <w:rFonts w:ascii="Arial" w:hAnsi="Arial"/>
          <w:sz w:val="22"/>
          <w:szCs w:val="22"/>
        </w:rPr>
        <w:t>Q</w:t>
      </w:r>
      <w:r w:rsidR="000313F6">
        <w:rPr>
          <w:rFonts w:ascii="Arial" w:hAnsi="Arial"/>
          <w:sz w:val="22"/>
          <w:szCs w:val="22"/>
        </w:rPr>
        <w:t>uantity</w:t>
      </w:r>
      <w:r w:rsidRPr="00F15484">
        <w:rPr>
          <w:rFonts w:ascii="Arial" w:hAnsi="Arial"/>
          <w:sz w:val="22"/>
          <w:szCs w:val="22"/>
        </w:rPr>
        <w:t xml:space="preserve"> </w:t>
      </w:r>
      <w:r w:rsidR="000313F6">
        <w:rPr>
          <w:rFonts w:ascii="Arial" w:hAnsi="Arial"/>
          <w:sz w:val="22"/>
          <w:szCs w:val="22"/>
        </w:rPr>
        <w:t xml:space="preserve">(DPMQ) </w:t>
      </w:r>
      <w:r w:rsidRPr="00F15484">
        <w:rPr>
          <w:rFonts w:ascii="Arial" w:hAnsi="Arial"/>
          <w:sz w:val="22"/>
          <w:szCs w:val="22"/>
        </w:rPr>
        <w:t>level.</w:t>
      </w:r>
      <w:r w:rsidR="00045A4A">
        <w:rPr>
          <w:rFonts w:ascii="Arial" w:hAnsi="Arial"/>
          <w:sz w:val="22"/>
          <w:szCs w:val="22"/>
        </w:rPr>
        <w:t xml:space="preserve"> This means a concessional patient was paying $7.52 for 2 packs ($6.10 co-payment plus $1.42 premium).</w:t>
      </w:r>
    </w:p>
    <w:p w:rsidR="0006776B" w:rsidRPr="00F15484" w:rsidRDefault="0006776B" w:rsidP="0087142B">
      <w:pPr>
        <w:pStyle w:val="ListParagraph"/>
        <w:numPr>
          <w:ilvl w:val="2"/>
          <w:numId w:val="1"/>
        </w:numPr>
        <w:ind w:left="993" w:hanging="284"/>
        <w:jc w:val="both"/>
        <w:rPr>
          <w:rFonts w:ascii="Arial" w:hAnsi="Arial"/>
          <w:sz w:val="22"/>
          <w:szCs w:val="22"/>
        </w:rPr>
      </w:pPr>
      <w:r w:rsidRPr="00F15484">
        <w:rPr>
          <w:rFonts w:ascii="Arial" w:hAnsi="Arial"/>
          <w:sz w:val="22"/>
          <w:szCs w:val="22"/>
        </w:rPr>
        <w:t xml:space="preserve">When the maximum quantity of 192 tablets is dispensed, the </w:t>
      </w:r>
      <w:r w:rsidR="00AA3F7C">
        <w:rPr>
          <w:rFonts w:ascii="Arial" w:hAnsi="Arial"/>
          <w:sz w:val="22"/>
          <w:szCs w:val="22"/>
        </w:rPr>
        <w:t xml:space="preserve">PBS subsidised amount allowed the </w:t>
      </w:r>
      <w:r w:rsidRPr="00F15484">
        <w:rPr>
          <w:rFonts w:ascii="Arial" w:hAnsi="Arial"/>
          <w:sz w:val="22"/>
          <w:szCs w:val="22"/>
        </w:rPr>
        <w:t xml:space="preserve">manufacturer, wholesaler and pharmacist the amounts </w:t>
      </w:r>
      <w:r w:rsidR="00DA3C3E" w:rsidRPr="00F15484">
        <w:rPr>
          <w:rFonts w:ascii="Arial" w:hAnsi="Arial"/>
          <w:sz w:val="22"/>
          <w:szCs w:val="22"/>
        </w:rPr>
        <w:t xml:space="preserve">detailed </w:t>
      </w:r>
      <w:r w:rsidRPr="00F15484">
        <w:rPr>
          <w:rFonts w:ascii="Arial" w:hAnsi="Arial"/>
          <w:sz w:val="22"/>
          <w:szCs w:val="22"/>
        </w:rPr>
        <w:t>in Table 1</w:t>
      </w:r>
      <w:r w:rsidR="002117EA">
        <w:rPr>
          <w:rFonts w:ascii="Arial" w:hAnsi="Arial"/>
          <w:sz w:val="22"/>
          <w:szCs w:val="22"/>
        </w:rPr>
        <w:t xml:space="preserve"> (for Panadol </w:t>
      </w:r>
      <w:proofErr w:type="spellStart"/>
      <w:r w:rsidR="003938F2">
        <w:rPr>
          <w:rFonts w:ascii="Arial" w:hAnsi="Arial"/>
          <w:sz w:val="22"/>
          <w:szCs w:val="22"/>
        </w:rPr>
        <w:t>O</w:t>
      </w:r>
      <w:r w:rsidR="002117EA">
        <w:rPr>
          <w:rFonts w:ascii="Arial" w:hAnsi="Arial"/>
          <w:sz w:val="22"/>
          <w:szCs w:val="22"/>
        </w:rPr>
        <w:t>steo</w:t>
      </w:r>
      <w:proofErr w:type="spellEnd"/>
      <w:r w:rsidR="003938F2">
        <w:rPr>
          <w:rFonts w:ascii="Arial" w:hAnsi="Arial"/>
          <w:sz w:val="22"/>
          <w:szCs w:val="22"/>
        </w:rPr>
        <w:t>®</w:t>
      </w:r>
      <w:r w:rsidR="002117EA">
        <w:rPr>
          <w:rFonts w:ascii="Arial" w:hAnsi="Arial"/>
          <w:sz w:val="22"/>
          <w:szCs w:val="22"/>
        </w:rPr>
        <w:t xml:space="preserve"> </w:t>
      </w:r>
      <w:r w:rsidR="000313F6">
        <w:rPr>
          <w:rFonts w:ascii="Arial" w:hAnsi="Arial"/>
          <w:sz w:val="22"/>
          <w:szCs w:val="22"/>
        </w:rPr>
        <w:t xml:space="preserve">this </w:t>
      </w:r>
      <w:r w:rsidR="002117EA">
        <w:rPr>
          <w:rFonts w:ascii="Arial" w:hAnsi="Arial"/>
          <w:sz w:val="22"/>
          <w:szCs w:val="22"/>
        </w:rPr>
        <w:t xml:space="preserve">refers to </w:t>
      </w:r>
      <w:r w:rsidR="000313F6">
        <w:rPr>
          <w:rFonts w:ascii="Arial" w:hAnsi="Arial"/>
          <w:sz w:val="22"/>
          <w:szCs w:val="22"/>
        </w:rPr>
        <w:t xml:space="preserve">the </w:t>
      </w:r>
      <w:r w:rsidR="002117EA">
        <w:rPr>
          <w:rFonts w:ascii="Arial" w:hAnsi="Arial"/>
          <w:sz w:val="22"/>
          <w:szCs w:val="22"/>
        </w:rPr>
        <w:t xml:space="preserve">period immediately before </w:t>
      </w:r>
      <w:r w:rsidR="000313F6">
        <w:rPr>
          <w:rFonts w:ascii="Arial" w:hAnsi="Arial"/>
          <w:sz w:val="22"/>
          <w:szCs w:val="22"/>
        </w:rPr>
        <w:t xml:space="preserve">the </w:t>
      </w:r>
      <w:r w:rsidR="002117EA">
        <w:rPr>
          <w:rFonts w:ascii="Arial" w:hAnsi="Arial"/>
          <w:sz w:val="22"/>
          <w:szCs w:val="22"/>
        </w:rPr>
        <w:t>1 January 2016 de-list</w:t>
      </w:r>
      <w:r w:rsidR="000313F6">
        <w:rPr>
          <w:rFonts w:ascii="Arial" w:hAnsi="Arial"/>
          <w:sz w:val="22"/>
          <w:szCs w:val="22"/>
        </w:rPr>
        <w:t>ing</w:t>
      </w:r>
      <w:r w:rsidR="002117EA">
        <w:rPr>
          <w:rFonts w:ascii="Arial" w:hAnsi="Arial"/>
          <w:sz w:val="22"/>
          <w:szCs w:val="22"/>
        </w:rPr>
        <w:t>)</w:t>
      </w:r>
      <w:r w:rsidRPr="00F15484">
        <w:rPr>
          <w:rFonts w:ascii="Arial" w:hAnsi="Arial"/>
          <w:sz w:val="22"/>
          <w:szCs w:val="22"/>
        </w:rPr>
        <w:t>.</w:t>
      </w:r>
    </w:p>
    <w:p w:rsidR="0006776B" w:rsidRDefault="0006776B" w:rsidP="0006776B">
      <w:pPr>
        <w:pStyle w:val="ListParagraph"/>
        <w:rPr>
          <w:rFonts w:ascii="Arial" w:hAnsi="Arial"/>
          <w:sz w:val="22"/>
          <w:szCs w:val="22"/>
        </w:rPr>
      </w:pPr>
    </w:p>
    <w:p w:rsidR="0006776B" w:rsidRPr="0006776B" w:rsidRDefault="0006776B" w:rsidP="00934F63">
      <w:pPr>
        <w:pStyle w:val="ListParagraph"/>
        <w:keepNext/>
        <w:rPr>
          <w:rFonts w:ascii="Arial Narrow" w:hAnsi="Arial Narrow"/>
          <w:b/>
          <w:sz w:val="20"/>
          <w:szCs w:val="20"/>
        </w:rPr>
      </w:pPr>
      <w:r w:rsidRPr="0006776B">
        <w:rPr>
          <w:rFonts w:ascii="Arial Narrow" w:hAnsi="Arial Narrow"/>
          <w:b/>
          <w:sz w:val="20"/>
          <w:szCs w:val="20"/>
        </w:rPr>
        <w:t xml:space="preserve">Table </w:t>
      </w:r>
      <w:r>
        <w:rPr>
          <w:rFonts w:ascii="Arial Narrow" w:hAnsi="Arial Narrow"/>
          <w:b/>
          <w:sz w:val="20"/>
          <w:szCs w:val="20"/>
        </w:rPr>
        <w:t xml:space="preserve">1: </w:t>
      </w:r>
      <w:r w:rsidR="00D76795">
        <w:rPr>
          <w:rFonts w:ascii="Arial Narrow" w:hAnsi="Arial Narrow"/>
          <w:b/>
          <w:sz w:val="20"/>
          <w:szCs w:val="20"/>
        </w:rPr>
        <w:t>Distribution of DPMQ by recipient for maximum quantity of 2 packs (192 tablets)</w:t>
      </w:r>
    </w:p>
    <w:tbl>
      <w:tblPr>
        <w:tblStyle w:val="TableGrid"/>
        <w:tblW w:w="0" w:type="auto"/>
        <w:tblInd w:w="817" w:type="dxa"/>
        <w:tblLook w:val="04A0" w:firstRow="1" w:lastRow="0" w:firstColumn="1" w:lastColumn="0" w:noHBand="0" w:noVBand="1"/>
        <w:tblCaption w:val="&quot;&quot;"/>
      </w:tblPr>
      <w:tblGrid>
        <w:gridCol w:w="2537"/>
        <w:gridCol w:w="2807"/>
        <w:gridCol w:w="3081"/>
      </w:tblGrid>
      <w:tr w:rsidR="0006776B" w:rsidRPr="0006776B" w:rsidTr="001A48B1">
        <w:trPr>
          <w:tblHeader/>
        </w:trPr>
        <w:tc>
          <w:tcPr>
            <w:tcW w:w="2537" w:type="dxa"/>
          </w:tcPr>
          <w:p w:rsidR="0006776B" w:rsidRPr="0006776B" w:rsidRDefault="0006776B" w:rsidP="00934F63">
            <w:pPr>
              <w:keepNext/>
              <w:jc w:val="center"/>
              <w:rPr>
                <w:rFonts w:ascii="Arial Narrow" w:hAnsi="Arial Narrow"/>
                <w:b/>
                <w:sz w:val="20"/>
                <w:szCs w:val="20"/>
              </w:rPr>
            </w:pPr>
            <w:r w:rsidRPr="0006776B">
              <w:rPr>
                <w:rFonts w:ascii="Arial Narrow" w:hAnsi="Arial Narrow"/>
                <w:b/>
                <w:sz w:val="20"/>
                <w:szCs w:val="20"/>
              </w:rPr>
              <w:t>Recipient</w:t>
            </w:r>
          </w:p>
        </w:tc>
        <w:tc>
          <w:tcPr>
            <w:tcW w:w="2807" w:type="dxa"/>
            <w:shd w:val="clear" w:color="auto" w:fill="auto"/>
          </w:tcPr>
          <w:p w:rsidR="0006776B" w:rsidRPr="002411BE" w:rsidRDefault="0006776B" w:rsidP="00934F63">
            <w:pPr>
              <w:keepNext/>
              <w:jc w:val="center"/>
              <w:rPr>
                <w:rFonts w:ascii="Arial Narrow" w:hAnsi="Arial Narrow"/>
                <w:b/>
                <w:sz w:val="20"/>
                <w:szCs w:val="20"/>
              </w:rPr>
            </w:pPr>
            <w:r w:rsidRPr="002411BE">
              <w:rPr>
                <w:rFonts w:ascii="Arial Narrow" w:hAnsi="Arial Narrow"/>
                <w:b/>
                <w:sz w:val="20"/>
                <w:szCs w:val="20"/>
              </w:rPr>
              <w:t xml:space="preserve">Panadol </w:t>
            </w:r>
            <w:proofErr w:type="spellStart"/>
            <w:r w:rsidRPr="002411BE">
              <w:rPr>
                <w:rFonts w:ascii="Arial Narrow" w:hAnsi="Arial Narrow"/>
                <w:b/>
                <w:sz w:val="20"/>
                <w:szCs w:val="20"/>
              </w:rPr>
              <w:t>Osteo</w:t>
            </w:r>
            <w:proofErr w:type="spellEnd"/>
            <w:r w:rsidRPr="002411BE">
              <w:rPr>
                <w:rFonts w:ascii="Arial Narrow" w:hAnsi="Arial Narrow"/>
                <w:b/>
                <w:sz w:val="20"/>
                <w:szCs w:val="20"/>
              </w:rPr>
              <w:t>® (GSK)</w:t>
            </w:r>
          </w:p>
        </w:tc>
        <w:tc>
          <w:tcPr>
            <w:tcW w:w="3081" w:type="dxa"/>
          </w:tcPr>
          <w:p w:rsidR="0006776B" w:rsidRPr="0006776B" w:rsidRDefault="0006776B" w:rsidP="00934F63">
            <w:pPr>
              <w:keepNext/>
              <w:jc w:val="center"/>
              <w:rPr>
                <w:rFonts w:ascii="Arial Narrow" w:hAnsi="Arial Narrow"/>
                <w:b/>
                <w:sz w:val="20"/>
                <w:szCs w:val="20"/>
              </w:rPr>
            </w:pPr>
            <w:proofErr w:type="spellStart"/>
            <w:r w:rsidRPr="0006776B">
              <w:rPr>
                <w:rFonts w:ascii="Arial Narrow" w:hAnsi="Arial Narrow"/>
                <w:b/>
                <w:sz w:val="20"/>
                <w:szCs w:val="20"/>
              </w:rPr>
              <w:t>Osteomol</w:t>
            </w:r>
            <w:proofErr w:type="spellEnd"/>
            <w:r>
              <w:rPr>
                <w:rFonts w:ascii="Arial Narrow" w:hAnsi="Arial Narrow"/>
                <w:b/>
                <w:sz w:val="20"/>
                <w:szCs w:val="20"/>
              </w:rPr>
              <w:t>® (</w:t>
            </w:r>
            <w:proofErr w:type="spellStart"/>
            <w:r>
              <w:rPr>
                <w:rFonts w:ascii="Arial Narrow" w:hAnsi="Arial Narrow"/>
                <w:b/>
                <w:sz w:val="20"/>
                <w:szCs w:val="20"/>
              </w:rPr>
              <w:t>Pharmacor</w:t>
            </w:r>
            <w:proofErr w:type="spellEnd"/>
            <w:r>
              <w:rPr>
                <w:rFonts w:ascii="Arial Narrow" w:hAnsi="Arial Narrow"/>
                <w:b/>
                <w:sz w:val="20"/>
                <w:szCs w:val="20"/>
              </w:rPr>
              <w:t>)</w:t>
            </w:r>
          </w:p>
        </w:tc>
      </w:tr>
      <w:tr w:rsidR="0006776B" w:rsidRPr="0006776B" w:rsidTr="002411BE">
        <w:tc>
          <w:tcPr>
            <w:tcW w:w="2537" w:type="dxa"/>
          </w:tcPr>
          <w:p w:rsidR="0006776B" w:rsidRPr="0006776B" w:rsidRDefault="0006776B" w:rsidP="00934F63">
            <w:pPr>
              <w:keepNext/>
              <w:jc w:val="center"/>
              <w:rPr>
                <w:rFonts w:ascii="Arial Narrow" w:hAnsi="Arial Narrow"/>
                <w:sz w:val="20"/>
                <w:szCs w:val="20"/>
              </w:rPr>
            </w:pPr>
            <w:r>
              <w:rPr>
                <w:rFonts w:ascii="Arial Narrow" w:hAnsi="Arial Narrow"/>
                <w:sz w:val="20"/>
                <w:szCs w:val="20"/>
              </w:rPr>
              <w:t>M</w:t>
            </w:r>
            <w:r w:rsidRPr="0006776B">
              <w:rPr>
                <w:rFonts w:ascii="Arial Narrow" w:hAnsi="Arial Narrow"/>
                <w:sz w:val="20"/>
                <w:szCs w:val="20"/>
              </w:rPr>
              <w:t>anufacture</w:t>
            </w:r>
            <w:r>
              <w:rPr>
                <w:rFonts w:ascii="Arial Narrow" w:hAnsi="Arial Narrow"/>
                <w:sz w:val="20"/>
                <w:szCs w:val="20"/>
              </w:rPr>
              <w:t>r</w:t>
            </w:r>
          </w:p>
        </w:tc>
        <w:tc>
          <w:tcPr>
            <w:tcW w:w="2807" w:type="dxa"/>
            <w:shd w:val="clear" w:color="auto" w:fill="auto"/>
          </w:tcPr>
          <w:p w:rsidR="0006776B" w:rsidRPr="002411BE" w:rsidRDefault="0006776B" w:rsidP="002411BE">
            <w:pPr>
              <w:keepNext/>
              <w:jc w:val="center"/>
              <w:rPr>
                <w:rFonts w:ascii="Arial Narrow" w:hAnsi="Arial Narrow"/>
                <w:sz w:val="20"/>
                <w:szCs w:val="20"/>
              </w:rPr>
            </w:pPr>
            <w:r w:rsidRPr="002411BE">
              <w:rPr>
                <w:rFonts w:ascii="Arial Narrow" w:hAnsi="Arial Narrow"/>
                <w:sz w:val="20"/>
                <w:szCs w:val="20"/>
              </w:rPr>
              <w:t>$8.26</w:t>
            </w:r>
          </w:p>
        </w:tc>
        <w:tc>
          <w:tcPr>
            <w:tcW w:w="3081" w:type="dxa"/>
          </w:tcPr>
          <w:p w:rsidR="0006776B" w:rsidRPr="0006776B" w:rsidRDefault="0006776B" w:rsidP="00934F63">
            <w:pPr>
              <w:keepNext/>
              <w:jc w:val="center"/>
              <w:rPr>
                <w:rFonts w:ascii="Arial Narrow" w:hAnsi="Arial Narrow"/>
                <w:sz w:val="20"/>
                <w:szCs w:val="20"/>
              </w:rPr>
            </w:pPr>
            <w:r w:rsidRPr="0006776B">
              <w:rPr>
                <w:rFonts w:ascii="Arial Narrow" w:hAnsi="Arial Narrow"/>
                <w:sz w:val="20"/>
                <w:szCs w:val="20"/>
              </w:rPr>
              <w:t>$6.94</w:t>
            </w:r>
          </w:p>
        </w:tc>
      </w:tr>
      <w:tr w:rsidR="0006776B" w:rsidRPr="0006776B" w:rsidTr="002411BE">
        <w:tc>
          <w:tcPr>
            <w:tcW w:w="2537" w:type="dxa"/>
          </w:tcPr>
          <w:p w:rsidR="0006776B" w:rsidRPr="0006776B" w:rsidRDefault="0006776B" w:rsidP="00934F63">
            <w:pPr>
              <w:keepNext/>
              <w:jc w:val="center"/>
              <w:rPr>
                <w:rFonts w:ascii="Arial Narrow" w:hAnsi="Arial Narrow"/>
                <w:sz w:val="20"/>
                <w:szCs w:val="20"/>
              </w:rPr>
            </w:pPr>
            <w:r>
              <w:rPr>
                <w:rFonts w:ascii="Arial Narrow" w:hAnsi="Arial Narrow"/>
                <w:sz w:val="20"/>
                <w:szCs w:val="20"/>
              </w:rPr>
              <w:t>W</w:t>
            </w:r>
            <w:r w:rsidRPr="0006776B">
              <w:rPr>
                <w:rFonts w:ascii="Arial Narrow" w:hAnsi="Arial Narrow"/>
                <w:sz w:val="20"/>
                <w:szCs w:val="20"/>
              </w:rPr>
              <w:t>holesaler</w:t>
            </w:r>
          </w:p>
        </w:tc>
        <w:tc>
          <w:tcPr>
            <w:tcW w:w="2807" w:type="dxa"/>
            <w:shd w:val="clear" w:color="auto" w:fill="auto"/>
          </w:tcPr>
          <w:p w:rsidR="0006776B" w:rsidRPr="002411BE" w:rsidRDefault="0006776B" w:rsidP="002411BE">
            <w:pPr>
              <w:keepNext/>
              <w:jc w:val="center"/>
              <w:rPr>
                <w:rFonts w:ascii="Arial Narrow" w:hAnsi="Arial Narrow"/>
                <w:sz w:val="20"/>
                <w:szCs w:val="20"/>
              </w:rPr>
            </w:pPr>
            <w:r w:rsidRPr="002411BE">
              <w:rPr>
                <w:rFonts w:ascii="Arial Narrow" w:hAnsi="Arial Narrow"/>
                <w:sz w:val="20"/>
                <w:szCs w:val="20"/>
              </w:rPr>
              <w:t>$0.62</w:t>
            </w:r>
          </w:p>
        </w:tc>
        <w:tc>
          <w:tcPr>
            <w:tcW w:w="3081" w:type="dxa"/>
          </w:tcPr>
          <w:p w:rsidR="0006776B" w:rsidRPr="0006776B" w:rsidRDefault="0006776B" w:rsidP="00934F63">
            <w:pPr>
              <w:keepNext/>
              <w:jc w:val="center"/>
              <w:rPr>
                <w:rFonts w:ascii="Arial Narrow" w:hAnsi="Arial Narrow"/>
                <w:sz w:val="20"/>
                <w:szCs w:val="20"/>
              </w:rPr>
            </w:pPr>
            <w:r>
              <w:rPr>
                <w:rFonts w:ascii="Arial Narrow" w:hAnsi="Arial Narrow"/>
                <w:sz w:val="20"/>
                <w:szCs w:val="20"/>
              </w:rPr>
              <w:t>$0.52</w:t>
            </w:r>
          </w:p>
        </w:tc>
      </w:tr>
      <w:tr w:rsidR="0006776B" w:rsidRPr="0006776B" w:rsidTr="002411BE">
        <w:tc>
          <w:tcPr>
            <w:tcW w:w="2537" w:type="dxa"/>
          </w:tcPr>
          <w:p w:rsidR="0006776B" w:rsidRPr="0006776B" w:rsidRDefault="0006776B" w:rsidP="00934F63">
            <w:pPr>
              <w:keepNext/>
              <w:jc w:val="center"/>
              <w:rPr>
                <w:rFonts w:ascii="Arial Narrow" w:hAnsi="Arial Narrow"/>
                <w:sz w:val="20"/>
                <w:szCs w:val="20"/>
              </w:rPr>
            </w:pPr>
            <w:r>
              <w:rPr>
                <w:rFonts w:ascii="Arial Narrow" w:hAnsi="Arial Narrow"/>
                <w:sz w:val="20"/>
                <w:szCs w:val="20"/>
              </w:rPr>
              <w:t>P</w:t>
            </w:r>
            <w:r w:rsidRPr="0006776B">
              <w:rPr>
                <w:rFonts w:ascii="Arial Narrow" w:hAnsi="Arial Narrow"/>
                <w:sz w:val="20"/>
                <w:szCs w:val="20"/>
              </w:rPr>
              <w:t>harmacist</w:t>
            </w:r>
          </w:p>
        </w:tc>
        <w:tc>
          <w:tcPr>
            <w:tcW w:w="2807" w:type="dxa"/>
            <w:shd w:val="clear" w:color="auto" w:fill="auto"/>
          </w:tcPr>
          <w:p w:rsidR="0006776B" w:rsidRPr="002411BE" w:rsidRDefault="0006776B" w:rsidP="00467B4D">
            <w:pPr>
              <w:keepNext/>
              <w:jc w:val="center"/>
              <w:rPr>
                <w:rFonts w:ascii="Arial Narrow" w:hAnsi="Arial Narrow"/>
                <w:sz w:val="20"/>
                <w:szCs w:val="20"/>
              </w:rPr>
            </w:pPr>
            <w:r w:rsidRPr="002411BE">
              <w:rPr>
                <w:rFonts w:ascii="Arial Narrow" w:hAnsi="Arial Narrow"/>
                <w:sz w:val="20"/>
                <w:szCs w:val="20"/>
              </w:rPr>
              <w:t>$10.</w:t>
            </w:r>
            <w:r w:rsidR="008E7740">
              <w:rPr>
                <w:rFonts w:ascii="Arial Narrow" w:hAnsi="Arial Narrow"/>
                <w:sz w:val="20"/>
                <w:szCs w:val="20"/>
              </w:rPr>
              <w:t>4</w:t>
            </w:r>
            <w:r w:rsidRPr="002411BE">
              <w:rPr>
                <w:rFonts w:ascii="Arial Narrow" w:hAnsi="Arial Narrow"/>
                <w:sz w:val="20"/>
                <w:szCs w:val="20"/>
              </w:rPr>
              <w:t>3</w:t>
            </w:r>
          </w:p>
        </w:tc>
        <w:tc>
          <w:tcPr>
            <w:tcW w:w="3081" w:type="dxa"/>
          </w:tcPr>
          <w:p w:rsidR="0006776B" w:rsidRPr="0006776B" w:rsidRDefault="0006776B" w:rsidP="00934F63">
            <w:pPr>
              <w:keepNext/>
              <w:jc w:val="center"/>
              <w:rPr>
                <w:rFonts w:ascii="Arial Narrow" w:hAnsi="Arial Narrow"/>
                <w:sz w:val="20"/>
                <w:szCs w:val="20"/>
              </w:rPr>
            </w:pPr>
            <w:r w:rsidRPr="0006776B">
              <w:rPr>
                <w:rFonts w:ascii="Arial Narrow" w:hAnsi="Arial Narrow"/>
                <w:sz w:val="20"/>
                <w:szCs w:val="20"/>
              </w:rPr>
              <w:t>$10.43</w:t>
            </w:r>
          </w:p>
        </w:tc>
      </w:tr>
      <w:tr w:rsidR="0006776B" w:rsidRPr="000313F6" w:rsidTr="002411BE">
        <w:tc>
          <w:tcPr>
            <w:tcW w:w="2537" w:type="dxa"/>
          </w:tcPr>
          <w:p w:rsidR="0006776B" w:rsidRPr="000313F6" w:rsidRDefault="0006776B" w:rsidP="00934F63">
            <w:pPr>
              <w:keepNext/>
              <w:jc w:val="center"/>
              <w:rPr>
                <w:rFonts w:ascii="Arial Narrow" w:hAnsi="Arial Narrow"/>
                <w:b/>
                <w:sz w:val="20"/>
                <w:szCs w:val="20"/>
              </w:rPr>
            </w:pPr>
            <w:r w:rsidRPr="000313F6">
              <w:rPr>
                <w:rFonts w:ascii="Arial Narrow" w:hAnsi="Arial Narrow"/>
                <w:b/>
                <w:sz w:val="20"/>
                <w:szCs w:val="20"/>
              </w:rPr>
              <w:t>DPMQ</w:t>
            </w:r>
          </w:p>
        </w:tc>
        <w:tc>
          <w:tcPr>
            <w:tcW w:w="2807" w:type="dxa"/>
            <w:shd w:val="clear" w:color="auto" w:fill="auto"/>
          </w:tcPr>
          <w:p w:rsidR="0006776B" w:rsidRPr="000313F6" w:rsidRDefault="0006776B" w:rsidP="00934F63">
            <w:pPr>
              <w:keepNext/>
              <w:jc w:val="center"/>
              <w:rPr>
                <w:rFonts w:ascii="Arial Narrow" w:hAnsi="Arial Narrow"/>
                <w:b/>
                <w:sz w:val="20"/>
                <w:szCs w:val="20"/>
              </w:rPr>
            </w:pPr>
            <w:r w:rsidRPr="000313F6">
              <w:rPr>
                <w:rFonts w:ascii="Arial Narrow" w:hAnsi="Arial Narrow"/>
                <w:b/>
                <w:sz w:val="20"/>
                <w:szCs w:val="20"/>
              </w:rPr>
              <w:t>$19.31*</w:t>
            </w:r>
          </w:p>
        </w:tc>
        <w:tc>
          <w:tcPr>
            <w:tcW w:w="3081" w:type="dxa"/>
          </w:tcPr>
          <w:p w:rsidR="0006776B" w:rsidRPr="000313F6" w:rsidRDefault="0006776B" w:rsidP="00934F63">
            <w:pPr>
              <w:keepNext/>
              <w:jc w:val="center"/>
              <w:rPr>
                <w:rFonts w:ascii="Arial Narrow" w:hAnsi="Arial Narrow"/>
                <w:b/>
                <w:sz w:val="20"/>
                <w:szCs w:val="20"/>
              </w:rPr>
            </w:pPr>
            <w:r w:rsidRPr="000313F6">
              <w:rPr>
                <w:rFonts w:ascii="Arial Narrow" w:hAnsi="Arial Narrow"/>
                <w:b/>
                <w:sz w:val="20"/>
                <w:szCs w:val="20"/>
              </w:rPr>
              <w:t>$17.89</w:t>
            </w:r>
          </w:p>
        </w:tc>
      </w:tr>
    </w:tbl>
    <w:p w:rsidR="0006776B" w:rsidRPr="00D76795" w:rsidRDefault="0006776B" w:rsidP="0006776B">
      <w:pPr>
        <w:pStyle w:val="ListParagraph"/>
        <w:rPr>
          <w:rFonts w:ascii="Arial Narrow" w:hAnsi="Arial Narrow"/>
          <w:sz w:val="18"/>
          <w:szCs w:val="18"/>
        </w:rPr>
      </w:pPr>
      <w:r w:rsidRPr="00D76795">
        <w:rPr>
          <w:rFonts w:ascii="Arial Narrow" w:hAnsi="Arial Narrow"/>
          <w:sz w:val="18"/>
          <w:szCs w:val="18"/>
        </w:rPr>
        <w:t>*</w:t>
      </w:r>
      <w:r w:rsidR="00D76795">
        <w:rPr>
          <w:rFonts w:ascii="Arial Narrow" w:hAnsi="Arial Narrow"/>
          <w:sz w:val="18"/>
          <w:szCs w:val="18"/>
        </w:rPr>
        <w:t>Claimed DPMQ</w:t>
      </w:r>
      <w:r w:rsidR="008164B0">
        <w:rPr>
          <w:rFonts w:ascii="Arial Narrow" w:hAnsi="Arial Narrow"/>
          <w:sz w:val="18"/>
          <w:szCs w:val="18"/>
        </w:rPr>
        <w:t>,</w:t>
      </w:r>
      <w:r w:rsidR="00D76795">
        <w:rPr>
          <w:rFonts w:ascii="Arial Narrow" w:hAnsi="Arial Narrow"/>
          <w:sz w:val="18"/>
          <w:szCs w:val="18"/>
        </w:rPr>
        <w:t xml:space="preserve"> including</w:t>
      </w:r>
      <w:r w:rsidRPr="00D76795">
        <w:rPr>
          <w:rFonts w:ascii="Arial Narrow" w:hAnsi="Arial Narrow"/>
          <w:sz w:val="18"/>
          <w:szCs w:val="18"/>
        </w:rPr>
        <w:t xml:space="preserve"> </w:t>
      </w:r>
      <w:r w:rsidR="00D76795" w:rsidRPr="00D76795">
        <w:rPr>
          <w:rFonts w:ascii="Arial Narrow" w:hAnsi="Arial Narrow"/>
          <w:sz w:val="18"/>
          <w:szCs w:val="18"/>
        </w:rPr>
        <w:t>brand premium of $1.42</w:t>
      </w:r>
      <w:r w:rsidR="00D76795">
        <w:rPr>
          <w:rFonts w:ascii="Arial Narrow" w:hAnsi="Arial Narrow"/>
          <w:sz w:val="18"/>
          <w:szCs w:val="18"/>
        </w:rPr>
        <w:t>.</w:t>
      </w:r>
    </w:p>
    <w:p w:rsidR="0006776B" w:rsidRPr="0006776B" w:rsidRDefault="0006776B" w:rsidP="0006776B">
      <w:pPr>
        <w:pStyle w:val="ListParagraph"/>
        <w:rPr>
          <w:rFonts w:ascii="Arial" w:hAnsi="Arial"/>
          <w:sz w:val="22"/>
          <w:szCs w:val="22"/>
        </w:rPr>
      </w:pPr>
    </w:p>
    <w:p w:rsidR="0087142B" w:rsidRDefault="00574DC5" w:rsidP="00B72A4D">
      <w:pPr>
        <w:pStyle w:val="ListParagraph"/>
        <w:numPr>
          <w:ilvl w:val="1"/>
          <w:numId w:val="1"/>
        </w:numPr>
        <w:jc w:val="both"/>
        <w:rPr>
          <w:rFonts w:ascii="Arial" w:hAnsi="Arial"/>
          <w:sz w:val="22"/>
          <w:szCs w:val="22"/>
        </w:rPr>
      </w:pPr>
      <w:r w:rsidRPr="0087142B">
        <w:rPr>
          <w:rFonts w:ascii="Arial" w:hAnsi="Arial"/>
          <w:sz w:val="22"/>
          <w:szCs w:val="22"/>
        </w:rPr>
        <w:t xml:space="preserve">Panadol </w:t>
      </w:r>
      <w:proofErr w:type="spellStart"/>
      <w:r w:rsidRPr="0087142B">
        <w:rPr>
          <w:rFonts w:ascii="Arial" w:hAnsi="Arial"/>
          <w:sz w:val="22"/>
          <w:szCs w:val="22"/>
        </w:rPr>
        <w:t>Osteo</w:t>
      </w:r>
      <w:proofErr w:type="spellEnd"/>
      <w:r w:rsidRPr="0087142B">
        <w:rPr>
          <w:rFonts w:ascii="Arial" w:hAnsi="Arial"/>
          <w:sz w:val="22"/>
          <w:szCs w:val="22"/>
        </w:rPr>
        <w:t>® 665</w:t>
      </w:r>
      <w:r w:rsidR="00287E85">
        <w:rPr>
          <w:rFonts w:ascii="Arial" w:hAnsi="Arial"/>
          <w:sz w:val="22"/>
          <w:szCs w:val="22"/>
        </w:rPr>
        <w:t xml:space="preserve"> </w:t>
      </w:r>
      <w:r w:rsidRPr="0087142B">
        <w:rPr>
          <w:rFonts w:ascii="Arial" w:hAnsi="Arial"/>
          <w:sz w:val="22"/>
          <w:szCs w:val="22"/>
        </w:rPr>
        <w:t>mg sustained release tablets contain the same active ingredient as the 500 mg immediate release tablet, paracetamol</w:t>
      </w:r>
      <w:r w:rsidR="000B45D9" w:rsidRPr="0087142B">
        <w:rPr>
          <w:rFonts w:ascii="Arial" w:hAnsi="Arial"/>
          <w:sz w:val="22"/>
          <w:szCs w:val="22"/>
        </w:rPr>
        <w:t>.</w:t>
      </w:r>
      <w:r w:rsidRPr="0087142B">
        <w:rPr>
          <w:rFonts w:ascii="Arial" w:hAnsi="Arial"/>
          <w:sz w:val="22"/>
          <w:szCs w:val="22"/>
        </w:rPr>
        <w:t xml:space="preserve"> </w:t>
      </w:r>
      <w:r w:rsidR="0087142B" w:rsidRPr="0087142B">
        <w:rPr>
          <w:rFonts w:ascii="Arial" w:hAnsi="Arial"/>
          <w:sz w:val="22"/>
          <w:szCs w:val="22"/>
        </w:rPr>
        <w:t>The Therapeutic Relativity Sheet</w:t>
      </w:r>
      <w:r w:rsidR="0087142B">
        <w:rPr>
          <w:rFonts w:ascii="Arial" w:hAnsi="Arial"/>
          <w:sz w:val="22"/>
          <w:szCs w:val="22"/>
        </w:rPr>
        <w:t>s (1 February 2016)</w:t>
      </w:r>
      <w:r w:rsidR="0098795E">
        <w:rPr>
          <w:rFonts w:ascii="Arial" w:hAnsi="Arial"/>
          <w:sz w:val="22"/>
          <w:szCs w:val="22"/>
        </w:rPr>
        <w:t>, based on previous PBAC statements, say</w:t>
      </w:r>
      <w:r w:rsidR="0087142B" w:rsidRPr="0087142B">
        <w:rPr>
          <w:rFonts w:ascii="Arial" w:hAnsi="Arial"/>
          <w:sz w:val="22"/>
          <w:szCs w:val="22"/>
        </w:rPr>
        <w:t xml:space="preserve"> that </w:t>
      </w:r>
      <w:r w:rsidR="0087142B">
        <w:rPr>
          <w:rFonts w:ascii="Arial" w:hAnsi="Arial"/>
          <w:sz w:val="22"/>
          <w:szCs w:val="22"/>
        </w:rPr>
        <w:t>“</w:t>
      </w:r>
      <w:r w:rsidR="0087142B" w:rsidRPr="0087142B">
        <w:rPr>
          <w:rFonts w:ascii="Arial" w:hAnsi="Arial"/>
          <w:sz w:val="22"/>
          <w:szCs w:val="22"/>
        </w:rPr>
        <w:t>Paracetamol modified release tablet 665 mg was recommended on the basis that 6</w:t>
      </w:r>
      <w:r w:rsidR="00495619">
        <w:rPr>
          <w:rFonts w:ascii="Arial" w:hAnsi="Arial"/>
          <w:sz w:val="22"/>
          <w:szCs w:val="22"/>
        </w:rPr>
        <w:t> </w:t>
      </w:r>
      <w:r w:rsidR="0087142B" w:rsidRPr="0087142B">
        <w:rPr>
          <w:rFonts w:ascii="Arial" w:hAnsi="Arial"/>
          <w:sz w:val="22"/>
          <w:szCs w:val="22"/>
        </w:rPr>
        <w:t>x 665 modified release tablets = 8</w:t>
      </w:r>
      <w:r w:rsidR="00C50D99">
        <w:rPr>
          <w:rFonts w:ascii="Arial" w:hAnsi="Arial"/>
          <w:sz w:val="22"/>
          <w:szCs w:val="22"/>
        </w:rPr>
        <w:t> </w:t>
      </w:r>
      <w:r w:rsidR="0087142B" w:rsidRPr="0087142B">
        <w:rPr>
          <w:rFonts w:ascii="Arial" w:hAnsi="Arial"/>
          <w:sz w:val="22"/>
          <w:szCs w:val="22"/>
        </w:rPr>
        <w:t>x</w:t>
      </w:r>
      <w:r w:rsidR="00C50D99">
        <w:rPr>
          <w:rFonts w:ascii="Arial" w:hAnsi="Arial"/>
          <w:sz w:val="22"/>
          <w:szCs w:val="22"/>
        </w:rPr>
        <w:t> </w:t>
      </w:r>
      <w:r w:rsidR="0087142B" w:rsidRPr="0087142B">
        <w:rPr>
          <w:rFonts w:ascii="Arial" w:hAnsi="Arial"/>
          <w:sz w:val="22"/>
          <w:szCs w:val="22"/>
        </w:rPr>
        <w:t>500 mg immediate release tablets of paracetamol.</w:t>
      </w:r>
      <w:r w:rsidR="0087142B">
        <w:rPr>
          <w:rFonts w:ascii="Arial" w:hAnsi="Arial"/>
          <w:sz w:val="22"/>
          <w:szCs w:val="22"/>
        </w:rPr>
        <w:t>”</w:t>
      </w:r>
      <w:r w:rsidR="0087142B" w:rsidRPr="0087142B">
        <w:rPr>
          <w:rFonts w:ascii="Arial" w:hAnsi="Arial"/>
          <w:sz w:val="22"/>
          <w:szCs w:val="22"/>
        </w:rPr>
        <w:t xml:space="preserve"> </w:t>
      </w:r>
    </w:p>
    <w:p w:rsidR="0087142B" w:rsidRDefault="0087142B" w:rsidP="00B72A4D">
      <w:pPr>
        <w:pStyle w:val="ListParagraph"/>
        <w:jc w:val="both"/>
        <w:rPr>
          <w:rFonts w:ascii="Arial" w:hAnsi="Arial"/>
          <w:sz w:val="22"/>
          <w:szCs w:val="22"/>
        </w:rPr>
      </w:pPr>
    </w:p>
    <w:p w:rsidR="00B10F8B" w:rsidRDefault="00574DC5" w:rsidP="00B72A4D">
      <w:pPr>
        <w:pStyle w:val="ListParagraph"/>
        <w:numPr>
          <w:ilvl w:val="1"/>
          <w:numId w:val="1"/>
        </w:numPr>
        <w:jc w:val="both"/>
        <w:rPr>
          <w:rFonts w:ascii="Arial" w:hAnsi="Arial"/>
          <w:sz w:val="22"/>
          <w:szCs w:val="22"/>
        </w:rPr>
      </w:pPr>
      <w:r w:rsidRPr="0087142B">
        <w:rPr>
          <w:rFonts w:ascii="Arial" w:hAnsi="Arial"/>
          <w:sz w:val="22"/>
          <w:szCs w:val="22"/>
        </w:rPr>
        <w:t xml:space="preserve">Panadol </w:t>
      </w:r>
      <w:proofErr w:type="spellStart"/>
      <w:r w:rsidRPr="0087142B">
        <w:rPr>
          <w:rFonts w:ascii="Arial" w:hAnsi="Arial"/>
          <w:sz w:val="22"/>
          <w:szCs w:val="22"/>
        </w:rPr>
        <w:t>Osteo</w:t>
      </w:r>
      <w:proofErr w:type="spellEnd"/>
      <w:r w:rsidRPr="0087142B">
        <w:rPr>
          <w:rFonts w:ascii="Arial" w:hAnsi="Arial"/>
          <w:sz w:val="22"/>
          <w:szCs w:val="22"/>
        </w:rPr>
        <w:t xml:space="preserve">® is </w:t>
      </w:r>
      <w:r w:rsidR="00D73C8E">
        <w:rPr>
          <w:rFonts w:ascii="Arial" w:hAnsi="Arial"/>
          <w:sz w:val="22"/>
          <w:szCs w:val="22"/>
        </w:rPr>
        <w:t>possibly</w:t>
      </w:r>
      <w:r w:rsidR="000B226D">
        <w:rPr>
          <w:rFonts w:ascii="Arial" w:hAnsi="Arial"/>
          <w:sz w:val="22"/>
          <w:szCs w:val="22"/>
        </w:rPr>
        <w:t xml:space="preserve"> a</w:t>
      </w:r>
      <w:r w:rsidR="00D73C8E" w:rsidRPr="0087142B">
        <w:rPr>
          <w:rFonts w:ascii="Arial" w:hAnsi="Arial"/>
          <w:sz w:val="22"/>
          <w:szCs w:val="22"/>
        </w:rPr>
        <w:t xml:space="preserve"> </w:t>
      </w:r>
      <w:r w:rsidR="00702739" w:rsidRPr="0087142B">
        <w:rPr>
          <w:rFonts w:ascii="Arial" w:hAnsi="Arial"/>
          <w:sz w:val="22"/>
          <w:szCs w:val="22"/>
        </w:rPr>
        <w:t>more convenient</w:t>
      </w:r>
      <w:r w:rsidR="00D73C8E">
        <w:rPr>
          <w:rFonts w:ascii="Arial" w:hAnsi="Arial"/>
          <w:sz w:val="22"/>
          <w:szCs w:val="22"/>
        </w:rPr>
        <w:t xml:space="preserve"> form of paracetamol</w:t>
      </w:r>
      <w:r w:rsidR="00702739" w:rsidRPr="0087142B">
        <w:rPr>
          <w:rFonts w:ascii="Arial" w:hAnsi="Arial"/>
          <w:sz w:val="22"/>
          <w:szCs w:val="22"/>
        </w:rPr>
        <w:t xml:space="preserve"> due to the less frequent dosing; it is </w:t>
      </w:r>
      <w:r w:rsidRPr="0087142B">
        <w:rPr>
          <w:rFonts w:ascii="Arial" w:hAnsi="Arial"/>
          <w:sz w:val="22"/>
          <w:szCs w:val="22"/>
        </w:rPr>
        <w:t>generally taken three times per day whereas the 500</w:t>
      </w:r>
      <w:r w:rsidR="00C66470" w:rsidRPr="0087142B">
        <w:rPr>
          <w:rFonts w:ascii="Arial" w:hAnsi="Arial"/>
          <w:sz w:val="22"/>
          <w:szCs w:val="22"/>
        </w:rPr>
        <w:t xml:space="preserve"> </w:t>
      </w:r>
      <w:r w:rsidRPr="0087142B">
        <w:rPr>
          <w:rFonts w:ascii="Arial" w:hAnsi="Arial"/>
          <w:sz w:val="22"/>
          <w:szCs w:val="22"/>
        </w:rPr>
        <w:t>mg product is gene</w:t>
      </w:r>
      <w:r w:rsidR="000B45D9" w:rsidRPr="0087142B">
        <w:rPr>
          <w:rFonts w:ascii="Arial" w:hAnsi="Arial"/>
          <w:sz w:val="22"/>
          <w:szCs w:val="22"/>
        </w:rPr>
        <w:t>rally taken four times per day.</w:t>
      </w:r>
      <w:r w:rsidRPr="0087142B">
        <w:rPr>
          <w:rFonts w:ascii="Arial" w:hAnsi="Arial"/>
          <w:sz w:val="22"/>
          <w:szCs w:val="22"/>
        </w:rPr>
        <w:t xml:space="preserve"> However, the 500 mg immediate release tablet is significantly less e</w:t>
      </w:r>
      <w:r w:rsidR="000313F6">
        <w:rPr>
          <w:rFonts w:ascii="Arial" w:hAnsi="Arial"/>
          <w:sz w:val="22"/>
          <w:szCs w:val="22"/>
        </w:rPr>
        <w:t xml:space="preserve">xpensive than Panadol </w:t>
      </w:r>
      <w:proofErr w:type="spellStart"/>
      <w:r w:rsidR="000313F6">
        <w:rPr>
          <w:rFonts w:ascii="Arial" w:hAnsi="Arial"/>
          <w:sz w:val="22"/>
          <w:szCs w:val="22"/>
        </w:rPr>
        <w:t>Osteo</w:t>
      </w:r>
      <w:proofErr w:type="spellEnd"/>
      <w:r w:rsidR="000313F6">
        <w:rPr>
          <w:rFonts w:ascii="Arial" w:hAnsi="Arial"/>
          <w:sz w:val="22"/>
          <w:szCs w:val="22"/>
        </w:rPr>
        <w:t>® – a</w:t>
      </w:r>
      <w:r w:rsidRPr="0087142B">
        <w:rPr>
          <w:rFonts w:ascii="Arial" w:hAnsi="Arial"/>
          <w:sz w:val="22"/>
          <w:szCs w:val="22"/>
        </w:rPr>
        <w:t xml:space="preserve"> box of 100 tablets can be bought for as little as $2.</w:t>
      </w:r>
    </w:p>
    <w:p w:rsidR="00C049B0" w:rsidRPr="00C049B0" w:rsidRDefault="00C049B0" w:rsidP="00C049B0">
      <w:pPr>
        <w:pStyle w:val="ListParagraph"/>
        <w:rPr>
          <w:rFonts w:ascii="Arial" w:hAnsi="Arial"/>
          <w:sz w:val="22"/>
          <w:szCs w:val="22"/>
        </w:rPr>
      </w:pPr>
    </w:p>
    <w:p w:rsidR="00C049B0" w:rsidRPr="0087142B" w:rsidRDefault="00C049B0" w:rsidP="00B72A4D">
      <w:pPr>
        <w:pStyle w:val="ListParagraph"/>
        <w:numPr>
          <w:ilvl w:val="1"/>
          <w:numId w:val="1"/>
        </w:numPr>
        <w:jc w:val="both"/>
        <w:rPr>
          <w:rFonts w:ascii="Arial" w:hAnsi="Arial"/>
          <w:sz w:val="22"/>
          <w:szCs w:val="22"/>
        </w:rPr>
      </w:pPr>
      <w:r>
        <w:rPr>
          <w:rFonts w:ascii="Arial" w:hAnsi="Arial"/>
          <w:sz w:val="22"/>
          <w:szCs w:val="22"/>
        </w:rPr>
        <w:t xml:space="preserve">The price at which Panadol </w:t>
      </w:r>
      <w:proofErr w:type="spellStart"/>
      <w:r>
        <w:rPr>
          <w:rFonts w:ascii="Arial" w:hAnsi="Arial"/>
          <w:sz w:val="22"/>
          <w:szCs w:val="22"/>
        </w:rPr>
        <w:t>Osteo</w:t>
      </w:r>
      <w:proofErr w:type="spellEnd"/>
      <w:r w:rsidR="000313F6" w:rsidRPr="0087142B">
        <w:rPr>
          <w:rFonts w:ascii="Arial" w:hAnsi="Arial"/>
          <w:sz w:val="22"/>
          <w:szCs w:val="22"/>
        </w:rPr>
        <w:t>®</w:t>
      </w:r>
      <w:r>
        <w:rPr>
          <w:rFonts w:ascii="Arial" w:hAnsi="Arial"/>
          <w:sz w:val="22"/>
          <w:szCs w:val="22"/>
        </w:rPr>
        <w:t xml:space="preserve"> is sold in pharmacy will now depend on a number of factors, including the choices made by GSK on de</w:t>
      </w:r>
      <w:r w:rsidR="000313F6">
        <w:rPr>
          <w:rFonts w:ascii="Arial" w:hAnsi="Arial"/>
          <w:sz w:val="22"/>
          <w:szCs w:val="22"/>
        </w:rPr>
        <w:t>-</w:t>
      </w:r>
      <w:r>
        <w:rPr>
          <w:rFonts w:ascii="Arial" w:hAnsi="Arial"/>
          <w:sz w:val="22"/>
          <w:szCs w:val="22"/>
        </w:rPr>
        <w:t xml:space="preserve">listing its product from the PBS entirely. Further, the OTC price for all medicines varies widely from pharmacy to pharmacy. </w:t>
      </w:r>
      <w:r w:rsidR="00284939">
        <w:rPr>
          <w:rFonts w:ascii="Arial" w:hAnsi="Arial"/>
          <w:sz w:val="22"/>
          <w:szCs w:val="22"/>
        </w:rPr>
        <w:t xml:space="preserve">Anecdotally, Panadol </w:t>
      </w:r>
      <w:proofErr w:type="spellStart"/>
      <w:r w:rsidR="00284939">
        <w:rPr>
          <w:rFonts w:ascii="Arial" w:hAnsi="Arial"/>
          <w:sz w:val="22"/>
          <w:szCs w:val="22"/>
        </w:rPr>
        <w:t>Osteo</w:t>
      </w:r>
      <w:proofErr w:type="spellEnd"/>
      <w:r w:rsidR="000313F6" w:rsidRPr="0087142B">
        <w:rPr>
          <w:rFonts w:ascii="Arial" w:hAnsi="Arial"/>
          <w:sz w:val="22"/>
          <w:szCs w:val="22"/>
        </w:rPr>
        <w:t>®</w:t>
      </w:r>
      <w:r w:rsidR="00284939">
        <w:rPr>
          <w:rFonts w:ascii="Arial" w:hAnsi="Arial"/>
          <w:sz w:val="22"/>
          <w:szCs w:val="22"/>
        </w:rPr>
        <w:t xml:space="preserve"> is available at some pharmacies for $7.50 for 2 boxes, but does cost more than that at other pharmacies.</w:t>
      </w:r>
      <w:r>
        <w:rPr>
          <w:rFonts w:ascii="Arial" w:hAnsi="Arial"/>
          <w:sz w:val="22"/>
          <w:szCs w:val="22"/>
        </w:rPr>
        <w:t xml:space="preserve"> A </w:t>
      </w:r>
      <w:r w:rsidR="00284939">
        <w:rPr>
          <w:rFonts w:ascii="Arial" w:hAnsi="Arial"/>
          <w:sz w:val="22"/>
          <w:szCs w:val="22"/>
        </w:rPr>
        <w:t>consideration</w:t>
      </w:r>
      <w:r>
        <w:rPr>
          <w:rFonts w:ascii="Arial" w:hAnsi="Arial"/>
          <w:sz w:val="22"/>
          <w:szCs w:val="22"/>
        </w:rPr>
        <w:t xml:space="preserve"> of ava</w:t>
      </w:r>
      <w:r w:rsidR="00284939">
        <w:rPr>
          <w:rFonts w:ascii="Arial" w:hAnsi="Arial"/>
          <w:sz w:val="22"/>
          <w:szCs w:val="22"/>
        </w:rPr>
        <w:t>ilability at a particular price OTC in pharmacy compared with the co-payment amount was not previously adopted by the PBAC</w:t>
      </w:r>
      <w:r>
        <w:rPr>
          <w:rFonts w:ascii="Arial" w:hAnsi="Arial"/>
          <w:sz w:val="22"/>
          <w:szCs w:val="22"/>
        </w:rPr>
        <w:t xml:space="preserve">. </w:t>
      </w:r>
    </w:p>
    <w:p w:rsidR="00C10A20" w:rsidRPr="00C10A20" w:rsidRDefault="00C10A20" w:rsidP="00C10A20">
      <w:pPr>
        <w:pStyle w:val="ListParagraph"/>
        <w:rPr>
          <w:rFonts w:ascii="Arial" w:hAnsi="Arial"/>
          <w:sz w:val="22"/>
          <w:szCs w:val="22"/>
        </w:rPr>
      </w:pPr>
    </w:p>
    <w:p w:rsidR="00B75637" w:rsidRDefault="000B45D9" w:rsidP="00B75637">
      <w:pPr>
        <w:pStyle w:val="ListParagraph"/>
        <w:numPr>
          <w:ilvl w:val="1"/>
          <w:numId w:val="1"/>
        </w:numPr>
        <w:jc w:val="both"/>
        <w:rPr>
          <w:rFonts w:ascii="Arial" w:hAnsi="Arial"/>
          <w:sz w:val="22"/>
          <w:szCs w:val="22"/>
        </w:rPr>
      </w:pPr>
      <w:r>
        <w:rPr>
          <w:rFonts w:ascii="Arial" w:hAnsi="Arial"/>
          <w:sz w:val="22"/>
          <w:szCs w:val="22"/>
        </w:rPr>
        <w:t xml:space="preserve">The </w:t>
      </w:r>
      <w:r w:rsidRPr="000B45D9">
        <w:rPr>
          <w:rFonts w:ascii="Arial" w:hAnsi="Arial"/>
          <w:sz w:val="22"/>
          <w:szCs w:val="22"/>
        </w:rPr>
        <w:t>sponsor</w:t>
      </w:r>
      <w:r>
        <w:rPr>
          <w:rFonts w:ascii="Arial" w:hAnsi="Arial"/>
          <w:sz w:val="22"/>
          <w:szCs w:val="22"/>
        </w:rPr>
        <w:t>, in its</w:t>
      </w:r>
      <w:r w:rsidRPr="000B45D9">
        <w:rPr>
          <w:rFonts w:ascii="Arial" w:hAnsi="Arial"/>
          <w:sz w:val="22"/>
          <w:szCs w:val="22"/>
        </w:rPr>
        <w:t xml:space="preserve"> submission to the July 2015 PBAC meeting, argued that the PBAC has previously </w:t>
      </w:r>
      <w:r>
        <w:rPr>
          <w:rFonts w:ascii="Arial" w:hAnsi="Arial"/>
          <w:sz w:val="22"/>
          <w:szCs w:val="22"/>
        </w:rPr>
        <w:t xml:space="preserve">accepted that there is a distinction between Panadol </w:t>
      </w:r>
      <w:proofErr w:type="spellStart"/>
      <w:r>
        <w:rPr>
          <w:rFonts w:ascii="Arial" w:hAnsi="Arial"/>
          <w:sz w:val="22"/>
          <w:szCs w:val="22"/>
        </w:rPr>
        <w:t>Osteo</w:t>
      </w:r>
      <w:proofErr w:type="spellEnd"/>
      <w:r>
        <w:rPr>
          <w:rFonts w:ascii="Arial" w:hAnsi="Arial"/>
          <w:sz w:val="22"/>
          <w:szCs w:val="22"/>
        </w:rPr>
        <w:t xml:space="preserve">® and standard immediate-release oral paracetamol. </w:t>
      </w:r>
      <w:r w:rsidR="000B226D">
        <w:rPr>
          <w:rFonts w:ascii="Arial" w:hAnsi="Arial"/>
          <w:sz w:val="22"/>
          <w:szCs w:val="22"/>
        </w:rPr>
        <w:t>This referred</w:t>
      </w:r>
      <w:r w:rsidR="003938F2">
        <w:rPr>
          <w:rFonts w:ascii="Arial" w:hAnsi="Arial"/>
          <w:sz w:val="22"/>
          <w:szCs w:val="22"/>
        </w:rPr>
        <w:t xml:space="preserve"> to the April 2008 consideration of criteria relevant to exempt item status when</w:t>
      </w:r>
      <w:r w:rsidR="00924A21">
        <w:rPr>
          <w:rFonts w:ascii="Arial" w:hAnsi="Arial"/>
          <w:sz w:val="22"/>
          <w:szCs w:val="22"/>
        </w:rPr>
        <w:t xml:space="preserve"> t</w:t>
      </w:r>
      <w:r>
        <w:rPr>
          <w:rFonts w:ascii="Arial" w:hAnsi="Arial"/>
          <w:sz w:val="22"/>
          <w:szCs w:val="22"/>
        </w:rPr>
        <w:t>he PBAC advised that the product is particularly advantageous for use by the subgroup of patients with osteoarthritic pain who are institutionalised</w:t>
      </w:r>
      <w:r w:rsidR="003938F2">
        <w:rPr>
          <w:rFonts w:ascii="Arial" w:hAnsi="Arial"/>
          <w:sz w:val="22"/>
          <w:szCs w:val="22"/>
        </w:rPr>
        <w:t xml:space="preserve">.  The specific exempt item criteria and </w:t>
      </w:r>
      <w:r w:rsidR="00CE5717">
        <w:rPr>
          <w:rFonts w:ascii="Arial" w:hAnsi="Arial"/>
          <w:sz w:val="22"/>
          <w:szCs w:val="22"/>
        </w:rPr>
        <w:t xml:space="preserve">the </w:t>
      </w:r>
      <w:r w:rsidR="003938F2">
        <w:rPr>
          <w:rFonts w:ascii="Arial" w:hAnsi="Arial"/>
          <w:sz w:val="22"/>
          <w:szCs w:val="22"/>
        </w:rPr>
        <w:t xml:space="preserve">current </w:t>
      </w:r>
      <w:r w:rsidR="00CE5717">
        <w:rPr>
          <w:rFonts w:ascii="Arial" w:hAnsi="Arial"/>
          <w:sz w:val="22"/>
          <w:szCs w:val="22"/>
        </w:rPr>
        <w:t xml:space="preserve">approach to </w:t>
      </w:r>
      <w:r w:rsidR="000B226D">
        <w:rPr>
          <w:rFonts w:ascii="Arial" w:hAnsi="Arial"/>
          <w:sz w:val="22"/>
          <w:szCs w:val="22"/>
        </w:rPr>
        <w:t>those criteria</w:t>
      </w:r>
      <w:r w:rsidR="00CE5717">
        <w:rPr>
          <w:rFonts w:ascii="Arial" w:hAnsi="Arial"/>
          <w:sz w:val="22"/>
          <w:szCs w:val="22"/>
        </w:rPr>
        <w:t xml:space="preserve"> under the Act</w:t>
      </w:r>
      <w:r w:rsidR="000B226D">
        <w:rPr>
          <w:rFonts w:ascii="Arial" w:hAnsi="Arial"/>
          <w:sz w:val="22"/>
          <w:szCs w:val="22"/>
        </w:rPr>
        <w:t xml:space="preserve"> are</w:t>
      </w:r>
      <w:r w:rsidR="003938F2">
        <w:rPr>
          <w:rFonts w:ascii="Arial" w:hAnsi="Arial"/>
          <w:sz w:val="22"/>
          <w:szCs w:val="22"/>
        </w:rPr>
        <w:t xml:space="preserve"> </w:t>
      </w:r>
      <w:r w:rsidR="0098795E">
        <w:rPr>
          <w:rFonts w:ascii="Arial" w:hAnsi="Arial"/>
          <w:sz w:val="22"/>
          <w:szCs w:val="22"/>
        </w:rPr>
        <w:t>not currently</w:t>
      </w:r>
      <w:r w:rsidR="0067027D">
        <w:rPr>
          <w:rFonts w:ascii="Arial" w:hAnsi="Arial"/>
          <w:sz w:val="22"/>
          <w:szCs w:val="22"/>
        </w:rPr>
        <w:t xml:space="preserve"> matters</w:t>
      </w:r>
      <w:r w:rsidR="0098795E">
        <w:rPr>
          <w:rFonts w:ascii="Arial" w:hAnsi="Arial"/>
          <w:sz w:val="22"/>
          <w:szCs w:val="22"/>
        </w:rPr>
        <w:t xml:space="preserve"> </w:t>
      </w:r>
      <w:r w:rsidR="003938F2">
        <w:rPr>
          <w:rFonts w:ascii="Arial" w:hAnsi="Arial"/>
          <w:sz w:val="22"/>
          <w:szCs w:val="22"/>
        </w:rPr>
        <w:t xml:space="preserve">before the PBAC.  </w:t>
      </w:r>
      <w:r w:rsidR="00CE5717">
        <w:rPr>
          <w:rFonts w:ascii="Arial" w:hAnsi="Arial"/>
          <w:sz w:val="22"/>
          <w:szCs w:val="22"/>
        </w:rPr>
        <w:t xml:space="preserve">There is no current legal </w:t>
      </w:r>
      <w:r w:rsidR="0098795E">
        <w:rPr>
          <w:rFonts w:ascii="Arial" w:hAnsi="Arial"/>
          <w:sz w:val="22"/>
          <w:szCs w:val="22"/>
        </w:rPr>
        <w:t xml:space="preserve">exempt item determination based on the April 2008 PBAC recommendation, and any request for exempt item status would be returned to </w:t>
      </w:r>
      <w:r w:rsidR="0098795E">
        <w:rPr>
          <w:rFonts w:ascii="Arial" w:hAnsi="Arial"/>
          <w:sz w:val="22"/>
          <w:szCs w:val="22"/>
        </w:rPr>
        <w:lastRenderedPageBreak/>
        <w:t>the PBAC</w:t>
      </w:r>
      <w:r w:rsidR="000B226D">
        <w:rPr>
          <w:rFonts w:ascii="Arial" w:hAnsi="Arial"/>
          <w:sz w:val="22"/>
          <w:szCs w:val="22"/>
        </w:rPr>
        <w:t>.</w:t>
      </w:r>
      <w:r w:rsidR="00CE5717">
        <w:rPr>
          <w:rFonts w:ascii="Arial" w:hAnsi="Arial"/>
          <w:sz w:val="22"/>
          <w:szCs w:val="22"/>
        </w:rPr>
        <w:t xml:space="preserve"> </w:t>
      </w:r>
      <w:r w:rsidR="0053179E">
        <w:rPr>
          <w:rFonts w:ascii="Arial" w:hAnsi="Arial"/>
          <w:sz w:val="22"/>
          <w:szCs w:val="22"/>
        </w:rPr>
        <w:t xml:space="preserve">The correspondence requested </w:t>
      </w:r>
      <w:r w:rsidR="0098795E">
        <w:rPr>
          <w:rFonts w:ascii="Arial" w:hAnsi="Arial"/>
          <w:sz w:val="22"/>
          <w:szCs w:val="22"/>
        </w:rPr>
        <w:t>t</w:t>
      </w:r>
      <w:r w:rsidR="00CE5717">
        <w:rPr>
          <w:rFonts w:ascii="Arial" w:hAnsi="Arial"/>
          <w:sz w:val="22"/>
          <w:szCs w:val="22"/>
        </w:rPr>
        <w:t xml:space="preserve">he </w:t>
      </w:r>
      <w:r w:rsidR="003938F2">
        <w:rPr>
          <w:rFonts w:ascii="Arial" w:hAnsi="Arial"/>
          <w:sz w:val="22"/>
          <w:szCs w:val="22"/>
        </w:rPr>
        <w:t xml:space="preserve">PBAC </w:t>
      </w:r>
      <w:r w:rsidR="00CE5717">
        <w:rPr>
          <w:rFonts w:ascii="Arial" w:hAnsi="Arial"/>
          <w:sz w:val="22"/>
          <w:szCs w:val="22"/>
        </w:rPr>
        <w:t>to consider afresh the paracetamol 665</w:t>
      </w:r>
      <w:r w:rsidR="00287E85">
        <w:rPr>
          <w:rFonts w:ascii="Arial" w:hAnsi="Arial"/>
          <w:sz w:val="22"/>
          <w:szCs w:val="22"/>
        </w:rPr>
        <w:t xml:space="preserve"> </w:t>
      </w:r>
      <w:r w:rsidR="00CE5717">
        <w:rPr>
          <w:rFonts w:ascii="Arial" w:hAnsi="Arial"/>
          <w:sz w:val="22"/>
          <w:szCs w:val="22"/>
        </w:rPr>
        <w:t xml:space="preserve">mg item, its place in therapy and relevance for the OTC measure. </w:t>
      </w:r>
    </w:p>
    <w:p w:rsidR="00BA4E28" w:rsidRPr="00BA4E28" w:rsidRDefault="00BA4E28" w:rsidP="00BA4E28">
      <w:pPr>
        <w:pStyle w:val="ListParagraph"/>
        <w:rPr>
          <w:rFonts w:ascii="Arial" w:hAnsi="Arial"/>
          <w:sz w:val="22"/>
          <w:szCs w:val="22"/>
        </w:rPr>
      </w:pPr>
    </w:p>
    <w:p w:rsidR="00A74348" w:rsidRPr="00B31D10" w:rsidRDefault="00B31D10" w:rsidP="00B31D10">
      <w:pPr>
        <w:pStyle w:val="ListParagraph"/>
        <w:ind w:hanging="11"/>
        <w:jc w:val="both"/>
        <w:rPr>
          <w:rFonts w:ascii="Arial" w:hAnsi="Arial"/>
          <w:i/>
          <w:sz w:val="22"/>
          <w:szCs w:val="22"/>
          <w:highlight w:val="yellow"/>
        </w:rPr>
      </w:pPr>
      <w:r w:rsidRPr="00B31D10">
        <w:rPr>
          <w:rFonts w:ascii="Arial" w:hAnsi="Arial"/>
          <w:i/>
          <w:sz w:val="22"/>
          <w:szCs w:val="22"/>
        </w:rPr>
        <w:t>For more det</w:t>
      </w:r>
      <w:r>
        <w:rPr>
          <w:rFonts w:ascii="Arial" w:hAnsi="Arial"/>
          <w:i/>
          <w:sz w:val="22"/>
          <w:szCs w:val="22"/>
        </w:rPr>
        <w:t>ail on PBAC’s view, see section 3</w:t>
      </w:r>
      <w:r w:rsidRPr="00B31D10">
        <w:rPr>
          <w:rFonts w:ascii="Arial" w:hAnsi="Arial"/>
          <w:i/>
          <w:sz w:val="22"/>
          <w:szCs w:val="22"/>
        </w:rPr>
        <w:t xml:space="preserve"> “PBAC outcome”</w:t>
      </w:r>
    </w:p>
    <w:p w:rsidR="00B72A4D" w:rsidRDefault="00B72A4D" w:rsidP="00A74348">
      <w:pPr>
        <w:pStyle w:val="ListParagraph"/>
        <w:jc w:val="both"/>
        <w:rPr>
          <w:rFonts w:ascii="Arial" w:hAnsi="Arial"/>
          <w:b/>
          <w:sz w:val="22"/>
          <w:szCs w:val="22"/>
        </w:rPr>
      </w:pPr>
    </w:p>
    <w:p w:rsidR="00BA4E28" w:rsidRDefault="00BA4E28" w:rsidP="00C33603">
      <w:pPr>
        <w:pStyle w:val="Heading2"/>
        <w:keepNext/>
      </w:pPr>
      <w:r>
        <w:t>PBAC Outcome</w:t>
      </w:r>
    </w:p>
    <w:p w:rsidR="00BA4E28" w:rsidRPr="00BA4E28" w:rsidRDefault="00BA4E28" w:rsidP="00BA4E28"/>
    <w:p w:rsidR="00E3616E" w:rsidRPr="00263E2C" w:rsidRDefault="00E3616E" w:rsidP="00E3616E">
      <w:pPr>
        <w:pStyle w:val="ListParagraph"/>
        <w:numPr>
          <w:ilvl w:val="1"/>
          <w:numId w:val="1"/>
        </w:numPr>
        <w:jc w:val="both"/>
        <w:rPr>
          <w:rFonts w:ascii="Arial" w:hAnsi="Arial" w:cs="Arial"/>
          <w:sz w:val="22"/>
          <w:szCs w:val="22"/>
        </w:rPr>
      </w:pPr>
      <w:r w:rsidRPr="00263E2C">
        <w:rPr>
          <w:rFonts w:ascii="Arial" w:hAnsi="Arial" w:cs="Arial"/>
          <w:sz w:val="22"/>
          <w:szCs w:val="22"/>
        </w:rPr>
        <w:t>The PBAC noted that the Guild requested “that the PBAC undertake its own analysis of OTC prices of the delisted medicines and if it is confirmed that these products are not available at prices below the price paid by Concessional Card holders under the PBS, the decision to delist should be reviewed in consultation with relevant consumer groups…</w:t>
      </w:r>
      <w:proofErr w:type="gramStart"/>
      <w:r w:rsidRPr="00263E2C">
        <w:rPr>
          <w:rFonts w:ascii="Arial" w:hAnsi="Arial" w:cs="Arial"/>
          <w:sz w:val="22"/>
          <w:szCs w:val="22"/>
        </w:rPr>
        <w:t>”.</w:t>
      </w:r>
      <w:proofErr w:type="gramEnd"/>
      <w:r w:rsidRPr="00263E2C">
        <w:rPr>
          <w:rFonts w:ascii="Arial" w:hAnsi="Arial" w:cs="Arial"/>
          <w:sz w:val="22"/>
          <w:szCs w:val="22"/>
        </w:rPr>
        <w:t xml:space="preserve"> </w:t>
      </w:r>
      <w:r w:rsidR="00DF3052">
        <w:rPr>
          <w:rFonts w:ascii="Arial" w:hAnsi="Arial" w:cs="Arial"/>
          <w:sz w:val="22"/>
          <w:szCs w:val="22"/>
        </w:rPr>
        <w:t xml:space="preserve">The PBAC noted that this request </w:t>
      </w:r>
      <w:r w:rsidR="006E172B">
        <w:rPr>
          <w:rFonts w:ascii="Arial" w:hAnsi="Arial" w:cs="Arial"/>
          <w:sz w:val="22"/>
          <w:szCs w:val="22"/>
        </w:rPr>
        <w:t xml:space="preserve">had a particular emphasis on </w:t>
      </w:r>
      <w:r w:rsidR="00DF3052">
        <w:rPr>
          <w:rFonts w:ascii="Arial" w:hAnsi="Arial" w:cs="Arial"/>
          <w:sz w:val="22"/>
          <w:szCs w:val="22"/>
        </w:rPr>
        <w:t>paracetamol 665 mg.</w:t>
      </w:r>
    </w:p>
    <w:p w:rsidR="00E3616E" w:rsidRPr="00263E2C" w:rsidRDefault="00E3616E" w:rsidP="00E3616E">
      <w:pPr>
        <w:pStyle w:val="ListParagraph"/>
        <w:jc w:val="both"/>
        <w:rPr>
          <w:rFonts w:ascii="Arial" w:hAnsi="Arial" w:cs="Arial"/>
          <w:sz w:val="22"/>
          <w:szCs w:val="22"/>
        </w:rPr>
      </w:pPr>
    </w:p>
    <w:p w:rsidR="00E3616E" w:rsidRPr="00263E2C" w:rsidRDefault="00E3616E" w:rsidP="00E3616E">
      <w:pPr>
        <w:pStyle w:val="ListParagraph"/>
        <w:numPr>
          <w:ilvl w:val="1"/>
          <w:numId w:val="1"/>
        </w:numPr>
        <w:jc w:val="both"/>
        <w:rPr>
          <w:rFonts w:ascii="Arial" w:hAnsi="Arial" w:cs="Arial"/>
          <w:sz w:val="22"/>
          <w:szCs w:val="22"/>
        </w:rPr>
      </w:pPr>
      <w:r w:rsidRPr="00263E2C">
        <w:rPr>
          <w:rFonts w:ascii="Arial" w:hAnsi="Arial" w:cs="Arial"/>
          <w:sz w:val="22"/>
          <w:szCs w:val="22"/>
        </w:rPr>
        <w:t xml:space="preserve">The PBAC noted </w:t>
      </w:r>
      <w:r w:rsidR="00803ECF">
        <w:rPr>
          <w:rFonts w:ascii="Arial" w:hAnsi="Arial" w:cs="Arial"/>
          <w:sz w:val="22"/>
          <w:szCs w:val="22"/>
        </w:rPr>
        <w:t xml:space="preserve">the </w:t>
      </w:r>
      <w:r w:rsidRPr="00263E2C">
        <w:rPr>
          <w:rFonts w:ascii="Arial" w:hAnsi="Arial" w:cs="Arial"/>
          <w:sz w:val="22"/>
          <w:szCs w:val="22"/>
        </w:rPr>
        <w:t>correspondence received from the Consumers Health Forum and Pain Australia</w:t>
      </w:r>
      <w:r w:rsidR="00D10126">
        <w:rPr>
          <w:rFonts w:ascii="Arial" w:hAnsi="Arial" w:cs="Arial"/>
          <w:sz w:val="22"/>
          <w:szCs w:val="22"/>
        </w:rPr>
        <w:t xml:space="preserve"> which raised similar issues</w:t>
      </w:r>
      <w:r w:rsidRPr="00263E2C">
        <w:rPr>
          <w:rFonts w:ascii="Arial" w:hAnsi="Arial" w:cs="Arial"/>
          <w:sz w:val="22"/>
          <w:szCs w:val="22"/>
        </w:rPr>
        <w:t>.</w:t>
      </w:r>
    </w:p>
    <w:p w:rsidR="00E3616E" w:rsidRPr="00263E2C" w:rsidRDefault="00E3616E" w:rsidP="00E3616E">
      <w:pPr>
        <w:pStyle w:val="ListParagraph"/>
        <w:jc w:val="both"/>
        <w:rPr>
          <w:rFonts w:ascii="Arial" w:hAnsi="Arial" w:cs="Arial"/>
          <w:sz w:val="22"/>
          <w:szCs w:val="22"/>
        </w:rPr>
      </w:pPr>
    </w:p>
    <w:p w:rsidR="00A73332" w:rsidRDefault="00A73332" w:rsidP="00A73332">
      <w:pPr>
        <w:pStyle w:val="ListParagraph"/>
        <w:numPr>
          <w:ilvl w:val="1"/>
          <w:numId w:val="1"/>
        </w:numPr>
        <w:tabs>
          <w:tab w:val="left" w:pos="5245"/>
        </w:tabs>
        <w:jc w:val="both"/>
        <w:rPr>
          <w:rFonts w:ascii="Arial" w:hAnsi="Arial"/>
          <w:sz w:val="22"/>
          <w:szCs w:val="22"/>
        </w:rPr>
      </w:pPr>
      <w:r>
        <w:rPr>
          <w:rFonts w:ascii="Arial" w:hAnsi="Arial"/>
          <w:sz w:val="22"/>
          <w:szCs w:val="22"/>
        </w:rPr>
        <w:t xml:space="preserve">The PBAC recalled the guiding principles it used in recommending which drugs to remove </w:t>
      </w:r>
      <w:r w:rsidR="00EA5D89">
        <w:rPr>
          <w:rFonts w:ascii="Arial" w:hAnsi="Arial"/>
          <w:sz w:val="22"/>
          <w:szCs w:val="22"/>
        </w:rPr>
        <w:t>from</w:t>
      </w:r>
      <w:r w:rsidR="0067027D">
        <w:rPr>
          <w:rFonts w:ascii="Arial" w:hAnsi="Arial"/>
          <w:sz w:val="22"/>
          <w:szCs w:val="22"/>
        </w:rPr>
        <w:t xml:space="preserve"> general</w:t>
      </w:r>
      <w:r w:rsidR="00EA5D89">
        <w:rPr>
          <w:rFonts w:ascii="Arial" w:hAnsi="Arial"/>
          <w:sz w:val="22"/>
          <w:szCs w:val="22"/>
        </w:rPr>
        <w:t xml:space="preserve"> </w:t>
      </w:r>
      <w:r w:rsidR="00287E85">
        <w:rPr>
          <w:rFonts w:ascii="Arial" w:hAnsi="Arial"/>
          <w:sz w:val="22"/>
          <w:szCs w:val="22"/>
        </w:rPr>
        <w:t xml:space="preserve">PBS </w:t>
      </w:r>
      <w:r w:rsidR="0067027D">
        <w:rPr>
          <w:rFonts w:ascii="Arial" w:hAnsi="Arial"/>
          <w:sz w:val="22"/>
          <w:szCs w:val="22"/>
        </w:rPr>
        <w:t>availability,</w:t>
      </w:r>
      <w:r>
        <w:rPr>
          <w:rFonts w:ascii="Arial" w:hAnsi="Arial"/>
          <w:sz w:val="22"/>
          <w:szCs w:val="22"/>
        </w:rPr>
        <w:t xml:space="preserve"> and for retaining drugs </w:t>
      </w:r>
      <w:r w:rsidR="00EA5D89">
        <w:rPr>
          <w:rFonts w:ascii="Arial" w:hAnsi="Arial"/>
          <w:sz w:val="22"/>
          <w:szCs w:val="22"/>
        </w:rPr>
        <w:t>on the PBS (</w:t>
      </w:r>
      <w:r w:rsidR="00287E85">
        <w:rPr>
          <w:rFonts w:ascii="Arial" w:hAnsi="Arial"/>
          <w:sz w:val="22"/>
          <w:szCs w:val="22"/>
        </w:rPr>
        <w:t xml:space="preserve">as per </w:t>
      </w:r>
      <w:r w:rsidR="00EA5D89">
        <w:rPr>
          <w:rFonts w:ascii="Arial" w:hAnsi="Arial"/>
          <w:sz w:val="22"/>
          <w:szCs w:val="22"/>
        </w:rPr>
        <w:t>paragraph</w:t>
      </w:r>
      <w:r w:rsidR="00287E85">
        <w:rPr>
          <w:rFonts w:ascii="Arial" w:hAnsi="Arial"/>
          <w:sz w:val="22"/>
          <w:szCs w:val="22"/>
        </w:rPr>
        <w:t>s 2.2-</w:t>
      </w:r>
      <w:r w:rsidR="00EA5D89">
        <w:rPr>
          <w:rFonts w:ascii="Arial" w:hAnsi="Arial"/>
          <w:sz w:val="22"/>
          <w:szCs w:val="22"/>
        </w:rPr>
        <w:t>2.3).</w:t>
      </w:r>
    </w:p>
    <w:p w:rsidR="00A73332" w:rsidRPr="00A73332" w:rsidRDefault="00A73332" w:rsidP="00A73332">
      <w:pPr>
        <w:tabs>
          <w:tab w:val="left" w:pos="5245"/>
        </w:tabs>
        <w:jc w:val="both"/>
        <w:rPr>
          <w:rFonts w:ascii="Arial" w:hAnsi="Arial"/>
          <w:sz w:val="22"/>
          <w:szCs w:val="22"/>
        </w:rPr>
      </w:pPr>
    </w:p>
    <w:p w:rsidR="00DF3052" w:rsidRDefault="00DF3052" w:rsidP="006E172B">
      <w:pPr>
        <w:pStyle w:val="ListParagraph"/>
        <w:numPr>
          <w:ilvl w:val="1"/>
          <w:numId w:val="1"/>
        </w:numPr>
        <w:jc w:val="both"/>
        <w:rPr>
          <w:rFonts w:ascii="Arial" w:hAnsi="Arial"/>
          <w:sz w:val="22"/>
          <w:szCs w:val="22"/>
        </w:rPr>
      </w:pPr>
      <w:r w:rsidRPr="00DF3052">
        <w:rPr>
          <w:rFonts w:ascii="Arial" w:hAnsi="Arial" w:cs="Arial"/>
          <w:sz w:val="22"/>
          <w:szCs w:val="22"/>
        </w:rPr>
        <w:t xml:space="preserve">The PBAC </w:t>
      </w:r>
      <w:r w:rsidR="0008757D">
        <w:rPr>
          <w:rFonts w:ascii="Arial" w:hAnsi="Arial" w:cs="Arial"/>
          <w:sz w:val="22"/>
          <w:szCs w:val="22"/>
        </w:rPr>
        <w:t>further recalled</w:t>
      </w:r>
      <w:r w:rsidRPr="00DF3052">
        <w:rPr>
          <w:rFonts w:ascii="Arial" w:hAnsi="Arial" w:cs="Arial"/>
          <w:sz w:val="22"/>
          <w:szCs w:val="22"/>
        </w:rPr>
        <w:t xml:space="preserve"> that it recommended </w:t>
      </w:r>
      <w:r w:rsidR="006E172B">
        <w:rPr>
          <w:rFonts w:ascii="Arial" w:hAnsi="Arial" w:cs="Arial"/>
          <w:sz w:val="22"/>
          <w:szCs w:val="22"/>
        </w:rPr>
        <w:t xml:space="preserve">amending the circumstances under which paracetamol 665 mg was listed on the PBS. Specifically, the PBAC recommended continued </w:t>
      </w:r>
      <w:r w:rsidRPr="00DF3052">
        <w:rPr>
          <w:rFonts w:ascii="Arial" w:hAnsi="Arial" w:cs="Arial"/>
          <w:sz w:val="22"/>
          <w:szCs w:val="22"/>
        </w:rPr>
        <w:t xml:space="preserve">listing for </w:t>
      </w:r>
      <w:r w:rsidRPr="00DF3052">
        <w:rPr>
          <w:rFonts w:ascii="Arial" w:hAnsi="Arial"/>
          <w:sz w:val="22"/>
          <w:szCs w:val="22"/>
        </w:rPr>
        <w:t xml:space="preserve">palliative care and Aboriginal and/or Torres Strait Islander patients with persistent pain associated with osteoarthritis. </w:t>
      </w:r>
      <w:r w:rsidR="00D10126">
        <w:rPr>
          <w:rFonts w:ascii="Arial" w:hAnsi="Arial"/>
          <w:sz w:val="22"/>
          <w:szCs w:val="22"/>
        </w:rPr>
        <w:t>F</w:t>
      </w:r>
      <w:r w:rsidRPr="00DF3052">
        <w:rPr>
          <w:rFonts w:ascii="Arial" w:hAnsi="Arial"/>
          <w:sz w:val="22"/>
          <w:szCs w:val="22"/>
        </w:rPr>
        <w:t xml:space="preserve">ollowing notice of the recommendation to tighten the PBS listing, the sponsor of </w:t>
      </w:r>
      <w:r w:rsidR="00EA5D89" w:rsidRPr="00DF3052">
        <w:rPr>
          <w:rFonts w:ascii="Arial" w:hAnsi="Arial"/>
          <w:sz w:val="22"/>
          <w:szCs w:val="22"/>
        </w:rPr>
        <w:t xml:space="preserve">Panadol </w:t>
      </w:r>
      <w:proofErr w:type="spellStart"/>
      <w:r w:rsidR="00EA5D89" w:rsidRPr="00DF3052">
        <w:rPr>
          <w:rFonts w:ascii="Arial" w:hAnsi="Arial"/>
          <w:sz w:val="22"/>
          <w:szCs w:val="22"/>
        </w:rPr>
        <w:t>Osteo</w:t>
      </w:r>
      <w:proofErr w:type="spellEnd"/>
      <w:r w:rsidR="00EA5D89" w:rsidRPr="00DF3052">
        <w:rPr>
          <w:rFonts w:ascii="Arial" w:hAnsi="Arial"/>
          <w:sz w:val="22"/>
          <w:szCs w:val="22"/>
        </w:rPr>
        <w:t>®</w:t>
      </w:r>
      <w:r w:rsidR="00EA5D89">
        <w:rPr>
          <w:rFonts w:ascii="Arial" w:hAnsi="Arial"/>
          <w:sz w:val="22"/>
          <w:szCs w:val="22"/>
        </w:rPr>
        <w:t xml:space="preserve"> (</w:t>
      </w:r>
      <w:r w:rsidR="00CC431A">
        <w:rPr>
          <w:rFonts w:ascii="Arial" w:hAnsi="Arial"/>
          <w:sz w:val="22"/>
          <w:szCs w:val="22"/>
        </w:rPr>
        <w:t xml:space="preserve">one of the </w:t>
      </w:r>
      <w:r w:rsidR="00EA5D89">
        <w:rPr>
          <w:rFonts w:ascii="Arial" w:hAnsi="Arial"/>
          <w:sz w:val="22"/>
          <w:szCs w:val="22"/>
        </w:rPr>
        <w:t xml:space="preserve">then two </w:t>
      </w:r>
      <w:r w:rsidR="00CC431A">
        <w:rPr>
          <w:rFonts w:ascii="Arial" w:hAnsi="Arial"/>
          <w:sz w:val="22"/>
          <w:szCs w:val="22"/>
        </w:rPr>
        <w:t>liste</w:t>
      </w:r>
      <w:r w:rsidR="00EA5D89">
        <w:rPr>
          <w:rFonts w:ascii="Arial" w:hAnsi="Arial"/>
          <w:sz w:val="22"/>
          <w:szCs w:val="22"/>
        </w:rPr>
        <w:t>d brands of paracetamol 665 mg</w:t>
      </w:r>
      <w:r w:rsidR="00CC431A">
        <w:rPr>
          <w:rFonts w:ascii="Arial" w:hAnsi="Arial"/>
          <w:sz w:val="22"/>
          <w:szCs w:val="22"/>
        </w:rPr>
        <w:t>)</w:t>
      </w:r>
      <w:r w:rsidRPr="00DF3052">
        <w:rPr>
          <w:rFonts w:ascii="Arial" w:hAnsi="Arial"/>
          <w:sz w:val="22"/>
          <w:szCs w:val="22"/>
        </w:rPr>
        <w:t xml:space="preserve"> decided to delist this product from the PBS and increase its OTC w</w:t>
      </w:r>
      <w:r w:rsidR="006E172B">
        <w:rPr>
          <w:rFonts w:ascii="Arial" w:hAnsi="Arial"/>
          <w:sz w:val="22"/>
          <w:szCs w:val="22"/>
        </w:rPr>
        <w:t>holesale price by around 50 per </w:t>
      </w:r>
      <w:r w:rsidRPr="00DF3052">
        <w:rPr>
          <w:rFonts w:ascii="Arial" w:hAnsi="Arial"/>
          <w:sz w:val="22"/>
          <w:szCs w:val="22"/>
        </w:rPr>
        <w:t>cent.</w:t>
      </w:r>
      <w:r w:rsidR="00CC431A">
        <w:rPr>
          <w:rFonts w:ascii="Arial" w:hAnsi="Arial"/>
          <w:sz w:val="22"/>
          <w:szCs w:val="22"/>
        </w:rPr>
        <w:t xml:space="preserve"> The PBAC noted that </w:t>
      </w:r>
      <w:r w:rsidR="00EA5D89">
        <w:rPr>
          <w:rFonts w:ascii="Arial" w:hAnsi="Arial"/>
          <w:sz w:val="22"/>
          <w:szCs w:val="22"/>
        </w:rPr>
        <w:t xml:space="preserve">the other brand of paracetamol 665 mg, </w:t>
      </w:r>
      <w:proofErr w:type="spellStart"/>
      <w:r w:rsidR="00EA5D89">
        <w:rPr>
          <w:rFonts w:ascii="Arial" w:hAnsi="Arial"/>
          <w:sz w:val="22"/>
          <w:szCs w:val="22"/>
        </w:rPr>
        <w:t>Osteomol</w:t>
      </w:r>
      <w:proofErr w:type="spellEnd"/>
      <w:r w:rsidR="00EA5D89">
        <w:rPr>
          <w:rFonts w:ascii="Arial" w:hAnsi="Arial"/>
          <w:sz w:val="22"/>
          <w:szCs w:val="22"/>
        </w:rPr>
        <w:t>®,</w:t>
      </w:r>
      <w:r w:rsidR="00D10126">
        <w:rPr>
          <w:rFonts w:ascii="Arial" w:hAnsi="Arial"/>
          <w:sz w:val="22"/>
          <w:szCs w:val="22"/>
        </w:rPr>
        <w:t xml:space="preserve"> remains</w:t>
      </w:r>
      <w:r w:rsidR="00CC431A">
        <w:rPr>
          <w:rFonts w:ascii="Arial" w:hAnsi="Arial"/>
          <w:sz w:val="22"/>
          <w:szCs w:val="22"/>
        </w:rPr>
        <w:t xml:space="preserve"> listed on the PBS for the restricted populations.</w:t>
      </w:r>
    </w:p>
    <w:p w:rsidR="00DF3052" w:rsidRPr="00DF3052" w:rsidRDefault="00DF3052" w:rsidP="00DF3052">
      <w:pPr>
        <w:pStyle w:val="ListParagraph"/>
        <w:rPr>
          <w:rFonts w:ascii="Arial" w:hAnsi="Arial" w:cs="Arial"/>
          <w:sz w:val="22"/>
          <w:szCs w:val="22"/>
        </w:rPr>
      </w:pPr>
    </w:p>
    <w:p w:rsidR="00E3616E" w:rsidRDefault="00E3616E" w:rsidP="00E3616E">
      <w:pPr>
        <w:pStyle w:val="ListParagraph"/>
        <w:numPr>
          <w:ilvl w:val="1"/>
          <w:numId w:val="1"/>
        </w:numPr>
        <w:jc w:val="both"/>
        <w:rPr>
          <w:rFonts w:ascii="Arial" w:hAnsi="Arial" w:cs="Arial"/>
          <w:sz w:val="22"/>
          <w:szCs w:val="22"/>
        </w:rPr>
      </w:pPr>
      <w:r w:rsidRPr="00DF3052">
        <w:rPr>
          <w:rFonts w:ascii="Arial" w:hAnsi="Arial" w:cs="Arial"/>
          <w:sz w:val="22"/>
          <w:szCs w:val="22"/>
        </w:rPr>
        <w:t>The PBAC assessed the issues raised in the correspondence, but did not consider that there was any basis to revisit its earlier recommendations in this regard</w:t>
      </w:r>
      <w:r w:rsidR="00D10126">
        <w:rPr>
          <w:rFonts w:ascii="Arial" w:hAnsi="Arial" w:cs="Arial"/>
          <w:sz w:val="22"/>
          <w:szCs w:val="22"/>
        </w:rPr>
        <w:t xml:space="preserve">. </w:t>
      </w:r>
      <w:r w:rsidRPr="00263E2C">
        <w:rPr>
          <w:rFonts w:ascii="Arial" w:hAnsi="Arial" w:cs="Arial"/>
          <w:sz w:val="22"/>
          <w:szCs w:val="22"/>
        </w:rPr>
        <w:t xml:space="preserve">The PBAC noted that it had considered the ex-manufacturer price as a </w:t>
      </w:r>
      <w:r w:rsidR="00495619">
        <w:rPr>
          <w:rFonts w:ascii="Arial" w:hAnsi="Arial" w:cs="Arial"/>
          <w:sz w:val="22"/>
          <w:szCs w:val="22"/>
        </w:rPr>
        <w:t>guide</w:t>
      </w:r>
      <w:r w:rsidR="00495619" w:rsidRPr="00263E2C">
        <w:rPr>
          <w:rFonts w:ascii="Arial" w:hAnsi="Arial" w:cs="Arial"/>
          <w:sz w:val="22"/>
          <w:szCs w:val="22"/>
        </w:rPr>
        <w:t xml:space="preserve"> </w:t>
      </w:r>
      <w:r w:rsidRPr="00263E2C">
        <w:rPr>
          <w:rFonts w:ascii="Arial" w:hAnsi="Arial" w:cs="Arial"/>
          <w:sz w:val="22"/>
          <w:szCs w:val="22"/>
        </w:rPr>
        <w:t>to assess affordability, but that this cost had not been the only guiding principle adopted under its previous advice. The PBAC consider</w:t>
      </w:r>
      <w:r w:rsidR="00495619">
        <w:rPr>
          <w:rFonts w:ascii="Arial" w:hAnsi="Arial" w:cs="Arial"/>
          <w:sz w:val="22"/>
          <w:szCs w:val="22"/>
        </w:rPr>
        <w:t>ed</w:t>
      </w:r>
      <w:r w:rsidRPr="00263E2C">
        <w:rPr>
          <w:rFonts w:ascii="Arial" w:hAnsi="Arial" w:cs="Arial"/>
          <w:sz w:val="22"/>
          <w:szCs w:val="22"/>
        </w:rPr>
        <w:t xml:space="preserve"> that it would </w:t>
      </w:r>
      <w:r w:rsidR="00495619">
        <w:rPr>
          <w:rFonts w:ascii="Arial" w:hAnsi="Arial" w:cs="Arial"/>
          <w:sz w:val="22"/>
          <w:szCs w:val="22"/>
        </w:rPr>
        <w:t xml:space="preserve">not </w:t>
      </w:r>
      <w:r w:rsidRPr="00263E2C">
        <w:rPr>
          <w:rFonts w:ascii="Arial" w:hAnsi="Arial" w:cs="Arial"/>
          <w:sz w:val="22"/>
          <w:szCs w:val="22"/>
        </w:rPr>
        <w:t xml:space="preserve">be informative to review market prices, noting that </w:t>
      </w:r>
      <w:r w:rsidR="00495619">
        <w:rPr>
          <w:rFonts w:ascii="Arial" w:hAnsi="Arial" w:cs="Arial"/>
          <w:sz w:val="22"/>
          <w:szCs w:val="22"/>
        </w:rPr>
        <w:t>it is up to the free market to set prices, which will be affected by supply, demand and competition</w:t>
      </w:r>
      <w:r w:rsidR="00B31D10">
        <w:rPr>
          <w:rFonts w:ascii="Arial" w:hAnsi="Arial" w:cs="Arial"/>
          <w:sz w:val="22"/>
          <w:szCs w:val="22"/>
        </w:rPr>
        <w:t>.</w:t>
      </w:r>
    </w:p>
    <w:p w:rsidR="006E172B" w:rsidRPr="006E172B" w:rsidRDefault="006E172B" w:rsidP="006E172B">
      <w:pPr>
        <w:pStyle w:val="ListParagraph"/>
        <w:rPr>
          <w:rFonts w:ascii="Arial" w:hAnsi="Arial" w:cs="Arial"/>
          <w:sz w:val="22"/>
          <w:szCs w:val="22"/>
        </w:rPr>
      </w:pPr>
    </w:p>
    <w:p w:rsidR="00495619" w:rsidRPr="00E27D17" w:rsidRDefault="00495619" w:rsidP="00E27D17">
      <w:pPr>
        <w:pStyle w:val="ListParagraph"/>
        <w:numPr>
          <w:ilvl w:val="1"/>
          <w:numId w:val="1"/>
        </w:numPr>
        <w:jc w:val="both"/>
        <w:rPr>
          <w:rFonts w:ascii="Arial" w:hAnsi="Arial"/>
          <w:sz w:val="22"/>
          <w:szCs w:val="22"/>
        </w:rPr>
      </w:pPr>
      <w:r w:rsidRPr="00495619">
        <w:rPr>
          <w:rFonts w:ascii="Arial" w:hAnsi="Arial" w:cs="Arial"/>
          <w:sz w:val="22"/>
          <w:szCs w:val="22"/>
        </w:rPr>
        <w:t xml:space="preserve">The PBAC noted that paracetamol 665 mg sustained release tablets contain the same active ingredient as the 500 mg immediate release form of paracetamol. In this regard, the PBAC recalled that it previously </w:t>
      </w:r>
      <w:r w:rsidR="006E172B" w:rsidRPr="00495619">
        <w:rPr>
          <w:rFonts w:ascii="Arial" w:hAnsi="Arial" w:cs="Arial"/>
          <w:sz w:val="22"/>
          <w:szCs w:val="22"/>
        </w:rPr>
        <w:t xml:space="preserve">considered </w:t>
      </w:r>
      <w:r w:rsidRPr="00495619">
        <w:rPr>
          <w:rFonts w:ascii="Arial" w:hAnsi="Arial" w:cs="Arial"/>
          <w:sz w:val="22"/>
          <w:szCs w:val="22"/>
        </w:rPr>
        <w:t xml:space="preserve">that six </w:t>
      </w:r>
      <w:r w:rsidRPr="00495619">
        <w:rPr>
          <w:rFonts w:ascii="Arial" w:hAnsi="Arial"/>
          <w:sz w:val="22"/>
          <w:szCs w:val="22"/>
        </w:rPr>
        <w:t>paracetamol modified release 665 mg tablets are therapeutically equivalent to eight paracetamol 500 mg tablets.</w:t>
      </w:r>
      <w:r w:rsidR="00E27D17">
        <w:rPr>
          <w:rFonts w:ascii="Arial" w:hAnsi="Arial"/>
          <w:sz w:val="22"/>
          <w:szCs w:val="22"/>
        </w:rPr>
        <w:t xml:space="preserve"> </w:t>
      </w:r>
      <w:r w:rsidR="00E27D17" w:rsidRPr="0087142B">
        <w:rPr>
          <w:rFonts w:ascii="Arial" w:hAnsi="Arial"/>
          <w:sz w:val="22"/>
          <w:szCs w:val="22"/>
        </w:rPr>
        <w:t>However, the 500 mg immediate release tablet is significantly less e</w:t>
      </w:r>
      <w:r w:rsidR="00E27D17">
        <w:rPr>
          <w:rFonts w:ascii="Arial" w:hAnsi="Arial"/>
          <w:sz w:val="22"/>
          <w:szCs w:val="22"/>
        </w:rPr>
        <w:t xml:space="preserve">xpensive than Panadol </w:t>
      </w:r>
      <w:proofErr w:type="spellStart"/>
      <w:r w:rsidR="00E27D17">
        <w:rPr>
          <w:rFonts w:ascii="Arial" w:hAnsi="Arial"/>
          <w:sz w:val="22"/>
          <w:szCs w:val="22"/>
        </w:rPr>
        <w:t>Osteo</w:t>
      </w:r>
      <w:proofErr w:type="spellEnd"/>
      <w:r w:rsidR="00E27D17">
        <w:rPr>
          <w:rFonts w:ascii="Arial" w:hAnsi="Arial"/>
          <w:sz w:val="22"/>
          <w:szCs w:val="22"/>
        </w:rPr>
        <w:t>® – a</w:t>
      </w:r>
      <w:r w:rsidR="00E27D17" w:rsidRPr="0087142B">
        <w:rPr>
          <w:rFonts w:ascii="Arial" w:hAnsi="Arial"/>
          <w:sz w:val="22"/>
          <w:szCs w:val="22"/>
        </w:rPr>
        <w:t xml:space="preserve"> box of 100 tablets can be bought for as little as $2.</w:t>
      </w:r>
    </w:p>
    <w:p w:rsidR="00E3616E" w:rsidRPr="00D10126" w:rsidRDefault="00E3616E" w:rsidP="00495619">
      <w:pPr>
        <w:pStyle w:val="ListParagraph"/>
        <w:jc w:val="both"/>
        <w:rPr>
          <w:rFonts w:ascii="Arial" w:hAnsi="Arial" w:cs="Arial"/>
          <w:sz w:val="22"/>
          <w:szCs w:val="22"/>
        </w:rPr>
      </w:pPr>
    </w:p>
    <w:p w:rsidR="00E3616E" w:rsidRPr="00D10126" w:rsidRDefault="00E3616E" w:rsidP="00E3616E">
      <w:pPr>
        <w:pStyle w:val="ListParagraph"/>
        <w:numPr>
          <w:ilvl w:val="1"/>
          <w:numId w:val="1"/>
        </w:numPr>
        <w:jc w:val="both"/>
        <w:rPr>
          <w:rFonts w:ascii="Arial" w:hAnsi="Arial" w:cs="Arial"/>
        </w:rPr>
      </w:pPr>
      <w:r w:rsidRPr="00D10126">
        <w:rPr>
          <w:rFonts w:ascii="Arial" w:hAnsi="Arial" w:cs="Arial"/>
          <w:sz w:val="22"/>
          <w:szCs w:val="22"/>
        </w:rPr>
        <w:t xml:space="preserve">The PBAC noted the Quality Use of Medicines concerns </w:t>
      </w:r>
      <w:proofErr w:type="gramStart"/>
      <w:r w:rsidRPr="00D10126">
        <w:rPr>
          <w:rFonts w:ascii="Arial" w:hAnsi="Arial" w:cs="Arial"/>
          <w:sz w:val="22"/>
          <w:szCs w:val="22"/>
        </w:rPr>
        <w:t>raised</w:t>
      </w:r>
      <w:proofErr w:type="gramEnd"/>
      <w:r w:rsidRPr="00D10126">
        <w:rPr>
          <w:rFonts w:ascii="Arial" w:hAnsi="Arial" w:cs="Arial"/>
          <w:sz w:val="22"/>
          <w:szCs w:val="22"/>
        </w:rPr>
        <w:t xml:space="preserve"> in the correspondence</w:t>
      </w:r>
      <w:r w:rsidR="00DF3052" w:rsidRPr="00D10126">
        <w:rPr>
          <w:rFonts w:ascii="Arial" w:hAnsi="Arial" w:cs="Arial"/>
          <w:sz w:val="22"/>
          <w:szCs w:val="22"/>
        </w:rPr>
        <w:t>; specifically,</w:t>
      </w:r>
      <w:r w:rsidRPr="00D10126">
        <w:rPr>
          <w:rFonts w:ascii="Arial" w:hAnsi="Arial" w:cs="Arial"/>
          <w:sz w:val="22"/>
          <w:szCs w:val="22"/>
        </w:rPr>
        <w:t xml:space="preserve"> that patients previously using PBS-listed Panadol </w:t>
      </w:r>
      <w:proofErr w:type="spellStart"/>
      <w:r w:rsidRPr="00D10126">
        <w:rPr>
          <w:rFonts w:ascii="Arial" w:hAnsi="Arial" w:cs="Arial"/>
          <w:sz w:val="22"/>
          <w:szCs w:val="22"/>
        </w:rPr>
        <w:t>Osteo</w:t>
      </w:r>
      <w:proofErr w:type="spellEnd"/>
      <w:r w:rsidRPr="00D10126">
        <w:rPr>
          <w:rFonts w:ascii="Arial" w:hAnsi="Arial" w:cs="Arial"/>
          <w:sz w:val="22"/>
          <w:szCs w:val="22"/>
        </w:rPr>
        <w:t>® may now seek alternative PBS-listed therapies with poorer safety profiles such as non-steroidal anti</w:t>
      </w:r>
      <w:r w:rsidRPr="00D10126">
        <w:rPr>
          <w:rFonts w:ascii="Arial" w:hAnsi="Arial" w:cs="Arial"/>
          <w:sz w:val="22"/>
          <w:szCs w:val="22"/>
        </w:rPr>
        <w:noBreakHyphen/>
        <w:t>inflammatory drugs (NSAIDS) or opioids. The PBAC will monitor the utilisation of these drugs</w:t>
      </w:r>
      <w:r w:rsidRPr="00D10126">
        <w:rPr>
          <w:rFonts w:ascii="Arial" w:hAnsi="Arial" w:cs="Arial"/>
        </w:rPr>
        <w:t>.</w:t>
      </w:r>
    </w:p>
    <w:p w:rsidR="00E3616E" w:rsidRPr="00D10126" w:rsidRDefault="00E3616E" w:rsidP="00E3616E">
      <w:pPr>
        <w:pStyle w:val="ListParagraph"/>
        <w:rPr>
          <w:rFonts w:ascii="Arial" w:hAnsi="Arial" w:cs="Arial"/>
          <w:sz w:val="22"/>
        </w:rPr>
      </w:pPr>
    </w:p>
    <w:p w:rsidR="0067027D" w:rsidRDefault="0067027D" w:rsidP="00E3616E">
      <w:pPr>
        <w:pStyle w:val="ListParagraph"/>
        <w:numPr>
          <w:ilvl w:val="1"/>
          <w:numId w:val="1"/>
        </w:numPr>
        <w:jc w:val="both"/>
        <w:rPr>
          <w:rFonts w:ascii="Arial" w:hAnsi="Arial" w:cs="Arial"/>
          <w:sz w:val="22"/>
        </w:rPr>
      </w:pPr>
      <w:r>
        <w:rPr>
          <w:rFonts w:ascii="Arial" w:hAnsi="Arial" w:cs="Arial"/>
          <w:sz w:val="22"/>
        </w:rPr>
        <w:lastRenderedPageBreak/>
        <w:t xml:space="preserve">The PBAC did not recommend the restoration of PBS subsidised paracetamol 665 mg for </w:t>
      </w:r>
      <w:r w:rsidRPr="00DF3052">
        <w:rPr>
          <w:rFonts w:ascii="Arial" w:hAnsi="Arial"/>
          <w:sz w:val="22"/>
          <w:szCs w:val="22"/>
        </w:rPr>
        <w:t>persistent pain associated with osteoarthritis</w:t>
      </w:r>
      <w:r>
        <w:rPr>
          <w:rFonts w:ascii="Arial" w:hAnsi="Arial"/>
          <w:sz w:val="22"/>
          <w:szCs w:val="22"/>
        </w:rPr>
        <w:t xml:space="preserve"> (or restoration of the other OTC medicines for which restrictions were modified in January 2016)</w:t>
      </w:r>
      <w:r>
        <w:rPr>
          <w:rFonts w:ascii="Arial" w:hAnsi="Arial" w:cs="Arial"/>
          <w:sz w:val="22"/>
        </w:rPr>
        <w:t xml:space="preserve"> beyond the current listings.</w:t>
      </w:r>
    </w:p>
    <w:p w:rsidR="0067027D" w:rsidRPr="0067027D" w:rsidRDefault="0067027D" w:rsidP="0067027D">
      <w:pPr>
        <w:pStyle w:val="ListParagraph"/>
        <w:rPr>
          <w:rFonts w:ascii="Arial" w:hAnsi="Arial" w:cs="Arial"/>
          <w:sz w:val="22"/>
        </w:rPr>
      </w:pPr>
    </w:p>
    <w:p w:rsidR="00E3616E" w:rsidRDefault="00E3616E" w:rsidP="00E3616E">
      <w:pPr>
        <w:pStyle w:val="ListParagraph"/>
        <w:numPr>
          <w:ilvl w:val="1"/>
          <w:numId w:val="1"/>
        </w:numPr>
        <w:jc w:val="both"/>
        <w:rPr>
          <w:rFonts w:ascii="Arial" w:hAnsi="Arial" w:cs="Arial"/>
          <w:sz w:val="22"/>
        </w:rPr>
      </w:pPr>
      <w:r w:rsidRPr="00D10126">
        <w:rPr>
          <w:rFonts w:ascii="Arial" w:hAnsi="Arial" w:cs="Arial"/>
          <w:sz w:val="22"/>
        </w:rPr>
        <w:t xml:space="preserve">The PBAC noted that the </w:t>
      </w:r>
      <w:r w:rsidR="00495619" w:rsidRPr="00D10126">
        <w:rPr>
          <w:rFonts w:ascii="Arial" w:hAnsi="Arial" w:cs="Arial"/>
          <w:sz w:val="22"/>
        </w:rPr>
        <w:t xml:space="preserve">Guild </w:t>
      </w:r>
      <w:r w:rsidRPr="00D10126">
        <w:rPr>
          <w:rFonts w:ascii="Arial" w:hAnsi="Arial" w:cs="Arial"/>
          <w:sz w:val="22"/>
        </w:rPr>
        <w:t xml:space="preserve">correspondences </w:t>
      </w:r>
      <w:r w:rsidR="00495619" w:rsidRPr="00D10126">
        <w:rPr>
          <w:rFonts w:ascii="Arial" w:hAnsi="Arial" w:cs="Arial"/>
          <w:sz w:val="22"/>
        </w:rPr>
        <w:t xml:space="preserve">also </w:t>
      </w:r>
      <w:r w:rsidRPr="00D10126">
        <w:rPr>
          <w:rFonts w:ascii="Arial" w:hAnsi="Arial" w:cs="Arial"/>
          <w:sz w:val="22"/>
        </w:rPr>
        <w:t xml:space="preserve">raised issues regarding the </w:t>
      </w:r>
      <w:r>
        <w:rPr>
          <w:rFonts w:ascii="Arial" w:hAnsi="Arial" w:cs="Arial"/>
          <w:sz w:val="22"/>
        </w:rPr>
        <w:t xml:space="preserve">availability of </w:t>
      </w:r>
      <w:r w:rsidR="009259B6">
        <w:rPr>
          <w:rFonts w:ascii="Arial" w:hAnsi="Arial" w:cs="Arial"/>
          <w:sz w:val="22"/>
        </w:rPr>
        <w:t>liquid paracetamol (</w:t>
      </w:r>
      <w:r>
        <w:rPr>
          <w:rFonts w:ascii="Arial" w:hAnsi="Arial" w:cs="Arial"/>
          <w:sz w:val="22"/>
        </w:rPr>
        <w:t>Panamax Elixir®</w:t>
      </w:r>
      <w:r w:rsidR="009259B6">
        <w:rPr>
          <w:rFonts w:ascii="Arial" w:hAnsi="Arial" w:cs="Arial"/>
          <w:sz w:val="22"/>
        </w:rPr>
        <w:t>)</w:t>
      </w:r>
      <w:r>
        <w:rPr>
          <w:rFonts w:ascii="Arial" w:hAnsi="Arial" w:cs="Arial"/>
          <w:sz w:val="22"/>
        </w:rPr>
        <w:t xml:space="preserve"> and the operation of </w:t>
      </w:r>
      <w:r w:rsidR="009259B6">
        <w:rPr>
          <w:rFonts w:ascii="Arial" w:hAnsi="Arial" w:cs="Arial"/>
          <w:sz w:val="22"/>
        </w:rPr>
        <w:t>S</w:t>
      </w:r>
      <w:r>
        <w:rPr>
          <w:rFonts w:ascii="Arial" w:hAnsi="Arial" w:cs="Arial"/>
          <w:sz w:val="22"/>
        </w:rPr>
        <w:t xml:space="preserve">ection 100 programmes. The PBAC </w:t>
      </w:r>
      <w:r w:rsidR="00DF3052">
        <w:rPr>
          <w:rFonts w:ascii="Arial" w:hAnsi="Arial" w:cs="Arial"/>
          <w:sz w:val="22"/>
        </w:rPr>
        <w:t xml:space="preserve">deferred consideration of </w:t>
      </w:r>
      <w:r>
        <w:rPr>
          <w:rFonts w:ascii="Arial" w:hAnsi="Arial" w:cs="Arial"/>
          <w:sz w:val="22"/>
        </w:rPr>
        <w:t xml:space="preserve">these matters </w:t>
      </w:r>
      <w:r w:rsidR="00DF3052">
        <w:rPr>
          <w:rFonts w:ascii="Arial" w:hAnsi="Arial" w:cs="Arial"/>
          <w:sz w:val="22"/>
        </w:rPr>
        <w:t xml:space="preserve">until </w:t>
      </w:r>
      <w:r>
        <w:rPr>
          <w:rFonts w:ascii="Arial" w:hAnsi="Arial" w:cs="Arial"/>
          <w:sz w:val="22"/>
        </w:rPr>
        <w:t>a future meeting.</w:t>
      </w:r>
    </w:p>
    <w:p w:rsidR="00486355" w:rsidRPr="00486355" w:rsidRDefault="00486355" w:rsidP="00486355">
      <w:pPr>
        <w:jc w:val="both"/>
        <w:rPr>
          <w:rFonts w:ascii="Arial" w:hAnsi="Arial" w:cs="Arial"/>
          <w:sz w:val="22"/>
        </w:rPr>
      </w:pPr>
    </w:p>
    <w:p w:rsidR="00B31D10" w:rsidRPr="00B31D10" w:rsidRDefault="00B31D10" w:rsidP="00B31D10">
      <w:pPr>
        <w:pStyle w:val="ListParagraph"/>
        <w:rPr>
          <w:rFonts w:ascii="Arial" w:hAnsi="Arial" w:cs="Arial"/>
          <w:sz w:val="22"/>
        </w:rPr>
      </w:pPr>
    </w:p>
    <w:p w:rsidR="00B771D0" w:rsidRDefault="00B771D0" w:rsidP="00AC01DF">
      <w:pPr>
        <w:pStyle w:val="Heading1"/>
      </w:pPr>
      <w:r w:rsidRPr="00B771D0">
        <w:t xml:space="preserve">Correspondence from the </w:t>
      </w:r>
      <w:r>
        <w:t>Consumer Health Forum</w:t>
      </w:r>
    </w:p>
    <w:p w:rsidR="00B771D0" w:rsidRDefault="00B771D0" w:rsidP="00B771D0">
      <w:pPr>
        <w:jc w:val="both"/>
        <w:rPr>
          <w:rFonts w:ascii="Arial" w:hAnsi="Arial"/>
          <w:b/>
          <w:sz w:val="28"/>
          <w:szCs w:val="28"/>
        </w:rPr>
      </w:pPr>
    </w:p>
    <w:p w:rsidR="00C0275E" w:rsidRDefault="001C635C" w:rsidP="00C0275E">
      <w:pPr>
        <w:pStyle w:val="ListParagraph"/>
        <w:numPr>
          <w:ilvl w:val="1"/>
          <w:numId w:val="18"/>
        </w:numPr>
        <w:ind w:left="567" w:hanging="567"/>
        <w:jc w:val="both"/>
        <w:rPr>
          <w:rFonts w:ascii="Arial" w:hAnsi="Arial"/>
          <w:sz w:val="22"/>
          <w:szCs w:val="22"/>
        </w:rPr>
      </w:pPr>
      <w:r w:rsidRPr="00C0275E">
        <w:rPr>
          <w:rFonts w:ascii="Arial" w:hAnsi="Arial"/>
          <w:sz w:val="22"/>
          <w:szCs w:val="22"/>
        </w:rPr>
        <w:t xml:space="preserve">The Consumer Health Forum </w:t>
      </w:r>
      <w:r w:rsidR="009A5C31" w:rsidRPr="00C0275E">
        <w:rPr>
          <w:rFonts w:ascii="Arial" w:hAnsi="Arial"/>
          <w:sz w:val="22"/>
          <w:szCs w:val="22"/>
        </w:rPr>
        <w:t xml:space="preserve">(CHF) </w:t>
      </w:r>
      <w:r w:rsidRPr="00C0275E">
        <w:rPr>
          <w:rFonts w:ascii="Arial" w:hAnsi="Arial"/>
          <w:sz w:val="22"/>
          <w:szCs w:val="22"/>
        </w:rPr>
        <w:t>wrote to the PBAC Chair on 16 February 2016, regarding</w:t>
      </w:r>
      <w:r w:rsidR="002F1772" w:rsidRPr="00C0275E">
        <w:rPr>
          <w:rFonts w:ascii="Arial" w:hAnsi="Arial"/>
          <w:sz w:val="22"/>
          <w:szCs w:val="22"/>
        </w:rPr>
        <w:t xml:space="preserve"> the delisting of Panadol </w:t>
      </w:r>
      <w:proofErr w:type="spellStart"/>
      <w:r w:rsidR="002F1772" w:rsidRPr="00C0275E">
        <w:rPr>
          <w:rFonts w:ascii="Arial" w:hAnsi="Arial"/>
          <w:sz w:val="22"/>
          <w:szCs w:val="22"/>
        </w:rPr>
        <w:t>Osteo</w:t>
      </w:r>
      <w:proofErr w:type="spellEnd"/>
      <w:r w:rsidR="002F1772" w:rsidRPr="00C0275E">
        <w:rPr>
          <w:rFonts w:ascii="Arial" w:hAnsi="Arial"/>
          <w:sz w:val="22"/>
          <w:szCs w:val="22"/>
        </w:rPr>
        <w:t xml:space="preserve">® from the PBS, and </w:t>
      </w:r>
      <w:r w:rsidR="009A5C31" w:rsidRPr="00C0275E">
        <w:rPr>
          <w:rFonts w:ascii="Arial" w:hAnsi="Arial"/>
          <w:sz w:val="22"/>
          <w:szCs w:val="22"/>
        </w:rPr>
        <w:t>its impact on</w:t>
      </w:r>
      <w:r w:rsidR="002F1772" w:rsidRPr="00C0275E">
        <w:rPr>
          <w:rFonts w:ascii="Arial" w:hAnsi="Arial"/>
          <w:sz w:val="22"/>
          <w:szCs w:val="22"/>
        </w:rPr>
        <w:t xml:space="preserve"> patient affordability.</w:t>
      </w:r>
      <w:r w:rsidR="009A5C31" w:rsidRPr="00C0275E">
        <w:rPr>
          <w:rFonts w:ascii="Arial" w:hAnsi="Arial"/>
          <w:sz w:val="22"/>
          <w:szCs w:val="22"/>
        </w:rPr>
        <w:t xml:space="preserve"> </w:t>
      </w:r>
    </w:p>
    <w:p w:rsidR="00C0275E" w:rsidRPr="00C0275E" w:rsidRDefault="00C0275E" w:rsidP="00C0275E">
      <w:pPr>
        <w:pStyle w:val="ListParagraph"/>
        <w:ind w:left="567"/>
        <w:jc w:val="both"/>
        <w:rPr>
          <w:rFonts w:ascii="Arial" w:hAnsi="Arial"/>
          <w:sz w:val="22"/>
          <w:szCs w:val="22"/>
        </w:rPr>
      </w:pPr>
    </w:p>
    <w:p w:rsidR="00B771D0" w:rsidRPr="00C0275E" w:rsidRDefault="009A5C31" w:rsidP="00C0275E">
      <w:pPr>
        <w:pStyle w:val="ListParagraph"/>
        <w:numPr>
          <w:ilvl w:val="1"/>
          <w:numId w:val="18"/>
        </w:numPr>
        <w:ind w:left="567" w:hanging="567"/>
        <w:jc w:val="both"/>
        <w:rPr>
          <w:rFonts w:ascii="Arial" w:hAnsi="Arial"/>
          <w:sz w:val="22"/>
          <w:szCs w:val="22"/>
        </w:rPr>
      </w:pPr>
      <w:r w:rsidRPr="00C0275E">
        <w:rPr>
          <w:rFonts w:ascii="Arial" w:hAnsi="Arial"/>
          <w:sz w:val="22"/>
          <w:szCs w:val="22"/>
        </w:rPr>
        <w:t xml:space="preserve">The </w:t>
      </w:r>
      <w:r w:rsidR="000A6F43" w:rsidRPr="00C0275E">
        <w:rPr>
          <w:rFonts w:ascii="Arial" w:hAnsi="Arial"/>
          <w:sz w:val="22"/>
          <w:szCs w:val="22"/>
        </w:rPr>
        <w:t xml:space="preserve">PBAC considered this correspondence in conjunction with </w:t>
      </w:r>
      <w:r w:rsidR="000A6F43" w:rsidRPr="00C0275E">
        <w:rPr>
          <w:rFonts w:ascii="Arial" w:hAnsi="Arial"/>
          <w:i/>
          <w:sz w:val="22"/>
          <w:szCs w:val="22"/>
        </w:rPr>
        <w:t>Correspondence from</w:t>
      </w:r>
      <w:r w:rsidR="00C0275E" w:rsidRPr="00C0275E">
        <w:rPr>
          <w:rFonts w:ascii="Arial" w:hAnsi="Arial"/>
          <w:i/>
          <w:sz w:val="22"/>
          <w:szCs w:val="22"/>
        </w:rPr>
        <w:t xml:space="preserve"> the Pharmacy Guild of Australia</w:t>
      </w:r>
      <w:r w:rsidR="00FC7863" w:rsidRPr="00C0275E">
        <w:rPr>
          <w:rFonts w:ascii="Arial" w:hAnsi="Arial"/>
          <w:sz w:val="22"/>
          <w:szCs w:val="22"/>
        </w:rPr>
        <w:t>.</w:t>
      </w:r>
    </w:p>
    <w:p w:rsidR="002F1772" w:rsidRDefault="002F1772" w:rsidP="00C0275E">
      <w:pPr>
        <w:ind w:left="709" w:hanging="709"/>
        <w:jc w:val="both"/>
        <w:rPr>
          <w:rFonts w:ascii="Arial" w:hAnsi="Arial"/>
          <w:b/>
          <w:sz w:val="28"/>
          <w:szCs w:val="28"/>
        </w:rPr>
      </w:pPr>
    </w:p>
    <w:p w:rsidR="001C635C" w:rsidRDefault="001C635C" w:rsidP="00B771D0">
      <w:pPr>
        <w:jc w:val="both"/>
        <w:rPr>
          <w:rFonts w:ascii="Arial" w:hAnsi="Arial"/>
          <w:b/>
          <w:sz w:val="28"/>
          <w:szCs w:val="28"/>
        </w:rPr>
      </w:pPr>
      <w:bookmarkStart w:id="0" w:name="_GoBack"/>
      <w:bookmarkEnd w:id="0"/>
    </w:p>
    <w:p w:rsidR="00B771D0" w:rsidRDefault="00B771D0" w:rsidP="00AC01DF">
      <w:pPr>
        <w:pStyle w:val="Heading1"/>
      </w:pPr>
      <w:r w:rsidRPr="00B771D0">
        <w:t xml:space="preserve">Correspondence from </w:t>
      </w:r>
      <w:r>
        <w:t>Pain Australia</w:t>
      </w:r>
    </w:p>
    <w:p w:rsidR="00FC7863" w:rsidRDefault="00FC7863" w:rsidP="003464B6">
      <w:pPr>
        <w:ind w:left="709" w:hanging="709"/>
        <w:jc w:val="both"/>
        <w:rPr>
          <w:rFonts w:ascii="Arial" w:hAnsi="Arial"/>
          <w:b/>
          <w:sz w:val="28"/>
          <w:szCs w:val="28"/>
        </w:rPr>
      </w:pPr>
    </w:p>
    <w:p w:rsidR="00C0275E" w:rsidRDefault="00FC7863" w:rsidP="00C33603">
      <w:pPr>
        <w:pStyle w:val="ListParagraph"/>
        <w:numPr>
          <w:ilvl w:val="1"/>
          <w:numId w:val="19"/>
        </w:numPr>
        <w:ind w:left="567" w:hanging="567"/>
        <w:jc w:val="both"/>
        <w:rPr>
          <w:rFonts w:ascii="Arial" w:hAnsi="Arial"/>
          <w:sz w:val="22"/>
          <w:szCs w:val="22"/>
        </w:rPr>
      </w:pPr>
      <w:r w:rsidRPr="00C0275E">
        <w:rPr>
          <w:rFonts w:ascii="Arial" w:hAnsi="Arial"/>
          <w:sz w:val="22"/>
          <w:szCs w:val="22"/>
        </w:rPr>
        <w:t xml:space="preserve">Pain Australia wrote to the Minister for Health on 13 January 2016, regarding the delisting of Panadol </w:t>
      </w:r>
      <w:proofErr w:type="spellStart"/>
      <w:r w:rsidRPr="00C0275E">
        <w:rPr>
          <w:rFonts w:ascii="Arial" w:hAnsi="Arial"/>
          <w:sz w:val="22"/>
          <w:szCs w:val="22"/>
        </w:rPr>
        <w:t>Osteo</w:t>
      </w:r>
      <w:proofErr w:type="spellEnd"/>
      <w:r w:rsidRPr="00C0275E">
        <w:rPr>
          <w:rFonts w:ascii="Arial" w:hAnsi="Arial"/>
          <w:sz w:val="22"/>
          <w:szCs w:val="22"/>
        </w:rPr>
        <w:t xml:space="preserve">® from the PBS, and its impact on patient affordability. Pain Australia raised related Quality Use of Medicine concerns and broader issues concerning chronic pain management in Australia. The Minister (delegate) referred this correspondence to the PBAC. </w:t>
      </w:r>
    </w:p>
    <w:p w:rsidR="00C0275E" w:rsidRDefault="00C0275E" w:rsidP="00C0275E">
      <w:pPr>
        <w:pStyle w:val="ListParagraph"/>
        <w:ind w:left="567"/>
        <w:jc w:val="both"/>
        <w:rPr>
          <w:rFonts w:ascii="Arial" w:hAnsi="Arial"/>
          <w:sz w:val="22"/>
          <w:szCs w:val="22"/>
        </w:rPr>
      </w:pPr>
    </w:p>
    <w:p w:rsidR="00B31D10" w:rsidRPr="00C0275E" w:rsidRDefault="00FC7863" w:rsidP="00C33603">
      <w:pPr>
        <w:pStyle w:val="ListParagraph"/>
        <w:numPr>
          <w:ilvl w:val="1"/>
          <w:numId w:val="19"/>
        </w:numPr>
        <w:ind w:left="567" w:hanging="567"/>
        <w:jc w:val="both"/>
        <w:rPr>
          <w:rFonts w:ascii="Arial" w:hAnsi="Arial"/>
          <w:sz w:val="22"/>
          <w:szCs w:val="22"/>
        </w:rPr>
      </w:pPr>
      <w:r w:rsidRPr="00C0275E">
        <w:rPr>
          <w:rFonts w:ascii="Arial" w:hAnsi="Arial"/>
          <w:sz w:val="22"/>
          <w:szCs w:val="22"/>
        </w:rPr>
        <w:t>The PBAC considered this correspondence in conjunction with</w:t>
      </w:r>
      <w:r w:rsidR="00C0275E">
        <w:rPr>
          <w:rFonts w:ascii="Arial" w:hAnsi="Arial"/>
          <w:sz w:val="22"/>
          <w:szCs w:val="22"/>
        </w:rPr>
        <w:t xml:space="preserve"> </w:t>
      </w:r>
      <w:r w:rsidRPr="00C0275E">
        <w:rPr>
          <w:rFonts w:ascii="Arial" w:hAnsi="Arial"/>
          <w:i/>
          <w:sz w:val="22"/>
          <w:szCs w:val="22"/>
        </w:rPr>
        <w:t>Correspondence from the Pharmacy Guild of Australia</w:t>
      </w:r>
      <w:r w:rsidRPr="00C0275E">
        <w:rPr>
          <w:rFonts w:ascii="Arial" w:hAnsi="Arial"/>
          <w:sz w:val="22"/>
          <w:szCs w:val="22"/>
        </w:rPr>
        <w:t>.</w:t>
      </w:r>
    </w:p>
    <w:sectPr w:rsidR="00B31D10" w:rsidRPr="00C0275E"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CE3" w:rsidRDefault="003A3CE3">
      <w:r>
        <w:separator/>
      </w:r>
    </w:p>
    <w:p w:rsidR="003A3CE3" w:rsidRDefault="003A3CE3"/>
  </w:endnote>
  <w:endnote w:type="continuationSeparator" w:id="0">
    <w:p w:rsidR="003A3CE3" w:rsidRDefault="003A3CE3">
      <w:r>
        <w:continuationSeparator/>
      </w:r>
    </w:p>
    <w:p w:rsidR="003A3CE3" w:rsidRDefault="003A3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21FE5" w:rsidTr="005A3173">
      <w:trPr>
        <w:trHeight w:val="151"/>
      </w:trPr>
      <w:tc>
        <w:tcPr>
          <w:tcW w:w="2250" w:type="pct"/>
          <w:tcBorders>
            <w:top w:val="nil"/>
            <w:left w:val="nil"/>
            <w:bottom w:val="single" w:sz="4" w:space="0" w:color="4F81BD"/>
            <w:right w:val="nil"/>
          </w:tcBorders>
        </w:tcPr>
        <w:p w:rsidR="00821FE5" w:rsidRPr="005A3173" w:rsidRDefault="00821FE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21FE5" w:rsidRPr="005A3173" w:rsidRDefault="00821FE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21FE5" w:rsidRPr="005A3173" w:rsidRDefault="00821FE5" w:rsidP="005A3173">
          <w:pPr>
            <w:pStyle w:val="Header"/>
            <w:spacing w:line="276" w:lineRule="auto"/>
            <w:rPr>
              <w:rFonts w:ascii="Calibri" w:eastAsia="MS Gothic" w:hAnsi="Calibri"/>
              <w:b/>
              <w:bCs/>
              <w:color w:val="4F81BD"/>
            </w:rPr>
          </w:pPr>
        </w:p>
      </w:tc>
    </w:tr>
    <w:tr w:rsidR="00821FE5" w:rsidTr="005A3173">
      <w:trPr>
        <w:trHeight w:val="150"/>
      </w:trPr>
      <w:tc>
        <w:tcPr>
          <w:tcW w:w="2250" w:type="pct"/>
          <w:tcBorders>
            <w:top w:val="single" w:sz="4" w:space="0" w:color="4F81BD"/>
            <w:left w:val="nil"/>
            <w:bottom w:val="nil"/>
            <w:right w:val="nil"/>
          </w:tcBorders>
        </w:tcPr>
        <w:p w:rsidR="00821FE5" w:rsidRPr="005A3173" w:rsidRDefault="00821FE5" w:rsidP="005A3173">
          <w:pPr>
            <w:pStyle w:val="Header"/>
            <w:spacing w:line="276" w:lineRule="auto"/>
            <w:rPr>
              <w:rFonts w:ascii="Calibri" w:eastAsia="MS Gothic" w:hAnsi="Calibri"/>
              <w:b/>
              <w:bCs/>
              <w:color w:val="4F81BD"/>
            </w:rPr>
          </w:pPr>
        </w:p>
      </w:tc>
      <w:tc>
        <w:tcPr>
          <w:tcW w:w="0" w:type="auto"/>
          <w:vMerge/>
          <w:vAlign w:val="center"/>
          <w:hideMark/>
        </w:tcPr>
        <w:p w:rsidR="00821FE5" w:rsidRPr="005A3173" w:rsidRDefault="00821FE5" w:rsidP="005A3173">
          <w:pPr>
            <w:rPr>
              <w:rFonts w:ascii="Calibri" w:hAnsi="Calibri"/>
              <w:color w:val="365F91"/>
              <w:sz w:val="22"/>
              <w:szCs w:val="22"/>
            </w:rPr>
          </w:pPr>
        </w:p>
      </w:tc>
      <w:tc>
        <w:tcPr>
          <w:tcW w:w="2250" w:type="pct"/>
          <w:tcBorders>
            <w:top w:val="single" w:sz="4" w:space="0" w:color="4F81BD"/>
            <w:left w:val="nil"/>
            <w:bottom w:val="nil"/>
            <w:right w:val="nil"/>
          </w:tcBorders>
        </w:tcPr>
        <w:p w:rsidR="00821FE5" w:rsidRPr="005A3173" w:rsidRDefault="00821FE5" w:rsidP="005A3173">
          <w:pPr>
            <w:pStyle w:val="Header"/>
            <w:spacing w:line="276" w:lineRule="auto"/>
            <w:rPr>
              <w:rFonts w:ascii="Calibri" w:eastAsia="MS Gothic" w:hAnsi="Calibri"/>
              <w:b/>
              <w:bCs/>
              <w:color w:val="4F81BD"/>
            </w:rPr>
          </w:pPr>
        </w:p>
      </w:tc>
    </w:tr>
  </w:tbl>
  <w:p w:rsidR="00821FE5" w:rsidRDefault="00821FE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1FE5" w:rsidRDefault="00821FE5">
    <w:pPr>
      <w:pStyle w:val="Footer"/>
    </w:pPr>
  </w:p>
  <w:p w:rsidR="00821FE5" w:rsidRDefault="00821F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239609"/>
      <w:docPartObj>
        <w:docPartGallery w:val="Page Numbers (Bottom of Page)"/>
        <w:docPartUnique/>
      </w:docPartObj>
    </w:sdtPr>
    <w:sdtEndPr>
      <w:rPr>
        <w:rFonts w:ascii="Arial" w:hAnsi="Arial" w:cs="Arial"/>
        <w:noProof/>
        <w:sz w:val="22"/>
      </w:rPr>
    </w:sdtEndPr>
    <w:sdtContent>
      <w:p w:rsidR="00184943" w:rsidRPr="00184943" w:rsidRDefault="00184943" w:rsidP="00184943">
        <w:pPr>
          <w:pStyle w:val="Footer"/>
          <w:jc w:val="center"/>
          <w:rPr>
            <w:rFonts w:ascii="Arial" w:hAnsi="Arial" w:cs="Arial"/>
            <w:sz w:val="22"/>
          </w:rPr>
        </w:pPr>
        <w:r w:rsidRPr="00184943">
          <w:rPr>
            <w:rFonts w:ascii="Arial" w:hAnsi="Arial" w:cs="Arial"/>
            <w:sz w:val="22"/>
          </w:rPr>
          <w:fldChar w:fldCharType="begin"/>
        </w:r>
        <w:r w:rsidRPr="00184943">
          <w:rPr>
            <w:rFonts w:ascii="Arial" w:hAnsi="Arial" w:cs="Arial"/>
            <w:sz w:val="22"/>
          </w:rPr>
          <w:instrText xml:space="preserve"> PAGE   \* MERGEFORMAT </w:instrText>
        </w:r>
        <w:r w:rsidRPr="00184943">
          <w:rPr>
            <w:rFonts w:ascii="Arial" w:hAnsi="Arial" w:cs="Arial"/>
            <w:sz w:val="22"/>
          </w:rPr>
          <w:fldChar w:fldCharType="separate"/>
        </w:r>
        <w:r w:rsidR="00AD6C4E">
          <w:rPr>
            <w:rFonts w:ascii="Arial" w:hAnsi="Arial" w:cs="Arial"/>
            <w:noProof/>
            <w:sz w:val="22"/>
          </w:rPr>
          <w:t>6</w:t>
        </w:r>
        <w:r w:rsidRPr="00184943">
          <w:rPr>
            <w:rFonts w:ascii="Arial" w:hAnsi="Arial" w:cs="Arial"/>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21FE5" w:rsidTr="005A3173">
      <w:trPr>
        <w:trHeight w:val="151"/>
      </w:trPr>
      <w:tc>
        <w:tcPr>
          <w:tcW w:w="2250" w:type="pct"/>
          <w:tcBorders>
            <w:top w:val="nil"/>
            <w:left w:val="nil"/>
            <w:bottom w:val="single" w:sz="4" w:space="0" w:color="4F81BD"/>
            <w:right w:val="nil"/>
          </w:tcBorders>
        </w:tcPr>
        <w:p w:rsidR="00821FE5" w:rsidRPr="005A3173" w:rsidRDefault="00821FE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21FE5" w:rsidRPr="005A3173" w:rsidRDefault="00821FE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21FE5" w:rsidRPr="005A3173" w:rsidRDefault="00821FE5" w:rsidP="005A3173">
          <w:pPr>
            <w:pStyle w:val="Header"/>
            <w:spacing w:line="276" w:lineRule="auto"/>
            <w:rPr>
              <w:rFonts w:ascii="Calibri" w:eastAsia="MS Gothic" w:hAnsi="Calibri"/>
              <w:b/>
              <w:bCs/>
              <w:color w:val="4F81BD"/>
            </w:rPr>
          </w:pPr>
        </w:p>
      </w:tc>
    </w:tr>
    <w:tr w:rsidR="00821FE5" w:rsidTr="005A3173">
      <w:trPr>
        <w:trHeight w:val="150"/>
      </w:trPr>
      <w:tc>
        <w:tcPr>
          <w:tcW w:w="2250" w:type="pct"/>
          <w:tcBorders>
            <w:top w:val="single" w:sz="4" w:space="0" w:color="4F81BD"/>
            <w:left w:val="nil"/>
            <w:bottom w:val="nil"/>
            <w:right w:val="nil"/>
          </w:tcBorders>
        </w:tcPr>
        <w:p w:rsidR="00821FE5" w:rsidRPr="005A3173" w:rsidRDefault="00821FE5" w:rsidP="005A3173">
          <w:pPr>
            <w:pStyle w:val="Header"/>
            <w:spacing w:line="276" w:lineRule="auto"/>
            <w:rPr>
              <w:rFonts w:ascii="Calibri" w:eastAsia="MS Gothic" w:hAnsi="Calibri"/>
              <w:b/>
              <w:bCs/>
              <w:color w:val="4F81BD"/>
            </w:rPr>
          </w:pPr>
        </w:p>
      </w:tc>
      <w:tc>
        <w:tcPr>
          <w:tcW w:w="0" w:type="auto"/>
          <w:vMerge/>
          <w:vAlign w:val="center"/>
          <w:hideMark/>
        </w:tcPr>
        <w:p w:rsidR="00821FE5" w:rsidRPr="005A3173" w:rsidRDefault="00821FE5" w:rsidP="005A3173">
          <w:pPr>
            <w:rPr>
              <w:rFonts w:ascii="Calibri" w:hAnsi="Calibri"/>
              <w:color w:val="365F91"/>
              <w:sz w:val="22"/>
              <w:szCs w:val="22"/>
            </w:rPr>
          </w:pPr>
        </w:p>
      </w:tc>
      <w:tc>
        <w:tcPr>
          <w:tcW w:w="2250" w:type="pct"/>
          <w:tcBorders>
            <w:top w:val="single" w:sz="4" w:space="0" w:color="4F81BD"/>
            <w:left w:val="nil"/>
            <w:bottom w:val="nil"/>
            <w:right w:val="nil"/>
          </w:tcBorders>
        </w:tcPr>
        <w:p w:rsidR="00821FE5" w:rsidRPr="005A3173" w:rsidRDefault="00821FE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21FE5" w:rsidTr="005A3173">
      <w:trPr>
        <w:trHeight w:val="151"/>
      </w:trPr>
      <w:tc>
        <w:tcPr>
          <w:tcW w:w="2250" w:type="pct"/>
          <w:tcBorders>
            <w:top w:val="nil"/>
            <w:left w:val="nil"/>
            <w:bottom w:val="single" w:sz="4" w:space="0" w:color="4F81BD"/>
            <w:right w:val="nil"/>
          </w:tcBorders>
        </w:tcPr>
        <w:p w:rsidR="00821FE5" w:rsidRPr="005A3173" w:rsidRDefault="00821FE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21FE5" w:rsidRPr="005A3173" w:rsidRDefault="00821FE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21FE5" w:rsidRPr="005A3173" w:rsidRDefault="00821FE5" w:rsidP="005A3173">
          <w:pPr>
            <w:pStyle w:val="Header"/>
            <w:spacing w:line="276" w:lineRule="auto"/>
            <w:rPr>
              <w:rFonts w:ascii="Calibri" w:eastAsia="MS Gothic" w:hAnsi="Calibri"/>
              <w:b/>
              <w:bCs/>
              <w:color w:val="4F81BD"/>
            </w:rPr>
          </w:pPr>
        </w:p>
      </w:tc>
    </w:tr>
    <w:tr w:rsidR="00821FE5" w:rsidTr="005A3173">
      <w:trPr>
        <w:trHeight w:val="150"/>
      </w:trPr>
      <w:tc>
        <w:tcPr>
          <w:tcW w:w="2250" w:type="pct"/>
          <w:tcBorders>
            <w:top w:val="single" w:sz="4" w:space="0" w:color="4F81BD"/>
            <w:left w:val="nil"/>
            <w:bottom w:val="nil"/>
            <w:right w:val="nil"/>
          </w:tcBorders>
        </w:tcPr>
        <w:p w:rsidR="00821FE5" w:rsidRPr="005A3173" w:rsidRDefault="00821FE5" w:rsidP="005A3173">
          <w:pPr>
            <w:pStyle w:val="Header"/>
            <w:spacing w:line="276" w:lineRule="auto"/>
            <w:rPr>
              <w:rFonts w:ascii="Calibri" w:eastAsia="MS Gothic" w:hAnsi="Calibri"/>
              <w:b/>
              <w:bCs/>
              <w:color w:val="4F81BD"/>
            </w:rPr>
          </w:pPr>
        </w:p>
      </w:tc>
      <w:tc>
        <w:tcPr>
          <w:tcW w:w="0" w:type="auto"/>
          <w:vMerge/>
          <w:vAlign w:val="center"/>
          <w:hideMark/>
        </w:tcPr>
        <w:p w:rsidR="00821FE5" w:rsidRPr="005A3173" w:rsidRDefault="00821FE5" w:rsidP="005A3173">
          <w:pPr>
            <w:rPr>
              <w:rFonts w:ascii="Calibri" w:hAnsi="Calibri"/>
              <w:color w:val="365F91"/>
              <w:sz w:val="22"/>
              <w:szCs w:val="22"/>
            </w:rPr>
          </w:pPr>
        </w:p>
      </w:tc>
      <w:tc>
        <w:tcPr>
          <w:tcW w:w="2250" w:type="pct"/>
          <w:tcBorders>
            <w:top w:val="single" w:sz="4" w:space="0" w:color="4F81BD"/>
            <w:left w:val="nil"/>
            <w:bottom w:val="nil"/>
            <w:right w:val="nil"/>
          </w:tcBorders>
        </w:tcPr>
        <w:p w:rsidR="00821FE5" w:rsidRPr="005A3173" w:rsidRDefault="00821FE5" w:rsidP="005A3173">
          <w:pPr>
            <w:pStyle w:val="Header"/>
            <w:spacing w:line="276" w:lineRule="auto"/>
            <w:rPr>
              <w:rFonts w:ascii="Calibri" w:eastAsia="MS Gothic" w:hAnsi="Calibri"/>
              <w:b/>
              <w:bCs/>
              <w:color w:val="4F81BD"/>
            </w:rPr>
          </w:pPr>
        </w:p>
      </w:tc>
    </w:tr>
  </w:tbl>
  <w:p w:rsidR="00821FE5" w:rsidRPr="007C0F57" w:rsidRDefault="00821FE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21FE5" w:rsidRPr="007C0F57" w:rsidRDefault="00821FE5" w:rsidP="007C0F57">
    <w:pPr>
      <w:pStyle w:val="Footer"/>
      <w:jc w:val="center"/>
      <w:rPr>
        <w:b/>
        <w:i/>
        <w:sz w:val="20"/>
        <w:szCs w:val="20"/>
      </w:rPr>
    </w:pPr>
    <w:r w:rsidRPr="007C0F57">
      <w:rPr>
        <w:b/>
        <w:i/>
        <w:sz w:val="20"/>
        <w:szCs w:val="20"/>
      </w:rPr>
      <w:t>Commercial-in-Confidence</w:t>
    </w:r>
  </w:p>
  <w:p w:rsidR="00821FE5" w:rsidRDefault="00821F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CE3" w:rsidRDefault="003A3CE3">
      <w:r>
        <w:separator/>
      </w:r>
    </w:p>
    <w:p w:rsidR="003A3CE3" w:rsidRDefault="003A3CE3"/>
  </w:footnote>
  <w:footnote w:type="continuationSeparator" w:id="0">
    <w:p w:rsidR="003A3CE3" w:rsidRDefault="003A3CE3">
      <w:r>
        <w:continuationSeparator/>
      </w:r>
    </w:p>
    <w:p w:rsidR="003A3CE3" w:rsidRDefault="003A3C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21FE5" w:rsidRPr="008E0D90" w:rsidTr="00A06225">
      <w:trPr>
        <w:trHeight w:val="151"/>
      </w:trPr>
      <w:tc>
        <w:tcPr>
          <w:tcW w:w="2389" w:type="pct"/>
          <w:tcBorders>
            <w:top w:val="nil"/>
            <w:left w:val="nil"/>
            <w:bottom w:val="single" w:sz="4" w:space="0" w:color="4F81BD"/>
            <w:right w:val="nil"/>
          </w:tcBorders>
        </w:tcPr>
        <w:p w:rsidR="00821FE5" w:rsidRPr="00A06225" w:rsidRDefault="00821FE5">
          <w:pPr>
            <w:pStyle w:val="Header"/>
            <w:spacing w:line="276" w:lineRule="auto"/>
            <w:rPr>
              <w:rFonts w:ascii="Cambria" w:eastAsia="MS Gothic" w:hAnsi="Cambria"/>
              <w:b/>
              <w:bCs/>
              <w:color w:val="4F81BD"/>
            </w:rPr>
          </w:pPr>
        </w:p>
      </w:tc>
      <w:tc>
        <w:tcPr>
          <w:tcW w:w="333" w:type="pct"/>
          <w:vMerge w:val="restart"/>
          <w:noWrap/>
          <w:vAlign w:val="center"/>
          <w:hideMark/>
        </w:tcPr>
        <w:p w:rsidR="00821FE5" w:rsidRPr="00A06225" w:rsidRDefault="00821FE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21FE5" w:rsidRPr="00A06225" w:rsidRDefault="00821FE5">
          <w:pPr>
            <w:pStyle w:val="Header"/>
            <w:spacing w:line="276" w:lineRule="auto"/>
            <w:rPr>
              <w:rFonts w:ascii="Cambria" w:eastAsia="MS Gothic" w:hAnsi="Cambria"/>
              <w:b/>
              <w:bCs/>
              <w:color w:val="4F81BD"/>
            </w:rPr>
          </w:pPr>
        </w:p>
      </w:tc>
    </w:tr>
    <w:tr w:rsidR="00821FE5" w:rsidRPr="008E0D90" w:rsidTr="00A06225">
      <w:trPr>
        <w:trHeight w:val="150"/>
      </w:trPr>
      <w:tc>
        <w:tcPr>
          <w:tcW w:w="2389" w:type="pct"/>
          <w:tcBorders>
            <w:top w:val="single" w:sz="4" w:space="0" w:color="4F81BD"/>
            <w:left w:val="nil"/>
            <w:bottom w:val="nil"/>
            <w:right w:val="nil"/>
          </w:tcBorders>
        </w:tcPr>
        <w:p w:rsidR="00821FE5" w:rsidRPr="00A06225" w:rsidRDefault="00821FE5">
          <w:pPr>
            <w:pStyle w:val="Header"/>
            <w:spacing w:line="276" w:lineRule="auto"/>
            <w:rPr>
              <w:rFonts w:ascii="Cambria" w:eastAsia="MS Gothic" w:hAnsi="Cambria"/>
              <w:b/>
              <w:bCs/>
              <w:color w:val="4F81BD"/>
            </w:rPr>
          </w:pPr>
        </w:p>
      </w:tc>
      <w:tc>
        <w:tcPr>
          <w:tcW w:w="0" w:type="auto"/>
          <w:vMerge/>
          <w:vAlign w:val="center"/>
          <w:hideMark/>
        </w:tcPr>
        <w:p w:rsidR="00821FE5" w:rsidRPr="00A06225" w:rsidRDefault="00821FE5">
          <w:pPr>
            <w:rPr>
              <w:rFonts w:ascii="Cambria" w:hAnsi="Cambria"/>
              <w:color w:val="4F81BD"/>
              <w:sz w:val="22"/>
              <w:szCs w:val="22"/>
            </w:rPr>
          </w:pPr>
        </w:p>
      </w:tc>
      <w:tc>
        <w:tcPr>
          <w:tcW w:w="2278" w:type="pct"/>
          <w:tcBorders>
            <w:top w:val="single" w:sz="4" w:space="0" w:color="4F81BD"/>
            <w:left w:val="nil"/>
            <w:bottom w:val="nil"/>
            <w:right w:val="nil"/>
          </w:tcBorders>
        </w:tcPr>
        <w:p w:rsidR="00821FE5" w:rsidRPr="00A06225" w:rsidRDefault="00821FE5">
          <w:pPr>
            <w:pStyle w:val="Header"/>
            <w:spacing w:line="276" w:lineRule="auto"/>
            <w:rPr>
              <w:rFonts w:ascii="Cambria" w:eastAsia="MS Gothic" w:hAnsi="Cambria"/>
              <w:b/>
              <w:bCs/>
              <w:color w:val="4F81BD"/>
            </w:rPr>
          </w:pPr>
        </w:p>
      </w:tc>
    </w:tr>
  </w:tbl>
  <w:p w:rsidR="00821FE5" w:rsidRDefault="00821FE5">
    <w:pPr>
      <w:pStyle w:val="Header"/>
    </w:pPr>
  </w:p>
  <w:p w:rsidR="00821FE5" w:rsidRDefault="00821FE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672" w:rsidRPr="00C94E89" w:rsidRDefault="000C2672" w:rsidP="000C2672">
    <w:pPr>
      <w:pStyle w:val="Header"/>
      <w:jc w:val="center"/>
      <w:rPr>
        <w:rFonts w:ascii="Arial" w:hAnsi="Arial" w:cs="Arial"/>
        <w:b/>
        <w:snapToGrid w:val="0"/>
        <w:sz w:val="20"/>
        <w:szCs w:val="20"/>
      </w:rPr>
    </w:pPr>
    <w:r>
      <w:rPr>
        <w:rFonts w:ascii="Arial" w:hAnsi="Arial" w:cs="Arial"/>
        <w:b/>
        <w:snapToGrid w:val="0"/>
        <w:sz w:val="20"/>
        <w:szCs w:val="20"/>
      </w:rPr>
      <w:t>MARCH 2016</w:t>
    </w:r>
    <w:r w:rsidRPr="00C94E89">
      <w:rPr>
        <w:rFonts w:ascii="Arial" w:hAnsi="Arial" w:cs="Arial"/>
        <w:b/>
        <w:snapToGrid w:val="0"/>
        <w:sz w:val="20"/>
        <w:szCs w:val="20"/>
      </w:rPr>
      <w:t xml:space="preserve"> PBAC MEETING – </w:t>
    </w:r>
    <w:r>
      <w:rPr>
        <w:rFonts w:ascii="Arial" w:hAnsi="Arial" w:cs="Arial"/>
        <w:b/>
        <w:snapToGrid w:val="0"/>
        <w:sz w:val="20"/>
        <w:szCs w:val="20"/>
      </w:rPr>
      <w:t>OTHER MATTERS</w:t>
    </w:r>
    <w:r w:rsidRPr="00C94E89">
      <w:rPr>
        <w:rFonts w:ascii="Arial" w:hAnsi="Arial" w:cs="Arial"/>
        <w:b/>
        <w:snapToGrid w:val="0"/>
        <w:sz w:val="20"/>
        <w:szCs w:val="20"/>
      </w:rPr>
      <w:t xml:space="preserve"> </w:t>
    </w:r>
  </w:p>
  <w:p w:rsidR="00184943" w:rsidRPr="000C2672" w:rsidRDefault="00184943" w:rsidP="00184943">
    <w:pPr>
      <w:pStyle w:val="Header"/>
      <w:jc w:val="center"/>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8B1" w:rsidRDefault="001A4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A77"/>
    <w:multiLevelType w:val="hybridMultilevel"/>
    <w:tmpl w:val="825C9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EE2284"/>
    <w:multiLevelType w:val="hybridMultilevel"/>
    <w:tmpl w:val="98BA9E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145E05A4"/>
    <w:multiLevelType w:val="hybridMultilevel"/>
    <w:tmpl w:val="1F1E0F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CB484F"/>
    <w:multiLevelType w:val="multilevel"/>
    <w:tmpl w:val="6D107F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81460C"/>
    <w:multiLevelType w:val="multilevel"/>
    <w:tmpl w:val="6D107F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3A6301"/>
    <w:multiLevelType w:val="hybridMultilevel"/>
    <w:tmpl w:val="AE9652A6"/>
    <w:lvl w:ilvl="0" w:tplc="1EDC4B00">
      <w:start w:val="1"/>
      <w:numFmt w:val="bullet"/>
      <w:lvlText w:val="•"/>
      <w:lvlJc w:val="left"/>
      <w:pPr>
        <w:tabs>
          <w:tab w:val="num" w:pos="720"/>
        </w:tabs>
        <w:ind w:left="720" w:hanging="360"/>
      </w:pPr>
      <w:rPr>
        <w:rFonts w:ascii="Arial" w:hAnsi="Arial" w:hint="default"/>
      </w:rPr>
    </w:lvl>
    <w:lvl w:ilvl="1" w:tplc="CCE62E0E" w:tentative="1">
      <w:start w:val="1"/>
      <w:numFmt w:val="bullet"/>
      <w:lvlText w:val="•"/>
      <w:lvlJc w:val="left"/>
      <w:pPr>
        <w:tabs>
          <w:tab w:val="num" w:pos="1440"/>
        </w:tabs>
        <w:ind w:left="1440" w:hanging="360"/>
      </w:pPr>
      <w:rPr>
        <w:rFonts w:ascii="Arial" w:hAnsi="Arial" w:hint="default"/>
      </w:rPr>
    </w:lvl>
    <w:lvl w:ilvl="2" w:tplc="3E42DE74" w:tentative="1">
      <w:start w:val="1"/>
      <w:numFmt w:val="bullet"/>
      <w:lvlText w:val="•"/>
      <w:lvlJc w:val="left"/>
      <w:pPr>
        <w:tabs>
          <w:tab w:val="num" w:pos="2160"/>
        </w:tabs>
        <w:ind w:left="2160" w:hanging="360"/>
      </w:pPr>
      <w:rPr>
        <w:rFonts w:ascii="Arial" w:hAnsi="Arial" w:hint="default"/>
      </w:rPr>
    </w:lvl>
    <w:lvl w:ilvl="3" w:tplc="BFCC92EA" w:tentative="1">
      <w:start w:val="1"/>
      <w:numFmt w:val="bullet"/>
      <w:lvlText w:val="•"/>
      <w:lvlJc w:val="left"/>
      <w:pPr>
        <w:tabs>
          <w:tab w:val="num" w:pos="2880"/>
        </w:tabs>
        <w:ind w:left="2880" w:hanging="360"/>
      </w:pPr>
      <w:rPr>
        <w:rFonts w:ascii="Arial" w:hAnsi="Arial" w:hint="default"/>
      </w:rPr>
    </w:lvl>
    <w:lvl w:ilvl="4" w:tplc="88B2AAB2" w:tentative="1">
      <w:start w:val="1"/>
      <w:numFmt w:val="bullet"/>
      <w:lvlText w:val="•"/>
      <w:lvlJc w:val="left"/>
      <w:pPr>
        <w:tabs>
          <w:tab w:val="num" w:pos="3600"/>
        </w:tabs>
        <w:ind w:left="3600" w:hanging="360"/>
      </w:pPr>
      <w:rPr>
        <w:rFonts w:ascii="Arial" w:hAnsi="Arial" w:hint="default"/>
      </w:rPr>
    </w:lvl>
    <w:lvl w:ilvl="5" w:tplc="0E1C9130" w:tentative="1">
      <w:start w:val="1"/>
      <w:numFmt w:val="bullet"/>
      <w:lvlText w:val="•"/>
      <w:lvlJc w:val="left"/>
      <w:pPr>
        <w:tabs>
          <w:tab w:val="num" w:pos="4320"/>
        </w:tabs>
        <w:ind w:left="4320" w:hanging="360"/>
      </w:pPr>
      <w:rPr>
        <w:rFonts w:ascii="Arial" w:hAnsi="Arial" w:hint="default"/>
      </w:rPr>
    </w:lvl>
    <w:lvl w:ilvl="6" w:tplc="609A51B6" w:tentative="1">
      <w:start w:val="1"/>
      <w:numFmt w:val="bullet"/>
      <w:lvlText w:val="•"/>
      <w:lvlJc w:val="left"/>
      <w:pPr>
        <w:tabs>
          <w:tab w:val="num" w:pos="5040"/>
        </w:tabs>
        <w:ind w:left="5040" w:hanging="360"/>
      </w:pPr>
      <w:rPr>
        <w:rFonts w:ascii="Arial" w:hAnsi="Arial" w:hint="default"/>
      </w:rPr>
    </w:lvl>
    <w:lvl w:ilvl="7" w:tplc="4D588410" w:tentative="1">
      <w:start w:val="1"/>
      <w:numFmt w:val="bullet"/>
      <w:lvlText w:val="•"/>
      <w:lvlJc w:val="left"/>
      <w:pPr>
        <w:tabs>
          <w:tab w:val="num" w:pos="5760"/>
        </w:tabs>
        <w:ind w:left="5760" w:hanging="360"/>
      </w:pPr>
      <w:rPr>
        <w:rFonts w:ascii="Arial" w:hAnsi="Arial" w:hint="default"/>
      </w:rPr>
    </w:lvl>
    <w:lvl w:ilvl="8" w:tplc="E070A8B4" w:tentative="1">
      <w:start w:val="1"/>
      <w:numFmt w:val="bullet"/>
      <w:lvlText w:val="•"/>
      <w:lvlJc w:val="left"/>
      <w:pPr>
        <w:tabs>
          <w:tab w:val="num" w:pos="6480"/>
        </w:tabs>
        <w:ind w:left="6480" w:hanging="360"/>
      </w:pPr>
      <w:rPr>
        <w:rFonts w:ascii="Arial" w:hAnsi="Arial" w:hint="default"/>
      </w:rPr>
    </w:lvl>
  </w:abstractNum>
  <w:abstractNum w:abstractNumId="6">
    <w:nsid w:val="413F596D"/>
    <w:multiLevelType w:val="hybridMultilevel"/>
    <w:tmpl w:val="F11EB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4453EB7"/>
    <w:multiLevelType w:val="hybridMultilevel"/>
    <w:tmpl w:val="7B9A56E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8F46F2C"/>
    <w:multiLevelType w:val="hybridMultilevel"/>
    <w:tmpl w:val="AD7AA196"/>
    <w:lvl w:ilvl="0" w:tplc="A3D6CA58">
      <w:start w:val="1"/>
      <w:numFmt w:val="lowerRoman"/>
      <w:lvlText w:val="%1)"/>
      <w:lvlJc w:val="left"/>
      <w:pPr>
        <w:ind w:left="1440" w:hanging="720"/>
      </w:pPr>
      <w:rPr>
        <w:rFonts w:hint="default"/>
      </w:rPr>
    </w:lvl>
    <w:lvl w:ilvl="1" w:tplc="0C09000F">
      <w:start w:val="1"/>
      <w:numFmt w:val="decimal"/>
      <w:lvlText w:val="%2."/>
      <w:lvlJc w:val="left"/>
      <w:pPr>
        <w:ind w:left="1800" w:hanging="360"/>
      </w:pPr>
      <w:rPr>
        <w:rFonts w:hint="default"/>
      </w:rPr>
    </w:lvl>
    <w:lvl w:ilvl="2" w:tplc="0C09001B">
      <w:start w:val="1"/>
      <w:numFmt w:val="lowerRoman"/>
      <w:lvlText w:val="%3."/>
      <w:lvlJc w:val="right"/>
      <w:pPr>
        <w:ind w:left="2520" w:hanging="180"/>
      </w:pPr>
    </w:lvl>
    <w:lvl w:ilvl="3" w:tplc="A55C53E0">
      <w:start w:val="1"/>
      <w:numFmt w:val="lowerLetter"/>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589F1306"/>
    <w:multiLevelType w:val="hybridMultilevel"/>
    <w:tmpl w:val="0EAAD140"/>
    <w:lvl w:ilvl="0" w:tplc="2272BA3A">
      <w:start w:val="1"/>
      <w:numFmt w:val="bullet"/>
      <w:lvlText w:val="•"/>
      <w:lvlJc w:val="left"/>
      <w:pPr>
        <w:tabs>
          <w:tab w:val="num" w:pos="720"/>
        </w:tabs>
        <w:ind w:left="720" w:hanging="360"/>
      </w:pPr>
      <w:rPr>
        <w:rFonts w:ascii="Arial" w:hAnsi="Arial" w:hint="default"/>
      </w:rPr>
    </w:lvl>
    <w:lvl w:ilvl="1" w:tplc="CE58A258" w:tentative="1">
      <w:start w:val="1"/>
      <w:numFmt w:val="bullet"/>
      <w:lvlText w:val="•"/>
      <w:lvlJc w:val="left"/>
      <w:pPr>
        <w:tabs>
          <w:tab w:val="num" w:pos="1440"/>
        </w:tabs>
        <w:ind w:left="1440" w:hanging="360"/>
      </w:pPr>
      <w:rPr>
        <w:rFonts w:ascii="Arial" w:hAnsi="Arial" w:hint="default"/>
      </w:rPr>
    </w:lvl>
    <w:lvl w:ilvl="2" w:tplc="AA68EB2A" w:tentative="1">
      <w:start w:val="1"/>
      <w:numFmt w:val="bullet"/>
      <w:lvlText w:val="•"/>
      <w:lvlJc w:val="left"/>
      <w:pPr>
        <w:tabs>
          <w:tab w:val="num" w:pos="2160"/>
        </w:tabs>
        <w:ind w:left="2160" w:hanging="360"/>
      </w:pPr>
      <w:rPr>
        <w:rFonts w:ascii="Arial" w:hAnsi="Arial" w:hint="default"/>
      </w:rPr>
    </w:lvl>
    <w:lvl w:ilvl="3" w:tplc="5C6ADFBE" w:tentative="1">
      <w:start w:val="1"/>
      <w:numFmt w:val="bullet"/>
      <w:lvlText w:val="•"/>
      <w:lvlJc w:val="left"/>
      <w:pPr>
        <w:tabs>
          <w:tab w:val="num" w:pos="2880"/>
        </w:tabs>
        <w:ind w:left="2880" w:hanging="360"/>
      </w:pPr>
      <w:rPr>
        <w:rFonts w:ascii="Arial" w:hAnsi="Arial" w:hint="default"/>
      </w:rPr>
    </w:lvl>
    <w:lvl w:ilvl="4" w:tplc="40AA49B0" w:tentative="1">
      <w:start w:val="1"/>
      <w:numFmt w:val="bullet"/>
      <w:lvlText w:val="•"/>
      <w:lvlJc w:val="left"/>
      <w:pPr>
        <w:tabs>
          <w:tab w:val="num" w:pos="3600"/>
        </w:tabs>
        <w:ind w:left="3600" w:hanging="360"/>
      </w:pPr>
      <w:rPr>
        <w:rFonts w:ascii="Arial" w:hAnsi="Arial" w:hint="default"/>
      </w:rPr>
    </w:lvl>
    <w:lvl w:ilvl="5" w:tplc="62943820" w:tentative="1">
      <w:start w:val="1"/>
      <w:numFmt w:val="bullet"/>
      <w:lvlText w:val="•"/>
      <w:lvlJc w:val="left"/>
      <w:pPr>
        <w:tabs>
          <w:tab w:val="num" w:pos="4320"/>
        </w:tabs>
        <w:ind w:left="4320" w:hanging="360"/>
      </w:pPr>
      <w:rPr>
        <w:rFonts w:ascii="Arial" w:hAnsi="Arial" w:hint="default"/>
      </w:rPr>
    </w:lvl>
    <w:lvl w:ilvl="6" w:tplc="6C0094FA" w:tentative="1">
      <w:start w:val="1"/>
      <w:numFmt w:val="bullet"/>
      <w:lvlText w:val="•"/>
      <w:lvlJc w:val="left"/>
      <w:pPr>
        <w:tabs>
          <w:tab w:val="num" w:pos="5040"/>
        </w:tabs>
        <w:ind w:left="5040" w:hanging="360"/>
      </w:pPr>
      <w:rPr>
        <w:rFonts w:ascii="Arial" w:hAnsi="Arial" w:hint="default"/>
      </w:rPr>
    </w:lvl>
    <w:lvl w:ilvl="7" w:tplc="D88037DE" w:tentative="1">
      <w:start w:val="1"/>
      <w:numFmt w:val="bullet"/>
      <w:lvlText w:val="•"/>
      <w:lvlJc w:val="left"/>
      <w:pPr>
        <w:tabs>
          <w:tab w:val="num" w:pos="5760"/>
        </w:tabs>
        <w:ind w:left="5760" w:hanging="360"/>
      </w:pPr>
      <w:rPr>
        <w:rFonts w:ascii="Arial" w:hAnsi="Arial" w:hint="default"/>
      </w:rPr>
    </w:lvl>
    <w:lvl w:ilvl="8" w:tplc="AA98004E" w:tentative="1">
      <w:start w:val="1"/>
      <w:numFmt w:val="bullet"/>
      <w:lvlText w:val="•"/>
      <w:lvlJc w:val="left"/>
      <w:pPr>
        <w:tabs>
          <w:tab w:val="num" w:pos="6480"/>
        </w:tabs>
        <w:ind w:left="6480" w:hanging="360"/>
      </w:pPr>
      <w:rPr>
        <w:rFonts w:ascii="Arial" w:hAnsi="Arial" w:hint="default"/>
      </w:rPr>
    </w:lvl>
  </w:abstractNum>
  <w:abstractNum w:abstractNumId="10">
    <w:nsid w:val="607A057C"/>
    <w:multiLevelType w:val="hybridMultilevel"/>
    <w:tmpl w:val="B950B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8EA1610"/>
    <w:multiLevelType w:val="hybridMultilevel"/>
    <w:tmpl w:val="ADA64EDA"/>
    <w:lvl w:ilvl="0" w:tplc="0C090017">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7E0891BA">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6BE62882"/>
    <w:multiLevelType w:val="multilevel"/>
    <w:tmpl w:val="A0E6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FF72380"/>
    <w:multiLevelType w:val="hybridMultilevel"/>
    <w:tmpl w:val="5D4A68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E508B4"/>
    <w:multiLevelType w:val="hybridMultilevel"/>
    <w:tmpl w:val="7B9A56E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4D033C"/>
    <w:multiLevelType w:val="multilevel"/>
    <w:tmpl w:val="BAFAC1DC"/>
    <w:lvl w:ilvl="0">
      <w:start w:val="1"/>
      <w:numFmt w:val="decimal"/>
      <w:pStyle w:val="Heading2"/>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6"/>
  </w:num>
  <w:num w:numId="3">
    <w:abstractNumId w:val="7"/>
  </w:num>
  <w:num w:numId="4">
    <w:abstractNumId w:val="13"/>
  </w:num>
  <w:num w:numId="5">
    <w:abstractNumId w:val="14"/>
  </w:num>
  <w:num w:numId="6">
    <w:abstractNumId w:val="2"/>
  </w:num>
  <w:num w:numId="7">
    <w:abstractNumId w:val="1"/>
  </w:num>
  <w:num w:numId="8">
    <w:abstractNumId w:val="10"/>
  </w:num>
  <w:num w:numId="9">
    <w:abstractNumId w:val="0"/>
  </w:num>
  <w:num w:numId="10">
    <w:abstractNumId w:val="11"/>
  </w:num>
  <w:num w:numId="11">
    <w:abstractNumId w:val="8"/>
  </w:num>
  <w:num w:numId="12">
    <w:abstractNumId w:val="12"/>
  </w:num>
  <w:num w:numId="13">
    <w:abstractNumId w:val="5"/>
  </w:num>
  <w:num w:numId="14">
    <w:abstractNumId w:val="9"/>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539E"/>
    <w:rsid w:val="00017B7E"/>
    <w:rsid w:val="0002464A"/>
    <w:rsid w:val="00030CA1"/>
    <w:rsid w:val="0003106B"/>
    <w:rsid w:val="000313F6"/>
    <w:rsid w:val="000374EC"/>
    <w:rsid w:val="000421A1"/>
    <w:rsid w:val="0004240E"/>
    <w:rsid w:val="00043760"/>
    <w:rsid w:val="00045A4A"/>
    <w:rsid w:val="00045E26"/>
    <w:rsid w:val="000514B5"/>
    <w:rsid w:val="00060E64"/>
    <w:rsid w:val="00063033"/>
    <w:rsid w:val="00063D4B"/>
    <w:rsid w:val="00066755"/>
    <w:rsid w:val="0006776B"/>
    <w:rsid w:val="0007477C"/>
    <w:rsid w:val="00074A61"/>
    <w:rsid w:val="00076CE6"/>
    <w:rsid w:val="0008757D"/>
    <w:rsid w:val="00087901"/>
    <w:rsid w:val="0009229A"/>
    <w:rsid w:val="000969AD"/>
    <w:rsid w:val="000A48A0"/>
    <w:rsid w:val="000A6F43"/>
    <w:rsid w:val="000B0680"/>
    <w:rsid w:val="000B226D"/>
    <w:rsid w:val="000B45D9"/>
    <w:rsid w:val="000B558D"/>
    <w:rsid w:val="000C0098"/>
    <w:rsid w:val="000C2672"/>
    <w:rsid w:val="000C6996"/>
    <w:rsid w:val="000D23BA"/>
    <w:rsid w:val="000D2D61"/>
    <w:rsid w:val="000E549B"/>
    <w:rsid w:val="000E561E"/>
    <w:rsid w:val="000E681E"/>
    <w:rsid w:val="000E690E"/>
    <w:rsid w:val="000F370B"/>
    <w:rsid w:val="000F4E6A"/>
    <w:rsid w:val="001107BF"/>
    <w:rsid w:val="0012417C"/>
    <w:rsid w:val="00124E2A"/>
    <w:rsid w:val="00142395"/>
    <w:rsid w:val="00142714"/>
    <w:rsid w:val="001452ED"/>
    <w:rsid w:val="001830CE"/>
    <w:rsid w:val="00184943"/>
    <w:rsid w:val="00191FF0"/>
    <w:rsid w:val="00196307"/>
    <w:rsid w:val="001A10C7"/>
    <w:rsid w:val="001A48B1"/>
    <w:rsid w:val="001B017F"/>
    <w:rsid w:val="001B5129"/>
    <w:rsid w:val="001C011F"/>
    <w:rsid w:val="001C1195"/>
    <w:rsid w:val="001C635C"/>
    <w:rsid w:val="001D2AD7"/>
    <w:rsid w:val="001D6E2B"/>
    <w:rsid w:val="001E6836"/>
    <w:rsid w:val="001F01C6"/>
    <w:rsid w:val="001F0358"/>
    <w:rsid w:val="001F1798"/>
    <w:rsid w:val="001F5A17"/>
    <w:rsid w:val="0020711E"/>
    <w:rsid w:val="002117EA"/>
    <w:rsid w:val="00212A7E"/>
    <w:rsid w:val="00213CFB"/>
    <w:rsid w:val="00217A43"/>
    <w:rsid w:val="00222400"/>
    <w:rsid w:val="002361A8"/>
    <w:rsid w:val="002411BE"/>
    <w:rsid w:val="00271BA1"/>
    <w:rsid w:val="00276995"/>
    <w:rsid w:val="00277505"/>
    <w:rsid w:val="00282961"/>
    <w:rsid w:val="00284939"/>
    <w:rsid w:val="00287E85"/>
    <w:rsid w:val="00290B60"/>
    <w:rsid w:val="00292B9D"/>
    <w:rsid w:val="0029458F"/>
    <w:rsid w:val="00295BC1"/>
    <w:rsid w:val="002A104C"/>
    <w:rsid w:val="002A4960"/>
    <w:rsid w:val="002A6DFE"/>
    <w:rsid w:val="002A6EC9"/>
    <w:rsid w:val="002B1AE6"/>
    <w:rsid w:val="002B30F8"/>
    <w:rsid w:val="002B5E74"/>
    <w:rsid w:val="002C212F"/>
    <w:rsid w:val="002E3153"/>
    <w:rsid w:val="002E72CA"/>
    <w:rsid w:val="002F1772"/>
    <w:rsid w:val="00300506"/>
    <w:rsid w:val="00321D4C"/>
    <w:rsid w:val="00323567"/>
    <w:rsid w:val="00326E79"/>
    <w:rsid w:val="003367EF"/>
    <w:rsid w:val="00341475"/>
    <w:rsid w:val="00341AE4"/>
    <w:rsid w:val="003464B6"/>
    <w:rsid w:val="00353823"/>
    <w:rsid w:val="00353FEC"/>
    <w:rsid w:val="003845A7"/>
    <w:rsid w:val="003872CF"/>
    <w:rsid w:val="003938F2"/>
    <w:rsid w:val="003953CB"/>
    <w:rsid w:val="0039782C"/>
    <w:rsid w:val="003A3CE3"/>
    <w:rsid w:val="003A5B4A"/>
    <w:rsid w:val="003B23C5"/>
    <w:rsid w:val="003B2A75"/>
    <w:rsid w:val="003B2D2A"/>
    <w:rsid w:val="003B2ED2"/>
    <w:rsid w:val="003B44D2"/>
    <w:rsid w:val="003D4579"/>
    <w:rsid w:val="003D4AC4"/>
    <w:rsid w:val="003D63B7"/>
    <w:rsid w:val="003E07A2"/>
    <w:rsid w:val="003E468B"/>
    <w:rsid w:val="003F5C8C"/>
    <w:rsid w:val="0041163C"/>
    <w:rsid w:val="00416163"/>
    <w:rsid w:val="00416AD1"/>
    <w:rsid w:val="0042593D"/>
    <w:rsid w:val="004465BD"/>
    <w:rsid w:val="00456985"/>
    <w:rsid w:val="00466ADA"/>
    <w:rsid w:val="00467B4D"/>
    <w:rsid w:val="00476245"/>
    <w:rsid w:val="004848B4"/>
    <w:rsid w:val="00485940"/>
    <w:rsid w:val="00486355"/>
    <w:rsid w:val="00495619"/>
    <w:rsid w:val="004A2462"/>
    <w:rsid w:val="004A5A85"/>
    <w:rsid w:val="004A5E07"/>
    <w:rsid w:val="004B5640"/>
    <w:rsid w:val="004C1BD7"/>
    <w:rsid w:val="004C691D"/>
    <w:rsid w:val="004D48CD"/>
    <w:rsid w:val="004E33B5"/>
    <w:rsid w:val="004E37A9"/>
    <w:rsid w:val="004E692D"/>
    <w:rsid w:val="00501554"/>
    <w:rsid w:val="00514652"/>
    <w:rsid w:val="00514CD7"/>
    <w:rsid w:val="00524B39"/>
    <w:rsid w:val="0053179E"/>
    <w:rsid w:val="005319B2"/>
    <w:rsid w:val="00532C74"/>
    <w:rsid w:val="00534E2E"/>
    <w:rsid w:val="00544552"/>
    <w:rsid w:val="0054748F"/>
    <w:rsid w:val="00557F47"/>
    <w:rsid w:val="00565321"/>
    <w:rsid w:val="005659DF"/>
    <w:rsid w:val="00573112"/>
    <w:rsid w:val="00574DC5"/>
    <w:rsid w:val="00577736"/>
    <w:rsid w:val="00580A49"/>
    <w:rsid w:val="00581932"/>
    <w:rsid w:val="00582552"/>
    <w:rsid w:val="005963BB"/>
    <w:rsid w:val="005A3173"/>
    <w:rsid w:val="005A3223"/>
    <w:rsid w:val="005A3DA3"/>
    <w:rsid w:val="005A52C4"/>
    <w:rsid w:val="005A5BF7"/>
    <w:rsid w:val="005A77FA"/>
    <w:rsid w:val="005B2A54"/>
    <w:rsid w:val="005C4913"/>
    <w:rsid w:val="005C6870"/>
    <w:rsid w:val="005D03AB"/>
    <w:rsid w:val="005D1DC4"/>
    <w:rsid w:val="005D5017"/>
    <w:rsid w:val="005E021B"/>
    <w:rsid w:val="00601A91"/>
    <w:rsid w:val="00602BA3"/>
    <w:rsid w:val="00614159"/>
    <w:rsid w:val="00617613"/>
    <w:rsid w:val="00617C00"/>
    <w:rsid w:val="006263BF"/>
    <w:rsid w:val="0062748A"/>
    <w:rsid w:val="00630A2C"/>
    <w:rsid w:val="0064632D"/>
    <w:rsid w:val="00651169"/>
    <w:rsid w:val="00653D69"/>
    <w:rsid w:val="00663112"/>
    <w:rsid w:val="0067027D"/>
    <w:rsid w:val="00670A76"/>
    <w:rsid w:val="006711AA"/>
    <w:rsid w:val="00672B57"/>
    <w:rsid w:val="00675622"/>
    <w:rsid w:val="006906DB"/>
    <w:rsid w:val="006A12A5"/>
    <w:rsid w:val="006A1C6F"/>
    <w:rsid w:val="006B0D94"/>
    <w:rsid w:val="006B485D"/>
    <w:rsid w:val="006B6FF3"/>
    <w:rsid w:val="006C708E"/>
    <w:rsid w:val="006D575E"/>
    <w:rsid w:val="006D6EC7"/>
    <w:rsid w:val="006E172B"/>
    <w:rsid w:val="006F4910"/>
    <w:rsid w:val="006F5125"/>
    <w:rsid w:val="006F6A94"/>
    <w:rsid w:val="00702739"/>
    <w:rsid w:val="00715F10"/>
    <w:rsid w:val="007174BB"/>
    <w:rsid w:val="00721626"/>
    <w:rsid w:val="00736F93"/>
    <w:rsid w:val="00741823"/>
    <w:rsid w:val="007502D1"/>
    <w:rsid w:val="0076420C"/>
    <w:rsid w:val="007753C2"/>
    <w:rsid w:val="007822BF"/>
    <w:rsid w:val="007838B8"/>
    <w:rsid w:val="007C0F57"/>
    <w:rsid w:val="007C40B6"/>
    <w:rsid w:val="007C6785"/>
    <w:rsid w:val="007C729F"/>
    <w:rsid w:val="007E1D28"/>
    <w:rsid w:val="007E63F9"/>
    <w:rsid w:val="007F2641"/>
    <w:rsid w:val="007F7C36"/>
    <w:rsid w:val="00803ECF"/>
    <w:rsid w:val="00806796"/>
    <w:rsid w:val="0081124B"/>
    <w:rsid w:val="008164B0"/>
    <w:rsid w:val="0082098E"/>
    <w:rsid w:val="00821FE5"/>
    <w:rsid w:val="00826F6D"/>
    <w:rsid w:val="0082704C"/>
    <w:rsid w:val="008352E2"/>
    <w:rsid w:val="0084263C"/>
    <w:rsid w:val="00844A8F"/>
    <w:rsid w:val="00851BE9"/>
    <w:rsid w:val="00856DDD"/>
    <w:rsid w:val="00857F4E"/>
    <w:rsid w:val="00863CC9"/>
    <w:rsid w:val="00863E68"/>
    <w:rsid w:val="0087142B"/>
    <w:rsid w:val="00882085"/>
    <w:rsid w:val="00883188"/>
    <w:rsid w:val="00883691"/>
    <w:rsid w:val="0088684B"/>
    <w:rsid w:val="00897D58"/>
    <w:rsid w:val="008A1956"/>
    <w:rsid w:val="008A4937"/>
    <w:rsid w:val="008B000A"/>
    <w:rsid w:val="008B5B8A"/>
    <w:rsid w:val="008C26F9"/>
    <w:rsid w:val="008D33DC"/>
    <w:rsid w:val="008D3C82"/>
    <w:rsid w:val="008D447E"/>
    <w:rsid w:val="008D7A41"/>
    <w:rsid w:val="008E3680"/>
    <w:rsid w:val="008E5870"/>
    <w:rsid w:val="008E7740"/>
    <w:rsid w:val="008F1434"/>
    <w:rsid w:val="008F2DF2"/>
    <w:rsid w:val="008F7355"/>
    <w:rsid w:val="0090379E"/>
    <w:rsid w:val="009067B7"/>
    <w:rsid w:val="0091582E"/>
    <w:rsid w:val="00921409"/>
    <w:rsid w:val="00924A21"/>
    <w:rsid w:val="009259B6"/>
    <w:rsid w:val="00925B20"/>
    <w:rsid w:val="00930937"/>
    <w:rsid w:val="00931949"/>
    <w:rsid w:val="00933E6C"/>
    <w:rsid w:val="00934F63"/>
    <w:rsid w:val="00942160"/>
    <w:rsid w:val="0095096C"/>
    <w:rsid w:val="009541A0"/>
    <w:rsid w:val="0095767B"/>
    <w:rsid w:val="009602C5"/>
    <w:rsid w:val="00963E04"/>
    <w:rsid w:val="00973CC7"/>
    <w:rsid w:val="0097447A"/>
    <w:rsid w:val="00974C21"/>
    <w:rsid w:val="0098039D"/>
    <w:rsid w:val="009808B0"/>
    <w:rsid w:val="0098795E"/>
    <w:rsid w:val="00997B0C"/>
    <w:rsid w:val="009A318C"/>
    <w:rsid w:val="009A519B"/>
    <w:rsid w:val="009A57F6"/>
    <w:rsid w:val="009A5C31"/>
    <w:rsid w:val="009B0F67"/>
    <w:rsid w:val="009B3DF9"/>
    <w:rsid w:val="009B44DE"/>
    <w:rsid w:val="009C264B"/>
    <w:rsid w:val="009C703C"/>
    <w:rsid w:val="009D3CAA"/>
    <w:rsid w:val="009F4E46"/>
    <w:rsid w:val="009F5B65"/>
    <w:rsid w:val="009F5F2E"/>
    <w:rsid w:val="00A00F35"/>
    <w:rsid w:val="00A06225"/>
    <w:rsid w:val="00A128E6"/>
    <w:rsid w:val="00A13187"/>
    <w:rsid w:val="00A36E74"/>
    <w:rsid w:val="00A37C8D"/>
    <w:rsid w:val="00A5273B"/>
    <w:rsid w:val="00A53A9D"/>
    <w:rsid w:val="00A55FEE"/>
    <w:rsid w:val="00A562BC"/>
    <w:rsid w:val="00A62C1A"/>
    <w:rsid w:val="00A6426D"/>
    <w:rsid w:val="00A70622"/>
    <w:rsid w:val="00A70977"/>
    <w:rsid w:val="00A73332"/>
    <w:rsid w:val="00A74348"/>
    <w:rsid w:val="00A8390C"/>
    <w:rsid w:val="00A907C1"/>
    <w:rsid w:val="00A928BD"/>
    <w:rsid w:val="00AA3F7C"/>
    <w:rsid w:val="00AA4D1C"/>
    <w:rsid w:val="00AC01DF"/>
    <w:rsid w:val="00AC193C"/>
    <w:rsid w:val="00AC5206"/>
    <w:rsid w:val="00AD3BB5"/>
    <w:rsid w:val="00AD4341"/>
    <w:rsid w:val="00AD605B"/>
    <w:rsid w:val="00AD6C4E"/>
    <w:rsid w:val="00AE11A5"/>
    <w:rsid w:val="00AE13E2"/>
    <w:rsid w:val="00AF03FC"/>
    <w:rsid w:val="00AF1021"/>
    <w:rsid w:val="00AF68CC"/>
    <w:rsid w:val="00B07E6F"/>
    <w:rsid w:val="00B10004"/>
    <w:rsid w:val="00B10F8B"/>
    <w:rsid w:val="00B205AA"/>
    <w:rsid w:val="00B22E84"/>
    <w:rsid w:val="00B25F75"/>
    <w:rsid w:val="00B312F6"/>
    <w:rsid w:val="00B31D10"/>
    <w:rsid w:val="00B43E90"/>
    <w:rsid w:val="00B467DC"/>
    <w:rsid w:val="00B56118"/>
    <w:rsid w:val="00B569E3"/>
    <w:rsid w:val="00B6773F"/>
    <w:rsid w:val="00B723F1"/>
    <w:rsid w:val="00B729C3"/>
    <w:rsid w:val="00B72A4D"/>
    <w:rsid w:val="00B75637"/>
    <w:rsid w:val="00B771D0"/>
    <w:rsid w:val="00B801BA"/>
    <w:rsid w:val="00B876C3"/>
    <w:rsid w:val="00B94970"/>
    <w:rsid w:val="00BA4A08"/>
    <w:rsid w:val="00BA4E28"/>
    <w:rsid w:val="00BA60E7"/>
    <w:rsid w:val="00BA6D6C"/>
    <w:rsid w:val="00BA7211"/>
    <w:rsid w:val="00BB159C"/>
    <w:rsid w:val="00BB69F5"/>
    <w:rsid w:val="00BB7EC3"/>
    <w:rsid w:val="00BC4B9A"/>
    <w:rsid w:val="00BD1462"/>
    <w:rsid w:val="00BD784C"/>
    <w:rsid w:val="00BE0275"/>
    <w:rsid w:val="00BE7D15"/>
    <w:rsid w:val="00BF467C"/>
    <w:rsid w:val="00BF4CB6"/>
    <w:rsid w:val="00C00DA7"/>
    <w:rsid w:val="00C0275E"/>
    <w:rsid w:val="00C049B0"/>
    <w:rsid w:val="00C10A20"/>
    <w:rsid w:val="00C12768"/>
    <w:rsid w:val="00C27B58"/>
    <w:rsid w:val="00C33603"/>
    <w:rsid w:val="00C35996"/>
    <w:rsid w:val="00C50D99"/>
    <w:rsid w:val="00C5342C"/>
    <w:rsid w:val="00C56AEC"/>
    <w:rsid w:val="00C5738B"/>
    <w:rsid w:val="00C6256A"/>
    <w:rsid w:val="00C650ED"/>
    <w:rsid w:val="00C66470"/>
    <w:rsid w:val="00C76AC9"/>
    <w:rsid w:val="00C77143"/>
    <w:rsid w:val="00C87AA7"/>
    <w:rsid w:val="00C91449"/>
    <w:rsid w:val="00C92D10"/>
    <w:rsid w:val="00CA7643"/>
    <w:rsid w:val="00CB576E"/>
    <w:rsid w:val="00CC431A"/>
    <w:rsid w:val="00CD631E"/>
    <w:rsid w:val="00CD6F51"/>
    <w:rsid w:val="00CE10C4"/>
    <w:rsid w:val="00CE27B5"/>
    <w:rsid w:val="00CE5717"/>
    <w:rsid w:val="00D0321E"/>
    <w:rsid w:val="00D10126"/>
    <w:rsid w:val="00D12D45"/>
    <w:rsid w:val="00D1455A"/>
    <w:rsid w:val="00D25EB8"/>
    <w:rsid w:val="00D3280C"/>
    <w:rsid w:val="00D3406A"/>
    <w:rsid w:val="00D45BB6"/>
    <w:rsid w:val="00D469B2"/>
    <w:rsid w:val="00D50DE1"/>
    <w:rsid w:val="00D558D4"/>
    <w:rsid w:val="00D5790E"/>
    <w:rsid w:val="00D60A1E"/>
    <w:rsid w:val="00D63010"/>
    <w:rsid w:val="00D701D1"/>
    <w:rsid w:val="00D73C8E"/>
    <w:rsid w:val="00D741EB"/>
    <w:rsid w:val="00D746CF"/>
    <w:rsid w:val="00D76795"/>
    <w:rsid w:val="00D84934"/>
    <w:rsid w:val="00D91271"/>
    <w:rsid w:val="00D93DB0"/>
    <w:rsid w:val="00D94BA9"/>
    <w:rsid w:val="00DA2CB5"/>
    <w:rsid w:val="00DA3C3E"/>
    <w:rsid w:val="00DA4BAC"/>
    <w:rsid w:val="00DD2AD4"/>
    <w:rsid w:val="00DE41C5"/>
    <w:rsid w:val="00DE6D27"/>
    <w:rsid w:val="00DF217D"/>
    <w:rsid w:val="00DF26A7"/>
    <w:rsid w:val="00DF3052"/>
    <w:rsid w:val="00E108B8"/>
    <w:rsid w:val="00E164B3"/>
    <w:rsid w:val="00E16910"/>
    <w:rsid w:val="00E25EB8"/>
    <w:rsid w:val="00E27D17"/>
    <w:rsid w:val="00E321A9"/>
    <w:rsid w:val="00E3616E"/>
    <w:rsid w:val="00E4749B"/>
    <w:rsid w:val="00E47F9F"/>
    <w:rsid w:val="00E606C9"/>
    <w:rsid w:val="00E6451C"/>
    <w:rsid w:val="00E65E54"/>
    <w:rsid w:val="00E66EDD"/>
    <w:rsid w:val="00E66FE5"/>
    <w:rsid w:val="00E715C5"/>
    <w:rsid w:val="00E80155"/>
    <w:rsid w:val="00E848C0"/>
    <w:rsid w:val="00E91B96"/>
    <w:rsid w:val="00E92170"/>
    <w:rsid w:val="00E941A1"/>
    <w:rsid w:val="00E95CE3"/>
    <w:rsid w:val="00EA2825"/>
    <w:rsid w:val="00EA5D89"/>
    <w:rsid w:val="00EB5088"/>
    <w:rsid w:val="00EC2142"/>
    <w:rsid w:val="00ED0380"/>
    <w:rsid w:val="00ED1644"/>
    <w:rsid w:val="00ED1C62"/>
    <w:rsid w:val="00EF44A0"/>
    <w:rsid w:val="00EF4FED"/>
    <w:rsid w:val="00F02116"/>
    <w:rsid w:val="00F04050"/>
    <w:rsid w:val="00F050BD"/>
    <w:rsid w:val="00F05657"/>
    <w:rsid w:val="00F14DBD"/>
    <w:rsid w:val="00F15484"/>
    <w:rsid w:val="00F25578"/>
    <w:rsid w:val="00F258E5"/>
    <w:rsid w:val="00F300BC"/>
    <w:rsid w:val="00F3334E"/>
    <w:rsid w:val="00F50EC4"/>
    <w:rsid w:val="00F57A6D"/>
    <w:rsid w:val="00F638CC"/>
    <w:rsid w:val="00F6404B"/>
    <w:rsid w:val="00F64CC1"/>
    <w:rsid w:val="00F66093"/>
    <w:rsid w:val="00F81F41"/>
    <w:rsid w:val="00F8247A"/>
    <w:rsid w:val="00F9629A"/>
    <w:rsid w:val="00FA5883"/>
    <w:rsid w:val="00FA6055"/>
    <w:rsid w:val="00FA6DAE"/>
    <w:rsid w:val="00FB322F"/>
    <w:rsid w:val="00FB3411"/>
    <w:rsid w:val="00FB442F"/>
    <w:rsid w:val="00FC1929"/>
    <w:rsid w:val="00FC35D2"/>
    <w:rsid w:val="00FC5B46"/>
    <w:rsid w:val="00FC5C1F"/>
    <w:rsid w:val="00FC7863"/>
    <w:rsid w:val="00FF00BD"/>
    <w:rsid w:val="00FF0E01"/>
    <w:rsid w:val="00FF1ED4"/>
    <w:rsid w:val="00FF2801"/>
    <w:rsid w:val="00FF43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AC01DF"/>
    <w:pPr>
      <w:ind w:left="709" w:hanging="709"/>
      <w:outlineLvl w:val="0"/>
    </w:pPr>
    <w:rPr>
      <w:rFonts w:ascii="Arial" w:hAnsi="Arial"/>
      <w:b/>
      <w:sz w:val="28"/>
      <w:szCs w:val="28"/>
    </w:rPr>
  </w:style>
  <w:style w:type="paragraph" w:styleId="Heading2">
    <w:name w:val="heading 2"/>
    <w:basedOn w:val="Heading1"/>
    <w:next w:val="Normal"/>
    <w:qFormat/>
    <w:rsid w:val="00AC01DF"/>
    <w:pPr>
      <w:numPr>
        <w:numId w:val="1"/>
      </w:numPr>
      <w:outlineLvl w:val="1"/>
    </w:pPr>
    <w:rPr>
      <w:sz w:val="22"/>
    </w:rPr>
  </w:style>
  <w:style w:type="paragraph" w:styleId="Heading3">
    <w:name w:val="heading 3"/>
    <w:basedOn w:val="Normal"/>
    <w:next w:val="Normal"/>
    <w:link w:val="Heading3Char"/>
    <w:unhideWhenUsed/>
    <w:qFormat/>
    <w:rsid w:val="00300506"/>
    <w:pPr>
      <w:keepNext/>
      <w:keepLines/>
      <w:spacing w:before="200"/>
      <w:outlineLvl w:val="2"/>
    </w:pPr>
    <w:rPr>
      <w:rFonts w:ascii="Arial" w:eastAsiaTheme="majorEastAsia" w:hAnsi="Arial" w:cs="Arial"/>
      <w:b/>
      <w:bCs/>
      <w:i/>
      <w:sz w:val="22"/>
    </w:rPr>
  </w:style>
  <w:style w:type="paragraph" w:styleId="Heading4">
    <w:name w:val="heading 4"/>
    <w:basedOn w:val="Normal"/>
    <w:next w:val="Normal"/>
    <w:link w:val="Heading4Char"/>
    <w:unhideWhenUsed/>
    <w:qFormat/>
    <w:rsid w:val="003005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qFormat/>
    <w:rsid w:val="00300506"/>
    <w:pPr>
      <w:ind w:hanging="720"/>
      <w:jc w:val="both"/>
      <w:outlineLvl w:val="4"/>
    </w:pPr>
    <w:rPr>
      <w:rFonts w:ascii="Arial" w:hAnsi="Arial"/>
      <w:b/>
      <w:i/>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300506"/>
    <w:rPr>
      <w:rFonts w:ascii="Arial" w:eastAsiaTheme="majorEastAsia" w:hAnsi="Arial" w:cs="Arial"/>
      <w:b/>
      <w:bCs/>
      <w:i/>
      <w:sz w:val="22"/>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customStyle="1" w:styleId="form-strength">
    <w:name w:val="form-strength"/>
    <w:basedOn w:val="DefaultParagraphFont"/>
    <w:rsid w:val="00B312F6"/>
  </w:style>
  <w:style w:type="character" w:styleId="IntenseReference">
    <w:name w:val="Intense Reference"/>
    <w:basedOn w:val="DefaultParagraphFont"/>
    <w:uiPriority w:val="32"/>
    <w:qFormat/>
    <w:rsid w:val="00017B7E"/>
    <w:rPr>
      <w:b/>
      <w:bCs/>
      <w:i/>
      <w:smallCaps/>
      <w:color w:val="C0504D" w:themeColor="accent2"/>
      <w:spacing w:val="5"/>
      <w:u w:val="none"/>
    </w:rPr>
  </w:style>
  <w:style w:type="character" w:styleId="FollowedHyperlink">
    <w:name w:val="FollowedHyperlink"/>
    <w:basedOn w:val="DefaultParagraphFont"/>
    <w:rsid w:val="00087901"/>
    <w:rPr>
      <w:color w:val="800080" w:themeColor="followedHyperlink"/>
      <w:u w:val="single"/>
    </w:rPr>
  </w:style>
  <w:style w:type="character" w:customStyle="1" w:styleId="hps-normal1">
    <w:name w:val="hps-normal1"/>
    <w:rsid w:val="004A5E07"/>
  </w:style>
  <w:style w:type="paragraph" w:styleId="Revision">
    <w:name w:val="Revision"/>
    <w:hidden/>
    <w:uiPriority w:val="71"/>
    <w:rsid w:val="00924A21"/>
    <w:rPr>
      <w:sz w:val="24"/>
      <w:szCs w:val="24"/>
    </w:rPr>
  </w:style>
  <w:style w:type="character" w:customStyle="1" w:styleId="Heading4Char">
    <w:name w:val="Heading 4 Char"/>
    <w:basedOn w:val="DefaultParagraphFont"/>
    <w:link w:val="Heading4"/>
    <w:rsid w:val="00300506"/>
    <w:rPr>
      <w:rFonts w:asciiTheme="majorHAnsi" w:eastAsiaTheme="majorEastAsia" w:hAnsiTheme="majorHAnsi" w:cstheme="majorBidi"/>
      <w:b/>
      <w:bCs/>
      <w:i/>
      <w:iCs/>
      <w:color w:val="4F81BD" w:themeColor="accent1"/>
      <w:sz w:val="24"/>
      <w:szCs w:val="24"/>
    </w:rPr>
  </w:style>
  <w:style w:type="character" w:customStyle="1" w:styleId="ListParagraphChar">
    <w:name w:val="List Paragraph Char"/>
    <w:aliases w:val="BulletPoints Char"/>
    <w:link w:val="ListParagraph"/>
    <w:uiPriority w:val="72"/>
    <w:rsid w:val="00B31D10"/>
    <w:rPr>
      <w:sz w:val="24"/>
      <w:szCs w:val="24"/>
    </w:rPr>
  </w:style>
  <w:style w:type="paragraph" w:styleId="Title">
    <w:name w:val="Title"/>
    <w:basedOn w:val="Normal"/>
    <w:next w:val="Normal"/>
    <w:link w:val="TitleChar"/>
    <w:qFormat/>
    <w:rsid w:val="002B5E74"/>
    <w:pPr>
      <w:jc w:val="both"/>
      <w:outlineLvl w:val="0"/>
    </w:pPr>
    <w:rPr>
      <w:rFonts w:ascii="Arial" w:hAnsi="Arial"/>
      <w:b/>
    </w:rPr>
  </w:style>
  <w:style w:type="character" w:customStyle="1" w:styleId="TitleChar">
    <w:name w:val="Title Char"/>
    <w:basedOn w:val="DefaultParagraphFont"/>
    <w:link w:val="Title"/>
    <w:rsid w:val="002B5E74"/>
    <w:rPr>
      <w:rFonts w:ascii="Arial" w:hAnsi="Arial"/>
      <w:b/>
      <w:sz w:val="24"/>
      <w:szCs w:val="24"/>
    </w:rPr>
  </w:style>
  <w:style w:type="paragraph" w:customStyle="1" w:styleId="Default">
    <w:name w:val="Default"/>
    <w:rsid w:val="009541A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AC01DF"/>
    <w:pPr>
      <w:ind w:left="709" w:hanging="709"/>
      <w:outlineLvl w:val="0"/>
    </w:pPr>
    <w:rPr>
      <w:rFonts w:ascii="Arial" w:hAnsi="Arial"/>
      <w:b/>
      <w:sz w:val="28"/>
      <w:szCs w:val="28"/>
    </w:rPr>
  </w:style>
  <w:style w:type="paragraph" w:styleId="Heading2">
    <w:name w:val="heading 2"/>
    <w:basedOn w:val="Heading1"/>
    <w:next w:val="Normal"/>
    <w:qFormat/>
    <w:rsid w:val="00AC01DF"/>
    <w:pPr>
      <w:numPr>
        <w:numId w:val="1"/>
      </w:numPr>
      <w:outlineLvl w:val="1"/>
    </w:pPr>
    <w:rPr>
      <w:sz w:val="22"/>
    </w:rPr>
  </w:style>
  <w:style w:type="paragraph" w:styleId="Heading3">
    <w:name w:val="heading 3"/>
    <w:basedOn w:val="Normal"/>
    <w:next w:val="Normal"/>
    <w:link w:val="Heading3Char"/>
    <w:unhideWhenUsed/>
    <w:qFormat/>
    <w:rsid w:val="00300506"/>
    <w:pPr>
      <w:keepNext/>
      <w:keepLines/>
      <w:spacing w:before="200"/>
      <w:outlineLvl w:val="2"/>
    </w:pPr>
    <w:rPr>
      <w:rFonts w:ascii="Arial" w:eastAsiaTheme="majorEastAsia" w:hAnsi="Arial" w:cs="Arial"/>
      <w:b/>
      <w:bCs/>
      <w:i/>
      <w:sz w:val="22"/>
    </w:rPr>
  </w:style>
  <w:style w:type="paragraph" w:styleId="Heading4">
    <w:name w:val="heading 4"/>
    <w:basedOn w:val="Normal"/>
    <w:next w:val="Normal"/>
    <w:link w:val="Heading4Char"/>
    <w:unhideWhenUsed/>
    <w:qFormat/>
    <w:rsid w:val="003005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qFormat/>
    <w:rsid w:val="00300506"/>
    <w:pPr>
      <w:ind w:hanging="720"/>
      <w:jc w:val="both"/>
      <w:outlineLvl w:val="4"/>
    </w:pPr>
    <w:rPr>
      <w:rFonts w:ascii="Arial" w:hAnsi="Arial"/>
      <w:b/>
      <w:i/>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300506"/>
    <w:rPr>
      <w:rFonts w:ascii="Arial" w:eastAsiaTheme="majorEastAsia" w:hAnsi="Arial" w:cs="Arial"/>
      <w:b/>
      <w:bCs/>
      <w:i/>
      <w:sz w:val="22"/>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customStyle="1" w:styleId="form-strength">
    <w:name w:val="form-strength"/>
    <w:basedOn w:val="DefaultParagraphFont"/>
    <w:rsid w:val="00B312F6"/>
  </w:style>
  <w:style w:type="character" w:styleId="IntenseReference">
    <w:name w:val="Intense Reference"/>
    <w:basedOn w:val="DefaultParagraphFont"/>
    <w:uiPriority w:val="32"/>
    <w:qFormat/>
    <w:rsid w:val="00017B7E"/>
    <w:rPr>
      <w:b/>
      <w:bCs/>
      <w:i/>
      <w:smallCaps/>
      <w:color w:val="C0504D" w:themeColor="accent2"/>
      <w:spacing w:val="5"/>
      <w:u w:val="none"/>
    </w:rPr>
  </w:style>
  <w:style w:type="character" w:styleId="FollowedHyperlink">
    <w:name w:val="FollowedHyperlink"/>
    <w:basedOn w:val="DefaultParagraphFont"/>
    <w:rsid w:val="00087901"/>
    <w:rPr>
      <w:color w:val="800080" w:themeColor="followedHyperlink"/>
      <w:u w:val="single"/>
    </w:rPr>
  </w:style>
  <w:style w:type="character" w:customStyle="1" w:styleId="hps-normal1">
    <w:name w:val="hps-normal1"/>
    <w:rsid w:val="004A5E07"/>
  </w:style>
  <w:style w:type="paragraph" w:styleId="Revision">
    <w:name w:val="Revision"/>
    <w:hidden/>
    <w:uiPriority w:val="71"/>
    <w:rsid w:val="00924A21"/>
    <w:rPr>
      <w:sz w:val="24"/>
      <w:szCs w:val="24"/>
    </w:rPr>
  </w:style>
  <w:style w:type="character" w:customStyle="1" w:styleId="Heading4Char">
    <w:name w:val="Heading 4 Char"/>
    <w:basedOn w:val="DefaultParagraphFont"/>
    <w:link w:val="Heading4"/>
    <w:rsid w:val="00300506"/>
    <w:rPr>
      <w:rFonts w:asciiTheme="majorHAnsi" w:eastAsiaTheme="majorEastAsia" w:hAnsiTheme="majorHAnsi" w:cstheme="majorBidi"/>
      <w:b/>
      <w:bCs/>
      <w:i/>
      <w:iCs/>
      <w:color w:val="4F81BD" w:themeColor="accent1"/>
      <w:sz w:val="24"/>
      <w:szCs w:val="24"/>
    </w:rPr>
  </w:style>
  <w:style w:type="character" w:customStyle="1" w:styleId="ListParagraphChar">
    <w:name w:val="List Paragraph Char"/>
    <w:aliases w:val="BulletPoints Char"/>
    <w:link w:val="ListParagraph"/>
    <w:uiPriority w:val="72"/>
    <w:rsid w:val="00B31D10"/>
    <w:rPr>
      <w:sz w:val="24"/>
      <w:szCs w:val="24"/>
    </w:rPr>
  </w:style>
  <w:style w:type="paragraph" w:styleId="Title">
    <w:name w:val="Title"/>
    <w:basedOn w:val="Normal"/>
    <w:next w:val="Normal"/>
    <w:link w:val="TitleChar"/>
    <w:qFormat/>
    <w:rsid w:val="002B5E74"/>
    <w:pPr>
      <w:jc w:val="both"/>
      <w:outlineLvl w:val="0"/>
    </w:pPr>
    <w:rPr>
      <w:rFonts w:ascii="Arial" w:hAnsi="Arial"/>
      <w:b/>
    </w:rPr>
  </w:style>
  <w:style w:type="character" w:customStyle="1" w:styleId="TitleChar">
    <w:name w:val="Title Char"/>
    <w:basedOn w:val="DefaultParagraphFont"/>
    <w:link w:val="Title"/>
    <w:rsid w:val="002B5E74"/>
    <w:rPr>
      <w:rFonts w:ascii="Arial" w:hAnsi="Arial"/>
      <w:b/>
      <w:sz w:val="24"/>
      <w:szCs w:val="24"/>
    </w:rPr>
  </w:style>
  <w:style w:type="paragraph" w:customStyle="1" w:styleId="Default">
    <w:name w:val="Default"/>
    <w:rsid w:val="009541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2708241">
      <w:bodyDiv w:val="1"/>
      <w:marLeft w:val="0"/>
      <w:marRight w:val="0"/>
      <w:marTop w:val="0"/>
      <w:marBottom w:val="0"/>
      <w:divBdr>
        <w:top w:val="none" w:sz="0" w:space="0" w:color="auto"/>
        <w:left w:val="none" w:sz="0" w:space="0" w:color="auto"/>
        <w:bottom w:val="none" w:sz="0" w:space="0" w:color="auto"/>
        <w:right w:val="none" w:sz="0" w:space="0" w:color="auto"/>
      </w:divBdr>
    </w:div>
    <w:div w:id="769618809">
      <w:bodyDiv w:val="1"/>
      <w:marLeft w:val="0"/>
      <w:marRight w:val="0"/>
      <w:marTop w:val="0"/>
      <w:marBottom w:val="0"/>
      <w:divBdr>
        <w:top w:val="none" w:sz="0" w:space="0" w:color="auto"/>
        <w:left w:val="none" w:sz="0" w:space="0" w:color="auto"/>
        <w:bottom w:val="none" w:sz="0" w:space="0" w:color="auto"/>
        <w:right w:val="none" w:sz="0" w:space="0" w:color="auto"/>
      </w:divBdr>
      <w:divsChild>
        <w:div w:id="1405758942">
          <w:marLeft w:val="547"/>
          <w:marRight w:val="0"/>
          <w:marTop w:val="144"/>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1966623">
      <w:bodyDiv w:val="1"/>
      <w:marLeft w:val="0"/>
      <w:marRight w:val="0"/>
      <w:marTop w:val="0"/>
      <w:marBottom w:val="0"/>
      <w:divBdr>
        <w:top w:val="none" w:sz="0" w:space="0" w:color="auto"/>
        <w:left w:val="none" w:sz="0" w:space="0" w:color="auto"/>
        <w:bottom w:val="none" w:sz="0" w:space="0" w:color="auto"/>
        <w:right w:val="none" w:sz="0" w:space="0" w:color="auto"/>
      </w:divBdr>
      <w:divsChild>
        <w:div w:id="1089619349">
          <w:marLeft w:val="0"/>
          <w:marRight w:val="0"/>
          <w:marTop w:val="0"/>
          <w:marBottom w:val="0"/>
          <w:divBdr>
            <w:top w:val="none" w:sz="0" w:space="0" w:color="auto"/>
            <w:left w:val="none" w:sz="0" w:space="0" w:color="auto"/>
            <w:bottom w:val="none" w:sz="0" w:space="0" w:color="auto"/>
            <w:right w:val="none" w:sz="0" w:space="0" w:color="auto"/>
          </w:divBdr>
        </w:div>
      </w:divsChild>
    </w:div>
    <w:div w:id="875697607">
      <w:bodyDiv w:val="1"/>
      <w:marLeft w:val="0"/>
      <w:marRight w:val="0"/>
      <w:marTop w:val="0"/>
      <w:marBottom w:val="0"/>
      <w:divBdr>
        <w:top w:val="none" w:sz="0" w:space="0" w:color="auto"/>
        <w:left w:val="none" w:sz="0" w:space="0" w:color="auto"/>
        <w:bottom w:val="none" w:sz="0" w:space="0" w:color="auto"/>
        <w:right w:val="none" w:sz="0" w:space="0" w:color="auto"/>
      </w:divBdr>
    </w:div>
    <w:div w:id="1482889524">
      <w:bodyDiv w:val="1"/>
      <w:marLeft w:val="0"/>
      <w:marRight w:val="0"/>
      <w:marTop w:val="0"/>
      <w:marBottom w:val="0"/>
      <w:divBdr>
        <w:top w:val="none" w:sz="0" w:space="0" w:color="auto"/>
        <w:left w:val="none" w:sz="0" w:space="0" w:color="auto"/>
        <w:bottom w:val="none" w:sz="0" w:space="0" w:color="auto"/>
        <w:right w:val="none" w:sz="0" w:space="0" w:color="auto"/>
      </w:divBdr>
      <w:divsChild>
        <w:div w:id="1854881949">
          <w:marLeft w:val="0"/>
          <w:marRight w:val="0"/>
          <w:marTop w:val="240"/>
          <w:marBottom w:val="480"/>
          <w:divBdr>
            <w:top w:val="none" w:sz="0" w:space="0" w:color="auto"/>
            <w:left w:val="none" w:sz="0" w:space="0" w:color="auto"/>
            <w:bottom w:val="none" w:sz="0" w:space="0" w:color="auto"/>
            <w:right w:val="none" w:sz="0" w:space="0" w:color="auto"/>
          </w:divBdr>
          <w:divsChild>
            <w:div w:id="1534883554">
              <w:marLeft w:val="0"/>
              <w:marRight w:val="0"/>
              <w:marTop w:val="0"/>
              <w:marBottom w:val="0"/>
              <w:divBdr>
                <w:top w:val="none" w:sz="0" w:space="0" w:color="auto"/>
                <w:left w:val="none" w:sz="0" w:space="0" w:color="auto"/>
                <w:bottom w:val="none" w:sz="0" w:space="0" w:color="auto"/>
                <w:right w:val="none" w:sz="0" w:space="0" w:color="auto"/>
              </w:divBdr>
              <w:divsChild>
                <w:div w:id="1541669527">
                  <w:marLeft w:val="0"/>
                  <w:marRight w:val="0"/>
                  <w:marTop w:val="0"/>
                  <w:marBottom w:val="0"/>
                  <w:divBdr>
                    <w:top w:val="none" w:sz="0" w:space="0" w:color="auto"/>
                    <w:left w:val="none" w:sz="0" w:space="0" w:color="auto"/>
                    <w:bottom w:val="none" w:sz="0" w:space="0" w:color="auto"/>
                    <w:right w:val="none" w:sz="0" w:space="0" w:color="auto"/>
                  </w:divBdr>
                  <w:divsChild>
                    <w:div w:id="308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54242">
      <w:bodyDiv w:val="1"/>
      <w:marLeft w:val="0"/>
      <w:marRight w:val="0"/>
      <w:marTop w:val="0"/>
      <w:marBottom w:val="0"/>
      <w:divBdr>
        <w:top w:val="none" w:sz="0" w:space="0" w:color="auto"/>
        <w:left w:val="none" w:sz="0" w:space="0" w:color="auto"/>
        <w:bottom w:val="none" w:sz="0" w:space="0" w:color="auto"/>
        <w:right w:val="none" w:sz="0" w:space="0" w:color="auto"/>
      </w:divBdr>
      <w:divsChild>
        <w:div w:id="2005737025">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92894921">
      <w:bodyDiv w:val="1"/>
      <w:marLeft w:val="0"/>
      <w:marRight w:val="0"/>
      <w:marTop w:val="0"/>
      <w:marBottom w:val="0"/>
      <w:divBdr>
        <w:top w:val="none" w:sz="0" w:space="0" w:color="auto"/>
        <w:left w:val="none" w:sz="0" w:space="0" w:color="auto"/>
        <w:bottom w:val="none" w:sz="0" w:space="0" w:color="auto"/>
        <w:right w:val="none" w:sz="0" w:space="0" w:color="auto"/>
      </w:divBdr>
      <w:divsChild>
        <w:div w:id="1227449143">
          <w:marLeft w:val="547"/>
          <w:marRight w:val="0"/>
          <w:marTop w:val="144"/>
          <w:marBottom w:val="0"/>
          <w:divBdr>
            <w:top w:val="none" w:sz="0" w:space="0" w:color="auto"/>
            <w:left w:val="none" w:sz="0" w:space="0" w:color="auto"/>
            <w:bottom w:val="none" w:sz="0" w:space="0" w:color="auto"/>
            <w:right w:val="none" w:sz="0" w:space="0" w:color="auto"/>
          </w:divBdr>
        </w:div>
        <w:div w:id="42340250">
          <w:marLeft w:val="547"/>
          <w:marRight w:val="0"/>
          <w:marTop w:val="144"/>
          <w:marBottom w:val="0"/>
          <w:divBdr>
            <w:top w:val="none" w:sz="0" w:space="0" w:color="auto"/>
            <w:left w:val="none" w:sz="0" w:space="0" w:color="auto"/>
            <w:bottom w:val="none" w:sz="0" w:space="0" w:color="auto"/>
            <w:right w:val="none" w:sz="0" w:space="0" w:color="auto"/>
          </w:divBdr>
        </w:div>
        <w:div w:id="1414010636">
          <w:marLeft w:val="547"/>
          <w:marRight w:val="0"/>
          <w:marTop w:val="144"/>
          <w:marBottom w:val="0"/>
          <w:divBdr>
            <w:top w:val="none" w:sz="0" w:space="0" w:color="auto"/>
            <w:left w:val="none" w:sz="0" w:space="0" w:color="auto"/>
            <w:bottom w:val="none" w:sz="0" w:space="0" w:color="auto"/>
            <w:right w:val="none" w:sz="0" w:space="0" w:color="auto"/>
          </w:divBdr>
        </w:div>
        <w:div w:id="1872718825">
          <w:marLeft w:val="547"/>
          <w:marRight w:val="0"/>
          <w:marTop w:val="144"/>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3916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F0C4-26E2-4C44-BD88-60B170B0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2475</Words>
  <Characters>13195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2016-04-15T03:05:00Z</dcterms:created>
  <dcterms:modified xsi:type="dcterms:W3CDTF">2016-04-18T07:08:00Z</dcterms:modified>
</cp:coreProperties>
</file>