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he table describes the PBAC's subsequent decision not to recommend medicines for the PBS"/>
        <w:tblDescription w:val="The table describes the PBAC's subsequent decision not to recommend medicines for the PBS"/>
      </w:tblPr>
      <w:tblGrid>
        <w:gridCol w:w="2127"/>
        <w:gridCol w:w="2126"/>
        <w:gridCol w:w="1843"/>
        <w:gridCol w:w="4110"/>
        <w:gridCol w:w="5245"/>
      </w:tblGrid>
      <w:tr w:rsidR="0010394D" w:rsidRPr="00CA293C" w:rsidTr="0037709E">
        <w:trPr>
          <w:trHeight w:val="1237"/>
          <w:tblHeader/>
        </w:trPr>
        <w:tc>
          <w:tcPr>
            <w:tcW w:w="2127" w:type="dxa"/>
          </w:tcPr>
          <w:p w:rsidR="0010394D" w:rsidRPr="001047FA" w:rsidRDefault="001047FA" w:rsidP="001047FA">
            <w:pPr>
              <w:pStyle w:val="Header"/>
              <w:spacing w:after="240"/>
              <w:contextualSpacing/>
              <w:jc w:val="center"/>
              <w:rPr>
                <w:rFonts w:ascii="Arial" w:hAnsi="Arial" w:cs="Arial"/>
                <w:b/>
                <w:snapToGrid w:val="0"/>
                <w:sz w:val="20"/>
                <w:lang w:eastAsia="en-US"/>
              </w:rPr>
            </w:pPr>
            <w:r w:rsidRPr="001047FA">
              <w:rPr>
                <w:rFonts w:ascii="Arial" w:hAnsi="Arial" w:cs="Arial"/>
                <w:b/>
                <w:snapToGrid w:val="0"/>
                <w:sz w:val="20"/>
                <w:lang w:eastAsia="en-US"/>
              </w:rPr>
              <w:t>DRUG NAME, FORM(S), STRENGTH(S), SPONSOR, TYPE OF SUBMISSION</w:t>
            </w:r>
          </w:p>
        </w:tc>
        <w:tc>
          <w:tcPr>
            <w:tcW w:w="2126" w:type="dxa"/>
          </w:tcPr>
          <w:p w:rsidR="001047FA" w:rsidRPr="001047FA" w:rsidRDefault="001047FA" w:rsidP="001047FA">
            <w:pPr>
              <w:pStyle w:val="Header"/>
              <w:spacing w:after="240"/>
              <w:contextualSpacing/>
              <w:jc w:val="center"/>
              <w:rPr>
                <w:rFonts w:ascii="Arial" w:hAnsi="Arial" w:cs="Arial"/>
                <w:b/>
                <w:snapToGrid w:val="0"/>
                <w:sz w:val="20"/>
                <w:lang w:eastAsia="en-US"/>
              </w:rPr>
            </w:pPr>
            <w:r w:rsidRPr="001047FA">
              <w:rPr>
                <w:rFonts w:ascii="Arial" w:hAnsi="Arial" w:cs="Arial"/>
                <w:b/>
                <w:snapToGrid w:val="0"/>
                <w:sz w:val="20"/>
                <w:lang w:eastAsia="en-US"/>
              </w:rPr>
              <w:t>TGA INDICATION</w:t>
            </w:r>
          </w:p>
          <w:p w:rsidR="0010394D" w:rsidRPr="0010394D" w:rsidRDefault="0010394D" w:rsidP="001047FA">
            <w:pPr>
              <w:pStyle w:val="Header"/>
              <w:spacing w:after="240"/>
              <w:contextualSpacing/>
              <w:jc w:val="center"/>
              <w:rPr>
                <w:rFonts w:ascii="Arial" w:hAnsi="Arial" w:cs="Arial"/>
                <w:b/>
                <w:snapToGrid w:val="0"/>
                <w:sz w:val="20"/>
                <w:lang w:eastAsia="en-US"/>
              </w:rPr>
            </w:pPr>
          </w:p>
        </w:tc>
        <w:tc>
          <w:tcPr>
            <w:tcW w:w="1843" w:type="dxa"/>
          </w:tcPr>
          <w:p w:rsidR="0010394D" w:rsidRPr="0010394D" w:rsidRDefault="001047FA" w:rsidP="001047FA">
            <w:pPr>
              <w:pStyle w:val="Header"/>
              <w:spacing w:after="240"/>
              <w:contextualSpacing/>
              <w:jc w:val="center"/>
              <w:rPr>
                <w:rFonts w:ascii="Arial" w:hAnsi="Arial" w:cs="Arial"/>
                <w:b/>
                <w:snapToGrid w:val="0"/>
                <w:sz w:val="20"/>
                <w:lang w:eastAsia="en-US"/>
              </w:rPr>
            </w:pPr>
            <w:r w:rsidRPr="001047FA">
              <w:rPr>
                <w:rFonts w:ascii="Arial" w:hAnsi="Arial" w:cs="Arial"/>
                <w:b/>
                <w:snapToGrid w:val="0"/>
                <w:sz w:val="20"/>
                <w:lang w:eastAsia="en-US"/>
              </w:rPr>
              <w:t>CURRENT PBS LISTING</w:t>
            </w:r>
          </w:p>
        </w:tc>
        <w:tc>
          <w:tcPr>
            <w:tcW w:w="4110" w:type="dxa"/>
            <w:shd w:val="clear" w:color="auto" w:fill="auto"/>
          </w:tcPr>
          <w:p w:rsidR="0010394D" w:rsidRPr="0010394D" w:rsidRDefault="001047FA" w:rsidP="001047FA">
            <w:pPr>
              <w:pStyle w:val="Header"/>
              <w:spacing w:after="240"/>
              <w:contextualSpacing/>
              <w:jc w:val="center"/>
              <w:rPr>
                <w:rFonts w:ascii="Arial" w:hAnsi="Arial" w:cs="Arial"/>
                <w:b/>
                <w:snapToGrid w:val="0"/>
                <w:sz w:val="20"/>
                <w:lang w:eastAsia="en-US"/>
              </w:rPr>
            </w:pPr>
            <w:r w:rsidRPr="001047FA">
              <w:rPr>
                <w:rFonts w:ascii="Arial" w:hAnsi="Arial" w:cs="Arial"/>
                <w:b/>
                <w:snapToGrid w:val="0"/>
                <w:sz w:val="20"/>
                <w:lang w:eastAsia="en-US"/>
              </w:rPr>
              <w:t>LISTING REQUESTED BY SPONSOR / PURPOSE OF SUBMISSION</w:t>
            </w:r>
          </w:p>
        </w:tc>
        <w:tc>
          <w:tcPr>
            <w:tcW w:w="5245" w:type="dxa"/>
          </w:tcPr>
          <w:p w:rsidR="0010394D" w:rsidRPr="001047FA" w:rsidRDefault="0010394D" w:rsidP="001047FA">
            <w:pPr>
              <w:pStyle w:val="Header"/>
              <w:spacing w:after="240"/>
              <w:contextualSpacing/>
              <w:jc w:val="center"/>
              <w:rPr>
                <w:rFonts w:ascii="Arial" w:hAnsi="Arial" w:cs="Arial"/>
                <w:b/>
                <w:snapToGrid w:val="0"/>
                <w:sz w:val="20"/>
                <w:lang w:eastAsia="en-US"/>
              </w:rPr>
            </w:pPr>
            <w:r w:rsidRPr="0010394D">
              <w:rPr>
                <w:rFonts w:ascii="Arial" w:hAnsi="Arial" w:cs="Arial"/>
                <w:b/>
                <w:snapToGrid w:val="0"/>
                <w:sz w:val="20"/>
                <w:lang w:eastAsia="en-US"/>
              </w:rPr>
              <w:t xml:space="preserve">PBAC </w:t>
            </w:r>
            <w:r w:rsidR="001047FA">
              <w:rPr>
                <w:rFonts w:ascii="Arial" w:hAnsi="Arial" w:cs="Arial"/>
                <w:b/>
                <w:snapToGrid w:val="0"/>
                <w:sz w:val="20"/>
                <w:lang w:eastAsia="en-US"/>
              </w:rPr>
              <w:t>OUTCOME</w:t>
            </w:r>
          </w:p>
        </w:tc>
      </w:tr>
      <w:tr w:rsidR="00E225FB" w:rsidRPr="009B735A" w:rsidTr="00404C57">
        <w:trPr>
          <w:trHeight w:val="1396"/>
        </w:trPr>
        <w:tc>
          <w:tcPr>
            <w:tcW w:w="2127" w:type="dxa"/>
            <w:vMerge w:val="restart"/>
          </w:tcPr>
          <w:p w:rsidR="00357071" w:rsidRDefault="00357071" w:rsidP="00357071">
            <w:pPr>
              <w:rPr>
                <w:rFonts w:ascii="Arial" w:hAnsi="Arial" w:cs="Arial"/>
                <w:color w:val="000000"/>
                <w:sz w:val="20"/>
              </w:rPr>
            </w:pPr>
            <w:r>
              <w:rPr>
                <w:rFonts w:ascii="Arial" w:hAnsi="Arial" w:cs="Arial"/>
                <w:color w:val="000000"/>
                <w:sz w:val="20"/>
              </w:rPr>
              <w:t>ADALIMUMAB</w:t>
            </w:r>
            <w:r>
              <w:rPr>
                <w:rFonts w:ascii="Arial" w:hAnsi="Arial" w:cs="Arial"/>
                <w:color w:val="000000"/>
                <w:sz w:val="20"/>
              </w:rPr>
              <w:br/>
              <w:t xml:space="preserve">40 mg/0.8 mL injection, 2 x 0.8 mL cartridges </w:t>
            </w:r>
            <w:r>
              <w:rPr>
                <w:rFonts w:ascii="Arial" w:hAnsi="Arial" w:cs="Arial"/>
                <w:color w:val="000000"/>
                <w:sz w:val="20"/>
              </w:rPr>
              <w:br/>
              <w:t xml:space="preserve">40 mg/0.8 mL injection, 2 x 0.8 mL syringes </w:t>
            </w:r>
            <w:r>
              <w:rPr>
                <w:rFonts w:ascii="Arial" w:hAnsi="Arial" w:cs="Arial"/>
                <w:color w:val="000000"/>
                <w:sz w:val="20"/>
              </w:rPr>
              <w:br/>
              <w:t xml:space="preserve">40 mg/0.8 mL injection, 6 x 0.8 mL cartridges </w:t>
            </w:r>
            <w:r>
              <w:rPr>
                <w:rFonts w:ascii="Arial" w:hAnsi="Arial" w:cs="Arial"/>
                <w:color w:val="000000"/>
                <w:sz w:val="20"/>
              </w:rPr>
              <w:br/>
              <w:t xml:space="preserve">40 mg/0.8 mL injection, 6 x 0.8 mL syringes </w:t>
            </w:r>
            <w:r>
              <w:rPr>
                <w:rFonts w:ascii="Arial" w:hAnsi="Arial" w:cs="Arial"/>
                <w:color w:val="000000"/>
                <w:sz w:val="20"/>
              </w:rPr>
              <w:br/>
            </w:r>
            <w:r>
              <w:rPr>
                <w:rFonts w:ascii="Arial" w:hAnsi="Arial" w:cs="Arial"/>
                <w:color w:val="000000"/>
                <w:sz w:val="20"/>
              </w:rPr>
              <w:br/>
            </w:r>
            <w:proofErr w:type="spellStart"/>
            <w:r>
              <w:rPr>
                <w:rFonts w:ascii="Arial" w:hAnsi="Arial" w:cs="Arial"/>
                <w:color w:val="000000"/>
                <w:sz w:val="20"/>
              </w:rPr>
              <w:t>Humira</w:t>
            </w:r>
            <w:proofErr w:type="spellEnd"/>
            <w:r>
              <w:rPr>
                <w:rFonts w:ascii="Arial" w:hAnsi="Arial" w:cs="Arial"/>
                <w:color w:val="000000"/>
                <w:sz w:val="20"/>
              </w:rPr>
              <w:t>®</w:t>
            </w:r>
            <w:r>
              <w:rPr>
                <w:rFonts w:ascii="Arial" w:hAnsi="Arial" w:cs="Arial"/>
                <w:color w:val="000000"/>
                <w:sz w:val="20"/>
              </w:rPr>
              <w:br/>
            </w:r>
            <w:r>
              <w:rPr>
                <w:rFonts w:ascii="Arial" w:hAnsi="Arial" w:cs="Arial"/>
                <w:color w:val="000000"/>
                <w:sz w:val="20"/>
              </w:rPr>
              <w:br/>
            </w:r>
            <w:proofErr w:type="spellStart"/>
            <w:r>
              <w:rPr>
                <w:rFonts w:ascii="Arial" w:hAnsi="Arial" w:cs="Arial"/>
                <w:color w:val="000000"/>
                <w:sz w:val="20"/>
              </w:rPr>
              <w:t>AbbVie</w:t>
            </w:r>
            <w:proofErr w:type="spellEnd"/>
            <w:r>
              <w:rPr>
                <w:rFonts w:ascii="Arial" w:hAnsi="Arial" w:cs="Arial"/>
                <w:color w:val="000000"/>
                <w:sz w:val="20"/>
              </w:rPr>
              <w:t xml:space="preserve"> Pty Ltd</w:t>
            </w:r>
            <w:r>
              <w:rPr>
                <w:rFonts w:ascii="Arial" w:hAnsi="Arial" w:cs="Arial"/>
                <w:color w:val="000000"/>
                <w:sz w:val="20"/>
              </w:rPr>
              <w:br/>
            </w:r>
            <w:r>
              <w:rPr>
                <w:rFonts w:ascii="Arial" w:hAnsi="Arial" w:cs="Arial"/>
                <w:color w:val="000000"/>
                <w:sz w:val="20"/>
              </w:rPr>
              <w:br/>
              <w:t>Change to listing</w:t>
            </w:r>
            <w:r>
              <w:rPr>
                <w:rFonts w:ascii="Arial" w:hAnsi="Arial" w:cs="Arial"/>
                <w:color w:val="000000"/>
                <w:sz w:val="20"/>
              </w:rPr>
              <w:br/>
            </w:r>
            <w:r>
              <w:rPr>
                <w:rFonts w:ascii="Arial" w:hAnsi="Arial" w:cs="Arial"/>
                <w:color w:val="000000"/>
                <w:sz w:val="20"/>
              </w:rPr>
              <w:br/>
              <w:t>(Minor Submission)</w:t>
            </w:r>
          </w:p>
          <w:p w:rsidR="00AE346F" w:rsidRPr="00E71BFE" w:rsidRDefault="00AE346F" w:rsidP="00E71BFE">
            <w:pPr>
              <w:rPr>
                <w:rFonts w:ascii="Arial" w:hAnsi="Arial" w:cs="Arial"/>
                <w:sz w:val="20"/>
              </w:rPr>
            </w:pPr>
          </w:p>
        </w:tc>
        <w:tc>
          <w:tcPr>
            <w:tcW w:w="2126" w:type="dxa"/>
            <w:vMerge w:val="restart"/>
          </w:tcPr>
          <w:p w:rsidR="00E225FB" w:rsidRPr="00CA0C65" w:rsidRDefault="00CA7716" w:rsidP="00A72460">
            <w:pPr>
              <w:rPr>
                <w:rFonts w:ascii="Arial" w:hAnsi="Arial" w:cs="Arial"/>
                <w:sz w:val="20"/>
              </w:rPr>
            </w:pPr>
            <w:r w:rsidRPr="00357071">
              <w:rPr>
                <w:rFonts w:ascii="Arial" w:hAnsi="Arial" w:cs="Arial"/>
                <w:sz w:val="20"/>
              </w:rPr>
              <w:t xml:space="preserve">Adalimumab is indicated for reducing signs and symptoms in moderate to severe </w:t>
            </w:r>
            <w:r w:rsidR="0091542D" w:rsidRPr="00357071">
              <w:rPr>
                <w:rFonts w:ascii="Arial" w:hAnsi="Arial" w:cs="Arial"/>
                <w:sz w:val="20"/>
              </w:rPr>
              <w:t>rheumatoid arthritis</w:t>
            </w:r>
            <w:r w:rsidRPr="00357071">
              <w:rPr>
                <w:rFonts w:ascii="Arial" w:hAnsi="Arial" w:cs="Arial"/>
                <w:sz w:val="20"/>
              </w:rPr>
              <w:t xml:space="preserve">, </w:t>
            </w:r>
            <w:proofErr w:type="spellStart"/>
            <w:r w:rsidRPr="00357071">
              <w:rPr>
                <w:rFonts w:ascii="Arial" w:hAnsi="Arial" w:cs="Arial"/>
                <w:sz w:val="20"/>
              </w:rPr>
              <w:t>polyarticular</w:t>
            </w:r>
            <w:proofErr w:type="spellEnd"/>
            <w:r w:rsidRPr="00357071">
              <w:rPr>
                <w:rFonts w:ascii="Arial" w:hAnsi="Arial" w:cs="Arial"/>
                <w:sz w:val="20"/>
              </w:rPr>
              <w:t xml:space="preserve"> juvenile idiopathic arthritis, psoriatic arthritis, Crohn’s Disease, </w:t>
            </w:r>
            <w:r w:rsidR="00E225FB" w:rsidRPr="00357071">
              <w:rPr>
                <w:rFonts w:ascii="Arial" w:hAnsi="Arial" w:cs="Arial"/>
                <w:sz w:val="20"/>
              </w:rPr>
              <w:t>ulcerative colitis</w:t>
            </w:r>
            <w:r w:rsidRPr="00357071">
              <w:rPr>
                <w:rFonts w:ascii="Arial" w:hAnsi="Arial" w:cs="Arial"/>
                <w:sz w:val="20"/>
              </w:rPr>
              <w:t>, chronic plaque psoriasis and active ankylosing spondylitis.</w:t>
            </w:r>
          </w:p>
        </w:tc>
        <w:tc>
          <w:tcPr>
            <w:tcW w:w="1843" w:type="dxa"/>
            <w:vMerge w:val="restart"/>
          </w:tcPr>
          <w:p w:rsidR="00F05E0B" w:rsidRDefault="00F05E0B" w:rsidP="00E71BFE">
            <w:pPr>
              <w:rPr>
                <w:rFonts w:ascii="Arial" w:hAnsi="Arial" w:cs="Arial"/>
                <w:sz w:val="20"/>
              </w:rPr>
            </w:pPr>
            <w:r>
              <w:rPr>
                <w:rFonts w:ascii="Arial" w:hAnsi="Arial" w:cs="Arial"/>
                <w:sz w:val="20"/>
              </w:rPr>
              <w:t xml:space="preserve">Adalimumab is currently listed for severe Crohn disease, severe active juvenile idiopathic arthritis, complex refractory fistulising Crohn disease, ankylosing spondylitis, severe chronic plaque psoriasis, severe active rheumatoid arthritis and severe psoriatic arthritis. </w:t>
            </w:r>
          </w:p>
          <w:p w:rsidR="00F05E0B" w:rsidRDefault="00F05E0B" w:rsidP="00E71BFE">
            <w:pPr>
              <w:rPr>
                <w:rFonts w:ascii="Arial" w:hAnsi="Arial" w:cs="Arial"/>
                <w:sz w:val="20"/>
              </w:rPr>
            </w:pPr>
          </w:p>
          <w:p w:rsidR="00950F1F" w:rsidRPr="004571A9" w:rsidRDefault="00950F1F" w:rsidP="00E71BFE">
            <w:pPr>
              <w:rPr>
                <w:rFonts w:ascii="Arial" w:hAnsi="Arial" w:cs="Arial"/>
                <w:color w:val="000000"/>
                <w:sz w:val="20"/>
              </w:rPr>
            </w:pPr>
            <w:r w:rsidRPr="00E71BFE">
              <w:rPr>
                <w:rFonts w:ascii="Arial" w:hAnsi="Arial" w:cs="Arial"/>
                <w:sz w:val="20"/>
              </w:rPr>
              <w:t xml:space="preserve">For more details see the </w:t>
            </w:r>
            <w:hyperlink r:id="rId8" w:history="1">
              <w:r w:rsidRPr="00E71BFE">
                <w:rPr>
                  <w:rStyle w:val="Hyperlink"/>
                  <w:rFonts w:ascii="Arial" w:hAnsi="Arial" w:cs="Arial"/>
                  <w:sz w:val="20"/>
                </w:rPr>
                <w:t>PBS Schedule</w:t>
              </w:r>
            </w:hyperlink>
            <w:r w:rsidRPr="00E71BFE">
              <w:rPr>
                <w:rFonts w:ascii="Arial" w:hAnsi="Arial" w:cs="Arial"/>
                <w:sz w:val="20"/>
              </w:rPr>
              <w:t xml:space="preserve">. </w:t>
            </w:r>
          </w:p>
        </w:tc>
        <w:tc>
          <w:tcPr>
            <w:tcW w:w="4110" w:type="dxa"/>
          </w:tcPr>
          <w:p w:rsidR="00E225FB" w:rsidRPr="004571A9" w:rsidRDefault="0088182F" w:rsidP="00EE124B">
            <w:pPr>
              <w:rPr>
                <w:rFonts w:ascii="Arial" w:hAnsi="Arial" w:cs="Arial"/>
                <w:color w:val="000000"/>
                <w:sz w:val="20"/>
              </w:rPr>
            </w:pPr>
            <w:r w:rsidRPr="0088182F">
              <w:rPr>
                <w:rFonts w:ascii="Arial" w:hAnsi="Arial" w:cs="Arial"/>
                <w:sz w:val="20"/>
              </w:rPr>
              <w:t>Re-submission for Authority Required listing for the treatment of patients with moderate to severe ulcerative colitis.</w:t>
            </w:r>
          </w:p>
        </w:tc>
        <w:tc>
          <w:tcPr>
            <w:tcW w:w="5245" w:type="dxa"/>
          </w:tcPr>
          <w:p w:rsidR="00C710B2" w:rsidRPr="00C710B2" w:rsidRDefault="00C710B2" w:rsidP="00C710B2">
            <w:pPr>
              <w:ind w:left="34"/>
              <w:rPr>
                <w:rFonts w:ascii="Arial" w:hAnsi="Arial" w:cs="Arial"/>
                <w:bCs/>
                <w:sz w:val="20"/>
                <w:lang w:val="en-GB"/>
              </w:rPr>
            </w:pPr>
            <w:r w:rsidRPr="00C710B2">
              <w:rPr>
                <w:rFonts w:ascii="Arial" w:hAnsi="Arial" w:cs="Arial"/>
                <w:bCs/>
                <w:sz w:val="20"/>
                <w:lang w:val="en-GB"/>
              </w:rPr>
              <w:t>The PBAC rejected the request to extend the PBS listing of adalimumab for the treatment of patients with moderate to severe ulcerative colitis on the basis that the evidence presented in the July 2015 PBAC meeting did not support the non-inferiority claim in the maintenance phase against infliximab.</w:t>
            </w:r>
          </w:p>
          <w:p w:rsidR="00E225FB" w:rsidRPr="00CA0C65" w:rsidRDefault="00E225FB" w:rsidP="00CA71F0">
            <w:pPr>
              <w:rPr>
                <w:rFonts w:ascii="Arial" w:hAnsi="Arial" w:cs="Arial"/>
                <w:sz w:val="20"/>
                <w:highlight w:val="yellow"/>
              </w:rPr>
            </w:pPr>
          </w:p>
        </w:tc>
      </w:tr>
      <w:tr w:rsidR="00E225FB" w:rsidRPr="009B735A" w:rsidTr="00404C57">
        <w:trPr>
          <w:trHeight w:val="484"/>
        </w:trPr>
        <w:tc>
          <w:tcPr>
            <w:tcW w:w="2127" w:type="dxa"/>
            <w:vMerge/>
          </w:tcPr>
          <w:p w:rsidR="00E225FB" w:rsidRPr="004571A9" w:rsidRDefault="00E225FB" w:rsidP="00CA0C65">
            <w:pPr>
              <w:rPr>
                <w:rFonts w:ascii="Arial" w:hAnsi="Arial" w:cs="Arial"/>
                <w:color w:val="000000"/>
                <w:sz w:val="20"/>
              </w:rPr>
            </w:pPr>
          </w:p>
        </w:tc>
        <w:tc>
          <w:tcPr>
            <w:tcW w:w="2126" w:type="dxa"/>
            <w:vMerge/>
          </w:tcPr>
          <w:p w:rsidR="00E225FB" w:rsidRDefault="00E225FB" w:rsidP="00CA0C65">
            <w:pPr>
              <w:rPr>
                <w:rFonts w:ascii="Arial" w:hAnsi="Arial" w:cs="Arial"/>
                <w:color w:val="000000"/>
                <w:sz w:val="20"/>
              </w:rPr>
            </w:pPr>
          </w:p>
        </w:tc>
        <w:tc>
          <w:tcPr>
            <w:tcW w:w="1843" w:type="dxa"/>
            <w:vMerge/>
          </w:tcPr>
          <w:p w:rsidR="00E225FB" w:rsidRDefault="00E225FB" w:rsidP="00092130">
            <w:pPr>
              <w:rPr>
                <w:rFonts w:ascii="Arial" w:hAnsi="Arial" w:cs="Arial"/>
                <w:color w:val="000000"/>
                <w:sz w:val="20"/>
              </w:rPr>
            </w:pPr>
          </w:p>
        </w:tc>
        <w:tc>
          <w:tcPr>
            <w:tcW w:w="4110" w:type="dxa"/>
          </w:tcPr>
          <w:p w:rsidR="00E225FB" w:rsidRPr="00E421E6" w:rsidRDefault="00E225FB" w:rsidP="00F05E0B">
            <w:pPr>
              <w:rPr>
                <w:rFonts w:ascii="Arial" w:hAnsi="Arial" w:cs="Arial"/>
                <w:sz w:val="20"/>
              </w:rPr>
            </w:pPr>
            <w:r w:rsidRPr="001353D2">
              <w:rPr>
                <w:rFonts w:ascii="Arial" w:hAnsi="Arial" w:cs="Arial"/>
                <w:sz w:val="20"/>
              </w:rPr>
              <w:t xml:space="preserve">Comparator: </w:t>
            </w:r>
            <w:r w:rsidR="00F05E0B" w:rsidRPr="00F05E0B">
              <w:rPr>
                <w:rFonts w:ascii="Arial" w:hAnsi="Arial" w:cs="Arial"/>
                <w:sz w:val="20"/>
              </w:rPr>
              <w:t>infliximab</w:t>
            </w:r>
          </w:p>
        </w:tc>
        <w:tc>
          <w:tcPr>
            <w:tcW w:w="5245" w:type="dxa"/>
          </w:tcPr>
          <w:p w:rsidR="00C17677" w:rsidRPr="00C17677" w:rsidRDefault="00C17677" w:rsidP="00C17677">
            <w:pPr>
              <w:ind w:left="34"/>
              <w:rPr>
                <w:rFonts w:ascii="Arial" w:hAnsi="Arial" w:cs="Arial"/>
                <w:bCs/>
                <w:sz w:val="20"/>
                <w:lang w:val="en-GB"/>
              </w:rPr>
            </w:pPr>
            <w:r w:rsidRPr="00C17677">
              <w:rPr>
                <w:rFonts w:ascii="Arial" w:hAnsi="Arial" w:cs="Arial"/>
                <w:bCs/>
                <w:sz w:val="20"/>
                <w:lang w:val="en-GB"/>
              </w:rPr>
              <w:t>The PBAC recalled that it had previously accepted infliximab as the appropriate comparator.</w:t>
            </w:r>
          </w:p>
          <w:p w:rsidR="00E225FB" w:rsidRPr="00E421E6" w:rsidRDefault="00E225FB" w:rsidP="00F05E0B">
            <w:pPr>
              <w:rPr>
                <w:rFonts w:ascii="Arial" w:hAnsi="Arial" w:cs="Arial"/>
                <w:sz w:val="20"/>
              </w:rPr>
            </w:pPr>
          </w:p>
        </w:tc>
      </w:tr>
      <w:tr w:rsidR="00E225FB" w:rsidRPr="009B735A" w:rsidTr="0037709E">
        <w:trPr>
          <w:trHeight w:val="1420"/>
        </w:trPr>
        <w:tc>
          <w:tcPr>
            <w:tcW w:w="2127" w:type="dxa"/>
            <w:vMerge/>
          </w:tcPr>
          <w:p w:rsidR="00E225FB" w:rsidRPr="004571A9" w:rsidRDefault="00E225FB" w:rsidP="00CA0C65">
            <w:pPr>
              <w:rPr>
                <w:rFonts w:ascii="Arial" w:hAnsi="Arial" w:cs="Arial"/>
                <w:color w:val="000000"/>
                <w:sz w:val="20"/>
              </w:rPr>
            </w:pPr>
          </w:p>
        </w:tc>
        <w:tc>
          <w:tcPr>
            <w:tcW w:w="2126" w:type="dxa"/>
            <w:vMerge/>
          </w:tcPr>
          <w:p w:rsidR="00E225FB" w:rsidRDefault="00E225FB" w:rsidP="00CA0C65">
            <w:pPr>
              <w:rPr>
                <w:rFonts w:ascii="Arial" w:hAnsi="Arial" w:cs="Arial"/>
                <w:color w:val="000000"/>
                <w:sz w:val="20"/>
              </w:rPr>
            </w:pPr>
          </w:p>
        </w:tc>
        <w:tc>
          <w:tcPr>
            <w:tcW w:w="1843" w:type="dxa"/>
            <w:vMerge/>
          </w:tcPr>
          <w:p w:rsidR="00E225FB" w:rsidRDefault="00E225FB" w:rsidP="00092130">
            <w:pPr>
              <w:rPr>
                <w:rFonts w:ascii="Arial" w:hAnsi="Arial" w:cs="Arial"/>
                <w:color w:val="000000"/>
                <w:sz w:val="20"/>
              </w:rPr>
            </w:pPr>
          </w:p>
        </w:tc>
        <w:tc>
          <w:tcPr>
            <w:tcW w:w="4110" w:type="dxa"/>
          </w:tcPr>
          <w:p w:rsidR="001353D2" w:rsidRDefault="00E225FB" w:rsidP="001353D2">
            <w:pPr>
              <w:rPr>
                <w:rFonts w:ascii="Arial" w:hAnsi="Arial" w:cs="Arial"/>
                <w:sz w:val="20"/>
              </w:rPr>
            </w:pPr>
            <w:r w:rsidRPr="001353D2">
              <w:rPr>
                <w:rFonts w:ascii="Arial" w:hAnsi="Arial" w:cs="Arial"/>
                <w:sz w:val="20"/>
              </w:rPr>
              <w:t xml:space="preserve">Clinical claim:  </w:t>
            </w:r>
          </w:p>
          <w:p w:rsidR="00E225FB" w:rsidRPr="00E421E6" w:rsidRDefault="00CF7947" w:rsidP="00CF7947">
            <w:pPr>
              <w:rPr>
                <w:rFonts w:ascii="Arial" w:hAnsi="Arial" w:cs="Arial"/>
                <w:sz w:val="20"/>
              </w:rPr>
            </w:pPr>
            <w:r w:rsidRPr="00CF7947">
              <w:rPr>
                <w:rFonts w:ascii="Arial" w:hAnsi="Arial" w:cs="Arial"/>
                <w:sz w:val="20"/>
              </w:rPr>
              <w:t>The minor resubmission maintained that adalimumab was non-inferior to infliximab</w:t>
            </w:r>
            <w:r w:rsidR="00A92110">
              <w:rPr>
                <w:rFonts w:ascii="Arial" w:hAnsi="Arial" w:cs="Arial"/>
                <w:sz w:val="20"/>
              </w:rPr>
              <w:t xml:space="preserve"> (in both induction and maintenance phase)</w:t>
            </w:r>
            <w:r w:rsidRPr="00CF7947">
              <w:rPr>
                <w:rFonts w:ascii="Arial" w:hAnsi="Arial" w:cs="Arial"/>
                <w:sz w:val="20"/>
              </w:rPr>
              <w:t xml:space="preserve"> and that this was supported by real world evidence presented in the July 2015 resubmission. However, the resubmission acknowledged the PBAC’s conclusion in the July 2015 consideration where adalimumab was inferior to infliximab in the induction phase.</w:t>
            </w:r>
          </w:p>
        </w:tc>
        <w:tc>
          <w:tcPr>
            <w:tcW w:w="5245" w:type="dxa"/>
          </w:tcPr>
          <w:p w:rsidR="002F465D" w:rsidRPr="00E421E6" w:rsidRDefault="00CF7947" w:rsidP="00CF7947">
            <w:pPr>
              <w:rPr>
                <w:rFonts w:ascii="Arial" w:hAnsi="Arial" w:cs="Arial"/>
                <w:sz w:val="20"/>
              </w:rPr>
            </w:pPr>
            <w:r w:rsidRPr="00CF7947">
              <w:rPr>
                <w:rFonts w:ascii="Arial" w:hAnsi="Arial" w:cs="Arial"/>
                <w:sz w:val="20"/>
              </w:rPr>
              <w:t>The PBAC did not accept the non-inferiority claim in the maintenance phase. The PBAC reiterated its previous conclusions from the July 2015 PBAC meeting that the risk of bias was high for the maintenance phase. The data for the maintenance phase were incomplete due to a large number of discontinuations and substantial loss to follow-up (adalimumab PSD, July 2015). The PBAC maintained its view that, in UC, based upon available data, adalimumab is likely to be inferior to infliximab overall, and a claim of non-inferiority cannot be justified.</w:t>
            </w:r>
          </w:p>
        </w:tc>
      </w:tr>
      <w:tr w:rsidR="00E225FB" w:rsidRPr="009B735A" w:rsidTr="0037709E">
        <w:trPr>
          <w:trHeight w:val="525"/>
        </w:trPr>
        <w:tc>
          <w:tcPr>
            <w:tcW w:w="2127" w:type="dxa"/>
            <w:vMerge/>
          </w:tcPr>
          <w:p w:rsidR="00E225FB" w:rsidRPr="004571A9" w:rsidRDefault="00E225FB" w:rsidP="00CA0C65">
            <w:pPr>
              <w:rPr>
                <w:rFonts w:ascii="Arial" w:hAnsi="Arial" w:cs="Arial"/>
                <w:color w:val="000000"/>
                <w:sz w:val="20"/>
              </w:rPr>
            </w:pPr>
          </w:p>
        </w:tc>
        <w:tc>
          <w:tcPr>
            <w:tcW w:w="2126" w:type="dxa"/>
            <w:vMerge/>
          </w:tcPr>
          <w:p w:rsidR="00E225FB" w:rsidRDefault="00E225FB" w:rsidP="00CA0C65">
            <w:pPr>
              <w:rPr>
                <w:rFonts w:ascii="Arial" w:hAnsi="Arial" w:cs="Arial"/>
                <w:color w:val="000000"/>
                <w:sz w:val="20"/>
              </w:rPr>
            </w:pPr>
          </w:p>
        </w:tc>
        <w:tc>
          <w:tcPr>
            <w:tcW w:w="1843" w:type="dxa"/>
            <w:vMerge/>
          </w:tcPr>
          <w:p w:rsidR="00E225FB" w:rsidRDefault="00E225FB" w:rsidP="00092130">
            <w:pPr>
              <w:rPr>
                <w:rFonts w:ascii="Arial" w:hAnsi="Arial" w:cs="Arial"/>
                <w:color w:val="000000"/>
                <w:sz w:val="20"/>
              </w:rPr>
            </w:pPr>
          </w:p>
        </w:tc>
        <w:tc>
          <w:tcPr>
            <w:tcW w:w="4110" w:type="dxa"/>
          </w:tcPr>
          <w:p w:rsidR="00E225FB" w:rsidRPr="00CA71F0" w:rsidRDefault="00E225FB" w:rsidP="00CA71F0">
            <w:pPr>
              <w:pStyle w:val="ListBullet"/>
            </w:pPr>
            <w:r w:rsidRPr="00CA71F0">
              <w:t>Economic claim:</w:t>
            </w:r>
          </w:p>
          <w:p w:rsidR="00A865A1" w:rsidRPr="00A865A1" w:rsidRDefault="00A865A1" w:rsidP="00A865A1">
            <w:pPr>
              <w:pStyle w:val="ListBullet"/>
            </w:pPr>
            <w:r w:rsidRPr="00A865A1">
              <w:t xml:space="preserve">Cost-minimisation analysis to infliximab. </w:t>
            </w:r>
          </w:p>
          <w:p w:rsidR="00E225FB" w:rsidRPr="00CA0C65" w:rsidRDefault="00E225FB" w:rsidP="00CA71F0">
            <w:pPr>
              <w:pStyle w:val="ListBullet"/>
            </w:pPr>
          </w:p>
        </w:tc>
        <w:tc>
          <w:tcPr>
            <w:tcW w:w="5245" w:type="dxa"/>
          </w:tcPr>
          <w:p w:rsidR="00713D93" w:rsidRPr="00CA0C65" w:rsidRDefault="00CA71F0" w:rsidP="00B74F72">
            <w:pPr>
              <w:pStyle w:val="ListParagraph"/>
              <w:ind w:left="0"/>
              <w:rPr>
                <w:rFonts w:ascii="Arial" w:hAnsi="Arial" w:cs="Arial"/>
                <w:sz w:val="20"/>
                <w:szCs w:val="20"/>
                <w:highlight w:val="yellow"/>
              </w:rPr>
            </w:pPr>
            <w:r>
              <w:rPr>
                <w:rFonts w:ascii="Arial" w:hAnsi="Arial" w:cs="Arial"/>
                <w:sz w:val="20"/>
              </w:rPr>
              <w:t>Not accepted</w:t>
            </w:r>
            <w:r w:rsidR="00CF7947">
              <w:rPr>
                <w:rFonts w:ascii="Arial" w:hAnsi="Arial" w:cs="Arial"/>
                <w:sz w:val="20"/>
              </w:rPr>
              <w:t xml:space="preserve">. </w:t>
            </w:r>
            <w:r w:rsidR="00CF7947" w:rsidRPr="00CF7947">
              <w:rPr>
                <w:rFonts w:ascii="Arial" w:hAnsi="Arial" w:cs="Arial"/>
                <w:sz w:val="20"/>
              </w:rPr>
              <w:t xml:space="preserve"> Given that inferiority (compared with infliximab) in the maintenance phase is also likely, there is no basis to accept the same price of infliximab. </w:t>
            </w:r>
          </w:p>
        </w:tc>
      </w:tr>
      <w:tr w:rsidR="00E225FB" w:rsidRPr="009B735A" w:rsidTr="0037709E">
        <w:trPr>
          <w:trHeight w:val="393"/>
        </w:trPr>
        <w:tc>
          <w:tcPr>
            <w:tcW w:w="2127" w:type="dxa"/>
            <w:vMerge/>
          </w:tcPr>
          <w:p w:rsidR="00E225FB" w:rsidRPr="004571A9" w:rsidRDefault="00E225FB" w:rsidP="00CA0C65">
            <w:pPr>
              <w:rPr>
                <w:rFonts w:ascii="Arial" w:hAnsi="Arial" w:cs="Arial"/>
                <w:color w:val="000000"/>
                <w:sz w:val="20"/>
              </w:rPr>
            </w:pPr>
          </w:p>
        </w:tc>
        <w:tc>
          <w:tcPr>
            <w:tcW w:w="2126" w:type="dxa"/>
            <w:vMerge/>
          </w:tcPr>
          <w:p w:rsidR="00E225FB" w:rsidRDefault="00E225FB" w:rsidP="00CA0C65">
            <w:pPr>
              <w:rPr>
                <w:rFonts w:ascii="Arial" w:hAnsi="Arial" w:cs="Arial"/>
                <w:color w:val="000000"/>
                <w:sz w:val="20"/>
              </w:rPr>
            </w:pPr>
          </w:p>
        </w:tc>
        <w:tc>
          <w:tcPr>
            <w:tcW w:w="1843" w:type="dxa"/>
            <w:vMerge/>
          </w:tcPr>
          <w:p w:rsidR="00E225FB" w:rsidRDefault="00E225FB" w:rsidP="00092130">
            <w:pPr>
              <w:rPr>
                <w:rFonts w:ascii="Arial" w:hAnsi="Arial" w:cs="Arial"/>
                <w:color w:val="000000"/>
                <w:sz w:val="20"/>
              </w:rPr>
            </w:pPr>
          </w:p>
        </w:tc>
        <w:tc>
          <w:tcPr>
            <w:tcW w:w="4110" w:type="dxa"/>
          </w:tcPr>
          <w:p w:rsidR="00E225FB" w:rsidRPr="000805C6" w:rsidRDefault="00E225FB" w:rsidP="00CA71F0">
            <w:pPr>
              <w:pStyle w:val="ListBullet"/>
            </w:pPr>
            <w:r w:rsidRPr="000805C6">
              <w:t>Sponsor’s comments:</w:t>
            </w:r>
          </w:p>
          <w:p w:rsidR="00E225FB" w:rsidRDefault="00E225FB" w:rsidP="00CA71F0">
            <w:pPr>
              <w:pStyle w:val="ListBullet"/>
            </w:pPr>
          </w:p>
          <w:p w:rsidR="00E225FB" w:rsidRPr="00CA0C65" w:rsidRDefault="00E225FB" w:rsidP="00CA71F0">
            <w:pPr>
              <w:pStyle w:val="ListBullet"/>
            </w:pPr>
          </w:p>
        </w:tc>
        <w:tc>
          <w:tcPr>
            <w:tcW w:w="5245" w:type="dxa"/>
          </w:tcPr>
          <w:p w:rsidR="00E225FB" w:rsidRPr="00A46DC5" w:rsidRDefault="00031C24" w:rsidP="00404C57">
            <w:pPr>
              <w:rPr>
                <w:rFonts w:ascii="Arial" w:hAnsi="Arial" w:cs="Arial"/>
                <w:sz w:val="20"/>
              </w:rPr>
            </w:pPr>
            <w:proofErr w:type="spellStart"/>
            <w:r w:rsidRPr="00031C24">
              <w:rPr>
                <w:rFonts w:ascii="Arial" w:hAnsi="Arial" w:cs="Arial"/>
                <w:sz w:val="20"/>
              </w:rPr>
              <w:t>AbbVie</w:t>
            </w:r>
            <w:proofErr w:type="spellEnd"/>
            <w:r w:rsidRPr="00031C24">
              <w:rPr>
                <w:rFonts w:ascii="Arial" w:hAnsi="Arial" w:cs="Arial"/>
                <w:sz w:val="20"/>
              </w:rPr>
              <w:t xml:space="preserve"> is disappointed with the PBAC recommendation and remains committed to working to secure access for patients in need.</w:t>
            </w:r>
          </w:p>
        </w:tc>
      </w:tr>
      <w:tr w:rsidR="00BA2763" w:rsidRPr="009B735A" w:rsidTr="0037709E">
        <w:trPr>
          <w:trHeight w:val="664"/>
        </w:trPr>
        <w:tc>
          <w:tcPr>
            <w:tcW w:w="2127" w:type="dxa"/>
            <w:vMerge w:val="restart"/>
          </w:tcPr>
          <w:p w:rsidR="00BA2763" w:rsidRDefault="00BA2763" w:rsidP="0037709E">
            <w:pPr>
              <w:rPr>
                <w:rFonts w:ascii="Arial" w:hAnsi="Arial" w:cs="Arial"/>
                <w:color w:val="000000"/>
                <w:sz w:val="20"/>
              </w:rPr>
            </w:pPr>
            <w:r>
              <w:rPr>
                <w:rFonts w:ascii="Arial" w:hAnsi="Arial" w:cs="Arial"/>
                <w:color w:val="000000"/>
                <w:sz w:val="20"/>
              </w:rPr>
              <w:t>APREMILAST</w:t>
            </w:r>
            <w:r>
              <w:rPr>
                <w:rFonts w:ascii="Arial" w:hAnsi="Arial" w:cs="Arial"/>
                <w:color w:val="000000"/>
                <w:sz w:val="20"/>
              </w:rPr>
              <w:br/>
              <w:t xml:space="preserve">10 mg tablet [4] &amp; </w:t>
            </w:r>
          </w:p>
          <w:p w:rsidR="00BA2763" w:rsidRDefault="00BA2763" w:rsidP="0037709E">
            <w:pPr>
              <w:rPr>
                <w:rFonts w:ascii="Arial" w:hAnsi="Arial" w:cs="Arial"/>
                <w:color w:val="000000"/>
                <w:sz w:val="20"/>
              </w:rPr>
            </w:pPr>
            <w:r>
              <w:rPr>
                <w:rFonts w:ascii="Arial" w:hAnsi="Arial" w:cs="Arial"/>
                <w:color w:val="000000"/>
                <w:sz w:val="20"/>
              </w:rPr>
              <w:t xml:space="preserve">20 mg tablet [4] &amp; </w:t>
            </w:r>
          </w:p>
          <w:p w:rsidR="00BA2763" w:rsidRDefault="00BA2763" w:rsidP="0037709E">
            <w:pPr>
              <w:rPr>
                <w:rFonts w:ascii="Arial" w:hAnsi="Arial" w:cs="Arial"/>
                <w:color w:val="000000"/>
                <w:sz w:val="20"/>
              </w:rPr>
            </w:pPr>
            <w:r>
              <w:rPr>
                <w:rFonts w:ascii="Arial" w:hAnsi="Arial" w:cs="Arial"/>
                <w:color w:val="000000"/>
                <w:sz w:val="20"/>
              </w:rPr>
              <w:t>30 mg tablet [19], 1 pack</w:t>
            </w:r>
            <w:r>
              <w:rPr>
                <w:rFonts w:ascii="Arial" w:hAnsi="Arial" w:cs="Arial"/>
                <w:color w:val="000000"/>
                <w:sz w:val="20"/>
              </w:rPr>
              <w:br/>
              <w:t>30 mg tablet, 56</w:t>
            </w:r>
            <w:r>
              <w:rPr>
                <w:rFonts w:ascii="Arial" w:hAnsi="Arial" w:cs="Arial"/>
                <w:color w:val="000000"/>
                <w:sz w:val="20"/>
              </w:rPr>
              <w:br/>
            </w:r>
            <w:r>
              <w:rPr>
                <w:rFonts w:ascii="Arial" w:hAnsi="Arial" w:cs="Arial"/>
                <w:color w:val="000000"/>
                <w:sz w:val="20"/>
              </w:rPr>
              <w:br/>
              <w:t>Otezla</w:t>
            </w:r>
            <w:r>
              <w:rPr>
                <w:rFonts w:ascii="Arial" w:hAnsi="Arial" w:cs="Arial"/>
                <w:color w:val="000000"/>
                <w:sz w:val="20"/>
              </w:rPr>
              <w:br/>
            </w:r>
            <w:r>
              <w:rPr>
                <w:rFonts w:ascii="Arial" w:hAnsi="Arial" w:cs="Arial"/>
                <w:color w:val="000000"/>
                <w:sz w:val="20"/>
              </w:rPr>
              <w:lastRenderedPageBreak/>
              <w:br/>
              <w:t>Celgene Pty Ltd</w:t>
            </w:r>
            <w:r>
              <w:rPr>
                <w:rFonts w:ascii="Arial" w:hAnsi="Arial" w:cs="Arial"/>
                <w:color w:val="000000"/>
                <w:sz w:val="20"/>
              </w:rPr>
              <w:br/>
            </w:r>
            <w:r>
              <w:rPr>
                <w:rFonts w:ascii="Arial" w:hAnsi="Arial" w:cs="Arial"/>
                <w:color w:val="000000"/>
                <w:sz w:val="20"/>
              </w:rPr>
              <w:br/>
              <w:t>New listing</w:t>
            </w:r>
            <w:r>
              <w:rPr>
                <w:rFonts w:ascii="Arial" w:hAnsi="Arial" w:cs="Arial"/>
                <w:color w:val="000000"/>
                <w:sz w:val="20"/>
              </w:rPr>
              <w:br/>
            </w:r>
            <w:r>
              <w:rPr>
                <w:rFonts w:ascii="Arial" w:hAnsi="Arial" w:cs="Arial"/>
                <w:color w:val="000000"/>
                <w:sz w:val="20"/>
              </w:rPr>
              <w:br/>
              <w:t>(Major Submission)</w:t>
            </w:r>
          </w:p>
          <w:p w:rsidR="00BA2763" w:rsidRPr="004571A9" w:rsidRDefault="00BA2763" w:rsidP="00CA0C65">
            <w:pPr>
              <w:rPr>
                <w:rFonts w:ascii="Arial" w:hAnsi="Arial" w:cs="Arial"/>
                <w:color w:val="000000"/>
                <w:sz w:val="20"/>
              </w:rPr>
            </w:pPr>
          </w:p>
        </w:tc>
        <w:tc>
          <w:tcPr>
            <w:tcW w:w="2126" w:type="dxa"/>
            <w:vMerge w:val="restart"/>
          </w:tcPr>
          <w:p w:rsidR="00BA2763" w:rsidRDefault="002B09FF" w:rsidP="00CA0C65">
            <w:pPr>
              <w:rPr>
                <w:rFonts w:ascii="Arial" w:hAnsi="Arial" w:cs="Arial"/>
                <w:color w:val="000000"/>
                <w:sz w:val="20"/>
              </w:rPr>
            </w:pPr>
            <w:r w:rsidRPr="002B09FF">
              <w:rPr>
                <w:rFonts w:ascii="Arial" w:hAnsi="Arial" w:cs="Arial"/>
                <w:color w:val="000000"/>
                <w:sz w:val="20"/>
              </w:rPr>
              <w:lastRenderedPageBreak/>
              <w:t xml:space="preserve">Apremilast is indicated for the treatment of signs and symptoms of active psoriatic arthritis in adult patients, and the treatment of adult </w:t>
            </w:r>
            <w:r w:rsidRPr="002B09FF">
              <w:rPr>
                <w:rFonts w:ascii="Arial" w:hAnsi="Arial" w:cs="Arial"/>
                <w:color w:val="000000"/>
                <w:sz w:val="20"/>
              </w:rPr>
              <w:lastRenderedPageBreak/>
              <w:t>patients with moderate to severe plaque psoriasis who are candidates for phototherapy or systemic therapy.</w:t>
            </w:r>
          </w:p>
        </w:tc>
        <w:tc>
          <w:tcPr>
            <w:tcW w:w="1843" w:type="dxa"/>
            <w:vMerge w:val="restart"/>
          </w:tcPr>
          <w:p w:rsidR="00BA2763" w:rsidRDefault="002B09FF" w:rsidP="00092130">
            <w:pPr>
              <w:rPr>
                <w:rFonts w:ascii="Arial" w:hAnsi="Arial" w:cs="Arial"/>
                <w:color w:val="000000"/>
                <w:sz w:val="20"/>
              </w:rPr>
            </w:pPr>
            <w:r w:rsidRPr="002B09FF">
              <w:rPr>
                <w:rFonts w:ascii="Arial" w:hAnsi="Arial" w:cs="Arial"/>
                <w:color w:val="000000"/>
                <w:sz w:val="20"/>
              </w:rPr>
              <w:lastRenderedPageBreak/>
              <w:t>Not currently PBS listed.</w:t>
            </w:r>
          </w:p>
        </w:tc>
        <w:tc>
          <w:tcPr>
            <w:tcW w:w="4110" w:type="dxa"/>
          </w:tcPr>
          <w:p w:rsidR="00BA2763" w:rsidRPr="0037709E" w:rsidRDefault="00BA2763" w:rsidP="0037709E">
            <w:pPr>
              <w:pStyle w:val="ListBullet"/>
            </w:pPr>
            <w:r w:rsidRPr="0037709E">
              <w:t xml:space="preserve">Re-submission to request an Authority </w:t>
            </w:r>
            <w:proofErr w:type="gramStart"/>
            <w:r w:rsidRPr="0037709E">
              <w:t>Required</w:t>
            </w:r>
            <w:proofErr w:type="gramEnd"/>
            <w:r w:rsidRPr="0037709E">
              <w:t xml:space="preserve"> listing for the treatment of severe active psoriatic arthritis.</w:t>
            </w:r>
          </w:p>
          <w:p w:rsidR="00BA2763" w:rsidRPr="000805C6" w:rsidRDefault="00BA2763" w:rsidP="00CA71F0">
            <w:pPr>
              <w:pStyle w:val="ListBullet"/>
            </w:pPr>
          </w:p>
        </w:tc>
        <w:tc>
          <w:tcPr>
            <w:tcW w:w="5245" w:type="dxa"/>
          </w:tcPr>
          <w:p w:rsidR="00BA2763" w:rsidRPr="0037709E" w:rsidRDefault="00BA2763" w:rsidP="0037709E">
            <w:pPr>
              <w:rPr>
                <w:rFonts w:ascii="Arial" w:hAnsi="Arial" w:cs="Arial"/>
                <w:sz w:val="20"/>
              </w:rPr>
            </w:pPr>
            <w:r w:rsidRPr="0037709E">
              <w:rPr>
                <w:rFonts w:ascii="Arial" w:hAnsi="Arial" w:cs="Arial"/>
                <w:sz w:val="20"/>
              </w:rPr>
              <w:t xml:space="preserve">The PBAC did not recommend the listing of apremilast for the treatment of severe active psoriatic arthritis on the basis that the place of apremilast in the clinical management algorithm and therefore the nominated comparators are inappropriate. The PBAC identified issues with the modelled economic evaluation, and considered that a reliable estimate of cost-effectiveness could not be determined at the place in therapy </w:t>
            </w:r>
            <w:r w:rsidRPr="0037709E">
              <w:rPr>
                <w:rFonts w:ascii="Arial" w:hAnsi="Arial" w:cs="Arial"/>
                <w:sz w:val="20"/>
              </w:rPr>
              <w:lastRenderedPageBreak/>
              <w:t>proposed by the resubmission.</w:t>
            </w:r>
          </w:p>
          <w:p w:rsidR="00BA2763" w:rsidRDefault="00BA2763" w:rsidP="00A46DC5">
            <w:pPr>
              <w:autoSpaceDN w:val="0"/>
              <w:rPr>
                <w:rFonts w:ascii="Arial" w:hAnsi="Arial" w:cs="Arial"/>
                <w:sz w:val="20"/>
              </w:rPr>
            </w:pPr>
          </w:p>
        </w:tc>
      </w:tr>
      <w:tr w:rsidR="00BA2763" w:rsidRPr="009B735A" w:rsidTr="0037709E">
        <w:trPr>
          <w:trHeight w:val="360"/>
        </w:trPr>
        <w:tc>
          <w:tcPr>
            <w:tcW w:w="2127" w:type="dxa"/>
            <w:vMerge/>
          </w:tcPr>
          <w:p w:rsidR="00BA2763" w:rsidRDefault="00BA2763" w:rsidP="0037709E">
            <w:pPr>
              <w:rPr>
                <w:rFonts w:ascii="Arial" w:hAnsi="Arial" w:cs="Arial"/>
                <w:color w:val="000000"/>
                <w:sz w:val="20"/>
              </w:rPr>
            </w:pPr>
          </w:p>
        </w:tc>
        <w:tc>
          <w:tcPr>
            <w:tcW w:w="2126" w:type="dxa"/>
            <w:vMerge/>
          </w:tcPr>
          <w:p w:rsidR="00BA2763" w:rsidRDefault="00BA2763" w:rsidP="00CA0C65">
            <w:pPr>
              <w:rPr>
                <w:rFonts w:ascii="Arial" w:hAnsi="Arial" w:cs="Arial"/>
                <w:color w:val="000000"/>
                <w:sz w:val="20"/>
              </w:rPr>
            </w:pPr>
          </w:p>
        </w:tc>
        <w:tc>
          <w:tcPr>
            <w:tcW w:w="1843" w:type="dxa"/>
            <w:vMerge/>
          </w:tcPr>
          <w:p w:rsidR="00BA2763" w:rsidRDefault="00BA2763" w:rsidP="00092130">
            <w:pPr>
              <w:rPr>
                <w:rFonts w:ascii="Arial" w:hAnsi="Arial" w:cs="Arial"/>
                <w:color w:val="000000"/>
                <w:sz w:val="20"/>
              </w:rPr>
            </w:pPr>
          </w:p>
        </w:tc>
        <w:tc>
          <w:tcPr>
            <w:tcW w:w="4110" w:type="dxa"/>
          </w:tcPr>
          <w:p w:rsidR="00BA2763" w:rsidRPr="0037709E" w:rsidRDefault="00BA2763" w:rsidP="0037709E">
            <w:pPr>
              <w:pStyle w:val="ListBullet"/>
            </w:pPr>
            <w:r>
              <w:t>Comparator: adalimumab</w:t>
            </w:r>
          </w:p>
        </w:tc>
        <w:tc>
          <w:tcPr>
            <w:tcW w:w="5245" w:type="dxa"/>
          </w:tcPr>
          <w:p w:rsidR="00BA2763" w:rsidRPr="0037709E" w:rsidRDefault="00BA2763" w:rsidP="0037709E">
            <w:pPr>
              <w:rPr>
                <w:rFonts w:ascii="Arial" w:hAnsi="Arial" w:cs="Arial"/>
                <w:sz w:val="20"/>
              </w:rPr>
            </w:pPr>
            <w:r w:rsidRPr="0037709E">
              <w:rPr>
                <w:rFonts w:ascii="Arial" w:hAnsi="Arial" w:cs="Arial"/>
                <w:sz w:val="20"/>
              </w:rPr>
              <w:t>Not Accepted. The PBAC considered that adalimumab, or any bDMARD for the treatment of PsA, is not an appropriate comparator because the more appropriate place of apremilast is earlier in the clinical management algorithm than the bDMARDs. The PBAC reiterated that leflunomide, or another DMARD used for the treatment of PsA, is the appropriate comparator.</w:t>
            </w:r>
          </w:p>
          <w:p w:rsidR="00BA2763" w:rsidRPr="0037709E" w:rsidRDefault="00BA2763" w:rsidP="0037709E">
            <w:pPr>
              <w:rPr>
                <w:rFonts w:ascii="Arial" w:hAnsi="Arial" w:cs="Arial"/>
                <w:sz w:val="20"/>
              </w:rPr>
            </w:pPr>
          </w:p>
        </w:tc>
      </w:tr>
      <w:tr w:rsidR="00BA2763" w:rsidRPr="009B735A" w:rsidTr="0037709E">
        <w:trPr>
          <w:trHeight w:val="662"/>
        </w:trPr>
        <w:tc>
          <w:tcPr>
            <w:tcW w:w="2127" w:type="dxa"/>
            <w:vMerge/>
          </w:tcPr>
          <w:p w:rsidR="00BA2763" w:rsidRDefault="00BA2763" w:rsidP="0037709E">
            <w:pPr>
              <w:rPr>
                <w:rFonts w:ascii="Arial" w:hAnsi="Arial" w:cs="Arial"/>
                <w:color w:val="000000"/>
                <w:sz w:val="20"/>
              </w:rPr>
            </w:pPr>
          </w:p>
        </w:tc>
        <w:tc>
          <w:tcPr>
            <w:tcW w:w="2126" w:type="dxa"/>
            <w:vMerge/>
          </w:tcPr>
          <w:p w:rsidR="00BA2763" w:rsidRDefault="00BA2763" w:rsidP="00CA0C65">
            <w:pPr>
              <w:rPr>
                <w:rFonts w:ascii="Arial" w:hAnsi="Arial" w:cs="Arial"/>
                <w:color w:val="000000"/>
                <w:sz w:val="20"/>
              </w:rPr>
            </w:pPr>
          </w:p>
        </w:tc>
        <w:tc>
          <w:tcPr>
            <w:tcW w:w="1843" w:type="dxa"/>
            <w:vMerge/>
          </w:tcPr>
          <w:p w:rsidR="00BA2763" w:rsidRDefault="00BA2763" w:rsidP="00092130">
            <w:pPr>
              <w:rPr>
                <w:rFonts w:ascii="Arial" w:hAnsi="Arial" w:cs="Arial"/>
                <w:color w:val="000000"/>
                <w:sz w:val="20"/>
              </w:rPr>
            </w:pPr>
          </w:p>
        </w:tc>
        <w:tc>
          <w:tcPr>
            <w:tcW w:w="4110" w:type="dxa"/>
          </w:tcPr>
          <w:p w:rsidR="00BA2763" w:rsidRDefault="00BA2763" w:rsidP="0037709E">
            <w:pPr>
              <w:pStyle w:val="ListBullet"/>
            </w:pPr>
            <w:r>
              <w:t>Clinical claim:</w:t>
            </w:r>
          </w:p>
          <w:p w:rsidR="00BA2763" w:rsidRPr="0037709E" w:rsidRDefault="00BA2763" w:rsidP="00404C57">
            <w:r>
              <w:rPr>
                <w:rFonts w:ascii="Arial" w:hAnsi="Arial" w:cs="Arial"/>
                <w:sz w:val="20"/>
              </w:rPr>
              <w:t xml:space="preserve">Clinical claim: </w:t>
            </w:r>
            <w:r>
              <w:rPr>
                <w:rFonts w:ascii="Arial" w:hAnsi="Arial" w:cs="Arial"/>
                <w:color w:val="FF0000"/>
                <w:sz w:val="20"/>
              </w:rPr>
              <w:t xml:space="preserve"> </w:t>
            </w:r>
            <w:r w:rsidRPr="0037709E">
              <w:rPr>
                <w:rFonts w:ascii="Arial" w:hAnsi="Arial" w:cs="Arial"/>
                <w:sz w:val="20"/>
              </w:rPr>
              <w:t>Inferior in terms of comparative effectiveness and non-inferior in terms of safety (“equivalent” in terms of short-term safety but “superior” in terms of long-term safety), compared to adalimumab.</w:t>
            </w:r>
          </w:p>
        </w:tc>
        <w:tc>
          <w:tcPr>
            <w:tcW w:w="5245" w:type="dxa"/>
          </w:tcPr>
          <w:p w:rsidR="00BA2763" w:rsidRPr="0037709E" w:rsidRDefault="00BA2763" w:rsidP="0037709E">
            <w:pPr>
              <w:rPr>
                <w:rFonts w:ascii="Arial" w:hAnsi="Arial" w:cs="Arial"/>
                <w:sz w:val="20"/>
              </w:rPr>
            </w:pPr>
            <w:r>
              <w:rPr>
                <w:rFonts w:ascii="Arial" w:hAnsi="Arial" w:cs="Arial"/>
                <w:sz w:val="20"/>
              </w:rPr>
              <w:t>Accepted</w:t>
            </w:r>
          </w:p>
        </w:tc>
      </w:tr>
      <w:tr w:rsidR="00BA2763" w:rsidRPr="009B735A" w:rsidTr="0037709E">
        <w:trPr>
          <w:trHeight w:val="662"/>
        </w:trPr>
        <w:tc>
          <w:tcPr>
            <w:tcW w:w="2127" w:type="dxa"/>
            <w:vMerge/>
          </w:tcPr>
          <w:p w:rsidR="00BA2763" w:rsidRDefault="00BA2763" w:rsidP="0037709E">
            <w:pPr>
              <w:rPr>
                <w:rFonts w:ascii="Arial" w:hAnsi="Arial" w:cs="Arial"/>
                <w:color w:val="000000"/>
                <w:sz w:val="20"/>
              </w:rPr>
            </w:pPr>
          </w:p>
        </w:tc>
        <w:tc>
          <w:tcPr>
            <w:tcW w:w="2126" w:type="dxa"/>
            <w:vMerge/>
          </w:tcPr>
          <w:p w:rsidR="00BA2763" w:rsidRDefault="00BA2763" w:rsidP="00CA0C65">
            <w:pPr>
              <w:rPr>
                <w:rFonts w:ascii="Arial" w:hAnsi="Arial" w:cs="Arial"/>
                <w:color w:val="000000"/>
                <w:sz w:val="20"/>
              </w:rPr>
            </w:pPr>
          </w:p>
        </w:tc>
        <w:tc>
          <w:tcPr>
            <w:tcW w:w="1843" w:type="dxa"/>
            <w:vMerge/>
          </w:tcPr>
          <w:p w:rsidR="00BA2763" w:rsidRDefault="00BA2763" w:rsidP="00092130">
            <w:pPr>
              <w:rPr>
                <w:rFonts w:ascii="Arial" w:hAnsi="Arial" w:cs="Arial"/>
                <w:color w:val="000000"/>
                <w:sz w:val="20"/>
              </w:rPr>
            </w:pPr>
          </w:p>
        </w:tc>
        <w:tc>
          <w:tcPr>
            <w:tcW w:w="4110" w:type="dxa"/>
          </w:tcPr>
          <w:p w:rsidR="00BA2763" w:rsidRDefault="00BA2763" w:rsidP="0037709E">
            <w:pPr>
              <w:rPr>
                <w:rFonts w:ascii="Arial" w:hAnsi="Arial" w:cs="Arial"/>
                <w:color w:val="FF0000"/>
                <w:sz w:val="20"/>
              </w:rPr>
            </w:pPr>
            <w:r>
              <w:rPr>
                <w:rFonts w:ascii="Arial" w:hAnsi="Arial" w:cs="Arial"/>
                <w:sz w:val="20"/>
              </w:rPr>
              <w:t>Economic clai</w:t>
            </w:r>
            <w:r w:rsidRPr="0037709E">
              <w:rPr>
                <w:rFonts w:ascii="Arial" w:hAnsi="Arial" w:cs="Arial"/>
                <w:sz w:val="20"/>
              </w:rPr>
              <w:t xml:space="preserve">m:  Cost-utility analysis to adalimumab. </w:t>
            </w:r>
          </w:p>
          <w:p w:rsidR="00BA2763" w:rsidRPr="0037709E" w:rsidRDefault="00BA2763" w:rsidP="0037709E">
            <w:pPr>
              <w:pStyle w:val="ListBullet"/>
            </w:pPr>
          </w:p>
        </w:tc>
        <w:tc>
          <w:tcPr>
            <w:tcW w:w="5245" w:type="dxa"/>
          </w:tcPr>
          <w:p w:rsidR="00BA2763" w:rsidRPr="0037709E" w:rsidRDefault="00BA2763" w:rsidP="0037709E">
            <w:pPr>
              <w:rPr>
                <w:rFonts w:ascii="Arial" w:hAnsi="Arial" w:cs="Arial"/>
                <w:sz w:val="20"/>
              </w:rPr>
            </w:pPr>
            <w:r w:rsidRPr="0037709E">
              <w:rPr>
                <w:rFonts w:ascii="Arial" w:hAnsi="Arial" w:cs="Arial"/>
                <w:sz w:val="20"/>
              </w:rPr>
              <w:t>Not Accepted. The PBAC considered that, given the unclear patient population likely to use apremilast, this model did not adequately assess the cost-effectiveness of apremilast in its proposed place in therapy. The PBAC therefore considered that a cost-minimisation analysis compared to leflunomide would be a more appropriate economic evaluation.</w:t>
            </w:r>
          </w:p>
        </w:tc>
      </w:tr>
      <w:tr w:rsidR="00BA2763" w:rsidRPr="009B735A" w:rsidTr="0037709E">
        <w:trPr>
          <w:trHeight w:val="393"/>
        </w:trPr>
        <w:tc>
          <w:tcPr>
            <w:tcW w:w="2127" w:type="dxa"/>
          </w:tcPr>
          <w:p w:rsidR="00BA2763" w:rsidRPr="004571A9" w:rsidRDefault="00BA2763" w:rsidP="00CA0C65">
            <w:pPr>
              <w:rPr>
                <w:rFonts w:ascii="Arial" w:hAnsi="Arial" w:cs="Arial"/>
                <w:color w:val="000000"/>
                <w:sz w:val="20"/>
              </w:rPr>
            </w:pPr>
          </w:p>
        </w:tc>
        <w:tc>
          <w:tcPr>
            <w:tcW w:w="2126" w:type="dxa"/>
            <w:vMerge/>
          </w:tcPr>
          <w:p w:rsidR="00BA2763" w:rsidRDefault="00BA2763" w:rsidP="00CA0C65">
            <w:pPr>
              <w:rPr>
                <w:rFonts w:ascii="Arial" w:hAnsi="Arial" w:cs="Arial"/>
                <w:color w:val="000000"/>
                <w:sz w:val="20"/>
              </w:rPr>
            </w:pPr>
          </w:p>
        </w:tc>
        <w:tc>
          <w:tcPr>
            <w:tcW w:w="1843" w:type="dxa"/>
            <w:vMerge/>
          </w:tcPr>
          <w:p w:rsidR="00BA2763" w:rsidRDefault="00BA2763" w:rsidP="00092130">
            <w:pPr>
              <w:rPr>
                <w:rFonts w:ascii="Arial" w:hAnsi="Arial" w:cs="Arial"/>
                <w:color w:val="000000"/>
                <w:sz w:val="20"/>
              </w:rPr>
            </w:pPr>
          </w:p>
        </w:tc>
        <w:tc>
          <w:tcPr>
            <w:tcW w:w="4110" w:type="dxa"/>
          </w:tcPr>
          <w:p w:rsidR="00BA2763" w:rsidRPr="000805C6" w:rsidRDefault="00BA2763" w:rsidP="00CA71F0">
            <w:pPr>
              <w:pStyle w:val="ListBullet"/>
            </w:pPr>
            <w:r>
              <w:t>Sponsor’s Comment:</w:t>
            </w:r>
          </w:p>
        </w:tc>
        <w:tc>
          <w:tcPr>
            <w:tcW w:w="5245" w:type="dxa"/>
          </w:tcPr>
          <w:p w:rsidR="00BA2763" w:rsidRDefault="00F213E5" w:rsidP="00A46DC5">
            <w:pPr>
              <w:autoSpaceDN w:val="0"/>
              <w:rPr>
                <w:rFonts w:ascii="Arial" w:hAnsi="Arial" w:cs="Arial"/>
                <w:sz w:val="20"/>
              </w:rPr>
            </w:pPr>
            <w:r w:rsidRPr="00F213E5">
              <w:rPr>
                <w:rFonts w:ascii="Arial" w:hAnsi="Arial" w:cs="Arial"/>
                <w:sz w:val="20"/>
              </w:rPr>
              <w:t>Celgene is disappointed with the views expressed by the PBAC which are not consistent with the feedback from clinical Rheumatologists who firmly agree there is a genuine unmet need with respect to the proposed place in therapy.</w:t>
            </w:r>
          </w:p>
        </w:tc>
      </w:tr>
      <w:tr w:rsidR="00BA2763" w:rsidRPr="009B735A" w:rsidTr="002D4697">
        <w:trPr>
          <w:trHeight w:val="2105"/>
        </w:trPr>
        <w:tc>
          <w:tcPr>
            <w:tcW w:w="2127" w:type="dxa"/>
            <w:vMerge w:val="restart"/>
          </w:tcPr>
          <w:p w:rsidR="008A58A1" w:rsidRDefault="00BA2763" w:rsidP="00BA2763">
            <w:pPr>
              <w:rPr>
                <w:rFonts w:ascii="Arial" w:hAnsi="Arial" w:cs="Arial"/>
                <w:color w:val="000000"/>
                <w:sz w:val="20"/>
              </w:rPr>
            </w:pPr>
            <w:r>
              <w:rPr>
                <w:rFonts w:ascii="Arial" w:hAnsi="Arial" w:cs="Arial"/>
                <w:color w:val="000000"/>
                <w:sz w:val="20"/>
              </w:rPr>
              <w:lastRenderedPageBreak/>
              <w:t>SITAGLIPTIN</w:t>
            </w:r>
            <w:r>
              <w:rPr>
                <w:rFonts w:ascii="Arial" w:hAnsi="Arial" w:cs="Arial"/>
                <w:color w:val="000000"/>
                <w:sz w:val="20"/>
              </w:rPr>
              <w:br/>
            </w:r>
            <w:proofErr w:type="spellStart"/>
            <w:r>
              <w:rPr>
                <w:rFonts w:ascii="Arial" w:hAnsi="Arial" w:cs="Arial"/>
                <w:color w:val="000000"/>
                <w:sz w:val="20"/>
              </w:rPr>
              <w:t>sitagliptin</w:t>
            </w:r>
            <w:proofErr w:type="spellEnd"/>
            <w:r>
              <w:rPr>
                <w:rFonts w:ascii="Arial" w:hAnsi="Arial" w:cs="Arial"/>
                <w:color w:val="000000"/>
                <w:sz w:val="20"/>
              </w:rPr>
              <w:t xml:space="preserve"> 100 mg tablet, 28</w:t>
            </w:r>
            <w:r>
              <w:rPr>
                <w:rFonts w:ascii="Arial" w:hAnsi="Arial" w:cs="Arial"/>
                <w:color w:val="000000"/>
                <w:sz w:val="20"/>
              </w:rPr>
              <w:br/>
              <w:t>sitagliptin 50 mg tablet, 28</w:t>
            </w:r>
            <w:r>
              <w:rPr>
                <w:rFonts w:ascii="Arial" w:hAnsi="Arial" w:cs="Arial"/>
                <w:color w:val="000000"/>
                <w:sz w:val="20"/>
              </w:rPr>
              <w:br/>
              <w:t>sitagliptin 25 mg tablet, 28</w:t>
            </w:r>
            <w:r>
              <w:rPr>
                <w:rFonts w:ascii="Arial" w:hAnsi="Arial" w:cs="Arial"/>
                <w:color w:val="000000"/>
                <w:sz w:val="20"/>
              </w:rPr>
              <w:br/>
            </w:r>
          </w:p>
          <w:p w:rsidR="008A58A1" w:rsidRDefault="008A58A1" w:rsidP="00BA2763">
            <w:pPr>
              <w:rPr>
                <w:rFonts w:ascii="Arial" w:hAnsi="Arial" w:cs="Arial"/>
                <w:color w:val="000000"/>
                <w:sz w:val="20"/>
              </w:rPr>
            </w:pPr>
            <w:r w:rsidRPr="008A58A1">
              <w:rPr>
                <w:rFonts w:ascii="Arial" w:hAnsi="Arial" w:cs="Arial"/>
                <w:color w:val="000000"/>
                <w:sz w:val="20"/>
              </w:rPr>
              <w:t>Januvia®</w:t>
            </w:r>
          </w:p>
          <w:p w:rsidR="008A58A1" w:rsidRDefault="00BA2763" w:rsidP="00BA2763">
            <w:pPr>
              <w:rPr>
                <w:rFonts w:ascii="Arial" w:hAnsi="Arial" w:cs="Arial"/>
                <w:color w:val="000000"/>
                <w:sz w:val="20"/>
              </w:rPr>
            </w:pPr>
            <w:r>
              <w:rPr>
                <w:rFonts w:ascii="Arial" w:hAnsi="Arial" w:cs="Arial"/>
                <w:color w:val="000000"/>
                <w:sz w:val="20"/>
              </w:rPr>
              <w:br/>
            </w:r>
            <w:r w:rsidR="002D4697">
              <w:rPr>
                <w:rFonts w:ascii="Arial" w:hAnsi="Arial" w:cs="Arial"/>
                <w:color w:val="000000"/>
                <w:sz w:val="20"/>
              </w:rPr>
              <w:t>SITAGLIPTIN and METFORMIN</w:t>
            </w:r>
            <w:r w:rsidR="002D4697">
              <w:rPr>
                <w:rFonts w:ascii="Arial" w:hAnsi="Arial" w:cs="Arial"/>
                <w:color w:val="000000"/>
                <w:sz w:val="20"/>
              </w:rPr>
              <w:br/>
            </w:r>
            <w:r>
              <w:rPr>
                <w:rFonts w:ascii="Arial" w:hAnsi="Arial" w:cs="Arial"/>
                <w:color w:val="000000"/>
                <w:sz w:val="20"/>
              </w:rPr>
              <w:t>sitagliptin 50 mg + metformin hydrochloride 1000</w:t>
            </w:r>
            <w:r w:rsidR="008A58A1">
              <w:rPr>
                <w:rFonts w:ascii="Arial" w:hAnsi="Arial" w:cs="Arial"/>
                <w:color w:val="000000"/>
                <w:sz w:val="20"/>
              </w:rPr>
              <w:t> </w:t>
            </w:r>
            <w:r>
              <w:rPr>
                <w:rFonts w:ascii="Arial" w:hAnsi="Arial" w:cs="Arial"/>
                <w:color w:val="000000"/>
                <w:sz w:val="20"/>
              </w:rPr>
              <w:t>mg tablet, 56</w:t>
            </w:r>
            <w:r>
              <w:rPr>
                <w:rFonts w:ascii="Arial" w:hAnsi="Arial" w:cs="Arial"/>
                <w:color w:val="000000"/>
                <w:sz w:val="20"/>
              </w:rPr>
              <w:br/>
              <w:t>sitagliptin 50 mg + metformin hydrochloride 850</w:t>
            </w:r>
            <w:r w:rsidR="008A58A1">
              <w:rPr>
                <w:rFonts w:ascii="Arial" w:hAnsi="Arial" w:cs="Arial"/>
                <w:color w:val="000000"/>
                <w:sz w:val="20"/>
              </w:rPr>
              <w:t> </w:t>
            </w:r>
            <w:r>
              <w:rPr>
                <w:rFonts w:ascii="Arial" w:hAnsi="Arial" w:cs="Arial"/>
                <w:color w:val="000000"/>
                <w:sz w:val="20"/>
              </w:rPr>
              <w:t>mg tablet, 56</w:t>
            </w:r>
            <w:r>
              <w:rPr>
                <w:rFonts w:ascii="Arial" w:hAnsi="Arial" w:cs="Arial"/>
                <w:color w:val="000000"/>
                <w:sz w:val="20"/>
              </w:rPr>
              <w:br/>
              <w:t>sitagliptin 50 mg + metformin hydrochloride 500</w:t>
            </w:r>
            <w:r w:rsidR="008A58A1">
              <w:rPr>
                <w:rFonts w:ascii="Arial" w:hAnsi="Arial" w:cs="Arial"/>
                <w:color w:val="000000"/>
                <w:sz w:val="20"/>
              </w:rPr>
              <w:t> </w:t>
            </w:r>
            <w:r>
              <w:rPr>
                <w:rFonts w:ascii="Arial" w:hAnsi="Arial" w:cs="Arial"/>
                <w:color w:val="000000"/>
                <w:sz w:val="20"/>
              </w:rPr>
              <w:t xml:space="preserve">mg tablet, 56 </w:t>
            </w:r>
            <w:r>
              <w:rPr>
                <w:rFonts w:ascii="Arial" w:hAnsi="Arial" w:cs="Arial"/>
                <w:color w:val="000000"/>
                <w:sz w:val="20"/>
              </w:rPr>
              <w:br/>
            </w:r>
          </w:p>
          <w:p w:rsidR="008A58A1" w:rsidRDefault="008A58A1" w:rsidP="00BA2763">
            <w:pPr>
              <w:rPr>
                <w:rFonts w:ascii="Arial" w:hAnsi="Arial" w:cs="Arial"/>
                <w:color w:val="000000"/>
                <w:sz w:val="20"/>
              </w:rPr>
            </w:pPr>
            <w:r w:rsidRPr="008A58A1">
              <w:rPr>
                <w:rFonts w:ascii="Arial" w:hAnsi="Arial" w:cs="Arial"/>
                <w:color w:val="000000"/>
                <w:sz w:val="20"/>
              </w:rPr>
              <w:t>Janumet®</w:t>
            </w:r>
          </w:p>
          <w:p w:rsidR="00BA2763" w:rsidRDefault="00BA2763" w:rsidP="00BA2763">
            <w:pPr>
              <w:rPr>
                <w:rFonts w:ascii="Arial" w:hAnsi="Arial" w:cs="Arial"/>
                <w:color w:val="000000"/>
                <w:sz w:val="20"/>
              </w:rPr>
            </w:pPr>
            <w:r>
              <w:rPr>
                <w:rFonts w:ascii="Arial" w:hAnsi="Arial" w:cs="Arial"/>
                <w:color w:val="000000"/>
                <w:sz w:val="20"/>
              </w:rPr>
              <w:br/>
            </w:r>
            <w:r w:rsidR="002D4697">
              <w:rPr>
                <w:rFonts w:ascii="Arial" w:hAnsi="Arial" w:cs="Arial"/>
                <w:color w:val="000000"/>
                <w:sz w:val="20"/>
              </w:rPr>
              <w:t xml:space="preserve">SITAGLIPTIN and </w:t>
            </w:r>
            <w:r w:rsidR="002D4697">
              <w:rPr>
                <w:rFonts w:ascii="Arial" w:hAnsi="Arial" w:cs="Arial"/>
                <w:color w:val="000000"/>
                <w:sz w:val="20"/>
              </w:rPr>
              <w:lastRenderedPageBreak/>
              <w:t>METFORMIN XR</w:t>
            </w:r>
            <w:r w:rsidR="002D4697">
              <w:rPr>
                <w:rFonts w:ascii="Arial" w:hAnsi="Arial" w:cs="Arial"/>
                <w:color w:val="000000"/>
                <w:sz w:val="20"/>
              </w:rPr>
              <w:br/>
            </w:r>
            <w:r>
              <w:rPr>
                <w:rFonts w:ascii="Arial" w:hAnsi="Arial" w:cs="Arial"/>
                <w:color w:val="000000"/>
                <w:sz w:val="20"/>
              </w:rPr>
              <w:t>sitagliptin 100 mg + metformin hydrochloride 1000</w:t>
            </w:r>
            <w:r w:rsidR="008A58A1">
              <w:rPr>
                <w:rFonts w:ascii="Arial" w:hAnsi="Arial" w:cs="Arial"/>
                <w:color w:val="000000"/>
                <w:sz w:val="20"/>
              </w:rPr>
              <w:t> </w:t>
            </w:r>
            <w:r>
              <w:rPr>
                <w:rFonts w:ascii="Arial" w:hAnsi="Arial" w:cs="Arial"/>
                <w:color w:val="000000"/>
                <w:sz w:val="20"/>
              </w:rPr>
              <w:t>mg tablet: modified release, 28</w:t>
            </w:r>
            <w:r>
              <w:rPr>
                <w:rFonts w:ascii="Arial" w:hAnsi="Arial" w:cs="Arial"/>
                <w:color w:val="000000"/>
                <w:sz w:val="20"/>
              </w:rPr>
              <w:br/>
              <w:t>sitagliptin 50 mg + metformin hydrochloride 1000</w:t>
            </w:r>
            <w:r w:rsidR="008A58A1">
              <w:rPr>
                <w:rFonts w:ascii="Arial" w:hAnsi="Arial" w:cs="Arial"/>
                <w:color w:val="000000"/>
                <w:sz w:val="20"/>
              </w:rPr>
              <w:t> </w:t>
            </w:r>
            <w:r>
              <w:rPr>
                <w:rFonts w:ascii="Arial" w:hAnsi="Arial" w:cs="Arial"/>
                <w:color w:val="000000"/>
                <w:sz w:val="20"/>
              </w:rPr>
              <w:t xml:space="preserve">mg tablet: modified release, 56 </w:t>
            </w:r>
            <w:r>
              <w:rPr>
                <w:rFonts w:ascii="Arial" w:hAnsi="Arial" w:cs="Arial"/>
                <w:color w:val="000000"/>
                <w:sz w:val="20"/>
              </w:rPr>
              <w:br/>
            </w:r>
            <w:r>
              <w:rPr>
                <w:rFonts w:ascii="Arial" w:hAnsi="Arial" w:cs="Arial"/>
                <w:color w:val="000000"/>
                <w:sz w:val="20"/>
              </w:rPr>
              <w:br/>
              <w:t>Janumet XR</w:t>
            </w:r>
            <w:r w:rsidR="002D4697">
              <w:rPr>
                <w:rFonts w:ascii="Arial" w:hAnsi="Arial" w:cs="Arial"/>
                <w:color w:val="000000"/>
                <w:sz w:val="20"/>
              </w:rPr>
              <w:t>®</w:t>
            </w:r>
            <w:r>
              <w:rPr>
                <w:rFonts w:ascii="Arial" w:hAnsi="Arial" w:cs="Arial"/>
                <w:color w:val="000000"/>
                <w:sz w:val="20"/>
              </w:rPr>
              <w:br/>
            </w:r>
            <w:r>
              <w:rPr>
                <w:rFonts w:ascii="Arial" w:hAnsi="Arial" w:cs="Arial"/>
                <w:color w:val="000000"/>
                <w:sz w:val="20"/>
              </w:rPr>
              <w:br/>
              <w:t>Merck Sharp &amp; Dohme (Australia) Pty Limited</w:t>
            </w:r>
            <w:r>
              <w:rPr>
                <w:rFonts w:ascii="Arial" w:hAnsi="Arial" w:cs="Arial"/>
                <w:color w:val="000000"/>
                <w:sz w:val="20"/>
              </w:rPr>
              <w:br/>
            </w:r>
            <w:r>
              <w:rPr>
                <w:rFonts w:ascii="Arial" w:hAnsi="Arial" w:cs="Arial"/>
                <w:color w:val="000000"/>
                <w:sz w:val="20"/>
              </w:rPr>
              <w:br/>
              <w:t>Change to listing</w:t>
            </w:r>
            <w:r>
              <w:rPr>
                <w:rFonts w:ascii="Arial" w:hAnsi="Arial" w:cs="Arial"/>
                <w:color w:val="000000"/>
                <w:sz w:val="20"/>
              </w:rPr>
              <w:br/>
            </w:r>
            <w:r>
              <w:rPr>
                <w:rFonts w:ascii="Arial" w:hAnsi="Arial" w:cs="Arial"/>
                <w:color w:val="000000"/>
                <w:sz w:val="20"/>
              </w:rPr>
              <w:br/>
              <w:t>(Minor Submission)</w:t>
            </w:r>
          </w:p>
          <w:p w:rsidR="00BA2763" w:rsidRPr="004571A9" w:rsidRDefault="00BA2763" w:rsidP="00CA0C65">
            <w:pPr>
              <w:rPr>
                <w:rFonts w:ascii="Arial" w:hAnsi="Arial" w:cs="Arial"/>
                <w:color w:val="000000"/>
                <w:sz w:val="20"/>
              </w:rPr>
            </w:pPr>
          </w:p>
        </w:tc>
        <w:tc>
          <w:tcPr>
            <w:tcW w:w="2126" w:type="dxa"/>
            <w:vMerge w:val="restart"/>
          </w:tcPr>
          <w:p w:rsidR="008A58A1" w:rsidRPr="008A58A1" w:rsidRDefault="008A58A1" w:rsidP="008A58A1">
            <w:pPr>
              <w:rPr>
                <w:rFonts w:ascii="Arial" w:hAnsi="Arial" w:cs="Arial"/>
                <w:color w:val="000000"/>
                <w:sz w:val="20"/>
              </w:rPr>
            </w:pPr>
            <w:r w:rsidRPr="008A58A1">
              <w:rPr>
                <w:rFonts w:ascii="Arial" w:hAnsi="Arial" w:cs="Arial"/>
                <w:color w:val="000000"/>
                <w:sz w:val="20"/>
              </w:rPr>
              <w:lastRenderedPageBreak/>
              <w:t>Initial therapy in patients with type 2 diabetes mellitus to improve glycaemic control when diet and exercise do not provide</w:t>
            </w:r>
          </w:p>
          <w:p w:rsidR="00BA2763" w:rsidRDefault="008A58A1" w:rsidP="008A58A1">
            <w:pPr>
              <w:rPr>
                <w:rFonts w:ascii="Arial" w:hAnsi="Arial" w:cs="Arial"/>
                <w:color w:val="000000"/>
                <w:sz w:val="20"/>
              </w:rPr>
            </w:pPr>
            <w:r w:rsidRPr="008A58A1">
              <w:rPr>
                <w:rFonts w:ascii="Arial" w:hAnsi="Arial" w:cs="Arial"/>
                <w:color w:val="000000"/>
                <w:sz w:val="20"/>
              </w:rPr>
              <w:t>adequate glycaemic control</w:t>
            </w:r>
          </w:p>
        </w:tc>
        <w:tc>
          <w:tcPr>
            <w:tcW w:w="1843" w:type="dxa"/>
            <w:vMerge w:val="restart"/>
          </w:tcPr>
          <w:p w:rsidR="008A58A1" w:rsidRPr="008A58A1" w:rsidRDefault="008A58A1" w:rsidP="008A58A1">
            <w:pPr>
              <w:rPr>
                <w:rFonts w:ascii="Arial" w:hAnsi="Arial" w:cs="Arial"/>
                <w:color w:val="000000"/>
                <w:sz w:val="20"/>
              </w:rPr>
            </w:pPr>
            <w:r w:rsidRPr="008A58A1">
              <w:rPr>
                <w:rFonts w:ascii="Arial" w:hAnsi="Arial" w:cs="Arial"/>
                <w:color w:val="000000"/>
                <w:sz w:val="20"/>
              </w:rPr>
              <w:t xml:space="preserve">Sitagliptin, sitagliptin and metformin, and sitagliptin metformin XR currently listed treatment for Diabetes mellitus type 2 under certain circumstances. </w:t>
            </w:r>
          </w:p>
          <w:p w:rsidR="002D4697" w:rsidRPr="002D4697" w:rsidRDefault="002D4697" w:rsidP="002D4697">
            <w:pPr>
              <w:rPr>
                <w:rFonts w:ascii="Arial" w:hAnsi="Arial" w:cs="Arial"/>
                <w:color w:val="000000"/>
                <w:sz w:val="20"/>
              </w:rPr>
            </w:pPr>
          </w:p>
          <w:p w:rsidR="00BA2763" w:rsidRDefault="002D4697" w:rsidP="002D4697">
            <w:pPr>
              <w:rPr>
                <w:rFonts w:ascii="Arial" w:hAnsi="Arial" w:cs="Arial"/>
                <w:color w:val="000000"/>
                <w:sz w:val="20"/>
              </w:rPr>
            </w:pPr>
            <w:r w:rsidRPr="002D4697">
              <w:rPr>
                <w:rFonts w:ascii="Arial" w:hAnsi="Arial" w:cs="Arial"/>
                <w:color w:val="000000"/>
                <w:sz w:val="20"/>
              </w:rPr>
              <w:t xml:space="preserve">For more details see the </w:t>
            </w:r>
            <w:hyperlink r:id="rId9" w:history="1">
              <w:r w:rsidRPr="002D4697">
                <w:rPr>
                  <w:rStyle w:val="Hyperlink"/>
                  <w:rFonts w:ascii="Arial" w:hAnsi="Arial" w:cs="Arial"/>
                  <w:sz w:val="20"/>
                </w:rPr>
                <w:t>PBS Schedule</w:t>
              </w:r>
            </w:hyperlink>
            <w:r w:rsidRPr="002D4697">
              <w:rPr>
                <w:rFonts w:ascii="Arial" w:hAnsi="Arial" w:cs="Arial"/>
                <w:color w:val="000000"/>
                <w:sz w:val="20"/>
              </w:rPr>
              <w:t>.</w:t>
            </w:r>
          </w:p>
        </w:tc>
        <w:tc>
          <w:tcPr>
            <w:tcW w:w="4110" w:type="dxa"/>
          </w:tcPr>
          <w:p w:rsidR="00BA2763" w:rsidRPr="000805C6" w:rsidRDefault="008A58A1" w:rsidP="00CA71F0">
            <w:pPr>
              <w:pStyle w:val="ListBullet"/>
            </w:pPr>
            <w:r w:rsidRPr="008A58A1">
              <w:rPr>
                <w:color w:val="000000"/>
              </w:rPr>
              <w:t>An  extension of the current Authority Required (STREAMLINED) listings of the Januvia®, Janumet® and Janumet® XR for use in combination with insulin in patients with type 2 diabetes, with or without metformin.</w:t>
            </w:r>
          </w:p>
        </w:tc>
        <w:tc>
          <w:tcPr>
            <w:tcW w:w="5245" w:type="dxa"/>
          </w:tcPr>
          <w:p w:rsidR="008A58A1" w:rsidRPr="008A58A1" w:rsidRDefault="008A58A1" w:rsidP="008A58A1">
            <w:pPr>
              <w:autoSpaceDN w:val="0"/>
              <w:rPr>
                <w:rFonts w:ascii="Arial" w:hAnsi="Arial" w:cs="Arial"/>
                <w:bCs/>
                <w:sz w:val="20"/>
                <w:lang w:val="en-GB"/>
              </w:rPr>
            </w:pPr>
            <w:r w:rsidRPr="008A58A1">
              <w:rPr>
                <w:rFonts w:ascii="Arial" w:hAnsi="Arial" w:cs="Arial"/>
                <w:bCs/>
                <w:sz w:val="20"/>
                <w:lang w:val="en-GB"/>
              </w:rPr>
              <w:t>The PBAC rejected the minor resubmission to extend the PBS listing for sitagliptin</w:t>
            </w:r>
            <w:r w:rsidRPr="008A58A1">
              <w:rPr>
                <w:rFonts w:ascii="Arial" w:hAnsi="Arial" w:cs="Arial"/>
                <w:bCs/>
                <w:sz w:val="20"/>
              </w:rPr>
              <w:t xml:space="preserve"> for use in combination with insulin in patients with type 2 diabetes, with or without metformin.  The PBAC recalled its July 2015 conclusion </w:t>
            </w:r>
            <w:r w:rsidRPr="008A58A1">
              <w:rPr>
                <w:rFonts w:ascii="Arial" w:hAnsi="Arial" w:cs="Arial"/>
                <w:bCs/>
                <w:sz w:val="20"/>
                <w:lang w:val="en-GB"/>
              </w:rPr>
              <w:t xml:space="preserve">that the clinical data presented were not adequate to support </w:t>
            </w:r>
            <w:r w:rsidRPr="008A58A1">
              <w:rPr>
                <w:rFonts w:ascii="Arial" w:hAnsi="Arial" w:cs="Arial"/>
                <w:bCs/>
                <w:sz w:val="20"/>
              </w:rPr>
              <w:t>a</w:t>
            </w:r>
            <w:r w:rsidRPr="008A58A1">
              <w:rPr>
                <w:rFonts w:ascii="Arial" w:hAnsi="Arial" w:cs="Arial"/>
                <w:bCs/>
                <w:sz w:val="20"/>
                <w:lang w:val="en-GB"/>
              </w:rPr>
              <w:t xml:space="preserve"> claim of</w:t>
            </w:r>
            <w:r w:rsidRPr="008A58A1">
              <w:rPr>
                <w:rFonts w:ascii="Arial" w:hAnsi="Arial" w:cs="Arial"/>
                <w:bCs/>
                <w:sz w:val="20"/>
              </w:rPr>
              <w:t xml:space="preserve"> non-inferior comparative effectiveness (as measured by reduction in HbA1c) and similar reduction in mean daily insulin dose for sitagliptin compared to dapagliflozin</w:t>
            </w:r>
            <w:r w:rsidRPr="008A58A1">
              <w:rPr>
                <w:rFonts w:ascii="Arial" w:hAnsi="Arial" w:cs="Arial"/>
                <w:bCs/>
                <w:sz w:val="20"/>
                <w:lang w:val="en-GB"/>
              </w:rPr>
              <w:t xml:space="preserve">. With regard to the effect of sitagliptin on HbA1c, the PBAC considered that sitagliptin is effective in reducing HbA1c in combination with insulin.  The PBAC noted the limitations on the available data, however concluded that sitagliptin is likely to be non-inferior to dapagliflozin in this regard. </w:t>
            </w:r>
          </w:p>
          <w:p w:rsidR="008A58A1" w:rsidRPr="008A58A1" w:rsidRDefault="008A58A1" w:rsidP="008A58A1">
            <w:pPr>
              <w:autoSpaceDN w:val="0"/>
              <w:rPr>
                <w:rFonts w:ascii="Arial" w:hAnsi="Arial" w:cs="Arial"/>
                <w:bCs/>
                <w:sz w:val="20"/>
                <w:lang w:val="en-GB"/>
              </w:rPr>
            </w:pPr>
          </w:p>
          <w:p w:rsidR="00BA2763" w:rsidRDefault="008A58A1" w:rsidP="00AD6BAE">
            <w:pPr>
              <w:autoSpaceDN w:val="0"/>
              <w:rPr>
                <w:rFonts w:ascii="Arial" w:hAnsi="Arial" w:cs="Arial"/>
                <w:sz w:val="20"/>
              </w:rPr>
            </w:pPr>
            <w:r w:rsidRPr="008A58A1">
              <w:rPr>
                <w:rFonts w:ascii="Arial" w:hAnsi="Arial" w:cs="Arial"/>
                <w:bCs/>
                <w:sz w:val="20"/>
                <w:lang w:val="en-GB"/>
              </w:rPr>
              <w:t xml:space="preserve">The PBAC reiterated its view that the increased daily insulin dose accompanying sitagliptin treatment should be taken into account in the cost-minimisation analysis of any future resubmission. </w:t>
            </w:r>
          </w:p>
        </w:tc>
      </w:tr>
      <w:tr w:rsidR="00BA2763" w:rsidRPr="009B735A" w:rsidTr="0037709E">
        <w:trPr>
          <w:trHeight w:val="2119"/>
        </w:trPr>
        <w:tc>
          <w:tcPr>
            <w:tcW w:w="2127" w:type="dxa"/>
            <w:vMerge/>
          </w:tcPr>
          <w:p w:rsidR="00BA2763" w:rsidRDefault="00BA2763" w:rsidP="00BA2763">
            <w:pPr>
              <w:rPr>
                <w:rFonts w:ascii="Arial" w:hAnsi="Arial" w:cs="Arial"/>
                <w:color w:val="000000"/>
                <w:sz w:val="20"/>
              </w:rPr>
            </w:pPr>
          </w:p>
        </w:tc>
        <w:tc>
          <w:tcPr>
            <w:tcW w:w="2126" w:type="dxa"/>
            <w:vMerge/>
          </w:tcPr>
          <w:p w:rsidR="00BA2763" w:rsidRDefault="00BA2763" w:rsidP="00CA0C65">
            <w:pPr>
              <w:rPr>
                <w:rFonts w:ascii="Arial" w:hAnsi="Arial" w:cs="Arial"/>
                <w:color w:val="000000"/>
                <w:sz w:val="20"/>
              </w:rPr>
            </w:pPr>
          </w:p>
        </w:tc>
        <w:tc>
          <w:tcPr>
            <w:tcW w:w="1843" w:type="dxa"/>
            <w:vMerge/>
          </w:tcPr>
          <w:p w:rsidR="00BA2763" w:rsidRDefault="00BA2763" w:rsidP="00092130">
            <w:pPr>
              <w:rPr>
                <w:rFonts w:ascii="Arial" w:hAnsi="Arial" w:cs="Arial"/>
                <w:color w:val="000000"/>
                <w:sz w:val="20"/>
              </w:rPr>
            </w:pPr>
          </w:p>
        </w:tc>
        <w:tc>
          <w:tcPr>
            <w:tcW w:w="4110" w:type="dxa"/>
          </w:tcPr>
          <w:p w:rsidR="00BA2763" w:rsidRDefault="00BA2763" w:rsidP="00BA2763">
            <w:pPr>
              <w:rPr>
                <w:rFonts w:ascii="Arial" w:hAnsi="Arial" w:cs="Arial"/>
                <w:color w:val="000000"/>
                <w:sz w:val="20"/>
              </w:rPr>
            </w:pPr>
            <w:r>
              <w:rPr>
                <w:rFonts w:ascii="Arial" w:hAnsi="Arial" w:cs="Arial"/>
                <w:color w:val="000000"/>
                <w:sz w:val="20"/>
              </w:rPr>
              <w:t>Comparator:</w:t>
            </w:r>
            <w:r w:rsidR="002D4697" w:rsidRPr="002D4697">
              <w:rPr>
                <w:rFonts w:ascii="Arial" w:hAnsi="Arial"/>
                <w:sz w:val="22"/>
                <w:szCs w:val="22"/>
              </w:rPr>
              <w:t xml:space="preserve"> </w:t>
            </w:r>
            <w:r w:rsidR="002D4697" w:rsidRPr="002D4697">
              <w:rPr>
                <w:rFonts w:ascii="Arial" w:hAnsi="Arial" w:cs="Arial"/>
                <w:color w:val="000000"/>
                <w:sz w:val="20"/>
              </w:rPr>
              <w:t>dapagliflozin</w:t>
            </w:r>
          </w:p>
        </w:tc>
        <w:tc>
          <w:tcPr>
            <w:tcW w:w="5245" w:type="dxa"/>
          </w:tcPr>
          <w:p w:rsidR="00BA2763" w:rsidRDefault="008A58A1" w:rsidP="00A46DC5">
            <w:pPr>
              <w:autoSpaceDN w:val="0"/>
              <w:rPr>
                <w:rFonts w:ascii="Arial" w:hAnsi="Arial" w:cs="Arial"/>
                <w:sz w:val="20"/>
              </w:rPr>
            </w:pPr>
            <w:r w:rsidRPr="008A58A1">
              <w:rPr>
                <w:rFonts w:ascii="Arial" w:hAnsi="Arial" w:cs="Arial"/>
                <w:sz w:val="20"/>
              </w:rPr>
              <w:t xml:space="preserve">Accepted. This was unchanged in the minor re-submission as the PBAC had considered it appropriate. The PBAC had also noted that </w:t>
            </w:r>
            <w:proofErr w:type="spellStart"/>
            <w:r w:rsidRPr="008A58A1">
              <w:rPr>
                <w:rFonts w:ascii="Arial" w:hAnsi="Arial" w:cs="Arial"/>
                <w:sz w:val="20"/>
              </w:rPr>
              <w:t>exenatide</w:t>
            </w:r>
            <w:proofErr w:type="spellEnd"/>
            <w:r w:rsidRPr="008A58A1">
              <w:rPr>
                <w:rFonts w:ascii="Arial" w:hAnsi="Arial" w:cs="Arial"/>
                <w:sz w:val="20"/>
              </w:rPr>
              <w:t xml:space="preserve"> and insulin up-titration would have been appropriate secondary comparators but were not considered in the submission.</w:t>
            </w:r>
          </w:p>
        </w:tc>
      </w:tr>
      <w:tr w:rsidR="00BA2763" w:rsidRPr="009B735A" w:rsidTr="0037709E">
        <w:trPr>
          <w:trHeight w:val="2119"/>
        </w:trPr>
        <w:tc>
          <w:tcPr>
            <w:tcW w:w="2127" w:type="dxa"/>
            <w:vMerge/>
          </w:tcPr>
          <w:p w:rsidR="00BA2763" w:rsidRDefault="00BA2763" w:rsidP="00BA2763">
            <w:pPr>
              <w:rPr>
                <w:rFonts w:ascii="Arial" w:hAnsi="Arial" w:cs="Arial"/>
                <w:color w:val="000000"/>
                <w:sz w:val="20"/>
              </w:rPr>
            </w:pPr>
          </w:p>
        </w:tc>
        <w:tc>
          <w:tcPr>
            <w:tcW w:w="2126" w:type="dxa"/>
            <w:vMerge/>
          </w:tcPr>
          <w:p w:rsidR="00BA2763" w:rsidRDefault="00BA2763" w:rsidP="00CA0C65">
            <w:pPr>
              <w:rPr>
                <w:rFonts w:ascii="Arial" w:hAnsi="Arial" w:cs="Arial"/>
                <w:color w:val="000000"/>
                <w:sz w:val="20"/>
              </w:rPr>
            </w:pPr>
          </w:p>
        </w:tc>
        <w:tc>
          <w:tcPr>
            <w:tcW w:w="1843" w:type="dxa"/>
            <w:vMerge/>
          </w:tcPr>
          <w:p w:rsidR="00BA2763" w:rsidRDefault="00BA2763" w:rsidP="00092130">
            <w:pPr>
              <w:rPr>
                <w:rFonts w:ascii="Arial" w:hAnsi="Arial" w:cs="Arial"/>
                <w:color w:val="000000"/>
                <w:sz w:val="20"/>
              </w:rPr>
            </w:pPr>
          </w:p>
        </w:tc>
        <w:tc>
          <w:tcPr>
            <w:tcW w:w="4110" w:type="dxa"/>
          </w:tcPr>
          <w:p w:rsidR="00BA2763" w:rsidRDefault="00BA2763" w:rsidP="00BA2763">
            <w:pPr>
              <w:rPr>
                <w:rFonts w:ascii="Arial" w:hAnsi="Arial" w:cs="Arial"/>
                <w:color w:val="000000"/>
                <w:sz w:val="20"/>
              </w:rPr>
            </w:pPr>
            <w:r>
              <w:rPr>
                <w:rFonts w:ascii="Arial" w:hAnsi="Arial" w:cs="Arial"/>
                <w:color w:val="000000"/>
                <w:sz w:val="20"/>
              </w:rPr>
              <w:t>Clinical claim</w:t>
            </w:r>
            <w:r w:rsidR="008A58A1">
              <w:rPr>
                <w:rFonts w:ascii="Arial" w:hAnsi="Arial" w:cs="Arial"/>
                <w:color w:val="000000"/>
                <w:sz w:val="20"/>
              </w:rPr>
              <w:t xml:space="preserve">: </w:t>
            </w:r>
            <w:r w:rsidR="008A58A1" w:rsidRPr="008A58A1">
              <w:rPr>
                <w:rFonts w:ascii="Arial" w:hAnsi="Arial" w:cs="Arial"/>
                <w:color w:val="000000"/>
                <w:sz w:val="20"/>
              </w:rPr>
              <w:t>Non-inferior comparative effectiveness and similar comparative safety of sitagliptin</w:t>
            </w:r>
            <w:r w:rsidR="008A58A1" w:rsidRPr="008A58A1">
              <w:rPr>
                <w:rFonts w:ascii="Arial" w:hAnsi="Arial" w:cs="Arial"/>
                <w:i/>
                <w:color w:val="000000"/>
                <w:sz w:val="20"/>
              </w:rPr>
              <w:t xml:space="preserve"> </w:t>
            </w:r>
            <w:r w:rsidR="008A58A1" w:rsidRPr="008A58A1">
              <w:rPr>
                <w:rFonts w:ascii="Arial" w:hAnsi="Arial" w:cs="Arial"/>
                <w:color w:val="000000"/>
                <w:sz w:val="20"/>
              </w:rPr>
              <w:t>compared with dapagliflozin</w:t>
            </w:r>
          </w:p>
        </w:tc>
        <w:tc>
          <w:tcPr>
            <w:tcW w:w="5245" w:type="dxa"/>
          </w:tcPr>
          <w:p w:rsidR="008A58A1" w:rsidRPr="008A58A1" w:rsidRDefault="008A58A1" w:rsidP="008A58A1">
            <w:pPr>
              <w:autoSpaceDN w:val="0"/>
              <w:rPr>
                <w:rFonts w:ascii="Arial" w:hAnsi="Arial" w:cs="Arial"/>
                <w:bCs/>
                <w:sz w:val="20"/>
                <w:lang w:val="en-GB"/>
              </w:rPr>
            </w:pPr>
            <w:r w:rsidRPr="008A58A1">
              <w:rPr>
                <w:rFonts w:ascii="Arial" w:hAnsi="Arial" w:cs="Arial"/>
                <w:sz w:val="20"/>
              </w:rPr>
              <w:t xml:space="preserve">Accepted. </w:t>
            </w:r>
            <w:r w:rsidRPr="008A58A1">
              <w:rPr>
                <w:rFonts w:ascii="Arial" w:hAnsi="Arial" w:cs="Arial"/>
                <w:bCs/>
                <w:sz w:val="20"/>
              </w:rPr>
              <w:t xml:space="preserve">The PBAC recalled its July 2015 conclusion </w:t>
            </w:r>
            <w:r w:rsidRPr="008A58A1">
              <w:rPr>
                <w:rFonts w:ascii="Arial" w:hAnsi="Arial" w:cs="Arial"/>
                <w:bCs/>
                <w:sz w:val="20"/>
                <w:lang w:val="en-GB"/>
              </w:rPr>
              <w:t xml:space="preserve">that the clinical data presented were not adequate to support </w:t>
            </w:r>
            <w:r w:rsidRPr="008A58A1">
              <w:rPr>
                <w:rFonts w:ascii="Arial" w:hAnsi="Arial" w:cs="Arial"/>
                <w:bCs/>
                <w:sz w:val="20"/>
              </w:rPr>
              <w:t>a</w:t>
            </w:r>
            <w:r w:rsidRPr="008A58A1">
              <w:rPr>
                <w:rFonts w:ascii="Arial" w:hAnsi="Arial" w:cs="Arial"/>
                <w:bCs/>
                <w:sz w:val="20"/>
                <w:lang w:val="en-GB"/>
              </w:rPr>
              <w:t xml:space="preserve"> claim of</w:t>
            </w:r>
            <w:r w:rsidRPr="008A58A1">
              <w:rPr>
                <w:rFonts w:ascii="Arial" w:hAnsi="Arial" w:cs="Arial"/>
                <w:bCs/>
                <w:sz w:val="20"/>
              </w:rPr>
              <w:t xml:space="preserve"> non-inferior comparative effectiveness (as measured by reduction in HbA1c) and similar reduction in mean daily insulin dose for sitagliptin compared to dapagliflozin</w:t>
            </w:r>
            <w:r w:rsidRPr="008A58A1">
              <w:rPr>
                <w:rFonts w:ascii="Arial" w:hAnsi="Arial" w:cs="Arial"/>
                <w:bCs/>
                <w:sz w:val="20"/>
                <w:lang w:val="en-GB"/>
              </w:rPr>
              <w:t xml:space="preserve">. </w:t>
            </w:r>
          </w:p>
          <w:p w:rsidR="008A58A1" w:rsidRPr="008A58A1" w:rsidRDefault="008A58A1" w:rsidP="008A58A1">
            <w:pPr>
              <w:autoSpaceDN w:val="0"/>
              <w:rPr>
                <w:rFonts w:ascii="Arial" w:hAnsi="Arial" w:cs="Arial"/>
                <w:bCs/>
                <w:sz w:val="20"/>
                <w:lang w:val="en-GB"/>
              </w:rPr>
            </w:pPr>
          </w:p>
          <w:p w:rsidR="008A58A1" w:rsidRPr="008A58A1" w:rsidRDefault="008A58A1" w:rsidP="008A58A1">
            <w:pPr>
              <w:autoSpaceDN w:val="0"/>
              <w:rPr>
                <w:rFonts w:ascii="Arial" w:hAnsi="Arial" w:cs="Arial"/>
                <w:bCs/>
                <w:sz w:val="20"/>
                <w:lang w:val="en-GB"/>
              </w:rPr>
            </w:pPr>
            <w:r w:rsidRPr="008A58A1">
              <w:rPr>
                <w:rFonts w:ascii="Arial" w:hAnsi="Arial" w:cs="Arial"/>
                <w:bCs/>
                <w:sz w:val="20"/>
                <w:lang w:val="en-GB"/>
              </w:rPr>
              <w:t xml:space="preserve">The PBAC noted the limitations on the available data, however concluded that sitagliptin is likely to be non-inferior to dapagliflozin in this regard. </w:t>
            </w:r>
          </w:p>
          <w:p w:rsidR="00BA2763" w:rsidRDefault="00BA2763" w:rsidP="00A46DC5">
            <w:pPr>
              <w:autoSpaceDN w:val="0"/>
              <w:rPr>
                <w:rFonts w:ascii="Arial" w:hAnsi="Arial" w:cs="Arial"/>
                <w:sz w:val="20"/>
              </w:rPr>
            </w:pPr>
            <w:bookmarkStart w:id="0" w:name="_GoBack"/>
            <w:bookmarkEnd w:id="0"/>
          </w:p>
        </w:tc>
      </w:tr>
      <w:tr w:rsidR="00BA2763" w:rsidRPr="009B735A" w:rsidTr="00BA2763">
        <w:trPr>
          <w:trHeight w:val="1786"/>
        </w:trPr>
        <w:tc>
          <w:tcPr>
            <w:tcW w:w="2127" w:type="dxa"/>
            <w:vMerge/>
          </w:tcPr>
          <w:p w:rsidR="00BA2763" w:rsidRDefault="00BA2763" w:rsidP="00BA2763">
            <w:pPr>
              <w:rPr>
                <w:rFonts w:ascii="Arial" w:hAnsi="Arial" w:cs="Arial"/>
                <w:color w:val="000000"/>
                <w:sz w:val="20"/>
              </w:rPr>
            </w:pPr>
          </w:p>
        </w:tc>
        <w:tc>
          <w:tcPr>
            <w:tcW w:w="2126" w:type="dxa"/>
            <w:vMerge/>
          </w:tcPr>
          <w:p w:rsidR="00BA2763" w:rsidRDefault="00BA2763" w:rsidP="00CA0C65">
            <w:pPr>
              <w:rPr>
                <w:rFonts w:ascii="Arial" w:hAnsi="Arial" w:cs="Arial"/>
                <w:color w:val="000000"/>
                <w:sz w:val="20"/>
              </w:rPr>
            </w:pPr>
          </w:p>
        </w:tc>
        <w:tc>
          <w:tcPr>
            <w:tcW w:w="1843" w:type="dxa"/>
            <w:vMerge/>
          </w:tcPr>
          <w:p w:rsidR="00BA2763" w:rsidRDefault="00BA2763" w:rsidP="00092130">
            <w:pPr>
              <w:rPr>
                <w:rFonts w:ascii="Arial" w:hAnsi="Arial" w:cs="Arial"/>
                <w:color w:val="000000"/>
                <w:sz w:val="20"/>
              </w:rPr>
            </w:pPr>
          </w:p>
        </w:tc>
        <w:tc>
          <w:tcPr>
            <w:tcW w:w="4110" w:type="dxa"/>
          </w:tcPr>
          <w:p w:rsidR="00BA2763" w:rsidRDefault="00BA2763" w:rsidP="00BA2763">
            <w:pPr>
              <w:rPr>
                <w:rFonts w:ascii="Arial" w:hAnsi="Arial" w:cs="Arial"/>
                <w:color w:val="000000"/>
                <w:sz w:val="20"/>
              </w:rPr>
            </w:pPr>
            <w:r>
              <w:rPr>
                <w:rFonts w:ascii="Arial" w:hAnsi="Arial" w:cs="Arial"/>
                <w:color w:val="000000"/>
                <w:sz w:val="20"/>
              </w:rPr>
              <w:t>Economic claim:</w:t>
            </w:r>
          </w:p>
          <w:p w:rsidR="002D4697" w:rsidRPr="002D4697" w:rsidRDefault="002D4697" w:rsidP="002D4697">
            <w:pPr>
              <w:rPr>
                <w:rFonts w:ascii="Arial" w:hAnsi="Arial" w:cs="Arial"/>
                <w:color w:val="000000"/>
                <w:sz w:val="20"/>
              </w:rPr>
            </w:pPr>
            <w:r w:rsidRPr="002D4697">
              <w:rPr>
                <w:rFonts w:ascii="Arial" w:hAnsi="Arial" w:cs="Arial"/>
                <w:color w:val="000000"/>
                <w:sz w:val="20"/>
              </w:rPr>
              <w:t>Cost-minimisation analysis to dapagliflozin.</w:t>
            </w:r>
          </w:p>
          <w:p w:rsidR="002D4697" w:rsidRDefault="002D4697" w:rsidP="00BA2763">
            <w:pPr>
              <w:rPr>
                <w:rFonts w:ascii="Arial" w:hAnsi="Arial" w:cs="Arial"/>
                <w:color w:val="000000"/>
                <w:sz w:val="20"/>
              </w:rPr>
            </w:pPr>
          </w:p>
        </w:tc>
        <w:tc>
          <w:tcPr>
            <w:tcW w:w="5245" w:type="dxa"/>
          </w:tcPr>
          <w:p w:rsidR="00BA2763" w:rsidRDefault="008A58A1" w:rsidP="00A46DC5">
            <w:pPr>
              <w:autoSpaceDN w:val="0"/>
              <w:rPr>
                <w:rFonts w:ascii="Arial" w:hAnsi="Arial" w:cs="Arial"/>
                <w:sz w:val="20"/>
              </w:rPr>
            </w:pPr>
            <w:r w:rsidRPr="008A58A1">
              <w:rPr>
                <w:rFonts w:ascii="Arial" w:hAnsi="Arial" w:cs="Arial"/>
                <w:sz w:val="20"/>
              </w:rPr>
              <w:t xml:space="preserve">Not accepted. The PBAC reiterated its view that the increased daily insulin dose accompanying sitagliptin treatment should be taken into account in the cost-minimisation analysis of any future resubmission.  </w:t>
            </w:r>
          </w:p>
        </w:tc>
      </w:tr>
      <w:tr w:rsidR="00BA2763" w:rsidRPr="009B735A" w:rsidTr="0037709E">
        <w:trPr>
          <w:trHeight w:val="1785"/>
        </w:trPr>
        <w:tc>
          <w:tcPr>
            <w:tcW w:w="2127" w:type="dxa"/>
            <w:vMerge/>
          </w:tcPr>
          <w:p w:rsidR="00BA2763" w:rsidRDefault="00BA2763" w:rsidP="00BA2763">
            <w:pPr>
              <w:rPr>
                <w:rFonts w:ascii="Arial" w:hAnsi="Arial" w:cs="Arial"/>
                <w:color w:val="000000"/>
                <w:sz w:val="20"/>
              </w:rPr>
            </w:pPr>
          </w:p>
        </w:tc>
        <w:tc>
          <w:tcPr>
            <w:tcW w:w="2126" w:type="dxa"/>
            <w:vMerge/>
          </w:tcPr>
          <w:p w:rsidR="00BA2763" w:rsidRDefault="00BA2763" w:rsidP="00CA0C65">
            <w:pPr>
              <w:rPr>
                <w:rFonts w:ascii="Arial" w:hAnsi="Arial" w:cs="Arial"/>
                <w:color w:val="000000"/>
                <w:sz w:val="20"/>
              </w:rPr>
            </w:pPr>
          </w:p>
        </w:tc>
        <w:tc>
          <w:tcPr>
            <w:tcW w:w="1843" w:type="dxa"/>
            <w:vMerge/>
          </w:tcPr>
          <w:p w:rsidR="00BA2763" w:rsidRDefault="00BA2763" w:rsidP="00092130">
            <w:pPr>
              <w:rPr>
                <w:rFonts w:ascii="Arial" w:hAnsi="Arial" w:cs="Arial"/>
                <w:color w:val="000000"/>
                <w:sz w:val="20"/>
              </w:rPr>
            </w:pPr>
          </w:p>
        </w:tc>
        <w:tc>
          <w:tcPr>
            <w:tcW w:w="4110" w:type="dxa"/>
          </w:tcPr>
          <w:p w:rsidR="00BA2763" w:rsidRDefault="00BA2763" w:rsidP="00BA2763">
            <w:pPr>
              <w:rPr>
                <w:rFonts w:ascii="Arial" w:hAnsi="Arial" w:cs="Arial"/>
                <w:color w:val="000000"/>
                <w:sz w:val="20"/>
              </w:rPr>
            </w:pPr>
            <w:r w:rsidRPr="008A58A1">
              <w:rPr>
                <w:rFonts w:ascii="Arial" w:hAnsi="Arial" w:cs="Arial"/>
                <w:color w:val="000000"/>
                <w:sz w:val="20"/>
              </w:rPr>
              <w:t>Sponsor comment:</w:t>
            </w:r>
          </w:p>
        </w:tc>
        <w:tc>
          <w:tcPr>
            <w:tcW w:w="5245" w:type="dxa"/>
          </w:tcPr>
          <w:p w:rsidR="00BA2763" w:rsidRDefault="00AF499C" w:rsidP="00A46DC5">
            <w:pPr>
              <w:autoSpaceDN w:val="0"/>
              <w:rPr>
                <w:rFonts w:ascii="Arial" w:hAnsi="Arial" w:cs="Arial"/>
                <w:sz w:val="20"/>
              </w:rPr>
            </w:pPr>
            <w:r w:rsidRPr="00AF499C">
              <w:rPr>
                <w:rFonts w:ascii="Arial" w:hAnsi="Arial" w:cs="Arial"/>
                <w:sz w:val="20"/>
              </w:rPr>
              <w:t>The sponsor is disappointed with the PBAC’s decision but will work with the PBAC to resolve the outstanding matters.</w:t>
            </w:r>
          </w:p>
        </w:tc>
      </w:tr>
      <w:tr w:rsidR="00BA2763" w:rsidRPr="009B735A" w:rsidTr="00BA2763">
        <w:trPr>
          <w:trHeight w:val="566"/>
        </w:trPr>
        <w:tc>
          <w:tcPr>
            <w:tcW w:w="2127" w:type="dxa"/>
            <w:vMerge w:val="restart"/>
          </w:tcPr>
          <w:p w:rsidR="00BA2763" w:rsidRDefault="00BA2763" w:rsidP="00BA2763">
            <w:pPr>
              <w:rPr>
                <w:rFonts w:ascii="Arial" w:hAnsi="Arial" w:cs="Arial"/>
                <w:color w:val="000000"/>
                <w:sz w:val="20"/>
              </w:rPr>
            </w:pPr>
            <w:r>
              <w:rPr>
                <w:rFonts w:ascii="Arial" w:hAnsi="Arial" w:cs="Arial"/>
                <w:color w:val="000000"/>
                <w:sz w:val="20"/>
              </w:rPr>
              <w:t>VINFLUNINE DITARTRATE</w:t>
            </w:r>
            <w:r>
              <w:rPr>
                <w:rFonts w:ascii="Arial" w:hAnsi="Arial" w:cs="Arial"/>
                <w:color w:val="000000"/>
                <w:sz w:val="20"/>
              </w:rPr>
              <w:br/>
              <w:t>50 mg/2 mL injection, 2 mL vial</w:t>
            </w:r>
            <w:r>
              <w:rPr>
                <w:rFonts w:ascii="Arial" w:hAnsi="Arial" w:cs="Arial"/>
                <w:color w:val="000000"/>
                <w:sz w:val="20"/>
              </w:rPr>
              <w:br/>
              <w:t>250 mg/10 mL injection, 10 mL vial</w:t>
            </w:r>
            <w:r>
              <w:rPr>
                <w:rFonts w:ascii="Arial" w:hAnsi="Arial" w:cs="Arial"/>
                <w:color w:val="000000"/>
                <w:sz w:val="20"/>
              </w:rPr>
              <w:br/>
            </w:r>
            <w:r>
              <w:rPr>
                <w:rFonts w:ascii="Arial" w:hAnsi="Arial" w:cs="Arial"/>
                <w:color w:val="000000"/>
                <w:sz w:val="20"/>
              </w:rPr>
              <w:br/>
            </w:r>
            <w:proofErr w:type="spellStart"/>
            <w:r>
              <w:rPr>
                <w:rFonts w:ascii="Arial" w:hAnsi="Arial" w:cs="Arial"/>
                <w:color w:val="000000"/>
                <w:sz w:val="20"/>
              </w:rPr>
              <w:t>Javlor</w:t>
            </w:r>
            <w:proofErr w:type="spellEnd"/>
            <w:r>
              <w:rPr>
                <w:rFonts w:ascii="Arial" w:hAnsi="Arial" w:cs="Arial"/>
                <w:color w:val="000000"/>
                <w:sz w:val="20"/>
              </w:rPr>
              <w:br/>
            </w:r>
            <w:r>
              <w:rPr>
                <w:rFonts w:ascii="Arial" w:hAnsi="Arial" w:cs="Arial"/>
                <w:color w:val="000000"/>
                <w:sz w:val="20"/>
              </w:rPr>
              <w:br/>
            </w:r>
            <w:r>
              <w:rPr>
                <w:rFonts w:ascii="Arial" w:hAnsi="Arial" w:cs="Arial"/>
                <w:color w:val="000000"/>
                <w:sz w:val="20"/>
              </w:rPr>
              <w:lastRenderedPageBreak/>
              <w:t>Pierre Fabre Australia Pty Ltd</w:t>
            </w:r>
            <w:r>
              <w:rPr>
                <w:rFonts w:ascii="Arial" w:hAnsi="Arial" w:cs="Arial"/>
                <w:color w:val="000000"/>
                <w:sz w:val="20"/>
              </w:rPr>
              <w:br/>
            </w:r>
            <w:r>
              <w:rPr>
                <w:rFonts w:ascii="Arial" w:hAnsi="Arial" w:cs="Arial"/>
                <w:color w:val="000000"/>
                <w:sz w:val="20"/>
              </w:rPr>
              <w:br/>
              <w:t>New listing</w:t>
            </w:r>
            <w:r>
              <w:rPr>
                <w:rFonts w:ascii="Arial" w:hAnsi="Arial" w:cs="Arial"/>
                <w:color w:val="000000"/>
                <w:sz w:val="20"/>
              </w:rPr>
              <w:br/>
            </w:r>
            <w:r>
              <w:rPr>
                <w:rFonts w:ascii="Arial" w:hAnsi="Arial" w:cs="Arial"/>
                <w:color w:val="000000"/>
                <w:sz w:val="20"/>
              </w:rPr>
              <w:br/>
              <w:t>(Major Submission)</w:t>
            </w:r>
          </w:p>
          <w:p w:rsidR="00BA2763" w:rsidRPr="004571A9" w:rsidRDefault="00BA2763" w:rsidP="00CA0C65">
            <w:pPr>
              <w:rPr>
                <w:rFonts w:ascii="Arial" w:hAnsi="Arial" w:cs="Arial"/>
                <w:color w:val="000000"/>
                <w:sz w:val="20"/>
              </w:rPr>
            </w:pPr>
          </w:p>
        </w:tc>
        <w:tc>
          <w:tcPr>
            <w:tcW w:w="2126" w:type="dxa"/>
            <w:vMerge w:val="restart"/>
          </w:tcPr>
          <w:p w:rsidR="00BA2763" w:rsidRDefault="00EB0038" w:rsidP="00CA0C65">
            <w:pPr>
              <w:rPr>
                <w:rFonts w:ascii="Arial" w:hAnsi="Arial" w:cs="Arial"/>
                <w:color w:val="000000"/>
                <w:sz w:val="20"/>
              </w:rPr>
            </w:pPr>
            <w:r w:rsidRPr="00EB0038">
              <w:rPr>
                <w:rFonts w:ascii="Arial" w:hAnsi="Arial" w:cs="Arial"/>
                <w:color w:val="000000"/>
                <w:sz w:val="20"/>
              </w:rPr>
              <w:lastRenderedPageBreak/>
              <w:t xml:space="preserve">Vinflunine is registered for the treatment of adult patients with advanced or metastatic transitional cell carcinoma of the urothelial tract </w:t>
            </w:r>
            <w:r w:rsidRPr="00EB0038">
              <w:rPr>
                <w:rFonts w:ascii="Arial" w:hAnsi="Arial" w:cs="Arial"/>
                <w:color w:val="000000"/>
                <w:sz w:val="20"/>
              </w:rPr>
              <w:lastRenderedPageBreak/>
              <w:t>(TCCU) after failure of a prior platinum-containing regimen</w:t>
            </w:r>
          </w:p>
        </w:tc>
        <w:tc>
          <w:tcPr>
            <w:tcW w:w="1843" w:type="dxa"/>
            <w:vMerge w:val="restart"/>
          </w:tcPr>
          <w:p w:rsidR="00EB0038" w:rsidRPr="00EB0038" w:rsidRDefault="00EB0038" w:rsidP="00EB0038">
            <w:pPr>
              <w:rPr>
                <w:rFonts w:ascii="Arial" w:hAnsi="Arial" w:cs="Arial"/>
                <w:color w:val="000000"/>
                <w:sz w:val="20"/>
              </w:rPr>
            </w:pPr>
            <w:r w:rsidRPr="00EB0038">
              <w:rPr>
                <w:rFonts w:ascii="Arial" w:hAnsi="Arial" w:cs="Arial"/>
                <w:color w:val="000000"/>
                <w:sz w:val="20"/>
              </w:rPr>
              <w:lastRenderedPageBreak/>
              <w:t xml:space="preserve">Vinflunine is currently not listed on the PBS. </w:t>
            </w:r>
          </w:p>
          <w:p w:rsidR="00BA2763" w:rsidRDefault="00BA2763" w:rsidP="00092130">
            <w:pPr>
              <w:rPr>
                <w:rFonts w:ascii="Arial" w:hAnsi="Arial" w:cs="Arial"/>
                <w:color w:val="000000"/>
                <w:sz w:val="20"/>
              </w:rPr>
            </w:pPr>
          </w:p>
        </w:tc>
        <w:tc>
          <w:tcPr>
            <w:tcW w:w="4110" w:type="dxa"/>
          </w:tcPr>
          <w:p w:rsidR="00BA2763" w:rsidRPr="000805C6" w:rsidRDefault="002B09FF" w:rsidP="00CA71F0">
            <w:pPr>
              <w:pStyle w:val="ListBullet"/>
            </w:pPr>
            <w:r w:rsidRPr="002B09FF">
              <w:rPr>
                <w:color w:val="000000"/>
              </w:rPr>
              <w:t>The re-submission requested listing under the Efficient Funding of Chemotherapy program for vinflunine for treatment of adult patients with advanced or metastatic transitional cell carcinoma of the urothelial tract (TCCU) after failure of a prior platinum-containing regimen</w:t>
            </w:r>
          </w:p>
        </w:tc>
        <w:tc>
          <w:tcPr>
            <w:tcW w:w="5245" w:type="dxa"/>
          </w:tcPr>
          <w:p w:rsidR="00BA2763" w:rsidRDefault="002B09FF" w:rsidP="00A46DC5">
            <w:pPr>
              <w:autoSpaceDN w:val="0"/>
              <w:rPr>
                <w:rFonts w:ascii="Arial" w:hAnsi="Arial" w:cs="Arial"/>
                <w:sz w:val="20"/>
              </w:rPr>
            </w:pPr>
            <w:r w:rsidRPr="009B33C3">
              <w:rPr>
                <w:rFonts w:ascii="Arial" w:hAnsi="Arial" w:cs="Arial"/>
                <w:bCs/>
                <w:snapToGrid w:val="0"/>
                <w:sz w:val="20"/>
                <w:lang w:val="en-GB" w:eastAsia="en-US"/>
              </w:rPr>
              <w:t>The PBAC did not recommend the Section 100 (Efficient Funding of Chemotherapy) listing of vinflunine (as ditartrate) for treatment of adult patients with advanced or metastatic transitional cell carcinoma of the urothelial tract (TCCU) after failure of a prior platinum-containing regimen, on the basis of insufficient evidence of comparative clinical benefit compared to alternative treatments and a high and highly uncertain incremental cost-effectiveness ratio.</w:t>
            </w:r>
          </w:p>
        </w:tc>
      </w:tr>
      <w:tr w:rsidR="00BA2763" w:rsidRPr="009B735A" w:rsidTr="0037709E">
        <w:trPr>
          <w:trHeight w:val="564"/>
        </w:trPr>
        <w:tc>
          <w:tcPr>
            <w:tcW w:w="2127" w:type="dxa"/>
            <w:vMerge/>
          </w:tcPr>
          <w:p w:rsidR="00BA2763" w:rsidRDefault="00BA2763" w:rsidP="00BA2763">
            <w:pPr>
              <w:rPr>
                <w:rFonts w:ascii="Arial" w:hAnsi="Arial" w:cs="Arial"/>
                <w:color w:val="000000"/>
                <w:sz w:val="20"/>
              </w:rPr>
            </w:pPr>
          </w:p>
        </w:tc>
        <w:tc>
          <w:tcPr>
            <w:tcW w:w="2126" w:type="dxa"/>
            <w:vMerge/>
          </w:tcPr>
          <w:p w:rsidR="00BA2763" w:rsidRDefault="00BA2763" w:rsidP="00CA0C65">
            <w:pPr>
              <w:rPr>
                <w:rFonts w:ascii="Arial" w:hAnsi="Arial" w:cs="Arial"/>
                <w:color w:val="000000"/>
                <w:sz w:val="20"/>
              </w:rPr>
            </w:pPr>
          </w:p>
        </w:tc>
        <w:tc>
          <w:tcPr>
            <w:tcW w:w="1843" w:type="dxa"/>
            <w:vMerge/>
          </w:tcPr>
          <w:p w:rsidR="00BA2763" w:rsidRDefault="00BA2763" w:rsidP="00092130">
            <w:pPr>
              <w:rPr>
                <w:rFonts w:ascii="Arial" w:hAnsi="Arial" w:cs="Arial"/>
                <w:color w:val="000000"/>
                <w:sz w:val="20"/>
              </w:rPr>
            </w:pPr>
          </w:p>
        </w:tc>
        <w:tc>
          <w:tcPr>
            <w:tcW w:w="4110" w:type="dxa"/>
          </w:tcPr>
          <w:p w:rsidR="00BA2763" w:rsidRDefault="00BA2763" w:rsidP="00BA2763">
            <w:pPr>
              <w:rPr>
                <w:rFonts w:ascii="Arial" w:hAnsi="Arial" w:cs="Arial"/>
                <w:color w:val="000000"/>
                <w:sz w:val="20"/>
              </w:rPr>
            </w:pPr>
            <w:r>
              <w:rPr>
                <w:rFonts w:ascii="Arial" w:hAnsi="Arial" w:cs="Arial"/>
                <w:color w:val="000000"/>
                <w:sz w:val="20"/>
              </w:rPr>
              <w:t>Comparator:</w:t>
            </w:r>
            <w:r w:rsidR="002B09FF" w:rsidRPr="002B09FF">
              <w:rPr>
                <w:rFonts w:ascii="Arial" w:hAnsi="Arial" w:cs="Arial"/>
                <w:snapToGrid w:val="0"/>
                <w:sz w:val="20"/>
                <w:lang w:eastAsia="en-US"/>
              </w:rPr>
              <w:t xml:space="preserve"> </w:t>
            </w:r>
            <w:r w:rsidR="002B09FF" w:rsidRPr="002B09FF">
              <w:rPr>
                <w:rFonts w:ascii="Arial" w:hAnsi="Arial" w:cs="Arial"/>
                <w:color w:val="000000"/>
                <w:sz w:val="20"/>
              </w:rPr>
              <w:t>Best supportive care and active therapy.</w:t>
            </w:r>
          </w:p>
        </w:tc>
        <w:tc>
          <w:tcPr>
            <w:tcW w:w="5245" w:type="dxa"/>
          </w:tcPr>
          <w:p w:rsidR="00BA2763" w:rsidRDefault="002B09FF" w:rsidP="00A46DC5">
            <w:pPr>
              <w:autoSpaceDN w:val="0"/>
              <w:rPr>
                <w:rFonts w:ascii="Arial" w:hAnsi="Arial" w:cs="Arial"/>
                <w:sz w:val="20"/>
              </w:rPr>
            </w:pPr>
            <w:r w:rsidRPr="002B09FF">
              <w:rPr>
                <w:rFonts w:ascii="Arial" w:hAnsi="Arial" w:cs="Arial"/>
                <w:sz w:val="20"/>
              </w:rPr>
              <w:t>In regards to the comparator, the PBAC noted that the ESC considered that comparisons against both active chemotherapy and BSC were relevant. The PBAC reiterated their view from November 2011 that whilst BSC is an appropriate comparator in determining the efficacy of vinflunine, it is not relevant in Australian clinical practice as vinflunine will likely replace or defer other drugs. The PBAC considered that current standard of care is preferable for the determination of relative effectiveness and therefore the translatability of the trial data to the proposed use in Australia is an area of significant uncertainty.</w:t>
            </w:r>
          </w:p>
        </w:tc>
      </w:tr>
      <w:tr w:rsidR="00BA2763" w:rsidRPr="009B735A" w:rsidTr="00BA2763">
        <w:trPr>
          <w:trHeight w:val="813"/>
        </w:trPr>
        <w:tc>
          <w:tcPr>
            <w:tcW w:w="2127" w:type="dxa"/>
            <w:vMerge/>
          </w:tcPr>
          <w:p w:rsidR="00BA2763" w:rsidRDefault="00BA2763" w:rsidP="00BA2763">
            <w:pPr>
              <w:rPr>
                <w:rFonts w:ascii="Arial" w:hAnsi="Arial" w:cs="Arial"/>
                <w:color w:val="000000"/>
                <w:sz w:val="20"/>
              </w:rPr>
            </w:pPr>
          </w:p>
        </w:tc>
        <w:tc>
          <w:tcPr>
            <w:tcW w:w="2126" w:type="dxa"/>
            <w:vMerge/>
          </w:tcPr>
          <w:p w:rsidR="00BA2763" w:rsidRDefault="00BA2763" w:rsidP="00CA0C65">
            <w:pPr>
              <w:rPr>
                <w:rFonts w:ascii="Arial" w:hAnsi="Arial" w:cs="Arial"/>
                <w:color w:val="000000"/>
                <w:sz w:val="20"/>
              </w:rPr>
            </w:pPr>
          </w:p>
        </w:tc>
        <w:tc>
          <w:tcPr>
            <w:tcW w:w="1843" w:type="dxa"/>
            <w:vMerge/>
          </w:tcPr>
          <w:p w:rsidR="00BA2763" w:rsidRDefault="00BA2763" w:rsidP="00092130">
            <w:pPr>
              <w:rPr>
                <w:rFonts w:ascii="Arial" w:hAnsi="Arial" w:cs="Arial"/>
                <w:color w:val="000000"/>
                <w:sz w:val="20"/>
              </w:rPr>
            </w:pPr>
          </w:p>
        </w:tc>
        <w:tc>
          <w:tcPr>
            <w:tcW w:w="4110" w:type="dxa"/>
          </w:tcPr>
          <w:p w:rsidR="00BA2763" w:rsidRDefault="00BA2763" w:rsidP="00BA2763">
            <w:pPr>
              <w:rPr>
                <w:rFonts w:ascii="Arial" w:hAnsi="Arial" w:cs="Arial"/>
                <w:color w:val="000000"/>
                <w:sz w:val="20"/>
              </w:rPr>
            </w:pPr>
            <w:r>
              <w:rPr>
                <w:rFonts w:ascii="Arial" w:hAnsi="Arial" w:cs="Arial"/>
                <w:color w:val="000000"/>
                <w:sz w:val="20"/>
              </w:rPr>
              <w:t>Clinical claim</w:t>
            </w:r>
            <w:r w:rsidR="002B09FF">
              <w:rPr>
                <w:rFonts w:ascii="Arial" w:hAnsi="Arial" w:cs="Arial"/>
                <w:color w:val="000000"/>
                <w:sz w:val="20"/>
              </w:rPr>
              <w:t>:</w:t>
            </w:r>
          </w:p>
          <w:p w:rsidR="002B09FF" w:rsidRPr="002B09FF" w:rsidRDefault="002B09FF" w:rsidP="002B09FF">
            <w:pPr>
              <w:rPr>
                <w:rFonts w:ascii="Arial" w:hAnsi="Arial" w:cs="Arial"/>
                <w:color w:val="000000"/>
                <w:sz w:val="20"/>
              </w:rPr>
            </w:pPr>
            <w:r w:rsidRPr="002B09FF">
              <w:rPr>
                <w:rFonts w:ascii="Arial" w:hAnsi="Arial" w:cs="Arial"/>
                <w:color w:val="000000"/>
                <w:sz w:val="20"/>
              </w:rPr>
              <w:t>Vinflunine is superior in terms of comparative effectiveness and inferior in terms of comparative safety over BSC.</w:t>
            </w:r>
          </w:p>
          <w:p w:rsidR="002B09FF" w:rsidRDefault="002B09FF" w:rsidP="002B09FF">
            <w:pPr>
              <w:rPr>
                <w:rFonts w:ascii="Arial" w:hAnsi="Arial" w:cs="Arial"/>
                <w:color w:val="000000"/>
                <w:sz w:val="20"/>
              </w:rPr>
            </w:pPr>
            <w:r w:rsidRPr="002B09FF">
              <w:rPr>
                <w:rFonts w:ascii="Arial" w:hAnsi="Arial" w:cs="Arial"/>
                <w:color w:val="000000"/>
                <w:sz w:val="20"/>
              </w:rPr>
              <w:t>Vinflunine is superior in terms of comparative effectiveness and similar in terms of comparative safety over active chemotherapy.</w:t>
            </w:r>
          </w:p>
        </w:tc>
        <w:tc>
          <w:tcPr>
            <w:tcW w:w="5245" w:type="dxa"/>
          </w:tcPr>
          <w:p w:rsidR="002B09FF" w:rsidRPr="002B09FF" w:rsidRDefault="002B09FF" w:rsidP="002B09FF">
            <w:pPr>
              <w:autoSpaceDN w:val="0"/>
              <w:rPr>
                <w:rFonts w:ascii="Arial" w:hAnsi="Arial" w:cs="Arial"/>
                <w:sz w:val="20"/>
              </w:rPr>
            </w:pPr>
            <w:r w:rsidRPr="002B09FF">
              <w:rPr>
                <w:rFonts w:ascii="Arial" w:hAnsi="Arial" w:cs="Arial"/>
                <w:sz w:val="20"/>
              </w:rPr>
              <w:t xml:space="preserve">Not accepted. The PBAC recalled at the November 2011 consideration that the Committee accepted that vinflunine is superior in terms of comparative efficacy over BSC but noted that the increment in overall survival is uncertain and, at best, is between 2.3 (ITT) and 2.6 months (eligible ITT) and was at a cost of significant treatment-related toxicity. On the basis of the head to head trial presented, vinflunine + BSC </w:t>
            </w:r>
            <w:proofErr w:type="gramStart"/>
            <w:r w:rsidRPr="002B09FF">
              <w:rPr>
                <w:rFonts w:ascii="Arial" w:hAnsi="Arial" w:cs="Arial"/>
                <w:sz w:val="20"/>
              </w:rPr>
              <w:t>is</w:t>
            </w:r>
            <w:proofErr w:type="gramEnd"/>
            <w:r w:rsidRPr="002B09FF">
              <w:rPr>
                <w:rFonts w:ascii="Arial" w:hAnsi="Arial" w:cs="Arial"/>
                <w:sz w:val="20"/>
              </w:rPr>
              <w:t xml:space="preserve"> more likely to cause serious adverse events; per 100 patients treated, 15 are more likely to have a serious adverse event than patients receiving BSC. </w:t>
            </w:r>
          </w:p>
          <w:p w:rsidR="00BA2763" w:rsidRDefault="00BA2763" w:rsidP="00A46DC5">
            <w:pPr>
              <w:autoSpaceDN w:val="0"/>
              <w:rPr>
                <w:rFonts w:ascii="Arial" w:hAnsi="Arial" w:cs="Arial"/>
                <w:sz w:val="20"/>
              </w:rPr>
            </w:pPr>
          </w:p>
          <w:p w:rsidR="002B09FF" w:rsidRDefault="002B09FF" w:rsidP="00A46DC5">
            <w:pPr>
              <w:autoSpaceDN w:val="0"/>
              <w:rPr>
                <w:rFonts w:ascii="Arial" w:hAnsi="Arial" w:cs="Arial"/>
                <w:sz w:val="20"/>
              </w:rPr>
            </w:pPr>
            <w:r w:rsidRPr="009B33C3">
              <w:rPr>
                <w:rFonts w:ascii="Arial" w:hAnsi="Arial" w:cs="Arial"/>
                <w:snapToGrid w:val="0"/>
                <w:sz w:val="20"/>
                <w:lang w:eastAsia="en-US"/>
              </w:rPr>
              <w:t>The PBAC considered that the resubmissio</w:t>
            </w:r>
            <w:r w:rsidR="00116400">
              <w:rPr>
                <w:rFonts w:ascii="Arial" w:hAnsi="Arial" w:cs="Arial"/>
                <w:snapToGrid w:val="0"/>
                <w:sz w:val="20"/>
                <w:lang w:eastAsia="en-US"/>
              </w:rPr>
              <w:t>n had not supported a claim that</w:t>
            </w:r>
            <w:r w:rsidRPr="009B33C3">
              <w:rPr>
                <w:rFonts w:ascii="Arial" w:hAnsi="Arial" w:cs="Arial"/>
                <w:snapToGrid w:val="0"/>
                <w:sz w:val="20"/>
                <w:lang w:eastAsia="en-US"/>
              </w:rPr>
              <w:t xml:space="preserve"> efficacy of vinflunine would provide a significant health benefit compared to active chemotherapy in patients with advanced or metastatic TCCU.</w:t>
            </w:r>
          </w:p>
        </w:tc>
      </w:tr>
      <w:tr w:rsidR="002B09FF" w:rsidRPr="009B735A" w:rsidTr="00BA2763">
        <w:trPr>
          <w:trHeight w:val="219"/>
        </w:trPr>
        <w:tc>
          <w:tcPr>
            <w:tcW w:w="2127" w:type="dxa"/>
            <w:vMerge/>
          </w:tcPr>
          <w:p w:rsidR="002B09FF" w:rsidRDefault="002B09FF" w:rsidP="00BA2763">
            <w:pPr>
              <w:rPr>
                <w:rFonts w:ascii="Arial" w:hAnsi="Arial" w:cs="Arial"/>
                <w:color w:val="000000"/>
                <w:sz w:val="20"/>
              </w:rPr>
            </w:pPr>
          </w:p>
        </w:tc>
        <w:tc>
          <w:tcPr>
            <w:tcW w:w="2126" w:type="dxa"/>
            <w:vMerge/>
          </w:tcPr>
          <w:p w:rsidR="002B09FF" w:rsidRDefault="002B09FF" w:rsidP="00CA0C65">
            <w:pPr>
              <w:rPr>
                <w:rFonts w:ascii="Arial" w:hAnsi="Arial" w:cs="Arial"/>
                <w:color w:val="000000"/>
                <w:sz w:val="20"/>
              </w:rPr>
            </w:pPr>
          </w:p>
        </w:tc>
        <w:tc>
          <w:tcPr>
            <w:tcW w:w="1843" w:type="dxa"/>
            <w:vMerge/>
          </w:tcPr>
          <w:p w:rsidR="002B09FF" w:rsidRDefault="002B09FF" w:rsidP="00092130">
            <w:pPr>
              <w:rPr>
                <w:rFonts w:ascii="Arial" w:hAnsi="Arial" w:cs="Arial"/>
                <w:color w:val="000000"/>
                <w:sz w:val="20"/>
              </w:rPr>
            </w:pPr>
          </w:p>
        </w:tc>
        <w:tc>
          <w:tcPr>
            <w:tcW w:w="4110" w:type="dxa"/>
          </w:tcPr>
          <w:p w:rsidR="002B09FF" w:rsidRDefault="002B09FF" w:rsidP="00BA2763">
            <w:pPr>
              <w:rPr>
                <w:rFonts w:ascii="Arial" w:hAnsi="Arial" w:cs="Arial"/>
                <w:color w:val="000000"/>
                <w:sz w:val="20"/>
              </w:rPr>
            </w:pPr>
            <w:r>
              <w:rPr>
                <w:rFonts w:ascii="Arial" w:hAnsi="Arial" w:cs="Arial"/>
                <w:color w:val="000000"/>
                <w:sz w:val="20"/>
              </w:rPr>
              <w:t>Economic claim:</w:t>
            </w:r>
          </w:p>
          <w:p w:rsidR="002B09FF" w:rsidRDefault="002B09FF" w:rsidP="00BA2763">
            <w:pPr>
              <w:rPr>
                <w:rFonts w:ascii="Arial" w:hAnsi="Arial" w:cs="Arial"/>
                <w:color w:val="000000"/>
                <w:sz w:val="20"/>
              </w:rPr>
            </w:pPr>
            <w:r w:rsidRPr="009B33C3">
              <w:rPr>
                <w:rFonts w:ascii="Arial" w:hAnsi="Arial" w:cs="Arial"/>
                <w:sz w:val="20"/>
              </w:rPr>
              <w:t>Listing was sought on the basis that vinflunine is cost-effective compared with best supportive care.</w:t>
            </w:r>
          </w:p>
        </w:tc>
        <w:tc>
          <w:tcPr>
            <w:tcW w:w="5245" w:type="dxa"/>
          </w:tcPr>
          <w:p w:rsidR="002B09FF" w:rsidRDefault="002B09FF" w:rsidP="00A46DC5">
            <w:pPr>
              <w:autoSpaceDN w:val="0"/>
              <w:rPr>
                <w:rFonts w:ascii="Arial" w:hAnsi="Arial" w:cs="Arial"/>
                <w:sz w:val="20"/>
              </w:rPr>
            </w:pPr>
            <w:r w:rsidRPr="009B33C3">
              <w:rPr>
                <w:rFonts w:ascii="Arial" w:hAnsi="Arial" w:cs="Arial"/>
                <w:snapToGrid w:val="0"/>
                <w:sz w:val="20"/>
                <w:lang w:eastAsia="en-US"/>
              </w:rPr>
              <w:t xml:space="preserve">Not accepted. The PBAC reiterated their view from November 2011 that the intention to treat (ITT) population in the clinical trial should be used in considering the effectiveness of vinflunine as the ITT population more closely approximates the likely PBS population. The PBAC noted that the use of the ITT </w:t>
            </w:r>
            <w:r w:rsidRPr="009B33C3">
              <w:rPr>
                <w:rFonts w:ascii="Arial" w:hAnsi="Arial" w:cs="Arial"/>
                <w:snapToGrid w:val="0"/>
                <w:sz w:val="20"/>
                <w:lang w:eastAsia="en-US"/>
              </w:rPr>
              <w:lastRenderedPageBreak/>
              <w:t>population in economic model resulted in an ICER/QALY of $75,000 – $105,000, which the Committee considered was not cost-effective.</w:t>
            </w:r>
          </w:p>
        </w:tc>
      </w:tr>
      <w:tr w:rsidR="002B09FF" w:rsidRPr="009B735A" w:rsidTr="0037709E">
        <w:trPr>
          <w:trHeight w:val="219"/>
        </w:trPr>
        <w:tc>
          <w:tcPr>
            <w:tcW w:w="2127" w:type="dxa"/>
            <w:vMerge/>
          </w:tcPr>
          <w:p w:rsidR="002B09FF" w:rsidRDefault="002B09FF" w:rsidP="00BA2763">
            <w:pPr>
              <w:rPr>
                <w:rFonts w:ascii="Arial" w:hAnsi="Arial" w:cs="Arial"/>
                <w:color w:val="000000"/>
                <w:sz w:val="20"/>
              </w:rPr>
            </w:pPr>
          </w:p>
        </w:tc>
        <w:tc>
          <w:tcPr>
            <w:tcW w:w="2126" w:type="dxa"/>
            <w:vMerge/>
          </w:tcPr>
          <w:p w:rsidR="002B09FF" w:rsidRDefault="002B09FF" w:rsidP="00CA0C65">
            <w:pPr>
              <w:rPr>
                <w:rFonts w:ascii="Arial" w:hAnsi="Arial" w:cs="Arial"/>
                <w:color w:val="000000"/>
                <w:sz w:val="20"/>
              </w:rPr>
            </w:pPr>
          </w:p>
        </w:tc>
        <w:tc>
          <w:tcPr>
            <w:tcW w:w="1843" w:type="dxa"/>
            <w:vMerge/>
          </w:tcPr>
          <w:p w:rsidR="002B09FF" w:rsidRDefault="002B09FF" w:rsidP="00092130">
            <w:pPr>
              <w:rPr>
                <w:rFonts w:ascii="Arial" w:hAnsi="Arial" w:cs="Arial"/>
                <w:color w:val="000000"/>
                <w:sz w:val="20"/>
              </w:rPr>
            </w:pPr>
          </w:p>
        </w:tc>
        <w:tc>
          <w:tcPr>
            <w:tcW w:w="4110" w:type="dxa"/>
          </w:tcPr>
          <w:p w:rsidR="002B09FF" w:rsidRDefault="002B09FF" w:rsidP="00BA2763">
            <w:pPr>
              <w:rPr>
                <w:rFonts w:ascii="Arial" w:hAnsi="Arial" w:cs="Arial"/>
                <w:color w:val="000000"/>
                <w:sz w:val="20"/>
              </w:rPr>
            </w:pPr>
            <w:r>
              <w:rPr>
                <w:rFonts w:ascii="Arial" w:hAnsi="Arial" w:cs="Arial"/>
                <w:color w:val="000000"/>
                <w:sz w:val="20"/>
              </w:rPr>
              <w:t>Sponsor’s comment:</w:t>
            </w:r>
          </w:p>
        </w:tc>
        <w:tc>
          <w:tcPr>
            <w:tcW w:w="5245" w:type="dxa"/>
          </w:tcPr>
          <w:p w:rsidR="00427A84" w:rsidRPr="00427A84" w:rsidRDefault="00427A84" w:rsidP="00427A84">
            <w:pPr>
              <w:autoSpaceDN w:val="0"/>
              <w:rPr>
                <w:rFonts w:ascii="Arial" w:hAnsi="Arial" w:cs="Arial"/>
                <w:sz w:val="20"/>
              </w:rPr>
            </w:pPr>
            <w:r w:rsidRPr="00427A84">
              <w:rPr>
                <w:rFonts w:ascii="Arial" w:hAnsi="Arial" w:cs="Arial"/>
                <w:sz w:val="20"/>
              </w:rPr>
              <w:t>Pierre Fabre is disappointed by the PBAC decision, however will continue to work with the Department towards reimbursement of vinflunine for metastatic bladder cancer patients.</w:t>
            </w:r>
          </w:p>
          <w:p w:rsidR="002B09FF" w:rsidRDefault="002B09FF" w:rsidP="00A46DC5">
            <w:pPr>
              <w:autoSpaceDN w:val="0"/>
              <w:rPr>
                <w:rFonts w:ascii="Arial" w:hAnsi="Arial" w:cs="Arial"/>
                <w:sz w:val="20"/>
              </w:rPr>
            </w:pPr>
          </w:p>
        </w:tc>
      </w:tr>
    </w:tbl>
    <w:p w:rsidR="0078027D" w:rsidRPr="00FB0F40" w:rsidRDefault="0078027D" w:rsidP="002A7FDE">
      <w:pPr>
        <w:pStyle w:val="Title"/>
        <w:jc w:val="left"/>
        <w:rPr>
          <w:rFonts w:cs="Arial"/>
          <w:b w:val="0"/>
          <w:color w:val="000000"/>
        </w:rPr>
      </w:pPr>
    </w:p>
    <w:sectPr w:rsidR="0078027D" w:rsidRPr="00FB0F40" w:rsidSect="000805C6">
      <w:headerReference w:type="default" r:id="rId10"/>
      <w:footerReference w:type="default" r:id="rId11"/>
      <w:headerReference w:type="first" r:id="rId12"/>
      <w:footerReference w:type="first" r:id="rId13"/>
      <w:pgSz w:w="16840" w:h="11907" w:orient="landscape" w:code="9"/>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B4F" w:rsidRDefault="00415B4F">
      <w:r>
        <w:separator/>
      </w:r>
    </w:p>
  </w:endnote>
  <w:endnote w:type="continuationSeparator" w:id="0">
    <w:p w:rsidR="00415B4F" w:rsidRDefault="0041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C6" w:rsidRDefault="000805C6" w:rsidP="000805C6">
    <w:pPr>
      <w:pStyle w:val="Footer"/>
      <w:jc w:val="right"/>
    </w:pPr>
  </w:p>
  <w:p w:rsidR="000805C6" w:rsidRPr="000805C6" w:rsidRDefault="000805C6" w:rsidP="000805C6">
    <w:pPr>
      <w:pStyle w:val="Footer"/>
      <w:jc w:val="right"/>
      <w:rPr>
        <w:rFonts w:ascii="Arial" w:hAnsi="Arial" w:cs="Arial"/>
        <w:sz w:val="22"/>
      </w:rPr>
    </w:pPr>
    <w:r w:rsidRPr="000805C6">
      <w:rPr>
        <w:rFonts w:ascii="Arial" w:hAnsi="Arial" w:cs="Arial"/>
        <w:sz w:val="22"/>
      </w:rPr>
      <w:fldChar w:fldCharType="begin"/>
    </w:r>
    <w:r w:rsidRPr="000805C6">
      <w:rPr>
        <w:rFonts w:ascii="Arial" w:hAnsi="Arial" w:cs="Arial"/>
        <w:sz w:val="22"/>
      </w:rPr>
      <w:instrText xml:space="preserve"> PAGE   \* MERGEFORMAT </w:instrText>
    </w:r>
    <w:r w:rsidRPr="000805C6">
      <w:rPr>
        <w:rFonts w:ascii="Arial" w:hAnsi="Arial" w:cs="Arial"/>
        <w:sz w:val="22"/>
      </w:rPr>
      <w:fldChar w:fldCharType="separate"/>
    </w:r>
    <w:r w:rsidR="00AF499C">
      <w:rPr>
        <w:rFonts w:ascii="Arial" w:hAnsi="Arial" w:cs="Arial"/>
        <w:noProof/>
        <w:sz w:val="22"/>
      </w:rPr>
      <w:t>6</w:t>
    </w:r>
    <w:r w:rsidRPr="000805C6">
      <w:rPr>
        <w:rFonts w:ascii="Arial" w:hAnsi="Arial" w:cs="Arial"/>
        <w:noProof/>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C6" w:rsidRDefault="000805C6">
    <w:pPr>
      <w:pStyle w:val="Footer"/>
      <w:jc w:val="right"/>
    </w:pPr>
  </w:p>
  <w:p w:rsidR="000805C6" w:rsidRPr="000805C6" w:rsidRDefault="000805C6">
    <w:pPr>
      <w:pStyle w:val="Footer"/>
      <w:jc w:val="right"/>
      <w:rPr>
        <w:rFonts w:ascii="Arial" w:hAnsi="Arial" w:cs="Arial"/>
        <w:sz w:val="22"/>
      </w:rPr>
    </w:pPr>
    <w:r w:rsidRPr="000805C6">
      <w:rPr>
        <w:rFonts w:ascii="Arial" w:hAnsi="Arial" w:cs="Arial"/>
        <w:sz w:val="22"/>
      </w:rPr>
      <w:fldChar w:fldCharType="begin"/>
    </w:r>
    <w:r w:rsidRPr="000805C6">
      <w:rPr>
        <w:rFonts w:ascii="Arial" w:hAnsi="Arial" w:cs="Arial"/>
        <w:sz w:val="22"/>
      </w:rPr>
      <w:instrText xml:space="preserve"> PAGE   \* MERGEFORMAT </w:instrText>
    </w:r>
    <w:r w:rsidRPr="000805C6">
      <w:rPr>
        <w:rFonts w:ascii="Arial" w:hAnsi="Arial" w:cs="Arial"/>
        <w:sz w:val="22"/>
      </w:rPr>
      <w:fldChar w:fldCharType="separate"/>
    </w:r>
    <w:r w:rsidR="00AF499C">
      <w:rPr>
        <w:rFonts w:ascii="Arial" w:hAnsi="Arial" w:cs="Arial"/>
        <w:noProof/>
        <w:sz w:val="22"/>
      </w:rPr>
      <w:t>1</w:t>
    </w:r>
    <w:r w:rsidRPr="000805C6">
      <w:rPr>
        <w:rFonts w:ascii="Arial" w:hAnsi="Arial" w:cs="Arial"/>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B4F" w:rsidRDefault="00415B4F">
      <w:r>
        <w:separator/>
      </w:r>
    </w:p>
  </w:footnote>
  <w:footnote w:type="continuationSeparator" w:id="0">
    <w:p w:rsidR="00415B4F" w:rsidRDefault="00415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C6" w:rsidRDefault="000805C6" w:rsidP="000805C6">
    <w:pPr>
      <w:pStyle w:val="Header"/>
      <w:jc w:val="center"/>
      <w:rPr>
        <w:rFonts w:ascii="Arial" w:hAnsi="Arial" w:cs="Arial"/>
        <w:b/>
        <w:sz w:val="20"/>
      </w:rPr>
    </w:pPr>
    <w:r w:rsidRPr="004C071C">
      <w:rPr>
        <w:rFonts w:ascii="Arial" w:hAnsi="Arial" w:cs="Arial"/>
        <w:b/>
        <w:sz w:val="20"/>
      </w:rPr>
      <w:t>N</w:t>
    </w:r>
    <w:r>
      <w:rPr>
        <w:rFonts w:ascii="Arial" w:hAnsi="Arial" w:cs="Arial"/>
        <w:b/>
        <w:sz w:val="20"/>
      </w:rPr>
      <w:t>OVEMBER 2014 PBAC OUTCOMES – SUBSEQUENT</w:t>
    </w:r>
    <w:r w:rsidRPr="004C071C">
      <w:rPr>
        <w:rFonts w:ascii="Arial" w:hAnsi="Arial" w:cs="Arial"/>
        <w:b/>
        <w:sz w:val="20"/>
      </w:rPr>
      <w:t xml:space="preserve"> DECISIONS NOT TO RECOMMEND</w:t>
    </w:r>
  </w:p>
  <w:p w:rsidR="000805C6" w:rsidRPr="004C071C" w:rsidRDefault="000805C6" w:rsidP="000805C6">
    <w:pPr>
      <w:pStyle w:val="Header"/>
      <w:jc w:val="center"/>
      <w:rPr>
        <w:rFonts w:ascii="Arial" w:hAnsi="Arial" w:cs="Arial"/>
        <w:b/>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975" w:rsidRDefault="00681D49" w:rsidP="00613975">
    <w:pPr>
      <w:pStyle w:val="Header"/>
      <w:jc w:val="center"/>
      <w:rPr>
        <w:rFonts w:ascii="Arial" w:hAnsi="Arial" w:cs="Arial"/>
        <w:b/>
        <w:sz w:val="20"/>
      </w:rPr>
    </w:pPr>
    <w:r>
      <w:rPr>
        <w:rFonts w:ascii="Arial" w:hAnsi="Arial" w:cs="Arial"/>
        <w:b/>
        <w:sz w:val="20"/>
      </w:rPr>
      <w:t xml:space="preserve">NOVEMBER 2015 </w:t>
    </w:r>
    <w:r w:rsidR="00A24F2E" w:rsidRPr="00A24F2E">
      <w:rPr>
        <w:rFonts w:ascii="Arial" w:hAnsi="Arial" w:cs="Arial"/>
        <w:b/>
        <w:sz w:val="20"/>
      </w:rPr>
      <w:t xml:space="preserve">PBAC MEETING </w:t>
    </w:r>
    <w:r w:rsidR="000805C6">
      <w:rPr>
        <w:rFonts w:ascii="Arial" w:hAnsi="Arial" w:cs="Arial"/>
        <w:b/>
        <w:sz w:val="20"/>
      </w:rPr>
      <w:t>OUTCOMES – SUBSEQUENT</w:t>
    </w:r>
    <w:r w:rsidR="00613975" w:rsidRPr="004C071C">
      <w:rPr>
        <w:rFonts w:ascii="Arial" w:hAnsi="Arial" w:cs="Arial"/>
        <w:b/>
        <w:sz w:val="20"/>
      </w:rPr>
      <w:t xml:space="preserve"> DECISION</w:t>
    </w:r>
    <w:r w:rsidR="00B10521" w:rsidRPr="004C071C">
      <w:rPr>
        <w:rFonts w:ascii="Arial" w:hAnsi="Arial" w:cs="Arial"/>
        <w:b/>
        <w:sz w:val="20"/>
      </w:rPr>
      <w:t>S</w:t>
    </w:r>
    <w:r w:rsidR="00613975" w:rsidRPr="004C071C">
      <w:rPr>
        <w:rFonts w:ascii="Arial" w:hAnsi="Arial" w:cs="Arial"/>
        <w:b/>
        <w:sz w:val="20"/>
      </w:rPr>
      <w:t xml:space="preserve"> NOT TO RECOMMEND</w:t>
    </w:r>
  </w:p>
  <w:p w:rsidR="000805C6" w:rsidRPr="004C071C" w:rsidRDefault="000805C6" w:rsidP="00613975">
    <w:pPr>
      <w:pStyle w:val="Header"/>
      <w:jc w:val="center"/>
      <w:rPr>
        <w:rFonts w:ascii="Arial" w:hAnsi="Arial" w:cs="Arial"/>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34204E4"/>
    <w:lvl w:ilvl="0">
      <w:start w:val="1"/>
      <w:numFmt w:val="bullet"/>
      <w:lvlText w:val=""/>
      <w:lvlJc w:val="left"/>
      <w:pPr>
        <w:tabs>
          <w:tab w:val="num" w:pos="360"/>
        </w:tabs>
        <w:ind w:left="360" w:hanging="360"/>
      </w:pPr>
      <w:rPr>
        <w:rFonts w:ascii="Symbol" w:hAnsi="Symbol" w:hint="default"/>
      </w:rPr>
    </w:lvl>
  </w:abstractNum>
  <w:abstractNum w:abstractNumId="1">
    <w:nsid w:val="0EA32E10"/>
    <w:multiLevelType w:val="hybridMultilevel"/>
    <w:tmpl w:val="A380E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2F0B7C"/>
    <w:multiLevelType w:val="hybridMultilevel"/>
    <w:tmpl w:val="AA367A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1BF12DE7"/>
    <w:multiLevelType w:val="hybridMultilevel"/>
    <w:tmpl w:val="C78E1162"/>
    <w:lvl w:ilvl="0" w:tplc="FFFFFFFF">
      <w:start w:val="1"/>
      <w:numFmt w:val="bullet"/>
      <w:lvlText w:val=""/>
      <w:lvlJc w:val="left"/>
      <w:pPr>
        <w:tabs>
          <w:tab w:val="num" w:pos="1211"/>
        </w:tabs>
        <w:ind w:left="1211" w:hanging="851"/>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BFE1CB1"/>
    <w:multiLevelType w:val="hybridMultilevel"/>
    <w:tmpl w:val="CDC21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5BB3FC9"/>
    <w:multiLevelType w:val="hybridMultilevel"/>
    <w:tmpl w:val="753CD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0E45B9D"/>
    <w:multiLevelType w:val="hybridMultilevel"/>
    <w:tmpl w:val="B6CAE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3532F5D"/>
    <w:multiLevelType w:val="hybridMultilevel"/>
    <w:tmpl w:val="9048B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C9C6F2B"/>
    <w:multiLevelType w:val="hybridMultilevel"/>
    <w:tmpl w:val="4D122A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498414F6"/>
    <w:multiLevelType w:val="hybridMultilevel"/>
    <w:tmpl w:val="5E1A6990"/>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nsid w:val="61A41D69"/>
    <w:multiLevelType w:val="singleLevel"/>
    <w:tmpl w:val="04090011"/>
    <w:lvl w:ilvl="0">
      <w:start w:val="1"/>
      <w:numFmt w:val="decimal"/>
      <w:lvlText w:val="%1)"/>
      <w:lvlJc w:val="left"/>
      <w:pPr>
        <w:tabs>
          <w:tab w:val="num" w:pos="360"/>
        </w:tabs>
        <w:ind w:left="360" w:hanging="360"/>
      </w:pPr>
      <w:rPr>
        <w:rFonts w:hint="default"/>
      </w:rPr>
    </w:lvl>
  </w:abstractNum>
  <w:abstractNum w:abstractNumId="11">
    <w:nsid w:val="784D033C"/>
    <w:multiLevelType w:val="multilevel"/>
    <w:tmpl w:val="F942F08E"/>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A794BE9"/>
    <w:multiLevelType w:val="hybridMultilevel"/>
    <w:tmpl w:val="03088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9"/>
  </w:num>
  <w:num w:numId="4">
    <w:abstractNumId w:val="8"/>
  </w:num>
  <w:num w:numId="5">
    <w:abstractNumId w:val="3"/>
  </w:num>
  <w:num w:numId="6">
    <w:abstractNumId w:val="11"/>
  </w:num>
  <w:num w:numId="7">
    <w:abstractNumId w:val="6"/>
  </w:num>
  <w:num w:numId="8">
    <w:abstractNumId w:val="4"/>
  </w:num>
  <w:num w:numId="9">
    <w:abstractNumId w:val="1"/>
  </w:num>
  <w:num w:numId="10">
    <w:abstractNumId w:val="7"/>
  </w:num>
  <w:num w:numId="11">
    <w:abstractNumId w:val="5"/>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27D"/>
    <w:rsid w:val="0000028A"/>
    <w:rsid w:val="0001162E"/>
    <w:rsid w:val="00014389"/>
    <w:rsid w:val="00016ABD"/>
    <w:rsid w:val="00024634"/>
    <w:rsid w:val="00024F1C"/>
    <w:rsid w:val="00030555"/>
    <w:rsid w:val="00031C24"/>
    <w:rsid w:val="00031E49"/>
    <w:rsid w:val="00046D30"/>
    <w:rsid w:val="000632B7"/>
    <w:rsid w:val="00063F01"/>
    <w:rsid w:val="000703F3"/>
    <w:rsid w:val="000805C6"/>
    <w:rsid w:val="0008538A"/>
    <w:rsid w:val="00092130"/>
    <w:rsid w:val="0009305C"/>
    <w:rsid w:val="000B0FBC"/>
    <w:rsid w:val="000B4313"/>
    <w:rsid w:val="000B6738"/>
    <w:rsid w:val="000B779B"/>
    <w:rsid w:val="000D1304"/>
    <w:rsid w:val="000D3717"/>
    <w:rsid w:val="000E406F"/>
    <w:rsid w:val="000E52C4"/>
    <w:rsid w:val="000F0001"/>
    <w:rsid w:val="0010394D"/>
    <w:rsid w:val="001047FA"/>
    <w:rsid w:val="0011422C"/>
    <w:rsid w:val="00116400"/>
    <w:rsid w:val="00120488"/>
    <w:rsid w:val="001353D2"/>
    <w:rsid w:val="001441C5"/>
    <w:rsid w:val="00144E78"/>
    <w:rsid w:val="00170906"/>
    <w:rsid w:val="001810B2"/>
    <w:rsid w:val="001C0908"/>
    <w:rsid w:val="001C3707"/>
    <w:rsid w:val="001D38D0"/>
    <w:rsid w:val="001F5344"/>
    <w:rsid w:val="002007BA"/>
    <w:rsid w:val="00204DB4"/>
    <w:rsid w:val="002075FB"/>
    <w:rsid w:val="00220228"/>
    <w:rsid w:val="00220C3F"/>
    <w:rsid w:val="00223C4D"/>
    <w:rsid w:val="00225F5E"/>
    <w:rsid w:val="00237031"/>
    <w:rsid w:val="00241E9E"/>
    <w:rsid w:val="002440EA"/>
    <w:rsid w:val="002460D4"/>
    <w:rsid w:val="00255313"/>
    <w:rsid w:val="00256ACE"/>
    <w:rsid w:val="002743B5"/>
    <w:rsid w:val="002743DF"/>
    <w:rsid w:val="002745FA"/>
    <w:rsid w:val="002861D6"/>
    <w:rsid w:val="00287BC5"/>
    <w:rsid w:val="0029799D"/>
    <w:rsid w:val="002A1CF2"/>
    <w:rsid w:val="002A42C5"/>
    <w:rsid w:val="002A46E6"/>
    <w:rsid w:val="002A5152"/>
    <w:rsid w:val="002A7FDE"/>
    <w:rsid w:val="002B09FF"/>
    <w:rsid w:val="002D4697"/>
    <w:rsid w:val="002D5494"/>
    <w:rsid w:val="002E5B33"/>
    <w:rsid w:val="002F0F71"/>
    <w:rsid w:val="002F408A"/>
    <w:rsid w:val="002F465D"/>
    <w:rsid w:val="002F5086"/>
    <w:rsid w:val="002F62A6"/>
    <w:rsid w:val="00302B1F"/>
    <w:rsid w:val="00303527"/>
    <w:rsid w:val="00305656"/>
    <w:rsid w:val="00312E87"/>
    <w:rsid w:val="00320F76"/>
    <w:rsid w:val="00322CA5"/>
    <w:rsid w:val="003335F7"/>
    <w:rsid w:val="00337EC3"/>
    <w:rsid w:val="003419C9"/>
    <w:rsid w:val="00347546"/>
    <w:rsid w:val="00357071"/>
    <w:rsid w:val="003622CF"/>
    <w:rsid w:val="00367CA3"/>
    <w:rsid w:val="003764B9"/>
    <w:rsid w:val="0037709E"/>
    <w:rsid w:val="0038283E"/>
    <w:rsid w:val="0039594A"/>
    <w:rsid w:val="0039641E"/>
    <w:rsid w:val="003B47E9"/>
    <w:rsid w:val="003B6CFA"/>
    <w:rsid w:val="003C3492"/>
    <w:rsid w:val="003D0BD9"/>
    <w:rsid w:val="003E2DEC"/>
    <w:rsid w:val="003E3C69"/>
    <w:rsid w:val="003E5ACC"/>
    <w:rsid w:val="003F12A1"/>
    <w:rsid w:val="003F7763"/>
    <w:rsid w:val="00404C57"/>
    <w:rsid w:val="004074CD"/>
    <w:rsid w:val="00413CAD"/>
    <w:rsid w:val="00415B4F"/>
    <w:rsid w:val="00416C9D"/>
    <w:rsid w:val="00420F1D"/>
    <w:rsid w:val="00427A84"/>
    <w:rsid w:val="0043706A"/>
    <w:rsid w:val="00446F57"/>
    <w:rsid w:val="0044777F"/>
    <w:rsid w:val="004571A9"/>
    <w:rsid w:val="00462127"/>
    <w:rsid w:val="00467522"/>
    <w:rsid w:val="00475539"/>
    <w:rsid w:val="00477C5E"/>
    <w:rsid w:val="004874F1"/>
    <w:rsid w:val="0049673E"/>
    <w:rsid w:val="004968F4"/>
    <w:rsid w:val="004A6DF5"/>
    <w:rsid w:val="004A7506"/>
    <w:rsid w:val="004A76AD"/>
    <w:rsid w:val="004C071C"/>
    <w:rsid w:val="004C0A09"/>
    <w:rsid w:val="004C3700"/>
    <w:rsid w:val="004D08BF"/>
    <w:rsid w:val="004D2DFC"/>
    <w:rsid w:val="004D3102"/>
    <w:rsid w:val="004E4BB3"/>
    <w:rsid w:val="004E58AE"/>
    <w:rsid w:val="004E61E5"/>
    <w:rsid w:val="004E7F92"/>
    <w:rsid w:val="004F22AF"/>
    <w:rsid w:val="004F53A2"/>
    <w:rsid w:val="005060C3"/>
    <w:rsid w:val="005156A1"/>
    <w:rsid w:val="0052128E"/>
    <w:rsid w:val="00524927"/>
    <w:rsid w:val="005334F6"/>
    <w:rsid w:val="00533EC6"/>
    <w:rsid w:val="00551121"/>
    <w:rsid w:val="00556A91"/>
    <w:rsid w:val="0056006F"/>
    <w:rsid w:val="00565922"/>
    <w:rsid w:val="00575B97"/>
    <w:rsid w:val="00583A1F"/>
    <w:rsid w:val="00591511"/>
    <w:rsid w:val="005A1020"/>
    <w:rsid w:val="005A4700"/>
    <w:rsid w:val="005B1359"/>
    <w:rsid w:val="005B1B61"/>
    <w:rsid w:val="005C51C0"/>
    <w:rsid w:val="005C529C"/>
    <w:rsid w:val="005C583B"/>
    <w:rsid w:val="005C6293"/>
    <w:rsid w:val="005D0350"/>
    <w:rsid w:val="005D65C8"/>
    <w:rsid w:val="00606B1D"/>
    <w:rsid w:val="00613975"/>
    <w:rsid w:val="0062060A"/>
    <w:rsid w:val="006227C5"/>
    <w:rsid w:val="0063660C"/>
    <w:rsid w:val="00636B27"/>
    <w:rsid w:val="006378CF"/>
    <w:rsid w:val="00642575"/>
    <w:rsid w:val="00650E81"/>
    <w:rsid w:val="00655D5C"/>
    <w:rsid w:val="00656151"/>
    <w:rsid w:val="00662936"/>
    <w:rsid w:val="00670168"/>
    <w:rsid w:val="00674FEC"/>
    <w:rsid w:val="00680915"/>
    <w:rsid w:val="00681D49"/>
    <w:rsid w:val="00695D28"/>
    <w:rsid w:val="006A0AA8"/>
    <w:rsid w:val="006A4BE8"/>
    <w:rsid w:val="006C196C"/>
    <w:rsid w:val="006C1CD8"/>
    <w:rsid w:val="006D33CD"/>
    <w:rsid w:val="006E0C7B"/>
    <w:rsid w:val="006F3F91"/>
    <w:rsid w:val="006F40D1"/>
    <w:rsid w:val="006F67A0"/>
    <w:rsid w:val="00704ABF"/>
    <w:rsid w:val="00704E74"/>
    <w:rsid w:val="00713D93"/>
    <w:rsid w:val="00720097"/>
    <w:rsid w:val="00735D52"/>
    <w:rsid w:val="00743998"/>
    <w:rsid w:val="00751128"/>
    <w:rsid w:val="0075364D"/>
    <w:rsid w:val="007572F6"/>
    <w:rsid w:val="007605AB"/>
    <w:rsid w:val="0076473F"/>
    <w:rsid w:val="00770B47"/>
    <w:rsid w:val="0078027D"/>
    <w:rsid w:val="00784382"/>
    <w:rsid w:val="0079164A"/>
    <w:rsid w:val="007A29FA"/>
    <w:rsid w:val="007A361E"/>
    <w:rsid w:val="007C0EDE"/>
    <w:rsid w:val="007D073C"/>
    <w:rsid w:val="007D085A"/>
    <w:rsid w:val="007D1705"/>
    <w:rsid w:val="007D7B99"/>
    <w:rsid w:val="007E1CE0"/>
    <w:rsid w:val="0080031A"/>
    <w:rsid w:val="0080046E"/>
    <w:rsid w:val="00804E3F"/>
    <w:rsid w:val="008068F2"/>
    <w:rsid w:val="00815D6B"/>
    <w:rsid w:val="0081702A"/>
    <w:rsid w:val="00821E75"/>
    <w:rsid w:val="00826000"/>
    <w:rsid w:val="008401C9"/>
    <w:rsid w:val="00842F8C"/>
    <w:rsid w:val="00850073"/>
    <w:rsid w:val="0085670C"/>
    <w:rsid w:val="0086299E"/>
    <w:rsid w:val="0086603E"/>
    <w:rsid w:val="0088182F"/>
    <w:rsid w:val="00894F3A"/>
    <w:rsid w:val="008A58A1"/>
    <w:rsid w:val="008A5929"/>
    <w:rsid w:val="008A6919"/>
    <w:rsid w:val="008B0E22"/>
    <w:rsid w:val="008B7160"/>
    <w:rsid w:val="008C185A"/>
    <w:rsid w:val="008C6E23"/>
    <w:rsid w:val="008D676E"/>
    <w:rsid w:val="008D72BA"/>
    <w:rsid w:val="008E0965"/>
    <w:rsid w:val="00903B06"/>
    <w:rsid w:val="009044AF"/>
    <w:rsid w:val="0091542D"/>
    <w:rsid w:val="009224BE"/>
    <w:rsid w:val="00924932"/>
    <w:rsid w:val="00934AD5"/>
    <w:rsid w:val="00947268"/>
    <w:rsid w:val="00947987"/>
    <w:rsid w:val="00950F1F"/>
    <w:rsid w:val="00957F9F"/>
    <w:rsid w:val="00972B1B"/>
    <w:rsid w:val="0098248A"/>
    <w:rsid w:val="0099147E"/>
    <w:rsid w:val="00991AFC"/>
    <w:rsid w:val="009B2F04"/>
    <w:rsid w:val="009B6E95"/>
    <w:rsid w:val="009B735A"/>
    <w:rsid w:val="009B7CBE"/>
    <w:rsid w:val="009C73A4"/>
    <w:rsid w:val="009C7FD0"/>
    <w:rsid w:val="009D1D30"/>
    <w:rsid w:val="009E299C"/>
    <w:rsid w:val="009E6539"/>
    <w:rsid w:val="009F0ED6"/>
    <w:rsid w:val="009F3C03"/>
    <w:rsid w:val="009F42BE"/>
    <w:rsid w:val="009F5E7E"/>
    <w:rsid w:val="009F631F"/>
    <w:rsid w:val="00A02424"/>
    <w:rsid w:val="00A07C14"/>
    <w:rsid w:val="00A24F2E"/>
    <w:rsid w:val="00A26805"/>
    <w:rsid w:val="00A42D88"/>
    <w:rsid w:val="00A46DC5"/>
    <w:rsid w:val="00A55002"/>
    <w:rsid w:val="00A56ED7"/>
    <w:rsid w:val="00A62091"/>
    <w:rsid w:val="00A62D7E"/>
    <w:rsid w:val="00A706C5"/>
    <w:rsid w:val="00A72460"/>
    <w:rsid w:val="00A74BD3"/>
    <w:rsid w:val="00A865A1"/>
    <w:rsid w:val="00A87181"/>
    <w:rsid w:val="00A90F44"/>
    <w:rsid w:val="00A913CA"/>
    <w:rsid w:val="00A92110"/>
    <w:rsid w:val="00AD3357"/>
    <w:rsid w:val="00AD6BAE"/>
    <w:rsid w:val="00AE346B"/>
    <w:rsid w:val="00AE346F"/>
    <w:rsid w:val="00AE3F52"/>
    <w:rsid w:val="00AF499C"/>
    <w:rsid w:val="00AF4A3C"/>
    <w:rsid w:val="00AF66FF"/>
    <w:rsid w:val="00B10521"/>
    <w:rsid w:val="00B26FF7"/>
    <w:rsid w:val="00B43E46"/>
    <w:rsid w:val="00B44CA8"/>
    <w:rsid w:val="00B74F72"/>
    <w:rsid w:val="00B77A97"/>
    <w:rsid w:val="00B80FE3"/>
    <w:rsid w:val="00BA2763"/>
    <w:rsid w:val="00BC0474"/>
    <w:rsid w:val="00BC1FB7"/>
    <w:rsid w:val="00BC55C3"/>
    <w:rsid w:val="00BD58CA"/>
    <w:rsid w:val="00BD6EBF"/>
    <w:rsid w:val="00BE0E91"/>
    <w:rsid w:val="00BE58B8"/>
    <w:rsid w:val="00BE7D88"/>
    <w:rsid w:val="00BF7C88"/>
    <w:rsid w:val="00C0508C"/>
    <w:rsid w:val="00C110F0"/>
    <w:rsid w:val="00C1489F"/>
    <w:rsid w:val="00C17677"/>
    <w:rsid w:val="00C2561B"/>
    <w:rsid w:val="00C2611D"/>
    <w:rsid w:val="00C26A1C"/>
    <w:rsid w:val="00C333D1"/>
    <w:rsid w:val="00C34ADC"/>
    <w:rsid w:val="00C355A7"/>
    <w:rsid w:val="00C4326C"/>
    <w:rsid w:val="00C44762"/>
    <w:rsid w:val="00C464A5"/>
    <w:rsid w:val="00C710B2"/>
    <w:rsid w:val="00C80764"/>
    <w:rsid w:val="00C842D6"/>
    <w:rsid w:val="00C92978"/>
    <w:rsid w:val="00C9315F"/>
    <w:rsid w:val="00C9450F"/>
    <w:rsid w:val="00C94D2C"/>
    <w:rsid w:val="00CA0C65"/>
    <w:rsid w:val="00CA293B"/>
    <w:rsid w:val="00CA2B5C"/>
    <w:rsid w:val="00CA71F0"/>
    <w:rsid w:val="00CA7716"/>
    <w:rsid w:val="00CB7D95"/>
    <w:rsid w:val="00CD3345"/>
    <w:rsid w:val="00CE1EEB"/>
    <w:rsid w:val="00CE3D26"/>
    <w:rsid w:val="00CF7947"/>
    <w:rsid w:val="00D06895"/>
    <w:rsid w:val="00D230A2"/>
    <w:rsid w:val="00D3127D"/>
    <w:rsid w:val="00D5330C"/>
    <w:rsid w:val="00D641C2"/>
    <w:rsid w:val="00D65DDC"/>
    <w:rsid w:val="00D85166"/>
    <w:rsid w:val="00D905C6"/>
    <w:rsid w:val="00DB0BAD"/>
    <w:rsid w:val="00DB1F93"/>
    <w:rsid w:val="00DB3394"/>
    <w:rsid w:val="00DB589E"/>
    <w:rsid w:val="00DB63C7"/>
    <w:rsid w:val="00DD5B1D"/>
    <w:rsid w:val="00DD66E2"/>
    <w:rsid w:val="00DD69FF"/>
    <w:rsid w:val="00DD7D81"/>
    <w:rsid w:val="00DE6421"/>
    <w:rsid w:val="00DE6C5F"/>
    <w:rsid w:val="00DF703C"/>
    <w:rsid w:val="00E16367"/>
    <w:rsid w:val="00E224FF"/>
    <w:rsid w:val="00E225FB"/>
    <w:rsid w:val="00E239BA"/>
    <w:rsid w:val="00E331E0"/>
    <w:rsid w:val="00E421E6"/>
    <w:rsid w:val="00E47E9A"/>
    <w:rsid w:val="00E508BC"/>
    <w:rsid w:val="00E60ACD"/>
    <w:rsid w:val="00E71BFE"/>
    <w:rsid w:val="00E72A18"/>
    <w:rsid w:val="00E7686D"/>
    <w:rsid w:val="00E77E0B"/>
    <w:rsid w:val="00E77EAA"/>
    <w:rsid w:val="00E80A74"/>
    <w:rsid w:val="00E86609"/>
    <w:rsid w:val="00EA02A3"/>
    <w:rsid w:val="00EA6994"/>
    <w:rsid w:val="00EB0038"/>
    <w:rsid w:val="00EB766B"/>
    <w:rsid w:val="00EE124B"/>
    <w:rsid w:val="00EE1E65"/>
    <w:rsid w:val="00EE5442"/>
    <w:rsid w:val="00EF026E"/>
    <w:rsid w:val="00F05E0B"/>
    <w:rsid w:val="00F07336"/>
    <w:rsid w:val="00F20487"/>
    <w:rsid w:val="00F213E5"/>
    <w:rsid w:val="00F215D2"/>
    <w:rsid w:val="00F23F38"/>
    <w:rsid w:val="00F25545"/>
    <w:rsid w:val="00F40665"/>
    <w:rsid w:val="00F43732"/>
    <w:rsid w:val="00F52E0A"/>
    <w:rsid w:val="00F72B54"/>
    <w:rsid w:val="00F75206"/>
    <w:rsid w:val="00F77F1A"/>
    <w:rsid w:val="00F82673"/>
    <w:rsid w:val="00F83FA8"/>
    <w:rsid w:val="00F924D9"/>
    <w:rsid w:val="00FB0F40"/>
    <w:rsid w:val="00FC4900"/>
    <w:rsid w:val="00FD2CE1"/>
    <w:rsid w:val="00FD6C20"/>
    <w:rsid w:val="00FD7D78"/>
    <w:rsid w:val="00FE1C3E"/>
    <w:rsid w:val="00FE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Bullet">
    <w:name w:val="List Bullet"/>
    <w:basedOn w:val="Normal"/>
    <w:autoRedefine/>
    <w:rsid w:val="00CA71F0"/>
    <w:rPr>
      <w:rFonts w:ascii="Arial" w:hAnsi="Arial" w:cs="Arial"/>
      <w:sz w:val="20"/>
    </w:rPr>
  </w:style>
  <w:style w:type="paragraph" w:styleId="BodyText">
    <w:name w:val="Body Text"/>
    <w:basedOn w:val="Normal"/>
    <w:rPr>
      <w:rFonts w:ascii="Arial" w:hAnsi="Arial"/>
      <w:sz w:val="20"/>
    </w:rPr>
  </w:style>
  <w:style w:type="paragraph" w:customStyle="1" w:styleId="PBSnormal">
    <w:name w:val="PBS normal"/>
    <w:basedOn w:val="Normal"/>
    <w:rsid w:val="00CE3D26"/>
    <w:pPr>
      <w:autoSpaceDE w:val="0"/>
      <w:autoSpaceDN w:val="0"/>
    </w:pPr>
    <w:rPr>
      <w:rFonts w:ascii="Arial" w:hAnsi="Arial" w:cs="Arial"/>
      <w:sz w:val="22"/>
      <w:szCs w:val="22"/>
      <w:lang w:val="en-US"/>
    </w:rPr>
  </w:style>
  <w:style w:type="paragraph" w:styleId="Title">
    <w:name w:val="Title"/>
    <w:basedOn w:val="Normal"/>
    <w:qFormat/>
    <w:rsid w:val="00204DB4"/>
    <w:pPr>
      <w:jc w:val="center"/>
    </w:pPr>
    <w:rPr>
      <w:rFonts w:ascii="Arial" w:hAnsi="Arial"/>
      <w:b/>
      <w:sz w:val="20"/>
    </w:rPr>
  </w:style>
  <w:style w:type="character" w:customStyle="1" w:styleId="HeaderChar">
    <w:name w:val="Header Char"/>
    <w:aliases w:val="Page Header Char,Header title Char,he=header Char,cntr/bld Char"/>
    <w:link w:val="Header"/>
    <w:rsid w:val="009F0ED6"/>
    <w:rPr>
      <w:sz w:val="24"/>
      <w:lang w:val="en-AU" w:eastAsia="en-AU" w:bidi="ar-SA"/>
    </w:rPr>
  </w:style>
  <w:style w:type="character" w:customStyle="1" w:styleId="FooterChar">
    <w:name w:val="Footer Char"/>
    <w:link w:val="Footer"/>
    <w:uiPriority w:val="99"/>
    <w:rsid w:val="009F0ED6"/>
    <w:rPr>
      <w:sz w:val="24"/>
      <w:lang w:val="en-AU" w:eastAsia="en-AU" w:bidi="ar-SA"/>
    </w:rPr>
  </w:style>
  <w:style w:type="character" w:styleId="Hyperlink">
    <w:name w:val="Hyperlink"/>
    <w:rsid w:val="007A361E"/>
    <w:rPr>
      <w:color w:val="0000FF"/>
      <w:u w:val="single"/>
    </w:rPr>
  </w:style>
  <w:style w:type="paragraph" w:styleId="NormalWeb">
    <w:name w:val="Normal (Web)"/>
    <w:basedOn w:val="Normal"/>
    <w:uiPriority w:val="99"/>
    <w:unhideWhenUsed/>
    <w:rsid w:val="004D2DFC"/>
    <w:pPr>
      <w:spacing w:before="100" w:beforeAutospacing="1" w:after="100" w:afterAutospacing="1"/>
    </w:pPr>
    <w:rPr>
      <w:szCs w:val="24"/>
    </w:rPr>
  </w:style>
  <w:style w:type="paragraph" w:styleId="ListParagraph">
    <w:name w:val="List Paragraph"/>
    <w:basedOn w:val="Normal"/>
    <w:link w:val="ListParagraphChar"/>
    <w:uiPriority w:val="34"/>
    <w:qFormat/>
    <w:rsid w:val="001810B2"/>
    <w:pPr>
      <w:ind w:left="720"/>
      <w:contextualSpacing/>
    </w:pPr>
    <w:rPr>
      <w:szCs w:val="24"/>
    </w:rPr>
  </w:style>
  <w:style w:type="character" w:customStyle="1" w:styleId="ListParagraphChar">
    <w:name w:val="List Paragraph Char"/>
    <w:link w:val="ListParagraph"/>
    <w:uiPriority w:val="34"/>
    <w:rsid w:val="00EE5442"/>
    <w:rPr>
      <w:sz w:val="24"/>
      <w:szCs w:val="24"/>
    </w:rPr>
  </w:style>
  <w:style w:type="character" w:styleId="PageNumber">
    <w:name w:val="page number"/>
    <w:rsid w:val="00D641C2"/>
  </w:style>
  <w:style w:type="table" w:styleId="TableGrid">
    <w:name w:val="Table Grid"/>
    <w:basedOn w:val="TableNormal"/>
    <w:uiPriority w:val="59"/>
    <w:rsid w:val="006E0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3998"/>
    <w:rPr>
      <w:rFonts w:ascii="Tahoma" w:hAnsi="Tahoma" w:cs="Tahoma"/>
      <w:sz w:val="16"/>
      <w:szCs w:val="16"/>
    </w:rPr>
  </w:style>
  <w:style w:type="character" w:customStyle="1" w:styleId="BalloonTextChar">
    <w:name w:val="Balloon Text Char"/>
    <w:link w:val="BalloonText"/>
    <w:rsid w:val="00743998"/>
    <w:rPr>
      <w:rFonts w:ascii="Tahoma" w:hAnsi="Tahoma" w:cs="Tahoma"/>
      <w:sz w:val="16"/>
      <w:szCs w:val="16"/>
    </w:rPr>
  </w:style>
  <w:style w:type="paragraph" w:customStyle="1" w:styleId="Char">
    <w:name w:val="Char"/>
    <w:basedOn w:val="Normal"/>
    <w:rsid w:val="00BE0E91"/>
    <w:pPr>
      <w:spacing w:after="160" w:line="240" w:lineRule="exact"/>
    </w:pPr>
    <w:rPr>
      <w:rFonts w:ascii="Verdana" w:eastAsia="MS Mincho" w:hAnsi="Verdana" w:cs="Verdana"/>
      <w:sz w:val="20"/>
      <w:lang w:val="en-US" w:eastAsia="en-US"/>
    </w:rPr>
  </w:style>
  <w:style w:type="character" w:styleId="CommentReference">
    <w:name w:val="annotation reference"/>
    <w:rsid w:val="00DD7D81"/>
    <w:rPr>
      <w:sz w:val="16"/>
      <w:szCs w:val="16"/>
    </w:rPr>
  </w:style>
  <w:style w:type="paragraph" w:styleId="CommentText">
    <w:name w:val="annotation text"/>
    <w:basedOn w:val="Normal"/>
    <w:link w:val="CommentTextChar"/>
    <w:rsid w:val="00DD7D81"/>
    <w:rPr>
      <w:sz w:val="20"/>
    </w:rPr>
  </w:style>
  <w:style w:type="character" w:customStyle="1" w:styleId="CommentTextChar">
    <w:name w:val="Comment Text Char"/>
    <w:basedOn w:val="DefaultParagraphFont"/>
    <w:link w:val="CommentText"/>
    <w:rsid w:val="00DD7D81"/>
  </w:style>
  <w:style w:type="paragraph" w:styleId="CommentSubject">
    <w:name w:val="annotation subject"/>
    <w:basedOn w:val="CommentText"/>
    <w:next w:val="CommentText"/>
    <w:link w:val="CommentSubjectChar"/>
    <w:rsid w:val="00DD7D81"/>
    <w:rPr>
      <w:b/>
      <w:bCs/>
    </w:rPr>
  </w:style>
  <w:style w:type="character" w:customStyle="1" w:styleId="CommentSubjectChar">
    <w:name w:val="Comment Subject Char"/>
    <w:link w:val="CommentSubject"/>
    <w:rsid w:val="00DD7D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Bullet">
    <w:name w:val="List Bullet"/>
    <w:basedOn w:val="Normal"/>
    <w:autoRedefine/>
    <w:rsid w:val="00CA71F0"/>
    <w:rPr>
      <w:rFonts w:ascii="Arial" w:hAnsi="Arial" w:cs="Arial"/>
      <w:sz w:val="20"/>
    </w:rPr>
  </w:style>
  <w:style w:type="paragraph" w:styleId="BodyText">
    <w:name w:val="Body Text"/>
    <w:basedOn w:val="Normal"/>
    <w:rPr>
      <w:rFonts w:ascii="Arial" w:hAnsi="Arial"/>
      <w:sz w:val="20"/>
    </w:rPr>
  </w:style>
  <w:style w:type="paragraph" w:customStyle="1" w:styleId="PBSnormal">
    <w:name w:val="PBS normal"/>
    <w:basedOn w:val="Normal"/>
    <w:rsid w:val="00CE3D26"/>
    <w:pPr>
      <w:autoSpaceDE w:val="0"/>
      <w:autoSpaceDN w:val="0"/>
    </w:pPr>
    <w:rPr>
      <w:rFonts w:ascii="Arial" w:hAnsi="Arial" w:cs="Arial"/>
      <w:sz w:val="22"/>
      <w:szCs w:val="22"/>
      <w:lang w:val="en-US"/>
    </w:rPr>
  </w:style>
  <w:style w:type="paragraph" w:styleId="Title">
    <w:name w:val="Title"/>
    <w:basedOn w:val="Normal"/>
    <w:qFormat/>
    <w:rsid w:val="00204DB4"/>
    <w:pPr>
      <w:jc w:val="center"/>
    </w:pPr>
    <w:rPr>
      <w:rFonts w:ascii="Arial" w:hAnsi="Arial"/>
      <w:b/>
      <w:sz w:val="20"/>
    </w:rPr>
  </w:style>
  <w:style w:type="character" w:customStyle="1" w:styleId="HeaderChar">
    <w:name w:val="Header Char"/>
    <w:aliases w:val="Page Header Char,Header title Char,he=header Char,cntr/bld Char"/>
    <w:link w:val="Header"/>
    <w:rsid w:val="009F0ED6"/>
    <w:rPr>
      <w:sz w:val="24"/>
      <w:lang w:val="en-AU" w:eastAsia="en-AU" w:bidi="ar-SA"/>
    </w:rPr>
  </w:style>
  <w:style w:type="character" w:customStyle="1" w:styleId="FooterChar">
    <w:name w:val="Footer Char"/>
    <w:link w:val="Footer"/>
    <w:uiPriority w:val="99"/>
    <w:rsid w:val="009F0ED6"/>
    <w:rPr>
      <w:sz w:val="24"/>
      <w:lang w:val="en-AU" w:eastAsia="en-AU" w:bidi="ar-SA"/>
    </w:rPr>
  </w:style>
  <w:style w:type="character" w:styleId="Hyperlink">
    <w:name w:val="Hyperlink"/>
    <w:rsid w:val="007A361E"/>
    <w:rPr>
      <w:color w:val="0000FF"/>
      <w:u w:val="single"/>
    </w:rPr>
  </w:style>
  <w:style w:type="paragraph" w:styleId="NormalWeb">
    <w:name w:val="Normal (Web)"/>
    <w:basedOn w:val="Normal"/>
    <w:uiPriority w:val="99"/>
    <w:unhideWhenUsed/>
    <w:rsid w:val="004D2DFC"/>
    <w:pPr>
      <w:spacing w:before="100" w:beforeAutospacing="1" w:after="100" w:afterAutospacing="1"/>
    </w:pPr>
    <w:rPr>
      <w:szCs w:val="24"/>
    </w:rPr>
  </w:style>
  <w:style w:type="paragraph" w:styleId="ListParagraph">
    <w:name w:val="List Paragraph"/>
    <w:basedOn w:val="Normal"/>
    <w:link w:val="ListParagraphChar"/>
    <w:uiPriority w:val="34"/>
    <w:qFormat/>
    <w:rsid w:val="001810B2"/>
    <w:pPr>
      <w:ind w:left="720"/>
      <w:contextualSpacing/>
    </w:pPr>
    <w:rPr>
      <w:szCs w:val="24"/>
    </w:rPr>
  </w:style>
  <w:style w:type="character" w:customStyle="1" w:styleId="ListParagraphChar">
    <w:name w:val="List Paragraph Char"/>
    <w:link w:val="ListParagraph"/>
    <w:uiPriority w:val="34"/>
    <w:rsid w:val="00EE5442"/>
    <w:rPr>
      <w:sz w:val="24"/>
      <w:szCs w:val="24"/>
    </w:rPr>
  </w:style>
  <w:style w:type="character" w:styleId="PageNumber">
    <w:name w:val="page number"/>
    <w:rsid w:val="00D641C2"/>
  </w:style>
  <w:style w:type="table" w:styleId="TableGrid">
    <w:name w:val="Table Grid"/>
    <w:basedOn w:val="TableNormal"/>
    <w:uiPriority w:val="59"/>
    <w:rsid w:val="006E0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3998"/>
    <w:rPr>
      <w:rFonts w:ascii="Tahoma" w:hAnsi="Tahoma" w:cs="Tahoma"/>
      <w:sz w:val="16"/>
      <w:szCs w:val="16"/>
    </w:rPr>
  </w:style>
  <w:style w:type="character" w:customStyle="1" w:styleId="BalloonTextChar">
    <w:name w:val="Balloon Text Char"/>
    <w:link w:val="BalloonText"/>
    <w:rsid w:val="00743998"/>
    <w:rPr>
      <w:rFonts w:ascii="Tahoma" w:hAnsi="Tahoma" w:cs="Tahoma"/>
      <w:sz w:val="16"/>
      <w:szCs w:val="16"/>
    </w:rPr>
  </w:style>
  <w:style w:type="paragraph" w:customStyle="1" w:styleId="Char">
    <w:name w:val="Char"/>
    <w:basedOn w:val="Normal"/>
    <w:rsid w:val="00BE0E91"/>
    <w:pPr>
      <w:spacing w:after="160" w:line="240" w:lineRule="exact"/>
    </w:pPr>
    <w:rPr>
      <w:rFonts w:ascii="Verdana" w:eastAsia="MS Mincho" w:hAnsi="Verdana" w:cs="Verdana"/>
      <w:sz w:val="20"/>
      <w:lang w:val="en-US" w:eastAsia="en-US"/>
    </w:rPr>
  </w:style>
  <w:style w:type="character" w:styleId="CommentReference">
    <w:name w:val="annotation reference"/>
    <w:rsid w:val="00DD7D81"/>
    <w:rPr>
      <w:sz w:val="16"/>
      <w:szCs w:val="16"/>
    </w:rPr>
  </w:style>
  <w:style w:type="paragraph" w:styleId="CommentText">
    <w:name w:val="annotation text"/>
    <w:basedOn w:val="Normal"/>
    <w:link w:val="CommentTextChar"/>
    <w:rsid w:val="00DD7D81"/>
    <w:rPr>
      <w:sz w:val="20"/>
    </w:rPr>
  </w:style>
  <w:style w:type="character" w:customStyle="1" w:styleId="CommentTextChar">
    <w:name w:val="Comment Text Char"/>
    <w:basedOn w:val="DefaultParagraphFont"/>
    <w:link w:val="CommentText"/>
    <w:rsid w:val="00DD7D81"/>
  </w:style>
  <w:style w:type="paragraph" w:styleId="CommentSubject">
    <w:name w:val="annotation subject"/>
    <w:basedOn w:val="CommentText"/>
    <w:next w:val="CommentText"/>
    <w:link w:val="CommentSubjectChar"/>
    <w:rsid w:val="00DD7D81"/>
    <w:rPr>
      <w:b/>
      <w:bCs/>
    </w:rPr>
  </w:style>
  <w:style w:type="character" w:customStyle="1" w:styleId="CommentSubjectChar">
    <w:name w:val="Comment Subject Char"/>
    <w:link w:val="CommentSubject"/>
    <w:rsid w:val="00DD7D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8889">
      <w:bodyDiv w:val="1"/>
      <w:marLeft w:val="0"/>
      <w:marRight w:val="0"/>
      <w:marTop w:val="0"/>
      <w:marBottom w:val="0"/>
      <w:divBdr>
        <w:top w:val="none" w:sz="0" w:space="0" w:color="auto"/>
        <w:left w:val="none" w:sz="0" w:space="0" w:color="auto"/>
        <w:bottom w:val="none" w:sz="0" w:space="0" w:color="auto"/>
        <w:right w:val="none" w:sz="0" w:space="0" w:color="auto"/>
      </w:divBdr>
      <w:divsChild>
        <w:div w:id="728114355">
          <w:marLeft w:val="0"/>
          <w:marRight w:val="0"/>
          <w:marTop w:val="0"/>
          <w:marBottom w:val="0"/>
          <w:divBdr>
            <w:top w:val="none" w:sz="0" w:space="0" w:color="auto"/>
            <w:left w:val="none" w:sz="0" w:space="0" w:color="auto"/>
            <w:bottom w:val="none" w:sz="0" w:space="0" w:color="auto"/>
            <w:right w:val="none" w:sz="0" w:space="0" w:color="auto"/>
          </w:divBdr>
        </w:div>
      </w:divsChild>
    </w:div>
    <w:div w:id="134614850">
      <w:bodyDiv w:val="1"/>
      <w:marLeft w:val="0"/>
      <w:marRight w:val="0"/>
      <w:marTop w:val="0"/>
      <w:marBottom w:val="0"/>
      <w:divBdr>
        <w:top w:val="none" w:sz="0" w:space="0" w:color="auto"/>
        <w:left w:val="none" w:sz="0" w:space="0" w:color="auto"/>
        <w:bottom w:val="none" w:sz="0" w:space="0" w:color="auto"/>
        <w:right w:val="none" w:sz="0" w:space="0" w:color="auto"/>
      </w:divBdr>
    </w:div>
    <w:div w:id="355350362">
      <w:bodyDiv w:val="1"/>
      <w:marLeft w:val="0"/>
      <w:marRight w:val="0"/>
      <w:marTop w:val="0"/>
      <w:marBottom w:val="0"/>
      <w:divBdr>
        <w:top w:val="none" w:sz="0" w:space="0" w:color="auto"/>
        <w:left w:val="none" w:sz="0" w:space="0" w:color="auto"/>
        <w:bottom w:val="none" w:sz="0" w:space="0" w:color="auto"/>
        <w:right w:val="none" w:sz="0" w:space="0" w:color="auto"/>
      </w:divBdr>
    </w:div>
    <w:div w:id="508907644">
      <w:bodyDiv w:val="1"/>
      <w:marLeft w:val="0"/>
      <w:marRight w:val="0"/>
      <w:marTop w:val="0"/>
      <w:marBottom w:val="0"/>
      <w:divBdr>
        <w:top w:val="none" w:sz="0" w:space="0" w:color="auto"/>
        <w:left w:val="none" w:sz="0" w:space="0" w:color="auto"/>
        <w:bottom w:val="none" w:sz="0" w:space="0" w:color="auto"/>
        <w:right w:val="none" w:sz="0" w:space="0" w:color="auto"/>
      </w:divBdr>
    </w:div>
    <w:div w:id="599991407">
      <w:bodyDiv w:val="1"/>
      <w:marLeft w:val="0"/>
      <w:marRight w:val="0"/>
      <w:marTop w:val="0"/>
      <w:marBottom w:val="0"/>
      <w:divBdr>
        <w:top w:val="none" w:sz="0" w:space="0" w:color="auto"/>
        <w:left w:val="none" w:sz="0" w:space="0" w:color="auto"/>
        <w:bottom w:val="none" w:sz="0" w:space="0" w:color="auto"/>
        <w:right w:val="none" w:sz="0" w:space="0" w:color="auto"/>
      </w:divBdr>
    </w:div>
    <w:div w:id="603926117">
      <w:bodyDiv w:val="1"/>
      <w:marLeft w:val="0"/>
      <w:marRight w:val="0"/>
      <w:marTop w:val="0"/>
      <w:marBottom w:val="0"/>
      <w:divBdr>
        <w:top w:val="none" w:sz="0" w:space="0" w:color="auto"/>
        <w:left w:val="none" w:sz="0" w:space="0" w:color="auto"/>
        <w:bottom w:val="none" w:sz="0" w:space="0" w:color="auto"/>
        <w:right w:val="none" w:sz="0" w:space="0" w:color="auto"/>
      </w:divBdr>
    </w:div>
    <w:div w:id="681784541">
      <w:bodyDiv w:val="1"/>
      <w:marLeft w:val="0"/>
      <w:marRight w:val="0"/>
      <w:marTop w:val="0"/>
      <w:marBottom w:val="0"/>
      <w:divBdr>
        <w:top w:val="none" w:sz="0" w:space="0" w:color="auto"/>
        <w:left w:val="none" w:sz="0" w:space="0" w:color="auto"/>
        <w:bottom w:val="none" w:sz="0" w:space="0" w:color="auto"/>
        <w:right w:val="none" w:sz="0" w:space="0" w:color="auto"/>
      </w:divBdr>
    </w:div>
    <w:div w:id="737243584">
      <w:bodyDiv w:val="1"/>
      <w:marLeft w:val="0"/>
      <w:marRight w:val="0"/>
      <w:marTop w:val="0"/>
      <w:marBottom w:val="0"/>
      <w:divBdr>
        <w:top w:val="none" w:sz="0" w:space="0" w:color="auto"/>
        <w:left w:val="none" w:sz="0" w:space="0" w:color="auto"/>
        <w:bottom w:val="none" w:sz="0" w:space="0" w:color="auto"/>
        <w:right w:val="none" w:sz="0" w:space="0" w:color="auto"/>
      </w:divBdr>
    </w:div>
    <w:div w:id="742794160">
      <w:bodyDiv w:val="1"/>
      <w:marLeft w:val="0"/>
      <w:marRight w:val="0"/>
      <w:marTop w:val="0"/>
      <w:marBottom w:val="0"/>
      <w:divBdr>
        <w:top w:val="none" w:sz="0" w:space="0" w:color="auto"/>
        <w:left w:val="none" w:sz="0" w:space="0" w:color="auto"/>
        <w:bottom w:val="none" w:sz="0" w:space="0" w:color="auto"/>
        <w:right w:val="none" w:sz="0" w:space="0" w:color="auto"/>
      </w:divBdr>
    </w:div>
    <w:div w:id="846987985">
      <w:bodyDiv w:val="1"/>
      <w:marLeft w:val="0"/>
      <w:marRight w:val="0"/>
      <w:marTop w:val="0"/>
      <w:marBottom w:val="0"/>
      <w:divBdr>
        <w:top w:val="none" w:sz="0" w:space="0" w:color="auto"/>
        <w:left w:val="none" w:sz="0" w:space="0" w:color="auto"/>
        <w:bottom w:val="none" w:sz="0" w:space="0" w:color="auto"/>
        <w:right w:val="none" w:sz="0" w:space="0" w:color="auto"/>
      </w:divBdr>
    </w:div>
    <w:div w:id="888733830">
      <w:bodyDiv w:val="1"/>
      <w:marLeft w:val="0"/>
      <w:marRight w:val="0"/>
      <w:marTop w:val="0"/>
      <w:marBottom w:val="0"/>
      <w:divBdr>
        <w:top w:val="none" w:sz="0" w:space="0" w:color="auto"/>
        <w:left w:val="none" w:sz="0" w:space="0" w:color="auto"/>
        <w:bottom w:val="none" w:sz="0" w:space="0" w:color="auto"/>
        <w:right w:val="none" w:sz="0" w:space="0" w:color="auto"/>
      </w:divBdr>
    </w:div>
    <w:div w:id="955646475">
      <w:bodyDiv w:val="1"/>
      <w:marLeft w:val="0"/>
      <w:marRight w:val="0"/>
      <w:marTop w:val="0"/>
      <w:marBottom w:val="0"/>
      <w:divBdr>
        <w:top w:val="none" w:sz="0" w:space="0" w:color="auto"/>
        <w:left w:val="none" w:sz="0" w:space="0" w:color="auto"/>
        <w:bottom w:val="none" w:sz="0" w:space="0" w:color="auto"/>
        <w:right w:val="none" w:sz="0" w:space="0" w:color="auto"/>
      </w:divBdr>
    </w:div>
    <w:div w:id="961495338">
      <w:bodyDiv w:val="1"/>
      <w:marLeft w:val="0"/>
      <w:marRight w:val="0"/>
      <w:marTop w:val="0"/>
      <w:marBottom w:val="0"/>
      <w:divBdr>
        <w:top w:val="none" w:sz="0" w:space="0" w:color="auto"/>
        <w:left w:val="none" w:sz="0" w:space="0" w:color="auto"/>
        <w:bottom w:val="none" w:sz="0" w:space="0" w:color="auto"/>
        <w:right w:val="none" w:sz="0" w:space="0" w:color="auto"/>
      </w:divBdr>
      <w:divsChild>
        <w:div w:id="330333071">
          <w:marLeft w:val="0"/>
          <w:marRight w:val="0"/>
          <w:marTop w:val="0"/>
          <w:marBottom w:val="0"/>
          <w:divBdr>
            <w:top w:val="none" w:sz="0" w:space="0" w:color="auto"/>
            <w:left w:val="none" w:sz="0" w:space="0" w:color="auto"/>
            <w:bottom w:val="none" w:sz="0" w:space="0" w:color="auto"/>
            <w:right w:val="none" w:sz="0" w:space="0" w:color="auto"/>
          </w:divBdr>
          <w:divsChild>
            <w:div w:id="637498246">
              <w:marLeft w:val="0"/>
              <w:marRight w:val="0"/>
              <w:marTop w:val="0"/>
              <w:marBottom w:val="0"/>
              <w:divBdr>
                <w:top w:val="none" w:sz="0" w:space="0" w:color="auto"/>
                <w:left w:val="none" w:sz="0" w:space="0" w:color="auto"/>
                <w:bottom w:val="none" w:sz="0" w:space="0" w:color="auto"/>
                <w:right w:val="none" w:sz="0" w:space="0" w:color="auto"/>
              </w:divBdr>
              <w:divsChild>
                <w:div w:id="141579187">
                  <w:marLeft w:val="0"/>
                  <w:marRight w:val="0"/>
                  <w:marTop w:val="0"/>
                  <w:marBottom w:val="0"/>
                  <w:divBdr>
                    <w:top w:val="none" w:sz="0" w:space="0" w:color="auto"/>
                    <w:left w:val="none" w:sz="0" w:space="0" w:color="auto"/>
                    <w:bottom w:val="none" w:sz="0" w:space="0" w:color="auto"/>
                    <w:right w:val="none" w:sz="0" w:space="0" w:color="auto"/>
                  </w:divBdr>
                  <w:divsChild>
                    <w:div w:id="337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616938">
      <w:bodyDiv w:val="1"/>
      <w:marLeft w:val="0"/>
      <w:marRight w:val="0"/>
      <w:marTop w:val="0"/>
      <w:marBottom w:val="0"/>
      <w:divBdr>
        <w:top w:val="none" w:sz="0" w:space="0" w:color="auto"/>
        <w:left w:val="none" w:sz="0" w:space="0" w:color="auto"/>
        <w:bottom w:val="none" w:sz="0" w:space="0" w:color="auto"/>
        <w:right w:val="none" w:sz="0" w:space="0" w:color="auto"/>
      </w:divBdr>
    </w:div>
    <w:div w:id="1010983502">
      <w:bodyDiv w:val="1"/>
      <w:marLeft w:val="0"/>
      <w:marRight w:val="0"/>
      <w:marTop w:val="0"/>
      <w:marBottom w:val="0"/>
      <w:divBdr>
        <w:top w:val="none" w:sz="0" w:space="0" w:color="auto"/>
        <w:left w:val="none" w:sz="0" w:space="0" w:color="auto"/>
        <w:bottom w:val="none" w:sz="0" w:space="0" w:color="auto"/>
        <w:right w:val="none" w:sz="0" w:space="0" w:color="auto"/>
      </w:divBdr>
    </w:div>
    <w:div w:id="1111632726">
      <w:bodyDiv w:val="1"/>
      <w:marLeft w:val="0"/>
      <w:marRight w:val="0"/>
      <w:marTop w:val="0"/>
      <w:marBottom w:val="0"/>
      <w:divBdr>
        <w:top w:val="none" w:sz="0" w:space="0" w:color="auto"/>
        <w:left w:val="none" w:sz="0" w:space="0" w:color="auto"/>
        <w:bottom w:val="none" w:sz="0" w:space="0" w:color="auto"/>
        <w:right w:val="none" w:sz="0" w:space="0" w:color="auto"/>
      </w:divBdr>
    </w:div>
    <w:div w:id="1136027092">
      <w:bodyDiv w:val="1"/>
      <w:marLeft w:val="0"/>
      <w:marRight w:val="0"/>
      <w:marTop w:val="0"/>
      <w:marBottom w:val="0"/>
      <w:divBdr>
        <w:top w:val="none" w:sz="0" w:space="0" w:color="auto"/>
        <w:left w:val="none" w:sz="0" w:space="0" w:color="auto"/>
        <w:bottom w:val="none" w:sz="0" w:space="0" w:color="auto"/>
        <w:right w:val="none" w:sz="0" w:space="0" w:color="auto"/>
      </w:divBdr>
    </w:div>
    <w:div w:id="1549610774">
      <w:bodyDiv w:val="1"/>
      <w:marLeft w:val="0"/>
      <w:marRight w:val="0"/>
      <w:marTop w:val="0"/>
      <w:marBottom w:val="0"/>
      <w:divBdr>
        <w:top w:val="none" w:sz="0" w:space="0" w:color="auto"/>
        <w:left w:val="none" w:sz="0" w:space="0" w:color="auto"/>
        <w:bottom w:val="none" w:sz="0" w:space="0" w:color="auto"/>
        <w:right w:val="none" w:sz="0" w:space="0" w:color="auto"/>
      </w:divBdr>
    </w:div>
    <w:div w:id="1635598865">
      <w:bodyDiv w:val="1"/>
      <w:marLeft w:val="0"/>
      <w:marRight w:val="0"/>
      <w:marTop w:val="0"/>
      <w:marBottom w:val="0"/>
      <w:divBdr>
        <w:top w:val="none" w:sz="0" w:space="0" w:color="auto"/>
        <w:left w:val="none" w:sz="0" w:space="0" w:color="auto"/>
        <w:bottom w:val="none" w:sz="0" w:space="0" w:color="auto"/>
        <w:right w:val="none" w:sz="0" w:space="0" w:color="auto"/>
      </w:divBdr>
    </w:div>
    <w:div w:id="1670911501">
      <w:bodyDiv w:val="1"/>
      <w:marLeft w:val="0"/>
      <w:marRight w:val="0"/>
      <w:marTop w:val="0"/>
      <w:marBottom w:val="0"/>
      <w:divBdr>
        <w:top w:val="none" w:sz="0" w:space="0" w:color="auto"/>
        <w:left w:val="none" w:sz="0" w:space="0" w:color="auto"/>
        <w:bottom w:val="none" w:sz="0" w:space="0" w:color="auto"/>
        <w:right w:val="none" w:sz="0" w:space="0" w:color="auto"/>
      </w:divBdr>
    </w:div>
    <w:div w:id="1682900680">
      <w:bodyDiv w:val="1"/>
      <w:marLeft w:val="0"/>
      <w:marRight w:val="0"/>
      <w:marTop w:val="0"/>
      <w:marBottom w:val="0"/>
      <w:divBdr>
        <w:top w:val="none" w:sz="0" w:space="0" w:color="auto"/>
        <w:left w:val="none" w:sz="0" w:space="0" w:color="auto"/>
        <w:bottom w:val="none" w:sz="0" w:space="0" w:color="auto"/>
        <w:right w:val="none" w:sz="0" w:space="0" w:color="auto"/>
      </w:divBdr>
      <w:divsChild>
        <w:div w:id="1397242686">
          <w:marLeft w:val="0"/>
          <w:marRight w:val="0"/>
          <w:marTop w:val="0"/>
          <w:marBottom w:val="0"/>
          <w:divBdr>
            <w:top w:val="none" w:sz="0" w:space="0" w:color="auto"/>
            <w:left w:val="none" w:sz="0" w:space="0" w:color="auto"/>
            <w:bottom w:val="none" w:sz="0" w:space="0" w:color="auto"/>
            <w:right w:val="none" w:sz="0" w:space="0" w:color="auto"/>
          </w:divBdr>
          <w:divsChild>
            <w:div w:id="1273249715">
              <w:marLeft w:val="0"/>
              <w:marRight w:val="0"/>
              <w:marTop w:val="0"/>
              <w:marBottom w:val="0"/>
              <w:divBdr>
                <w:top w:val="none" w:sz="0" w:space="0" w:color="auto"/>
                <w:left w:val="none" w:sz="0" w:space="0" w:color="auto"/>
                <w:bottom w:val="none" w:sz="0" w:space="0" w:color="auto"/>
                <w:right w:val="none" w:sz="0" w:space="0" w:color="auto"/>
              </w:divBdr>
              <w:divsChild>
                <w:div w:id="245069027">
                  <w:marLeft w:val="0"/>
                  <w:marRight w:val="0"/>
                  <w:marTop w:val="0"/>
                  <w:marBottom w:val="0"/>
                  <w:divBdr>
                    <w:top w:val="none" w:sz="0" w:space="0" w:color="auto"/>
                    <w:left w:val="none" w:sz="0" w:space="0" w:color="auto"/>
                    <w:bottom w:val="none" w:sz="0" w:space="0" w:color="auto"/>
                    <w:right w:val="none" w:sz="0" w:space="0" w:color="auto"/>
                  </w:divBdr>
                  <w:divsChild>
                    <w:div w:id="71358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904080">
      <w:bodyDiv w:val="1"/>
      <w:marLeft w:val="0"/>
      <w:marRight w:val="0"/>
      <w:marTop w:val="0"/>
      <w:marBottom w:val="0"/>
      <w:divBdr>
        <w:top w:val="none" w:sz="0" w:space="0" w:color="auto"/>
        <w:left w:val="none" w:sz="0" w:space="0" w:color="auto"/>
        <w:bottom w:val="none" w:sz="0" w:space="0" w:color="auto"/>
        <w:right w:val="none" w:sz="0" w:space="0" w:color="auto"/>
      </w:divBdr>
    </w:div>
    <w:div w:id="1799227896">
      <w:bodyDiv w:val="1"/>
      <w:marLeft w:val="0"/>
      <w:marRight w:val="0"/>
      <w:marTop w:val="0"/>
      <w:marBottom w:val="0"/>
      <w:divBdr>
        <w:top w:val="none" w:sz="0" w:space="0" w:color="auto"/>
        <w:left w:val="none" w:sz="0" w:space="0" w:color="auto"/>
        <w:bottom w:val="none" w:sz="0" w:space="0" w:color="auto"/>
        <w:right w:val="none" w:sz="0" w:space="0" w:color="auto"/>
      </w:divBdr>
    </w:div>
    <w:div w:id="1919486251">
      <w:bodyDiv w:val="1"/>
      <w:marLeft w:val="0"/>
      <w:marRight w:val="0"/>
      <w:marTop w:val="0"/>
      <w:marBottom w:val="0"/>
      <w:divBdr>
        <w:top w:val="none" w:sz="0" w:space="0" w:color="auto"/>
        <w:left w:val="none" w:sz="0" w:space="0" w:color="auto"/>
        <w:bottom w:val="none" w:sz="0" w:space="0" w:color="auto"/>
        <w:right w:val="none" w:sz="0" w:space="0" w:color="auto"/>
      </w:divBdr>
    </w:div>
    <w:div w:id="1978677898">
      <w:bodyDiv w:val="1"/>
      <w:marLeft w:val="0"/>
      <w:marRight w:val="0"/>
      <w:marTop w:val="0"/>
      <w:marBottom w:val="0"/>
      <w:divBdr>
        <w:top w:val="none" w:sz="0" w:space="0" w:color="auto"/>
        <w:left w:val="none" w:sz="0" w:space="0" w:color="auto"/>
        <w:bottom w:val="none" w:sz="0" w:space="0" w:color="auto"/>
        <w:right w:val="none" w:sz="0" w:space="0" w:color="auto"/>
      </w:divBdr>
    </w:div>
    <w:div w:id="2008828191">
      <w:bodyDiv w:val="1"/>
      <w:marLeft w:val="0"/>
      <w:marRight w:val="0"/>
      <w:marTop w:val="0"/>
      <w:marBottom w:val="0"/>
      <w:divBdr>
        <w:top w:val="none" w:sz="0" w:space="0" w:color="auto"/>
        <w:left w:val="none" w:sz="0" w:space="0" w:color="auto"/>
        <w:bottom w:val="none" w:sz="0" w:space="0" w:color="auto"/>
        <w:right w:val="none" w:sz="0" w:space="0" w:color="auto"/>
      </w:divBdr>
    </w:div>
    <w:div w:id="2042591609">
      <w:bodyDiv w:val="1"/>
      <w:marLeft w:val="0"/>
      <w:marRight w:val="0"/>
      <w:marTop w:val="0"/>
      <w:marBottom w:val="0"/>
      <w:divBdr>
        <w:top w:val="none" w:sz="0" w:space="0" w:color="auto"/>
        <w:left w:val="none" w:sz="0" w:space="0" w:color="auto"/>
        <w:bottom w:val="none" w:sz="0" w:space="0" w:color="auto"/>
        <w:right w:val="none" w:sz="0" w:space="0" w:color="auto"/>
      </w:divBdr>
    </w:div>
    <w:div w:id="2045597180">
      <w:bodyDiv w:val="1"/>
      <w:marLeft w:val="0"/>
      <w:marRight w:val="0"/>
      <w:marTop w:val="0"/>
      <w:marBottom w:val="0"/>
      <w:divBdr>
        <w:top w:val="none" w:sz="0" w:space="0" w:color="auto"/>
        <w:left w:val="none" w:sz="0" w:space="0" w:color="auto"/>
        <w:bottom w:val="none" w:sz="0" w:space="0" w:color="auto"/>
        <w:right w:val="none" w:sz="0" w:space="0" w:color="auto"/>
      </w:divBdr>
    </w:div>
    <w:div w:id="2102023337">
      <w:bodyDiv w:val="1"/>
      <w:marLeft w:val="0"/>
      <w:marRight w:val="0"/>
      <w:marTop w:val="0"/>
      <w:marBottom w:val="0"/>
      <w:divBdr>
        <w:top w:val="none" w:sz="0" w:space="0" w:color="auto"/>
        <w:left w:val="none" w:sz="0" w:space="0" w:color="auto"/>
        <w:bottom w:val="none" w:sz="0" w:space="0" w:color="auto"/>
        <w:right w:val="none" w:sz="0" w:space="0" w:color="auto"/>
      </w:divBdr>
    </w:div>
    <w:div w:id="214153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gov.au/pbs/home"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bs.gov.au/pbs/ho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1786</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12294</CharactersWithSpaces>
  <SharedDoc>false</SharedDoc>
  <HLinks>
    <vt:vector size="6" baseType="variant">
      <vt:variant>
        <vt:i4>7798824</vt:i4>
      </vt:variant>
      <vt:variant>
        <vt:i4>0</vt:i4>
      </vt:variant>
      <vt:variant>
        <vt:i4>0</vt:i4>
      </vt:variant>
      <vt:variant>
        <vt:i4>5</vt:i4>
      </vt:variant>
      <vt:variant>
        <vt:lpwstr>http://www.pbs.gov.au/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2015-08-20T00:37:00Z</dcterms:created>
  <dcterms:modified xsi:type="dcterms:W3CDTF">2015-12-17T05:15:00Z</dcterms:modified>
</cp:coreProperties>
</file>