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2126"/>
        <w:gridCol w:w="3827"/>
        <w:gridCol w:w="5245"/>
      </w:tblGrid>
      <w:tr w:rsidR="0010394D" w:rsidRPr="00CA293C" w:rsidTr="00E421E6">
        <w:trPr>
          <w:trHeight w:val="1237"/>
          <w:tblHeader/>
        </w:trPr>
        <w:tc>
          <w:tcPr>
            <w:tcW w:w="2127" w:type="dxa"/>
          </w:tcPr>
          <w:p w:rsidR="0010394D" w:rsidRPr="001047FA"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DRUG NAME, FORM(S), STRENGTH(S), SPONSOR, TYPE OF SUBMISSION</w:t>
            </w:r>
          </w:p>
        </w:tc>
        <w:tc>
          <w:tcPr>
            <w:tcW w:w="2126" w:type="dxa"/>
          </w:tcPr>
          <w:p w:rsidR="001047FA" w:rsidRPr="001047FA"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TGA INDICATION</w:t>
            </w:r>
          </w:p>
          <w:p w:rsidR="0010394D" w:rsidRPr="0010394D" w:rsidRDefault="0010394D" w:rsidP="001047FA">
            <w:pPr>
              <w:pStyle w:val="Header"/>
              <w:spacing w:after="240"/>
              <w:contextualSpacing/>
              <w:jc w:val="center"/>
              <w:rPr>
                <w:rFonts w:ascii="Arial" w:hAnsi="Arial" w:cs="Arial"/>
                <w:b/>
                <w:snapToGrid w:val="0"/>
                <w:sz w:val="20"/>
                <w:lang w:eastAsia="en-US"/>
              </w:rPr>
            </w:pPr>
          </w:p>
        </w:tc>
        <w:tc>
          <w:tcPr>
            <w:tcW w:w="2126" w:type="dxa"/>
          </w:tcPr>
          <w:p w:rsidR="0010394D" w:rsidRPr="0010394D"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CURRENT PBS LISTING</w:t>
            </w:r>
          </w:p>
        </w:tc>
        <w:tc>
          <w:tcPr>
            <w:tcW w:w="3827" w:type="dxa"/>
            <w:shd w:val="clear" w:color="auto" w:fill="auto"/>
          </w:tcPr>
          <w:p w:rsidR="0010394D" w:rsidRPr="0010394D"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LISTING REQUESTED BY SPONSOR / PURPOSE OF SUBMISSION</w:t>
            </w:r>
          </w:p>
        </w:tc>
        <w:tc>
          <w:tcPr>
            <w:tcW w:w="5245" w:type="dxa"/>
          </w:tcPr>
          <w:p w:rsidR="0010394D" w:rsidRPr="001047FA" w:rsidRDefault="0010394D" w:rsidP="001047FA">
            <w:pPr>
              <w:pStyle w:val="Header"/>
              <w:spacing w:after="240"/>
              <w:contextualSpacing/>
              <w:jc w:val="center"/>
              <w:rPr>
                <w:rFonts w:ascii="Arial" w:hAnsi="Arial" w:cs="Arial"/>
                <w:b/>
                <w:snapToGrid w:val="0"/>
                <w:sz w:val="20"/>
                <w:lang w:eastAsia="en-US"/>
              </w:rPr>
            </w:pPr>
            <w:r w:rsidRPr="0010394D">
              <w:rPr>
                <w:rFonts w:ascii="Arial" w:hAnsi="Arial" w:cs="Arial"/>
                <w:b/>
                <w:snapToGrid w:val="0"/>
                <w:sz w:val="20"/>
                <w:lang w:eastAsia="en-US"/>
              </w:rPr>
              <w:t xml:space="preserve">PBAC </w:t>
            </w:r>
            <w:r w:rsidR="001047FA">
              <w:rPr>
                <w:rFonts w:ascii="Arial" w:hAnsi="Arial" w:cs="Arial"/>
                <w:b/>
                <w:snapToGrid w:val="0"/>
                <w:sz w:val="20"/>
                <w:lang w:eastAsia="en-US"/>
              </w:rPr>
              <w:t>OUTCOME</w:t>
            </w:r>
          </w:p>
        </w:tc>
      </w:tr>
      <w:tr w:rsidR="00E225FB" w:rsidRPr="009B735A" w:rsidTr="00E421E6">
        <w:trPr>
          <w:trHeight w:val="1243"/>
        </w:trPr>
        <w:tc>
          <w:tcPr>
            <w:tcW w:w="2127" w:type="dxa"/>
            <w:vMerge w:val="restart"/>
          </w:tcPr>
          <w:p w:rsidR="00E225FB" w:rsidRDefault="00E225FB" w:rsidP="00CA0C65">
            <w:pPr>
              <w:rPr>
                <w:rFonts w:ascii="Arial" w:hAnsi="Arial" w:cs="Arial"/>
                <w:color w:val="000000"/>
                <w:sz w:val="20"/>
              </w:rPr>
            </w:pPr>
            <w:r w:rsidRPr="000B779B">
              <w:rPr>
                <w:rFonts w:ascii="Arial" w:hAnsi="Arial" w:cs="Arial"/>
                <w:b/>
                <w:color w:val="000000"/>
                <w:sz w:val="20"/>
              </w:rPr>
              <w:t>ADALIMUMAB</w:t>
            </w:r>
            <w:r w:rsidRPr="004571A9">
              <w:rPr>
                <w:rFonts w:ascii="Arial" w:hAnsi="Arial" w:cs="Arial"/>
                <w:color w:val="000000"/>
                <w:sz w:val="20"/>
              </w:rPr>
              <w:br/>
            </w:r>
            <w:r w:rsidRPr="004571A9">
              <w:rPr>
                <w:rFonts w:ascii="Arial" w:hAnsi="Arial" w:cs="Arial"/>
                <w:color w:val="000000"/>
                <w:sz w:val="20"/>
              </w:rPr>
              <w:br/>
              <w:t>40 mg/0.8 mL injection, 2 x 0.8 mL cartridges</w:t>
            </w:r>
            <w:r w:rsidRPr="004571A9">
              <w:rPr>
                <w:rFonts w:ascii="Arial" w:hAnsi="Arial" w:cs="Arial"/>
                <w:color w:val="000000"/>
                <w:sz w:val="20"/>
              </w:rPr>
              <w:br/>
              <w:t>40 mg/0.8 mL injection, 2 x 0.8 mL syringes</w:t>
            </w:r>
            <w:r w:rsidRPr="004571A9">
              <w:rPr>
                <w:rFonts w:ascii="Arial" w:hAnsi="Arial" w:cs="Arial"/>
                <w:color w:val="000000"/>
                <w:sz w:val="20"/>
              </w:rPr>
              <w:br/>
              <w:t>40 mg/0.8 mL injection, 6 x 0.8 mL cartridges</w:t>
            </w:r>
            <w:r w:rsidRPr="004571A9">
              <w:rPr>
                <w:rFonts w:ascii="Arial" w:hAnsi="Arial" w:cs="Arial"/>
                <w:color w:val="000000"/>
                <w:sz w:val="20"/>
              </w:rPr>
              <w:br/>
              <w:t>40 mg/0.8 mL injection, 6 x 0.8 mL syringes</w:t>
            </w:r>
            <w:r w:rsidRPr="004571A9">
              <w:rPr>
                <w:rFonts w:ascii="Arial" w:hAnsi="Arial" w:cs="Arial"/>
                <w:color w:val="000000"/>
                <w:sz w:val="20"/>
              </w:rPr>
              <w:br/>
            </w:r>
            <w:r w:rsidRPr="004571A9">
              <w:rPr>
                <w:rFonts w:ascii="Arial" w:hAnsi="Arial" w:cs="Arial"/>
                <w:color w:val="000000"/>
                <w:sz w:val="20"/>
              </w:rPr>
              <w:br/>
              <w:t xml:space="preserve">HUMIRA® </w:t>
            </w:r>
            <w:r w:rsidRPr="004571A9">
              <w:rPr>
                <w:rFonts w:ascii="Arial" w:hAnsi="Arial" w:cs="Arial"/>
                <w:color w:val="000000"/>
                <w:sz w:val="20"/>
              </w:rPr>
              <w:br/>
            </w:r>
            <w:r w:rsidRPr="004571A9">
              <w:rPr>
                <w:rFonts w:ascii="Arial" w:hAnsi="Arial" w:cs="Arial"/>
                <w:color w:val="000000"/>
                <w:sz w:val="20"/>
              </w:rPr>
              <w:br/>
              <w:t>AbbVie Pty Ltd</w:t>
            </w:r>
          </w:p>
          <w:p w:rsidR="00AE346F" w:rsidRDefault="00AE346F" w:rsidP="00CA0C65">
            <w:pPr>
              <w:rPr>
                <w:rFonts w:ascii="Arial" w:hAnsi="Arial" w:cs="Arial"/>
                <w:color w:val="000000"/>
                <w:sz w:val="20"/>
              </w:rPr>
            </w:pPr>
          </w:p>
          <w:p w:rsidR="00AE346F" w:rsidRPr="00AE346F" w:rsidRDefault="00AE346F" w:rsidP="00AE346F">
            <w:pPr>
              <w:rPr>
                <w:rFonts w:ascii="Arial" w:hAnsi="Arial" w:cs="Arial"/>
                <w:sz w:val="20"/>
              </w:rPr>
            </w:pPr>
            <w:r w:rsidRPr="00AE346F">
              <w:rPr>
                <w:rFonts w:ascii="Arial" w:hAnsi="Arial" w:cs="Arial"/>
                <w:sz w:val="20"/>
              </w:rPr>
              <w:t>Change to listing</w:t>
            </w:r>
          </w:p>
          <w:p w:rsidR="00AE346F" w:rsidRPr="00AE346F" w:rsidRDefault="00AE346F" w:rsidP="00AE346F">
            <w:pPr>
              <w:rPr>
                <w:rFonts w:ascii="Arial" w:hAnsi="Arial" w:cs="Arial"/>
                <w:sz w:val="20"/>
              </w:rPr>
            </w:pPr>
          </w:p>
          <w:p w:rsidR="00AE346F" w:rsidRPr="004571A9" w:rsidRDefault="00AE346F" w:rsidP="00AE346F">
            <w:pPr>
              <w:rPr>
                <w:rFonts w:ascii="Arial" w:hAnsi="Arial" w:cs="Arial"/>
                <w:sz w:val="20"/>
              </w:rPr>
            </w:pPr>
            <w:r w:rsidRPr="00AE346F">
              <w:rPr>
                <w:rFonts w:ascii="Arial" w:hAnsi="Arial" w:cs="Arial"/>
                <w:sz w:val="20"/>
              </w:rPr>
              <w:t>(Major Submission)</w:t>
            </w:r>
          </w:p>
        </w:tc>
        <w:tc>
          <w:tcPr>
            <w:tcW w:w="2126" w:type="dxa"/>
            <w:vMerge w:val="restart"/>
          </w:tcPr>
          <w:p w:rsidR="00E225FB" w:rsidRPr="00CA0C65" w:rsidRDefault="00CA7716" w:rsidP="00A72460">
            <w:pPr>
              <w:rPr>
                <w:rFonts w:ascii="Arial" w:hAnsi="Arial" w:cs="Arial"/>
                <w:sz w:val="20"/>
              </w:rPr>
            </w:pPr>
            <w:r>
              <w:rPr>
                <w:rFonts w:ascii="Arial" w:hAnsi="Arial" w:cs="Arial"/>
                <w:color w:val="000000"/>
                <w:sz w:val="20"/>
              </w:rPr>
              <w:t xml:space="preserve">Adalimumab is indicated for reducing signs and symptoms in moderate to severe </w:t>
            </w:r>
            <w:r w:rsidR="0091542D">
              <w:rPr>
                <w:rFonts w:ascii="Arial" w:hAnsi="Arial" w:cs="Arial"/>
                <w:color w:val="000000"/>
                <w:sz w:val="20"/>
              </w:rPr>
              <w:t>rheumatoid arthritis</w:t>
            </w:r>
            <w:r>
              <w:rPr>
                <w:rFonts w:ascii="Arial" w:hAnsi="Arial" w:cs="Arial"/>
                <w:color w:val="000000"/>
                <w:sz w:val="20"/>
              </w:rPr>
              <w:t xml:space="preserve">, </w:t>
            </w:r>
            <w:proofErr w:type="spellStart"/>
            <w:r>
              <w:rPr>
                <w:rFonts w:ascii="Arial" w:hAnsi="Arial" w:cs="Arial"/>
                <w:color w:val="000000"/>
                <w:sz w:val="20"/>
              </w:rPr>
              <w:t>polyarticular</w:t>
            </w:r>
            <w:proofErr w:type="spellEnd"/>
            <w:r>
              <w:rPr>
                <w:rFonts w:ascii="Arial" w:hAnsi="Arial" w:cs="Arial"/>
                <w:color w:val="000000"/>
                <w:sz w:val="20"/>
              </w:rPr>
              <w:t xml:space="preserve"> juvenile idiopathic arthritis, psoriatic arthritis, Crohn’s Disease, </w:t>
            </w:r>
            <w:r w:rsidR="00E225FB" w:rsidRPr="002745FA">
              <w:rPr>
                <w:rFonts w:ascii="Arial" w:hAnsi="Arial" w:cs="Arial"/>
                <w:color w:val="000000"/>
                <w:sz w:val="20"/>
              </w:rPr>
              <w:t>ulcerative colitis</w:t>
            </w:r>
            <w:r>
              <w:rPr>
                <w:rFonts w:ascii="Arial" w:hAnsi="Arial" w:cs="Arial"/>
                <w:color w:val="000000"/>
                <w:sz w:val="20"/>
              </w:rPr>
              <w:t>, chronic plaque psoriasis and active ankylosing spondylitis.</w:t>
            </w:r>
          </w:p>
        </w:tc>
        <w:tc>
          <w:tcPr>
            <w:tcW w:w="2126" w:type="dxa"/>
            <w:vMerge w:val="restart"/>
          </w:tcPr>
          <w:p w:rsidR="00E225FB" w:rsidRDefault="00E225FB" w:rsidP="00092130">
            <w:pPr>
              <w:rPr>
                <w:rFonts w:ascii="Arial" w:hAnsi="Arial" w:cs="Arial"/>
                <w:color w:val="000000"/>
                <w:sz w:val="20"/>
              </w:rPr>
            </w:pPr>
            <w:r>
              <w:rPr>
                <w:rFonts w:ascii="Arial" w:hAnsi="Arial" w:cs="Arial"/>
                <w:color w:val="000000"/>
                <w:sz w:val="20"/>
              </w:rPr>
              <w:t>A</w:t>
            </w:r>
            <w:r w:rsidRPr="00A46DC5">
              <w:rPr>
                <w:rFonts w:ascii="Arial" w:hAnsi="Arial" w:cs="Arial"/>
                <w:color w:val="000000"/>
                <w:sz w:val="20"/>
              </w:rPr>
              <w:t xml:space="preserve">dalimumab is currently listed for severe Crohn disease, severe active juvenile idiopathic arthritis, </w:t>
            </w:r>
            <w:r w:rsidR="00A46DC5" w:rsidRPr="00A46DC5">
              <w:rPr>
                <w:rFonts w:ascii="Arial" w:hAnsi="Arial" w:cs="Arial"/>
                <w:color w:val="000000"/>
                <w:sz w:val="20"/>
              </w:rPr>
              <w:t xml:space="preserve">complex refractory fistulising Crohn disease, </w:t>
            </w:r>
            <w:r w:rsidRPr="00A46DC5">
              <w:rPr>
                <w:rFonts w:ascii="Arial" w:hAnsi="Arial" w:cs="Arial"/>
                <w:color w:val="000000"/>
                <w:sz w:val="20"/>
              </w:rPr>
              <w:t>ankylosing spondylitis, severe chronic plaque psoriasis, severe active rheumatoid arthritis and severe psoriatic arthritis.</w:t>
            </w:r>
          </w:p>
          <w:p w:rsidR="0091542D" w:rsidRDefault="0091542D" w:rsidP="00092130">
            <w:pPr>
              <w:rPr>
                <w:rFonts w:ascii="Arial" w:hAnsi="Arial" w:cs="Arial"/>
                <w:color w:val="000000"/>
                <w:sz w:val="20"/>
              </w:rPr>
            </w:pPr>
          </w:p>
          <w:p w:rsidR="00950F1F" w:rsidRPr="004571A9" w:rsidRDefault="00950F1F" w:rsidP="00092130">
            <w:pPr>
              <w:rPr>
                <w:rFonts w:ascii="Arial" w:hAnsi="Arial" w:cs="Arial"/>
                <w:color w:val="000000"/>
                <w:sz w:val="20"/>
              </w:rPr>
            </w:pPr>
            <w:r>
              <w:rPr>
                <w:rFonts w:ascii="Arial" w:hAnsi="Arial" w:cs="Arial"/>
                <w:color w:val="000000"/>
                <w:sz w:val="20"/>
              </w:rPr>
              <w:t xml:space="preserve">For more details see the </w:t>
            </w:r>
            <w:hyperlink r:id="rId8" w:history="1">
              <w:r w:rsidRPr="00950F1F">
                <w:rPr>
                  <w:rStyle w:val="Hyperlink"/>
                  <w:rFonts w:ascii="Arial" w:hAnsi="Arial" w:cs="Arial"/>
                  <w:sz w:val="20"/>
                </w:rPr>
                <w:t>PBS Schedule</w:t>
              </w:r>
            </w:hyperlink>
            <w:r>
              <w:rPr>
                <w:rFonts w:ascii="Arial" w:hAnsi="Arial" w:cs="Arial"/>
                <w:color w:val="000000"/>
                <w:sz w:val="20"/>
              </w:rPr>
              <w:t xml:space="preserve">. </w:t>
            </w:r>
          </w:p>
        </w:tc>
        <w:tc>
          <w:tcPr>
            <w:tcW w:w="3827" w:type="dxa"/>
          </w:tcPr>
          <w:p w:rsidR="00E225FB" w:rsidRPr="004571A9" w:rsidRDefault="00E225FB" w:rsidP="00EE124B">
            <w:pPr>
              <w:rPr>
                <w:rFonts w:ascii="Arial" w:hAnsi="Arial" w:cs="Arial"/>
                <w:color w:val="000000"/>
                <w:sz w:val="20"/>
              </w:rPr>
            </w:pPr>
            <w:r w:rsidRPr="004571A9">
              <w:rPr>
                <w:rFonts w:ascii="Arial" w:hAnsi="Arial" w:cs="Arial"/>
                <w:color w:val="000000"/>
                <w:sz w:val="20"/>
              </w:rPr>
              <w:t>Re-submission for Authority Required listing for the treatment of patients with moderate to severe ulcerative colitis.</w:t>
            </w:r>
          </w:p>
        </w:tc>
        <w:tc>
          <w:tcPr>
            <w:tcW w:w="5245" w:type="dxa"/>
          </w:tcPr>
          <w:p w:rsidR="00E225FB" w:rsidRPr="00CA0C65" w:rsidRDefault="002F465D" w:rsidP="0029799D">
            <w:pPr>
              <w:rPr>
                <w:rFonts w:ascii="Arial" w:hAnsi="Arial" w:cs="Arial"/>
                <w:sz w:val="20"/>
                <w:highlight w:val="yellow"/>
              </w:rPr>
            </w:pPr>
            <w:r w:rsidRPr="002F465D">
              <w:rPr>
                <w:rFonts w:ascii="Arial" w:hAnsi="Arial" w:cs="Arial"/>
                <w:bCs/>
                <w:sz w:val="20"/>
                <w:lang w:val="en-GB"/>
              </w:rPr>
              <w:t xml:space="preserve">The PBAC rejected </w:t>
            </w:r>
            <w:r w:rsidRPr="002F465D">
              <w:rPr>
                <w:rFonts w:ascii="Arial" w:hAnsi="Arial" w:cs="Arial"/>
                <w:sz w:val="20"/>
              </w:rPr>
              <w:t>the request to extend the PBS listing for adalimumab to include the treatment of moderate to severe ulcerative colitis on the basis that the evidence presented did not establish non-inferiority of adalimumab to infliximab.</w:t>
            </w:r>
          </w:p>
        </w:tc>
      </w:tr>
      <w:tr w:rsidR="00E225FB" w:rsidRPr="009B735A" w:rsidTr="00E421E6">
        <w:trPr>
          <w:trHeight w:val="276"/>
        </w:trPr>
        <w:tc>
          <w:tcPr>
            <w:tcW w:w="2127" w:type="dxa"/>
            <w:vMerge/>
          </w:tcPr>
          <w:p w:rsidR="00E225FB" w:rsidRPr="004571A9" w:rsidRDefault="00E225FB" w:rsidP="00CA0C65">
            <w:pPr>
              <w:rPr>
                <w:rFonts w:ascii="Arial" w:hAnsi="Arial" w:cs="Arial"/>
                <w:color w:val="000000"/>
                <w:sz w:val="20"/>
              </w:rPr>
            </w:pPr>
          </w:p>
        </w:tc>
        <w:tc>
          <w:tcPr>
            <w:tcW w:w="2126" w:type="dxa"/>
            <w:vMerge/>
          </w:tcPr>
          <w:p w:rsidR="00E225FB" w:rsidRDefault="00E225FB" w:rsidP="00CA0C65">
            <w:pPr>
              <w:rPr>
                <w:rFonts w:ascii="Arial" w:hAnsi="Arial" w:cs="Arial"/>
                <w:color w:val="000000"/>
                <w:sz w:val="20"/>
              </w:rPr>
            </w:pPr>
          </w:p>
        </w:tc>
        <w:tc>
          <w:tcPr>
            <w:tcW w:w="2126" w:type="dxa"/>
            <w:vMerge/>
          </w:tcPr>
          <w:p w:rsidR="00E225FB" w:rsidRDefault="00E225FB" w:rsidP="00092130">
            <w:pPr>
              <w:rPr>
                <w:rFonts w:ascii="Arial" w:hAnsi="Arial" w:cs="Arial"/>
                <w:color w:val="000000"/>
                <w:sz w:val="20"/>
              </w:rPr>
            </w:pPr>
          </w:p>
        </w:tc>
        <w:tc>
          <w:tcPr>
            <w:tcW w:w="3827" w:type="dxa"/>
          </w:tcPr>
          <w:p w:rsidR="00E225FB" w:rsidRPr="00E421E6" w:rsidRDefault="00E225FB" w:rsidP="00E421E6">
            <w:pPr>
              <w:rPr>
                <w:rFonts w:ascii="Arial" w:hAnsi="Arial" w:cs="Arial"/>
                <w:sz w:val="20"/>
              </w:rPr>
            </w:pPr>
            <w:r w:rsidRPr="001353D2">
              <w:rPr>
                <w:rFonts w:ascii="Arial" w:hAnsi="Arial" w:cs="Arial"/>
                <w:sz w:val="20"/>
              </w:rPr>
              <w:t xml:space="preserve">Comparator: </w:t>
            </w:r>
            <w:r w:rsidR="001353D2" w:rsidRPr="001353D2">
              <w:rPr>
                <w:rFonts w:ascii="Arial" w:hAnsi="Arial" w:cs="Arial"/>
                <w:sz w:val="20"/>
              </w:rPr>
              <w:t>infliximab</w:t>
            </w:r>
          </w:p>
        </w:tc>
        <w:tc>
          <w:tcPr>
            <w:tcW w:w="5245" w:type="dxa"/>
          </w:tcPr>
          <w:p w:rsidR="00E225FB" w:rsidRPr="00E421E6" w:rsidRDefault="001353D2" w:rsidP="00EE124B">
            <w:pPr>
              <w:rPr>
                <w:rFonts w:ascii="Arial" w:hAnsi="Arial" w:cs="Arial"/>
                <w:sz w:val="20"/>
              </w:rPr>
            </w:pPr>
            <w:r>
              <w:rPr>
                <w:rFonts w:ascii="Arial" w:hAnsi="Arial" w:cs="Arial"/>
                <w:sz w:val="20"/>
              </w:rPr>
              <w:t>Accepted</w:t>
            </w:r>
          </w:p>
        </w:tc>
      </w:tr>
      <w:tr w:rsidR="00E225FB" w:rsidRPr="009B735A" w:rsidTr="00E421E6">
        <w:trPr>
          <w:trHeight w:val="1420"/>
        </w:trPr>
        <w:tc>
          <w:tcPr>
            <w:tcW w:w="2127" w:type="dxa"/>
            <w:vMerge/>
          </w:tcPr>
          <w:p w:rsidR="00E225FB" w:rsidRPr="004571A9" w:rsidRDefault="00E225FB" w:rsidP="00CA0C65">
            <w:pPr>
              <w:rPr>
                <w:rFonts w:ascii="Arial" w:hAnsi="Arial" w:cs="Arial"/>
                <w:color w:val="000000"/>
                <w:sz w:val="20"/>
              </w:rPr>
            </w:pPr>
          </w:p>
        </w:tc>
        <w:tc>
          <w:tcPr>
            <w:tcW w:w="2126" w:type="dxa"/>
            <w:vMerge/>
          </w:tcPr>
          <w:p w:rsidR="00E225FB" w:rsidRDefault="00E225FB" w:rsidP="00CA0C65">
            <w:pPr>
              <w:rPr>
                <w:rFonts w:ascii="Arial" w:hAnsi="Arial" w:cs="Arial"/>
                <w:color w:val="000000"/>
                <w:sz w:val="20"/>
              </w:rPr>
            </w:pPr>
          </w:p>
        </w:tc>
        <w:tc>
          <w:tcPr>
            <w:tcW w:w="2126" w:type="dxa"/>
            <w:vMerge/>
          </w:tcPr>
          <w:p w:rsidR="00E225FB" w:rsidRDefault="00E225FB" w:rsidP="00092130">
            <w:pPr>
              <w:rPr>
                <w:rFonts w:ascii="Arial" w:hAnsi="Arial" w:cs="Arial"/>
                <w:color w:val="000000"/>
                <w:sz w:val="20"/>
              </w:rPr>
            </w:pPr>
          </w:p>
        </w:tc>
        <w:tc>
          <w:tcPr>
            <w:tcW w:w="3827" w:type="dxa"/>
          </w:tcPr>
          <w:p w:rsidR="001353D2" w:rsidRDefault="00E225FB" w:rsidP="001353D2">
            <w:pPr>
              <w:rPr>
                <w:rFonts w:ascii="Arial" w:hAnsi="Arial" w:cs="Arial"/>
                <w:sz w:val="20"/>
              </w:rPr>
            </w:pPr>
            <w:r w:rsidRPr="001353D2">
              <w:rPr>
                <w:rFonts w:ascii="Arial" w:hAnsi="Arial" w:cs="Arial"/>
                <w:sz w:val="20"/>
              </w:rPr>
              <w:t xml:space="preserve">Clinical claim:  </w:t>
            </w:r>
          </w:p>
          <w:p w:rsidR="00E225FB" w:rsidRPr="00E421E6" w:rsidRDefault="001353D2" w:rsidP="00E421E6">
            <w:pPr>
              <w:rPr>
                <w:rFonts w:ascii="Arial" w:hAnsi="Arial" w:cs="Arial"/>
                <w:sz w:val="20"/>
              </w:rPr>
            </w:pPr>
            <w:r w:rsidRPr="001353D2">
              <w:rPr>
                <w:rFonts w:ascii="Arial" w:hAnsi="Arial" w:cs="Arial"/>
                <w:sz w:val="20"/>
              </w:rPr>
              <w:t>Adalimumab has no significant differences in terms of comparative effectiveness and no significant differences in terms of comparative safety over infliximab</w:t>
            </w:r>
            <w:r w:rsidRPr="002F465D">
              <w:rPr>
                <w:rFonts w:ascii="Arial" w:hAnsi="Arial" w:cs="Arial"/>
                <w:sz w:val="20"/>
              </w:rPr>
              <w:t>.</w:t>
            </w:r>
          </w:p>
        </w:tc>
        <w:tc>
          <w:tcPr>
            <w:tcW w:w="5245" w:type="dxa"/>
          </w:tcPr>
          <w:p w:rsidR="002F465D" w:rsidRPr="00E421E6" w:rsidRDefault="002F465D" w:rsidP="00EE124B">
            <w:pPr>
              <w:rPr>
                <w:rFonts w:ascii="Arial" w:hAnsi="Arial" w:cs="Arial"/>
                <w:sz w:val="20"/>
              </w:rPr>
            </w:pPr>
            <w:r w:rsidRPr="002F465D">
              <w:rPr>
                <w:rFonts w:ascii="Arial" w:hAnsi="Arial" w:cs="Arial"/>
                <w:sz w:val="20"/>
              </w:rPr>
              <w:t>Not accepted. The PBAC considered that the evidence presented did not establish non-inferiority of adalimumab to infliximab, and that the data from indirect comparisons suggested that adalimumab may be inferior in efficacy.</w:t>
            </w:r>
          </w:p>
        </w:tc>
      </w:tr>
      <w:tr w:rsidR="00E225FB" w:rsidRPr="009B735A" w:rsidTr="00E225FB">
        <w:trPr>
          <w:trHeight w:val="525"/>
        </w:trPr>
        <w:tc>
          <w:tcPr>
            <w:tcW w:w="2127" w:type="dxa"/>
            <w:vMerge/>
          </w:tcPr>
          <w:p w:rsidR="00E225FB" w:rsidRPr="004571A9" w:rsidRDefault="00E225FB" w:rsidP="00CA0C65">
            <w:pPr>
              <w:rPr>
                <w:rFonts w:ascii="Arial" w:hAnsi="Arial" w:cs="Arial"/>
                <w:color w:val="000000"/>
                <w:sz w:val="20"/>
              </w:rPr>
            </w:pPr>
          </w:p>
        </w:tc>
        <w:tc>
          <w:tcPr>
            <w:tcW w:w="2126" w:type="dxa"/>
            <w:vMerge/>
          </w:tcPr>
          <w:p w:rsidR="00E225FB" w:rsidRDefault="00E225FB" w:rsidP="00CA0C65">
            <w:pPr>
              <w:rPr>
                <w:rFonts w:ascii="Arial" w:hAnsi="Arial" w:cs="Arial"/>
                <w:color w:val="000000"/>
                <w:sz w:val="20"/>
              </w:rPr>
            </w:pPr>
          </w:p>
        </w:tc>
        <w:tc>
          <w:tcPr>
            <w:tcW w:w="2126" w:type="dxa"/>
            <w:vMerge/>
          </w:tcPr>
          <w:p w:rsidR="00E225FB" w:rsidRDefault="00E225FB" w:rsidP="00092130">
            <w:pPr>
              <w:rPr>
                <w:rFonts w:ascii="Arial" w:hAnsi="Arial" w:cs="Arial"/>
                <w:color w:val="000000"/>
                <w:sz w:val="20"/>
              </w:rPr>
            </w:pPr>
          </w:p>
        </w:tc>
        <w:tc>
          <w:tcPr>
            <w:tcW w:w="3827" w:type="dxa"/>
          </w:tcPr>
          <w:p w:rsidR="00E225FB" w:rsidRPr="00CA0C65" w:rsidRDefault="00E225FB" w:rsidP="00EE124B">
            <w:pPr>
              <w:pStyle w:val="ListBullet"/>
            </w:pPr>
            <w:r w:rsidRPr="00CA0C65">
              <w:t>Economic claim:</w:t>
            </w:r>
          </w:p>
          <w:p w:rsidR="001353D2" w:rsidRDefault="001353D2" w:rsidP="001353D2">
            <w:pPr>
              <w:pStyle w:val="ListParagraph"/>
              <w:ind w:left="0"/>
              <w:rPr>
                <w:rFonts w:ascii="Arial" w:hAnsi="Arial" w:cs="Arial"/>
                <w:sz w:val="20"/>
                <w:szCs w:val="20"/>
              </w:rPr>
            </w:pPr>
            <w:r w:rsidRPr="002F465D">
              <w:rPr>
                <w:rFonts w:ascii="Arial" w:hAnsi="Arial" w:cs="Arial"/>
                <w:sz w:val="20"/>
                <w:szCs w:val="20"/>
              </w:rPr>
              <w:t>Cost-minimisation analysis to infliximab.</w:t>
            </w:r>
          </w:p>
          <w:p w:rsidR="00E225FB" w:rsidRPr="00CA0C65" w:rsidRDefault="00E225FB" w:rsidP="00EE124B">
            <w:pPr>
              <w:pStyle w:val="ListBullet"/>
            </w:pPr>
          </w:p>
        </w:tc>
        <w:tc>
          <w:tcPr>
            <w:tcW w:w="5245" w:type="dxa"/>
          </w:tcPr>
          <w:p w:rsidR="00713D93" w:rsidRPr="00CA0C65" w:rsidRDefault="00713D93" w:rsidP="00EE124B">
            <w:pPr>
              <w:pStyle w:val="ListParagraph"/>
              <w:ind w:left="0"/>
              <w:rPr>
                <w:rFonts w:ascii="Arial" w:hAnsi="Arial" w:cs="Arial"/>
                <w:sz w:val="20"/>
                <w:szCs w:val="20"/>
                <w:highlight w:val="yellow"/>
              </w:rPr>
            </w:pPr>
            <w:r w:rsidRPr="00713D93">
              <w:rPr>
                <w:rFonts w:ascii="Arial" w:hAnsi="Arial" w:cs="Arial"/>
                <w:sz w:val="20"/>
                <w:szCs w:val="20"/>
              </w:rPr>
              <w:t xml:space="preserve">Not accepted. </w:t>
            </w:r>
            <w:r w:rsidRPr="00713D93">
              <w:rPr>
                <w:rFonts w:ascii="Arial" w:hAnsi="Arial" w:cs="Arial"/>
                <w:bCs/>
                <w:sz w:val="20"/>
                <w:szCs w:val="20"/>
                <w:lang w:val="en-GB"/>
              </w:rPr>
              <w:t xml:space="preserve">The PBAC noted that the submission presented a cost-minimisation analysis against infliximab which would have been appropriate if adalimumab was considered to be non-inferior to infliximab. The PBAC also considered that the </w:t>
            </w:r>
            <w:r w:rsidRPr="00713D93">
              <w:rPr>
                <w:rFonts w:ascii="Arial" w:hAnsi="Arial" w:cs="Arial"/>
                <w:sz w:val="20"/>
                <w:szCs w:val="20"/>
              </w:rPr>
              <w:t>application of a $997 administration cost offset for each infliximab infusion was excessive.</w:t>
            </w:r>
          </w:p>
        </w:tc>
      </w:tr>
      <w:tr w:rsidR="00E225FB" w:rsidRPr="009B735A" w:rsidTr="00A46DC5">
        <w:trPr>
          <w:trHeight w:val="393"/>
        </w:trPr>
        <w:tc>
          <w:tcPr>
            <w:tcW w:w="2127" w:type="dxa"/>
            <w:vMerge/>
          </w:tcPr>
          <w:p w:rsidR="00E225FB" w:rsidRPr="004571A9" w:rsidRDefault="00E225FB" w:rsidP="00CA0C65">
            <w:pPr>
              <w:rPr>
                <w:rFonts w:ascii="Arial" w:hAnsi="Arial" w:cs="Arial"/>
                <w:color w:val="000000"/>
                <w:sz w:val="20"/>
              </w:rPr>
            </w:pPr>
          </w:p>
        </w:tc>
        <w:tc>
          <w:tcPr>
            <w:tcW w:w="2126" w:type="dxa"/>
            <w:vMerge/>
          </w:tcPr>
          <w:p w:rsidR="00E225FB" w:rsidRDefault="00E225FB" w:rsidP="00CA0C65">
            <w:pPr>
              <w:rPr>
                <w:rFonts w:ascii="Arial" w:hAnsi="Arial" w:cs="Arial"/>
                <w:color w:val="000000"/>
                <w:sz w:val="20"/>
              </w:rPr>
            </w:pPr>
          </w:p>
        </w:tc>
        <w:tc>
          <w:tcPr>
            <w:tcW w:w="2126" w:type="dxa"/>
            <w:vMerge/>
          </w:tcPr>
          <w:p w:rsidR="00E225FB" w:rsidRDefault="00E225FB" w:rsidP="00092130">
            <w:pPr>
              <w:rPr>
                <w:rFonts w:ascii="Arial" w:hAnsi="Arial" w:cs="Arial"/>
                <w:color w:val="000000"/>
                <w:sz w:val="20"/>
              </w:rPr>
            </w:pPr>
          </w:p>
        </w:tc>
        <w:tc>
          <w:tcPr>
            <w:tcW w:w="3827" w:type="dxa"/>
          </w:tcPr>
          <w:p w:rsidR="00E225FB" w:rsidRPr="000805C6" w:rsidRDefault="00E225FB" w:rsidP="00EE124B">
            <w:pPr>
              <w:pStyle w:val="ListBullet"/>
            </w:pPr>
            <w:r w:rsidRPr="000805C6">
              <w:t>Sponsor’s comments:</w:t>
            </w:r>
          </w:p>
          <w:p w:rsidR="00E225FB" w:rsidRDefault="00E225FB" w:rsidP="00EE124B">
            <w:pPr>
              <w:pStyle w:val="ListBullet"/>
            </w:pPr>
          </w:p>
          <w:p w:rsidR="00E225FB" w:rsidRPr="00CA0C65" w:rsidRDefault="00E225FB" w:rsidP="00EE124B">
            <w:pPr>
              <w:pStyle w:val="ListBullet"/>
            </w:pPr>
          </w:p>
        </w:tc>
        <w:tc>
          <w:tcPr>
            <w:tcW w:w="5245" w:type="dxa"/>
          </w:tcPr>
          <w:p w:rsidR="00A46DC5" w:rsidRDefault="00A46DC5" w:rsidP="00A46DC5">
            <w:pPr>
              <w:autoSpaceDN w:val="0"/>
              <w:rPr>
                <w:rFonts w:ascii="Arial" w:hAnsi="Arial" w:cs="Arial"/>
                <w:sz w:val="20"/>
              </w:rPr>
            </w:pPr>
            <w:r>
              <w:rPr>
                <w:rFonts w:ascii="Arial" w:hAnsi="Arial" w:cs="Arial"/>
                <w:sz w:val="20"/>
              </w:rPr>
              <w:t xml:space="preserve">AbbVie is disappointed with the PBAC recommendation. </w:t>
            </w:r>
          </w:p>
          <w:p w:rsidR="00A46DC5" w:rsidRDefault="00A46DC5" w:rsidP="00A46DC5">
            <w:pPr>
              <w:ind w:left="360"/>
              <w:contextualSpacing/>
              <w:rPr>
                <w:rFonts w:ascii="Arial" w:hAnsi="Arial" w:cs="Arial"/>
                <w:sz w:val="20"/>
              </w:rPr>
            </w:pPr>
          </w:p>
          <w:p w:rsidR="00E225FB" w:rsidRPr="00A46DC5" w:rsidRDefault="00A46DC5" w:rsidP="00A46DC5">
            <w:pPr>
              <w:autoSpaceDN w:val="0"/>
              <w:rPr>
                <w:rFonts w:ascii="Arial" w:hAnsi="Arial" w:cs="Arial"/>
                <w:sz w:val="20"/>
              </w:rPr>
            </w:pPr>
            <w:r>
              <w:rPr>
                <w:rFonts w:ascii="Arial" w:hAnsi="Arial" w:cs="Arial"/>
                <w:sz w:val="20"/>
              </w:rPr>
              <w:t>AbbVie believes the data presented in its submission demonstrates non-inferiority of adalimumab in maintenance treatment of moderate to severe ulcerative colitis. AbbVie understands that there is a significant unmet patient need for an alternative route of administration, so will continue to work with the PBAC to find a way forward.</w:t>
            </w:r>
          </w:p>
        </w:tc>
      </w:tr>
      <w:tr w:rsidR="00E225FB" w:rsidRPr="00FB0F40" w:rsidTr="00E421E6">
        <w:trPr>
          <w:trHeight w:val="1527"/>
        </w:trPr>
        <w:tc>
          <w:tcPr>
            <w:tcW w:w="2127" w:type="dxa"/>
            <w:vMerge w:val="restart"/>
          </w:tcPr>
          <w:p w:rsidR="006D33CD" w:rsidRDefault="00E225FB" w:rsidP="006D33CD">
            <w:pPr>
              <w:keepNext/>
              <w:rPr>
                <w:rFonts w:ascii="Arial" w:hAnsi="Arial" w:cs="Arial"/>
                <w:color w:val="000000"/>
                <w:sz w:val="20"/>
              </w:rPr>
            </w:pPr>
            <w:r w:rsidRPr="000B779B">
              <w:rPr>
                <w:rFonts w:ascii="Arial" w:hAnsi="Arial" w:cs="Arial"/>
                <w:b/>
                <w:color w:val="000000"/>
                <w:sz w:val="20"/>
              </w:rPr>
              <w:lastRenderedPageBreak/>
              <w:t>AFATINIB DIMALEATE</w:t>
            </w:r>
            <w:r w:rsidRPr="00462127">
              <w:rPr>
                <w:rFonts w:ascii="Arial" w:hAnsi="Arial" w:cs="Arial"/>
                <w:color w:val="000000"/>
                <w:sz w:val="20"/>
              </w:rPr>
              <w:br/>
            </w:r>
            <w:r w:rsidRPr="00462127">
              <w:rPr>
                <w:rFonts w:ascii="Arial" w:hAnsi="Arial" w:cs="Arial"/>
                <w:color w:val="000000"/>
                <w:sz w:val="20"/>
              </w:rPr>
              <w:br/>
              <w:t>20 mg tablet, 28</w:t>
            </w:r>
            <w:r w:rsidRPr="00462127">
              <w:rPr>
                <w:rFonts w:ascii="Arial" w:hAnsi="Arial" w:cs="Arial"/>
                <w:color w:val="000000"/>
                <w:sz w:val="20"/>
              </w:rPr>
              <w:br/>
            </w:r>
            <w:r w:rsidR="006D33CD" w:rsidRPr="00462127">
              <w:rPr>
                <w:rFonts w:ascii="Arial" w:hAnsi="Arial" w:cs="Arial"/>
                <w:color w:val="000000"/>
                <w:sz w:val="20"/>
              </w:rPr>
              <w:t>30 mg tablet, 28</w:t>
            </w:r>
          </w:p>
          <w:p w:rsidR="006D33CD" w:rsidRDefault="00E225FB" w:rsidP="006D33CD">
            <w:pPr>
              <w:keepNext/>
              <w:rPr>
                <w:rFonts w:ascii="Arial" w:hAnsi="Arial" w:cs="Arial"/>
                <w:color w:val="000000"/>
                <w:sz w:val="20"/>
              </w:rPr>
            </w:pPr>
            <w:r w:rsidRPr="00462127">
              <w:rPr>
                <w:rFonts w:ascii="Arial" w:hAnsi="Arial" w:cs="Arial"/>
                <w:color w:val="000000"/>
                <w:sz w:val="20"/>
              </w:rPr>
              <w:t>40 mg tablet, 28</w:t>
            </w:r>
          </w:p>
          <w:p w:rsidR="00E225FB" w:rsidRDefault="006D33CD" w:rsidP="00CA0C65">
            <w:pPr>
              <w:rPr>
                <w:rFonts w:ascii="Arial" w:hAnsi="Arial" w:cs="Arial"/>
                <w:color w:val="000000"/>
                <w:sz w:val="20"/>
              </w:rPr>
            </w:pPr>
            <w:r w:rsidRPr="00462127">
              <w:rPr>
                <w:rFonts w:ascii="Arial" w:hAnsi="Arial" w:cs="Arial"/>
                <w:color w:val="000000"/>
                <w:sz w:val="20"/>
              </w:rPr>
              <w:t>50 mg tablet,</w:t>
            </w:r>
            <w:r>
              <w:rPr>
                <w:rFonts w:ascii="Arial" w:hAnsi="Arial" w:cs="Arial"/>
                <w:color w:val="000000"/>
                <w:sz w:val="20"/>
              </w:rPr>
              <w:t xml:space="preserve"> </w:t>
            </w:r>
            <w:r w:rsidRPr="00462127">
              <w:rPr>
                <w:rFonts w:ascii="Arial" w:hAnsi="Arial" w:cs="Arial"/>
                <w:color w:val="000000"/>
                <w:sz w:val="20"/>
              </w:rPr>
              <w:t>28</w:t>
            </w:r>
            <w:r w:rsidR="00E225FB" w:rsidRPr="00462127">
              <w:rPr>
                <w:rFonts w:ascii="Arial" w:hAnsi="Arial" w:cs="Arial"/>
                <w:color w:val="000000"/>
                <w:sz w:val="20"/>
              </w:rPr>
              <w:br/>
            </w:r>
            <w:r w:rsidR="00E225FB" w:rsidRPr="00462127">
              <w:rPr>
                <w:rFonts w:ascii="Arial" w:hAnsi="Arial" w:cs="Arial"/>
                <w:color w:val="000000"/>
                <w:sz w:val="20"/>
              </w:rPr>
              <w:br/>
            </w:r>
            <w:r w:rsidR="00E225FB" w:rsidRPr="00462127">
              <w:rPr>
                <w:rFonts w:ascii="Arial" w:hAnsi="Arial" w:cs="Arial"/>
                <w:color w:val="000000"/>
                <w:sz w:val="20"/>
              </w:rPr>
              <w:br/>
              <w:t>GIOTRIF®</w:t>
            </w:r>
            <w:r w:rsidR="00E225FB" w:rsidRPr="00462127">
              <w:rPr>
                <w:rFonts w:ascii="Arial" w:hAnsi="Arial" w:cs="Arial"/>
                <w:color w:val="000000"/>
                <w:sz w:val="20"/>
              </w:rPr>
              <w:br/>
            </w:r>
            <w:r w:rsidR="00E225FB" w:rsidRPr="00462127">
              <w:rPr>
                <w:rFonts w:ascii="Arial" w:hAnsi="Arial" w:cs="Arial"/>
                <w:color w:val="000000"/>
                <w:sz w:val="20"/>
              </w:rPr>
              <w:br/>
            </w:r>
            <w:proofErr w:type="spellStart"/>
            <w:r w:rsidR="00E225FB" w:rsidRPr="00462127">
              <w:rPr>
                <w:rFonts w:ascii="Arial" w:hAnsi="Arial" w:cs="Arial"/>
                <w:color w:val="000000"/>
                <w:sz w:val="20"/>
              </w:rPr>
              <w:t>Boehringer</w:t>
            </w:r>
            <w:proofErr w:type="spellEnd"/>
            <w:r w:rsidR="00E225FB" w:rsidRPr="00462127">
              <w:rPr>
                <w:rFonts w:ascii="Arial" w:hAnsi="Arial" w:cs="Arial"/>
                <w:color w:val="000000"/>
                <w:sz w:val="20"/>
              </w:rPr>
              <w:t xml:space="preserve"> </w:t>
            </w:r>
            <w:proofErr w:type="spellStart"/>
            <w:r w:rsidR="00E225FB" w:rsidRPr="00462127">
              <w:rPr>
                <w:rFonts w:ascii="Arial" w:hAnsi="Arial" w:cs="Arial"/>
                <w:color w:val="000000"/>
                <w:sz w:val="20"/>
              </w:rPr>
              <w:t>Ingelheim</w:t>
            </w:r>
            <w:proofErr w:type="spellEnd"/>
            <w:r w:rsidR="00E225FB" w:rsidRPr="00462127">
              <w:rPr>
                <w:rFonts w:ascii="Arial" w:hAnsi="Arial" w:cs="Arial"/>
                <w:color w:val="000000"/>
                <w:sz w:val="20"/>
              </w:rPr>
              <w:t xml:space="preserve"> Pty Limited</w:t>
            </w:r>
          </w:p>
          <w:p w:rsidR="00AE346F" w:rsidRDefault="00AE346F" w:rsidP="00CA0C65">
            <w:pPr>
              <w:rPr>
                <w:rFonts w:ascii="Arial" w:hAnsi="Arial" w:cs="Arial"/>
                <w:color w:val="000000"/>
                <w:sz w:val="20"/>
              </w:rPr>
            </w:pPr>
          </w:p>
          <w:p w:rsidR="00AE346F" w:rsidRPr="00AE346F" w:rsidRDefault="00AE346F" w:rsidP="00AE346F">
            <w:pPr>
              <w:rPr>
                <w:rFonts w:ascii="Arial" w:hAnsi="Arial" w:cs="Arial"/>
                <w:color w:val="000000"/>
                <w:sz w:val="20"/>
              </w:rPr>
            </w:pPr>
            <w:r w:rsidRPr="00AE346F">
              <w:rPr>
                <w:rFonts w:ascii="Arial" w:hAnsi="Arial" w:cs="Arial"/>
                <w:color w:val="000000"/>
                <w:sz w:val="20"/>
              </w:rPr>
              <w:t>New listing</w:t>
            </w:r>
          </w:p>
          <w:p w:rsidR="00AE346F" w:rsidRPr="00AE346F" w:rsidRDefault="00AE346F" w:rsidP="00AE346F">
            <w:pPr>
              <w:rPr>
                <w:rFonts w:ascii="Arial" w:hAnsi="Arial" w:cs="Arial"/>
                <w:color w:val="000000"/>
                <w:sz w:val="20"/>
              </w:rPr>
            </w:pPr>
          </w:p>
          <w:p w:rsidR="00AE346F" w:rsidRPr="004571A9" w:rsidRDefault="00AE346F" w:rsidP="00AE346F">
            <w:pPr>
              <w:rPr>
                <w:rFonts w:ascii="Arial" w:hAnsi="Arial" w:cs="Arial"/>
                <w:color w:val="000000"/>
                <w:sz w:val="20"/>
              </w:rPr>
            </w:pPr>
            <w:r w:rsidRPr="00AE346F">
              <w:rPr>
                <w:rFonts w:ascii="Arial" w:hAnsi="Arial" w:cs="Arial"/>
                <w:color w:val="000000"/>
                <w:sz w:val="20"/>
              </w:rPr>
              <w:t>(Major Submission)</w:t>
            </w:r>
          </w:p>
        </w:tc>
        <w:tc>
          <w:tcPr>
            <w:tcW w:w="2126" w:type="dxa"/>
            <w:vMerge w:val="restart"/>
          </w:tcPr>
          <w:p w:rsidR="00E225FB" w:rsidRPr="00FB0F40" w:rsidRDefault="00E225FB" w:rsidP="00FB0F40">
            <w:pPr>
              <w:rPr>
                <w:rFonts w:ascii="Arial" w:hAnsi="Arial" w:cs="Arial"/>
                <w:color w:val="000000"/>
                <w:sz w:val="20"/>
              </w:rPr>
            </w:pPr>
            <w:r>
              <w:rPr>
                <w:rFonts w:ascii="Arial" w:hAnsi="Arial" w:cs="Arial"/>
                <w:color w:val="000000"/>
                <w:sz w:val="20"/>
              </w:rPr>
              <w:t>M</w:t>
            </w:r>
            <w:r w:rsidRPr="00FB0F40">
              <w:rPr>
                <w:rFonts w:ascii="Arial" w:hAnsi="Arial" w:cs="Arial"/>
                <w:color w:val="000000"/>
                <w:sz w:val="20"/>
              </w:rPr>
              <w:t xml:space="preserve">onotherapy for patients </w:t>
            </w:r>
            <w:r w:rsidR="00A72460">
              <w:rPr>
                <w:rFonts w:ascii="Arial" w:hAnsi="Arial" w:cs="Arial"/>
                <w:color w:val="000000"/>
                <w:sz w:val="20"/>
              </w:rPr>
              <w:t>with advanced or metastatic non</w:t>
            </w:r>
            <w:r w:rsidR="00A72460">
              <w:rPr>
                <w:rFonts w:ascii="Arial" w:hAnsi="Arial" w:cs="Arial"/>
                <w:color w:val="000000"/>
                <w:sz w:val="20"/>
              </w:rPr>
              <w:noBreakHyphen/>
            </w:r>
            <w:r w:rsidRPr="00FB0F40">
              <w:rPr>
                <w:rFonts w:ascii="Arial" w:hAnsi="Arial" w:cs="Arial"/>
                <w:color w:val="000000"/>
                <w:sz w:val="20"/>
              </w:rPr>
              <w:t xml:space="preserve">squamous </w:t>
            </w:r>
            <w:r>
              <w:rPr>
                <w:rFonts w:ascii="Arial" w:hAnsi="Arial" w:cs="Arial"/>
                <w:color w:val="000000"/>
                <w:sz w:val="20"/>
              </w:rPr>
              <w:t>type non-small cell lung cancer (NSCLC)</w:t>
            </w:r>
            <w:r w:rsidRPr="00FB0F40">
              <w:rPr>
                <w:rFonts w:ascii="Arial" w:hAnsi="Arial" w:cs="Arial"/>
                <w:color w:val="000000"/>
                <w:sz w:val="20"/>
              </w:rPr>
              <w:t xml:space="preserve">, either as a first line therapy or after failure of cytotoxic chemotherapy.  </w:t>
            </w:r>
          </w:p>
        </w:tc>
        <w:tc>
          <w:tcPr>
            <w:tcW w:w="2126" w:type="dxa"/>
            <w:vMerge w:val="restart"/>
          </w:tcPr>
          <w:p w:rsidR="00E225FB" w:rsidRDefault="00E225FB" w:rsidP="004571A9">
            <w:pPr>
              <w:rPr>
                <w:rFonts w:ascii="Arial" w:hAnsi="Arial" w:cs="Arial"/>
                <w:color w:val="000000"/>
                <w:sz w:val="20"/>
              </w:rPr>
            </w:pPr>
            <w:r>
              <w:rPr>
                <w:rFonts w:ascii="Arial" w:hAnsi="Arial" w:cs="Arial"/>
                <w:color w:val="000000"/>
                <w:sz w:val="20"/>
              </w:rPr>
              <w:t>Not currently PBS listed</w:t>
            </w:r>
          </w:p>
          <w:p w:rsidR="00E225FB" w:rsidRDefault="00E225FB" w:rsidP="004571A9">
            <w:pPr>
              <w:rPr>
                <w:rFonts w:ascii="Arial" w:hAnsi="Arial" w:cs="Arial"/>
                <w:color w:val="000000"/>
                <w:sz w:val="20"/>
              </w:rPr>
            </w:pPr>
          </w:p>
          <w:p w:rsidR="00E225FB" w:rsidRPr="004571A9" w:rsidRDefault="00E225FB" w:rsidP="004571A9">
            <w:pPr>
              <w:rPr>
                <w:rFonts w:ascii="Arial" w:hAnsi="Arial" w:cs="Arial"/>
                <w:color w:val="000000"/>
                <w:sz w:val="20"/>
              </w:rPr>
            </w:pPr>
          </w:p>
        </w:tc>
        <w:tc>
          <w:tcPr>
            <w:tcW w:w="3827" w:type="dxa"/>
          </w:tcPr>
          <w:p w:rsidR="00E225FB" w:rsidRPr="004571A9" w:rsidRDefault="00E225FB" w:rsidP="00A72460">
            <w:pPr>
              <w:rPr>
                <w:rFonts w:ascii="Arial" w:hAnsi="Arial" w:cs="Arial"/>
                <w:color w:val="000000"/>
                <w:sz w:val="20"/>
              </w:rPr>
            </w:pPr>
            <w:r w:rsidRPr="00462127">
              <w:rPr>
                <w:rFonts w:ascii="Arial" w:hAnsi="Arial" w:cs="Arial"/>
                <w:color w:val="000000"/>
                <w:sz w:val="20"/>
              </w:rPr>
              <w:t xml:space="preserve">Re-submission for Authority Required listing for the treatment of patients with stage IIIB (locally advanced) or stage IV (metastatic) </w:t>
            </w:r>
            <w:r w:rsidR="00A72460">
              <w:rPr>
                <w:rFonts w:ascii="Arial" w:hAnsi="Arial" w:cs="Arial"/>
                <w:color w:val="000000"/>
                <w:sz w:val="20"/>
              </w:rPr>
              <w:t xml:space="preserve">NSCLC </w:t>
            </w:r>
            <w:r w:rsidRPr="00462127">
              <w:rPr>
                <w:rFonts w:ascii="Arial" w:hAnsi="Arial" w:cs="Arial"/>
                <w:color w:val="000000"/>
                <w:sz w:val="20"/>
              </w:rPr>
              <w:t>with epidermal growth factor receptor</w:t>
            </w:r>
            <w:r w:rsidR="00A72460">
              <w:rPr>
                <w:rFonts w:ascii="Arial" w:hAnsi="Arial" w:cs="Arial"/>
                <w:color w:val="000000"/>
                <w:sz w:val="20"/>
              </w:rPr>
              <w:t xml:space="preserve"> (EGFR)</w:t>
            </w:r>
            <w:r w:rsidRPr="00462127">
              <w:rPr>
                <w:rFonts w:ascii="Arial" w:hAnsi="Arial" w:cs="Arial"/>
                <w:color w:val="000000"/>
                <w:sz w:val="20"/>
              </w:rPr>
              <w:t xml:space="preserve"> mutation(s).</w:t>
            </w:r>
          </w:p>
        </w:tc>
        <w:tc>
          <w:tcPr>
            <w:tcW w:w="5245" w:type="dxa"/>
          </w:tcPr>
          <w:p w:rsidR="00E225FB" w:rsidRPr="007E1CE0" w:rsidRDefault="007E1CE0" w:rsidP="00A72460">
            <w:r w:rsidRPr="007E1CE0">
              <w:rPr>
                <w:rFonts w:ascii="Arial" w:hAnsi="Arial" w:cs="Arial"/>
                <w:bCs/>
                <w:sz w:val="20"/>
                <w:lang w:val="en-GB"/>
              </w:rPr>
              <w:t>The PBAC did not recommend the more r</w:t>
            </w:r>
            <w:r w:rsidR="00A72460">
              <w:rPr>
                <w:rFonts w:ascii="Arial" w:hAnsi="Arial" w:cs="Arial"/>
                <w:bCs/>
                <w:sz w:val="20"/>
                <w:lang w:val="en-GB"/>
              </w:rPr>
              <w:t xml:space="preserve">estricted listing of </w:t>
            </w:r>
            <w:proofErr w:type="spellStart"/>
            <w:r w:rsidR="00A72460">
              <w:rPr>
                <w:rFonts w:ascii="Arial" w:hAnsi="Arial" w:cs="Arial"/>
                <w:bCs/>
                <w:sz w:val="20"/>
                <w:lang w:val="en-GB"/>
              </w:rPr>
              <w:t>afatinib</w:t>
            </w:r>
            <w:proofErr w:type="spellEnd"/>
            <w:r w:rsidR="00A72460">
              <w:rPr>
                <w:rFonts w:ascii="Arial" w:hAnsi="Arial" w:cs="Arial"/>
                <w:bCs/>
                <w:sz w:val="20"/>
                <w:lang w:val="en-GB"/>
              </w:rPr>
              <w:t xml:space="preserve"> </w:t>
            </w:r>
            <w:proofErr w:type="spellStart"/>
            <w:r w:rsidR="00A72460">
              <w:rPr>
                <w:rFonts w:ascii="Arial" w:hAnsi="Arial" w:cs="Arial"/>
                <w:bCs/>
                <w:sz w:val="20"/>
                <w:lang w:val="en-GB"/>
              </w:rPr>
              <w:t>di</w:t>
            </w:r>
            <w:r w:rsidRPr="007E1CE0">
              <w:rPr>
                <w:rFonts w:ascii="Arial" w:hAnsi="Arial" w:cs="Arial"/>
                <w:bCs/>
                <w:sz w:val="20"/>
                <w:lang w:val="en-GB"/>
              </w:rPr>
              <w:t>maleate</w:t>
            </w:r>
            <w:proofErr w:type="spellEnd"/>
            <w:r w:rsidRPr="007E1CE0">
              <w:rPr>
                <w:rFonts w:ascii="Arial" w:hAnsi="Arial" w:cs="Arial"/>
                <w:bCs/>
                <w:sz w:val="20"/>
                <w:lang w:val="en-GB"/>
              </w:rPr>
              <w:t xml:space="preserve"> </w:t>
            </w:r>
            <w:r w:rsidRPr="007E1CE0">
              <w:rPr>
                <w:rFonts w:ascii="Arial" w:hAnsi="Arial" w:cs="Arial"/>
                <w:sz w:val="20"/>
              </w:rPr>
              <w:t xml:space="preserve">in patients with locally advanced or metastatic </w:t>
            </w:r>
            <w:r w:rsidR="00A72460">
              <w:rPr>
                <w:rFonts w:ascii="Arial" w:hAnsi="Arial" w:cs="Arial"/>
                <w:sz w:val="20"/>
              </w:rPr>
              <w:t>NSCLC</w:t>
            </w:r>
            <w:r w:rsidRPr="007E1CE0">
              <w:rPr>
                <w:rFonts w:ascii="Arial" w:hAnsi="Arial" w:cs="Arial"/>
                <w:sz w:val="20"/>
              </w:rPr>
              <w:t xml:space="preserve"> characterised by exon 19 deletion mutations of the EGFR gene.</w:t>
            </w:r>
          </w:p>
        </w:tc>
      </w:tr>
      <w:tr w:rsidR="00E225FB" w:rsidRPr="00FB0F40" w:rsidTr="00E421E6">
        <w:trPr>
          <w:trHeight w:val="286"/>
        </w:trPr>
        <w:tc>
          <w:tcPr>
            <w:tcW w:w="2127" w:type="dxa"/>
            <w:vMerge/>
          </w:tcPr>
          <w:p w:rsidR="00E225FB" w:rsidRPr="00462127" w:rsidRDefault="00E225FB" w:rsidP="00CA0C65">
            <w:pPr>
              <w:rPr>
                <w:rFonts w:ascii="Arial" w:hAnsi="Arial" w:cs="Arial"/>
                <w:color w:val="000000"/>
                <w:sz w:val="20"/>
              </w:rPr>
            </w:pPr>
          </w:p>
        </w:tc>
        <w:tc>
          <w:tcPr>
            <w:tcW w:w="2126" w:type="dxa"/>
            <w:vMerge/>
          </w:tcPr>
          <w:p w:rsidR="00E225FB" w:rsidRDefault="00E225FB" w:rsidP="00FB0F40">
            <w:pPr>
              <w:rPr>
                <w:rFonts w:ascii="Arial" w:hAnsi="Arial" w:cs="Arial"/>
                <w:color w:val="000000"/>
                <w:sz w:val="20"/>
              </w:rPr>
            </w:pPr>
          </w:p>
        </w:tc>
        <w:tc>
          <w:tcPr>
            <w:tcW w:w="2126" w:type="dxa"/>
            <w:vMerge/>
          </w:tcPr>
          <w:p w:rsidR="00E225FB" w:rsidRDefault="00E225FB" w:rsidP="004571A9">
            <w:pPr>
              <w:rPr>
                <w:rFonts w:ascii="Arial" w:hAnsi="Arial" w:cs="Arial"/>
                <w:color w:val="000000"/>
                <w:sz w:val="20"/>
              </w:rPr>
            </w:pPr>
          </w:p>
        </w:tc>
        <w:tc>
          <w:tcPr>
            <w:tcW w:w="3827" w:type="dxa"/>
          </w:tcPr>
          <w:p w:rsidR="00E225FB" w:rsidRPr="00CA0C65" w:rsidRDefault="00A72460" w:rsidP="00EE124B">
            <w:pPr>
              <w:pStyle w:val="ListBullet"/>
            </w:pPr>
            <w:r>
              <w:t>Comparator:</w:t>
            </w:r>
            <w:r w:rsidR="00E225FB" w:rsidRPr="00CA0C65">
              <w:t xml:space="preserve"> </w:t>
            </w:r>
            <w:proofErr w:type="spellStart"/>
            <w:r w:rsidR="007E1CE0">
              <w:t>Erlotinib</w:t>
            </w:r>
            <w:proofErr w:type="spellEnd"/>
            <w:r w:rsidR="007E1CE0">
              <w:t xml:space="preserve"> and </w:t>
            </w:r>
            <w:proofErr w:type="spellStart"/>
            <w:r w:rsidR="007E1CE0">
              <w:t>gefitinib</w:t>
            </w:r>
            <w:proofErr w:type="spellEnd"/>
          </w:p>
        </w:tc>
        <w:tc>
          <w:tcPr>
            <w:tcW w:w="5245" w:type="dxa"/>
          </w:tcPr>
          <w:p w:rsidR="00E225FB" w:rsidRPr="00E421E6" w:rsidRDefault="007E1CE0" w:rsidP="00EE124B">
            <w:pPr>
              <w:rPr>
                <w:rFonts w:ascii="Arial" w:hAnsi="Arial" w:cs="Arial"/>
                <w:sz w:val="20"/>
              </w:rPr>
            </w:pPr>
            <w:r>
              <w:rPr>
                <w:rFonts w:ascii="Arial" w:hAnsi="Arial" w:cs="Arial"/>
                <w:sz w:val="20"/>
              </w:rPr>
              <w:t>Accepted</w:t>
            </w:r>
          </w:p>
        </w:tc>
      </w:tr>
      <w:tr w:rsidR="00E225FB" w:rsidRPr="00FB0F40" w:rsidTr="00E225FB">
        <w:trPr>
          <w:trHeight w:val="516"/>
        </w:trPr>
        <w:tc>
          <w:tcPr>
            <w:tcW w:w="2127" w:type="dxa"/>
            <w:vMerge/>
          </w:tcPr>
          <w:p w:rsidR="00E225FB" w:rsidRPr="00462127" w:rsidRDefault="00E225FB" w:rsidP="00CA0C65">
            <w:pPr>
              <w:rPr>
                <w:rFonts w:ascii="Arial" w:hAnsi="Arial" w:cs="Arial"/>
                <w:color w:val="000000"/>
                <w:sz w:val="20"/>
              </w:rPr>
            </w:pPr>
          </w:p>
        </w:tc>
        <w:tc>
          <w:tcPr>
            <w:tcW w:w="2126" w:type="dxa"/>
            <w:vMerge/>
          </w:tcPr>
          <w:p w:rsidR="00E225FB" w:rsidRDefault="00E225FB" w:rsidP="00FB0F40">
            <w:pPr>
              <w:rPr>
                <w:rFonts w:ascii="Arial" w:hAnsi="Arial" w:cs="Arial"/>
                <w:color w:val="000000"/>
                <w:sz w:val="20"/>
              </w:rPr>
            </w:pPr>
          </w:p>
        </w:tc>
        <w:tc>
          <w:tcPr>
            <w:tcW w:w="2126" w:type="dxa"/>
            <w:vMerge/>
          </w:tcPr>
          <w:p w:rsidR="00E225FB" w:rsidRDefault="00E225FB" w:rsidP="004571A9">
            <w:pPr>
              <w:rPr>
                <w:rFonts w:ascii="Arial" w:hAnsi="Arial" w:cs="Arial"/>
                <w:color w:val="000000"/>
                <w:sz w:val="20"/>
              </w:rPr>
            </w:pPr>
          </w:p>
        </w:tc>
        <w:tc>
          <w:tcPr>
            <w:tcW w:w="3827" w:type="dxa"/>
          </w:tcPr>
          <w:p w:rsidR="00E225FB" w:rsidRPr="00CA0C65" w:rsidRDefault="00E225FB" w:rsidP="00EE124B">
            <w:pPr>
              <w:pStyle w:val="ListBullet"/>
            </w:pPr>
            <w:r w:rsidRPr="00CA0C65">
              <w:t xml:space="preserve">Clinical claim:  </w:t>
            </w:r>
          </w:p>
          <w:p w:rsidR="00E225FB" w:rsidRPr="00CA0C65" w:rsidRDefault="007E1CE0" w:rsidP="00EE124B">
            <w:pPr>
              <w:pStyle w:val="ListBullet"/>
            </w:pPr>
            <w:r w:rsidRPr="00E5447C">
              <w:t xml:space="preserve">The </w:t>
            </w:r>
            <w:r>
              <w:t>re-submission</w:t>
            </w:r>
            <w:r w:rsidRPr="00E5447C">
              <w:t xml:space="preserve"> describe</w:t>
            </w:r>
            <w:r>
              <w:t xml:space="preserve">d </w:t>
            </w:r>
            <w:proofErr w:type="spellStart"/>
            <w:r>
              <w:t>afatinib</w:t>
            </w:r>
            <w:proofErr w:type="spellEnd"/>
            <w:r>
              <w:t xml:space="preserve"> as having </w:t>
            </w:r>
            <w:r w:rsidRPr="00E5447C">
              <w:t>improved clinical outcomes co</w:t>
            </w:r>
            <w:r>
              <w:t xml:space="preserve">mpared with </w:t>
            </w:r>
            <w:proofErr w:type="spellStart"/>
            <w:r w:rsidRPr="00E5447C">
              <w:t>gefitinib</w:t>
            </w:r>
            <w:proofErr w:type="spellEnd"/>
            <w:r w:rsidRPr="00E5447C">
              <w:t xml:space="preserve"> and </w:t>
            </w:r>
            <w:proofErr w:type="spellStart"/>
            <w:r w:rsidRPr="00E5447C">
              <w:t>erlotinib</w:t>
            </w:r>
            <w:proofErr w:type="spellEnd"/>
            <w:r w:rsidRPr="00E5447C">
              <w:t xml:space="preserve"> in patients with </w:t>
            </w:r>
            <w:r>
              <w:t>exon 19 deletion EGFR mutations.</w:t>
            </w:r>
          </w:p>
        </w:tc>
        <w:tc>
          <w:tcPr>
            <w:tcW w:w="5245" w:type="dxa"/>
          </w:tcPr>
          <w:p w:rsidR="007E1CE0" w:rsidRPr="007E1CE0" w:rsidRDefault="007E1CE0" w:rsidP="007E1CE0">
            <w:pPr>
              <w:rPr>
                <w:rFonts w:ascii="Arial" w:hAnsi="Arial" w:cs="Arial"/>
                <w:sz w:val="20"/>
              </w:rPr>
            </w:pPr>
            <w:r w:rsidRPr="007E1CE0">
              <w:rPr>
                <w:rFonts w:ascii="Arial" w:hAnsi="Arial" w:cs="Arial"/>
                <w:sz w:val="20"/>
              </w:rPr>
              <w:t xml:space="preserve">Not accepted: The PBAC considered that the data provided in the submission did not provide sufficient evidence to demonstrate that </w:t>
            </w:r>
            <w:proofErr w:type="spellStart"/>
            <w:r w:rsidRPr="007E1CE0">
              <w:rPr>
                <w:rFonts w:ascii="Arial" w:hAnsi="Arial" w:cs="Arial"/>
                <w:sz w:val="20"/>
              </w:rPr>
              <w:t>afatinib</w:t>
            </w:r>
            <w:proofErr w:type="spellEnd"/>
            <w:r w:rsidRPr="007E1CE0">
              <w:rPr>
                <w:rFonts w:ascii="Arial" w:hAnsi="Arial" w:cs="Arial"/>
                <w:sz w:val="20"/>
              </w:rPr>
              <w:t xml:space="preserve"> is associated with improved clinical outcomes </w:t>
            </w:r>
            <w:proofErr w:type="gramStart"/>
            <w:r w:rsidRPr="007E1CE0">
              <w:rPr>
                <w:rFonts w:ascii="Arial" w:hAnsi="Arial" w:cs="Arial"/>
                <w:sz w:val="20"/>
              </w:rPr>
              <w:t xml:space="preserve">for the EGFR exon 19 deletion subgroup, in comparison with </w:t>
            </w:r>
            <w:proofErr w:type="spellStart"/>
            <w:r w:rsidRPr="007E1CE0">
              <w:rPr>
                <w:rFonts w:ascii="Arial" w:hAnsi="Arial" w:cs="Arial"/>
                <w:sz w:val="20"/>
              </w:rPr>
              <w:t>gefitinib</w:t>
            </w:r>
            <w:proofErr w:type="spellEnd"/>
            <w:r w:rsidRPr="007E1CE0">
              <w:rPr>
                <w:rFonts w:ascii="Arial" w:hAnsi="Arial" w:cs="Arial"/>
                <w:sz w:val="20"/>
              </w:rPr>
              <w:t xml:space="preserve"> </w:t>
            </w:r>
            <w:r w:rsidRPr="007E1CE0">
              <w:rPr>
                <w:rFonts w:ascii="Arial" w:hAnsi="Arial" w:cs="Arial"/>
                <w:iCs/>
                <w:sz w:val="20"/>
              </w:rPr>
              <w:t>and with</w:t>
            </w:r>
            <w:r w:rsidRPr="007E1CE0">
              <w:rPr>
                <w:rFonts w:ascii="Arial" w:hAnsi="Arial" w:cs="Arial"/>
                <w:sz w:val="20"/>
              </w:rPr>
              <w:t xml:space="preserve"> </w:t>
            </w:r>
            <w:proofErr w:type="spellStart"/>
            <w:r w:rsidRPr="007E1CE0">
              <w:rPr>
                <w:rFonts w:ascii="Arial" w:hAnsi="Arial" w:cs="Arial"/>
                <w:sz w:val="20"/>
              </w:rPr>
              <w:t>erlotinib</w:t>
            </w:r>
            <w:proofErr w:type="spellEnd"/>
            <w:proofErr w:type="gramEnd"/>
            <w:r w:rsidRPr="007E1CE0">
              <w:rPr>
                <w:rFonts w:ascii="Arial" w:hAnsi="Arial" w:cs="Arial"/>
                <w:sz w:val="20"/>
              </w:rPr>
              <w:t>.</w:t>
            </w:r>
          </w:p>
          <w:p w:rsidR="00E225FB" w:rsidRPr="00CA0C65" w:rsidRDefault="00E225FB" w:rsidP="00EE124B">
            <w:pPr>
              <w:rPr>
                <w:rFonts w:ascii="Arial" w:hAnsi="Arial" w:cs="Arial"/>
                <w:sz w:val="20"/>
                <w:highlight w:val="yellow"/>
              </w:rPr>
            </w:pPr>
          </w:p>
        </w:tc>
      </w:tr>
      <w:tr w:rsidR="00E225FB" w:rsidRPr="00FB0F40" w:rsidTr="00E225FB">
        <w:trPr>
          <w:trHeight w:val="570"/>
        </w:trPr>
        <w:tc>
          <w:tcPr>
            <w:tcW w:w="2127" w:type="dxa"/>
            <w:vMerge/>
          </w:tcPr>
          <w:p w:rsidR="00E225FB" w:rsidRPr="00462127" w:rsidRDefault="00E225FB" w:rsidP="00CA0C65">
            <w:pPr>
              <w:rPr>
                <w:rFonts w:ascii="Arial" w:hAnsi="Arial" w:cs="Arial"/>
                <w:color w:val="000000"/>
                <w:sz w:val="20"/>
              </w:rPr>
            </w:pPr>
          </w:p>
        </w:tc>
        <w:tc>
          <w:tcPr>
            <w:tcW w:w="2126" w:type="dxa"/>
            <w:vMerge/>
          </w:tcPr>
          <w:p w:rsidR="00E225FB" w:rsidRDefault="00E225FB" w:rsidP="00FB0F40">
            <w:pPr>
              <w:rPr>
                <w:rFonts w:ascii="Arial" w:hAnsi="Arial" w:cs="Arial"/>
                <w:color w:val="000000"/>
                <w:sz w:val="20"/>
              </w:rPr>
            </w:pPr>
          </w:p>
        </w:tc>
        <w:tc>
          <w:tcPr>
            <w:tcW w:w="2126" w:type="dxa"/>
            <w:vMerge/>
          </w:tcPr>
          <w:p w:rsidR="00E225FB" w:rsidRDefault="00E225FB" w:rsidP="004571A9">
            <w:pPr>
              <w:rPr>
                <w:rFonts w:ascii="Arial" w:hAnsi="Arial" w:cs="Arial"/>
                <w:color w:val="000000"/>
                <w:sz w:val="20"/>
              </w:rPr>
            </w:pPr>
          </w:p>
        </w:tc>
        <w:tc>
          <w:tcPr>
            <w:tcW w:w="3827" w:type="dxa"/>
          </w:tcPr>
          <w:p w:rsidR="00E225FB" w:rsidRPr="00CA0C65" w:rsidRDefault="00E225FB" w:rsidP="00EE124B">
            <w:pPr>
              <w:pStyle w:val="ListBullet"/>
            </w:pPr>
            <w:r w:rsidRPr="00CA0C65">
              <w:t>Economic claim:</w:t>
            </w:r>
          </w:p>
          <w:p w:rsidR="00E225FB" w:rsidRPr="00CA0C65" w:rsidRDefault="007E1CE0" w:rsidP="00EE124B">
            <w:pPr>
              <w:pStyle w:val="ListBullet"/>
            </w:pPr>
            <w:r>
              <w:t>C</w:t>
            </w:r>
            <w:r w:rsidRPr="00FB3522">
              <w:t xml:space="preserve">ost-effectiveness of </w:t>
            </w:r>
            <w:proofErr w:type="spellStart"/>
            <w:r w:rsidRPr="00FB3522">
              <w:t>afatinib</w:t>
            </w:r>
            <w:proofErr w:type="spellEnd"/>
            <w:r w:rsidRPr="00FB3522">
              <w:t xml:space="preserve"> compared with </w:t>
            </w:r>
            <w:proofErr w:type="spellStart"/>
            <w:r w:rsidRPr="00FB3522">
              <w:t>erlotinib</w:t>
            </w:r>
            <w:proofErr w:type="spellEnd"/>
            <w:r w:rsidRPr="00FB3522">
              <w:t xml:space="preserve"> or </w:t>
            </w:r>
            <w:proofErr w:type="spellStart"/>
            <w:r w:rsidRPr="00FB3522">
              <w:t>gefitinib</w:t>
            </w:r>
            <w:proofErr w:type="spellEnd"/>
            <w:r>
              <w:t>.</w:t>
            </w:r>
          </w:p>
        </w:tc>
        <w:tc>
          <w:tcPr>
            <w:tcW w:w="5245" w:type="dxa"/>
          </w:tcPr>
          <w:p w:rsidR="007E1CE0" w:rsidRPr="007E1CE0" w:rsidRDefault="007E1CE0" w:rsidP="007E1CE0">
            <w:pPr>
              <w:rPr>
                <w:rFonts w:ascii="Arial" w:hAnsi="Arial" w:cs="Arial"/>
                <w:sz w:val="20"/>
              </w:rPr>
            </w:pPr>
            <w:r w:rsidRPr="007E1CE0">
              <w:rPr>
                <w:rFonts w:ascii="Arial" w:hAnsi="Arial" w:cs="Arial"/>
                <w:sz w:val="20"/>
              </w:rPr>
              <w:t>Not accepted: Th</w:t>
            </w:r>
            <w:r w:rsidR="00A72460">
              <w:rPr>
                <w:rFonts w:ascii="Arial" w:hAnsi="Arial" w:cs="Arial"/>
                <w:sz w:val="20"/>
              </w:rPr>
              <w:t>e PBAC considered that the cost</w:t>
            </w:r>
            <w:r w:rsidR="00A72460">
              <w:rPr>
                <w:rFonts w:ascii="Arial" w:hAnsi="Arial" w:cs="Arial"/>
                <w:sz w:val="20"/>
              </w:rPr>
              <w:noBreakHyphen/>
            </w:r>
            <w:r w:rsidRPr="007E1CE0">
              <w:rPr>
                <w:rFonts w:ascii="Arial" w:hAnsi="Arial" w:cs="Arial"/>
                <w:sz w:val="20"/>
              </w:rPr>
              <w:t>effectiveness approach used for the economic evaluation could not confidently estimate the quantified differences in efficacy and safety that were proposed by the submission, noting that:</w:t>
            </w:r>
          </w:p>
          <w:p w:rsidR="007E1CE0" w:rsidRPr="007E1CE0" w:rsidRDefault="007E1CE0" w:rsidP="00AE346F">
            <w:pPr>
              <w:numPr>
                <w:ilvl w:val="0"/>
                <w:numId w:val="13"/>
              </w:numPr>
              <w:ind w:left="318" w:hanging="284"/>
              <w:rPr>
                <w:rFonts w:ascii="Arial" w:hAnsi="Arial" w:cs="Arial"/>
                <w:sz w:val="20"/>
              </w:rPr>
            </w:pPr>
            <w:r w:rsidRPr="007E1CE0">
              <w:rPr>
                <w:rFonts w:ascii="Arial" w:hAnsi="Arial" w:cs="Arial"/>
                <w:sz w:val="20"/>
              </w:rPr>
              <w:t xml:space="preserve">the model relied on the point estimates of hazard ratios for </w:t>
            </w:r>
            <w:r w:rsidR="006D33CD">
              <w:rPr>
                <w:rFonts w:ascii="Arial" w:hAnsi="Arial" w:cs="Arial"/>
                <w:sz w:val="20"/>
              </w:rPr>
              <w:t>progression free survival</w:t>
            </w:r>
            <w:r w:rsidRPr="007E1CE0">
              <w:rPr>
                <w:rFonts w:ascii="Arial" w:hAnsi="Arial" w:cs="Arial"/>
                <w:sz w:val="20"/>
              </w:rPr>
              <w:t xml:space="preserve"> and </w:t>
            </w:r>
            <w:r w:rsidR="006D33CD">
              <w:rPr>
                <w:rFonts w:ascii="Arial" w:hAnsi="Arial" w:cs="Arial"/>
                <w:sz w:val="20"/>
              </w:rPr>
              <w:t xml:space="preserve">overall survival </w:t>
            </w:r>
            <w:r w:rsidRPr="007E1CE0">
              <w:rPr>
                <w:rFonts w:ascii="Arial" w:hAnsi="Arial" w:cs="Arial"/>
                <w:sz w:val="20"/>
              </w:rPr>
              <w:t>obtained f</w:t>
            </w:r>
            <w:r w:rsidR="006D33CD">
              <w:rPr>
                <w:rFonts w:ascii="Arial" w:hAnsi="Arial" w:cs="Arial"/>
                <w:sz w:val="20"/>
              </w:rPr>
              <w:t>rom indirect comparisons of non</w:t>
            </w:r>
            <w:r w:rsidR="006D33CD">
              <w:rPr>
                <w:rFonts w:ascii="Arial" w:hAnsi="Arial" w:cs="Arial"/>
                <w:sz w:val="20"/>
              </w:rPr>
              <w:noBreakHyphen/>
            </w:r>
            <w:r w:rsidRPr="007E1CE0">
              <w:rPr>
                <w:rFonts w:ascii="Arial" w:hAnsi="Arial" w:cs="Arial"/>
                <w:sz w:val="20"/>
              </w:rPr>
              <w:t xml:space="preserve">exchangeable trials; and </w:t>
            </w:r>
          </w:p>
          <w:p w:rsidR="00E225FB" w:rsidRPr="007E1CE0" w:rsidRDefault="007E1CE0" w:rsidP="00AE346F">
            <w:pPr>
              <w:numPr>
                <w:ilvl w:val="0"/>
                <w:numId w:val="13"/>
              </w:numPr>
              <w:ind w:left="318" w:hanging="284"/>
              <w:rPr>
                <w:rFonts w:ascii="Arial" w:hAnsi="Arial" w:cs="Arial"/>
                <w:sz w:val="20"/>
              </w:rPr>
            </w:pPr>
            <w:proofErr w:type="gramStart"/>
            <w:r w:rsidRPr="007E1CE0">
              <w:rPr>
                <w:rFonts w:ascii="Arial" w:hAnsi="Arial" w:cs="Arial"/>
                <w:sz w:val="20"/>
              </w:rPr>
              <w:t>the</w:t>
            </w:r>
            <w:proofErr w:type="gramEnd"/>
            <w:r w:rsidRPr="007E1CE0">
              <w:rPr>
                <w:rFonts w:ascii="Arial" w:hAnsi="Arial" w:cs="Arial"/>
                <w:sz w:val="20"/>
              </w:rPr>
              <w:t xml:space="preserve"> majority of the results were not statistically significant and there were wide confidence intervals around the point estimates. </w:t>
            </w:r>
          </w:p>
        </w:tc>
      </w:tr>
      <w:tr w:rsidR="00E225FB" w:rsidRPr="00FB0F40" w:rsidTr="006D33CD">
        <w:trPr>
          <w:trHeight w:val="394"/>
        </w:trPr>
        <w:tc>
          <w:tcPr>
            <w:tcW w:w="2127" w:type="dxa"/>
            <w:vMerge/>
          </w:tcPr>
          <w:p w:rsidR="00E225FB" w:rsidRPr="00462127" w:rsidRDefault="00E225FB" w:rsidP="00CA0C65">
            <w:pPr>
              <w:rPr>
                <w:rFonts w:ascii="Arial" w:hAnsi="Arial" w:cs="Arial"/>
                <w:color w:val="000000"/>
                <w:sz w:val="20"/>
              </w:rPr>
            </w:pPr>
          </w:p>
        </w:tc>
        <w:tc>
          <w:tcPr>
            <w:tcW w:w="2126" w:type="dxa"/>
            <w:vMerge/>
          </w:tcPr>
          <w:p w:rsidR="00E225FB" w:rsidRDefault="00E225FB" w:rsidP="00FB0F40">
            <w:pPr>
              <w:rPr>
                <w:rFonts w:ascii="Arial" w:hAnsi="Arial" w:cs="Arial"/>
                <w:color w:val="000000"/>
                <w:sz w:val="20"/>
              </w:rPr>
            </w:pPr>
          </w:p>
        </w:tc>
        <w:tc>
          <w:tcPr>
            <w:tcW w:w="2126" w:type="dxa"/>
            <w:vMerge/>
          </w:tcPr>
          <w:p w:rsidR="00E225FB" w:rsidRDefault="00E225FB" w:rsidP="004571A9">
            <w:pPr>
              <w:rPr>
                <w:rFonts w:ascii="Arial" w:hAnsi="Arial" w:cs="Arial"/>
                <w:color w:val="000000"/>
                <w:sz w:val="20"/>
              </w:rPr>
            </w:pPr>
          </w:p>
        </w:tc>
        <w:tc>
          <w:tcPr>
            <w:tcW w:w="3827" w:type="dxa"/>
          </w:tcPr>
          <w:p w:rsidR="00E225FB" w:rsidRPr="000805C6" w:rsidRDefault="00E225FB" w:rsidP="00EE124B">
            <w:pPr>
              <w:pStyle w:val="ListBullet"/>
            </w:pPr>
            <w:r w:rsidRPr="000805C6">
              <w:t>Sponsor’s comments:</w:t>
            </w:r>
          </w:p>
          <w:p w:rsidR="00E225FB" w:rsidRDefault="00E225FB" w:rsidP="00EE124B">
            <w:pPr>
              <w:pStyle w:val="ListBullet"/>
            </w:pPr>
          </w:p>
          <w:p w:rsidR="00E225FB" w:rsidRPr="00CA0C65" w:rsidRDefault="00E225FB" w:rsidP="00EE124B">
            <w:pPr>
              <w:pStyle w:val="ListBullet"/>
            </w:pPr>
          </w:p>
        </w:tc>
        <w:tc>
          <w:tcPr>
            <w:tcW w:w="5245" w:type="dxa"/>
          </w:tcPr>
          <w:p w:rsidR="00E225FB" w:rsidRPr="00CA0C65" w:rsidRDefault="005B1B61" w:rsidP="00EE124B">
            <w:pPr>
              <w:rPr>
                <w:rFonts w:ascii="Arial" w:hAnsi="Arial" w:cs="Arial"/>
                <w:sz w:val="20"/>
                <w:highlight w:val="yellow"/>
              </w:rPr>
            </w:pPr>
            <w:r w:rsidRPr="00C653EF">
              <w:rPr>
                <w:rFonts w:ascii="Arial" w:hAnsi="Arial" w:cs="Arial"/>
                <w:sz w:val="20"/>
              </w:rPr>
              <w:t>The sponsor had no comment.</w:t>
            </w:r>
          </w:p>
        </w:tc>
      </w:tr>
      <w:tr w:rsidR="00E225FB" w:rsidRPr="00FB0F40" w:rsidTr="00E225FB">
        <w:trPr>
          <w:trHeight w:val="1250"/>
        </w:trPr>
        <w:tc>
          <w:tcPr>
            <w:tcW w:w="2127" w:type="dxa"/>
            <w:vMerge w:val="restart"/>
          </w:tcPr>
          <w:p w:rsidR="00E225FB" w:rsidRPr="00A72460" w:rsidRDefault="00E225FB" w:rsidP="00E421E6">
            <w:pPr>
              <w:keepNext/>
              <w:rPr>
                <w:rFonts w:ascii="Arial" w:hAnsi="Arial" w:cs="Arial"/>
                <w:color w:val="000000"/>
                <w:sz w:val="20"/>
              </w:rPr>
            </w:pPr>
            <w:r w:rsidRPr="000B779B">
              <w:rPr>
                <w:rFonts w:ascii="Arial" w:hAnsi="Arial" w:cs="Arial"/>
                <w:b/>
                <w:color w:val="000000"/>
                <w:sz w:val="20"/>
              </w:rPr>
              <w:lastRenderedPageBreak/>
              <w:t>MULTICOMPONENT MENINGOCOCCAL GROUP B VACCINE (4CMENB)</w:t>
            </w:r>
            <w:r w:rsidRPr="00A72460">
              <w:rPr>
                <w:rFonts w:ascii="Arial" w:hAnsi="Arial" w:cs="Arial"/>
                <w:color w:val="000000"/>
                <w:sz w:val="20"/>
              </w:rPr>
              <w:br/>
            </w:r>
            <w:r w:rsidRPr="00A72460">
              <w:rPr>
                <w:rFonts w:ascii="Arial" w:hAnsi="Arial" w:cs="Arial"/>
                <w:color w:val="000000"/>
                <w:sz w:val="20"/>
              </w:rPr>
              <w:br/>
              <w:t>0.5 mL suspension for injection pre-filled syringe</w:t>
            </w:r>
            <w:r w:rsidRPr="00A72460">
              <w:rPr>
                <w:rFonts w:ascii="Arial" w:hAnsi="Arial" w:cs="Arial"/>
                <w:color w:val="000000"/>
                <w:sz w:val="20"/>
              </w:rPr>
              <w:br/>
            </w:r>
            <w:r w:rsidRPr="00A72460">
              <w:rPr>
                <w:rFonts w:ascii="Arial" w:hAnsi="Arial" w:cs="Arial"/>
                <w:color w:val="000000"/>
                <w:sz w:val="20"/>
              </w:rPr>
              <w:br/>
              <w:t>BEXSERO®</w:t>
            </w:r>
            <w:r w:rsidRPr="00A72460">
              <w:rPr>
                <w:rFonts w:ascii="Arial" w:hAnsi="Arial" w:cs="Arial"/>
                <w:color w:val="000000"/>
                <w:sz w:val="20"/>
              </w:rPr>
              <w:br/>
            </w:r>
            <w:r w:rsidRPr="00A72460">
              <w:rPr>
                <w:rFonts w:ascii="Arial" w:hAnsi="Arial" w:cs="Arial"/>
                <w:color w:val="000000"/>
                <w:sz w:val="20"/>
              </w:rPr>
              <w:br/>
              <w:t>Novartis Vaccines and Diagnostics Pty Ltd (an affiliate of GlaxoSmithKline LLC)</w:t>
            </w:r>
          </w:p>
          <w:p w:rsidR="00AE346F" w:rsidRPr="00A72460" w:rsidRDefault="00AE346F" w:rsidP="00CA0C65">
            <w:pPr>
              <w:rPr>
                <w:rFonts w:ascii="Arial" w:hAnsi="Arial" w:cs="Arial"/>
                <w:color w:val="000000"/>
                <w:sz w:val="20"/>
              </w:rPr>
            </w:pPr>
          </w:p>
          <w:p w:rsidR="00AE346F" w:rsidRPr="003D0BD9" w:rsidRDefault="00A72460" w:rsidP="00AE346F">
            <w:pPr>
              <w:rPr>
                <w:rFonts w:ascii="Arial" w:hAnsi="Arial" w:cs="Arial"/>
                <w:color w:val="000000"/>
                <w:sz w:val="20"/>
              </w:rPr>
            </w:pPr>
            <w:r w:rsidRPr="00A72460">
              <w:rPr>
                <w:rFonts w:ascii="Arial" w:hAnsi="Arial" w:cs="Arial"/>
                <w:color w:val="000000"/>
                <w:sz w:val="20"/>
              </w:rPr>
              <w:t>New listing</w:t>
            </w:r>
          </w:p>
          <w:p w:rsidR="00AE346F" w:rsidRPr="003D0BD9" w:rsidRDefault="00AE346F" w:rsidP="00AE346F">
            <w:pPr>
              <w:rPr>
                <w:rFonts w:ascii="Arial" w:hAnsi="Arial" w:cs="Arial"/>
                <w:color w:val="000000"/>
                <w:sz w:val="20"/>
              </w:rPr>
            </w:pPr>
          </w:p>
          <w:p w:rsidR="00AE346F" w:rsidRPr="003D0BD9" w:rsidRDefault="00AE346F" w:rsidP="00AE346F">
            <w:pPr>
              <w:rPr>
                <w:rFonts w:ascii="Arial" w:hAnsi="Arial" w:cs="Arial"/>
                <w:color w:val="000000"/>
                <w:sz w:val="20"/>
              </w:rPr>
            </w:pPr>
            <w:r w:rsidRPr="003D0BD9">
              <w:rPr>
                <w:rFonts w:ascii="Arial" w:hAnsi="Arial" w:cs="Arial"/>
                <w:color w:val="000000"/>
                <w:sz w:val="20"/>
              </w:rPr>
              <w:t>(Minor Submission)</w:t>
            </w:r>
          </w:p>
        </w:tc>
        <w:tc>
          <w:tcPr>
            <w:tcW w:w="2126" w:type="dxa"/>
            <w:vMerge w:val="restart"/>
          </w:tcPr>
          <w:p w:rsidR="00E225FB" w:rsidRPr="003D0BD9" w:rsidRDefault="00E225FB" w:rsidP="00AF66FF">
            <w:pPr>
              <w:pStyle w:val="ListParagraph"/>
              <w:ind w:left="0"/>
              <w:rPr>
                <w:rFonts w:ascii="Arial" w:hAnsi="Arial" w:cs="Arial"/>
                <w:color w:val="000000"/>
                <w:sz w:val="20"/>
                <w:szCs w:val="20"/>
              </w:rPr>
            </w:pPr>
            <w:r w:rsidRPr="003D0BD9">
              <w:rPr>
                <w:rFonts w:ascii="Arial" w:hAnsi="Arial" w:cs="Arial"/>
                <w:color w:val="000000"/>
                <w:sz w:val="20"/>
                <w:szCs w:val="20"/>
              </w:rPr>
              <w:t>Active immunisation against disease caused by Neisseria</w:t>
            </w:r>
            <w:r w:rsidRPr="003D0BD9" w:rsidDel="00C42545">
              <w:rPr>
                <w:rFonts w:ascii="Arial" w:hAnsi="Arial" w:cs="Arial"/>
                <w:color w:val="000000"/>
                <w:sz w:val="20"/>
                <w:szCs w:val="20"/>
              </w:rPr>
              <w:t xml:space="preserve"> </w:t>
            </w:r>
            <w:proofErr w:type="spellStart"/>
            <w:r w:rsidRPr="003D0BD9">
              <w:rPr>
                <w:rFonts w:ascii="Arial" w:hAnsi="Arial" w:cs="Arial"/>
                <w:color w:val="000000"/>
                <w:sz w:val="20"/>
                <w:szCs w:val="20"/>
              </w:rPr>
              <w:t>meningiti</w:t>
            </w:r>
            <w:r w:rsidRPr="00A72460">
              <w:rPr>
                <w:rFonts w:ascii="Arial" w:hAnsi="Arial" w:cs="Arial"/>
                <w:color w:val="000000"/>
                <w:sz w:val="20"/>
                <w:szCs w:val="20"/>
              </w:rPr>
              <w:t>dis</w:t>
            </w:r>
            <w:proofErr w:type="spellEnd"/>
            <w:r w:rsidRPr="00A72460">
              <w:rPr>
                <w:rFonts w:ascii="Arial" w:hAnsi="Arial" w:cs="Arial"/>
                <w:color w:val="000000"/>
                <w:sz w:val="20"/>
                <w:szCs w:val="20"/>
              </w:rPr>
              <w:t xml:space="preserve"> group B strains.</w:t>
            </w:r>
            <w:r w:rsidRPr="003D0BD9">
              <w:rPr>
                <w:rFonts w:ascii="Arial" w:hAnsi="Arial" w:cs="Arial"/>
                <w:color w:val="000000"/>
                <w:sz w:val="20"/>
                <w:szCs w:val="20"/>
              </w:rPr>
              <w:t xml:space="preserve">  It is indicated for vaccination of individuals from 2</w:t>
            </w:r>
            <w:r w:rsidR="00A72460" w:rsidRPr="003D0BD9">
              <w:rPr>
                <w:rFonts w:ascii="Arial" w:hAnsi="Arial" w:cs="Arial"/>
                <w:color w:val="000000"/>
                <w:sz w:val="20"/>
                <w:szCs w:val="20"/>
              </w:rPr>
              <w:t> </w:t>
            </w:r>
            <w:r w:rsidRPr="003D0BD9">
              <w:rPr>
                <w:rFonts w:ascii="Arial" w:hAnsi="Arial" w:cs="Arial"/>
                <w:color w:val="000000"/>
                <w:sz w:val="20"/>
                <w:szCs w:val="20"/>
              </w:rPr>
              <w:t>months of age and older.</w:t>
            </w:r>
          </w:p>
          <w:p w:rsidR="00E225FB" w:rsidRPr="003D0BD9" w:rsidRDefault="00E225FB" w:rsidP="00CA0C65">
            <w:pPr>
              <w:rPr>
                <w:rFonts w:ascii="Arial" w:hAnsi="Arial" w:cs="Arial"/>
                <w:color w:val="000000"/>
                <w:sz w:val="20"/>
              </w:rPr>
            </w:pPr>
          </w:p>
        </w:tc>
        <w:tc>
          <w:tcPr>
            <w:tcW w:w="2126" w:type="dxa"/>
            <w:vMerge w:val="restart"/>
          </w:tcPr>
          <w:p w:rsidR="00E225FB" w:rsidRPr="003D0BD9" w:rsidRDefault="00E225FB" w:rsidP="00A72460">
            <w:pPr>
              <w:rPr>
                <w:rFonts w:ascii="Arial" w:hAnsi="Arial" w:cs="Arial"/>
                <w:color w:val="000000"/>
                <w:sz w:val="20"/>
              </w:rPr>
            </w:pPr>
            <w:r w:rsidRPr="00A72460">
              <w:rPr>
                <w:rFonts w:ascii="Arial" w:hAnsi="Arial" w:cs="Arial"/>
                <w:color w:val="000000"/>
                <w:sz w:val="20"/>
              </w:rPr>
              <w:t>Not currently PBS listed</w:t>
            </w:r>
            <w:r w:rsidR="00A72460" w:rsidRPr="00A72460">
              <w:rPr>
                <w:rFonts w:ascii="Arial" w:hAnsi="Arial" w:cs="Arial"/>
                <w:color w:val="000000"/>
                <w:sz w:val="20"/>
              </w:rPr>
              <w:t xml:space="preserve"> or included on the </w:t>
            </w:r>
            <w:r w:rsidR="00A72460" w:rsidRPr="003D0BD9">
              <w:rPr>
                <w:rFonts w:ascii="Arial" w:hAnsi="Arial" w:cs="Arial"/>
                <w:color w:val="000000"/>
                <w:sz w:val="20"/>
              </w:rPr>
              <w:t>National Immunisation Programme (NIP)</w:t>
            </w:r>
          </w:p>
        </w:tc>
        <w:tc>
          <w:tcPr>
            <w:tcW w:w="3827" w:type="dxa"/>
          </w:tcPr>
          <w:p w:rsidR="00E225FB" w:rsidRPr="00903B06" w:rsidRDefault="00E225FB" w:rsidP="00A72460">
            <w:pPr>
              <w:rPr>
                <w:rFonts w:ascii="Arial" w:hAnsi="Arial" w:cs="Arial"/>
                <w:color w:val="000000"/>
                <w:sz w:val="20"/>
              </w:rPr>
            </w:pPr>
            <w:r w:rsidRPr="00903B06">
              <w:rPr>
                <w:rFonts w:ascii="Arial" w:hAnsi="Arial" w:cs="Arial"/>
                <w:color w:val="000000"/>
                <w:sz w:val="20"/>
              </w:rPr>
              <w:t xml:space="preserve">Re-submission for inclusion on the </w:t>
            </w:r>
            <w:r w:rsidR="00A72460">
              <w:rPr>
                <w:rFonts w:ascii="Arial" w:hAnsi="Arial" w:cs="Arial"/>
                <w:color w:val="000000"/>
                <w:sz w:val="20"/>
              </w:rPr>
              <w:t>NIP</w:t>
            </w:r>
            <w:r w:rsidRPr="00903B06">
              <w:rPr>
                <w:rFonts w:ascii="Arial" w:hAnsi="Arial" w:cs="Arial"/>
                <w:color w:val="000000"/>
                <w:sz w:val="20"/>
              </w:rPr>
              <w:t xml:space="preserve"> for the prevention of meningococcal B disease in infants and adolescents.</w:t>
            </w:r>
          </w:p>
        </w:tc>
        <w:tc>
          <w:tcPr>
            <w:tcW w:w="5245" w:type="dxa"/>
          </w:tcPr>
          <w:p w:rsidR="00E225FB" w:rsidRPr="00FB0F40" w:rsidRDefault="003B47E9" w:rsidP="00A72460">
            <w:pPr>
              <w:rPr>
                <w:rFonts w:ascii="Arial" w:hAnsi="Arial" w:cs="Arial"/>
                <w:color w:val="000000"/>
                <w:sz w:val="20"/>
              </w:rPr>
            </w:pPr>
            <w:r w:rsidRPr="003B47E9">
              <w:rPr>
                <w:rFonts w:ascii="Arial" w:hAnsi="Arial" w:cs="Arial"/>
                <w:color w:val="000000"/>
                <w:sz w:val="20"/>
              </w:rPr>
              <w:t xml:space="preserve">The PBAC rejected the re-submission requesting listing of the 4CMenB vaccine on the </w:t>
            </w:r>
            <w:r w:rsidR="00A72460">
              <w:rPr>
                <w:rFonts w:ascii="Arial" w:hAnsi="Arial" w:cs="Arial"/>
                <w:color w:val="000000"/>
                <w:sz w:val="20"/>
              </w:rPr>
              <w:t>NIP</w:t>
            </w:r>
            <w:r w:rsidRPr="003B47E9">
              <w:rPr>
                <w:rFonts w:ascii="Arial" w:hAnsi="Arial" w:cs="Arial"/>
                <w:color w:val="000000"/>
                <w:sz w:val="20"/>
              </w:rPr>
              <w:t xml:space="preserve"> Schedule for the prevention of meningococcal B disease in infants and adolescents. The basis o</w:t>
            </w:r>
            <w:r w:rsidR="006D33CD">
              <w:rPr>
                <w:rFonts w:ascii="Arial" w:hAnsi="Arial" w:cs="Arial"/>
                <w:color w:val="000000"/>
                <w:sz w:val="20"/>
              </w:rPr>
              <w:t>f the rejection was that the re</w:t>
            </w:r>
            <w:r w:rsidR="006D33CD">
              <w:rPr>
                <w:rFonts w:ascii="Arial" w:hAnsi="Arial" w:cs="Arial"/>
                <w:color w:val="000000"/>
                <w:sz w:val="20"/>
              </w:rPr>
              <w:noBreakHyphen/>
            </w:r>
            <w:r w:rsidRPr="003B47E9">
              <w:rPr>
                <w:rFonts w:ascii="Arial" w:hAnsi="Arial" w:cs="Arial"/>
                <w:color w:val="000000"/>
                <w:sz w:val="20"/>
              </w:rPr>
              <w:t xml:space="preserve">submission did not address multiple uncertainties in relation to the clinical effectiveness of the vaccine against the disease when delivered in a vaccination program, that the </w:t>
            </w:r>
            <w:r w:rsidR="006D33CD">
              <w:rPr>
                <w:rFonts w:ascii="Arial" w:hAnsi="Arial" w:cs="Arial"/>
                <w:color w:val="000000"/>
                <w:sz w:val="20"/>
              </w:rPr>
              <w:t xml:space="preserve">use of </w:t>
            </w:r>
            <w:r w:rsidRPr="003B47E9">
              <w:rPr>
                <w:rFonts w:ascii="Arial" w:hAnsi="Arial" w:cs="Arial"/>
                <w:color w:val="000000"/>
                <w:sz w:val="20"/>
              </w:rPr>
              <w:t xml:space="preserve">optimistic assumptions about the extent and duration of effect and herd immunity </w:t>
            </w:r>
            <w:r w:rsidR="006D33CD">
              <w:rPr>
                <w:rFonts w:ascii="Arial" w:hAnsi="Arial" w:cs="Arial"/>
                <w:color w:val="000000"/>
                <w:sz w:val="20"/>
              </w:rPr>
              <w:t xml:space="preserve">as </w:t>
            </w:r>
            <w:r w:rsidRPr="003B47E9">
              <w:rPr>
                <w:rFonts w:ascii="Arial" w:hAnsi="Arial" w:cs="Arial"/>
                <w:color w:val="000000"/>
                <w:sz w:val="20"/>
              </w:rPr>
              <w:t>raised by the PBAC in previous consideration of this vaccine were not addressed, and the unacceptably high and uncertain ICER, presented in the re-submission.</w:t>
            </w:r>
          </w:p>
        </w:tc>
      </w:tr>
      <w:tr w:rsidR="00413CAD" w:rsidRPr="00FB0F40" w:rsidTr="00E421E6">
        <w:trPr>
          <w:trHeight w:val="332"/>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AF66FF">
            <w:pPr>
              <w:pStyle w:val="ListParagraph"/>
              <w:ind w:left="0"/>
              <w:rPr>
                <w:rFonts w:ascii="Arial" w:hAnsi="Arial" w:cs="Arial"/>
                <w:color w:val="000000"/>
                <w:sz w:val="20"/>
                <w:szCs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413CAD" w:rsidP="00EE124B">
            <w:pPr>
              <w:pStyle w:val="ListBullet"/>
            </w:pPr>
            <w:r w:rsidRPr="00CA0C65">
              <w:t xml:space="preserve">Comparator: </w:t>
            </w:r>
            <w:r w:rsidR="003B47E9" w:rsidRPr="003B47E9">
              <w:t>no vaccination.</w:t>
            </w:r>
          </w:p>
        </w:tc>
        <w:tc>
          <w:tcPr>
            <w:tcW w:w="5245" w:type="dxa"/>
          </w:tcPr>
          <w:p w:rsidR="00413CAD" w:rsidRPr="00E421E6" w:rsidRDefault="003B47E9" w:rsidP="00EE124B">
            <w:pPr>
              <w:rPr>
                <w:rFonts w:ascii="Arial" w:hAnsi="Arial" w:cs="Arial"/>
                <w:sz w:val="20"/>
              </w:rPr>
            </w:pPr>
            <w:r>
              <w:rPr>
                <w:rFonts w:ascii="Arial" w:hAnsi="Arial" w:cs="Arial"/>
                <w:sz w:val="20"/>
              </w:rPr>
              <w:t>Accepted.</w:t>
            </w:r>
          </w:p>
        </w:tc>
      </w:tr>
      <w:tr w:rsidR="00413CAD" w:rsidRPr="00FB0F40" w:rsidTr="00E225FB">
        <w:trPr>
          <w:trHeight w:val="615"/>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AF66FF">
            <w:pPr>
              <w:pStyle w:val="ListParagraph"/>
              <w:ind w:left="0"/>
              <w:rPr>
                <w:rFonts w:ascii="Arial" w:hAnsi="Arial" w:cs="Arial"/>
                <w:color w:val="000000"/>
                <w:sz w:val="20"/>
                <w:szCs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413CAD" w:rsidP="00EE124B">
            <w:pPr>
              <w:pStyle w:val="ListBullet"/>
            </w:pPr>
            <w:r w:rsidRPr="00CA0C65">
              <w:t xml:space="preserve">Clinical claim: </w:t>
            </w:r>
            <w:r w:rsidR="003B47E9" w:rsidRPr="003B47E9">
              <w:t>superior in terms of comparative effectiveness, with an acceptable tolerability profile in infants and adolescents.</w:t>
            </w:r>
          </w:p>
          <w:p w:rsidR="00413CAD" w:rsidRPr="00CA0C65" w:rsidRDefault="00413CAD" w:rsidP="00EE124B">
            <w:pPr>
              <w:pStyle w:val="ListBullet"/>
            </w:pPr>
          </w:p>
        </w:tc>
        <w:tc>
          <w:tcPr>
            <w:tcW w:w="5245" w:type="dxa"/>
          </w:tcPr>
          <w:p w:rsidR="00413CAD" w:rsidRPr="00CA0C65" w:rsidRDefault="003B47E9" w:rsidP="00FD2CE1">
            <w:pPr>
              <w:rPr>
                <w:rFonts w:ascii="Arial" w:hAnsi="Arial" w:cs="Arial"/>
                <w:sz w:val="20"/>
                <w:highlight w:val="yellow"/>
              </w:rPr>
            </w:pPr>
            <w:r w:rsidRPr="003B47E9">
              <w:rPr>
                <w:rFonts w:ascii="Arial" w:hAnsi="Arial" w:cs="Arial"/>
                <w:sz w:val="20"/>
              </w:rPr>
              <w:t>Not accepted. The PBAC reaffirmed its November 2013 and July 2014 conclusion</w:t>
            </w:r>
            <w:r w:rsidR="006D33CD">
              <w:rPr>
                <w:rFonts w:ascii="Arial" w:hAnsi="Arial" w:cs="Arial"/>
                <w:sz w:val="20"/>
              </w:rPr>
              <w:t>s</w:t>
            </w:r>
            <w:r w:rsidRPr="003B47E9">
              <w:rPr>
                <w:rFonts w:ascii="Arial" w:hAnsi="Arial" w:cs="Arial"/>
                <w:sz w:val="20"/>
              </w:rPr>
              <w:t xml:space="preserve"> that the vaccine is effective in inducing antibodies against the component antigens of 4CMenB. However, in the context of a population-based intervention against</w:t>
            </w:r>
            <w:r w:rsidR="00FD2CE1">
              <w:rPr>
                <w:rFonts w:ascii="Arial" w:hAnsi="Arial" w:cs="Arial"/>
                <w:sz w:val="20"/>
              </w:rPr>
              <w:t xml:space="preserve"> </w:t>
            </w:r>
            <w:r w:rsidR="00FD2CE1" w:rsidRPr="00FD2CE1">
              <w:rPr>
                <w:rFonts w:ascii="Arial" w:hAnsi="Arial" w:cs="Arial"/>
                <w:sz w:val="20"/>
              </w:rPr>
              <w:t>invasive meningococcal B disease</w:t>
            </w:r>
            <w:r w:rsidRPr="003B47E9">
              <w:rPr>
                <w:rFonts w:ascii="Arial" w:hAnsi="Arial" w:cs="Arial"/>
                <w:sz w:val="20"/>
              </w:rPr>
              <w:t>, the Committee considered the clinical claim was highly uncertain because of the likely short persistence of the antibody response in children, uncertainty about the correlation between antibody responses and protection, the unknown effect on carriage of the bacteria, the overall uncertain long-term protective efficacy against infection and disease, and the unknown influence of projected herd immunity effects on overall disease burden. These issues were not addressed in the re-submission, although the PBAC acknowledged the limitations of the evidence base.</w:t>
            </w:r>
          </w:p>
        </w:tc>
      </w:tr>
      <w:tr w:rsidR="00413CAD" w:rsidRPr="00FB0F40" w:rsidTr="00E225FB">
        <w:trPr>
          <w:trHeight w:val="630"/>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AF66FF">
            <w:pPr>
              <w:pStyle w:val="ListParagraph"/>
              <w:ind w:left="0"/>
              <w:rPr>
                <w:rFonts w:ascii="Arial" w:hAnsi="Arial" w:cs="Arial"/>
                <w:color w:val="000000"/>
                <w:sz w:val="20"/>
                <w:szCs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413CAD" w:rsidP="00EE124B">
            <w:pPr>
              <w:pStyle w:val="ListBullet"/>
            </w:pPr>
            <w:r w:rsidRPr="00CA0C65">
              <w:t>Economic claim:</w:t>
            </w:r>
            <w:r w:rsidR="003B47E9">
              <w:t xml:space="preserve"> </w:t>
            </w:r>
            <w:r w:rsidR="003B47E9" w:rsidRPr="003B47E9">
              <w:t xml:space="preserve">cost-utility </w:t>
            </w:r>
            <w:r w:rsidR="003B47E9">
              <w:t>analysis against no vaccination.</w:t>
            </w:r>
          </w:p>
          <w:p w:rsidR="00413CAD" w:rsidRPr="00CA0C65" w:rsidRDefault="00413CAD" w:rsidP="00EE124B">
            <w:pPr>
              <w:pStyle w:val="ListBullet"/>
            </w:pPr>
          </w:p>
        </w:tc>
        <w:tc>
          <w:tcPr>
            <w:tcW w:w="5245" w:type="dxa"/>
          </w:tcPr>
          <w:p w:rsidR="00413CAD" w:rsidRPr="00CA0C65" w:rsidRDefault="003B47E9" w:rsidP="003B47E9">
            <w:pPr>
              <w:pStyle w:val="ListParagraph"/>
              <w:ind w:left="0"/>
              <w:rPr>
                <w:rFonts w:ascii="Arial" w:hAnsi="Arial" w:cs="Arial"/>
                <w:sz w:val="20"/>
                <w:szCs w:val="20"/>
                <w:highlight w:val="yellow"/>
              </w:rPr>
            </w:pPr>
            <w:r w:rsidRPr="003B47E9">
              <w:rPr>
                <w:rFonts w:ascii="Arial" w:hAnsi="Arial" w:cs="Arial"/>
                <w:sz w:val="20"/>
                <w:szCs w:val="20"/>
              </w:rPr>
              <w:t xml:space="preserve">Not accepted. The PBAC noted that the submission had not addressed the previous concerns of the PBAC in regards to the model, namely uncertain and optimistic assumptions about the extent and duration of effect and herd immunity. The PBAC was also concerned with the discounting rate applied in the model that considerably </w:t>
            </w:r>
            <w:r w:rsidRPr="003B47E9">
              <w:rPr>
                <w:rFonts w:ascii="Arial" w:hAnsi="Arial" w:cs="Arial"/>
                <w:sz w:val="20"/>
                <w:szCs w:val="20"/>
              </w:rPr>
              <w:lastRenderedPageBreak/>
              <w:t xml:space="preserve">favoured the 4CMenB vaccine. The PBAC considered that none of the proposed program options were </w:t>
            </w:r>
            <w:proofErr w:type="gramStart"/>
            <w:r w:rsidRPr="003B47E9">
              <w:rPr>
                <w:rFonts w:ascii="Arial" w:hAnsi="Arial" w:cs="Arial"/>
                <w:sz w:val="20"/>
                <w:szCs w:val="20"/>
              </w:rPr>
              <w:t>cost</w:t>
            </w:r>
            <w:r w:rsidR="00FD2CE1">
              <w:rPr>
                <w:rFonts w:ascii="Arial" w:hAnsi="Arial" w:cs="Arial"/>
                <w:sz w:val="20"/>
                <w:szCs w:val="20"/>
              </w:rPr>
              <w:noBreakHyphen/>
            </w:r>
            <w:r w:rsidRPr="003B47E9">
              <w:rPr>
                <w:rFonts w:ascii="Arial" w:hAnsi="Arial" w:cs="Arial"/>
                <w:sz w:val="20"/>
                <w:szCs w:val="20"/>
              </w:rPr>
              <w:t>effective</w:t>
            </w:r>
            <w:proofErr w:type="gramEnd"/>
            <w:r w:rsidRPr="003B47E9">
              <w:rPr>
                <w:rFonts w:ascii="Arial" w:hAnsi="Arial" w:cs="Arial"/>
                <w:sz w:val="20"/>
                <w:szCs w:val="20"/>
              </w:rPr>
              <w:t xml:space="preserve"> as presented in the submission.</w:t>
            </w:r>
          </w:p>
        </w:tc>
      </w:tr>
      <w:tr w:rsidR="00413CAD" w:rsidRPr="00FB0F40" w:rsidTr="000805C6">
        <w:trPr>
          <w:trHeight w:val="600"/>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AF66FF">
            <w:pPr>
              <w:pStyle w:val="ListParagraph"/>
              <w:ind w:left="0"/>
              <w:rPr>
                <w:rFonts w:ascii="Arial" w:hAnsi="Arial" w:cs="Arial"/>
                <w:color w:val="000000"/>
                <w:sz w:val="20"/>
                <w:szCs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413CAD" w:rsidP="00EE124B">
            <w:pPr>
              <w:pStyle w:val="ListBullet"/>
            </w:pPr>
            <w:r w:rsidRPr="000805C6">
              <w:t>Sponsor’s comments:</w:t>
            </w:r>
          </w:p>
        </w:tc>
        <w:tc>
          <w:tcPr>
            <w:tcW w:w="5245" w:type="dxa"/>
          </w:tcPr>
          <w:p w:rsidR="000B0FBC" w:rsidRPr="00F77F1A" w:rsidRDefault="000B0FBC" w:rsidP="000B0FBC">
            <w:pPr>
              <w:rPr>
                <w:rFonts w:ascii="Arial" w:hAnsi="Arial" w:cs="Arial"/>
                <w:iCs/>
                <w:sz w:val="20"/>
              </w:rPr>
            </w:pPr>
            <w:r w:rsidRPr="00F77F1A">
              <w:rPr>
                <w:rFonts w:ascii="Arial" w:hAnsi="Arial" w:cs="Arial"/>
                <w:iCs/>
                <w:sz w:val="20"/>
              </w:rPr>
              <w:t xml:space="preserve">GSK is disappointed with the PBACs decision. GSK believes that the PBAC’s evaluation criteria </w:t>
            </w:r>
            <w:r w:rsidR="00C92978" w:rsidRPr="00F77F1A">
              <w:rPr>
                <w:rFonts w:ascii="Arial" w:hAnsi="Arial" w:cs="Arial"/>
                <w:iCs/>
                <w:sz w:val="20"/>
              </w:rPr>
              <w:t xml:space="preserve">(including a higher discount rate in the economic evaluation) </w:t>
            </w:r>
            <w:r w:rsidRPr="00F77F1A">
              <w:rPr>
                <w:rFonts w:ascii="Arial" w:hAnsi="Arial" w:cs="Arial"/>
                <w:iCs/>
                <w:sz w:val="20"/>
              </w:rPr>
              <w:t xml:space="preserve">have significantly undervalued the benefits of vaccination with 4CMenB compared </w:t>
            </w:r>
            <w:r w:rsidR="00C92978" w:rsidRPr="00F77F1A">
              <w:rPr>
                <w:rFonts w:ascii="Arial" w:hAnsi="Arial" w:cs="Arial"/>
                <w:iCs/>
                <w:sz w:val="20"/>
              </w:rPr>
              <w:t>with</w:t>
            </w:r>
            <w:r w:rsidRPr="00F77F1A">
              <w:rPr>
                <w:rFonts w:ascii="Arial" w:hAnsi="Arial" w:cs="Arial"/>
                <w:iCs/>
                <w:sz w:val="20"/>
              </w:rPr>
              <w:t xml:space="preserve"> another major health technology review agency which will reimburse the vaccine from September 2015.</w:t>
            </w:r>
          </w:p>
          <w:p w:rsidR="000B0FBC" w:rsidRPr="00F77F1A" w:rsidRDefault="000B0FBC" w:rsidP="000B0FBC">
            <w:pPr>
              <w:rPr>
                <w:rFonts w:ascii="Arial" w:hAnsi="Arial" w:cs="Arial"/>
                <w:iCs/>
                <w:sz w:val="20"/>
              </w:rPr>
            </w:pPr>
          </w:p>
          <w:p w:rsidR="000B0FBC" w:rsidRPr="00F77F1A" w:rsidRDefault="000B0FBC" w:rsidP="000B0FBC">
            <w:pPr>
              <w:rPr>
                <w:rFonts w:ascii="Arial" w:hAnsi="Arial" w:cs="Arial"/>
                <w:iCs/>
                <w:sz w:val="20"/>
              </w:rPr>
            </w:pPr>
            <w:r w:rsidRPr="00F77F1A">
              <w:rPr>
                <w:rFonts w:ascii="Arial" w:hAnsi="Arial" w:cs="Arial"/>
                <w:iCs/>
                <w:sz w:val="20"/>
              </w:rPr>
              <w:t xml:space="preserve">GSK notes the advice from the Government’s key clinical advisors on immunisation, the Australian Technical Advisory Group on Immunisation (ATAGI): that Meningococcal B vaccine is recommended for infants and young children under two years old and adolescents aged 15-19 years. </w:t>
            </w:r>
          </w:p>
          <w:p w:rsidR="000B0FBC" w:rsidRPr="00F77F1A" w:rsidRDefault="000B0FBC" w:rsidP="000B0FBC">
            <w:pPr>
              <w:rPr>
                <w:rFonts w:ascii="Arial" w:hAnsi="Arial" w:cs="Arial"/>
                <w:iCs/>
                <w:sz w:val="20"/>
              </w:rPr>
            </w:pPr>
          </w:p>
          <w:p w:rsidR="00413CAD" w:rsidRPr="000F0001" w:rsidRDefault="000B0FBC" w:rsidP="0085670C">
            <w:pPr>
              <w:rPr>
                <w:rFonts w:ascii="Arial" w:hAnsi="Arial" w:cs="Arial"/>
                <w:i/>
                <w:iCs/>
                <w:color w:val="1F497D"/>
                <w:sz w:val="18"/>
                <w:szCs w:val="18"/>
              </w:rPr>
            </w:pPr>
            <w:r w:rsidRPr="00F77F1A">
              <w:rPr>
                <w:rFonts w:ascii="Arial" w:hAnsi="Arial" w:cs="Arial"/>
                <w:iCs/>
                <w:sz w:val="20"/>
              </w:rPr>
              <w:t xml:space="preserve">GSK believes that the application of the PBAC’s </w:t>
            </w:r>
            <w:r w:rsidR="0085670C" w:rsidRPr="00F77F1A">
              <w:rPr>
                <w:rFonts w:ascii="Arial" w:hAnsi="Arial" w:cs="Arial"/>
                <w:iCs/>
                <w:sz w:val="20"/>
              </w:rPr>
              <w:t xml:space="preserve">current </w:t>
            </w:r>
            <w:r w:rsidRPr="00F77F1A">
              <w:rPr>
                <w:rFonts w:ascii="Arial" w:hAnsi="Arial" w:cs="Arial"/>
                <w:iCs/>
                <w:sz w:val="20"/>
              </w:rPr>
              <w:t>HTA evaluation criteria will prohibit the adoption of a vaccine that prevents a rare and unpredictable life threatening disease, with devastating impact in children, adolescents and their families.  To this end, GSK supports the PBAC Guideline</w:t>
            </w:r>
            <w:r w:rsidR="0085670C" w:rsidRPr="00F77F1A">
              <w:rPr>
                <w:rFonts w:ascii="Arial" w:hAnsi="Arial" w:cs="Arial"/>
                <w:iCs/>
                <w:sz w:val="20"/>
              </w:rPr>
              <w:t>s</w:t>
            </w:r>
            <w:r w:rsidRPr="00F77F1A">
              <w:rPr>
                <w:rFonts w:ascii="Arial" w:hAnsi="Arial" w:cs="Arial"/>
                <w:iCs/>
                <w:sz w:val="20"/>
              </w:rPr>
              <w:t xml:space="preserve"> review.</w:t>
            </w:r>
          </w:p>
        </w:tc>
      </w:tr>
      <w:tr w:rsidR="00413CAD" w:rsidRPr="00FB0F40" w:rsidTr="00413CAD">
        <w:trPr>
          <w:trHeight w:val="2280"/>
        </w:trPr>
        <w:tc>
          <w:tcPr>
            <w:tcW w:w="2127" w:type="dxa"/>
            <w:vMerge w:val="restart"/>
          </w:tcPr>
          <w:p w:rsidR="00C842D6" w:rsidRPr="000B779B" w:rsidRDefault="00413CAD" w:rsidP="00CA0C65">
            <w:pPr>
              <w:rPr>
                <w:rFonts w:ascii="Arial" w:hAnsi="Arial" w:cs="Arial"/>
                <w:b/>
                <w:color w:val="000000"/>
                <w:sz w:val="20"/>
              </w:rPr>
            </w:pPr>
            <w:r w:rsidRPr="000B779B">
              <w:rPr>
                <w:rFonts w:ascii="Arial" w:hAnsi="Arial" w:cs="Arial"/>
                <w:b/>
                <w:color w:val="000000"/>
                <w:sz w:val="20"/>
              </w:rPr>
              <w:t>NETUPITANT and PALONOSETRON</w:t>
            </w:r>
          </w:p>
          <w:p w:rsidR="00413CAD" w:rsidRDefault="00413CAD" w:rsidP="00CA0C65">
            <w:pPr>
              <w:rPr>
                <w:rFonts w:ascii="Arial" w:hAnsi="Arial" w:cs="Arial"/>
                <w:color w:val="000000"/>
                <w:sz w:val="20"/>
              </w:rPr>
            </w:pPr>
            <w:r w:rsidRPr="00903B06">
              <w:rPr>
                <w:rFonts w:ascii="Arial" w:hAnsi="Arial" w:cs="Arial"/>
                <w:color w:val="000000"/>
                <w:sz w:val="20"/>
              </w:rPr>
              <w:br/>
            </w:r>
            <w:proofErr w:type="spellStart"/>
            <w:r w:rsidRPr="00903B06">
              <w:rPr>
                <w:rFonts w:ascii="Arial" w:hAnsi="Arial" w:cs="Arial"/>
                <w:color w:val="000000"/>
                <w:sz w:val="20"/>
              </w:rPr>
              <w:t>netupitant</w:t>
            </w:r>
            <w:proofErr w:type="spellEnd"/>
            <w:r w:rsidRPr="00903B06">
              <w:rPr>
                <w:rFonts w:ascii="Arial" w:hAnsi="Arial" w:cs="Arial"/>
                <w:color w:val="000000"/>
                <w:sz w:val="20"/>
              </w:rPr>
              <w:t xml:space="preserve"> 300 mg +</w:t>
            </w:r>
            <w:r w:rsidR="009F3C03">
              <w:rPr>
                <w:rFonts w:ascii="Arial" w:hAnsi="Arial" w:cs="Arial"/>
                <w:color w:val="000000"/>
                <w:sz w:val="20"/>
              </w:rPr>
              <w:t xml:space="preserve"> </w:t>
            </w:r>
            <w:proofErr w:type="spellStart"/>
            <w:r w:rsidR="009F3C03">
              <w:rPr>
                <w:rFonts w:ascii="Arial" w:hAnsi="Arial" w:cs="Arial"/>
                <w:color w:val="000000"/>
                <w:sz w:val="20"/>
              </w:rPr>
              <w:t>palonosetron</w:t>
            </w:r>
            <w:proofErr w:type="spellEnd"/>
            <w:r w:rsidR="009F3C03">
              <w:rPr>
                <w:rFonts w:ascii="Arial" w:hAnsi="Arial" w:cs="Arial"/>
                <w:color w:val="000000"/>
                <w:sz w:val="20"/>
              </w:rPr>
              <w:t xml:space="preserve"> 0.5 mg, 1</w:t>
            </w:r>
            <w:r w:rsidR="009F3C03">
              <w:rPr>
                <w:rFonts w:ascii="Arial" w:hAnsi="Arial" w:cs="Arial"/>
                <w:color w:val="000000"/>
                <w:sz w:val="20"/>
              </w:rPr>
              <w:br/>
            </w:r>
            <w:r w:rsidR="009F3C03">
              <w:rPr>
                <w:rFonts w:ascii="Arial" w:hAnsi="Arial" w:cs="Arial"/>
                <w:color w:val="000000"/>
                <w:sz w:val="20"/>
              </w:rPr>
              <w:br/>
              <w:t>AKYNZE</w:t>
            </w:r>
            <w:r w:rsidRPr="00903B06">
              <w:rPr>
                <w:rFonts w:ascii="Arial" w:hAnsi="Arial" w:cs="Arial"/>
                <w:color w:val="000000"/>
                <w:sz w:val="20"/>
              </w:rPr>
              <w:t>O®</w:t>
            </w:r>
            <w:r w:rsidRPr="00903B06">
              <w:rPr>
                <w:rFonts w:ascii="Arial" w:hAnsi="Arial" w:cs="Arial"/>
                <w:color w:val="000000"/>
                <w:sz w:val="20"/>
              </w:rPr>
              <w:br/>
            </w:r>
            <w:r w:rsidRPr="00903B06">
              <w:rPr>
                <w:rFonts w:ascii="Arial" w:hAnsi="Arial" w:cs="Arial"/>
                <w:color w:val="000000"/>
                <w:sz w:val="20"/>
              </w:rPr>
              <w:br/>
            </w:r>
            <w:r w:rsidRPr="00903B06">
              <w:rPr>
                <w:rFonts w:ascii="Arial" w:hAnsi="Arial" w:cs="Arial"/>
                <w:color w:val="000000"/>
                <w:sz w:val="20"/>
              </w:rPr>
              <w:lastRenderedPageBreak/>
              <w:t>Specialised Therapeutics Australia Pty Ltd</w:t>
            </w:r>
          </w:p>
          <w:p w:rsidR="00AE346F" w:rsidRDefault="00AE346F" w:rsidP="00CA0C65">
            <w:pPr>
              <w:rPr>
                <w:rFonts w:ascii="Arial" w:hAnsi="Arial" w:cs="Arial"/>
                <w:color w:val="000000"/>
                <w:sz w:val="20"/>
              </w:rPr>
            </w:pPr>
          </w:p>
          <w:p w:rsidR="00AE346F" w:rsidRPr="00AE346F" w:rsidRDefault="00AE346F" w:rsidP="00AE346F">
            <w:pPr>
              <w:rPr>
                <w:rFonts w:ascii="Arial" w:hAnsi="Arial" w:cs="Arial"/>
                <w:color w:val="000000"/>
                <w:sz w:val="20"/>
              </w:rPr>
            </w:pPr>
            <w:r w:rsidRPr="00AE346F">
              <w:rPr>
                <w:rFonts w:ascii="Arial" w:hAnsi="Arial" w:cs="Arial"/>
                <w:color w:val="000000"/>
                <w:sz w:val="20"/>
              </w:rPr>
              <w:t>New listing</w:t>
            </w:r>
          </w:p>
          <w:p w:rsidR="00AE346F" w:rsidRPr="00AE346F" w:rsidRDefault="00AE346F" w:rsidP="00AE346F">
            <w:pPr>
              <w:rPr>
                <w:rFonts w:ascii="Arial" w:hAnsi="Arial" w:cs="Arial"/>
                <w:color w:val="000000"/>
                <w:sz w:val="20"/>
              </w:rPr>
            </w:pPr>
          </w:p>
          <w:p w:rsidR="00AE346F" w:rsidRPr="00903B06" w:rsidRDefault="00AE346F" w:rsidP="00AE346F">
            <w:pPr>
              <w:rPr>
                <w:rFonts w:ascii="Arial" w:hAnsi="Arial" w:cs="Arial"/>
                <w:color w:val="000000"/>
                <w:sz w:val="20"/>
              </w:rPr>
            </w:pPr>
            <w:r w:rsidRPr="00AE346F">
              <w:rPr>
                <w:rFonts w:ascii="Arial" w:hAnsi="Arial" w:cs="Arial"/>
                <w:color w:val="000000"/>
                <w:sz w:val="20"/>
              </w:rPr>
              <w:t>(Minor Submission)</w:t>
            </w:r>
          </w:p>
        </w:tc>
        <w:tc>
          <w:tcPr>
            <w:tcW w:w="2126" w:type="dxa"/>
            <w:vMerge w:val="restart"/>
          </w:tcPr>
          <w:p w:rsidR="00413CAD" w:rsidRPr="00AF66FF" w:rsidRDefault="00413CAD" w:rsidP="00CB7D95">
            <w:pPr>
              <w:pStyle w:val="ListParagraph"/>
              <w:widowControl w:val="0"/>
              <w:ind w:left="33"/>
              <w:rPr>
                <w:rFonts w:ascii="Arial" w:hAnsi="Arial" w:cs="Arial"/>
                <w:color w:val="000000"/>
                <w:sz w:val="20"/>
                <w:szCs w:val="20"/>
              </w:rPr>
            </w:pPr>
            <w:r>
              <w:rPr>
                <w:rFonts w:ascii="Arial" w:hAnsi="Arial" w:cs="Arial"/>
                <w:color w:val="000000"/>
                <w:sz w:val="20"/>
                <w:szCs w:val="20"/>
              </w:rPr>
              <w:lastRenderedPageBreak/>
              <w:t>P</w:t>
            </w:r>
            <w:r w:rsidRPr="00AF66FF">
              <w:rPr>
                <w:rFonts w:ascii="Arial" w:hAnsi="Arial" w:cs="Arial"/>
                <w:color w:val="000000"/>
                <w:sz w:val="20"/>
                <w:szCs w:val="20"/>
              </w:rPr>
              <w:t xml:space="preserve">revention of acute and delayed nausea and vomiting associated with initial and repeat courses of highly </w:t>
            </w:r>
            <w:proofErr w:type="spellStart"/>
            <w:r w:rsidRPr="00AF66FF">
              <w:rPr>
                <w:rFonts w:ascii="Arial" w:hAnsi="Arial" w:cs="Arial"/>
                <w:color w:val="000000"/>
                <w:sz w:val="20"/>
                <w:szCs w:val="20"/>
              </w:rPr>
              <w:t>emetogenic</w:t>
            </w:r>
            <w:proofErr w:type="spellEnd"/>
            <w:r w:rsidRPr="00AF66FF">
              <w:rPr>
                <w:rFonts w:ascii="Arial" w:hAnsi="Arial" w:cs="Arial"/>
                <w:color w:val="000000"/>
                <w:sz w:val="20"/>
                <w:szCs w:val="20"/>
              </w:rPr>
              <w:t xml:space="preserve"> cancer chemotherapy; and</w:t>
            </w:r>
            <w:r>
              <w:rPr>
                <w:rFonts w:ascii="Arial" w:hAnsi="Arial" w:cs="Arial"/>
                <w:color w:val="000000"/>
                <w:sz w:val="20"/>
                <w:szCs w:val="20"/>
              </w:rPr>
              <w:t xml:space="preserve"> </w:t>
            </w:r>
            <w:r w:rsidRPr="00AF66FF">
              <w:rPr>
                <w:rFonts w:ascii="Arial" w:hAnsi="Arial" w:cs="Arial"/>
                <w:color w:val="000000"/>
                <w:sz w:val="20"/>
                <w:szCs w:val="20"/>
              </w:rPr>
              <w:t xml:space="preserve">prevention of acute </w:t>
            </w:r>
            <w:r w:rsidRPr="00AF66FF">
              <w:rPr>
                <w:rFonts w:ascii="Arial" w:hAnsi="Arial" w:cs="Arial"/>
                <w:color w:val="000000"/>
                <w:sz w:val="20"/>
                <w:szCs w:val="20"/>
              </w:rPr>
              <w:lastRenderedPageBreak/>
              <w:t xml:space="preserve">and delayed nausea and vomiting associated with initial and repeat courses of moderately </w:t>
            </w:r>
            <w:proofErr w:type="spellStart"/>
            <w:r w:rsidRPr="00AF66FF">
              <w:rPr>
                <w:rFonts w:ascii="Arial" w:hAnsi="Arial" w:cs="Arial"/>
                <w:color w:val="000000"/>
                <w:sz w:val="20"/>
                <w:szCs w:val="20"/>
              </w:rPr>
              <w:t>emetogenic</w:t>
            </w:r>
            <w:proofErr w:type="spellEnd"/>
            <w:r w:rsidRPr="00AF66FF">
              <w:rPr>
                <w:rFonts w:ascii="Arial" w:hAnsi="Arial" w:cs="Arial"/>
                <w:color w:val="000000"/>
                <w:sz w:val="20"/>
                <w:szCs w:val="20"/>
              </w:rPr>
              <w:t xml:space="preserve"> cancer chemotherapy.</w:t>
            </w:r>
          </w:p>
          <w:p w:rsidR="00413CAD" w:rsidRPr="00FB0F40" w:rsidRDefault="00413CAD" w:rsidP="00AF66FF">
            <w:pPr>
              <w:ind w:left="33"/>
              <w:rPr>
                <w:rFonts w:ascii="Arial" w:hAnsi="Arial" w:cs="Arial"/>
                <w:color w:val="000000"/>
                <w:sz w:val="20"/>
              </w:rPr>
            </w:pPr>
          </w:p>
        </w:tc>
        <w:tc>
          <w:tcPr>
            <w:tcW w:w="2126" w:type="dxa"/>
            <w:vMerge w:val="restart"/>
          </w:tcPr>
          <w:p w:rsidR="00413CAD" w:rsidRPr="00903B06" w:rsidRDefault="00413CAD" w:rsidP="004571A9">
            <w:pPr>
              <w:rPr>
                <w:rFonts w:ascii="Arial" w:hAnsi="Arial" w:cs="Arial"/>
                <w:color w:val="000000"/>
                <w:sz w:val="20"/>
              </w:rPr>
            </w:pPr>
            <w:r>
              <w:rPr>
                <w:rFonts w:ascii="Arial" w:hAnsi="Arial" w:cs="Arial"/>
                <w:color w:val="000000"/>
                <w:sz w:val="20"/>
              </w:rPr>
              <w:lastRenderedPageBreak/>
              <w:t>Not currently PBS listed</w:t>
            </w:r>
          </w:p>
        </w:tc>
        <w:tc>
          <w:tcPr>
            <w:tcW w:w="3827" w:type="dxa"/>
          </w:tcPr>
          <w:p w:rsidR="00413CAD" w:rsidRPr="00903B06" w:rsidRDefault="00413CAD" w:rsidP="00FD2CE1">
            <w:pPr>
              <w:rPr>
                <w:rFonts w:ascii="Arial" w:hAnsi="Arial" w:cs="Arial"/>
                <w:color w:val="000000"/>
                <w:sz w:val="20"/>
              </w:rPr>
            </w:pPr>
            <w:r w:rsidRPr="00903B06">
              <w:rPr>
                <w:rFonts w:ascii="Arial" w:hAnsi="Arial" w:cs="Arial"/>
                <w:color w:val="000000"/>
                <w:sz w:val="20"/>
              </w:rPr>
              <w:t xml:space="preserve">Re-submission for </w:t>
            </w:r>
            <w:r w:rsidR="00FD2CE1">
              <w:rPr>
                <w:rFonts w:ascii="Arial" w:hAnsi="Arial" w:cs="Arial"/>
                <w:color w:val="000000"/>
                <w:sz w:val="20"/>
              </w:rPr>
              <w:t>S</w:t>
            </w:r>
            <w:r w:rsidRPr="00903B06">
              <w:rPr>
                <w:rFonts w:ascii="Arial" w:hAnsi="Arial" w:cs="Arial"/>
                <w:color w:val="000000"/>
                <w:sz w:val="20"/>
              </w:rPr>
              <w:t xml:space="preserve">ection 100 (Efficient Funding of Chemotherapy - Related Benefits) and General Schedule listing for the prevention of nausea and vomiting in patients receiving highly </w:t>
            </w:r>
            <w:proofErr w:type="spellStart"/>
            <w:r w:rsidRPr="00903B06">
              <w:rPr>
                <w:rFonts w:ascii="Arial" w:hAnsi="Arial" w:cs="Arial"/>
                <w:color w:val="000000"/>
                <w:sz w:val="20"/>
              </w:rPr>
              <w:t>emetogenic</w:t>
            </w:r>
            <w:proofErr w:type="spellEnd"/>
            <w:r w:rsidRPr="00903B06">
              <w:rPr>
                <w:rFonts w:ascii="Arial" w:hAnsi="Arial" w:cs="Arial"/>
                <w:color w:val="000000"/>
                <w:sz w:val="20"/>
              </w:rPr>
              <w:t xml:space="preserve"> chemotherapy and for breast cancer patients receiving an </w:t>
            </w:r>
            <w:proofErr w:type="spellStart"/>
            <w:r w:rsidRPr="00903B06">
              <w:rPr>
                <w:rFonts w:ascii="Arial" w:hAnsi="Arial" w:cs="Arial"/>
                <w:color w:val="000000"/>
                <w:sz w:val="20"/>
              </w:rPr>
              <w:t>anthracycline</w:t>
            </w:r>
            <w:proofErr w:type="spellEnd"/>
            <w:r w:rsidRPr="00903B06">
              <w:rPr>
                <w:rFonts w:ascii="Arial" w:hAnsi="Arial" w:cs="Arial"/>
                <w:color w:val="000000"/>
                <w:sz w:val="20"/>
              </w:rPr>
              <w:t>-based chemotherapy regimen.</w:t>
            </w:r>
          </w:p>
        </w:tc>
        <w:tc>
          <w:tcPr>
            <w:tcW w:w="5245" w:type="dxa"/>
          </w:tcPr>
          <w:p w:rsidR="00413CAD" w:rsidRPr="00FB0F40" w:rsidRDefault="004D3102" w:rsidP="00FD2CE1">
            <w:pPr>
              <w:rPr>
                <w:rFonts w:ascii="Arial" w:hAnsi="Arial" w:cs="Arial"/>
                <w:color w:val="000000"/>
                <w:sz w:val="20"/>
              </w:rPr>
            </w:pPr>
            <w:r w:rsidRPr="004D3102">
              <w:rPr>
                <w:rFonts w:ascii="Arial" w:hAnsi="Arial" w:cs="Arial"/>
                <w:color w:val="000000"/>
                <w:sz w:val="20"/>
              </w:rPr>
              <w:t xml:space="preserve">The PBAC decided not to recommend that </w:t>
            </w:r>
            <w:proofErr w:type="spellStart"/>
            <w:r w:rsidRPr="004D3102">
              <w:rPr>
                <w:rFonts w:ascii="Arial" w:hAnsi="Arial" w:cs="Arial"/>
                <w:color w:val="000000"/>
                <w:sz w:val="20"/>
              </w:rPr>
              <w:t>netupitant</w:t>
            </w:r>
            <w:proofErr w:type="spellEnd"/>
            <w:r w:rsidRPr="004D3102">
              <w:rPr>
                <w:rFonts w:ascii="Arial" w:hAnsi="Arial" w:cs="Arial"/>
                <w:color w:val="000000"/>
                <w:sz w:val="20"/>
              </w:rPr>
              <w:t xml:space="preserve"> with </w:t>
            </w:r>
            <w:proofErr w:type="spellStart"/>
            <w:r w:rsidRPr="004D3102">
              <w:rPr>
                <w:rFonts w:ascii="Arial" w:hAnsi="Arial" w:cs="Arial"/>
                <w:color w:val="000000"/>
                <w:sz w:val="20"/>
              </w:rPr>
              <w:t>palonosetron</w:t>
            </w:r>
            <w:proofErr w:type="spellEnd"/>
            <w:r w:rsidRPr="004D3102">
              <w:rPr>
                <w:rFonts w:ascii="Arial" w:hAnsi="Arial" w:cs="Arial"/>
                <w:color w:val="000000"/>
                <w:sz w:val="20"/>
              </w:rPr>
              <w:t xml:space="preserve"> fixed dose combination</w:t>
            </w:r>
            <w:r w:rsidR="00FD2CE1">
              <w:rPr>
                <w:rFonts w:ascii="Arial" w:hAnsi="Arial" w:cs="Arial"/>
                <w:color w:val="000000"/>
                <w:sz w:val="20"/>
              </w:rPr>
              <w:t xml:space="preserve"> (FDC)</w:t>
            </w:r>
            <w:r w:rsidRPr="004D3102">
              <w:rPr>
                <w:rFonts w:ascii="Arial" w:hAnsi="Arial" w:cs="Arial"/>
                <w:color w:val="000000"/>
                <w:sz w:val="20"/>
              </w:rPr>
              <w:t xml:space="preserve"> tablet be made available on the PBS for chemotherapy induced nausea and vomiting. In making its recommendation, the PBAC considered that there was still an uncertain clinical need for this population of patients, concerns about leakage into other populations, and other concerns </w:t>
            </w:r>
            <w:proofErr w:type="gramStart"/>
            <w:r w:rsidRPr="004D3102">
              <w:rPr>
                <w:rFonts w:ascii="Arial" w:hAnsi="Arial" w:cs="Arial"/>
                <w:color w:val="000000"/>
                <w:sz w:val="20"/>
              </w:rPr>
              <w:t>raised</w:t>
            </w:r>
            <w:proofErr w:type="gramEnd"/>
            <w:r w:rsidRPr="004D3102">
              <w:rPr>
                <w:rFonts w:ascii="Arial" w:hAnsi="Arial" w:cs="Arial"/>
                <w:color w:val="000000"/>
                <w:sz w:val="20"/>
              </w:rPr>
              <w:t xml:space="preserve"> in March 2015 that had not been adequately addressed.</w:t>
            </w:r>
          </w:p>
        </w:tc>
      </w:tr>
      <w:tr w:rsidR="00413CAD" w:rsidRPr="00FB0F40" w:rsidTr="00413CAD">
        <w:trPr>
          <w:trHeight w:val="480"/>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CB7D95">
            <w:pPr>
              <w:pStyle w:val="ListParagraph"/>
              <w:widowControl w:val="0"/>
              <w:ind w:left="33"/>
              <w:rPr>
                <w:rFonts w:ascii="Arial" w:hAnsi="Arial" w:cs="Arial"/>
                <w:color w:val="000000"/>
                <w:sz w:val="20"/>
                <w:szCs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413CAD" w:rsidP="00EE124B">
            <w:pPr>
              <w:pStyle w:val="ListBullet"/>
            </w:pPr>
            <w:r w:rsidRPr="00CA0C65">
              <w:t xml:space="preserve">Comparator: </w:t>
            </w:r>
            <w:proofErr w:type="spellStart"/>
            <w:r w:rsidR="004D3102" w:rsidRPr="004D3102">
              <w:t>aprepitant</w:t>
            </w:r>
            <w:proofErr w:type="spellEnd"/>
            <w:r w:rsidR="004D3102" w:rsidRPr="004D3102">
              <w:t xml:space="preserve"> with a 5-HT3 receptor antagonist</w:t>
            </w:r>
          </w:p>
        </w:tc>
        <w:tc>
          <w:tcPr>
            <w:tcW w:w="5245" w:type="dxa"/>
          </w:tcPr>
          <w:p w:rsidR="00413CAD" w:rsidRDefault="004D3102" w:rsidP="00EE124B">
            <w:pPr>
              <w:rPr>
                <w:rFonts w:ascii="Arial" w:hAnsi="Arial" w:cs="Arial"/>
                <w:sz w:val="20"/>
              </w:rPr>
            </w:pPr>
            <w:r>
              <w:rPr>
                <w:rFonts w:ascii="Arial" w:hAnsi="Arial" w:cs="Arial"/>
                <w:sz w:val="20"/>
              </w:rPr>
              <w:t>Accepted</w:t>
            </w:r>
          </w:p>
          <w:p w:rsidR="00413CAD" w:rsidRPr="00CA0C65" w:rsidRDefault="00413CAD" w:rsidP="00EE124B">
            <w:pPr>
              <w:rPr>
                <w:rFonts w:ascii="Arial" w:hAnsi="Arial" w:cs="Arial"/>
                <w:sz w:val="20"/>
                <w:highlight w:val="yellow"/>
              </w:rPr>
            </w:pPr>
          </w:p>
        </w:tc>
      </w:tr>
      <w:tr w:rsidR="00413CAD" w:rsidRPr="00FB0F40" w:rsidTr="00413CAD">
        <w:trPr>
          <w:trHeight w:val="480"/>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CB7D95">
            <w:pPr>
              <w:pStyle w:val="ListParagraph"/>
              <w:widowControl w:val="0"/>
              <w:ind w:left="33"/>
              <w:rPr>
                <w:rFonts w:ascii="Arial" w:hAnsi="Arial" w:cs="Arial"/>
                <w:color w:val="000000"/>
                <w:sz w:val="20"/>
                <w:szCs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413CAD" w:rsidP="00EE124B">
            <w:pPr>
              <w:pStyle w:val="ListBullet"/>
            </w:pPr>
            <w:r w:rsidRPr="00CA0C65">
              <w:t xml:space="preserve">Clinical claim: </w:t>
            </w:r>
            <w:r w:rsidR="004D3102" w:rsidRPr="004D3102">
              <w:t>Non-inferior comparative effectiveness and non-inferior comparative safety</w:t>
            </w:r>
          </w:p>
        </w:tc>
        <w:tc>
          <w:tcPr>
            <w:tcW w:w="5245" w:type="dxa"/>
          </w:tcPr>
          <w:p w:rsidR="00413CAD" w:rsidRDefault="00413CAD" w:rsidP="00EE124B">
            <w:pPr>
              <w:rPr>
                <w:rFonts w:ascii="Arial" w:hAnsi="Arial" w:cs="Arial"/>
                <w:sz w:val="20"/>
              </w:rPr>
            </w:pPr>
            <w:r>
              <w:rPr>
                <w:rFonts w:ascii="Arial" w:hAnsi="Arial" w:cs="Arial"/>
                <w:sz w:val="20"/>
              </w:rPr>
              <w:t>Accepted</w:t>
            </w:r>
          </w:p>
          <w:p w:rsidR="00413CAD" w:rsidRPr="00CA0C65" w:rsidRDefault="00413CAD" w:rsidP="00EE124B">
            <w:pPr>
              <w:rPr>
                <w:rFonts w:ascii="Arial" w:hAnsi="Arial" w:cs="Arial"/>
                <w:sz w:val="20"/>
                <w:highlight w:val="yellow"/>
              </w:rPr>
            </w:pPr>
          </w:p>
        </w:tc>
      </w:tr>
      <w:tr w:rsidR="00413CAD" w:rsidRPr="00FB0F40" w:rsidTr="00413CAD">
        <w:trPr>
          <w:trHeight w:val="480"/>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CB7D95">
            <w:pPr>
              <w:pStyle w:val="ListParagraph"/>
              <w:widowControl w:val="0"/>
              <w:ind w:left="33"/>
              <w:rPr>
                <w:rFonts w:ascii="Arial" w:hAnsi="Arial" w:cs="Arial"/>
                <w:color w:val="000000"/>
                <w:sz w:val="20"/>
                <w:szCs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413CAD" w:rsidP="00EE124B">
            <w:pPr>
              <w:pStyle w:val="ListBullet"/>
            </w:pPr>
            <w:r w:rsidRPr="00CA0C65">
              <w:t>Economic claim:</w:t>
            </w:r>
            <w:r w:rsidR="004D3102">
              <w:t xml:space="preserve"> </w:t>
            </w:r>
            <w:r w:rsidR="004D3102" w:rsidRPr="004D3102">
              <w:t xml:space="preserve">Cost-minimisation basis to </w:t>
            </w:r>
            <w:proofErr w:type="spellStart"/>
            <w:r w:rsidR="004D3102" w:rsidRPr="004D3102">
              <w:t>aprepitant</w:t>
            </w:r>
            <w:proofErr w:type="spellEnd"/>
          </w:p>
          <w:p w:rsidR="00413CAD" w:rsidRPr="00CA0C65" w:rsidRDefault="00413CAD" w:rsidP="00EE124B">
            <w:pPr>
              <w:pStyle w:val="ListBullet"/>
            </w:pPr>
          </w:p>
        </w:tc>
        <w:tc>
          <w:tcPr>
            <w:tcW w:w="5245" w:type="dxa"/>
          </w:tcPr>
          <w:p w:rsidR="00413CAD" w:rsidRPr="00CA0C65" w:rsidRDefault="004D3102" w:rsidP="004D3102">
            <w:pPr>
              <w:rPr>
                <w:rFonts w:ascii="Arial" w:hAnsi="Arial" w:cs="Arial"/>
                <w:sz w:val="20"/>
                <w:highlight w:val="yellow"/>
              </w:rPr>
            </w:pPr>
            <w:r>
              <w:rPr>
                <w:rFonts w:ascii="Arial" w:hAnsi="Arial" w:cs="Arial"/>
                <w:sz w:val="20"/>
              </w:rPr>
              <w:t xml:space="preserve">Not Accepted. </w:t>
            </w:r>
            <w:r w:rsidRPr="004D3102">
              <w:rPr>
                <w:rFonts w:ascii="Arial" w:hAnsi="Arial" w:cs="Arial"/>
                <w:sz w:val="20"/>
              </w:rPr>
              <w:t>The PBAC considered that the economic analysis presented was a cost comparison and that in the absence of the single components of the FDC being available on the PBS, the pricing of the FDC would be difficult to establish.</w:t>
            </w:r>
          </w:p>
        </w:tc>
      </w:tr>
      <w:tr w:rsidR="00413CAD" w:rsidRPr="00FB0F40" w:rsidTr="00413CAD">
        <w:trPr>
          <w:trHeight w:val="460"/>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CB7D95">
            <w:pPr>
              <w:pStyle w:val="ListParagraph"/>
              <w:widowControl w:val="0"/>
              <w:ind w:left="33"/>
              <w:rPr>
                <w:rFonts w:ascii="Arial" w:hAnsi="Arial" w:cs="Arial"/>
                <w:color w:val="000000"/>
                <w:sz w:val="20"/>
                <w:szCs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0805C6" w:rsidRDefault="00413CAD" w:rsidP="00EE124B">
            <w:pPr>
              <w:pStyle w:val="ListBullet"/>
            </w:pPr>
            <w:r w:rsidRPr="000805C6">
              <w:t>Sponsor’s comments:</w:t>
            </w:r>
          </w:p>
          <w:p w:rsidR="00413CAD" w:rsidRDefault="00413CAD" w:rsidP="00EE124B">
            <w:pPr>
              <w:pStyle w:val="ListBullet"/>
            </w:pPr>
          </w:p>
          <w:p w:rsidR="00413CAD" w:rsidRPr="00CA0C65" w:rsidRDefault="00413CAD" w:rsidP="00EE124B">
            <w:pPr>
              <w:pStyle w:val="ListBullet"/>
            </w:pPr>
          </w:p>
        </w:tc>
        <w:tc>
          <w:tcPr>
            <w:tcW w:w="5245" w:type="dxa"/>
          </w:tcPr>
          <w:p w:rsidR="00413CAD" w:rsidRPr="00CA0C65" w:rsidRDefault="005B1B61" w:rsidP="00EE124B">
            <w:pPr>
              <w:rPr>
                <w:rFonts w:ascii="Arial" w:hAnsi="Arial" w:cs="Arial"/>
                <w:sz w:val="20"/>
                <w:highlight w:val="yellow"/>
              </w:rPr>
            </w:pPr>
            <w:r w:rsidRPr="00C653EF">
              <w:rPr>
                <w:rFonts w:ascii="Arial" w:hAnsi="Arial" w:cs="Arial"/>
                <w:sz w:val="20"/>
              </w:rPr>
              <w:t>The sponsor had no comment.</w:t>
            </w:r>
          </w:p>
        </w:tc>
      </w:tr>
      <w:tr w:rsidR="00413CAD" w:rsidRPr="00FB0F40" w:rsidTr="00413CAD">
        <w:trPr>
          <w:trHeight w:val="1585"/>
        </w:trPr>
        <w:tc>
          <w:tcPr>
            <w:tcW w:w="2127" w:type="dxa"/>
            <w:vMerge w:val="restart"/>
          </w:tcPr>
          <w:p w:rsidR="00413CAD" w:rsidRDefault="00413CAD" w:rsidP="00CA0C65">
            <w:pPr>
              <w:rPr>
                <w:rFonts w:ascii="Arial" w:hAnsi="Arial" w:cs="Arial"/>
                <w:color w:val="000000"/>
                <w:sz w:val="20"/>
              </w:rPr>
            </w:pPr>
            <w:r w:rsidRPr="000B779B">
              <w:rPr>
                <w:rFonts w:ascii="Arial" w:hAnsi="Arial" w:cs="Arial"/>
                <w:b/>
                <w:color w:val="000000"/>
                <w:sz w:val="20"/>
              </w:rPr>
              <w:t>RIOCIGUAT</w:t>
            </w:r>
            <w:r w:rsidRPr="00903B06">
              <w:rPr>
                <w:rFonts w:ascii="Arial" w:hAnsi="Arial" w:cs="Arial"/>
                <w:color w:val="000000"/>
                <w:sz w:val="20"/>
              </w:rPr>
              <w:br/>
            </w:r>
            <w:r w:rsidRPr="00903B06">
              <w:rPr>
                <w:rFonts w:ascii="Arial" w:hAnsi="Arial" w:cs="Arial"/>
                <w:color w:val="000000"/>
                <w:sz w:val="20"/>
              </w:rPr>
              <w:br/>
              <w:t>0.5 mg tablet, 42</w:t>
            </w:r>
            <w:r w:rsidRPr="00903B06">
              <w:rPr>
                <w:rFonts w:ascii="Arial" w:hAnsi="Arial" w:cs="Arial"/>
                <w:color w:val="000000"/>
                <w:sz w:val="20"/>
              </w:rPr>
              <w:br/>
              <w:t>0.5 mg tablet, 84</w:t>
            </w:r>
            <w:r w:rsidRPr="00903B06">
              <w:rPr>
                <w:rFonts w:ascii="Arial" w:hAnsi="Arial" w:cs="Arial"/>
                <w:color w:val="000000"/>
                <w:sz w:val="20"/>
              </w:rPr>
              <w:br/>
              <w:t>1 mg tablet, 42</w:t>
            </w:r>
            <w:r w:rsidRPr="00903B06">
              <w:rPr>
                <w:rFonts w:ascii="Arial" w:hAnsi="Arial" w:cs="Arial"/>
                <w:color w:val="000000"/>
                <w:sz w:val="20"/>
              </w:rPr>
              <w:br/>
              <w:t>1 mg tablet, 84</w:t>
            </w:r>
            <w:r w:rsidRPr="00903B06">
              <w:rPr>
                <w:rFonts w:ascii="Arial" w:hAnsi="Arial" w:cs="Arial"/>
                <w:color w:val="000000"/>
                <w:sz w:val="20"/>
              </w:rPr>
              <w:br/>
              <w:t>1.5 mg tablet, 42</w:t>
            </w:r>
            <w:r w:rsidRPr="00903B06">
              <w:rPr>
                <w:rFonts w:ascii="Arial" w:hAnsi="Arial" w:cs="Arial"/>
                <w:color w:val="000000"/>
                <w:sz w:val="20"/>
              </w:rPr>
              <w:br/>
              <w:t>1.5 mg tablet, 84</w:t>
            </w:r>
            <w:r w:rsidRPr="00903B06">
              <w:rPr>
                <w:rFonts w:ascii="Arial" w:hAnsi="Arial" w:cs="Arial"/>
                <w:color w:val="000000"/>
                <w:sz w:val="20"/>
              </w:rPr>
              <w:br/>
              <w:t>2 mg tablet, 42</w:t>
            </w:r>
            <w:r w:rsidRPr="00903B06">
              <w:rPr>
                <w:rFonts w:ascii="Arial" w:hAnsi="Arial" w:cs="Arial"/>
                <w:color w:val="000000"/>
                <w:sz w:val="20"/>
              </w:rPr>
              <w:br/>
              <w:t>2 mg tablet, 84</w:t>
            </w:r>
            <w:r w:rsidRPr="00903B06">
              <w:rPr>
                <w:rFonts w:ascii="Arial" w:hAnsi="Arial" w:cs="Arial"/>
                <w:color w:val="000000"/>
                <w:sz w:val="20"/>
              </w:rPr>
              <w:br/>
              <w:t>2.5 mg tablet, 42</w:t>
            </w:r>
            <w:r w:rsidRPr="00903B06">
              <w:rPr>
                <w:rFonts w:ascii="Arial" w:hAnsi="Arial" w:cs="Arial"/>
                <w:color w:val="000000"/>
                <w:sz w:val="20"/>
              </w:rPr>
              <w:br/>
              <w:t>2.5 mg tablet, 84</w:t>
            </w:r>
            <w:r w:rsidRPr="00903B06">
              <w:rPr>
                <w:rFonts w:ascii="Arial" w:hAnsi="Arial" w:cs="Arial"/>
                <w:color w:val="000000"/>
                <w:sz w:val="20"/>
              </w:rPr>
              <w:br/>
            </w:r>
            <w:r w:rsidRPr="00903B06">
              <w:rPr>
                <w:rFonts w:ascii="Arial" w:hAnsi="Arial" w:cs="Arial"/>
                <w:color w:val="000000"/>
                <w:sz w:val="20"/>
              </w:rPr>
              <w:br/>
              <w:t>ADEMPAS®</w:t>
            </w:r>
            <w:r w:rsidRPr="00903B06">
              <w:rPr>
                <w:rFonts w:ascii="Arial" w:hAnsi="Arial" w:cs="Arial"/>
                <w:color w:val="000000"/>
                <w:sz w:val="20"/>
              </w:rPr>
              <w:br/>
            </w:r>
            <w:r w:rsidRPr="00903B06">
              <w:rPr>
                <w:rFonts w:ascii="Arial" w:hAnsi="Arial" w:cs="Arial"/>
                <w:color w:val="000000"/>
                <w:sz w:val="20"/>
              </w:rPr>
              <w:br/>
              <w:t>Bayer Australia Limited</w:t>
            </w:r>
          </w:p>
          <w:p w:rsidR="00AE346F" w:rsidRDefault="00AE346F" w:rsidP="00CA0C65">
            <w:pPr>
              <w:rPr>
                <w:rFonts w:ascii="Arial" w:hAnsi="Arial" w:cs="Arial"/>
                <w:color w:val="000000"/>
                <w:sz w:val="20"/>
              </w:rPr>
            </w:pPr>
          </w:p>
          <w:p w:rsidR="00AE346F" w:rsidRPr="00AE346F" w:rsidRDefault="00AE346F" w:rsidP="00AE346F">
            <w:pPr>
              <w:rPr>
                <w:rFonts w:ascii="Arial" w:hAnsi="Arial" w:cs="Arial"/>
                <w:color w:val="000000"/>
                <w:sz w:val="20"/>
              </w:rPr>
            </w:pPr>
            <w:r w:rsidRPr="00AE346F">
              <w:rPr>
                <w:rFonts w:ascii="Arial" w:hAnsi="Arial" w:cs="Arial"/>
                <w:color w:val="000000"/>
                <w:sz w:val="20"/>
              </w:rPr>
              <w:t>New listing</w:t>
            </w:r>
          </w:p>
          <w:p w:rsidR="00AE346F" w:rsidRPr="00AE346F" w:rsidRDefault="00AE346F" w:rsidP="00AE346F">
            <w:pPr>
              <w:rPr>
                <w:rFonts w:ascii="Arial" w:hAnsi="Arial" w:cs="Arial"/>
                <w:color w:val="000000"/>
                <w:sz w:val="20"/>
              </w:rPr>
            </w:pPr>
          </w:p>
          <w:p w:rsidR="00AE346F" w:rsidRPr="00903B06" w:rsidRDefault="00AE346F" w:rsidP="00AE346F">
            <w:pPr>
              <w:rPr>
                <w:rFonts w:ascii="Arial" w:hAnsi="Arial" w:cs="Arial"/>
                <w:color w:val="000000"/>
                <w:sz w:val="20"/>
              </w:rPr>
            </w:pPr>
            <w:r w:rsidRPr="00AE346F">
              <w:rPr>
                <w:rFonts w:ascii="Arial" w:hAnsi="Arial" w:cs="Arial"/>
                <w:color w:val="000000"/>
                <w:sz w:val="20"/>
              </w:rPr>
              <w:t>(Major Submission)</w:t>
            </w:r>
          </w:p>
        </w:tc>
        <w:tc>
          <w:tcPr>
            <w:tcW w:w="2126" w:type="dxa"/>
            <w:vMerge w:val="restart"/>
          </w:tcPr>
          <w:p w:rsidR="00413CAD" w:rsidRPr="00FB0F40" w:rsidRDefault="00413CAD" w:rsidP="00C80764">
            <w:pPr>
              <w:rPr>
                <w:rFonts w:ascii="Arial" w:hAnsi="Arial" w:cs="Arial"/>
                <w:color w:val="000000"/>
                <w:sz w:val="20"/>
              </w:rPr>
            </w:pPr>
            <w:r>
              <w:rPr>
                <w:rFonts w:ascii="Arial" w:hAnsi="Arial" w:cs="Arial"/>
                <w:color w:val="000000"/>
                <w:sz w:val="20"/>
              </w:rPr>
              <w:t>For pulmonary arterial hypertension (PAH) and chronic thromboembolic pulmonary hypertension (CT</w:t>
            </w:r>
            <w:r w:rsidR="007D073C">
              <w:rPr>
                <w:rFonts w:ascii="Arial" w:hAnsi="Arial" w:cs="Arial"/>
                <w:color w:val="000000"/>
                <w:sz w:val="20"/>
              </w:rPr>
              <w:t>E</w:t>
            </w:r>
            <w:r>
              <w:rPr>
                <w:rFonts w:ascii="Arial" w:hAnsi="Arial" w:cs="Arial"/>
                <w:color w:val="000000"/>
                <w:sz w:val="20"/>
              </w:rPr>
              <w:t>PH)</w:t>
            </w:r>
          </w:p>
        </w:tc>
        <w:tc>
          <w:tcPr>
            <w:tcW w:w="2126" w:type="dxa"/>
            <w:vMerge w:val="restart"/>
          </w:tcPr>
          <w:p w:rsidR="00413CAD" w:rsidRPr="00903B06" w:rsidRDefault="00413CAD" w:rsidP="00BF7C88">
            <w:pPr>
              <w:rPr>
                <w:rFonts w:ascii="Arial" w:hAnsi="Arial" w:cs="Arial"/>
                <w:color w:val="000000"/>
                <w:sz w:val="20"/>
              </w:rPr>
            </w:pPr>
            <w:r>
              <w:rPr>
                <w:rFonts w:ascii="Arial" w:hAnsi="Arial" w:cs="Arial"/>
                <w:color w:val="000000"/>
                <w:sz w:val="20"/>
              </w:rPr>
              <w:t>Not currently PBS listed</w:t>
            </w:r>
            <w:r w:rsidR="00FD2CE1">
              <w:rPr>
                <w:rFonts w:ascii="Arial" w:hAnsi="Arial" w:cs="Arial"/>
                <w:color w:val="000000"/>
                <w:sz w:val="20"/>
              </w:rPr>
              <w:t xml:space="preserve"> (however, the PBAC recommended listing riociguat for the treatment of PAH in March 2014)</w:t>
            </w:r>
          </w:p>
        </w:tc>
        <w:tc>
          <w:tcPr>
            <w:tcW w:w="3827" w:type="dxa"/>
          </w:tcPr>
          <w:p w:rsidR="00413CAD" w:rsidRPr="00903B06" w:rsidRDefault="00413CAD" w:rsidP="00FD2CE1">
            <w:pPr>
              <w:rPr>
                <w:rFonts w:ascii="Arial" w:hAnsi="Arial" w:cs="Arial"/>
                <w:color w:val="000000"/>
                <w:sz w:val="20"/>
              </w:rPr>
            </w:pPr>
            <w:r w:rsidRPr="00903B06">
              <w:rPr>
                <w:rFonts w:ascii="Arial" w:hAnsi="Arial" w:cs="Arial"/>
                <w:color w:val="000000"/>
                <w:sz w:val="20"/>
              </w:rPr>
              <w:t xml:space="preserve">Re-submission for </w:t>
            </w:r>
            <w:r w:rsidR="00FD2CE1">
              <w:rPr>
                <w:rFonts w:ascii="Arial" w:hAnsi="Arial" w:cs="Arial"/>
                <w:color w:val="000000"/>
                <w:sz w:val="20"/>
              </w:rPr>
              <w:t>S</w:t>
            </w:r>
            <w:r w:rsidRPr="00903B06">
              <w:rPr>
                <w:rFonts w:ascii="Arial" w:hAnsi="Arial" w:cs="Arial"/>
                <w:color w:val="000000"/>
                <w:sz w:val="20"/>
              </w:rPr>
              <w:t xml:space="preserve">ection 100 (Highly Specialised Drugs Program) Authority Required listing for the treatment of patients with </w:t>
            </w:r>
            <w:r w:rsidR="00FD2CE1">
              <w:rPr>
                <w:rFonts w:ascii="Arial" w:hAnsi="Arial" w:cs="Arial"/>
                <w:color w:val="000000"/>
                <w:sz w:val="20"/>
              </w:rPr>
              <w:t>CTEPH</w:t>
            </w:r>
            <w:r w:rsidRPr="00903B06">
              <w:rPr>
                <w:rFonts w:ascii="Arial" w:hAnsi="Arial" w:cs="Arial"/>
                <w:color w:val="000000"/>
                <w:sz w:val="20"/>
              </w:rPr>
              <w:t>.</w:t>
            </w:r>
          </w:p>
        </w:tc>
        <w:tc>
          <w:tcPr>
            <w:tcW w:w="5245" w:type="dxa"/>
          </w:tcPr>
          <w:p w:rsidR="00413CAD" w:rsidRPr="00FB0F40" w:rsidRDefault="00947268" w:rsidP="00FD2CE1">
            <w:pPr>
              <w:rPr>
                <w:rFonts w:ascii="Arial" w:hAnsi="Arial" w:cs="Arial"/>
                <w:color w:val="000000"/>
                <w:sz w:val="20"/>
              </w:rPr>
            </w:pPr>
            <w:r w:rsidRPr="00947268">
              <w:rPr>
                <w:rFonts w:ascii="Arial" w:hAnsi="Arial" w:cs="Arial"/>
                <w:color w:val="000000"/>
                <w:sz w:val="20"/>
              </w:rPr>
              <w:t>The PBAC rejected the request to list riociguat on the PBS under Section 100 (Highly Specialised Drugs Programme) for the treatment of patients with inoperable CTEPH or persistent CTEPH subsequent to pulmonary endarterectomy on the basis of uncertain cost effectiveness.</w:t>
            </w:r>
          </w:p>
        </w:tc>
      </w:tr>
      <w:tr w:rsidR="00413CAD" w:rsidRPr="00FB0F40" w:rsidTr="003D0BD9">
        <w:trPr>
          <w:trHeight w:val="755"/>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C80764">
            <w:pPr>
              <w:rPr>
                <w:rFonts w:ascii="Arial" w:hAnsi="Arial" w:cs="Arial"/>
                <w:color w:val="000000"/>
                <w:sz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947268" w:rsidP="00EE124B">
            <w:pPr>
              <w:pStyle w:val="ListBullet"/>
            </w:pPr>
            <w:r>
              <w:t xml:space="preserve">Comparator: </w:t>
            </w:r>
            <w:r w:rsidRPr="00947268">
              <w:t>Placebo</w:t>
            </w:r>
          </w:p>
          <w:p w:rsidR="00413CAD" w:rsidRPr="00CA0C65" w:rsidRDefault="00413CAD" w:rsidP="00EE124B">
            <w:pPr>
              <w:pStyle w:val="ListBullet"/>
            </w:pPr>
          </w:p>
        </w:tc>
        <w:tc>
          <w:tcPr>
            <w:tcW w:w="5245" w:type="dxa"/>
          </w:tcPr>
          <w:p w:rsidR="00413CAD" w:rsidRPr="00FD2CE1" w:rsidRDefault="00947268" w:rsidP="00EE124B">
            <w:pPr>
              <w:rPr>
                <w:rFonts w:ascii="Arial" w:hAnsi="Arial" w:cs="Arial"/>
                <w:sz w:val="20"/>
              </w:rPr>
            </w:pPr>
            <w:r>
              <w:rPr>
                <w:rFonts w:ascii="Arial" w:hAnsi="Arial" w:cs="Arial"/>
                <w:sz w:val="20"/>
              </w:rPr>
              <w:t>Accepted,</w:t>
            </w:r>
            <w:r>
              <w:t xml:space="preserve"> </w:t>
            </w:r>
            <w:r w:rsidRPr="00947268">
              <w:rPr>
                <w:rFonts w:ascii="Arial" w:hAnsi="Arial" w:cs="Arial"/>
                <w:sz w:val="20"/>
              </w:rPr>
              <w:t xml:space="preserve">while noting that other PAH treatments such as </w:t>
            </w:r>
            <w:proofErr w:type="spellStart"/>
            <w:r w:rsidRPr="00947268">
              <w:rPr>
                <w:rFonts w:ascii="Arial" w:hAnsi="Arial" w:cs="Arial"/>
                <w:sz w:val="20"/>
              </w:rPr>
              <w:t>bosentan</w:t>
            </w:r>
            <w:proofErr w:type="spellEnd"/>
            <w:r w:rsidRPr="00947268">
              <w:rPr>
                <w:rFonts w:ascii="Arial" w:hAnsi="Arial" w:cs="Arial"/>
                <w:sz w:val="20"/>
              </w:rPr>
              <w:t xml:space="preserve"> and sildenafil may be used off-label in clinical practice.</w:t>
            </w:r>
          </w:p>
        </w:tc>
      </w:tr>
      <w:tr w:rsidR="00413CAD" w:rsidRPr="00FB0F40" w:rsidTr="00413CAD">
        <w:trPr>
          <w:trHeight w:val="645"/>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C80764">
            <w:pPr>
              <w:rPr>
                <w:rFonts w:ascii="Arial" w:hAnsi="Arial" w:cs="Arial"/>
                <w:color w:val="000000"/>
                <w:sz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947268" w:rsidP="007D073C">
            <w:pPr>
              <w:pStyle w:val="ListBullet"/>
            </w:pPr>
            <w:r>
              <w:t xml:space="preserve">Clinical claim: </w:t>
            </w:r>
            <w:r w:rsidR="007D073C">
              <w:t>The re-submission claimed r</w:t>
            </w:r>
            <w:r w:rsidRPr="00947268">
              <w:t>iociguat is superior to placebo for the treatment of CTEPH (in terms of improvements in exercise capacity as measured by the distance walked in 6 minutes (6MWD) and WHO functional class) and non-inferior for safety. The re-submission claimed changes in exercise capacity for patients with CTEPH also translated to a survival benefit.</w:t>
            </w:r>
          </w:p>
        </w:tc>
        <w:tc>
          <w:tcPr>
            <w:tcW w:w="5245" w:type="dxa"/>
          </w:tcPr>
          <w:p w:rsidR="00947268" w:rsidRPr="00947268" w:rsidRDefault="00947268" w:rsidP="00947268">
            <w:pPr>
              <w:rPr>
                <w:rFonts w:ascii="Arial" w:hAnsi="Arial" w:cs="Arial"/>
                <w:sz w:val="20"/>
              </w:rPr>
            </w:pPr>
            <w:r w:rsidRPr="00947268">
              <w:rPr>
                <w:rFonts w:ascii="Arial" w:hAnsi="Arial" w:cs="Arial"/>
                <w:sz w:val="20"/>
              </w:rPr>
              <w:t xml:space="preserve">The PBAC considered that the claim of superior comparative effectiveness was reasonable in terms of improvements in 6MWD and WHO functional class. </w:t>
            </w:r>
          </w:p>
          <w:p w:rsidR="00947268" w:rsidRPr="00947268" w:rsidRDefault="00947268" w:rsidP="00947268">
            <w:pPr>
              <w:rPr>
                <w:rFonts w:ascii="Arial" w:hAnsi="Arial" w:cs="Arial"/>
                <w:sz w:val="20"/>
              </w:rPr>
            </w:pPr>
          </w:p>
          <w:p w:rsidR="00947268" w:rsidRPr="00947268" w:rsidRDefault="00947268" w:rsidP="00947268">
            <w:pPr>
              <w:rPr>
                <w:rFonts w:ascii="Arial" w:hAnsi="Arial" w:cs="Arial"/>
                <w:sz w:val="20"/>
              </w:rPr>
            </w:pPr>
            <w:r w:rsidRPr="00947268">
              <w:rPr>
                <w:rFonts w:ascii="Arial" w:hAnsi="Arial" w:cs="Arial"/>
                <w:sz w:val="20"/>
              </w:rPr>
              <w:t>The PBAC considered that changes in the 6MWD are likely to predict a survival gain (but was not confident in the magnitude of the effect). However, the PBAC considered that the claim of a relationship between changes in WHO functional class and survival was not adequately supported and could not be quantified.</w:t>
            </w:r>
          </w:p>
          <w:p w:rsidR="00947268" w:rsidRPr="00947268" w:rsidRDefault="00947268" w:rsidP="00947268">
            <w:pPr>
              <w:rPr>
                <w:rFonts w:ascii="Arial" w:hAnsi="Arial" w:cs="Arial"/>
                <w:sz w:val="20"/>
              </w:rPr>
            </w:pPr>
          </w:p>
          <w:p w:rsidR="00413CAD" w:rsidRPr="00CA0C65" w:rsidRDefault="00947268" w:rsidP="00947268">
            <w:pPr>
              <w:rPr>
                <w:rFonts w:ascii="Arial" w:hAnsi="Arial" w:cs="Arial"/>
                <w:sz w:val="20"/>
                <w:highlight w:val="yellow"/>
              </w:rPr>
            </w:pPr>
            <w:r w:rsidRPr="00947268">
              <w:rPr>
                <w:rFonts w:ascii="Arial" w:hAnsi="Arial" w:cs="Arial"/>
                <w:sz w:val="20"/>
              </w:rPr>
              <w:t xml:space="preserve">The claim of non-inferior comparative safety was not </w:t>
            </w:r>
            <w:r w:rsidRPr="00947268">
              <w:rPr>
                <w:rFonts w:ascii="Arial" w:hAnsi="Arial" w:cs="Arial"/>
                <w:sz w:val="20"/>
              </w:rPr>
              <w:lastRenderedPageBreak/>
              <w:t>adequately supported by the data.</w:t>
            </w:r>
          </w:p>
        </w:tc>
      </w:tr>
      <w:tr w:rsidR="00413CAD" w:rsidRPr="00FB0F40" w:rsidTr="00413CAD">
        <w:trPr>
          <w:trHeight w:val="585"/>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C80764">
            <w:pPr>
              <w:rPr>
                <w:rFonts w:ascii="Arial" w:hAnsi="Arial" w:cs="Arial"/>
                <w:color w:val="000000"/>
                <w:sz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CA0C65" w:rsidRDefault="00413CAD" w:rsidP="00EE124B">
            <w:pPr>
              <w:pStyle w:val="ListBullet"/>
            </w:pPr>
            <w:r w:rsidRPr="00CA0C65">
              <w:t>Economic claim:</w:t>
            </w:r>
            <w:r w:rsidR="00947268">
              <w:t xml:space="preserve"> </w:t>
            </w:r>
            <w:r w:rsidR="00947268" w:rsidRPr="00947268">
              <w:t>Cost utility analysis against placebo</w:t>
            </w:r>
          </w:p>
          <w:p w:rsidR="00413CAD" w:rsidRPr="00CA0C65" w:rsidRDefault="00413CAD" w:rsidP="00EE124B">
            <w:pPr>
              <w:pStyle w:val="ListBullet"/>
            </w:pPr>
          </w:p>
        </w:tc>
        <w:tc>
          <w:tcPr>
            <w:tcW w:w="5245" w:type="dxa"/>
          </w:tcPr>
          <w:p w:rsidR="00413CAD" w:rsidRPr="00CA0C65" w:rsidRDefault="00947268" w:rsidP="00EE124B">
            <w:pPr>
              <w:pStyle w:val="ListParagraph"/>
              <w:ind w:left="0"/>
              <w:rPr>
                <w:rFonts w:ascii="Arial" w:hAnsi="Arial" w:cs="Arial"/>
                <w:sz w:val="20"/>
                <w:szCs w:val="20"/>
                <w:highlight w:val="yellow"/>
              </w:rPr>
            </w:pPr>
            <w:r w:rsidRPr="00947268">
              <w:rPr>
                <w:rFonts w:ascii="Arial" w:hAnsi="Arial" w:cs="Arial"/>
                <w:sz w:val="20"/>
                <w:szCs w:val="20"/>
              </w:rPr>
              <w:t xml:space="preserve">Not </w:t>
            </w:r>
            <w:r w:rsidR="00FD2CE1">
              <w:rPr>
                <w:rFonts w:ascii="Arial" w:hAnsi="Arial" w:cs="Arial"/>
                <w:sz w:val="20"/>
                <w:szCs w:val="20"/>
              </w:rPr>
              <w:t>a</w:t>
            </w:r>
            <w:r w:rsidRPr="00947268">
              <w:rPr>
                <w:rFonts w:ascii="Arial" w:hAnsi="Arial" w:cs="Arial"/>
                <w:sz w:val="20"/>
                <w:szCs w:val="20"/>
              </w:rPr>
              <w:t>ccepted. The PBAC noted that the model was structured on the basis of the relationship between WHO functional class and survival, whereas the trial was based on the 6MWD test. The PBAC considered that this produced an underlying disconnect between the model and the clinical data, and considered that while there was some evidence to support the relationship between WHO functional class and survival gain, there was still considerable uncertainty regarding the survival gain associated with improvements in this measure. In addition, the PBAC considered that there was uncertainty around a number of the model parameters and that the economic analysis favoured riociguat.</w:t>
            </w:r>
          </w:p>
        </w:tc>
      </w:tr>
      <w:tr w:rsidR="00413CAD" w:rsidRPr="00FB0F40" w:rsidTr="00413CAD">
        <w:trPr>
          <w:trHeight w:val="584"/>
        </w:trPr>
        <w:tc>
          <w:tcPr>
            <w:tcW w:w="2127" w:type="dxa"/>
            <w:vMerge/>
          </w:tcPr>
          <w:p w:rsidR="00413CAD" w:rsidRPr="00903B06" w:rsidRDefault="00413CAD" w:rsidP="00CA0C65">
            <w:pPr>
              <w:rPr>
                <w:rFonts w:ascii="Arial" w:hAnsi="Arial" w:cs="Arial"/>
                <w:color w:val="000000"/>
                <w:sz w:val="20"/>
              </w:rPr>
            </w:pPr>
          </w:p>
        </w:tc>
        <w:tc>
          <w:tcPr>
            <w:tcW w:w="2126" w:type="dxa"/>
            <w:vMerge/>
          </w:tcPr>
          <w:p w:rsidR="00413CAD" w:rsidRDefault="00413CAD" w:rsidP="00C80764">
            <w:pPr>
              <w:rPr>
                <w:rFonts w:ascii="Arial" w:hAnsi="Arial" w:cs="Arial"/>
                <w:color w:val="000000"/>
                <w:sz w:val="20"/>
              </w:rPr>
            </w:pPr>
          </w:p>
        </w:tc>
        <w:tc>
          <w:tcPr>
            <w:tcW w:w="2126" w:type="dxa"/>
            <w:vMerge/>
          </w:tcPr>
          <w:p w:rsidR="00413CAD" w:rsidRDefault="00413CAD" w:rsidP="004571A9">
            <w:pPr>
              <w:rPr>
                <w:rFonts w:ascii="Arial" w:hAnsi="Arial" w:cs="Arial"/>
                <w:color w:val="000000"/>
                <w:sz w:val="20"/>
              </w:rPr>
            </w:pPr>
          </w:p>
        </w:tc>
        <w:tc>
          <w:tcPr>
            <w:tcW w:w="3827" w:type="dxa"/>
          </w:tcPr>
          <w:p w:rsidR="00413CAD" w:rsidRPr="000805C6" w:rsidRDefault="00413CAD" w:rsidP="00EE124B">
            <w:pPr>
              <w:pStyle w:val="ListBullet"/>
            </w:pPr>
            <w:r w:rsidRPr="000805C6">
              <w:t>Sponsor’s comments:</w:t>
            </w:r>
          </w:p>
          <w:p w:rsidR="00413CAD" w:rsidRDefault="00413CAD" w:rsidP="00EE124B">
            <w:pPr>
              <w:pStyle w:val="ListBullet"/>
            </w:pPr>
          </w:p>
          <w:p w:rsidR="00413CAD" w:rsidRPr="00CA0C65" w:rsidRDefault="00413CAD" w:rsidP="00EE124B">
            <w:pPr>
              <w:pStyle w:val="ListBullet"/>
            </w:pPr>
          </w:p>
        </w:tc>
        <w:tc>
          <w:tcPr>
            <w:tcW w:w="5245" w:type="dxa"/>
          </w:tcPr>
          <w:p w:rsidR="00C842D6" w:rsidRDefault="00C1489F" w:rsidP="00C1489F">
            <w:pPr>
              <w:rPr>
                <w:rFonts w:ascii="Arial" w:hAnsi="Arial" w:cs="Arial"/>
                <w:sz w:val="20"/>
              </w:rPr>
            </w:pPr>
            <w:r w:rsidRPr="00C1489F">
              <w:rPr>
                <w:rFonts w:ascii="Arial" w:hAnsi="Arial" w:cs="Arial"/>
                <w:sz w:val="20"/>
              </w:rPr>
              <w:t xml:space="preserve">Bayer is disappointed by the PBAC decision, however will continue to work with the Department, PBAC and the medical community to progress the reimbursement of riociguat. </w:t>
            </w:r>
          </w:p>
          <w:p w:rsidR="00C842D6" w:rsidRDefault="00C842D6" w:rsidP="00C1489F">
            <w:pPr>
              <w:rPr>
                <w:rFonts w:ascii="Arial" w:hAnsi="Arial" w:cs="Arial"/>
                <w:sz w:val="20"/>
              </w:rPr>
            </w:pPr>
          </w:p>
          <w:p w:rsidR="00C842D6" w:rsidRDefault="00C1489F" w:rsidP="00C1489F">
            <w:pPr>
              <w:rPr>
                <w:rFonts w:ascii="Arial" w:hAnsi="Arial" w:cs="Arial"/>
                <w:sz w:val="20"/>
              </w:rPr>
            </w:pPr>
            <w:r w:rsidRPr="00C1489F">
              <w:rPr>
                <w:rFonts w:ascii="Arial" w:hAnsi="Arial" w:cs="Arial"/>
                <w:sz w:val="20"/>
              </w:rPr>
              <w:t xml:space="preserve">As noted in the outcome, transitions in </w:t>
            </w:r>
            <w:proofErr w:type="gramStart"/>
            <w:r w:rsidRPr="00C1489F">
              <w:rPr>
                <w:rFonts w:ascii="Arial" w:hAnsi="Arial" w:cs="Arial"/>
                <w:sz w:val="20"/>
              </w:rPr>
              <w:t>WHO</w:t>
            </w:r>
            <w:proofErr w:type="gramEnd"/>
            <w:r w:rsidRPr="00C1489F">
              <w:rPr>
                <w:rFonts w:ascii="Arial" w:hAnsi="Arial" w:cs="Arial"/>
                <w:sz w:val="20"/>
              </w:rPr>
              <w:t xml:space="preserve"> functional class were the basis of the health states modelled, this structure is consistent with the published health economic literature for cost-effectiveness analyses in pulmonary hypertension. Inoperable or persistent CTEPH is a rare orphan designated disease, which means there will always be intrinsic analytical challenges with the translation of </w:t>
            </w:r>
            <w:r w:rsidR="006D33CD">
              <w:rPr>
                <w:rFonts w:ascii="Arial" w:hAnsi="Arial" w:cs="Arial"/>
                <w:sz w:val="20"/>
              </w:rPr>
              <w:t>randomised controlled trial</w:t>
            </w:r>
            <w:r w:rsidRPr="00C1489F">
              <w:rPr>
                <w:rFonts w:ascii="Arial" w:hAnsi="Arial" w:cs="Arial"/>
                <w:sz w:val="20"/>
              </w:rPr>
              <w:t xml:space="preserve"> evidenc</w:t>
            </w:r>
            <w:r w:rsidR="00C842D6">
              <w:rPr>
                <w:rFonts w:ascii="Arial" w:hAnsi="Arial" w:cs="Arial"/>
                <w:sz w:val="20"/>
              </w:rPr>
              <w:t>e to health economic modelling.</w:t>
            </w:r>
          </w:p>
          <w:p w:rsidR="00C842D6" w:rsidRDefault="00C842D6" w:rsidP="00C1489F">
            <w:pPr>
              <w:rPr>
                <w:rFonts w:ascii="Arial" w:hAnsi="Arial" w:cs="Arial"/>
                <w:sz w:val="20"/>
              </w:rPr>
            </w:pPr>
          </w:p>
          <w:p w:rsidR="00413CAD" w:rsidRPr="00C842D6" w:rsidRDefault="00C1489F" w:rsidP="00C1489F">
            <w:pPr>
              <w:rPr>
                <w:rFonts w:ascii="Arial" w:hAnsi="Arial" w:cs="Arial"/>
                <w:sz w:val="20"/>
              </w:rPr>
            </w:pPr>
            <w:r w:rsidRPr="00C1489F">
              <w:rPr>
                <w:rFonts w:ascii="Arial" w:hAnsi="Arial" w:cs="Arial"/>
                <w:sz w:val="20"/>
              </w:rPr>
              <w:t>Bayer will continue to work towards addressing the PBAC</w:t>
            </w:r>
            <w:r w:rsidR="00E421E6">
              <w:rPr>
                <w:rFonts w:ascii="Arial" w:hAnsi="Arial" w:cs="Arial"/>
                <w:sz w:val="20"/>
              </w:rPr>
              <w:t>’</w:t>
            </w:r>
            <w:r w:rsidRPr="00C1489F">
              <w:rPr>
                <w:rFonts w:ascii="Arial" w:hAnsi="Arial" w:cs="Arial"/>
                <w:sz w:val="20"/>
              </w:rPr>
              <w:t>s concerns and strive for pragmatic solutions to bring subsidised therapy to Australian CTEPH patients</w:t>
            </w:r>
          </w:p>
        </w:tc>
      </w:tr>
    </w:tbl>
    <w:p w:rsidR="0078027D" w:rsidRPr="00FB0F40" w:rsidRDefault="0078027D" w:rsidP="002A7FDE">
      <w:pPr>
        <w:pStyle w:val="Title"/>
        <w:jc w:val="left"/>
        <w:rPr>
          <w:rFonts w:cs="Arial"/>
          <w:b w:val="0"/>
          <w:color w:val="000000"/>
        </w:rPr>
      </w:pPr>
      <w:bookmarkStart w:id="0" w:name="_GoBack"/>
      <w:bookmarkEnd w:id="0"/>
    </w:p>
    <w:sectPr w:rsidR="0078027D" w:rsidRPr="00FB0F40" w:rsidSect="000805C6">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4F" w:rsidRDefault="00415B4F">
      <w:r>
        <w:separator/>
      </w:r>
    </w:p>
  </w:endnote>
  <w:endnote w:type="continuationSeparator" w:id="0">
    <w:p w:rsidR="00415B4F" w:rsidRDefault="0041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93" w:rsidRDefault="005C6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Footer"/>
      <w:jc w:val="right"/>
    </w:pPr>
  </w:p>
  <w:p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0B779B">
      <w:rPr>
        <w:rFonts w:ascii="Arial" w:hAnsi="Arial" w:cs="Arial"/>
        <w:noProof/>
        <w:sz w:val="22"/>
      </w:rPr>
      <w:t>5</w:t>
    </w:r>
    <w:r w:rsidRPr="000805C6">
      <w:rPr>
        <w:rFonts w:ascii="Arial" w:hAnsi="Arial" w:cs="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pPr>
      <w:pStyle w:val="Footer"/>
      <w:jc w:val="right"/>
    </w:pPr>
  </w:p>
  <w:p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0B779B">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4F" w:rsidRDefault="00415B4F">
      <w:r>
        <w:separator/>
      </w:r>
    </w:p>
  </w:footnote>
  <w:footnote w:type="continuationSeparator" w:id="0">
    <w:p w:rsidR="00415B4F" w:rsidRDefault="0041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93" w:rsidRDefault="005C6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Header"/>
      <w:jc w:val="center"/>
      <w:rPr>
        <w:rFonts w:ascii="Arial" w:hAnsi="Arial" w:cs="Arial"/>
        <w:b/>
        <w:sz w:val="20"/>
      </w:rPr>
    </w:pPr>
    <w:r w:rsidRPr="004C071C">
      <w:rPr>
        <w:rFonts w:ascii="Arial" w:hAnsi="Arial" w:cs="Arial"/>
        <w:b/>
        <w:sz w:val="20"/>
      </w:rPr>
      <w:t>N</w:t>
    </w:r>
    <w:r>
      <w:rPr>
        <w:rFonts w:ascii="Arial" w:hAnsi="Arial" w:cs="Arial"/>
        <w:b/>
        <w:sz w:val="20"/>
      </w:rPr>
      <w:t>OVEMBER 2014 PBAC OUTCOMES – SUBSEQUENT</w:t>
    </w:r>
    <w:r w:rsidRPr="004C071C">
      <w:rPr>
        <w:rFonts w:ascii="Arial" w:hAnsi="Arial" w:cs="Arial"/>
        <w:b/>
        <w:sz w:val="20"/>
      </w:rPr>
      <w:t xml:space="preserve"> DECISIONS NOT TO RECOMMEND</w:t>
    </w:r>
  </w:p>
  <w:p w:rsidR="000805C6" w:rsidRPr="004C071C" w:rsidRDefault="000805C6" w:rsidP="000805C6">
    <w:pPr>
      <w:pStyle w:val="Header"/>
      <w:jc w:val="center"/>
      <w:rPr>
        <w:rFonts w:ascii="Arial" w:hAnsi="Arial" w:cs="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5C6293" w:rsidP="00613975">
    <w:pPr>
      <w:pStyle w:val="Header"/>
      <w:jc w:val="center"/>
      <w:rPr>
        <w:rFonts w:ascii="Arial" w:hAnsi="Arial" w:cs="Arial"/>
        <w:b/>
        <w:sz w:val="20"/>
      </w:rPr>
    </w:pPr>
    <w:r>
      <w:rPr>
        <w:rFonts w:ascii="Arial" w:hAnsi="Arial" w:cs="Arial"/>
        <w:b/>
        <w:sz w:val="20"/>
      </w:rPr>
      <w:t>JULY</w:t>
    </w:r>
    <w:r w:rsidR="00A24F2E" w:rsidRPr="00A24F2E">
      <w:rPr>
        <w:rFonts w:ascii="Arial" w:hAnsi="Arial" w:cs="Arial"/>
        <w:b/>
        <w:sz w:val="20"/>
      </w:rPr>
      <w:t xml:space="preserve"> </w:t>
    </w:r>
    <w:r>
      <w:rPr>
        <w:rFonts w:ascii="Arial" w:hAnsi="Arial" w:cs="Arial"/>
        <w:b/>
        <w:sz w:val="20"/>
      </w:rPr>
      <w:t>2015</w:t>
    </w:r>
    <w:r w:rsidR="00A24F2E" w:rsidRPr="00A24F2E">
      <w:rPr>
        <w:rFonts w:ascii="Arial" w:hAnsi="Arial" w:cs="Arial"/>
        <w:b/>
        <w:sz w:val="20"/>
      </w:rPr>
      <w:t xml:space="preserve"> PBAC MEETING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2F0B7C"/>
    <w:multiLevelType w:val="hybridMultilevel"/>
    <w:tmpl w:val="AA367A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1">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794BE9"/>
    <w:multiLevelType w:val="hybridMultilevel"/>
    <w:tmpl w:val="03088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8"/>
  </w:num>
  <w:num w:numId="5">
    <w:abstractNumId w:val="3"/>
  </w:num>
  <w:num w:numId="6">
    <w:abstractNumId w:val="11"/>
  </w:num>
  <w:num w:numId="7">
    <w:abstractNumId w:val="6"/>
  </w:num>
  <w:num w:numId="8">
    <w:abstractNumId w:val="4"/>
  </w:num>
  <w:num w:numId="9">
    <w:abstractNumId w:val="1"/>
  </w:num>
  <w:num w:numId="10">
    <w:abstractNumId w:val="7"/>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1162E"/>
    <w:rsid w:val="00014389"/>
    <w:rsid w:val="00016ABD"/>
    <w:rsid w:val="00024634"/>
    <w:rsid w:val="00024F1C"/>
    <w:rsid w:val="00030555"/>
    <w:rsid w:val="00031E49"/>
    <w:rsid w:val="00046D30"/>
    <w:rsid w:val="000632B7"/>
    <w:rsid w:val="00063F01"/>
    <w:rsid w:val="000703F3"/>
    <w:rsid w:val="000805C6"/>
    <w:rsid w:val="0008538A"/>
    <w:rsid w:val="00092130"/>
    <w:rsid w:val="0009305C"/>
    <w:rsid w:val="000B0FBC"/>
    <w:rsid w:val="000B4313"/>
    <w:rsid w:val="000B6738"/>
    <w:rsid w:val="000B779B"/>
    <w:rsid w:val="000D1304"/>
    <w:rsid w:val="000D3717"/>
    <w:rsid w:val="000E406F"/>
    <w:rsid w:val="000E52C4"/>
    <w:rsid w:val="000F0001"/>
    <w:rsid w:val="0010394D"/>
    <w:rsid w:val="001047FA"/>
    <w:rsid w:val="0011422C"/>
    <w:rsid w:val="00120488"/>
    <w:rsid w:val="001353D2"/>
    <w:rsid w:val="00144E78"/>
    <w:rsid w:val="00170906"/>
    <w:rsid w:val="001810B2"/>
    <w:rsid w:val="001C0908"/>
    <w:rsid w:val="001C3707"/>
    <w:rsid w:val="001D38D0"/>
    <w:rsid w:val="001F5344"/>
    <w:rsid w:val="002007BA"/>
    <w:rsid w:val="00204DB4"/>
    <w:rsid w:val="002075FB"/>
    <w:rsid w:val="00220228"/>
    <w:rsid w:val="00220C3F"/>
    <w:rsid w:val="00223C4D"/>
    <w:rsid w:val="00225F5E"/>
    <w:rsid w:val="00237031"/>
    <w:rsid w:val="00241E9E"/>
    <w:rsid w:val="002440EA"/>
    <w:rsid w:val="002460D4"/>
    <w:rsid w:val="00255313"/>
    <w:rsid w:val="00256ACE"/>
    <w:rsid w:val="002743B5"/>
    <w:rsid w:val="002743DF"/>
    <w:rsid w:val="002745FA"/>
    <w:rsid w:val="002861D6"/>
    <w:rsid w:val="00287BC5"/>
    <w:rsid w:val="0029799D"/>
    <w:rsid w:val="002A1CF2"/>
    <w:rsid w:val="002A42C5"/>
    <w:rsid w:val="002A46E6"/>
    <w:rsid w:val="002A5152"/>
    <w:rsid w:val="002A7FDE"/>
    <w:rsid w:val="002D5494"/>
    <w:rsid w:val="002E5B33"/>
    <w:rsid w:val="002F0F71"/>
    <w:rsid w:val="002F465D"/>
    <w:rsid w:val="002F5086"/>
    <w:rsid w:val="002F62A6"/>
    <w:rsid w:val="00302B1F"/>
    <w:rsid w:val="00303527"/>
    <w:rsid w:val="00305656"/>
    <w:rsid w:val="00312E87"/>
    <w:rsid w:val="00320F76"/>
    <w:rsid w:val="00322CA5"/>
    <w:rsid w:val="003335F7"/>
    <w:rsid w:val="00337EC3"/>
    <w:rsid w:val="003419C9"/>
    <w:rsid w:val="00347546"/>
    <w:rsid w:val="00367CA3"/>
    <w:rsid w:val="003764B9"/>
    <w:rsid w:val="0039594A"/>
    <w:rsid w:val="0039641E"/>
    <w:rsid w:val="003B47E9"/>
    <w:rsid w:val="003B6CFA"/>
    <w:rsid w:val="003C3492"/>
    <w:rsid w:val="003D0BD9"/>
    <w:rsid w:val="003E2DEC"/>
    <w:rsid w:val="003E3C69"/>
    <w:rsid w:val="003E5ACC"/>
    <w:rsid w:val="003F12A1"/>
    <w:rsid w:val="003F7763"/>
    <w:rsid w:val="004074CD"/>
    <w:rsid w:val="00413CAD"/>
    <w:rsid w:val="00415B4F"/>
    <w:rsid w:val="00416C9D"/>
    <w:rsid w:val="00420F1D"/>
    <w:rsid w:val="0043706A"/>
    <w:rsid w:val="00446F57"/>
    <w:rsid w:val="0044777F"/>
    <w:rsid w:val="004571A9"/>
    <w:rsid w:val="00462127"/>
    <w:rsid w:val="00467522"/>
    <w:rsid w:val="00475539"/>
    <w:rsid w:val="00477C5E"/>
    <w:rsid w:val="004874F1"/>
    <w:rsid w:val="0049673E"/>
    <w:rsid w:val="004968F4"/>
    <w:rsid w:val="004A6DF5"/>
    <w:rsid w:val="004A7506"/>
    <w:rsid w:val="004A76AD"/>
    <w:rsid w:val="004C071C"/>
    <w:rsid w:val="004C0A09"/>
    <w:rsid w:val="004C3700"/>
    <w:rsid w:val="004D08BF"/>
    <w:rsid w:val="004D2DFC"/>
    <w:rsid w:val="004D3102"/>
    <w:rsid w:val="004E4BB3"/>
    <w:rsid w:val="004E58AE"/>
    <w:rsid w:val="004E61E5"/>
    <w:rsid w:val="004E7F92"/>
    <w:rsid w:val="004F22AF"/>
    <w:rsid w:val="004F53A2"/>
    <w:rsid w:val="005060C3"/>
    <w:rsid w:val="005156A1"/>
    <w:rsid w:val="0052128E"/>
    <w:rsid w:val="00524927"/>
    <w:rsid w:val="005334F6"/>
    <w:rsid w:val="00533EC6"/>
    <w:rsid w:val="00551121"/>
    <w:rsid w:val="00556A91"/>
    <w:rsid w:val="0056006F"/>
    <w:rsid w:val="00565922"/>
    <w:rsid w:val="00575B97"/>
    <w:rsid w:val="00583A1F"/>
    <w:rsid w:val="00591511"/>
    <w:rsid w:val="005A1020"/>
    <w:rsid w:val="005A4700"/>
    <w:rsid w:val="005B1359"/>
    <w:rsid w:val="005B1B61"/>
    <w:rsid w:val="005C51C0"/>
    <w:rsid w:val="005C529C"/>
    <w:rsid w:val="005C583B"/>
    <w:rsid w:val="005C6293"/>
    <w:rsid w:val="005D0350"/>
    <w:rsid w:val="005D65C8"/>
    <w:rsid w:val="00606B1D"/>
    <w:rsid w:val="00613975"/>
    <w:rsid w:val="0062060A"/>
    <w:rsid w:val="006227C5"/>
    <w:rsid w:val="0063660C"/>
    <w:rsid w:val="00636B27"/>
    <w:rsid w:val="006378CF"/>
    <w:rsid w:val="00642575"/>
    <w:rsid w:val="00650E81"/>
    <w:rsid w:val="00655D5C"/>
    <w:rsid w:val="00670168"/>
    <w:rsid w:val="00674FEC"/>
    <w:rsid w:val="00680915"/>
    <w:rsid w:val="00695D28"/>
    <w:rsid w:val="006A4BE8"/>
    <w:rsid w:val="006C196C"/>
    <w:rsid w:val="006C1CD8"/>
    <w:rsid w:val="006D33CD"/>
    <w:rsid w:val="006E0C7B"/>
    <w:rsid w:val="006F3F91"/>
    <w:rsid w:val="006F40D1"/>
    <w:rsid w:val="006F67A0"/>
    <w:rsid w:val="00704ABF"/>
    <w:rsid w:val="00704E74"/>
    <w:rsid w:val="00713D93"/>
    <w:rsid w:val="00720097"/>
    <w:rsid w:val="00735D52"/>
    <w:rsid w:val="00743998"/>
    <w:rsid w:val="00751128"/>
    <w:rsid w:val="0075364D"/>
    <w:rsid w:val="007572F6"/>
    <w:rsid w:val="007605AB"/>
    <w:rsid w:val="0076473F"/>
    <w:rsid w:val="00770B47"/>
    <w:rsid w:val="0078027D"/>
    <w:rsid w:val="00784382"/>
    <w:rsid w:val="0079164A"/>
    <w:rsid w:val="007A29FA"/>
    <w:rsid w:val="007A361E"/>
    <w:rsid w:val="007C0EDE"/>
    <w:rsid w:val="007D073C"/>
    <w:rsid w:val="007D085A"/>
    <w:rsid w:val="007D1705"/>
    <w:rsid w:val="007E1CE0"/>
    <w:rsid w:val="0080031A"/>
    <w:rsid w:val="0080046E"/>
    <w:rsid w:val="00804E3F"/>
    <w:rsid w:val="008068F2"/>
    <w:rsid w:val="00815D6B"/>
    <w:rsid w:val="0081702A"/>
    <w:rsid w:val="00821E75"/>
    <w:rsid w:val="00826000"/>
    <w:rsid w:val="008401C9"/>
    <w:rsid w:val="00842F8C"/>
    <w:rsid w:val="00850073"/>
    <w:rsid w:val="0085670C"/>
    <w:rsid w:val="0086299E"/>
    <w:rsid w:val="0086603E"/>
    <w:rsid w:val="008A5929"/>
    <w:rsid w:val="008A6919"/>
    <w:rsid w:val="008B0E22"/>
    <w:rsid w:val="008B7160"/>
    <w:rsid w:val="008C185A"/>
    <w:rsid w:val="008C6E23"/>
    <w:rsid w:val="008D676E"/>
    <w:rsid w:val="008D72BA"/>
    <w:rsid w:val="008E0965"/>
    <w:rsid w:val="00903B06"/>
    <w:rsid w:val="009044AF"/>
    <w:rsid w:val="0091542D"/>
    <w:rsid w:val="009224BE"/>
    <w:rsid w:val="00924932"/>
    <w:rsid w:val="00934AD5"/>
    <w:rsid w:val="00947268"/>
    <w:rsid w:val="00947987"/>
    <w:rsid w:val="00950F1F"/>
    <w:rsid w:val="00957F9F"/>
    <w:rsid w:val="00972B1B"/>
    <w:rsid w:val="0098248A"/>
    <w:rsid w:val="0099147E"/>
    <w:rsid w:val="00991AFC"/>
    <w:rsid w:val="009B2F04"/>
    <w:rsid w:val="009B6E95"/>
    <w:rsid w:val="009B735A"/>
    <w:rsid w:val="009B7CBE"/>
    <w:rsid w:val="009C73A4"/>
    <w:rsid w:val="009C7FD0"/>
    <w:rsid w:val="009D1D30"/>
    <w:rsid w:val="009E299C"/>
    <w:rsid w:val="009E6539"/>
    <w:rsid w:val="009F0ED6"/>
    <w:rsid w:val="009F3C03"/>
    <w:rsid w:val="009F42BE"/>
    <w:rsid w:val="009F5E7E"/>
    <w:rsid w:val="009F631F"/>
    <w:rsid w:val="00A02424"/>
    <w:rsid w:val="00A07C14"/>
    <w:rsid w:val="00A24F2E"/>
    <w:rsid w:val="00A26805"/>
    <w:rsid w:val="00A42D88"/>
    <w:rsid w:val="00A46DC5"/>
    <w:rsid w:val="00A55002"/>
    <w:rsid w:val="00A56ED7"/>
    <w:rsid w:val="00A62091"/>
    <w:rsid w:val="00A62D7E"/>
    <w:rsid w:val="00A706C5"/>
    <w:rsid w:val="00A72460"/>
    <w:rsid w:val="00A74BD3"/>
    <w:rsid w:val="00A87181"/>
    <w:rsid w:val="00A90F44"/>
    <w:rsid w:val="00A913CA"/>
    <w:rsid w:val="00AD3357"/>
    <w:rsid w:val="00AE346B"/>
    <w:rsid w:val="00AE346F"/>
    <w:rsid w:val="00AE3F52"/>
    <w:rsid w:val="00AF4A3C"/>
    <w:rsid w:val="00AF66FF"/>
    <w:rsid w:val="00B10521"/>
    <w:rsid w:val="00B26FF7"/>
    <w:rsid w:val="00B43E46"/>
    <w:rsid w:val="00B44CA8"/>
    <w:rsid w:val="00B77A97"/>
    <w:rsid w:val="00B80FE3"/>
    <w:rsid w:val="00BC0474"/>
    <w:rsid w:val="00BC1FB7"/>
    <w:rsid w:val="00BC55C3"/>
    <w:rsid w:val="00BD6EBF"/>
    <w:rsid w:val="00BE0E91"/>
    <w:rsid w:val="00BE58B8"/>
    <w:rsid w:val="00BE7D88"/>
    <w:rsid w:val="00BF7C88"/>
    <w:rsid w:val="00C110F0"/>
    <w:rsid w:val="00C1489F"/>
    <w:rsid w:val="00C2561B"/>
    <w:rsid w:val="00C2611D"/>
    <w:rsid w:val="00C26A1C"/>
    <w:rsid w:val="00C333D1"/>
    <w:rsid w:val="00C34ADC"/>
    <w:rsid w:val="00C355A7"/>
    <w:rsid w:val="00C4326C"/>
    <w:rsid w:val="00C44762"/>
    <w:rsid w:val="00C464A5"/>
    <w:rsid w:val="00C80764"/>
    <w:rsid w:val="00C842D6"/>
    <w:rsid w:val="00C92978"/>
    <w:rsid w:val="00C9315F"/>
    <w:rsid w:val="00C9450F"/>
    <w:rsid w:val="00C94D2C"/>
    <w:rsid w:val="00CA0C65"/>
    <w:rsid w:val="00CA2B5C"/>
    <w:rsid w:val="00CA7716"/>
    <w:rsid w:val="00CB7D95"/>
    <w:rsid w:val="00CD3345"/>
    <w:rsid w:val="00CE1EEB"/>
    <w:rsid w:val="00CE3D26"/>
    <w:rsid w:val="00D06895"/>
    <w:rsid w:val="00D230A2"/>
    <w:rsid w:val="00D3127D"/>
    <w:rsid w:val="00D5330C"/>
    <w:rsid w:val="00D641C2"/>
    <w:rsid w:val="00D65DDC"/>
    <w:rsid w:val="00D85166"/>
    <w:rsid w:val="00D905C6"/>
    <w:rsid w:val="00DB0BAD"/>
    <w:rsid w:val="00DB1F93"/>
    <w:rsid w:val="00DB3394"/>
    <w:rsid w:val="00DB589E"/>
    <w:rsid w:val="00DB63C7"/>
    <w:rsid w:val="00DD5B1D"/>
    <w:rsid w:val="00DD66E2"/>
    <w:rsid w:val="00DD7D81"/>
    <w:rsid w:val="00DE6421"/>
    <w:rsid w:val="00DE6C5F"/>
    <w:rsid w:val="00DF703C"/>
    <w:rsid w:val="00E16367"/>
    <w:rsid w:val="00E224FF"/>
    <w:rsid w:val="00E225FB"/>
    <w:rsid w:val="00E239BA"/>
    <w:rsid w:val="00E331E0"/>
    <w:rsid w:val="00E421E6"/>
    <w:rsid w:val="00E47E9A"/>
    <w:rsid w:val="00E508BC"/>
    <w:rsid w:val="00E60ACD"/>
    <w:rsid w:val="00E72A18"/>
    <w:rsid w:val="00E7686D"/>
    <w:rsid w:val="00E77E0B"/>
    <w:rsid w:val="00E77EAA"/>
    <w:rsid w:val="00E80A74"/>
    <w:rsid w:val="00E86609"/>
    <w:rsid w:val="00EA02A3"/>
    <w:rsid w:val="00EA6994"/>
    <w:rsid w:val="00EB766B"/>
    <w:rsid w:val="00EE124B"/>
    <w:rsid w:val="00EE1E65"/>
    <w:rsid w:val="00EE5442"/>
    <w:rsid w:val="00EF026E"/>
    <w:rsid w:val="00F07336"/>
    <w:rsid w:val="00F20487"/>
    <w:rsid w:val="00F215D2"/>
    <w:rsid w:val="00F23F38"/>
    <w:rsid w:val="00F25545"/>
    <w:rsid w:val="00F40665"/>
    <w:rsid w:val="00F43732"/>
    <w:rsid w:val="00F52E0A"/>
    <w:rsid w:val="00F72B54"/>
    <w:rsid w:val="00F75206"/>
    <w:rsid w:val="00F77F1A"/>
    <w:rsid w:val="00F82673"/>
    <w:rsid w:val="00F83FA8"/>
    <w:rsid w:val="00F924D9"/>
    <w:rsid w:val="00FB0F40"/>
    <w:rsid w:val="00FC4900"/>
    <w:rsid w:val="00FD2CE1"/>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paragraph" w:customStyle="1" w:styleId="Char">
    <w:name w:val="Char"/>
    <w:basedOn w:val="Normal"/>
    <w:rsid w:val="00BE0E91"/>
    <w:pPr>
      <w:spacing w:after="160" w:line="240" w:lineRule="exact"/>
    </w:pPr>
    <w:rPr>
      <w:rFonts w:ascii="Verdana" w:eastAsia="MS Mincho" w:hAnsi="Verdana" w:cs="Verdana"/>
      <w:sz w:val="20"/>
      <w:lang w:val="en-US" w:eastAsia="en-US"/>
    </w:rPr>
  </w:style>
  <w:style w:type="character" w:styleId="CommentReference">
    <w:name w:val="annotation reference"/>
    <w:rsid w:val="00DD7D81"/>
    <w:rPr>
      <w:sz w:val="16"/>
      <w:szCs w:val="16"/>
    </w:rPr>
  </w:style>
  <w:style w:type="paragraph" w:styleId="CommentText">
    <w:name w:val="annotation text"/>
    <w:basedOn w:val="Normal"/>
    <w:link w:val="CommentTextChar"/>
    <w:rsid w:val="00DD7D81"/>
    <w:rPr>
      <w:sz w:val="20"/>
    </w:rPr>
  </w:style>
  <w:style w:type="character" w:customStyle="1" w:styleId="CommentTextChar">
    <w:name w:val="Comment Text Char"/>
    <w:basedOn w:val="DefaultParagraphFont"/>
    <w:link w:val="CommentText"/>
    <w:rsid w:val="00DD7D81"/>
  </w:style>
  <w:style w:type="paragraph" w:styleId="CommentSubject">
    <w:name w:val="annotation subject"/>
    <w:basedOn w:val="CommentText"/>
    <w:next w:val="CommentText"/>
    <w:link w:val="CommentSubjectChar"/>
    <w:rsid w:val="00DD7D81"/>
    <w:rPr>
      <w:b/>
      <w:bCs/>
    </w:rPr>
  </w:style>
  <w:style w:type="character" w:customStyle="1" w:styleId="CommentSubjectChar">
    <w:name w:val="Comment Subject Char"/>
    <w:link w:val="CommentSubject"/>
    <w:rsid w:val="00DD7D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paragraph" w:customStyle="1" w:styleId="Char">
    <w:name w:val="Char"/>
    <w:basedOn w:val="Normal"/>
    <w:rsid w:val="00BE0E91"/>
    <w:pPr>
      <w:spacing w:after="160" w:line="240" w:lineRule="exact"/>
    </w:pPr>
    <w:rPr>
      <w:rFonts w:ascii="Verdana" w:eastAsia="MS Mincho" w:hAnsi="Verdana" w:cs="Verdana"/>
      <w:sz w:val="20"/>
      <w:lang w:val="en-US" w:eastAsia="en-US"/>
    </w:rPr>
  </w:style>
  <w:style w:type="character" w:styleId="CommentReference">
    <w:name w:val="annotation reference"/>
    <w:rsid w:val="00DD7D81"/>
    <w:rPr>
      <w:sz w:val="16"/>
      <w:szCs w:val="16"/>
    </w:rPr>
  </w:style>
  <w:style w:type="paragraph" w:styleId="CommentText">
    <w:name w:val="annotation text"/>
    <w:basedOn w:val="Normal"/>
    <w:link w:val="CommentTextChar"/>
    <w:rsid w:val="00DD7D81"/>
    <w:rPr>
      <w:sz w:val="20"/>
    </w:rPr>
  </w:style>
  <w:style w:type="character" w:customStyle="1" w:styleId="CommentTextChar">
    <w:name w:val="Comment Text Char"/>
    <w:basedOn w:val="DefaultParagraphFont"/>
    <w:link w:val="CommentText"/>
    <w:rsid w:val="00DD7D81"/>
  </w:style>
  <w:style w:type="paragraph" w:styleId="CommentSubject">
    <w:name w:val="annotation subject"/>
    <w:basedOn w:val="CommentText"/>
    <w:next w:val="CommentText"/>
    <w:link w:val="CommentSubjectChar"/>
    <w:rsid w:val="00DD7D81"/>
    <w:rPr>
      <w:b/>
      <w:bCs/>
    </w:rPr>
  </w:style>
  <w:style w:type="character" w:customStyle="1" w:styleId="CommentSubjectChar">
    <w:name w:val="Comment Subject Char"/>
    <w:link w:val="CommentSubject"/>
    <w:rsid w:val="00DD7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599991407">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742794160">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888733830">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549610774">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45597180">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 w:id="21415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pbs/hom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1945</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13567</CharactersWithSpaces>
  <SharedDoc>false</SharedDoc>
  <HLinks>
    <vt:vector size="6" baseType="variant">
      <vt:variant>
        <vt:i4>7798824</vt:i4>
      </vt:variant>
      <vt:variant>
        <vt:i4>0</vt:i4>
      </vt:variant>
      <vt:variant>
        <vt:i4>0</vt:i4>
      </vt:variant>
      <vt:variant>
        <vt:i4>5</vt:i4>
      </vt:variant>
      <vt:variant>
        <vt:lpwstr>http://www.pbs.gov.au/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2015-08-20T00:37:00Z</dcterms:created>
  <dcterms:modified xsi:type="dcterms:W3CDTF">2015-08-20T07:12:00Z</dcterms:modified>
</cp:coreProperties>
</file>