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126"/>
        <w:gridCol w:w="2872"/>
        <w:gridCol w:w="7192"/>
      </w:tblGrid>
      <w:tr w:rsidR="00FF4728" w:rsidRPr="00925FB4" w:rsidTr="00A0373B">
        <w:trPr>
          <w:cantSplit/>
          <w:trHeight w:val="784"/>
          <w:tblHeader/>
        </w:trPr>
        <w:tc>
          <w:tcPr>
            <w:tcW w:w="3369" w:type="dxa"/>
            <w:tcMar>
              <w:top w:w="28" w:type="dxa"/>
              <w:bottom w:w="28" w:type="dxa"/>
            </w:tcMar>
          </w:tcPr>
          <w:p w:rsidR="00FF4728" w:rsidRPr="00925FB4" w:rsidRDefault="00FF4728" w:rsidP="00AC4C60">
            <w:pPr>
              <w:widowControl w:val="0"/>
              <w:rPr>
                <w:rFonts w:ascii="Arial" w:hAnsi="Arial" w:cs="Arial"/>
                <w:b/>
              </w:rPr>
            </w:pPr>
            <w:r w:rsidRPr="00925FB4">
              <w:rPr>
                <w:rFonts w:ascii="Arial" w:hAnsi="Arial" w:cs="Arial"/>
                <w:b/>
              </w:rPr>
              <w:t>DRUG, SPONSOR, TYPE OF SUBMISSION</w:t>
            </w:r>
          </w:p>
        </w:tc>
        <w:tc>
          <w:tcPr>
            <w:tcW w:w="2126" w:type="dxa"/>
            <w:tcMar>
              <w:top w:w="28" w:type="dxa"/>
              <w:bottom w:w="28" w:type="dxa"/>
            </w:tcMar>
          </w:tcPr>
          <w:p w:rsidR="00FF4728" w:rsidRPr="00925FB4" w:rsidRDefault="00FF4728" w:rsidP="00AC4C60">
            <w:pPr>
              <w:widowControl w:val="0"/>
              <w:jc w:val="center"/>
              <w:rPr>
                <w:rFonts w:ascii="Arial" w:hAnsi="Arial" w:cs="Arial"/>
                <w:b/>
                <w:i/>
                <w:snapToGrid w:val="0"/>
                <w:lang w:eastAsia="en-US"/>
              </w:rPr>
            </w:pPr>
            <w:r w:rsidRPr="00925FB4">
              <w:rPr>
                <w:rFonts w:ascii="Arial" w:hAnsi="Arial" w:cs="Arial"/>
                <w:b/>
                <w:snapToGrid w:val="0"/>
                <w:lang w:eastAsia="en-US"/>
              </w:rPr>
              <w:t>DRUG TYPE OR USE</w:t>
            </w:r>
          </w:p>
        </w:tc>
        <w:tc>
          <w:tcPr>
            <w:tcW w:w="2872" w:type="dxa"/>
            <w:tcMar>
              <w:top w:w="28" w:type="dxa"/>
              <w:bottom w:w="28" w:type="dxa"/>
            </w:tcMar>
          </w:tcPr>
          <w:p w:rsidR="00FF4728" w:rsidRPr="00925FB4" w:rsidRDefault="00FF4728" w:rsidP="00AC4C60">
            <w:pPr>
              <w:widowControl w:val="0"/>
              <w:jc w:val="center"/>
              <w:rPr>
                <w:rFonts w:ascii="Arial" w:hAnsi="Arial" w:cs="Arial"/>
                <w:b/>
                <w:snapToGrid w:val="0"/>
                <w:lang w:eastAsia="en-US"/>
              </w:rPr>
            </w:pPr>
            <w:r w:rsidRPr="00925FB4">
              <w:rPr>
                <w:rFonts w:ascii="Arial" w:hAnsi="Arial" w:cs="Arial"/>
                <w:b/>
                <w:snapToGrid w:val="0"/>
                <w:lang w:eastAsia="en-US"/>
              </w:rPr>
              <w:t>LISTING REQUESTED BY SPONSOR / PURPOSE OF SUBMISSION</w:t>
            </w:r>
          </w:p>
        </w:tc>
        <w:tc>
          <w:tcPr>
            <w:tcW w:w="7192" w:type="dxa"/>
          </w:tcPr>
          <w:p w:rsidR="00FF4728" w:rsidRPr="00925FB4" w:rsidRDefault="00FF4728" w:rsidP="002F1CF8">
            <w:pPr>
              <w:widowControl w:val="0"/>
              <w:jc w:val="center"/>
              <w:rPr>
                <w:rFonts w:ascii="Arial" w:hAnsi="Arial" w:cs="Arial"/>
                <w:b/>
                <w:snapToGrid w:val="0"/>
                <w:lang w:eastAsia="en-US"/>
              </w:rPr>
            </w:pPr>
            <w:r w:rsidRPr="00925FB4">
              <w:rPr>
                <w:rFonts w:ascii="Arial" w:hAnsi="Arial" w:cs="Arial"/>
                <w:b/>
                <w:snapToGrid w:val="0"/>
                <w:lang w:eastAsia="en-US"/>
              </w:rPr>
              <w:t>PBAC OUTCOME</w:t>
            </w:r>
          </w:p>
        </w:tc>
      </w:tr>
      <w:tr w:rsidR="00FF4728"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F4728" w:rsidRPr="00EC3796" w:rsidRDefault="00FF4728" w:rsidP="00DE231F">
            <w:pPr>
              <w:pStyle w:val="Header"/>
              <w:widowControl w:val="0"/>
              <w:rPr>
                <w:rFonts w:ascii="Arial" w:hAnsi="Arial" w:cs="Arial"/>
                <w:b/>
                <w:snapToGrid w:val="0"/>
                <w:lang w:eastAsia="en-US"/>
              </w:rPr>
            </w:pPr>
            <w:r w:rsidRPr="00EC3796">
              <w:rPr>
                <w:rFonts w:ascii="Arial" w:hAnsi="Arial" w:cs="Arial"/>
                <w:b/>
                <w:snapToGrid w:val="0"/>
                <w:lang w:eastAsia="en-US"/>
              </w:rPr>
              <w:t>ACICLOVIR</w:t>
            </w:r>
          </w:p>
          <w:p w:rsidR="00FF4728" w:rsidRPr="00EC3796" w:rsidRDefault="00FF4728" w:rsidP="00DE231F">
            <w:pPr>
              <w:pStyle w:val="Header"/>
              <w:widowControl w:val="0"/>
              <w:rPr>
                <w:rFonts w:ascii="Arial" w:hAnsi="Arial" w:cs="Arial"/>
                <w:snapToGrid w:val="0"/>
                <w:lang w:eastAsia="en-US"/>
              </w:rPr>
            </w:pPr>
            <w:r w:rsidRPr="00EC3796">
              <w:rPr>
                <w:rFonts w:ascii="Arial" w:hAnsi="Arial" w:cs="Arial"/>
                <w:snapToGrid w:val="0"/>
                <w:lang w:eastAsia="en-US"/>
              </w:rPr>
              <w:t>30mg/g (3%) eye ointment, 4.5g</w:t>
            </w:r>
          </w:p>
          <w:p w:rsidR="00FF4728" w:rsidRPr="00EC3796" w:rsidRDefault="00FF4728" w:rsidP="00DE231F">
            <w:pPr>
              <w:pStyle w:val="Header"/>
              <w:widowControl w:val="0"/>
              <w:rPr>
                <w:rFonts w:ascii="Arial" w:hAnsi="Arial" w:cs="Arial"/>
                <w:snapToGrid w:val="0"/>
                <w:lang w:eastAsia="en-US"/>
              </w:rPr>
            </w:pPr>
          </w:p>
          <w:p w:rsidR="00FF4728" w:rsidRPr="00EC3796" w:rsidRDefault="00FF4728" w:rsidP="00DE231F">
            <w:pPr>
              <w:pStyle w:val="Header"/>
              <w:widowControl w:val="0"/>
              <w:rPr>
                <w:rFonts w:ascii="Arial" w:hAnsi="Arial" w:cs="Arial"/>
                <w:snapToGrid w:val="0"/>
                <w:lang w:eastAsia="en-US"/>
              </w:rPr>
            </w:pPr>
            <w:r w:rsidRPr="00EC3796">
              <w:rPr>
                <w:rFonts w:ascii="Arial" w:hAnsi="Arial" w:cs="Arial"/>
                <w:snapToGrid w:val="0"/>
                <w:lang w:eastAsia="en-US"/>
              </w:rPr>
              <w:t>ACIVISION</w:t>
            </w:r>
            <w:r w:rsidRPr="00AC57A8">
              <w:rPr>
                <w:rFonts w:ascii="Arial" w:hAnsi="Arial" w:cs="Arial"/>
                <w:lang w:val="it-IT"/>
              </w:rPr>
              <w:t>®</w:t>
            </w:r>
          </w:p>
          <w:p w:rsidR="00FF4728" w:rsidRPr="00EC3796" w:rsidRDefault="00FF4728" w:rsidP="00DE231F">
            <w:pPr>
              <w:pStyle w:val="Header"/>
              <w:widowControl w:val="0"/>
              <w:rPr>
                <w:rFonts w:ascii="Arial" w:hAnsi="Arial" w:cs="Arial"/>
                <w:snapToGrid w:val="0"/>
                <w:lang w:eastAsia="en-US"/>
              </w:rPr>
            </w:pPr>
          </w:p>
          <w:p w:rsidR="00FF4728" w:rsidRPr="00EC3796" w:rsidRDefault="00FF4728" w:rsidP="00DE231F">
            <w:pPr>
              <w:pStyle w:val="Header"/>
              <w:widowControl w:val="0"/>
              <w:rPr>
                <w:rFonts w:ascii="Arial" w:hAnsi="Arial" w:cs="Arial"/>
                <w:snapToGrid w:val="0"/>
                <w:lang w:eastAsia="en-US"/>
              </w:rPr>
            </w:pPr>
            <w:proofErr w:type="spellStart"/>
            <w:r w:rsidRPr="00EC3796">
              <w:rPr>
                <w:rFonts w:ascii="Arial" w:hAnsi="Arial" w:cs="Arial"/>
                <w:snapToGrid w:val="0"/>
                <w:lang w:eastAsia="en-US"/>
              </w:rPr>
              <w:t>Medsurge</w:t>
            </w:r>
            <w:proofErr w:type="spellEnd"/>
            <w:r w:rsidRPr="00EC3796">
              <w:rPr>
                <w:rFonts w:ascii="Arial" w:hAnsi="Arial" w:cs="Arial"/>
                <w:snapToGrid w:val="0"/>
                <w:lang w:eastAsia="en-US"/>
              </w:rPr>
              <w:t xml:space="preserve"> Healthcare Pty Ltd</w:t>
            </w:r>
          </w:p>
          <w:p w:rsidR="00FF4728" w:rsidRDefault="00FF4728" w:rsidP="00DE231F">
            <w:pPr>
              <w:pStyle w:val="Header"/>
              <w:widowControl w:val="0"/>
              <w:rPr>
                <w:rFonts w:ascii="Arial" w:hAnsi="Arial" w:cs="Arial"/>
                <w:snapToGrid w:val="0"/>
                <w:lang w:eastAsia="en-US"/>
              </w:rPr>
            </w:pPr>
          </w:p>
          <w:p w:rsidR="00FF4728" w:rsidRDefault="00FF4728" w:rsidP="00DE231F">
            <w:pPr>
              <w:pStyle w:val="Header"/>
              <w:widowControl w:val="0"/>
              <w:rPr>
                <w:rFonts w:ascii="Arial" w:hAnsi="Arial" w:cs="Arial"/>
                <w:snapToGrid w:val="0"/>
                <w:lang w:eastAsia="en-US"/>
              </w:rPr>
            </w:pPr>
            <w:r>
              <w:rPr>
                <w:rFonts w:ascii="Arial" w:hAnsi="Arial" w:cs="Arial"/>
                <w:snapToGrid w:val="0"/>
                <w:lang w:eastAsia="en-US"/>
              </w:rPr>
              <w:t>New listing</w:t>
            </w:r>
          </w:p>
          <w:p w:rsidR="00FF4728" w:rsidRPr="00EC3796" w:rsidRDefault="00FF4728" w:rsidP="00DE231F">
            <w:pPr>
              <w:pStyle w:val="Header"/>
              <w:widowControl w:val="0"/>
              <w:rPr>
                <w:rFonts w:ascii="Arial" w:hAnsi="Arial" w:cs="Arial"/>
                <w:snapToGrid w:val="0"/>
                <w:lang w:eastAsia="en-US"/>
              </w:rPr>
            </w:pPr>
          </w:p>
          <w:p w:rsidR="00FF4728" w:rsidRPr="00EC3796" w:rsidRDefault="00FF4728" w:rsidP="00DE231F">
            <w:pPr>
              <w:pStyle w:val="Header"/>
              <w:widowControl w:val="0"/>
              <w:rPr>
                <w:rFonts w:ascii="Arial" w:hAnsi="Arial" w:cs="Arial"/>
                <w:snapToGrid w:val="0"/>
                <w:lang w:eastAsia="en-US"/>
              </w:rPr>
            </w:pPr>
            <w:r w:rsidRPr="00EC3796">
              <w:rPr>
                <w:rFonts w:ascii="Arial" w:hAnsi="Arial" w:cs="Arial"/>
                <w:snapToGrid w:val="0"/>
                <w:lang w:eastAsia="en-US"/>
              </w:rPr>
              <w:t>(</w:t>
            </w:r>
            <w:r>
              <w:rPr>
                <w:rFonts w:ascii="Arial" w:hAnsi="Arial" w:cs="Arial"/>
                <w:snapToGrid w:val="0"/>
                <w:lang w:eastAsia="en-US"/>
              </w:rPr>
              <w:t>Minor Submission</w:t>
            </w:r>
            <w:r w:rsidRPr="00EC3796">
              <w:rPr>
                <w:rFonts w:ascii="Arial" w:hAnsi="Arial" w:cs="Arial"/>
                <w:snapToGrid w:val="0"/>
                <w:lang w:eastAsia="en-US"/>
              </w:rPr>
              <w:t>)</w:t>
            </w:r>
          </w:p>
          <w:p w:rsidR="00FF4728" w:rsidRPr="00DE231F" w:rsidRDefault="00FF4728" w:rsidP="006101D8">
            <w:pPr>
              <w:rPr>
                <w:rFonts w:ascii="Arial" w:hAnsi="Arial" w:cs="Arial"/>
                <w:b/>
                <w:highlight w:val="yellow"/>
              </w:rPr>
            </w:pP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F4728" w:rsidRPr="00DE231F" w:rsidRDefault="00FF4728" w:rsidP="00263F7F">
            <w:pPr>
              <w:rPr>
                <w:rFonts w:ascii="Arial" w:hAnsi="Arial" w:cs="Arial"/>
                <w:highlight w:val="yellow"/>
              </w:rPr>
            </w:pPr>
            <w:r w:rsidRPr="00EC3796">
              <w:rPr>
                <w:rFonts w:ascii="Arial" w:hAnsi="Arial" w:cs="Arial"/>
              </w:rPr>
              <w:t>Herpes simplex keratitis</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F4728" w:rsidRPr="00DE231F" w:rsidRDefault="00FF4728" w:rsidP="00AC57A8">
            <w:pPr>
              <w:rPr>
                <w:rFonts w:ascii="Arial" w:hAnsi="Arial" w:cs="Arial"/>
                <w:highlight w:val="yellow"/>
              </w:rPr>
            </w:pPr>
            <w:r>
              <w:rPr>
                <w:rFonts w:ascii="Arial" w:hAnsi="Arial" w:cs="Arial"/>
              </w:rPr>
              <w:t>T</w:t>
            </w:r>
            <w:r w:rsidRPr="00EC3796">
              <w:rPr>
                <w:rFonts w:ascii="Arial" w:hAnsi="Arial" w:cs="Arial"/>
              </w:rPr>
              <w:t xml:space="preserve">emporary Restricted Benefit listing of as an alternative to currently listed </w:t>
            </w:r>
            <w:proofErr w:type="spellStart"/>
            <w:r w:rsidRPr="00EC3796">
              <w:rPr>
                <w:rFonts w:ascii="Arial" w:hAnsi="Arial" w:cs="Arial"/>
              </w:rPr>
              <w:t>aciclovir</w:t>
            </w:r>
            <w:proofErr w:type="spellEnd"/>
            <w:r w:rsidRPr="00EC3796">
              <w:rPr>
                <w:rFonts w:ascii="Arial" w:hAnsi="Arial" w:cs="Arial"/>
              </w:rPr>
              <w:t xml:space="preserve"> (</w:t>
            </w:r>
            <w:proofErr w:type="spellStart"/>
            <w:r w:rsidRPr="00EC3796">
              <w:rPr>
                <w:rFonts w:ascii="Arial" w:hAnsi="Arial" w:cs="Arial"/>
              </w:rPr>
              <w:t>Zovirax</w:t>
            </w:r>
            <w:proofErr w:type="spellEnd"/>
            <w:r w:rsidRPr="00EC3796">
              <w:rPr>
                <w:rFonts w:ascii="Arial" w:hAnsi="Arial" w:cs="Arial"/>
              </w:rPr>
              <w:t>).</w:t>
            </w:r>
          </w:p>
        </w:tc>
        <w:tc>
          <w:tcPr>
            <w:tcW w:w="7192" w:type="dxa"/>
            <w:tcBorders>
              <w:top w:val="single" w:sz="4" w:space="0" w:color="auto"/>
              <w:left w:val="single" w:sz="4" w:space="0" w:color="auto"/>
              <w:bottom w:val="single" w:sz="4" w:space="0" w:color="auto"/>
              <w:right w:val="single" w:sz="4" w:space="0" w:color="auto"/>
            </w:tcBorders>
          </w:tcPr>
          <w:p w:rsidR="00FF4728" w:rsidRPr="00B430D8" w:rsidRDefault="00FF4728" w:rsidP="00AC57A8">
            <w:pPr>
              <w:widowControl w:val="0"/>
              <w:contextualSpacing/>
              <w:jc w:val="both"/>
              <w:rPr>
                <w:rFonts w:ascii="Arial" w:hAnsi="Arial" w:cs="Arial"/>
                <w:bCs/>
                <w:snapToGrid w:val="0"/>
                <w:highlight w:val="yellow"/>
              </w:rPr>
            </w:pPr>
            <w:r w:rsidRPr="00EC3796">
              <w:rPr>
                <w:rFonts w:ascii="Arial" w:hAnsi="Arial" w:cs="Arial"/>
                <w:bCs/>
                <w:iCs/>
                <w:snapToGrid w:val="0"/>
              </w:rPr>
              <w:t xml:space="preserve">The PBAC recommend the temporary </w:t>
            </w:r>
            <w:r w:rsidRPr="00EC3796">
              <w:rPr>
                <w:rFonts w:ascii="Arial" w:hAnsi="Arial" w:cs="Arial"/>
                <w:snapToGrid w:val="0"/>
                <w:lang w:eastAsia="en-US"/>
              </w:rPr>
              <w:t xml:space="preserve">Restricted Benefit </w:t>
            </w:r>
            <w:r w:rsidRPr="00EC3796">
              <w:rPr>
                <w:rFonts w:ascii="Arial" w:hAnsi="Arial" w:cs="Arial"/>
                <w:bCs/>
                <w:iCs/>
                <w:snapToGrid w:val="0"/>
              </w:rPr>
              <w:t xml:space="preserve">listing of </w:t>
            </w:r>
            <w:proofErr w:type="spellStart"/>
            <w:r w:rsidRPr="00EC3796">
              <w:rPr>
                <w:rFonts w:ascii="Arial" w:hAnsi="Arial" w:cs="Arial"/>
                <w:bCs/>
                <w:iCs/>
                <w:snapToGrid w:val="0"/>
              </w:rPr>
              <w:t>aciclovir</w:t>
            </w:r>
            <w:proofErr w:type="spellEnd"/>
            <w:r w:rsidRPr="00EC3796">
              <w:rPr>
                <w:rFonts w:ascii="Arial" w:hAnsi="Arial" w:cs="Arial"/>
                <w:bCs/>
                <w:iCs/>
                <w:snapToGrid w:val="0"/>
              </w:rPr>
              <w:t xml:space="preserve"> (</w:t>
            </w:r>
            <w:proofErr w:type="spellStart"/>
            <w:r w:rsidRPr="00EC3796">
              <w:rPr>
                <w:rFonts w:ascii="Arial" w:hAnsi="Arial" w:cs="Arial"/>
                <w:bCs/>
                <w:snapToGrid w:val="0"/>
              </w:rPr>
              <w:t>AciVision</w:t>
            </w:r>
            <w:proofErr w:type="spellEnd"/>
            <w:r w:rsidRPr="00EC3796">
              <w:rPr>
                <w:rFonts w:ascii="Arial" w:hAnsi="Arial" w:cs="Arial"/>
                <w:bCs/>
                <w:snapToGrid w:val="0"/>
              </w:rPr>
              <w:t xml:space="preserve">) </w:t>
            </w:r>
            <w:r w:rsidRPr="00EC3796">
              <w:rPr>
                <w:rFonts w:ascii="Arial" w:hAnsi="Arial" w:cs="Arial"/>
                <w:snapToGrid w:val="0"/>
                <w:lang w:eastAsia="en-US"/>
              </w:rPr>
              <w:t xml:space="preserve">on the PBS as an alternative to currently listed but unavailable, </w:t>
            </w:r>
            <w:proofErr w:type="spellStart"/>
            <w:r w:rsidRPr="00EC3796">
              <w:rPr>
                <w:rFonts w:ascii="Arial" w:hAnsi="Arial" w:cs="Arial"/>
                <w:bCs/>
                <w:iCs/>
                <w:snapToGrid w:val="0"/>
              </w:rPr>
              <w:t>aciclovir</w:t>
            </w:r>
            <w:proofErr w:type="spellEnd"/>
            <w:r w:rsidRPr="00EC3796">
              <w:rPr>
                <w:rFonts w:ascii="Arial" w:hAnsi="Arial" w:cs="Arial"/>
                <w:bCs/>
                <w:iCs/>
                <w:snapToGrid w:val="0"/>
              </w:rPr>
              <w:t xml:space="preserve"> (</w:t>
            </w:r>
            <w:proofErr w:type="spellStart"/>
            <w:r w:rsidRPr="00EC3796">
              <w:rPr>
                <w:rFonts w:ascii="Arial" w:hAnsi="Arial" w:cs="Arial"/>
                <w:snapToGrid w:val="0"/>
                <w:lang w:eastAsia="en-US"/>
              </w:rPr>
              <w:t>Zovirax</w:t>
            </w:r>
            <w:proofErr w:type="spellEnd"/>
            <w:r w:rsidRPr="00EC3796">
              <w:rPr>
                <w:rFonts w:ascii="Arial" w:hAnsi="Arial" w:cs="Arial"/>
                <w:snapToGrid w:val="0"/>
                <w:lang w:eastAsia="en-US"/>
              </w:rPr>
              <w:t>), to ensure access to a treatment for Herpes simplex keratitis.</w:t>
            </w:r>
          </w:p>
        </w:tc>
      </w:tr>
      <w:tr w:rsidR="00FF4728"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F4728" w:rsidRDefault="00FF4728" w:rsidP="006101D8">
            <w:pPr>
              <w:rPr>
                <w:rFonts w:ascii="Arial" w:hAnsi="Arial" w:cs="Arial"/>
                <w:b/>
              </w:rPr>
            </w:pPr>
            <w:r w:rsidRPr="00B430D8">
              <w:rPr>
                <w:rFonts w:ascii="Arial" w:hAnsi="Arial" w:cs="Arial"/>
                <w:b/>
              </w:rPr>
              <w:t xml:space="preserve">ACLIDINIUM BROMIDE with EFORMOTEROL FUMARATE DIHYDRATE </w:t>
            </w:r>
          </w:p>
          <w:p w:rsidR="00FF4728" w:rsidRPr="00B430D8" w:rsidRDefault="00FF4728" w:rsidP="006101D8">
            <w:pPr>
              <w:rPr>
                <w:rFonts w:ascii="Arial" w:hAnsi="Arial" w:cs="Arial"/>
              </w:rPr>
            </w:pPr>
            <w:proofErr w:type="spellStart"/>
            <w:r w:rsidRPr="00B430D8">
              <w:rPr>
                <w:rFonts w:ascii="Arial" w:hAnsi="Arial" w:cs="Arial"/>
              </w:rPr>
              <w:t>aclidinium</w:t>
            </w:r>
            <w:proofErr w:type="spellEnd"/>
            <w:r w:rsidRPr="00B430D8">
              <w:rPr>
                <w:rFonts w:ascii="Arial" w:hAnsi="Arial" w:cs="Arial"/>
              </w:rPr>
              <w:t xml:space="preserve"> 340 microgram/actuation + </w:t>
            </w:r>
            <w:proofErr w:type="spellStart"/>
            <w:r w:rsidRPr="00B430D8">
              <w:rPr>
                <w:rFonts w:ascii="Arial" w:hAnsi="Arial" w:cs="Arial"/>
              </w:rPr>
              <w:t>eformoterol</w:t>
            </w:r>
            <w:proofErr w:type="spellEnd"/>
            <w:r w:rsidRPr="00B430D8">
              <w:rPr>
                <w:rFonts w:ascii="Arial" w:hAnsi="Arial" w:cs="Arial"/>
              </w:rPr>
              <w:t xml:space="preserve"> 12 microgram/actuation inhalation: powder for, 60 actuations</w:t>
            </w:r>
          </w:p>
          <w:p w:rsidR="00FF4728" w:rsidRPr="00B430D8" w:rsidRDefault="00FF4728" w:rsidP="006101D8">
            <w:pPr>
              <w:rPr>
                <w:rFonts w:ascii="Arial" w:hAnsi="Arial" w:cs="Arial"/>
              </w:rPr>
            </w:pPr>
          </w:p>
          <w:p w:rsidR="00FF4728" w:rsidRPr="00B430D8" w:rsidRDefault="00FF4728" w:rsidP="006101D8">
            <w:pPr>
              <w:rPr>
                <w:rFonts w:ascii="Arial" w:hAnsi="Arial" w:cs="Arial"/>
              </w:rPr>
            </w:pPr>
            <w:r w:rsidRPr="00B430D8">
              <w:rPr>
                <w:rFonts w:ascii="Arial" w:hAnsi="Arial" w:cs="Arial"/>
              </w:rPr>
              <w:t xml:space="preserve">BRIMICA® GENUAIR® </w:t>
            </w:r>
          </w:p>
          <w:p w:rsidR="00FF4728" w:rsidRPr="00B430D8" w:rsidRDefault="00FF4728" w:rsidP="006101D8">
            <w:pPr>
              <w:rPr>
                <w:rFonts w:ascii="Arial" w:hAnsi="Arial" w:cs="Arial"/>
              </w:rPr>
            </w:pPr>
          </w:p>
          <w:p w:rsidR="00FF4728" w:rsidRPr="00B430D8" w:rsidRDefault="00FF4728" w:rsidP="006101D8">
            <w:pPr>
              <w:rPr>
                <w:rFonts w:ascii="Arial" w:hAnsi="Arial" w:cs="Arial"/>
              </w:rPr>
            </w:pPr>
            <w:r w:rsidRPr="00B430D8">
              <w:rPr>
                <w:rFonts w:ascii="Arial" w:hAnsi="Arial" w:cs="Arial"/>
              </w:rPr>
              <w:t>A.Menarini Australia Pty Ltd</w:t>
            </w:r>
          </w:p>
          <w:p w:rsidR="00FF4728" w:rsidRPr="00B430D8" w:rsidRDefault="00FF4728" w:rsidP="006101D8">
            <w:pPr>
              <w:rPr>
                <w:rFonts w:ascii="Arial" w:hAnsi="Arial" w:cs="Arial"/>
              </w:rPr>
            </w:pPr>
          </w:p>
          <w:p w:rsidR="00FF4728" w:rsidRPr="00B430D8" w:rsidRDefault="00FF4728" w:rsidP="006101D8">
            <w:pPr>
              <w:rPr>
                <w:rFonts w:ascii="Arial" w:hAnsi="Arial" w:cs="Arial"/>
              </w:rPr>
            </w:pPr>
            <w:r w:rsidRPr="00B430D8">
              <w:rPr>
                <w:rFonts w:ascii="Arial" w:hAnsi="Arial" w:cs="Arial"/>
              </w:rPr>
              <w:t xml:space="preserve">New listing </w:t>
            </w:r>
          </w:p>
          <w:p w:rsidR="00FF4728" w:rsidRPr="00B430D8" w:rsidRDefault="00FF4728" w:rsidP="006101D8">
            <w:pPr>
              <w:rPr>
                <w:rFonts w:ascii="Arial" w:hAnsi="Arial" w:cs="Arial"/>
              </w:rPr>
            </w:pPr>
          </w:p>
          <w:p w:rsidR="00FF4728" w:rsidRPr="00925FB4" w:rsidRDefault="00FF4728" w:rsidP="006101D8">
            <w:pPr>
              <w:rPr>
                <w:rFonts w:ascii="Arial" w:hAnsi="Arial" w:cs="Arial"/>
                <w:b/>
              </w:rPr>
            </w:pPr>
            <w:r w:rsidRPr="00B430D8">
              <w:rPr>
                <w:rFonts w:ascii="Arial" w:hAnsi="Arial" w:cs="Arial"/>
              </w:rPr>
              <w:t>(Major Submission)</w:t>
            </w:r>
            <w:r>
              <w:rPr>
                <w:rFonts w:ascii="Arial" w:hAnsi="Arial" w:cs="Arial"/>
                <w:b/>
              </w:rPr>
              <w:t xml:space="preserve"> </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F4728" w:rsidRPr="00925FB4" w:rsidRDefault="00FF4728" w:rsidP="00263F7F">
            <w:pPr>
              <w:rPr>
                <w:rFonts w:ascii="Arial" w:hAnsi="Arial" w:cs="Arial"/>
              </w:rPr>
            </w:pPr>
            <w:r w:rsidRPr="00B430D8">
              <w:rPr>
                <w:rFonts w:ascii="Arial" w:hAnsi="Arial" w:cs="Arial"/>
              </w:rPr>
              <w:t>Chronic obstructive pulmonary disease</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F4728" w:rsidRDefault="00FF4728" w:rsidP="00263F7F">
            <w:pPr>
              <w:rPr>
                <w:rFonts w:ascii="Arial" w:hAnsi="Arial" w:cs="Arial"/>
              </w:rPr>
            </w:pPr>
            <w:r w:rsidRPr="00B430D8">
              <w:rPr>
                <w:rFonts w:ascii="Arial" w:hAnsi="Arial" w:cs="Arial"/>
              </w:rPr>
              <w:t>Authority Required (STREAMLINED) listing for the treatment of patients with chronic obstructive pulmonary disease.</w:t>
            </w:r>
          </w:p>
          <w:p w:rsidR="00FF4728" w:rsidRPr="00B430D8" w:rsidRDefault="00FF4728" w:rsidP="00B430D8">
            <w:pPr>
              <w:tabs>
                <w:tab w:val="left" w:pos="757"/>
              </w:tabs>
              <w:rPr>
                <w:rFonts w:ascii="Arial" w:hAnsi="Arial" w:cs="Arial"/>
              </w:rPr>
            </w:pPr>
            <w:r>
              <w:rPr>
                <w:rFonts w:ascii="Arial" w:hAnsi="Arial" w:cs="Arial"/>
              </w:rPr>
              <w:tab/>
            </w:r>
          </w:p>
        </w:tc>
        <w:tc>
          <w:tcPr>
            <w:tcW w:w="7192" w:type="dxa"/>
            <w:tcBorders>
              <w:top w:val="single" w:sz="4" w:space="0" w:color="auto"/>
              <w:left w:val="single" w:sz="4" w:space="0" w:color="auto"/>
              <w:bottom w:val="single" w:sz="4" w:space="0" w:color="auto"/>
              <w:right w:val="single" w:sz="4" w:space="0" w:color="auto"/>
            </w:tcBorders>
          </w:tcPr>
          <w:p w:rsidR="00FF4728" w:rsidRPr="00925FB4" w:rsidRDefault="00FF4728" w:rsidP="005F33BE">
            <w:pPr>
              <w:widowControl w:val="0"/>
              <w:contextualSpacing/>
              <w:jc w:val="both"/>
              <w:rPr>
                <w:rFonts w:ascii="Arial" w:hAnsi="Arial" w:cs="Arial"/>
                <w:bCs/>
                <w:iCs/>
                <w:snapToGrid w:val="0"/>
              </w:rPr>
            </w:pPr>
            <w:r w:rsidRPr="00925FB4">
              <w:rPr>
                <w:rFonts w:ascii="Arial" w:hAnsi="Arial" w:cs="Arial"/>
                <w:bCs/>
                <w:iCs/>
                <w:snapToGrid w:val="0"/>
              </w:rPr>
              <w:t xml:space="preserve">The PBAC recommended the listing of </w:t>
            </w:r>
            <w:proofErr w:type="spellStart"/>
            <w:r w:rsidRPr="00925FB4">
              <w:rPr>
                <w:rFonts w:ascii="Arial" w:hAnsi="Arial" w:cs="Arial"/>
                <w:bCs/>
                <w:iCs/>
                <w:snapToGrid w:val="0"/>
              </w:rPr>
              <w:t>aclidinium</w:t>
            </w:r>
            <w:proofErr w:type="spellEnd"/>
            <w:r w:rsidRPr="00925FB4">
              <w:rPr>
                <w:rFonts w:ascii="Arial" w:hAnsi="Arial" w:cs="Arial"/>
                <w:bCs/>
                <w:iCs/>
                <w:snapToGrid w:val="0"/>
              </w:rPr>
              <w:t>/</w:t>
            </w:r>
            <w:proofErr w:type="spellStart"/>
            <w:r w:rsidRPr="00925FB4">
              <w:rPr>
                <w:rFonts w:ascii="Arial" w:hAnsi="Arial" w:cs="Arial"/>
                <w:bCs/>
                <w:iCs/>
                <w:snapToGrid w:val="0"/>
              </w:rPr>
              <w:t>eformoterol</w:t>
            </w:r>
            <w:proofErr w:type="spellEnd"/>
            <w:r w:rsidRPr="00925FB4">
              <w:rPr>
                <w:rFonts w:ascii="Arial" w:hAnsi="Arial" w:cs="Arial"/>
                <w:bCs/>
                <w:iCs/>
                <w:snapToGrid w:val="0"/>
              </w:rPr>
              <w:t xml:space="preserve"> </w:t>
            </w:r>
            <w:r>
              <w:rPr>
                <w:rFonts w:ascii="Arial" w:hAnsi="Arial" w:cs="Arial"/>
                <w:bCs/>
                <w:iCs/>
                <w:snapToGrid w:val="0"/>
              </w:rPr>
              <w:t>fixed dose combination (</w:t>
            </w:r>
            <w:r w:rsidRPr="00925FB4">
              <w:rPr>
                <w:rFonts w:ascii="Arial" w:hAnsi="Arial" w:cs="Arial"/>
                <w:bCs/>
                <w:iCs/>
                <w:snapToGrid w:val="0"/>
              </w:rPr>
              <w:t>FDC</w:t>
            </w:r>
            <w:r>
              <w:rPr>
                <w:rFonts w:ascii="Arial" w:hAnsi="Arial" w:cs="Arial"/>
                <w:bCs/>
                <w:iCs/>
                <w:snapToGrid w:val="0"/>
              </w:rPr>
              <w:t>)</w:t>
            </w:r>
            <w:r w:rsidRPr="00925FB4">
              <w:rPr>
                <w:rFonts w:ascii="Arial" w:hAnsi="Arial" w:cs="Arial"/>
                <w:bCs/>
                <w:iCs/>
                <w:snapToGrid w:val="0"/>
              </w:rPr>
              <w:t xml:space="preserve"> as an Authority required (STREAMLINED) benefit for the treatment of chronic obstructive pulmonary disease for patients already stabilised on concomitant </w:t>
            </w:r>
            <w:r w:rsidRPr="00AC57A8">
              <w:rPr>
                <w:rFonts w:ascii="Arial" w:hAnsi="Arial" w:cs="Arial"/>
                <w:bCs/>
                <w:iCs/>
                <w:snapToGrid w:val="0"/>
              </w:rPr>
              <w:t xml:space="preserve">long acting muscarinic receptor antagonist </w:t>
            </w:r>
            <w:r>
              <w:rPr>
                <w:rFonts w:ascii="Arial" w:hAnsi="Arial" w:cs="Arial"/>
                <w:bCs/>
                <w:iCs/>
                <w:snapToGrid w:val="0"/>
              </w:rPr>
              <w:t>(</w:t>
            </w:r>
            <w:r w:rsidRPr="00925FB4">
              <w:rPr>
                <w:rFonts w:ascii="Arial" w:hAnsi="Arial" w:cs="Arial"/>
                <w:bCs/>
                <w:iCs/>
                <w:snapToGrid w:val="0"/>
              </w:rPr>
              <w:t>LAMA</w:t>
            </w:r>
            <w:r>
              <w:rPr>
                <w:rFonts w:ascii="Arial" w:hAnsi="Arial" w:cs="Arial"/>
                <w:bCs/>
                <w:iCs/>
                <w:snapToGrid w:val="0"/>
              </w:rPr>
              <w:t>)</w:t>
            </w:r>
            <w:r w:rsidRPr="00925FB4">
              <w:rPr>
                <w:rFonts w:ascii="Arial" w:hAnsi="Arial" w:cs="Arial"/>
                <w:bCs/>
                <w:iCs/>
                <w:snapToGrid w:val="0"/>
              </w:rPr>
              <w:t xml:space="preserve"> and </w:t>
            </w:r>
            <w:r w:rsidRPr="00AC57A8">
              <w:rPr>
                <w:rFonts w:ascii="Arial" w:hAnsi="Arial" w:cs="Arial"/>
                <w:bCs/>
                <w:iCs/>
                <w:snapToGrid w:val="0"/>
              </w:rPr>
              <w:t xml:space="preserve">long-acting selective β2 agonist </w:t>
            </w:r>
            <w:r>
              <w:rPr>
                <w:rFonts w:ascii="Arial" w:hAnsi="Arial" w:cs="Arial"/>
                <w:bCs/>
                <w:iCs/>
                <w:snapToGrid w:val="0"/>
              </w:rPr>
              <w:t>(</w:t>
            </w:r>
            <w:r w:rsidRPr="00925FB4">
              <w:rPr>
                <w:rFonts w:ascii="Arial" w:hAnsi="Arial" w:cs="Arial"/>
                <w:bCs/>
                <w:iCs/>
                <w:snapToGrid w:val="0"/>
              </w:rPr>
              <w:t>LABA</w:t>
            </w:r>
            <w:r>
              <w:rPr>
                <w:rFonts w:ascii="Arial" w:hAnsi="Arial" w:cs="Arial"/>
                <w:bCs/>
                <w:iCs/>
                <w:snapToGrid w:val="0"/>
              </w:rPr>
              <w:t>)</w:t>
            </w:r>
            <w:r w:rsidRPr="00925FB4">
              <w:rPr>
                <w:rFonts w:ascii="Arial" w:hAnsi="Arial" w:cs="Arial"/>
                <w:bCs/>
                <w:iCs/>
                <w:snapToGrid w:val="0"/>
              </w:rPr>
              <w:t xml:space="preserve"> therapy.</w:t>
            </w:r>
          </w:p>
          <w:p w:rsidR="00FF4728" w:rsidRPr="00925FB4" w:rsidRDefault="00FF4728" w:rsidP="005F33BE">
            <w:pPr>
              <w:widowControl w:val="0"/>
              <w:contextualSpacing/>
              <w:jc w:val="both"/>
              <w:rPr>
                <w:rFonts w:ascii="Arial" w:hAnsi="Arial" w:cs="Arial"/>
                <w:bCs/>
                <w:iCs/>
                <w:snapToGrid w:val="0"/>
              </w:rPr>
            </w:pPr>
          </w:p>
          <w:p w:rsidR="00FF4728" w:rsidRPr="00925FB4" w:rsidRDefault="00FF4728" w:rsidP="005F33BE">
            <w:pPr>
              <w:widowControl w:val="0"/>
              <w:contextualSpacing/>
              <w:jc w:val="both"/>
              <w:rPr>
                <w:rFonts w:ascii="Arial" w:hAnsi="Arial" w:cs="Arial"/>
                <w:bCs/>
                <w:iCs/>
                <w:snapToGrid w:val="0"/>
              </w:rPr>
            </w:pPr>
            <w:r w:rsidRPr="00925FB4">
              <w:rPr>
                <w:rFonts w:ascii="Arial" w:hAnsi="Arial" w:cs="Arial"/>
                <w:bCs/>
                <w:iCs/>
                <w:snapToGrid w:val="0"/>
              </w:rPr>
              <w:t xml:space="preserve">The PBAC recommended the listing on a cost-minimisation basis to the existing LAMA/LABA fixed dose combinations, </w:t>
            </w:r>
            <w:proofErr w:type="spellStart"/>
            <w:r w:rsidRPr="00925FB4">
              <w:rPr>
                <w:rFonts w:ascii="Arial" w:hAnsi="Arial" w:cs="Arial"/>
                <w:bCs/>
                <w:iCs/>
                <w:snapToGrid w:val="0"/>
              </w:rPr>
              <w:t>umeclidinium</w:t>
            </w:r>
            <w:proofErr w:type="spellEnd"/>
            <w:r w:rsidRPr="00925FB4">
              <w:rPr>
                <w:rFonts w:ascii="Arial" w:hAnsi="Arial" w:cs="Arial"/>
                <w:bCs/>
                <w:iCs/>
                <w:snapToGrid w:val="0"/>
              </w:rPr>
              <w:t>/</w:t>
            </w:r>
            <w:proofErr w:type="spellStart"/>
            <w:r w:rsidRPr="00925FB4">
              <w:rPr>
                <w:rFonts w:ascii="Arial" w:hAnsi="Arial" w:cs="Arial"/>
                <w:bCs/>
                <w:iCs/>
                <w:snapToGrid w:val="0"/>
              </w:rPr>
              <w:t>vilanterol</w:t>
            </w:r>
            <w:proofErr w:type="spellEnd"/>
            <w:r w:rsidRPr="00925FB4">
              <w:rPr>
                <w:rFonts w:ascii="Arial" w:hAnsi="Arial" w:cs="Arial"/>
                <w:bCs/>
                <w:iCs/>
                <w:snapToGrid w:val="0"/>
              </w:rPr>
              <w:t xml:space="preserve"> and </w:t>
            </w:r>
            <w:proofErr w:type="spellStart"/>
            <w:r w:rsidRPr="00925FB4">
              <w:rPr>
                <w:rFonts w:ascii="Arial" w:hAnsi="Arial" w:cs="Arial"/>
                <w:bCs/>
                <w:iCs/>
                <w:snapToGrid w:val="0"/>
              </w:rPr>
              <w:t>glycopyrronium</w:t>
            </w:r>
            <w:proofErr w:type="spellEnd"/>
            <w:r w:rsidRPr="00925FB4">
              <w:rPr>
                <w:rFonts w:ascii="Arial" w:hAnsi="Arial" w:cs="Arial"/>
                <w:bCs/>
                <w:iCs/>
                <w:snapToGrid w:val="0"/>
              </w:rPr>
              <w:t>/</w:t>
            </w:r>
            <w:proofErr w:type="spellStart"/>
            <w:r w:rsidRPr="00925FB4">
              <w:rPr>
                <w:rFonts w:ascii="Arial" w:hAnsi="Arial" w:cs="Arial"/>
                <w:bCs/>
                <w:iCs/>
                <w:snapToGrid w:val="0"/>
              </w:rPr>
              <w:t>indacaterol</w:t>
            </w:r>
            <w:proofErr w:type="spellEnd"/>
            <w:r w:rsidRPr="00925FB4">
              <w:rPr>
                <w:rFonts w:ascii="Arial" w:hAnsi="Arial" w:cs="Arial"/>
                <w:bCs/>
                <w:iCs/>
                <w:snapToGrid w:val="0"/>
              </w:rPr>
              <w:t xml:space="preserve">. The equi-effective doses are considered to be </w:t>
            </w:r>
            <w:proofErr w:type="spellStart"/>
            <w:r w:rsidRPr="00925FB4">
              <w:rPr>
                <w:rFonts w:ascii="Arial" w:hAnsi="Arial" w:cs="Arial"/>
                <w:bCs/>
                <w:iCs/>
                <w:snapToGrid w:val="0"/>
              </w:rPr>
              <w:t>aclidinium</w:t>
            </w:r>
            <w:proofErr w:type="spellEnd"/>
            <w:r w:rsidRPr="00925FB4">
              <w:rPr>
                <w:rFonts w:ascii="Arial" w:hAnsi="Arial" w:cs="Arial"/>
                <w:bCs/>
                <w:iCs/>
                <w:snapToGrid w:val="0"/>
              </w:rPr>
              <w:t xml:space="preserve"> 340 microgram with </w:t>
            </w:r>
            <w:proofErr w:type="spellStart"/>
            <w:r w:rsidRPr="00925FB4">
              <w:rPr>
                <w:rFonts w:ascii="Arial" w:hAnsi="Arial" w:cs="Arial"/>
                <w:bCs/>
                <w:iCs/>
                <w:snapToGrid w:val="0"/>
              </w:rPr>
              <w:t>eformoterol</w:t>
            </w:r>
            <w:proofErr w:type="spellEnd"/>
            <w:r w:rsidRPr="00925FB4">
              <w:rPr>
                <w:rFonts w:ascii="Arial" w:hAnsi="Arial" w:cs="Arial"/>
                <w:bCs/>
                <w:iCs/>
                <w:snapToGrid w:val="0"/>
              </w:rPr>
              <w:t xml:space="preserve"> 12 microgram (twice daily), </w:t>
            </w:r>
            <w:proofErr w:type="spellStart"/>
            <w:r w:rsidRPr="00925FB4">
              <w:rPr>
                <w:rFonts w:ascii="Arial" w:hAnsi="Arial" w:cs="Arial"/>
                <w:bCs/>
                <w:iCs/>
                <w:snapToGrid w:val="0"/>
              </w:rPr>
              <w:t>umeclidinium</w:t>
            </w:r>
            <w:proofErr w:type="spellEnd"/>
            <w:r w:rsidRPr="00925FB4">
              <w:rPr>
                <w:rFonts w:ascii="Arial" w:hAnsi="Arial" w:cs="Arial"/>
                <w:bCs/>
                <w:iCs/>
                <w:snapToGrid w:val="0"/>
              </w:rPr>
              <w:t xml:space="preserve"> 62.5 microgram with </w:t>
            </w:r>
            <w:proofErr w:type="spellStart"/>
            <w:r w:rsidRPr="00925FB4">
              <w:rPr>
                <w:rFonts w:ascii="Arial" w:hAnsi="Arial" w:cs="Arial"/>
                <w:bCs/>
                <w:iCs/>
                <w:snapToGrid w:val="0"/>
              </w:rPr>
              <w:t>vilanterol</w:t>
            </w:r>
            <w:proofErr w:type="spellEnd"/>
            <w:r w:rsidRPr="00925FB4">
              <w:rPr>
                <w:rFonts w:ascii="Arial" w:hAnsi="Arial" w:cs="Arial"/>
                <w:bCs/>
                <w:iCs/>
                <w:snapToGrid w:val="0"/>
              </w:rPr>
              <w:t xml:space="preserve"> 25 microgram (daily), and </w:t>
            </w:r>
            <w:proofErr w:type="spellStart"/>
            <w:r w:rsidRPr="00925FB4">
              <w:rPr>
                <w:rFonts w:ascii="Arial" w:hAnsi="Arial" w:cs="Arial"/>
                <w:bCs/>
                <w:iCs/>
                <w:snapToGrid w:val="0"/>
              </w:rPr>
              <w:t>glycopyrronium</w:t>
            </w:r>
            <w:proofErr w:type="spellEnd"/>
            <w:r w:rsidRPr="00925FB4">
              <w:rPr>
                <w:rFonts w:ascii="Arial" w:hAnsi="Arial" w:cs="Arial"/>
                <w:bCs/>
                <w:iCs/>
                <w:snapToGrid w:val="0"/>
              </w:rPr>
              <w:t xml:space="preserve"> 50 microgram with </w:t>
            </w:r>
            <w:proofErr w:type="spellStart"/>
            <w:r w:rsidRPr="00925FB4">
              <w:rPr>
                <w:rFonts w:ascii="Arial" w:hAnsi="Arial" w:cs="Arial"/>
                <w:bCs/>
                <w:iCs/>
                <w:snapToGrid w:val="0"/>
              </w:rPr>
              <w:t>indacaterol</w:t>
            </w:r>
            <w:proofErr w:type="spellEnd"/>
            <w:r w:rsidRPr="00925FB4">
              <w:rPr>
                <w:rFonts w:ascii="Arial" w:hAnsi="Arial" w:cs="Arial"/>
                <w:bCs/>
                <w:iCs/>
                <w:snapToGrid w:val="0"/>
              </w:rPr>
              <w:t xml:space="preserve"> 110 microgram (daily).</w:t>
            </w:r>
          </w:p>
        </w:tc>
      </w:tr>
      <w:tr w:rsidR="00FF4728"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F4728" w:rsidRPr="00FF4728" w:rsidRDefault="00FF4728" w:rsidP="0055653D">
            <w:pPr>
              <w:rPr>
                <w:rFonts w:ascii="Arial Bold" w:hAnsi="Arial Bold" w:cs="Arial"/>
                <w:b/>
                <w:caps/>
              </w:rPr>
            </w:pPr>
            <w:r w:rsidRPr="00FF4728">
              <w:rPr>
                <w:rFonts w:ascii="Arial Bold" w:hAnsi="Arial Bold" w:cs="Arial"/>
                <w:b/>
                <w:caps/>
              </w:rPr>
              <w:lastRenderedPageBreak/>
              <w:t>anakinra</w:t>
            </w:r>
          </w:p>
          <w:p w:rsidR="00FF4728" w:rsidRPr="00AC57A8" w:rsidRDefault="00FF4728" w:rsidP="0055653D">
            <w:pPr>
              <w:rPr>
                <w:rStyle w:val="form-strength"/>
                <w:rFonts w:ascii="Arial" w:hAnsi="Arial" w:cs="Arial"/>
                <w:color w:val="222222"/>
              </w:rPr>
            </w:pPr>
            <w:proofErr w:type="spellStart"/>
            <w:r w:rsidRPr="00AC57A8">
              <w:rPr>
                <w:rStyle w:val="form-strength"/>
                <w:rFonts w:ascii="Arial" w:hAnsi="Arial" w:cs="Arial"/>
                <w:color w:val="222222"/>
              </w:rPr>
              <w:t>anakinra</w:t>
            </w:r>
            <w:proofErr w:type="spellEnd"/>
            <w:r w:rsidRPr="00AC57A8">
              <w:rPr>
                <w:rStyle w:val="form-strength"/>
                <w:rFonts w:ascii="Arial" w:hAnsi="Arial" w:cs="Arial"/>
                <w:color w:val="222222"/>
              </w:rPr>
              <w:t xml:space="preserve"> 100 mg/0.67 mL injection, 28 x 0.67 mL syringes</w:t>
            </w:r>
            <w:r w:rsidRPr="00AC57A8">
              <w:rPr>
                <w:rStyle w:val="form-strength"/>
                <w:rFonts w:ascii="Arial" w:hAnsi="Arial" w:cs="Arial"/>
                <w:color w:val="222222"/>
              </w:rPr>
              <w:br/>
            </w:r>
          </w:p>
          <w:p w:rsidR="00FF4728" w:rsidRPr="00AC4C60" w:rsidRDefault="00FF4728" w:rsidP="0055653D">
            <w:pPr>
              <w:rPr>
                <w:rFonts w:ascii="Arial" w:hAnsi="Arial" w:cs="Arial"/>
              </w:rPr>
            </w:pPr>
            <w:r w:rsidRPr="00AC4C60">
              <w:rPr>
                <w:rStyle w:val="form-strength"/>
                <w:rFonts w:ascii="Arial" w:hAnsi="Arial" w:cs="Arial"/>
                <w:color w:val="222222"/>
              </w:rPr>
              <w:t>KINERET</w:t>
            </w:r>
            <w:r w:rsidRPr="00AC4C60">
              <w:rPr>
                <w:rFonts w:ascii="Arial" w:hAnsi="Arial" w:cs="Arial"/>
              </w:rPr>
              <w:t>®</w:t>
            </w:r>
          </w:p>
          <w:p w:rsidR="00FF4728" w:rsidRPr="00AC4C60" w:rsidRDefault="00FF4728" w:rsidP="0055653D">
            <w:pPr>
              <w:rPr>
                <w:rFonts w:ascii="Arial" w:hAnsi="Arial" w:cs="Arial"/>
              </w:rPr>
            </w:pPr>
          </w:p>
          <w:p w:rsidR="00FF4728" w:rsidRPr="0038081F" w:rsidRDefault="00FF4728" w:rsidP="00626C7C">
            <w:pPr>
              <w:rPr>
                <w:rFonts w:ascii="Arial Bold" w:hAnsi="Arial Bold" w:cs="Arial"/>
                <w:b/>
                <w:caps/>
              </w:rPr>
            </w:pPr>
            <w:r w:rsidRPr="00AC4C60">
              <w:rPr>
                <w:rFonts w:ascii="Arial" w:hAnsi="Arial" w:cs="Arial"/>
              </w:rPr>
              <w:t xml:space="preserve">A. </w:t>
            </w:r>
            <w:proofErr w:type="spellStart"/>
            <w:r w:rsidRPr="00AC4C60">
              <w:rPr>
                <w:rFonts w:ascii="Arial" w:hAnsi="Arial" w:cs="Arial"/>
              </w:rPr>
              <w:t>Menarini</w:t>
            </w:r>
            <w:proofErr w:type="spellEnd"/>
            <w:r w:rsidRPr="00AC4C60">
              <w:rPr>
                <w:rFonts w:ascii="Arial" w:hAnsi="Arial" w:cs="Arial"/>
              </w:rPr>
              <w:t xml:space="preserve"> Australia Pty Ltd </w:t>
            </w:r>
          </w:p>
          <w:p w:rsidR="00FF4728" w:rsidRDefault="00FF4728" w:rsidP="0055653D">
            <w:pPr>
              <w:rPr>
                <w:rFonts w:ascii="Arial Bold" w:hAnsi="Arial Bold" w:cs="Arial"/>
                <w:b/>
                <w:caps/>
              </w:rPr>
            </w:pPr>
          </w:p>
          <w:p w:rsidR="00FF4728" w:rsidRPr="0038081F" w:rsidRDefault="00FF4728" w:rsidP="0055653D">
            <w:pPr>
              <w:rPr>
                <w:rFonts w:ascii="Arial" w:hAnsi="Arial" w:cs="Arial"/>
              </w:rPr>
            </w:pPr>
            <w:r w:rsidRPr="0038081F">
              <w:rPr>
                <w:rFonts w:ascii="Arial" w:hAnsi="Arial" w:cs="Arial"/>
              </w:rPr>
              <w:t>Change to listing</w:t>
            </w:r>
          </w:p>
          <w:p w:rsidR="00FF4728" w:rsidRPr="0038081F" w:rsidRDefault="00FF4728" w:rsidP="0055653D">
            <w:pPr>
              <w:rPr>
                <w:rFonts w:ascii="Arial Bold" w:hAnsi="Arial Bold" w:cs="Arial"/>
                <w:b/>
                <w:caps/>
              </w:rPr>
            </w:pPr>
          </w:p>
          <w:p w:rsidR="00FF4728" w:rsidRPr="0038081F" w:rsidRDefault="00FF4728" w:rsidP="0055653D">
            <w:pPr>
              <w:rPr>
                <w:rFonts w:ascii="Arial" w:hAnsi="Arial" w:cs="Arial"/>
                <w:caps/>
              </w:rPr>
            </w:pPr>
            <w:r w:rsidRPr="0038081F">
              <w:rPr>
                <w:rFonts w:ascii="Arial" w:hAnsi="Arial" w:cs="Arial"/>
                <w:caps/>
              </w:rPr>
              <w:t>(</w:t>
            </w:r>
            <w:r w:rsidRPr="0038081F">
              <w:rPr>
                <w:rFonts w:ascii="Arial" w:hAnsi="Arial" w:cs="Arial"/>
              </w:rPr>
              <w:t>Correspondence)</w:t>
            </w:r>
          </w:p>
          <w:p w:rsidR="00FF4728" w:rsidRPr="0038081F" w:rsidRDefault="00FF4728" w:rsidP="0055653D">
            <w:pPr>
              <w:rPr>
                <w:rFonts w:ascii="Arial Bold" w:hAnsi="Arial Bold" w:cs="Arial"/>
                <w:b/>
                <w:caps/>
              </w:rPr>
            </w:pP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F4728" w:rsidRPr="0038081F" w:rsidRDefault="00FF4728" w:rsidP="00356844">
            <w:pPr>
              <w:rPr>
                <w:rFonts w:ascii="Arial" w:hAnsi="Arial" w:cs="Arial"/>
              </w:rPr>
            </w:pPr>
            <w:proofErr w:type="spellStart"/>
            <w:r w:rsidRPr="00AC57A8">
              <w:rPr>
                <w:rFonts w:ascii="Arial" w:hAnsi="Arial" w:cs="Arial"/>
              </w:rPr>
              <w:t>Cryopyrin</w:t>
            </w:r>
            <w:proofErr w:type="spellEnd"/>
            <w:r w:rsidRPr="00AC57A8">
              <w:rPr>
                <w:rFonts w:ascii="Arial" w:hAnsi="Arial" w:cs="Arial"/>
              </w:rPr>
              <w:t xml:space="preserve">-associated periodic syndromes </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F4728" w:rsidRPr="0038081F" w:rsidRDefault="00FF4728" w:rsidP="00AC57A8">
            <w:pPr>
              <w:rPr>
                <w:rFonts w:ascii="Arial" w:hAnsi="Arial" w:cs="Arial"/>
              </w:rPr>
            </w:pPr>
            <w:r w:rsidRPr="0038081F">
              <w:rPr>
                <w:rFonts w:ascii="Arial" w:hAnsi="Arial" w:cs="Arial"/>
              </w:rPr>
              <w:t xml:space="preserve">Correspondence from the Australasian Society of Clinical Immunology and Allergy requested that immunologists be granted prescribing rights for </w:t>
            </w:r>
            <w:proofErr w:type="spellStart"/>
            <w:r w:rsidRPr="0038081F">
              <w:rPr>
                <w:rFonts w:ascii="Arial" w:hAnsi="Arial" w:cs="Arial"/>
              </w:rPr>
              <w:t>anakinra</w:t>
            </w:r>
            <w:proofErr w:type="spellEnd"/>
            <w:r w:rsidRPr="0038081F">
              <w:rPr>
                <w:rFonts w:ascii="Arial" w:hAnsi="Arial" w:cs="Arial"/>
              </w:rPr>
              <w:t xml:space="preserve"> for the treatment of </w:t>
            </w:r>
            <w:proofErr w:type="spellStart"/>
            <w:r w:rsidRPr="0038081F">
              <w:rPr>
                <w:rFonts w:ascii="Arial" w:hAnsi="Arial" w:cs="Arial"/>
              </w:rPr>
              <w:t>cryopyrin</w:t>
            </w:r>
            <w:proofErr w:type="spellEnd"/>
            <w:r w:rsidRPr="0038081F">
              <w:rPr>
                <w:rFonts w:ascii="Arial" w:hAnsi="Arial" w:cs="Arial"/>
              </w:rPr>
              <w:t>-associated periodic syndromes.</w:t>
            </w:r>
          </w:p>
        </w:tc>
        <w:tc>
          <w:tcPr>
            <w:tcW w:w="7192" w:type="dxa"/>
            <w:tcBorders>
              <w:top w:val="single" w:sz="4" w:space="0" w:color="auto"/>
              <w:left w:val="single" w:sz="4" w:space="0" w:color="auto"/>
              <w:bottom w:val="single" w:sz="4" w:space="0" w:color="auto"/>
              <w:right w:val="single" w:sz="4" w:space="0" w:color="auto"/>
            </w:tcBorders>
          </w:tcPr>
          <w:p w:rsidR="00FF4728" w:rsidRPr="0038081F" w:rsidRDefault="00FF4728" w:rsidP="00EE7FFB">
            <w:pPr>
              <w:rPr>
                <w:rFonts w:ascii="Arial" w:hAnsi="Arial" w:cs="Arial"/>
                <w:bCs/>
                <w:lang w:val="en-GB"/>
              </w:rPr>
            </w:pPr>
            <w:r w:rsidRPr="0038081F">
              <w:rPr>
                <w:rFonts w:ascii="Arial" w:hAnsi="Arial" w:cs="Arial"/>
                <w:bCs/>
                <w:lang w:val="en-GB"/>
              </w:rPr>
              <w:t>The PBAC recommended that the treatment criteria for this indication should be modified to include prescribing by clinical immunologists.</w:t>
            </w:r>
          </w:p>
        </w:tc>
      </w:tr>
      <w:tr w:rsidR="00FF4728"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F4728" w:rsidRDefault="00FF4728" w:rsidP="002D2C7A">
            <w:pPr>
              <w:rPr>
                <w:rFonts w:ascii="Arial" w:hAnsi="Arial" w:cs="Arial"/>
                <w:b/>
              </w:rPr>
            </w:pPr>
            <w:r w:rsidRPr="00925FB4">
              <w:rPr>
                <w:rFonts w:ascii="Arial" w:hAnsi="Arial" w:cs="Arial"/>
                <w:b/>
              </w:rPr>
              <w:t>BENDAMUSTINE</w:t>
            </w:r>
          </w:p>
          <w:p w:rsidR="00FF4728" w:rsidRPr="002E5A8E" w:rsidRDefault="00FF4728" w:rsidP="002D2C7A">
            <w:pPr>
              <w:rPr>
                <w:rFonts w:ascii="Arial" w:hAnsi="Arial" w:cs="Arial"/>
              </w:rPr>
            </w:pPr>
            <w:r w:rsidRPr="002E5A8E">
              <w:rPr>
                <w:rFonts w:ascii="Arial" w:hAnsi="Arial" w:cs="Arial"/>
              </w:rPr>
              <w:t>powder for injection 100 mg vial, 1</w:t>
            </w:r>
          </w:p>
          <w:p w:rsidR="00FF4728" w:rsidRDefault="00FF4728" w:rsidP="002D2C7A">
            <w:pPr>
              <w:rPr>
                <w:rFonts w:ascii="Arial" w:hAnsi="Arial" w:cs="Arial"/>
              </w:rPr>
            </w:pPr>
            <w:r w:rsidRPr="002E5A8E">
              <w:rPr>
                <w:rFonts w:ascii="Arial" w:hAnsi="Arial" w:cs="Arial"/>
              </w:rPr>
              <w:t>pow</w:t>
            </w:r>
            <w:r>
              <w:rPr>
                <w:rFonts w:ascii="Arial" w:hAnsi="Arial" w:cs="Arial"/>
              </w:rPr>
              <w:t>der for injection 25 mg vial, 1</w:t>
            </w:r>
            <w:r w:rsidRPr="002E5A8E">
              <w:rPr>
                <w:rFonts w:ascii="Arial" w:hAnsi="Arial" w:cs="Arial"/>
              </w:rPr>
              <w:t xml:space="preserve"> </w:t>
            </w:r>
          </w:p>
          <w:p w:rsidR="00FF4728" w:rsidRDefault="00FF4728" w:rsidP="002D2C7A">
            <w:pPr>
              <w:rPr>
                <w:rFonts w:ascii="Arial" w:hAnsi="Arial" w:cs="Arial"/>
              </w:rPr>
            </w:pPr>
          </w:p>
          <w:p w:rsidR="00FF4728" w:rsidRDefault="00FF4728" w:rsidP="002D2C7A">
            <w:pPr>
              <w:rPr>
                <w:rFonts w:ascii="Arial" w:hAnsi="Arial" w:cs="Arial"/>
              </w:rPr>
            </w:pPr>
            <w:r w:rsidRPr="002E5A8E">
              <w:rPr>
                <w:rFonts w:ascii="Arial" w:hAnsi="Arial" w:cs="Arial"/>
              </w:rPr>
              <w:t>Ribomustin</w:t>
            </w:r>
            <w:r w:rsidRPr="00626C7C">
              <w:rPr>
                <w:rFonts w:ascii="Arial" w:hAnsi="Arial" w:cs="Arial"/>
              </w:rPr>
              <w:t>®</w:t>
            </w:r>
          </w:p>
          <w:p w:rsidR="00FF4728" w:rsidRDefault="00FF4728" w:rsidP="002D2C7A">
            <w:pPr>
              <w:rPr>
                <w:rFonts w:ascii="Arial" w:hAnsi="Arial" w:cs="Arial"/>
              </w:rPr>
            </w:pPr>
          </w:p>
          <w:p w:rsidR="00FF4728" w:rsidRDefault="00FF4728" w:rsidP="002D2C7A">
            <w:pPr>
              <w:rPr>
                <w:rFonts w:ascii="Arial" w:hAnsi="Arial" w:cs="Arial"/>
              </w:rPr>
            </w:pPr>
            <w:r w:rsidRPr="002E5A8E">
              <w:rPr>
                <w:rFonts w:ascii="Arial" w:hAnsi="Arial" w:cs="Arial"/>
              </w:rPr>
              <w:t>Jansen-Cilag Pty Ltd</w:t>
            </w:r>
          </w:p>
          <w:p w:rsidR="00FF4728" w:rsidRDefault="00FF4728" w:rsidP="002D2C7A">
            <w:pPr>
              <w:rPr>
                <w:rFonts w:ascii="Arial" w:hAnsi="Arial" w:cs="Arial"/>
              </w:rPr>
            </w:pPr>
          </w:p>
          <w:p w:rsidR="00FF4728" w:rsidRDefault="00FF4728" w:rsidP="002D2C7A">
            <w:pPr>
              <w:rPr>
                <w:rFonts w:ascii="Arial" w:hAnsi="Arial" w:cs="Arial"/>
              </w:rPr>
            </w:pPr>
            <w:r>
              <w:rPr>
                <w:rFonts w:ascii="Arial" w:hAnsi="Arial" w:cs="Arial"/>
              </w:rPr>
              <w:t xml:space="preserve">New listing </w:t>
            </w:r>
          </w:p>
          <w:p w:rsidR="00FF4728" w:rsidRDefault="00FF4728" w:rsidP="002D2C7A">
            <w:pPr>
              <w:rPr>
                <w:rFonts w:ascii="Arial" w:hAnsi="Arial" w:cs="Arial"/>
              </w:rPr>
            </w:pPr>
          </w:p>
          <w:p w:rsidR="00FF4728" w:rsidRPr="00925FB4" w:rsidRDefault="00FF4728" w:rsidP="002D2C7A">
            <w:pPr>
              <w:rPr>
                <w:rFonts w:ascii="Arial" w:hAnsi="Arial" w:cs="Arial"/>
                <w:b/>
              </w:rPr>
            </w:pPr>
            <w:r>
              <w:rPr>
                <w:rFonts w:ascii="Arial" w:hAnsi="Arial" w:cs="Arial"/>
              </w:rPr>
              <w:t>(Minor Submission)</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F4728" w:rsidRPr="00925FB4" w:rsidRDefault="00FF4728" w:rsidP="00263F7F">
            <w:pPr>
              <w:rPr>
                <w:rFonts w:ascii="Arial" w:hAnsi="Arial" w:cs="Arial"/>
              </w:rPr>
            </w:pPr>
            <w:r w:rsidRPr="00BD0CE3">
              <w:rPr>
                <w:rFonts w:ascii="Arial" w:hAnsi="Arial" w:cs="Arial"/>
              </w:rPr>
              <w:t>Non-Hodgkin's lymphoma</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F4728" w:rsidRDefault="00FF4728" w:rsidP="00263F7F">
            <w:pPr>
              <w:rPr>
                <w:rFonts w:ascii="Arial" w:hAnsi="Arial" w:cs="Arial"/>
              </w:rPr>
            </w:pPr>
            <w:r w:rsidRPr="00BD0CE3">
              <w:rPr>
                <w:rFonts w:ascii="Arial" w:hAnsi="Arial" w:cs="Arial"/>
              </w:rPr>
              <w:t>Re-submission for Section 100 (Efficient Funding of Chemotherapy arrangements) listing for the first line treatment of indolent non</w:t>
            </w:r>
            <w:r>
              <w:rPr>
                <w:rFonts w:ascii="Arial" w:hAnsi="Arial" w:cs="Arial"/>
              </w:rPr>
              <w:noBreakHyphen/>
            </w:r>
            <w:r w:rsidRPr="00BD0CE3">
              <w:rPr>
                <w:rFonts w:ascii="Arial" w:hAnsi="Arial" w:cs="Arial"/>
              </w:rPr>
              <w:t xml:space="preserve">Hodgkin's lymphoma </w:t>
            </w:r>
            <w:r>
              <w:rPr>
                <w:rFonts w:ascii="Arial" w:hAnsi="Arial" w:cs="Arial"/>
              </w:rPr>
              <w:t>(</w:t>
            </w:r>
            <w:proofErr w:type="spellStart"/>
            <w:r>
              <w:rPr>
                <w:rFonts w:ascii="Arial" w:hAnsi="Arial" w:cs="Arial"/>
              </w:rPr>
              <w:t>iNHL</w:t>
            </w:r>
            <w:proofErr w:type="spellEnd"/>
            <w:r>
              <w:rPr>
                <w:rFonts w:ascii="Arial" w:hAnsi="Arial" w:cs="Arial"/>
              </w:rPr>
              <w:t xml:space="preserve">) </w:t>
            </w:r>
            <w:r w:rsidRPr="00BD0CE3">
              <w:rPr>
                <w:rFonts w:ascii="Arial" w:hAnsi="Arial" w:cs="Arial"/>
              </w:rPr>
              <w:t>and mantle cell lymphoma</w:t>
            </w:r>
            <w:r>
              <w:rPr>
                <w:rFonts w:ascii="Arial" w:hAnsi="Arial" w:cs="Arial"/>
              </w:rPr>
              <w:t xml:space="preserve"> (MCL)</w:t>
            </w:r>
            <w:r w:rsidRPr="00BD0CE3">
              <w:rPr>
                <w:rFonts w:ascii="Arial" w:hAnsi="Arial" w:cs="Arial"/>
              </w:rPr>
              <w:t>.</w:t>
            </w:r>
          </w:p>
          <w:p w:rsidR="00FF4728" w:rsidRPr="00BD0CE3" w:rsidRDefault="00FF4728" w:rsidP="00BD0CE3">
            <w:pPr>
              <w:ind w:firstLine="567"/>
              <w:rPr>
                <w:rFonts w:ascii="Arial" w:hAnsi="Arial" w:cs="Arial"/>
              </w:rPr>
            </w:pPr>
          </w:p>
        </w:tc>
        <w:tc>
          <w:tcPr>
            <w:tcW w:w="7192" w:type="dxa"/>
            <w:tcBorders>
              <w:top w:val="single" w:sz="4" w:space="0" w:color="auto"/>
              <w:left w:val="single" w:sz="4" w:space="0" w:color="auto"/>
              <w:bottom w:val="single" w:sz="4" w:space="0" w:color="auto"/>
              <w:right w:val="single" w:sz="4" w:space="0" w:color="auto"/>
            </w:tcBorders>
          </w:tcPr>
          <w:p w:rsidR="00FF4728" w:rsidRPr="00925FB4" w:rsidRDefault="00FF4728" w:rsidP="007355AF">
            <w:pPr>
              <w:keepNext/>
              <w:rPr>
                <w:rFonts w:ascii="Arial" w:hAnsi="Arial" w:cs="Arial"/>
                <w:bCs/>
              </w:rPr>
            </w:pPr>
            <w:r w:rsidRPr="00925FB4">
              <w:rPr>
                <w:rFonts w:ascii="Arial" w:hAnsi="Arial" w:cs="Arial"/>
              </w:rPr>
              <w:t xml:space="preserve">The PBAC recommended the listing of bendamustine for the treatment of </w:t>
            </w:r>
            <w:proofErr w:type="spellStart"/>
            <w:r>
              <w:rPr>
                <w:rFonts w:ascii="Arial" w:hAnsi="Arial" w:cs="Arial"/>
              </w:rPr>
              <w:t>iNHL</w:t>
            </w:r>
            <w:proofErr w:type="spellEnd"/>
            <w:r>
              <w:rPr>
                <w:rFonts w:ascii="Arial" w:hAnsi="Arial" w:cs="Arial"/>
              </w:rPr>
              <w:t xml:space="preserve"> </w:t>
            </w:r>
            <w:r w:rsidRPr="00925FB4">
              <w:rPr>
                <w:rFonts w:ascii="Arial" w:hAnsi="Arial" w:cs="Arial"/>
              </w:rPr>
              <w:t xml:space="preserve">and </w:t>
            </w:r>
            <w:r>
              <w:rPr>
                <w:rFonts w:ascii="Arial" w:hAnsi="Arial" w:cs="Arial"/>
              </w:rPr>
              <w:t>MCL</w:t>
            </w:r>
            <w:r w:rsidRPr="00925FB4">
              <w:rPr>
                <w:rFonts w:ascii="Arial" w:hAnsi="Arial" w:cs="Arial"/>
              </w:rPr>
              <w:t xml:space="preserve">. The PBAC considered that bendamustine presented a less toxic alternative to existing treatments for some patients with </w:t>
            </w:r>
            <w:proofErr w:type="spellStart"/>
            <w:r>
              <w:rPr>
                <w:rFonts w:ascii="Arial" w:hAnsi="Arial" w:cs="Arial"/>
              </w:rPr>
              <w:t>i</w:t>
            </w:r>
            <w:r w:rsidRPr="00925FB4">
              <w:rPr>
                <w:rFonts w:ascii="Arial" w:hAnsi="Arial" w:cs="Arial"/>
              </w:rPr>
              <w:t>NHL</w:t>
            </w:r>
            <w:proofErr w:type="spellEnd"/>
            <w:r w:rsidRPr="00925FB4">
              <w:rPr>
                <w:rFonts w:ascii="Arial" w:hAnsi="Arial" w:cs="Arial"/>
              </w:rPr>
              <w:t xml:space="preserve"> and MCL and accepted that it improved progression free survival. The PBAC also considered that listing of bendamustine on the PBS may potentially result in cost savings to the Commonwealth.</w:t>
            </w:r>
          </w:p>
        </w:tc>
      </w:tr>
      <w:tr w:rsidR="00FF4728"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F4728" w:rsidRDefault="00FF4728" w:rsidP="00A21351">
            <w:pPr>
              <w:rPr>
                <w:rFonts w:ascii="Arial" w:hAnsi="Arial" w:cs="Arial"/>
                <w:b/>
              </w:rPr>
            </w:pPr>
            <w:r w:rsidRPr="00C930D8">
              <w:rPr>
                <w:rFonts w:ascii="Arial" w:hAnsi="Arial" w:cs="Arial"/>
                <w:b/>
              </w:rPr>
              <w:lastRenderedPageBreak/>
              <w:t xml:space="preserve">BOSENTAN; EPOPROSTENOL; MACITENTAN </w:t>
            </w:r>
          </w:p>
          <w:p w:rsidR="00FF4728" w:rsidRPr="00C930D8" w:rsidRDefault="00FF4728" w:rsidP="00A21351">
            <w:pPr>
              <w:rPr>
                <w:rFonts w:ascii="Arial" w:hAnsi="Arial" w:cs="Arial"/>
              </w:rPr>
            </w:pPr>
            <w:proofErr w:type="spellStart"/>
            <w:r w:rsidRPr="00C930D8">
              <w:rPr>
                <w:rFonts w:ascii="Arial" w:hAnsi="Arial" w:cs="Arial"/>
              </w:rPr>
              <w:t>bosentan</w:t>
            </w:r>
            <w:proofErr w:type="spellEnd"/>
            <w:r w:rsidRPr="00C930D8">
              <w:rPr>
                <w:rFonts w:ascii="Arial" w:hAnsi="Arial" w:cs="Arial"/>
              </w:rPr>
              <w:t xml:space="preserve"> 62.5 mg tablet, 60; </w:t>
            </w:r>
            <w:proofErr w:type="spellStart"/>
            <w:r w:rsidRPr="00C930D8">
              <w:rPr>
                <w:rFonts w:ascii="Arial" w:hAnsi="Arial" w:cs="Arial"/>
              </w:rPr>
              <w:t>bosentan</w:t>
            </w:r>
            <w:proofErr w:type="spellEnd"/>
            <w:r w:rsidRPr="00C930D8">
              <w:rPr>
                <w:rFonts w:ascii="Arial" w:hAnsi="Arial" w:cs="Arial"/>
              </w:rPr>
              <w:t xml:space="preserve"> 125 mg tablet, 60; </w:t>
            </w:r>
            <w:proofErr w:type="spellStart"/>
            <w:r w:rsidRPr="00C930D8">
              <w:rPr>
                <w:rFonts w:ascii="Arial" w:hAnsi="Arial" w:cs="Arial"/>
              </w:rPr>
              <w:t>epoprostenol</w:t>
            </w:r>
            <w:proofErr w:type="spellEnd"/>
            <w:r w:rsidRPr="00C930D8">
              <w:rPr>
                <w:rFonts w:ascii="Arial" w:hAnsi="Arial" w:cs="Arial"/>
              </w:rPr>
              <w:t xml:space="preserve"> 500 microgram injection vial, 1; </w:t>
            </w:r>
          </w:p>
          <w:p w:rsidR="00FF4728" w:rsidRPr="00C930D8" w:rsidRDefault="00FF4728" w:rsidP="00A21351">
            <w:pPr>
              <w:rPr>
                <w:rFonts w:ascii="Arial" w:hAnsi="Arial" w:cs="Arial"/>
              </w:rPr>
            </w:pPr>
            <w:proofErr w:type="spellStart"/>
            <w:r w:rsidRPr="00C930D8">
              <w:rPr>
                <w:rFonts w:ascii="Arial" w:hAnsi="Arial" w:cs="Arial"/>
              </w:rPr>
              <w:t>epoprostenol</w:t>
            </w:r>
            <w:proofErr w:type="spellEnd"/>
            <w:r w:rsidRPr="00C930D8">
              <w:rPr>
                <w:rFonts w:ascii="Arial" w:hAnsi="Arial" w:cs="Arial"/>
              </w:rPr>
              <w:t xml:space="preserve"> 1.5 mg injection vial, 1; </w:t>
            </w:r>
          </w:p>
          <w:p w:rsidR="00FF4728" w:rsidRPr="00C930D8" w:rsidRDefault="00FF4728" w:rsidP="00A21351">
            <w:pPr>
              <w:rPr>
                <w:rFonts w:ascii="Arial" w:hAnsi="Arial" w:cs="Arial"/>
              </w:rPr>
            </w:pPr>
            <w:proofErr w:type="spellStart"/>
            <w:r w:rsidRPr="00C930D8">
              <w:rPr>
                <w:rFonts w:ascii="Arial" w:hAnsi="Arial" w:cs="Arial"/>
              </w:rPr>
              <w:t>macitentan</w:t>
            </w:r>
            <w:proofErr w:type="spellEnd"/>
            <w:r w:rsidRPr="00C930D8">
              <w:rPr>
                <w:rFonts w:ascii="Arial" w:hAnsi="Arial" w:cs="Arial"/>
              </w:rPr>
              <w:t xml:space="preserve"> 10 mg tablet, 30 </w:t>
            </w:r>
          </w:p>
          <w:p w:rsidR="00FF4728" w:rsidRPr="00C930D8" w:rsidRDefault="00FF4728" w:rsidP="00A21351">
            <w:pPr>
              <w:rPr>
                <w:rFonts w:ascii="Arial" w:hAnsi="Arial" w:cs="Arial"/>
              </w:rPr>
            </w:pPr>
          </w:p>
          <w:p w:rsidR="00FF4728" w:rsidRPr="00C930D8" w:rsidRDefault="00FF4728" w:rsidP="00A21351">
            <w:pPr>
              <w:rPr>
                <w:rFonts w:ascii="Arial" w:hAnsi="Arial" w:cs="Arial"/>
              </w:rPr>
            </w:pPr>
            <w:r w:rsidRPr="00C930D8">
              <w:rPr>
                <w:rFonts w:ascii="Arial" w:hAnsi="Arial" w:cs="Arial"/>
              </w:rPr>
              <w:t xml:space="preserve">TRACLEER®; VELETR®; OPSUMIT® </w:t>
            </w:r>
          </w:p>
          <w:p w:rsidR="00FF4728" w:rsidRPr="00C930D8" w:rsidRDefault="00FF4728" w:rsidP="00A21351">
            <w:pPr>
              <w:rPr>
                <w:rFonts w:ascii="Arial" w:hAnsi="Arial" w:cs="Arial"/>
              </w:rPr>
            </w:pPr>
          </w:p>
          <w:p w:rsidR="00FF4728" w:rsidRPr="00C930D8" w:rsidRDefault="00FF4728" w:rsidP="00A21351">
            <w:pPr>
              <w:rPr>
                <w:rFonts w:ascii="Arial" w:hAnsi="Arial" w:cs="Arial"/>
              </w:rPr>
            </w:pPr>
            <w:proofErr w:type="spellStart"/>
            <w:r w:rsidRPr="00C930D8">
              <w:rPr>
                <w:rFonts w:ascii="Arial" w:hAnsi="Arial" w:cs="Arial"/>
              </w:rPr>
              <w:t>Actelion</w:t>
            </w:r>
            <w:proofErr w:type="spellEnd"/>
            <w:r w:rsidRPr="00C930D8">
              <w:rPr>
                <w:rFonts w:ascii="Arial" w:hAnsi="Arial" w:cs="Arial"/>
              </w:rPr>
              <w:t xml:space="preserve"> Pharmaceuticals Australia Pty Ltd</w:t>
            </w:r>
          </w:p>
          <w:p w:rsidR="00FF4728" w:rsidRPr="00C930D8" w:rsidRDefault="00FF4728" w:rsidP="00A21351">
            <w:pPr>
              <w:rPr>
                <w:rFonts w:ascii="Arial" w:hAnsi="Arial" w:cs="Arial"/>
              </w:rPr>
            </w:pPr>
          </w:p>
          <w:p w:rsidR="00FF4728" w:rsidRPr="00C930D8" w:rsidRDefault="00FF4728" w:rsidP="00A21351">
            <w:pPr>
              <w:rPr>
                <w:rFonts w:ascii="Arial" w:hAnsi="Arial" w:cs="Arial"/>
              </w:rPr>
            </w:pPr>
            <w:r w:rsidRPr="00C930D8">
              <w:rPr>
                <w:rFonts w:ascii="Arial" w:hAnsi="Arial" w:cs="Arial"/>
              </w:rPr>
              <w:t xml:space="preserve">Change to listing </w:t>
            </w:r>
          </w:p>
          <w:p w:rsidR="00FF4728" w:rsidRPr="00C930D8" w:rsidRDefault="00FF4728" w:rsidP="00A21351">
            <w:pPr>
              <w:rPr>
                <w:rFonts w:ascii="Arial" w:hAnsi="Arial" w:cs="Arial"/>
              </w:rPr>
            </w:pPr>
          </w:p>
          <w:p w:rsidR="00FF4728" w:rsidRPr="00925FB4" w:rsidRDefault="00FF4728" w:rsidP="00A21351">
            <w:pPr>
              <w:rPr>
                <w:rFonts w:ascii="Arial" w:hAnsi="Arial" w:cs="Arial"/>
                <w:b/>
              </w:rPr>
            </w:pPr>
            <w:r w:rsidRPr="00C930D8">
              <w:rPr>
                <w:rFonts w:ascii="Arial" w:hAnsi="Arial" w:cs="Arial"/>
              </w:rPr>
              <w:t>(Minor Submission)</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F4728" w:rsidRPr="00925FB4" w:rsidRDefault="00FF4728" w:rsidP="00263F7F">
            <w:pPr>
              <w:rPr>
                <w:rFonts w:ascii="Arial" w:hAnsi="Arial" w:cs="Arial"/>
              </w:rPr>
            </w:pPr>
            <w:r w:rsidRPr="00C930D8">
              <w:rPr>
                <w:rFonts w:ascii="Arial" w:hAnsi="Arial" w:cs="Arial"/>
              </w:rPr>
              <w:t>Pulmonary Arterial Hypertension</w:t>
            </w:r>
            <w:r>
              <w:rPr>
                <w:rFonts w:ascii="Arial" w:hAnsi="Arial" w:cs="Arial"/>
              </w:rPr>
              <w:t xml:space="preserve"> (PAH)</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F4728" w:rsidRDefault="00FF4728" w:rsidP="00263F7F">
            <w:pPr>
              <w:rPr>
                <w:rFonts w:ascii="Arial" w:hAnsi="Arial" w:cs="Arial"/>
              </w:rPr>
            </w:pPr>
            <w:r w:rsidRPr="00C930D8">
              <w:rPr>
                <w:rFonts w:ascii="Arial" w:hAnsi="Arial" w:cs="Arial"/>
              </w:rPr>
              <w:t xml:space="preserve">Removal of the following requirements from the 'Continuing treatment' restriction: </w:t>
            </w:r>
          </w:p>
          <w:p w:rsidR="00FF4728" w:rsidRDefault="00FF4728" w:rsidP="00C930D8">
            <w:pPr>
              <w:rPr>
                <w:rFonts w:ascii="Arial" w:hAnsi="Arial" w:cs="Arial"/>
              </w:rPr>
            </w:pPr>
            <w:r w:rsidRPr="00C930D8">
              <w:rPr>
                <w:rFonts w:ascii="Arial" w:hAnsi="Arial" w:cs="Arial"/>
              </w:rPr>
              <w:t>(</w:t>
            </w:r>
            <w:proofErr w:type="spellStart"/>
            <w:r w:rsidRPr="00C930D8">
              <w:rPr>
                <w:rFonts w:ascii="Arial" w:hAnsi="Arial" w:cs="Arial"/>
              </w:rPr>
              <w:t>i</w:t>
            </w:r>
            <w:proofErr w:type="spellEnd"/>
            <w:r>
              <w:rPr>
                <w:rFonts w:ascii="Arial" w:hAnsi="Arial" w:cs="Arial"/>
              </w:rPr>
              <w:t xml:space="preserve">) </w:t>
            </w:r>
            <w:r w:rsidRPr="00C930D8">
              <w:rPr>
                <w:rFonts w:ascii="Arial" w:hAnsi="Arial" w:cs="Arial"/>
              </w:rPr>
              <w:t>patient must have been assessed as having achieved a response to their most recent course of treatment; and</w:t>
            </w:r>
          </w:p>
          <w:p w:rsidR="00FF4728" w:rsidRPr="00925FB4" w:rsidRDefault="00FF4728" w:rsidP="00C930D8">
            <w:pPr>
              <w:rPr>
                <w:rFonts w:ascii="Arial" w:hAnsi="Arial" w:cs="Arial"/>
              </w:rPr>
            </w:pPr>
            <w:r w:rsidRPr="00C930D8">
              <w:rPr>
                <w:rFonts w:ascii="Arial" w:hAnsi="Arial" w:cs="Arial"/>
              </w:rPr>
              <w:t xml:space="preserve">(ii) </w:t>
            </w:r>
            <w:proofErr w:type="gramStart"/>
            <w:r w:rsidRPr="00C930D8">
              <w:rPr>
                <w:rFonts w:ascii="Arial" w:hAnsi="Arial" w:cs="Arial"/>
              </w:rPr>
              <w:t>clinicians</w:t>
            </w:r>
            <w:proofErr w:type="gramEnd"/>
            <w:r w:rsidRPr="00C930D8">
              <w:rPr>
                <w:rFonts w:ascii="Arial" w:hAnsi="Arial" w:cs="Arial"/>
              </w:rPr>
              <w:t xml:space="preserve"> must provide evidence that a patient has been assessed as having achieved response when wanting to prescribe continued treatment.</w:t>
            </w:r>
          </w:p>
        </w:tc>
        <w:tc>
          <w:tcPr>
            <w:tcW w:w="7192" w:type="dxa"/>
            <w:tcBorders>
              <w:top w:val="single" w:sz="4" w:space="0" w:color="auto"/>
              <w:left w:val="single" w:sz="4" w:space="0" w:color="auto"/>
              <w:bottom w:val="single" w:sz="4" w:space="0" w:color="auto"/>
              <w:right w:val="single" w:sz="4" w:space="0" w:color="auto"/>
            </w:tcBorders>
          </w:tcPr>
          <w:p w:rsidR="00FF4728" w:rsidRPr="00925FB4" w:rsidRDefault="00FF4728" w:rsidP="007355AF">
            <w:pPr>
              <w:rPr>
                <w:rFonts w:ascii="Arial" w:hAnsi="Arial" w:cs="Arial"/>
              </w:rPr>
            </w:pPr>
            <w:r w:rsidRPr="00925FB4">
              <w:rPr>
                <w:rFonts w:ascii="Arial" w:hAnsi="Arial" w:cs="Arial"/>
              </w:rPr>
              <w:t xml:space="preserve">The PBAC considered that progression of disease in patients on PAH </w:t>
            </w:r>
            <w:proofErr w:type="gramStart"/>
            <w:r w:rsidRPr="00925FB4">
              <w:rPr>
                <w:rFonts w:ascii="Arial" w:hAnsi="Arial" w:cs="Arial"/>
              </w:rPr>
              <w:t>agents does</w:t>
            </w:r>
            <w:proofErr w:type="gramEnd"/>
            <w:r w:rsidRPr="00925FB4">
              <w:rPr>
                <w:rFonts w:ascii="Arial" w:hAnsi="Arial" w:cs="Arial"/>
              </w:rPr>
              <w:t xml:space="preserve"> not necessarily indicate that the therapy is no longer effective and that the biggest response will most likely be achieved in response to the initial treatment. The PBAC therefore agreed that it would be reasonable to have a first continuing treatment restriction where evidence of a response to the PAH agent must be demonstrated; and then a subsequent continuing treatment restriction, which would not require further evidence of a response, i.e. removal of the requirement  for a patient to have been assessed as having achieved a response to their most recent course of treatment, and thereby, the removal of the requirement for clinicians to provide results from</w:t>
            </w:r>
            <w:r>
              <w:rPr>
                <w:rFonts w:ascii="Arial" w:hAnsi="Arial" w:cs="Arial"/>
              </w:rPr>
              <w:t xml:space="preserve"> </w:t>
            </w:r>
            <w:r w:rsidRPr="00925FB4">
              <w:rPr>
                <w:rFonts w:ascii="Arial" w:hAnsi="Arial" w:cs="Arial"/>
              </w:rPr>
              <w:t xml:space="preserve"> </w:t>
            </w:r>
            <w:r w:rsidRPr="007355AF">
              <w:rPr>
                <w:rFonts w:ascii="Arial" w:hAnsi="Arial" w:cs="Arial"/>
              </w:rPr>
              <w:t>right heart catheter</w:t>
            </w:r>
            <w:r>
              <w:rPr>
                <w:rFonts w:ascii="Arial" w:hAnsi="Arial" w:cs="Arial"/>
              </w:rPr>
              <w:t>isation</w:t>
            </w:r>
            <w:r w:rsidRPr="007355AF" w:rsidDel="007355AF">
              <w:rPr>
                <w:rFonts w:ascii="Arial" w:hAnsi="Arial" w:cs="Arial"/>
              </w:rPr>
              <w:t xml:space="preserve"> </w:t>
            </w:r>
            <w:proofErr w:type="spellStart"/>
            <w:r w:rsidRPr="00925FB4">
              <w:rPr>
                <w:rFonts w:ascii="Arial" w:hAnsi="Arial" w:cs="Arial"/>
              </w:rPr>
              <w:t>omposite</w:t>
            </w:r>
            <w:proofErr w:type="spellEnd"/>
            <w:r w:rsidRPr="00925FB4">
              <w:rPr>
                <w:rFonts w:ascii="Arial" w:hAnsi="Arial" w:cs="Arial"/>
              </w:rPr>
              <w:t xml:space="preserve"> assessment,</w:t>
            </w:r>
            <w:r>
              <w:rPr>
                <w:rFonts w:ascii="Arial" w:hAnsi="Arial" w:cs="Arial"/>
              </w:rPr>
              <w:t xml:space="preserve"> </w:t>
            </w:r>
            <w:r w:rsidRPr="007355AF">
              <w:rPr>
                <w:rFonts w:ascii="Arial" w:hAnsi="Arial" w:cs="Arial"/>
              </w:rPr>
              <w:t>echocardiograph</w:t>
            </w:r>
            <w:r>
              <w:rPr>
                <w:rFonts w:ascii="Arial" w:hAnsi="Arial" w:cs="Arial"/>
              </w:rPr>
              <w:t>y</w:t>
            </w:r>
            <w:r w:rsidRPr="00925FB4">
              <w:rPr>
                <w:rFonts w:ascii="Arial" w:hAnsi="Arial" w:cs="Arial"/>
              </w:rPr>
              <w:t xml:space="preserve"> composite assessment and </w:t>
            </w:r>
            <w:r>
              <w:rPr>
                <w:rFonts w:ascii="Arial" w:hAnsi="Arial" w:cs="Arial"/>
              </w:rPr>
              <w:t>6 minute walk test</w:t>
            </w:r>
            <w:r w:rsidRPr="00925FB4">
              <w:rPr>
                <w:rFonts w:ascii="Arial" w:hAnsi="Arial" w:cs="Arial"/>
              </w:rPr>
              <w:t>.</w:t>
            </w:r>
          </w:p>
        </w:tc>
      </w:tr>
      <w:tr w:rsidR="00FF4728"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F4728" w:rsidRDefault="00FF4728" w:rsidP="006101D8">
            <w:pPr>
              <w:rPr>
                <w:rFonts w:ascii="Arial" w:hAnsi="Arial" w:cs="Arial"/>
                <w:lang w:val="it-IT"/>
              </w:rPr>
            </w:pPr>
            <w:r w:rsidRPr="00925FB4">
              <w:rPr>
                <w:rFonts w:ascii="Arial" w:hAnsi="Arial" w:cs="Arial"/>
                <w:b/>
                <w:lang w:val="it-IT"/>
              </w:rPr>
              <w:t xml:space="preserve">BRINZOLOMIDE / BRIMONIDINE TARTRATE </w:t>
            </w:r>
            <w:r w:rsidRPr="006C4F21">
              <w:rPr>
                <w:rFonts w:ascii="Arial" w:hAnsi="Arial" w:cs="Arial"/>
                <w:lang w:val="it-IT"/>
              </w:rPr>
              <w:t>suspension containing brinzolamide 10 mg/mL + brimonidine 2 mg/mL, 5 mL</w:t>
            </w:r>
          </w:p>
          <w:p w:rsidR="00FF4728" w:rsidRDefault="00FF4728" w:rsidP="006101D8">
            <w:pPr>
              <w:rPr>
                <w:rFonts w:ascii="Arial" w:hAnsi="Arial" w:cs="Arial"/>
                <w:lang w:val="it-IT"/>
              </w:rPr>
            </w:pPr>
          </w:p>
          <w:p w:rsidR="00FF4728" w:rsidRDefault="00FF4728" w:rsidP="006101D8">
            <w:pPr>
              <w:rPr>
                <w:rFonts w:ascii="Arial" w:hAnsi="Arial" w:cs="Arial"/>
                <w:lang w:val="it-IT"/>
              </w:rPr>
            </w:pPr>
            <w:r w:rsidRPr="002E5A8E">
              <w:rPr>
                <w:rFonts w:ascii="Arial" w:hAnsi="Arial" w:cs="Arial"/>
                <w:lang w:val="it-IT"/>
              </w:rPr>
              <w:t>Simbrinza</w:t>
            </w:r>
            <w:r w:rsidRPr="006E5101">
              <w:rPr>
                <w:rFonts w:ascii="Arial" w:hAnsi="Arial" w:cs="Arial"/>
                <w:lang w:val="it-IT"/>
              </w:rPr>
              <w:t>®</w:t>
            </w:r>
          </w:p>
          <w:p w:rsidR="00FF4728" w:rsidRDefault="00FF4728" w:rsidP="006101D8">
            <w:pPr>
              <w:rPr>
                <w:rFonts w:ascii="Arial" w:hAnsi="Arial" w:cs="Arial"/>
                <w:lang w:val="it-IT"/>
              </w:rPr>
            </w:pPr>
          </w:p>
          <w:p w:rsidR="00FF4728" w:rsidRDefault="00FF4728" w:rsidP="006101D8">
            <w:pPr>
              <w:rPr>
                <w:rFonts w:ascii="Arial" w:hAnsi="Arial" w:cs="Arial"/>
                <w:lang w:val="it-IT"/>
              </w:rPr>
            </w:pPr>
            <w:r>
              <w:rPr>
                <w:rFonts w:ascii="Arial" w:hAnsi="Arial" w:cs="Arial"/>
                <w:lang w:val="it-IT"/>
              </w:rPr>
              <w:t>Alcon Laboratories Australia</w:t>
            </w:r>
            <w:r w:rsidRPr="002E5A8E">
              <w:rPr>
                <w:rFonts w:ascii="Arial" w:hAnsi="Arial" w:cs="Arial"/>
                <w:lang w:val="it-IT"/>
              </w:rPr>
              <w:t xml:space="preserve"> Pty Ltd</w:t>
            </w:r>
          </w:p>
          <w:p w:rsidR="00FF4728" w:rsidRDefault="00FF4728" w:rsidP="006101D8">
            <w:pPr>
              <w:rPr>
                <w:rFonts w:ascii="Arial" w:hAnsi="Arial" w:cs="Arial"/>
                <w:lang w:val="it-IT"/>
              </w:rPr>
            </w:pPr>
          </w:p>
          <w:p w:rsidR="00FF4728" w:rsidRDefault="00FF4728" w:rsidP="006101D8">
            <w:pPr>
              <w:rPr>
                <w:rFonts w:ascii="Arial" w:hAnsi="Arial" w:cs="Arial"/>
                <w:lang w:val="it-IT"/>
              </w:rPr>
            </w:pPr>
            <w:r>
              <w:rPr>
                <w:rFonts w:ascii="Arial" w:hAnsi="Arial" w:cs="Arial"/>
                <w:lang w:val="it-IT"/>
              </w:rPr>
              <w:t xml:space="preserve">New listing </w:t>
            </w:r>
          </w:p>
          <w:p w:rsidR="00FF4728" w:rsidRDefault="00FF4728" w:rsidP="006101D8">
            <w:pPr>
              <w:rPr>
                <w:rFonts w:ascii="Arial" w:hAnsi="Arial" w:cs="Arial"/>
                <w:lang w:val="it-IT"/>
              </w:rPr>
            </w:pPr>
          </w:p>
          <w:p w:rsidR="00FF4728" w:rsidRPr="00925FB4" w:rsidRDefault="00FF4728" w:rsidP="006101D8">
            <w:pPr>
              <w:rPr>
                <w:rFonts w:ascii="Arial" w:hAnsi="Arial" w:cs="Arial"/>
                <w:b/>
              </w:rPr>
            </w:pPr>
            <w:r>
              <w:rPr>
                <w:rFonts w:ascii="Arial" w:hAnsi="Arial" w:cs="Arial"/>
                <w:lang w:val="it-IT"/>
              </w:rPr>
              <w:t>(Major Submission)</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F4728" w:rsidRPr="00925FB4" w:rsidRDefault="00FF4728" w:rsidP="00263F7F">
            <w:pPr>
              <w:rPr>
                <w:rFonts w:ascii="Arial" w:hAnsi="Arial" w:cs="Arial"/>
              </w:rPr>
            </w:pPr>
            <w:r w:rsidRPr="006E5101">
              <w:rPr>
                <w:rFonts w:ascii="Arial" w:hAnsi="Arial" w:cs="Arial"/>
              </w:rPr>
              <w:t>Elevated intra</w:t>
            </w:r>
            <w:r>
              <w:rPr>
                <w:rFonts w:ascii="Arial" w:hAnsi="Arial" w:cs="Arial"/>
              </w:rPr>
              <w:noBreakHyphen/>
            </w:r>
            <w:r w:rsidRPr="006E5101">
              <w:rPr>
                <w:rFonts w:ascii="Arial" w:hAnsi="Arial" w:cs="Arial"/>
              </w:rPr>
              <w:t>ocular pressure</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F4728" w:rsidRPr="00925FB4" w:rsidRDefault="00FF4728" w:rsidP="00263F7F">
            <w:pPr>
              <w:rPr>
                <w:rFonts w:ascii="Arial" w:hAnsi="Arial" w:cs="Arial"/>
              </w:rPr>
            </w:pPr>
            <w:r w:rsidRPr="006E5101">
              <w:rPr>
                <w:rFonts w:ascii="Arial" w:hAnsi="Arial" w:cs="Arial"/>
              </w:rPr>
              <w:t>Restricted Benefit listing for the treatment of elevated ocular pressure in adult patients with open-angle glaucoma or ocular hypertension.</w:t>
            </w:r>
          </w:p>
        </w:tc>
        <w:tc>
          <w:tcPr>
            <w:tcW w:w="7192" w:type="dxa"/>
            <w:tcBorders>
              <w:top w:val="single" w:sz="4" w:space="0" w:color="auto"/>
              <w:left w:val="single" w:sz="4" w:space="0" w:color="auto"/>
              <w:bottom w:val="single" w:sz="4" w:space="0" w:color="auto"/>
              <w:right w:val="single" w:sz="4" w:space="0" w:color="auto"/>
            </w:tcBorders>
          </w:tcPr>
          <w:p w:rsidR="00FF4728" w:rsidRPr="00925FB4" w:rsidRDefault="00FF4728" w:rsidP="002B7ECB">
            <w:pPr>
              <w:rPr>
                <w:rFonts w:ascii="Arial" w:hAnsi="Arial" w:cs="Arial"/>
                <w:b/>
                <w:bCs/>
              </w:rPr>
            </w:pPr>
            <w:r w:rsidRPr="00925FB4">
              <w:rPr>
                <w:rFonts w:ascii="Arial" w:hAnsi="Arial" w:cs="Arial"/>
                <w:bCs/>
                <w:snapToGrid w:val="0"/>
                <w:lang w:val="en-GB"/>
              </w:rPr>
              <w:t>The PBAC recommended the Restricted Benefit listing of brinzolamide + brimonidine FDC for the treatment of elevated intra-ocular pressure on a cost</w:t>
            </w:r>
            <w:r>
              <w:rPr>
                <w:rFonts w:ascii="Arial" w:hAnsi="Arial" w:cs="Arial"/>
                <w:bCs/>
                <w:snapToGrid w:val="0"/>
                <w:lang w:val="en-GB"/>
              </w:rPr>
              <w:noBreakHyphen/>
            </w:r>
            <w:r w:rsidRPr="00925FB4">
              <w:rPr>
                <w:rFonts w:ascii="Arial" w:hAnsi="Arial" w:cs="Arial"/>
                <w:bCs/>
                <w:snapToGrid w:val="0"/>
                <w:lang w:val="en-GB"/>
              </w:rPr>
              <w:t xml:space="preserve">minimisation basis against </w:t>
            </w:r>
            <w:r w:rsidR="0034440A">
              <w:rPr>
                <w:rFonts w:ascii="Arial" w:hAnsi="Arial" w:cs="Arial"/>
                <w:bCs/>
                <w:snapToGrid w:val="0"/>
                <w:lang w:val="en-GB"/>
              </w:rPr>
              <w:t xml:space="preserve">a </w:t>
            </w:r>
            <w:r w:rsidRPr="00925FB4">
              <w:rPr>
                <w:rFonts w:ascii="Arial" w:hAnsi="Arial" w:cs="Arial"/>
                <w:bCs/>
                <w:snapToGrid w:val="0"/>
                <w:lang w:val="en-GB"/>
              </w:rPr>
              <w:t xml:space="preserve">mixed comparator of </w:t>
            </w:r>
            <w:proofErr w:type="spellStart"/>
            <w:r w:rsidRPr="00925FB4">
              <w:rPr>
                <w:rFonts w:ascii="Arial" w:hAnsi="Arial" w:cs="Arial"/>
                <w:bCs/>
                <w:snapToGrid w:val="0"/>
                <w:lang w:val="en-GB"/>
              </w:rPr>
              <w:t>dorzolamide</w:t>
            </w:r>
            <w:proofErr w:type="spellEnd"/>
            <w:r w:rsidRPr="00925FB4">
              <w:rPr>
                <w:rFonts w:ascii="Arial" w:hAnsi="Arial" w:cs="Arial"/>
                <w:bCs/>
                <w:snapToGrid w:val="0"/>
                <w:lang w:val="en-GB"/>
              </w:rPr>
              <w:t xml:space="preserve"> + </w:t>
            </w:r>
            <w:proofErr w:type="spellStart"/>
            <w:r w:rsidRPr="00925FB4">
              <w:rPr>
                <w:rFonts w:ascii="Arial" w:hAnsi="Arial" w:cs="Arial"/>
                <w:bCs/>
                <w:snapToGrid w:val="0"/>
                <w:lang w:val="en-GB"/>
              </w:rPr>
              <w:t>timolol</w:t>
            </w:r>
            <w:proofErr w:type="spellEnd"/>
            <w:r w:rsidRPr="00925FB4">
              <w:rPr>
                <w:rFonts w:ascii="Arial" w:hAnsi="Arial" w:cs="Arial"/>
                <w:bCs/>
                <w:snapToGrid w:val="0"/>
                <w:lang w:val="en-GB"/>
              </w:rPr>
              <w:t xml:space="preserve"> FDC and the individual components of brinzolamide and brimonidine.</w:t>
            </w:r>
          </w:p>
        </w:tc>
      </w:tr>
      <w:tr w:rsidR="00FF4728"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F4728" w:rsidRDefault="00FF4728" w:rsidP="00A21351">
            <w:pPr>
              <w:rPr>
                <w:rFonts w:ascii="Arial" w:hAnsi="Arial" w:cs="Arial"/>
                <w:b/>
              </w:rPr>
            </w:pPr>
            <w:r w:rsidRPr="00C930D8">
              <w:rPr>
                <w:rFonts w:ascii="Arial" w:hAnsi="Arial" w:cs="Arial"/>
                <w:b/>
              </w:rPr>
              <w:lastRenderedPageBreak/>
              <w:t xml:space="preserve">DAPAGLIFLOZIN and METFORMIN XR </w:t>
            </w:r>
          </w:p>
          <w:p w:rsidR="00FF4728" w:rsidRPr="00C930D8" w:rsidRDefault="00FF4728" w:rsidP="00A21351">
            <w:pPr>
              <w:rPr>
                <w:rFonts w:ascii="Arial" w:hAnsi="Arial" w:cs="Arial"/>
              </w:rPr>
            </w:pPr>
            <w:r w:rsidRPr="00C930D8">
              <w:rPr>
                <w:rFonts w:ascii="Arial" w:hAnsi="Arial" w:cs="Arial"/>
              </w:rPr>
              <w:t xml:space="preserve">dapagliflozin 10 mg + metformin hydrochloride 500 mg tablet: modified release, 28 </w:t>
            </w:r>
          </w:p>
          <w:p w:rsidR="00FF4728" w:rsidRPr="00C930D8" w:rsidRDefault="00FF4728" w:rsidP="00A21351">
            <w:pPr>
              <w:rPr>
                <w:rFonts w:ascii="Arial" w:hAnsi="Arial" w:cs="Arial"/>
              </w:rPr>
            </w:pPr>
            <w:r w:rsidRPr="00C930D8">
              <w:rPr>
                <w:rFonts w:ascii="Arial" w:hAnsi="Arial" w:cs="Arial"/>
              </w:rPr>
              <w:t xml:space="preserve">dapagliflozin 10 mg + metformin hydrochloride 1000 mg tablet: modified release, 28 </w:t>
            </w:r>
          </w:p>
          <w:p w:rsidR="00FF4728" w:rsidRPr="00C930D8" w:rsidRDefault="00FF4728" w:rsidP="00A21351">
            <w:pPr>
              <w:rPr>
                <w:rFonts w:ascii="Arial" w:hAnsi="Arial" w:cs="Arial"/>
              </w:rPr>
            </w:pPr>
            <w:r w:rsidRPr="00C930D8">
              <w:rPr>
                <w:rFonts w:ascii="Arial" w:hAnsi="Arial" w:cs="Arial"/>
              </w:rPr>
              <w:t xml:space="preserve">dapagliflozin 5 mg + metformin hydrochloride 1000 mg tablet: modified release, 56 </w:t>
            </w:r>
          </w:p>
          <w:p w:rsidR="00FF4728" w:rsidRPr="00C930D8" w:rsidRDefault="00FF4728" w:rsidP="00A21351">
            <w:pPr>
              <w:rPr>
                <w:rFonts w:ascii="Arial" w:hAnsi="Arial" w:cs="Arial"/>
              </w:rPr>
            </w:pPr>
          </w:p>
          <w:p w:rsidR="00FF4728" w:rsidRPr="00C930D8" w:rsidRDefault="00FF4728" w:rsidP="00A21351">
            <w:pPr>
              <w:rPr>
                <w:rFonts w:ascii="Arial" w:hAnsi="Arial" w:cs="Arial"/>
              </w:rPr>
            </w:pPr>
            <w:r w:rsidRPr="00C930D8">
              <w:rPr>
                <w:rFonts w:ascii="Arial" w:hAnsi="Arial" w:cs="Arial"/>
              </w:rPr>
              <w:t xml:space="preserve">XIGDUO® XR </w:t>
            </w:r>
          </w:p>
          <w:p w:rsidR="00FF4728" w:rsidRPr="00C930D8" w:rsidRDefault="00FF4728" w:rsidP="00A21351">
            <w:pPr>
              <w:rPr>
                <w:rFonts w:ascii="Arial" w:hAnsi="Arial" w:cs="Arial"/>
              </w:rPr>
            </w:pPr>
          </w:p>
          <w:p w:rsidR="00FF4728" w:rsidRPr="00C930D8" w:rsidRDefault="00FF4728" w:rsidP="00A21351">
            <w:pPr>
              <w:rPr>
                <w:rFonts w:ascii="Arial" w:hAnsi="Arial" w:cs="Arial"/>
              </w:rPr>
            </w:pPr>
            <w:r w:rsidRPr="00C930D8">
              <w:rPr>
                <w:rFonts w:ascii="Arial" w:hAnsi="Arial" w:cs="Arial"/>
              </w:rPr>
              <w:t>AstraZeneca Pty Ltd</w:t>
            </w:r>
          </w:p>
          <w:p w:rsidR="00FF4728" w:rsidRPr="00C930D8" w:rsidRDefault="00FF4728" w:rsidP="00A21351">
            <w:pPr>
              <w:rPr>
                <w:rFonts w:ascii="Arial" w:hAnsi="Arial" w:cs="Arial"/>
              </w:rPr>
            </w:pPr>
          </w:p>
          <w:p w:rsidR="00FF4728" w:rsidRPr="00C930D8" w:rsidRDefault="00FF4728" w:rsidP="00A21351">
            <w:pPr>
              <w:rPr>
                <w:rFonts w:ascii="Arial" w:hAnsi="Arial" w:cs="Arial"/>
              </w:rPr>
            </w:pPr>
            <w:r w:rsidRPr="00C930D8">
              <w:rPr>
                <w:rFonts w:ascii="Arial" w:hAnsi="Arial" w:cs="Arial"/>
              </w:rPr>
              <w:t xml:space="preserve">Change to </w:t>
            </w:r>
            <w:r>
              <w:rPr>
                <w:rFonts w:ascii="Arial" w:hAnsi="Arial" w:cs="Arial"/>
              </w:rPr>
              <w:t xml:space="preserve">recommended </w:t>
            </w:r>
            <w:r w:rsidRPr="00C930D8">
              <w:rPr>
                <w:rFonts w:ascii="Arial" w:hAnsi="Arial" w:cs="Arial"/>
              </w:rPr>
              <w:t xml:space="preserve">listing </w:t>
            </w:r>
          </w:p>
          <w:p w:rsidR="00FF4728" w:rsidRPr="00C930D8" w:rsidRDefault="00FF4728" w:rsidP="00A21351">
            <w:pPr>
              <w:rPr>
                <w:rFonts w:ascii="Arial" w:hAnsi="Arial" w:cs="Arial"/>
              </w:rPr>
            </w:pPr>
          </w:p>
          <w:p w:rsidR="00FF4728" w:rsidRPr="00925FB4" w:rsidRDefault="00FF4728" w:rsidP="00A21351">
            <w:pPr>
              <w:rPr>
                <w:rFonts w:ascii="Arial" w:hAnsi="Arial" w:cs="Arial"/>
                <w:b/>
              </w:rPr>
            </w:pPr>
            <w:r>
              <w:rPr>
                <w:rFonts w:ascii="Arial" w:hAnsi="Arial" w:cs="Arial"/>
              </w:rPr>
              <w:t>(Min</w:t>
            </w:r>
            <w:r w:rsidRPr="00C930D8">
              <w:rPr>
                <w:rFonts w:ascii="Arial" w:hAnsi="Arial" w:cs="Arial"/>
              </w:rPr>
              <w:t>or Submission)</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F4728" w:rsidRPr="00925FB4" w:rsidRDefault="00FF4728" w:rsidP="00263F7F">
            <w:pPr>
              <w:rPr>
                <w:rFonts w:ascii="Arial" w:hAnsi="Arial" w:cs="Arial"/>
              </w:rPr>
            </w:pPr>
            <w:r w:rsidRPr="00BD0CE3">
              <w:rPr>
                <w:rFonts w:ascii="Arial" w:hAnsi="Arial" w:cs="Arial"/>
              </w:rPr>
              <w:t>Type 2 diabetes mellitus</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F4728" w:rsidRDefault="00FF4728" w:rsidP="00263F7F">
            <w:pPr>
              <w:rPr>
                <w:rFonts w:ascii="Arial" w:hAnsi="Arial" w:cs="Arial"/>
              </w:rPr>
            </w:pPr>
            <w:r w:rsidRPr="00BD0CE3">
              <w:rPr>
                <w:rFonts w:ascii="Arial" w:hAnsi="Arial" w:cs="Arial"/>
              </w:rPr>
              <w:t xml:space="preserve">Authority Required (STREAMLINED) listing for </w:t>
            </w:r>
            <w:r>
              <w:rPr>
                <w:rFonts w:ascii="Arial" w:hAnsi="Arial" w:cs="Arial"/>
              </w:rPr>
              <w:t>the treatment of type 2 diabetes as:</w:t>
            </w:r>
          </w:p>
          <w:p w:rsidR="00FF4728" w:rsidRDefault="00FF4728" w:rsidP="00263F7F">
            <w:pPr>
              <w:rPr>
                <w:rFonts w:ascii="Arial" w:hAnsi="Arial" w:cs="Arial"/>
              </w:rPr>
            </w:pPr>
            <w:r>
              <w:rPr>
                <w:rFonts w:ascii="Arial" w:hAnsi="Arial" w:cs="Arial"/>
              </w:rPr>
              <w:t>1) T</w:t>
            </w:r>
            <w:r w:rsidRPr="00BD0CE3">
              <w:rPr>
                <w:rFonts w:ascii="Arial" w:hAnsi="Arial" w:cs="Arial"/>
              </w:rPr>
              <w:t>riple oral therapy</w:t>
            </w:r>
            <w:r>
              <w:rPr>
                <w:rFonts w:ascii="Arial" w:hAnsi="Arial" w:cs="Arial"/>
              </w:rPr>
              <w:t xml:space="preserve"> with metformin and a sulfonylurea;</w:t>
            </w:r>
            <w:r w:rsidRPr="00BD0CE3">
              <w:rPr>
                <w:rFonts w:ascii="Arial" w:hAnsi="Arial" w:cs="Arial"/>
              </w:rPr>
              <w:t xml:space="preserve"> and </w:t>
            </w:r>
          </w:p>
          <w:p w:rsidR="00FF4728" w:rsidRPr="00925FB4" w:rsidRDefault="00FF4728" w:rsidP="00D34E20">
            <w:pPr>
              <w:rPr>
                <w:rFonts w:ascii="Arial" w:hAnsi="Arial" w:cs="Arial"/>
              </w:rPr>
            </w:pPr>
            <w:r>
              <w:rPr>
                <w:rFonts w:ascii="Arial" w:hAnsi="Arial" w:cs="Arial"/>
              </w:rPr>
              <w:t>2) A</w:t>
            </w:r>
            <w:r w:rsidRPr="00BD0CE3">
              <w:rPr>
                <w:rFonts w:ascii="Arial" w:hAnsi="Arial" w:cs="Arial"/>
              </w:rPr>
              <w:t>dd-on to insulin therapy.</w:t>
            </w:r>
          </w:p>
        </w:tc>
        <w:tc>
          <w:tcPr>
            <w:tcW w:w="7192" w:type="dxa"/>
            <w:tcBorders>
              <w:top w:val="single" w:sz="4" w:space="0" w:color="auto"/>
              <w:left w:val="single" w:sz="4" w:space="0" w:color="auto"/>
              <w:bottom w:val="single" w:sz="4" w:space="0" w:color="auto"/>
              <w:right w:val="single" w:sz="4" w:space="0" w:color="auto"/>
            </w:tcBorders>
          </w:tcPr>
          <w:p w:rsidR="00FF4728" w:rsidRPr="00231592" w:rsidRDefault="00FF4728" w:rsidP="00D34E20">
            <w:r>
              <w:rPr>
                <w:rFonts w:ascii="Arial" w:hAnsi="Arial" w:cs="Arial"/>
                <w:snapToGrid w:val="0"/>
              </w:rPr>
              <w:t xml:space="preserve">The PBAC recommended that the recommended listing of </w:t>
            </w:r>
            <w:proofErr w:type="spellStart"/>
            <w:r>
              <w:rPr>
                <w:rFonts w:ascii="Arial" w:hAnsi="Arial" w:cs="Arial"/>
                <w:snapToGrid w:val="0"/>
              </w:rPr>
              <w:t>dapagliflozin+metformin</w:t>
            </w:r>
            <w:proofErr w:type="spellEnd"/>
            <w:r>
              <w:rPr>
                <w:rFonts w:ascii="Arial" w:hAnsi="Arial" w:cs="Arial"/>
                <w:snapToGrid w:val="0"/>
              </w:rPr>
              <w:t xml:space="preserve"> XR for the treatment of </w:t>
            </w:r>
            <w:r>
              <w:rPr>
                <w:rFonts w:ascii="Arial" w:hAnsi="Arial" w:cs="Arial"/>
                <w:color w:val="222222"/>
                <w:shd w:val="clear" w:color="auto" w:fill="FFFFFF"/>
              </w:rPr>
              <w:t>type 2 diabetes mellitus</w:t>
            </w:r>
            <w:r>
              <w:rPr>
                <w:rFonts w:ascii="Arial" w:hAnsi="Arial" w:cs="Arial"/>
                <w:snapToGrid w:val="0"/>
              </w:rPr>
              <w:t xml:space="preserve"> be extended to include use in the add on to insulin and triple oral therapy settings, consistent with the current listings for dapagliflozin.</w:t>
            </w: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207E1A">
            <w:pPr>
              <w:rPr>
                <w:rFonts w:ascii="Arial" w:hAnsi="Arial" w:cs="Arial"/>
                <w:color w:val="000000"/>
              </w:rPr>
            </w:pPr>
            <w:r w:rsidRPr="008430BE">
              <w:rPr>
                <w:rFonts w:ascii="Arial" w:hAnsi="Arial" w:cs="Arial"/>
                <w:b/>
                <w:color w:val="000000"/>
              </w:rPr>
              <w:lastRenderedPageBreak/>
              <w:t>DEFERASIROX</w:t>
            </w:r>
            <w:r w:rsidRPr="00720AA4">
              <w:rPr>
                <w:rFonts w:ascii="Arial" w:hAnsi="Arial" w:cs="Arial"/>
                <w:color w:val="000000"/>
              </w:rPr>
              <w:br/>
            </w:r>
            <w:r w:rsidRPr="00720AA4">
              <w:rPr>
                <w:rFonts w:ascii="Arial" w:hAnsi="Arial" w:cs="Arial"/>
                <w:color w:val="000000"/>
              </w:rPr>
              <w:br/>
              <w:t>125 mg dispersible tablet, 28</w:t>
            </w:r>
            <w:r w:rsidRPr="00720AA4">
              <w:rPr>
                <w:rFonts w:ascii="Arial" w:hAnsi="Arial" w:cs="Arial"/>
                <w:color w:val="000000"/>
              </w:rPr>
              <w:br/>
              <w:t>250 mg dispersible tablet, 28</w:t>
            </w:r>
            <w:r w:rsidRPr="00720AA4">
              <w:rPr>
                <w:rFonts w:ascii="Arial" w:hAnsi="Arial" w:cs="Arial"/>
                <w:color w:val="000000"/>
              </w:rPr>
              <w:br/>
              <w:t>500 mg dispersible tablet, 28</w:t>
            </w:r>
            <w:r w:rsidRPr="00720AA4">
              <w:rPr>
                <w:rFonts w:ascii="Arial" w:hAnsi="Arial" w:cs="Arial"/>
                <w:color w:val="000000"/>
              </w:rPr>
              <w:br/>
            </w:r>
            <w:r w:rsidRPr="00720AA4">
              <w:rPr>
                <w:rFonts w:ascii="Arial" w:hAnsi="Arial" w:cs="Arial"/>
                <w:color w:val="000000"/>
              </w:rPr>
              <w:br/>
              <w:t>EXJADE®</w:t>
            </w:r>
            <w:r w:rsidRPr="00720AA4">
              <w:rPr>
                <w:rFonts w:ascii="Arial" w:hAnsi="Arial" w:cs="Arial"/>
                <w:color w:val="000000"/>
              </w:rPr>
              <w:br/>
            </w:r>
            <w:r w:rsidRPr="00720AA4">
              <w:rPr>
                <w:rFonts w:ascii="Arial" w:hAnsi="Arial" w:cs="Arial"/>
                <w:color w:val="000000"/>
              </w:rPr>
              <w:br/>
              <w:t>Novartis Pharmaceuticals Australia Pty Limited</w:t>
            </w:r>
          </w:p>
          <w:p w:rsidR="00F37EB5" w:rsidRDefault="00F37EB5" w:rsidP="00207E1A">
            <w:pPr>
              <w:rPr>
                <w:rFonts w:ascii="Arial" w:hAnsi="Arial" w:cs="Arial"/>
                <w:color w:val="000000"/>
              </w:rPr>
            </w:pPr>
          </w:p>
          <w:p w:rsidR="00F37EB5" w:rsidRPr="00720AA4" w:rsidRDefault="00F37EB5" w:rsidP="00207E1A">
            <w:pPr>
              <w:rPr>
                <w:rFonts w:ascii="Arial" w:hAnsi="Arial" w:cs="Arial"/>
                <w:color w:val="000000"/>
              </w:rPr>
            </w:pPr>
            <w:r w:rsidRPr="00720AA4">
              <w:rPr>
                <w:rFonts w:ascii="Arial" w:hAnsi="Arial" w:cs="Arial"/>
                <w:color w:val="000000"/>
              </w:rPr>
              <w:t>Change to recommended listing</w:t>
            </w:r>
            <w:r w:rsidRPr="00720AA4">
              <w:rPr>
                <w:rFonts w:ascii="Arial" w:hAnsi="Arial" w:cs="Arial"/>
                <w:color w:val="000000"/>
              </w:rPr>
              <w:br/>
            </w:r>
            <w:r w:rsidRPr="00720AA4">
              <w:rPr>
                <w:rFonts w:ascii="Arial" w:hAnsi="Arial" w:cs="Arial"/>
                <w:color w:val="000000"/>
              </w:rPr>
              <w:br/>
              <w:t>(Major Submission)</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720AA4" w:rsidRDefault="00F37EB5" w:rsidP="00207E1A">
            <w:pPr>
              <w:widowControl w:val="0"/>
              <w:rPr>
                <w:rFonts w:ascii="Arial" w:hAnsi="Arial" w:cs="Arial"/>
                <w:color w:val="000000"/>
              </w:rPr>
            </w:pPr>
            <w:r w:rsidRPr="00720AA4">
              <w:rPr>
                <w:rFonts w:ascii="Arial" w:hAnsi="Arial" w:cs="Arial"/>
                <w:color w:val="000000"/>
              </w:rPr>
              <w:t>Chronic iron overload</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BE539D" w:rsidRDefault="00F37EB5" w:rsidP="00207E1A">
            <w:pPr>
              <w:widowControl w:val="0"/>
              <w:rPr>
                <w:rFonts w:ascii="Arial" w:hAnsi="Arial" w:cs="Arial"/>
                <w:b/>
                <w:color w:val="000000"/>
              </w:rPr>
            </w:pPr>
            <w:r w:rsidRPr="00720AA4">
              <w:rPr>
                <w:rFonts w:ascii="Arial" w:hAnsi="Arial" w:cs="Arial"/>
                <w:color w:val="000000"/>
              </w:rPr>
              <w:t>Section 100 (Highly Specialised Drugs Program) Authority Required listing for the treatment of chronic iron overload.</w:t>
            </w:r>
          </w:p>
        </w:tc>
        <w:tc>
          <w:tcPr>
            <w:tcW w:w="7192" w:type="dxa"/>
            <w:tcBorders>
              <w:top w:val="single" w:sz="4" w:space="0" w:color="auto"/>
              <w:left w:val="single" w:sz="4" w:space="0" w:color="auto"/>
              <w:bottom w:val="single" w:sz="4" w:space="0" w:color="auto"/>
              <w:right w:val="single" w:sz="4" w:space="0" w:color="auto"/>
            </w:tcBorders>
          </w:tcPr>
          <w:p w:rsidR="00DF4B5B" w:rsidRDefault="00F37EB5" w:rsidP="00207E1A">
            <w:pPr>
              <w:pStyle w:val="ListParagraph"/>
              <w:ind w:left="0"/>
              <w:jc w:val="both"/>
              <w:rPr>
                <w:rFonts w:ascii="Arial" w:hAnsi="Arial" w:cs="Arial"/>
                <w:iCs/>
                <w:sz w:val="20"/>
                <w:szCs w:val="20"/>
              </w:rPr>
            </w:pPr>
            <w:r>
              <w:rPr>
                <w:rFonts w:ascii="Arial" w:hAnsi="Arial" w:cs="Arial"/>
                <w:iCs/>
                <w:sz w:val="20"/>
                <w:szCs w:val="20"/>
              </w:rPr>
              <w:t xml:space="preserve">The PBAC recommended revising the PBS restriction for deferasirox to an Authority required Section 100 listing for </w:t>
            </w:r>
            <w:r w:rsidR="00DF4B5B">
              <w:rPr>
                <w:rFonts w:ascii="Arial" w:hAnsi="Arial" w:cs="Arial"/>
                <w:iCs/>
                <w:sz w:val="20"/>
                <w:szCs w:val="20"/>
              </w:rPr>
              <w:t xml:space="preserve"> patients with:</w:t>
            </w:r>
          </w:p>
          <w:p w:rsidR="00DF4B5B" w:rsidRDefault="00DF4B5B" w:rsidP="00207E1A">
            <w:pPr>
              <w:pStyle w:val="ListParagraph"/>
              <w:ind w:left="0"/>
              <w:jc w:val="both"/>
              <w:rPr>
                <w:rFonts w:ascii="Arial" w:hAnsi="Arial" w:cs="Arial"/>
                <w:iCs/>
                <w:sz w:val="20"/>
                <w:szCs w:val="20"/>
              </w:rPr>
            </w:pPr>
            <w:r>
              <w:rPr>
                <w:rFonts w:ascii="Arial" w:hAnsi="Arial" w:cs="Arial"/>
                <w:iCs/>
                <w:sz w:val="20"/>
                <w:szCs w:val="20"/>
              </w:rPr>
              <w:t xml:space="preserve">- </w:t>
            </w:r>
            <w:r w:rsidR="00F37EB5" w:rsidRPr="00D505EF">
              <w:rPr>
                <w:rFonts w:ascii="Arial" w:hAnsi="Arial" w:cs="Arial"/>
                <w:iCs/>
                <w:sz w:val="20"/>
                <w:szCs w:val="20"/>
              </w:rPr>
              <w:t>transfusion dependent non-malignant disorders of erythropoiesis</w:t>
            </w:r>
            <w:r>
              <w:rPr>
                <w:rFonts w:ascii="Arial" w:hAnsi="Arial" w:cs="Arial"/>
                <w:iCs/>
                <w:sz w:val="20"/>
                <w:szCs w:val="20"/>
              </w:rPr>
              <w:t>;</w:t>
            </w:r>
          </w:p>
          <w:p w:rsidR="00DF4B5B" w:rsidRDefault="00DF4B5B" w:rsidP="00207E1A">
            <w:pPr>
              <w:pStyle w:val="ListParagraph"/>
              <w:ind w:left="0"/>
              <w:jc w:val="both"/>
              <w:rPr>
                <w:rFonts w:ascii="Arial" w:hAnsi="Arial" w:cs="Arial"/>
                <w:iCs/>
                <w:sz w:val="20"/>
                <w:szCs w:val="20"/>
              </w:rPr>
            </w:pPr>
            <w:r>
              <w:rPr>
                <w:rFonts w:ascii="Arial" w:hAnsi="Arial" w:cs="Arial"/>
                <w:iCs/>
                <w:sz w:val="20"/>
                <w:szCs w:val="20"/>
              </w:rPr>
              <w:t xml:space="preserve">- </w:t>
            </w:r>
            <w:r w:rsidR="00F37EB5" w:rsidRPr="008340D1">
              <w:rPr>
                <w:rFonts w:ascii="Arial" w:hAnsi="Arial" w:cs="Arial"/>
                <w:iCs/>
                <w:sz w:val="20"/>
                <w:szCs w:val="20"/>
              </w:rPr>
              <w:t>non-transfusion dependent thalassemia</w:t>
            </w:r>
            <w:r w:rsidR="00F37EB5">
              <w:rPr>
                <w:rFonts w:ascii="Arial" w:hAnsi="Arial" w:cs="Arial"/>
                <w:iCs/>
                <w:sz w:val="20"/>
                <w:szCs w:val="20"/>
              </w:rPr>
              <w:t>s</w:t>
            </w:r>
            <w:r>
              <w:rPr>
                <w:rFonts w:ascii="Arial" w:hAnsi="Arial" w:cs="Arial"/>
                <w:iCs/>
                <w:sz w:val="20"/>
                <w:szCs w:val="20"/>
              </w:rPr>
              <w:t>;</w:t>
            </w:r>
            <w:r w:rsidR="00F37EB5" w:rsidRPr="008340D1">
              <w:rPr>
                <w:rFonts w:ascii="Arial" w:hAnsi="Arial" w:cs="Arial"/>
                <w:iCs/>
                <w:sz w:val="20"/>
                <w:szCs w:val="20"/>
              </w:rPr>
              <w:t xml:space="preserve"> and</w:t>
            </w:r>
            <w:r>
              <w:rPr>
                <w:rFonts w:ascii="Arial" w:hAnsi="Arial" w:cs="Arial"/>
                <w:iCs/>
                <w:sz w:val="20"/>
                <w:szCs w:val="20"/>
              </w:rPr>
              <w:t xml:space="preserve"> </w:t>
            </w:r>
          </w:p>
          <w:p w:rsidR="00DF4B5B" w:rsidRDefault="00DF4B5B" w:rsidP="00DF4B5B">
            <w:pPr>
              <w:pStyle w:val="ListParagraph"/>
              <w:ind w:left="138" w:hanging="138"/>
              <w:jc w:val="both"/>
              <w:rPr>
                <w:rFonts w:ascii="Arial" w:hAnsi="Arial" w:cs="Arial"/>
                <w:iCs/>
                <w:sz w:val="20"/>
                <w:szCs w:val="20"/>
              </w:rPr>
            </w:pPr>
            <w:r>
              <w:rPr>
                <w:rFonts w:ascii="Arial" w:hAnsi="Arial" w:cs="Arial"/>
                <w:iCs/>
                <w:sz w:val="20"/>
                <w:szCs w:val="20"/>
              </w:rPr>
              <w:t xml:space="preserve">- </w:t>
            </w:r>
            <w:proofErr w:type="gramStart"/>
            <w:r w:rsidR="00F37EB5" w:rsidRPr="008340D1">
              <w:rPr>
                <w:rFonts w:ascii="Arial" w:hAnsi="Arial" w:cs="Arial"/>
                <w:iCs/>
                <w:sz w:val="20"/>
                <w:szCs w:val="20"/>
              </w:rPr>
              <w:t>transfusion-dependen</w:t>
            </w:r>
            <w:r>
              <w:rPr>
                <w:rFonts w:ascii="Arial" w:hAnsi="Arial" w:cs="Arial"/>
                <w:iCs/>
                <w:sz w:val="20"/>
                <w:szCs w:val="20"/>
              </w:rPr>
              <w:t>t</w:t>
            </w:r>
            <w:proofErr w:type="gramEnd"/>
            <w:r>
              <w:rPr>
                <w:rFonts w:ascii="Arial" w:hAnsi="Arial" w:cs="Arial"/>
                <w:iCs/>
                <w:sz w:val="20"/>
                <w:szCs w:val="20"/>
              </w:rPr>
              <w:t xml:space="preserve"> </w:t>
            </w:r>
            <w:r w:rsidR="00CA0D9B" w:rsidRPr="00CA0D9B">
              <w:rPr>
                <w:rFonts w:ascii="Arial" w:hAnsi="Arial" w:cs="Arial"/>
                <w:sz w:val="20"/>
                <w:szCs w:val="20"/>
              </w:rPr>
              <w:t xml:space="preserve">malignant disorders with a median life expectancy </w:t>
            </w:r>
            <w:r>
              <w:rPr>
                <w:rFonts w:ascii="Arial" w:hAnsi="Arial" w:cs="Arial"/>
                <w:sz w:val="20"/>
                <w:szCs w:val="20"/>
              </w:rPr>
              <w:t xml:space="preserve">  </w:t>
            </w:r>
            <w:r w:rsidR="00CA0D9B" w:rsidRPr="00CA0D9B">
              <w:rPr>
                <w:rFonts w:ascii="Arial" w:hAnsi="Arial" w:cs="Arial"/>
                <w:sz w:val="20"/>
                <w:szCs w:val="20"/>
              </w:rPr>
              <w:t>greater than five years</w:t>
            </w:r>
            <w:r w:rsidR="00F37EB5" w:rsidRPr="00CA0D9B">
              <w:rPr>
                <w:rFonts w:ascii="Arial" w:hAnsi="Arial" w:cs="Arial"/>
                <w:iCs/>
                <w:sz w:val="20"/>
                <w:szCs w:val="20"/>
              </w:rPr>
              <w:t xml:space="preserve">. </w:t>
            </w:r>
          </w:p>
          <w:p w:rsidR="00DF4B5B" w:rsidRDefault="00DF4B5B" w:rsidP="00DF4B5B">
            <w:pPr>
              <w:pStyle w:val="ListParagraph"/>
              <w:ind w:left="138" w:hanging="138"/>
              <w:jc w:val="both"/>
              <w:rPr>
                <w:rFonts w:ascii="Arial" w:hAnsi="Arial" w:cs="Arial"/>
                <w:iCs/>
                <w:sz w:val="20"/>
                <w:szCs w:val="20"/>
              </w:rPr>
            </w:pPr>
          </w:p>
          <w:p w:rsidR="00C71744" w:rsidRDefault="00F37EB5" w:rsidP="00207E1A">
            <w:pPr>
              <w:pStyle w:val="ListParagraph"/>
              <w:ind w:left="0"/>
              <w:jc w:val="both"/>
              <w:rPr>
                <w:rFonts w:ascii="Arial" w:hAnsi="Arial" w:cs="Arial"/>
                <w:iCs/>
                <w:sz w:val="20"/>
                <w:szCs w:val="20"/>
              </w:rPr>
            </w:pPr>
            <w:r w:rsidRPr="00CA0D9B">
              <w:rPr>
                <w:rFonts w:ascii="Arial" w:hAnsi="Arial" w:cs="Arial"/>
                <w:iCs/>
                <w:sz w:val="20"/>
                <w:szCs w:val="20"/>
              </w:rPr>
              <w:t xml:space="preserve">The PBAC rejected the request to retain the current PBS restriction for deferasirox </w:t>
            </w:r>
            <w:r w:rsidRPr="008340D1">
              <w:rPr>
                <w:rFonts w:ascii="Arial" w:hAnsi="Arial" w:cs="Arial"/>
                <w:iCs/>
                <w:sz w:val="20"/>
                <w:szCs w:val="20"/>
              </w:rPr>
              <w:t>for patients with “chronic iron overload in patients with disorders of erythropoiesis” as this very broad restriction enabled major use outside populations where cost-effectiveness has been demonstrated, in particular myelodysplas</w:t>
            </w:r>
            <w:r>
              <w:rPr>
                <w:rFonts w:ascii="Arial" w:hAnsi="Arial" w:cs="Arial"/>
                <w:iCs/>
                <w:sz w:val="20"/>
                <w:szCs w:val="20"/>
              </w:rPr>
              <w:t>tic syndrome</w:t>
            </w:r>
            <w:r w:rsidRPr="008340D1">
              <w:rPr>
                <w:rFonts w:ascii="Arial" w:hAnsi="Arial" w:cs="Arial"/>
                <w:iCs/>
                <w:sz w:val="20"/>
                <w:szCs w:val="20"/>
              </w:rPr>
              <w:t xml:space="preserve">. The PBAC did not accept that a survival benefit due to deferasirox therapy had been proved in myelodysplastic syndrome or </w:t>
            </w:r>
            <w:r>
              <w:rPr>
                <w:rFonts w:ascii="Arial" w:hAnsi="Arial" w:cs="Arial"/>
                <w:iCs/>
                <w:sz w:val="20"/>
                <w:szCs w:val="20"/>
              </w:rPr>
              <w:t xml:space="preserve">other </w:t>
            </w:r>
            <w:r w:rsidRPr="008340D1">
              <w:rPr>
                <w:rFonts w:ascii="Arial" w:hAnsi="Arial" w:cs="Arial"/>
                <w:iCs/>
                <w:sz w:val="20"/>
                <w:szCs w:val="20"/>
              </w:rPr>
              <w:t xml:space="preserve">malignant disorders and therefore the cost-effectiveness of deferasirox in myelodysplastic syndrome generally was not adequately demonstrated. </w:t>
            </w:r>
          </w:p>
          <w:p w:rsidR="00C71744" w:rsidRDefault="00C71744" w:rsidP="00207E1A">
            <w:pPr>
              <w:pStyle w:val="ListParagraph"/>
              <w:ind w:left="0"/>
              <w:jc w:val="both"/>
              <w:rPr>
                <w:rFonts w:ascii="Arial" w:hAnsi="Arial" w:cs="Arial"/>
                <w:iCs/>
                <w:sz w:val="20"/>
                <w:szCs w:val="20"/>
              </w:rPr>
            </w:pPr>
          </w:p>
          <w:p w:rsidR="00F37EB5" w:rsidRPr="00395B97" w:rsidRDefault="00F37EB5" w:rsidP="002348AB">
            <w:pPr>
              <w:pStyle w:val="ListParagraph"/>
              <w:ind w:left="0"/>
              <w:jc w:val="both"/>
              <w:rPr>
                <w:rFonts w:ascii="Arial" w:hAnsi="Arial" w:cs="Arial"/>
                <w:iCs/>
                <w:sz w:val="20"/>
                <w:szCs w:val="20"/>
              </w:rPr>
            </w:pPr>
            <w:r w:rsidRPr="008340D1">
              <w:rPr>
                <w:rFonts w:ascii="Arial" w:hAnsi="Arial" w:cs="Arial"/>
                <w:iCs/>
                <w:sz w:val="20"/>
                <w:szCs w:val="20"/>
              </w:rPr>
              <w:t>However, the PBAC recognised that iron overload is a cause of major morbidity and mortality in patients with longer survival, such as those with non-transfusion dependent thalassemia</w:t>
            </w:r>
            <w:r w:rsidR="00DF4B5B">
              <w:rPr>
                <w:rFonts w:ascii="Arial" w:hAnsi="Arial" w:cs="Arial"/>
                <w:iCs/>
                <w:sz w:val="20"/>
                <w:szCs w:val="20"/>
              </w:rPr>
              <w:t xml:space="preserve">s, and </w:t>
            </w:r>
            <w:r w:rsidR="002348AB" w:rsidRPr="002348AB">
              <w:rPr>
                <w:rFonts w:ascii="Arial" w:hAnsi="Arial" w:cs="Arial"/>
                <w:iCs/>
                <w:sz w:val="20"/>
                <w:szCs w:val="20"/>
              </w:rPr>
              <w:t>transfusion-dependent malignant disorders with a median life expectancy greater than five years</w:t>
            </w:r>
            <w:r w:rsidRPr="008340D1">
              <w:rPr>
                <w:rFonts w:ascii="Arial" w:hAnsi="Arial" w:cs="Arial"/>
                <w:iCs/>
                <w:sz w:val="20"/>
                <w:szCs w:val="20"/>
              </w:rPr>
              <w:t>. Under the restriction recommended by PBAC in November 2014, these patients could be significantly disadvantaged. Thus, the PBAC considered</w:t>
            </w:r>
            <w:r>
              <w:rPr>
                <w:rFonts w:ascii="Arial" w:hAnsi="Arial" w:cs="Arial"/>
                <w:iCs/>
                <w:sz w:val="20"/>
                <w:szCs w:val="20"/>
              </w:rPr>
              <w:t xml:space="preserve">, </w:t>
            </w:r>
            <w:r w:rsidRPr="00F8680D">
              <w:rPr>
                <w:rFonts w:ascii="Arial" w:hAnsi="Arial" w:cs="Arial"/>
                <w:iCs/>
                <w:sz w:val="20"/>
                <w:szCs w:val="20"/>
              </w:rPr>
              <w:t>subject to price negotiation</w:t>
            </w:r>
            <w:r>
              <w:rPr>
                <w:rFonts w:ascii="Arial" w:hAnsi="Arial" w:cs="Arial"/>
                <w:iCs/>
                <w:sz w:val="20"/>
                <w:szCs w:val="20"/>
              </w:rPr>
              <w:t>,</w:t>
            </w:r>
            <w:r w:rsidRPr="008340D1">
              <w:rPr>
                <w:rFonts w:ascii="Arial" w:hAnsi="Arial" w:cs="Arial"/>
                <w:iCs/>
                <w:sz w:val="20"/>
                <w:szCs w:val="20"/>
              </w:rPr>
              <w:t xml:space="preserve"> a revision to the restriction would be acceptable to allow use in these patient groups, noting the uncertainty of cost-effectiveness even in these subgroups.</w:t>
            </w: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BD20DA">
            <w:pPr>
              <w:rPr>
                <w:rFonts w:ascii="Arial" w:hAnsi="Arial" w:cs="Arial"/>
                <w:b/>
              </w:rPr>
            </w:pPr>
            <w:r w:rsidRPr="00BD0CE3">
              <w:rPr>
                <w:rFonts w:ascii="Arial" w:hAnsi="Arial" w:cs="Arial"/>
                <w:b/>
              </w:rPr>
              <w:lastRenderedPageBreak/>
              <w:t xml:space="preserve">EXENATIDE </w:t>
            </w:r>
          </w:p>
          <w:p w:rsidR="00F37EB5" w:rsidRPr="00BD0CE3" w:rsidRDefault="00F37EB5" w:rsidP="00BD20DA">
            <w:pPr>
              <w:rPr>
                <w:rFonts w:ascii="Arial" w:hAnsi="Arial" w:cs="Arial"/>
              </w:rPr>
            </w:pPr>
            <w:r w:rsidRPr="00BD0CE3">
              <w:rPr>
                <w:rFonts w:ascii="Arial" w:hAnsi="Arial" w:cs="Arial"/>
              </w:rPr>
              <w:t xml:space="preserve">2 mg, powder for injection, vial </w:t>
            </w:r>
          </w:p>
          <w:p w:rsidR="00F37EB5" w:rsidRPr="00BD0CE3" w:rsidRDefault="00F37EB5" w:rsidP="00BD20DA">
            <w:pPr>
              <w:rPr>
                <w:rFonts w:ascii="Arial" w:hAnsi="Arial" w:cs="Arial"/>
              </w:rPr>
            </w:pPr>
          </w:p>
          <w:p w:rsidR="00F37EB5" w:rsidRPr="00BD0CE3" w:rsidRDefault="00F37EB5" w:rsidP="00BD20DA">
            <w:pPr>
              <w:rPr>
                <w:rFonts w:ascii="Arial" w:hAnsi="Arial" w:cs="Arial"/>
              </w:rPr>
            </w:pPr>
            <w:r w:rsidRPr="00BD0CE3">
              <w:rPr>
                <w:rFonts w:ascii="Arial" w:hAnsi="Arial" w:cs="Arial"/>
              </w:rPr>
              <w:t xml:space="preserve">BYDUREON® </w:t>
            </w:r>
          </w:p>
          <w:p w:rsidR="00F37EB5" w:rsidRPr="00BD0CE3" w:rsidRDefault="00F37EB5" w:rsidP="00BD20DA">
            <w:pPr>
              <w:rPr>
                <w:rFonts w:ascii="Arial" w:hAnsi="Arial" w:cs="Arial"/>
              </w:rPr>
            </w:pPr>
          </w:p>
          <w:p w:rsidR="00F37EB5" w:rsidRPr="00BD0CE3" w:rsidRDefault="00F37EB5" w:rsidP="00BD20DA">
            <w:pPr>
              <w:rPr>
                <w:rFonts w:ascii="Arial" w:hAnsi="Arial" w:cs="Arial"/>
              </w:rPr>
            </w:pPr>
            <w:r w:rsidRPr="00BD0CE3">
              <w:rPr>
                <w:rFonts w:ascii="Arial" w:hAnsi="Arial" w:cs="Arial"/>
              </w:rPr>
              <w:t>AstraZeneca Pty Ltd</w:t>
            </w:r>
          </w:p>
          <w:p w:rsidR="00F37EB5" w:rsidRPr="00BD0CE3" w:rsidRDefault="00F37EB5" w:rsidP="00BD20DA">
            <w:pPr>
              <w:rPr>
                <w:rFonts w:ascii="Arial" w:hAnsi="Arial" w:cs="Arial"/>
              </w:rPr>
            </w:pPr>
          </w:p>
          <w:p w:rsidR="00F37EB5" w:rsidRPr="00BD0CE3" w:rsidRDefault="00F37EB5" w:rsidP="00BD20DA">
            <w:pPr>
              <w:rPr>
                <w:rFonts w:ascii="Arial" w:hAnsi="Arial" w:cs="Arial"/>
              </w:rPr>
            </w:pPr>
            <w:r w:rsidRPr="00BD0CE3">
              <w:rPr>
                <w:rFonts w:ascii="Arial" w:hAnsi="Arial" w:cs="Arial"/>
              </w:rPr>
              <w:t>Change to recommended listing</w:t>
            </w:r>
          </w:p>
          <w:p w:rsidR="00F37EB5" w:rsidRPr="00BD0CE3" w:rsidRDefault="00F37EB5" w:rsidP="00BD20DA">
            <w:pPr>
              <w:rPr>
                <w:rFonts w:ascii="Arial" w:hAnsi="Arial" w:cs="Arial"/>
              </w:rPr>
            </w:pPr>
          </w:p>
          <w:p w:rsidR="00F37EB5" w:rsidRPr="00925FB4" w:rsidRDefault="00F37EB5" w:rsidP="00BD20DA">
            <w:pPr>
              <w:rPr>
                <w:rFonts w:ascii="Arial" w:hAnsi="Arial" w:cs="Arial"/>
                <w:b/>
              </w:rPr>
            </w:pPr>
            <w:r w:rsidRPr="00BD0CE3">
              <w:rPr>
                <w:rFonts w:ascii="Arial" w:hAnsi="Arial" w:cs="Arial"/>
              </w:rPr>
              <w:t>(Major Submission)</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BD0CE3">
              <w:rPr>
                <w:rFonts w:ascii="Arial" w:hAnsi="Arial" w:cs="Arial"/>
              </w:rPr>
              <w:t>Type 2 diabetes mellitus</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263F7F">
            <w:pPr>
              <w:rPr>
                <w:rFonts w:ascii="Arial" w:hAnsi="Arial" w:cs="Arial"/>
              </w:rPr>
            </w:pPr>
            <w:r w:rsidRPr="00BD0CE3">
              <w:rPr>
                <w:rFonts w:ascii="Arial" w:hAnsi="Arial" w:cs="Arial"/>
              </w:rPr>
              <w:t xml:space="preserve">Re-submission for Authority Required (STREAMLINED) listing for the treatment of </w:t>
            </w:r>
            <w:r>
              <w:rPr>
                <w:rFonts w:ascii="Arial" w:hAnsi="Arial" w:cs="Arial"/>
              </w:rPr>
              <w:t>t</w:t>
            </w:r>
            <w:r w:rsidRPr="00BD0CE3">
              <w:rPr>
                <w:rFonts w:ascii="Arial" w:hAnsi="Arial" w:cs="Arial"/>
              </w:rPr>
              <w:t>ype</w:t>
            </w:r>
            <w:r>
              <w:rPr>
                <w:rFonts w:ascii="Arial" w:hAnsi="Arial" w:cs="Arial"/>
              </w:rPr>
              <w:t> </w:t>
            </w:r>
            <w:r w:rsidRPr="00BD0CE3">
              <w:rPr>
                <w:rFonts w:ascii="Arial" w:hAnsi="Arial" w:cs="Arial"/>
              </w:rPr>
              <w:t xml:space="preserve">2 diabetes </w:t>
            </w:r>
            <w:r>
              <w:rPr>
                <w:rFonts w:ascii="Arial" w:hAnsi="Arial" w:cs="Arial"/>
              </w:rPr>
              <w:t xml:space="preserve">mellitus </w:t>
            </w:r>
            <w:r w:rsidRPr="00BD0CE3">
              <w:rPr>
                <w:rFonts w:ascii="Arial" w:hAnsi="Arial" w:cs="Arial"/>
              </w:rPr>
              <w:t xml:space="preserve">as: </w:t>
            </w:r>
          </w:p>
          <w:p w:rsidR="00F37EB5" w:rsidRDefault="00F37EB5" w:rsidP="00263F7F">
            <w:pPr>
              <w:rPr>
                <w:rFonts w:ascii="Arial" w:hAnsi="Arial" w:cs="Arial"/>
              </w:rPr>
            </w:pPr>
            <w:r w:rsidRPr="00BD0CE3">
              <w:rPr>
                <w:rFonts w:ascii="Arial" w:hAnsi="Arial" w:cs="Arial"/>
              </w:rPr>
              <w:t xml:space="preserve">1) Dual combination therapy with metformin or a sulfonylurea; and </w:t>
            </w:r>
          </w:p>
          <w:p w:rsidR="00F37EB5" w:rsidRPr="00925FB4" w:rsidRDefault="00F37EB5" w:rsidP="00263F7F">
            <w:pPr>
              <w:rPr>
                <w:rFonts w:ascii="Arial" w:hAnsi="Arial" w:cs="Arial"/>
              </w:rPr>
            </w:pPr>
            <w:r w:rsidRPr="00BD0CE3">
              <w:rPr>
                <w:rFonts w:ascii="Arial" w:hAnsi="Arial" w:cs="Arial"/>
              </w:rPr>
              <w:t>2) Triple combination therapy with metformin and a sulfonylurea; in a patient who meets certain criteria.</w:t>
            </w:r>
          </w:p>
        </w:tc>
        <w:tc>
          <w:tcPr>
            <w:tcW w:w="7192" w:type="dxa"/>
            <w:tcBorders>
              <w:top w:val="single" w:sz="4" w:space="0" w:color="auto"/>
              <w:left w:val="single" w:sz="4" w:space="0" w:color="auto"/>
              <w:bottom w:val="single" w:sz="4" w:space="0" w:color="auto"/>
              <w:right w:val="single" w:sz="4" w:space="0" w:color="auto"/>
            </w:tcBorders>
          </w:tcPr>
          <w:p w:rsidR="00F37EB5" w:rsidRPr="00925FB4" w:rsidRDefault="00F37EB5" w:rsidP="00C7380F">
            <w:pPr>
              <w:rPr>
                <w:rFonts w:ascii="Arial" w:hAnsi="Arial" w:cs="Arial"/>
              </w:rPr>
            </w:pPr>
            <w:r w:rsidRPr="00925FB4">
              <w:rPr>
                <w:rFonts w:ascii="Arial" w:hAnsi="Arial" w:cs="Arial"/>
              </w:rPr>
              <w:t>The PBAC recalled that, in November 2013, it had recommended exenatide 2 mg once weekly as an Authority Required (</w:t>
            </w:r>
            <w:r w:rsidRPr="00BD0CE3">
              <w:rPr>
                <w:rFonts w:ascii="Arial" w:hAnsi="Arial" w:cs="Arial"/>
              </w:rPr>
              <w:t>STREAMLINED</w:t>
            </w:r>
            <w:r w:rsidRPr="00925FB4">
              <w:rPr>
                <w:rFonts w:ascii="Arial" w:hAnsi="Arial" w:cs="Arial"/>
              </w:rPr>
              <w:t xml:space="preserve">) benefit for dual combination therapy with metformin or a sulfonylurea and triple combination therapy with metformin and a sulfonylurea in patients with </w:t>
            </w:r>
            <w:r>
              <w:rPr>
                <w:rFonts w:ascii="Arial" w:hAnsi="Arial" w:cs="Arial"/>
              </w:rPr>
              <w:t>type 2 diabetes mellitus</w:t>
            </w:r>
            <w:r w:rsidRPr="00925FB4">
              <w:rPr>
                <w:rFonts w:ascii="Arial" w:hAnsi="Arial" w:cs="Arial"/>
              </w:rPr>
              <w:t>, on a cost</w:t>
            </w:r>
            <w:r>
              <w:rPr>
                <w:rFonts w:ascii="Arial" w:hAnsi="Arial" w:cs="Arial"/>
              </w:rPr>
              <w:noBreakHyphen/>
            </w:r>
            <w:r w:rsidRPr="00925FB4">
              <w:rPr>
                <w:rFonts w:ascii="Arial" w:hAnsi="Arial" w:cs="Arial"/>
              </w:rPr>
              <w:t>minimisation basis with exenatide 10 mcg twice daily (with a cost offset for reduced needle use).</w:t>
            </w:r>
          </w:p>
          <w:p w:rsidR="00F37EB5" w:rsidRPr="00925FB4" w:rsidRDefault="00F37EB5" w:rsidP="00C7380F">
            <w:pPr>
              <w:rPr>
                <w:rFonts w:ascii="Arial" w:hAnsi="Arial" w:cs="Arial"/>
              </w:rPr>
            </w:pPr>
          </w:p>
          <w:p w:rsidR="00F37EB5" w:rsidRPr="00925FB4" w:rsidRDefault="00F37EB5" w:rsidP="00C7380F">
            <w:pPr>
              <w:rPr>
                <w:rFonts w:ascii="Arial" w:hAnsi="Arial" w:cs="Arial"/>
              </w:rPr>
            </w:pPr>
            <w:r w:rsidRPr="00925FB4">
              <w:rPr>
                <w:rFonts w:ascii="Arial" w:hAnsi="Arial" w:cs="Arial"/>
              </w:rPr>
              <w:t>The PBAC considered that the simplified treatment regimen of reducing dosing frequency by 13 injections per week may translate into fulfilling an unmet need for high clinical need populations; specifically Indigenous, aged and mental health patients.</w:t>
            </w:r>
          </w:p>
          <w:p w:rsidR="00F37EB5" w:rsidRPr="00925FB4" w:rsidRDefault="00F37EB5" w:rsidP="00C7380F">
            <w:pPr>
              <w:rPr>
                <w:rFonts w:ascii="Arial" w:hAnsi="Arial" w:cs="Arial"/>
              </w:rPr>
            </w:pPr>
          </w:p>
          <w:p w:rsidR="00F37EB5" w:rsidRPr="00925FB4" w:rsidRDefault="00F37EB5" w:rsidP="00C7380F">
            <w:pPr>
              <w:rPr>
                <w:rFonts w:ascii="Arial" w:hAnsi="Arial" w:cs="Arial"/>
                <w:bCs/>
                <w:highlight w:val="yellow"/>
              </w:rPr>
            </w:pPr>
            <w:r w:rsidRPr="00925FB4">
              <w:rPr>
                <w:rFonts w:ascii="Arial" w:hAnsi="Arial" w:cs="Arial"/>
              </w:rPr>
              <w:t>The PBAC re-endorsed its November 2013 recommendation (of cost minimisation with a partial cost offset for reduced needle use) and recommended a further small price advantage for exenatide 2 mg once weekly on the basis of potential health benefits from likely improved adherence by a small number of high clinical need populations.</w:t>
            </w:r>
          </w:p>
          <w:p w:rsidR="00F37EB5" w:rsidRPr="00925FB4" w:rsidRDefault="00F37EB5" w:rsidP="00BD20DA">
            <w:pPr>
              <w:keepNext/>
              <w:rPr>
                <w:rFonts w:ascii="Arial" w:hAnsi="Arial" w:cs="Arial"/>
                <w:bCs/>
                <w:lang w:val="en-GB"/>
              </w:rPr>
            </w:pP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BD20DA">
            <w:pPr>
              <w:rPr>
                <w:rFonts w:ascii="Arial" w:hAnsi="Arial" w:cs="Arial"/>
                <w:b/>
              </w:rPr>
            </w:pPr>
            <w:r w:rsidRPr="00925FB4">
              <w:rPr>
                <w:rFonts w:ascii="Arial" w:hAnsi="Arial" w:cs="Arial"/>
                <w:b/>
              </w:rPr>
              <w:lastRenderedPageBreak/>
              <w:t>FENTANYL CITRATE</w:t>
            </w:r>
            <w:r>
              <w:rPr>
                <w:rFonts w:ascii="Arial" w:hAnsi="Arial" w:cs="Arial"/>
                <w:b/>
              </w:rPr>
              <w:t xml:space="preserve"> (SUBLINGUAL)</w:t>
            </w:r>
          </w:p>
          <w:p w:rsidR="00F37EB5" w:rsidRPr="002E5A8E" w:rsidRDefault="00F37EB5" w:rsidP="00BD20DA">
            <w:pPr>
              <w:rPr>
                <w:rFonts w:ascii="Arial" w:hAnsi="Arial" w:cs="Arial"/>
              </w:rPr>
            </w:pPr>
            <w:r w:rsidRPr="002E5A8E">
              <w:rPr>
                <w:rFonts w:ascii="Arial" w:hAnsi="Arial" w:cs="Arial"/>
              </w:rPr>
              <w:t>100 microgram tablet: sublingual, 10 &amp; 30,</w:t>
            </w:r>
          </w:p>
          <w:p w:rsidR="00F37EB5" w:rsidRPr="002E5A8E" w:rsidRDefault="00F37EB5" w:rsidP="00BD20DA">
            <w:pPr>
              <w:rPr>
                <w:rFonts w:ascii="Arial" w:hAnsi="Arial" w:cs="Arial"/>
              </w:rPr>
            </w:pPr>
            <w:r w:rsidRPr="002E5A8E">
              <w:rPr>
                <w:rFonts w:ascii="Arial" w:hAnsi="Arial" w:cs="Arial"/>
              </w:rPr>
              <w:t>200 microgram tablet: sublingual, 10 &amp; 30,</w:t>
            </w:r>
          </w:p>
          <w:p w:rsidR="00F37EB5" w:rsidRPr="002E5A8E" w:rsidRDefault="00F37EB5" w:rsidP="00BD20DA">
            <w:pPr>
              <w:rPr>
                <w:rFonts w:ascii="Arial" w:hAnsi="Arial" w:cs="Arial"/>
              </w:rPr>
            </w:pPr>
            <w:r w:rsidRPr="002E5A8E">
              <w:rPr>
                <w:rFonts w:ascii="Arial" w:hAnsi="Arial" w:cs="Arial"/>
              </w:rPr>
              <w:t>300 microgram tablet: sublingual, 10 &amp; 30,</w:t>
            </w:r>
          </w:p>
          <w:p w:rsidR="00F37EB5" w:rsidRPr="002E5A8E" w:rsidRDefault="00F37EB5" w:rsidP="00BD20DA">
            <w:pPr>
              <w:rPr>
                <w:rFonts w:ascii="Arial" w:hAnsi="Arial" w:cs="Arial"/>
              </w:rPr>
            </w:pPr>
            <w:r w:rsidRPr="002E5A8E">
              <w:rPr>
                <w:rFonts w:ascii="Arial" w:hAnsi="Arial" w:cs="Arial"/>
              </w:rPr>
              <w:t>400 microgram tablet: sublingual, 10 &amp; 30,</w:t>
            </w:r>
          </w:p>
          <w:p w:rsidR="00F37EB5" w:rsidRPr="002E5A8E" w:rsidRDefault="00F37EB5" w:rsidP="00BD20DA">
            <w:pPr>
              <w:rPr>
                <w:rFonts w:ascii="Arial" w:hAnsi="Arial" w:cs="Arial"/>
              </w:rPr>
            </w:pPr>
            <w:r w:rsidRPr="002E5A8E">
              <w:rPr>
                <w:rFonts w:ascii="Arial" w:hAnsi="Arial" w:cs="Arial"/>
              </w:rPr>
              <w:t>600 microgram tablet: sublingual, 10 &amp; 30,</w:t>
            </w:r>
          </w:p>
          <w:p w:rsidR="00F37EB5" w:rsidRDefault="00F37EB5" w:rsidP="00BD20DA">
            <w:pPr>
              <w:rPr>
                <w:rFonts w:ascii="Arial" w:hAnsi="Arial" w:cs="Arial"/>
              </w:rPr>
            </w:pPr>
            <w:r w:rsidRPr="002E5A8E">
              <w:rPr>
                <w:rFonts w:ascii="Arial" w:hAnsi="Arial" w:cs="Arial"/>
              </w:rPr>
              <w:t>800 microgram tablet: sublingual, 10 &amp; 30,</w:t>
            </w:r>
          </w:p>
          <w:p w:rsidR="00F37EB5" w:rsidRPr="00925FB4" w:rsidRDefault="00F37EB5" w:rsidP="00BD20DA">
            <w:pPr>
              <w:rPr>
                <w:rFonts w:ascii="Arial" w:hAnsi="Arial" w:cs="Arial"/>
                <w:b/>
              </w:rPr>
            </w:pPr>
          </w:p>
          <w:p w:rsidR="00F37EB5" w:rsidRPr="002E5A8E" w:rsidRDefault="00F37EB5" w:rsidP="00BD20DA">
            <w:pPr>
              <w:rPr>
                <w:rFonts w:ascii="Arial" w:hAnsi="Arial" w:cs="Arial"/>
              </w:rPr>
            </w:pPr>
            <w:r>
              <w:rPr>
                <w:rFonts w:ascii="Arial" w:hAnsi="Arial" w:cs="Arial"/>
              </w:rPr>
              <w:t>ABSTRAL</w:t>
            </w:r>
            <w:r w:rsidRPr="002E5A8E">
              <w:rPr>
                <w:rFonts w:ascii="Arial" w:hAnsi="Arial" w:cs="Arial"/>
              </w:rPr>
              <w:t>®</w:t>
            </w:r>
          </w:p>
          <w:p w:rsidR="00F37EB5" w:rsidRPr="002E5A8E" w:rsidRDefault="00F37EB5" w:rsidP="00BD20DA">
            <w:pPr>
              <w:rPr>
                <w:rFonts w:ascii="Arial" w:hAnsi="Arial" w:cs="Arial"/>
              </w:rPr>
            </w:pPr>
          </w:p>
          <w:p w:rsidR="00F37EB5" w:rsidRDefault="00F37EB5" w:rsidP="00BD20DA">
            <w:pPr>
              <w:rPr>
                <w:rFonts w:ascii="Arial" w:hAnsi="Arial" w:cs="Arial"/>
              </w:rPr>
            </w:pPr>
            <w:r w:rsidRPr="002E5A8E">
              <w:rPr>
                <w:rFonts w:ascii="Arial" w:hAnsi="Arial" w:cs="Arial"/>
              </w:rPr>
              <w:t>A.Menarini Australia Pty Ltd</w:t>
            </w:r>
          </w:p>
          <w:p w:rsidR="00F37EB5" w:rsidRDefault="00F37EB5" w:rsidP="00BD20DA">
            <w:pPr>
              <w:rPr>
                <w:rFonts w:ascii="Arial" w:hAnsi="Arial" w:cs="Arial"/>
              </w:rPr>
            </w:pPr>
          </w:p>
          <w:p w:rsidR="00F37EB5" w:rsidRDefault="00F37EB5" w:rsidP="00BD20DA">
            <w:pPr>
              <w:rPr>
                <w:rFonts w:ascii="Arial" w:hAnsi="Arial" w:cs="Arial"/>
              </w:rPr>
            </w:pPr>
            <w:r>
              <w:rPr>
                <w:rFonts w:ascii="Arial" w:hAnsi="Arial" w:cs="Arial"/>
              </w:rPr>
              <w:t xml:space="preserve">New listing </w:t>
            </w:r>
          </w:p>
          <w:p w:rsidR="00F37EB5" w:rsidRDefault="00F37EB5" w:rsidP="00BD20DA">
            <w:pPr>
              <w:rPr>
                <w:rFonts w:ascii="Arial" w:hAnsi="Arial" w:cs="Arial"/>
              </w:rPr>
            </w:pPr>
          </w:p>
          <w:p w:rsidR="00F37EB5" w:rsidRPr="00925FB4" w:rsidRDefault="00F37EB5" w:rsidP="00BD20DA">
            <w:pPr>
              <w:rPr>
                <w:rFonts w:ascii="Arial" w:hAnsi="Arial" w:cs="Arial"/>
                <w:b/>
              </w:rPr>
            </w:pPr>
            <w:r>
              <w:rPr>
                <w:rFonts w:ascii="Arial" w:hAnsi="Arial" w:cs="Arial"/>
              </w:rPr>
              <w:t xml:space="preserve">(Major Submission) </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BD0CE3">
              <w:rPr>
                <w:rFonts w:ascii="Arial" w:hAnsi="Arial" w:cs="Arial"/>
              </w:rPr>
              <w:t>Breakthrough pain</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BD0CE3">
              <w:rPr>
                <w:rFonts w:ascii="Arial" w:hAnsi="Arial" w:cs="Arial"/>
              </w:rPr>
              <w:t>Re-submission for Authority Required (Palliative Care Schedule) listing for the treatment of breakthrough cancer pain.</w:t>
            </w:r>
          </w:p>
        </w:tc>
        <w:tc>
          <w:tcPr>
            <w:tcW w:w="7192" w:type="dxa"/>
            <w:tcBorders>
              <w:top w:val="single" w:sz="4" w:space="0" w:color="auto"/>
              <w:left w:val="single" w:sz="4" w:space="0" w:color="auto"/>
              <w:bottom w:val="single" w:sz="4" w:space="0" w:color="auto"/>
              <w:right w:val="single" w:sz="4" w:space="0" w:color="auto"/>
            </w:tcBorders>
          </w:tcPr>
          <w:p w:rsidR="00F37EB5" w:rsidRPr="00925FB4" w:rsidRDefault="00F37EB5" w:rsidP="00BD20DA">
            <w:pPr>
              <w:keepNext/>
              <w:rPr>
                <w:rFonts w:ascii="Arial" w:hAnsi="Arial" w:cs="Arial"/>
                <w:bCs/>
                <w:lang w:val="en-GB"/>
              </w:rPr>
            </w:pPr>
            <w:r w:rsidRPr="00925FB4">
              <w:rPr>
                <w:rFonts w:ascii="Arial" w:hAnsi="Arial" w:cs="Arial"/>
                <w:bCs/>
                <w:lang w:val="en-GB"/>
              </w:rPr>
              <w:t xml:space="preserve">The PBAC recommended listing fentanyl citrate sublingual tablets as an Authority Required benefit on the Palliative Care Schedule for the treatment of breakthrough pain in patients undergoing palliative care for cancer. </w:t>
            </w:r>
          </w:p>
          <w:p w:rsidR="00F37EB5" w:rsidRPr="00925FB4" w:rsidRDefault="00F37EB5" w:rsidP="00BD20DA">
            <w:pPr>
              <w:keepNext/>
              <w:rPr>
                <w:rFonts w:ascii="Arial" w:hAnsi="Arial" w:cs="Arial"/>
                <w:bCs/>
                <w:lang w:val="en-GB"/>
              </w:rPr>
            </w:pPr>
          </w:p>
          <w:p w:rsidR="00F37EB5" w:rsidRPr="00925FB4" w:rsidRDefault="00F37EB5" w:rsidP="00BD20DA">
            <w:pPr>
              <w:keepNext/>
              <w:rPr>
                <w:rFonts w:ascii="Arial" w:hAnsi="Arial" w:cs="Arial"/>
              </w:rPr>
            </w:pPr>
            <w:r w:rsidRPr="00925FB4">
              <w:rPr>
                <w:rFonts w:ascii="Arial" w:hAnsi="Arial" w:cs="Arial"/>
                <w:bCs/>
                <w:lang w:val="en-GB"/>
              </w:rPr>
              <w:t>The recommendation was made on a cost-minimisation basis with immediate</w:t>
            </w:r>
            <w:r>
              <w:rPr>
                <w:rFonts w:ascii="Arial" w:hAnsi="Arial" w:cs="Arial"/>
                <w:bCs/>
                <w:lang w:val="en-GB"/>
              </w:rPr>
              <w:noBreakHyphen/>
            </w:r>
            <w:r w:rsidRPr="00925FB4">
              <w:rPr>
                <w:rFonts w:ascii="Arial" w:hAnsi="Arial" w:cs="Arial"/>
                <w:bCs/>
                <w:lang w:val="en-GB"/>
              </w:rPr>
              <w:t>release opioids and fentanyl lozenge (</w:t>
            </w:r>
            <w:proofErr w:type="spellStart"/>
            <w:r w:rsidRPr="00925FB4">
              <w:rPr>
                <w:rFonts w:ascii="Arial" w:hAnsi="Arial" w:cs="Arial"/>
                <w:bCs/>
                <w:lang w:val="en-GB"/>
              </w:rPr>
              <w:t>Actiq</w:t>
            </w:r>
            <w:proofErr w:type="spellEnd"/>
            <w:r w:rsidRPr="00925FB4">
              <w:rPr>
                <w:rFonts w:ascii="Arial" w:hAnsi="Arial" w:cs="Arial"/>
                <w:bCs/>
                <w:lang w:val="en-GB"/>
              </w:rPr>
              <w:t xml:space="preserve">). </w:t>
            </w:r>
            <w:r w:rsidRPr="00925FB4">
              <w:rPr>
                <w:rFonts w:ascii="Arial" w:hAnsi="Arial" w:cs="Arial"/>
              </w:rPr>
              <w:t>Equi-effective doses were not estimated, but assumptions were made for each pain episode to be treated with one sublingual tablet or one lozenge. The PBAC considered that the resubmission’s request of flat pricing across dose strengths addressed the issue of variability during titration of short acting fentanyl for breakthrough pain.</w:t>
            </w: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6101D8">
            <w:pPr>
              <w:rPr>
                <w:rFonts w:ascii="Arial" w:hAnsi="Arial" w:cs="Arial"/>
                <w:b/>
                <w:lang w:val="it-IT"/>
              </w:rPr>
            </w:pPr>
            <w:r w:rsidRPr="006E5101">
              <w:rPr>
                <w:rFonts w:ascii="Arial" w:hAnsi="Arial" w:cs="Arial"/>
                <w:b/>
                <w:lang w:val="it-IT"/>
              </w:rPr>
              <w:t xml:space="preserve">GLYCOMACROPEPTIDE and ESSENTIAL AMINO ACIDS with VITAMINS and MINERALS </w:t>
            </w:r>
          </w:p>
          <w:p w:rsidR="00F37EB5" w:rsidRPr="006E5101" w:rsidRDefault="00F37EB5" w:rsidP="006101D8">
            <w:pPr>
              <w:rPr>
                <w:rFonts w:ascii="Arial" w:hAnsi="Arial" w:cs="Arial"/>
                <w:lang w:val="it-IT"/>
              </w:rPr>
            </w:pPr>
            <w:r w:rsidRPr="006E5101">
              <w:rPr>
                <w:rFonts w:ascii="Arial" w:hAnsi="Arial" w:cs="Arial"/>
                <w:lang w:val="it-IT"/>
              </w:rPr>
              <w:t xml:space="preserve">15 g protein oral liquid, 30 x 250 mL tetra pack </w:t>
            </w:r>
          </w:p>
          <w:p w:rsidR="00F37EB5" w:rsidRPr="006E5101" w:rsidRDefault="00F37EB5" w:rsidP="006101D8">
            <w:pPr>
              <w:rPr>
                <w:rFonts w:ascii="Arial" w:hAnsi="Arial" w:cs="Arial"/>
                <w:lang w:val="it-IT"/>
              </w:rPr>
            </w:pPr>
          </w:p>
          <w:p w:rsidR="0034440A" w:rsidRDefault="00F37EB5" w:rsidP="006101D8">
            <w:pPr>
              <w:rPr>
                <w:rFonts w:ascii="Arial" w:hAnsi="Arial" w:cs="Arial"/>
                <w:lang w:val="it-IT"/>
              </w:rPr>
            </w:pPr>
            <w:r w:rsidRPr="006E5101">
              <w:rPr>
                <w:rFonts w:ascii="Arial" w:hAnsi="Arial" w:cs="Arial"/>
                <w:lang w:val="it-IT"/>
              </w:rPr>
              <w:t>TYLACTIN®</w:t>
            </w:r>
            <w:r w:rsidR="0034440A">
              <w:rPr>
                <w:rFonts w:ascii="Arial" w:hAnsi="Arial" w:cs="Arial"/>
                <w:lang w:val="it-IT"/>
              </w:rPr>
              <w:t xml:space="preserve"> </w:t>
            </w:r>
            <w:r w:rsidRPr="006E5101">
              <w:rPr>
                <w:rFonts w:ascii="Arial" w:hAnsi="Arial" w:cs="Arial"/>
                <w:lang w:val="it-IT"/>
              </w:rPr>
              <w:t xml:space="preserve">RTD </w:t>
            </w:r>
          </w:p>
          <w:p w:rsidR="0034440A" w:rsidRDefault="0034440A" w:rsidP="006101D8">
            <w:pPr>
              <w:rPr>
                <w:rFonts w:ascii="Arial" w:hAnsi="Arial" w:cs="Arial"/>
                <w:lang w:val="it-IT"/>
              </w:rPr>
            </w:pPr>
          </w:p>
          <w:p w:rsidR="00F37EB5" w:rsidRDefault="00F37EB5" w:rsidP="006101D8">
            <w:pPr>
              <w:rPr>
                <w:rFonts w:ascii="Arial" w:hAnsi="Arial" w:cs="Arial"/>
                <w:lang w:val="it-IT"/>
              </w:rPr>
            </w:pPr>
            <w:r w:rsidRPr="006E5101">
              <w:rPr>
                <w:rFonts w:ascii="Arial" w:hAnsi="Arial" w:cs="Arial"/>
                <w:lang w:val="it-IT"/>
              </w:rPr>
              <w:t>Cortex Health Pty Ltd</w:t>
            </w:r>
          </w:p>
          <w:p w:rsidR="00F37EB5" w:rsidRDefault="00F37EB5" w:rsidP="006101D8">
            <w:pPr>
              <w:rPr>
                <w:rFonts w:ascii="Arial" w:hAnsi="Arial" w:cs="Arial"/>
                <w:lang w:val="it-IT"/>
              </w:rPr>
            </w:pPr>
          </w:p>
          <w:p w:rsidR="00F37EB5" w:rsidRDefault="00F37EB5" w:rsidP="006101D8">
            <w:pPr>
              <w:rPr>
                <w:rFonts w:ascii="Arial" w:hAnsi="Arial" w:cs="Arial"/>
                <w:lang w:val="it-IT"/>
              </w:rPr>
            </w:pPr>
            <w:r>
              <w:rPr>
                <w:rFonts w:ascii="Arial" w:hAnsi="Arial" w:cs="Arial"/>
                <w:lang w:val="it-IT"/>
              </w:rPr>
              <w:t xml:space="preserve">New listing </w:t>
            </w:r>
          </w:p>
          <w:p w:rsidR="00F37EB5" w:rsidRDefault="00F37EB5" w:rsidP="006101D8">
            <w:pPr>
              <w:rPr>
                <w:rFonts w:ascii="Arial" w:hAnsi="Arial" w:cs="Arial"/>
                <w:lang w:val="it-IT"/>
              </w:rPr>
            </w:pPr>
          </w:p>
          <w:p w:rsidR="00F37EB5" w:rsidRPr="00925FB4" w:rsidRDefault="00F37EB5" w:rsidP="006101D8">
            <w:pPr>
              <w:rPr>
                <w:rFonts w:ascii="Arial" w:hAnsi="Arial" w:cs="Arial"/>
                <w:b/>
                <w:lang w:val="it-IT"/>
              </w:rPr>
            </w:pPr>
            <w:r>
              <w:rPr>
                <w:rFonts w:ascii="Arial" w:hAnsi="Arial" w:cs="Arial"/>
                <w:lang w:val="it-IT"/>
              </w:rPr>
              <w:t>(Minor Submission)</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6E5101">
              <w:rPr>
                <w:rFonts w:ascii="Arial" w:hAnsi="Arial" w:cs="Arial"/>
              </w:rPr>
              <w:t>Medicinal food</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6E5101">
              <w:rPr>
                <w:rFonts w:ascii="Arial" w:hAnsi="Arial" w:cs="Arial"/>
              </w:rPr>
              <w:t>Restricted Benefit listing of an alternative medicinal food for patients with tyrosinaemia.</w:t>
            </w:r>
          </w:p>
        </w:tc>
        <w:tc>
          <w:tcPr>
            <w:tcW w:w="7192" w:type="dxa"/>
            <w:tcBorders>
              <w:top w:val="single" w:sz="4" w:space="0" w:color="auto"/>
              <w:left w:val="single" w:sz="4" w:space="0" w:color="auto"/>
              <w:bottom w:val="single" w:sz="4" w:space="0" w:color="auto"/>
              <w:right w:val="single" w:sz="4" w:space="0" w:color="auto"/>
            </w:tcBorders>
          </w:tcPr>
          <w:p w:rsidR="00F37EB5" w:rsidRPr="00925FB4" w:rsidRDefault="00F37EB5" w:rsidP="00925FB4">
            <w:pPr>
              <w:pStyle w:val="ListParagraph"/>
              <w:ind w:left="0"/>
              <w:rPr>
                <w:rFonts w:ascii="Arial" w:hAnsi="Arial" w:cs="Arial"/>
                <w:sz w:val="20"/>
                <w:szCs w:val="20"/>
              </w:rPr>
            </w:pPr>
            <w:r w:rsidRPr="00925FB4">
              <w:rPr>
                <w:rFonts w:ascii="Arial" w:hAnsi="Arial" w:cs="Arial"/>
                <w:sz w:val="20"/>
                <w:szCs w:val="20"/>
              </w:rPr>
              <w:t xml:space="preserve">The PBAC recommended the restricted benefit listing of </w:t>
            </w:r>
            <w:proofErr w:type="spellStart"/>
            <w:r w:rsidRPr="00925FB4">
              <w:rPr>
                <w:rFonts w:ascii="Arial" w:hAnsi="Arial" w:cs="Arial"/>
                <w:sz w:val="20"/>
                <w:szCs w:val="20"/>
              </w:rPr>
              <w:t>glycomacropeptide</w:t>
            </w:r>
            <w:proofErr w:type="spellEnd"/>
            <w:r w:rsidRPr="00925FB4">
              <w:rPr>
                <w:rFonts w:ascii="Arial" w:hAnsi="Arial" w:cs="Arial"/>
                <w:sz w:val="20"/>
                <w:szCs w:val="20"/>
              </w:rPr>
              <w:t xml:space="preserve"> and essential amino acids with vitamins and minerals, </w:t>
            </w:r>
            <w:proofErr w:type="spellStart"/>
            <w:r w:rsidRPr="00925FB4">
              <w:rPr>
                <w:rFonts w:ascii="Arial" w:hAnsi="Arial" w:cs="Arial"/>
                <w:sz w:val="20"/>
                <w:szCs w:val="20"/>
              </w:rPr>
              <w:t>Tylactin</w:t>
            </w:r>
            <w:proofErr w:type="spellEnd"/>
            <w:r w:rsidR="00DA5190" w:rsidRPr="00925FB4">
              <w:rPr>
                <w:rFonts w:ascii="Arial" w:hAnsi="Arial" w:cs="Arial"/>
                <w:b/>
                <w:sz w:val="20"/>
                <w:szCs w:val="20"/>
                <w:vertAlign w:val="superscript"/>
              </w:rPr>
              <w:t>®</w:t>
            </w:r>
            <w:r w:rsidRPr="00925FB4">
              <w:rPr>
                <w:rFonts w:ascii="Arial" w:hAnsi="Arial" w:cs="Arial"/>
                <w:sz w:val="20"/>
                <w:szCs w:val="20"/>
              </w:rPr>
              <w:t xml:space="preserve"> RTD 15 for the treatment of tyrosinaemia on a cost-minimisation basis against TYR Cooler®</w:t>
            </w:r>
            <w:r>
              <w:rPr>
                <w:rFonts w:ascii="Arial" w:hAnsi="Arial" w:cs="Arial"/>
                <w:sz w:val="20"/>
                <w:szCs w:val="20"/>
              </w:rPr>
              <w:t> </w:t>
            </w:r>
            <w:r w:rsidRPr="00925FB4">
              <w:rPr>
                <w:rFonts w:ascii="Arial" w:hAnsi="Arial" w:cs="Arial"/>
                <w:sz w:val="20"/>
                <w:szCs w:val="20"/>
              </w:rPr>
              <w:t xml:space="preserve">20 and TYR Cooler® 15 on an equivalent price per gram of protein basis.  </w:t>
            </w:r>
          </w:p>
          <w:p w:rsidR="00F37EB5" w:rsidRPr="00925FB4" w:rsidRDefault="00F37EB5" w:rsidP="002B7ECB">
            <w:pPr>
              <w:rPr>
                <w:rFonts w:ascii="Arial" w:hAnsi="Arial" w:cs="Arial"/>
                <w:bCs/>
                <w:snapToGrid w:val="0"/>
                <w:lang w:val="en-GB"/>
              </w:rPr>
            </w:pPr>
          </w:p>
        </w:tc>
      </w:tr>
      <w:tr w:rsidR="00F37EB5" w:rsidRPr="00925FB4" w:rsidTr="00A0373B">
        <w:trPr>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DE67E0">
            <w:pPr>
              <w:keepNext/>
              <w:rPr>
                <w:rFonts w:ascii="Arial" w:hAnsi="Arial" w:cs="Arial"/>
                <w:b/>
              </w:rPr>
            </w:pPr>
            <w:r w:rsidRPr="00091413">
              <w:rPr>
                <w:rFonts w:ascii="Arial" w:hAnsi="Arial" w:cs="Arial"/>
                <w:b/>
              </w:rPr>
              <w:lastRenderedPageBreak/>
              <w:t>INFLIXIMAB</w:t>
            </w:r>
            <w:r w:rsidRPr="00C930D8">
              <w:rPr>
                <w:rFonts w:ascii="Arial" w:hAnsi="Arial" w:cs="Arial"/>
                <w:b/>
              </w:rPr>
              <w:t xml:space="preserve"> </w:t>
            </w:r>
          </w:p>
          <w:p w:rsidR="00F37EB5" w:rsidRPr="00C930D8" w:rsidRDefault="00F37EB5" w:rsidP="00DE67E0">
            <w:pPr>
              <w:keepNext/>
              <w:rPr>
                <w:rFonts w:ascii="Arial" w:hAnsi="Arial" w:cs="Arial"/>
              </w:rPr>
            </w:pPr>
            <w:r w:rsidRPr="00C930D8">
              <w:rPr>
                <w:rFonts w:ascii="Arial" w:hAnsi="Arial" w:cs="Arial"/>
              </w:rPr>
              <w:t xml:space="preserve">100 mg injection vial, 1 </w:t>
            </w:r>
          </w:p>
          <w:p w:rsidR="00F37EB5" w:rsidRPr="00C930D8" w:rsidRDefault="00F37EB5" w:rsidP="00A21351">
            <w:pPr>
              <w:rPr>
                <w:rFonts w:ascii="Arial" w:hAnsi="Arial" w:cs="Arial"/>
              </w:rPr>
            </w:pPr>
            <w:r w:rsidRPr="00C930D8">
              <w:rPr>
                <w:rFonts w:ascii="Arial" w:hAnsi="Arial" w:cs="Arial"/>
              </w:rPr>
              <w:t xml:space="preserve">100 mg injection vial, 3 </w:t>
            </w:r>
          </w:p>
          <w:p w:rsidR="00F37EB5" w:rsidRPr="00C930D8" w:rsidRDefault="00F37EB5" w:rsidP="00A21351">
            <w:pPr>
              <w:rPr>
                <w:rFonts w:ascii="Arial" w:hAnsi="Arial" w:cs="Arial"/>
              </w:rPr>
            </w:pPr>
            <w:r w:rsidRPr="00C930D8">
              <w:rPr>
                <w:rFonts w:ascii="Arial" w:hAnsi="Arial" w:cs="Arial"/>
              </w:rPr>
              <w:t xml:space="preserve">100 mg injection vial, 4 </w:t>
            </w:r>
          </w:p>
          <w:p w:rsidR="00F37EB5" w:rsidRPr="00C930D8" w:rsidRDefault="00F37EB5" w:rsidP="00A21351">
            <w:pPr>
              <w:rPr>
                <w:rFonts w:ascii="Arial" w:hAnsi="Arial" w:cs="Arial"/>
              </w:rPr>
            </w:pPr>
          </w:p>
          <w:p w:rsidR="00F37EB5" w:rsidRPr="00C930D8" w:rsidRDefault="00F37EB5" w:rsidP="00A21351">
            <w:pPr>
              <w:rPr>
                <w:rFonts w:ascii="Arial" w:hAnsi="Arial" w:cs="Arial"/>
              </w:rPr>
            </w:pPr>
            <w:r w:rsidRPr="00C930D8">
              <w:rPr>
                <w:rFonts w:ascii="Arial" w:hAnsi="Arial" w:cs="Arial"/>
              </w:rPr>
              <w:t xml:space="preserve">INFLECTRA® </w:t>
            </w:r>
          </w:p>
          <w:p w:rsidR="00F37EB5" w:rsidRPr="00C930D8" w:rsidRDefault="00F37EB5" w:rsidP="00A21351">
            <w:pPr>
              <w:rPr>
                <w:rFonts w:ascii="Arial" w:hAnsi="Arial" w:cs="Arial"/>
              </w:rPr>
            </w:pPr>
          </w:p>
          <w:p w:rsidR="00F37EB5" w:rsidRPr="00C930D8" w:rsidRDefault="00F37EB5" w:rsidP="00A21351">
            <w:pPr>
              <w:rPr>
                <w:rFonts w:ascii="Arial" w:hAnsi="Arial" w:cs="Arial"/>
              </w:rPr>
            </w:pPr>
            <w:proofErr w:type="spellStart"/>
            <w:r w:rsidRPr="00C930D8">
              <w:rPr>
                <w:rFonts w:ascii="Arial" w:hAnsi="Arial" w:cs="Arial"/>
              </w:rPr>
              <w:t>Hospira</w:t>
            </w:r>
            <w:proofErr w:type="spellEnd"/>
            <w:r w:rsidRPr="00C930D8">
              <w:rPr>
                <w:rFonts w:ascii="Arial" w:hAnsi="Arial" w:cs="Arial"/>
              </w:rPr>
              <w:t xml:space="preserve"> Pty Ltd</w:t>
            </w:r>
          </w:p>
          <w:p w:rsidR="00F37EB5" w:rsidRPr="00C930D8" w:rsidRDefault="00F37EB5" w:rsidP="00A21351">
            <w:pPr>
              <w:rPr>
                <w:rFonts w:ascii="Arial" w:hAnsi="Arial" w:cs="Arial"/>
              </w:rPr>
            </w:pPr>
          </w:p>
          <w:p w:rsidR="00F37EB5" w:rsidRPr="00C930D8" w:rsidRDefault="00F37EB5" w:rsidP="00A21351">
            <w:pPr>
              <w:rPr>
                <w:rFonts w:ascii="Arial" w:hAnsi="Arial" w:cs="Arial"/>
              </w:rPr>
            </w:pPr>
            <w:r w:rsidRPr="00C930D8">
              <w:rPr>
                <w:rFonts w:ascii="Arial" w:hAnsi="Arial" w:cs="Arial"/>
              </w:rPr>
              <w:t xml:space="preserve">New listing </w:t>
            </w:r>
          </w:p>
          <w:p w:rsidR="00F37EB5" w:rsidRPr="00C930D8" w:rsidRDefault="00F37EB5" w:rsidP="00A21351">
            <w:pPr>
              <w:rPr>
                <w:rFonts w:ascii="Arial" w:hAnsi="Arial" w:cs="Arial"/>
              </w:rPr>
            </w:pPr>
          </w:p>
          <w:p w:rsidR="00F37EB5" w:rsidRPr="006C4F21" w:rsidRDefault="00F37EB5" w:rsidP="00A21351">
            <w:pPr>
              <w:rPr>
                <w:rFonts w:ascii="Arial" w:hAnsi="Arial" w:cs="Arial"/>
              </w:rPr>
            </w:pPr>
            <w:r>
              <w:rPr>
                <w:rFonts w:ascii="Arial" w:hAnsi="Arial" w:cs="Arial"/>
              </w:rPr>
              <w:t>(Mino</w:t>
            </w:r>
            <w:r w:rsidRPr="00C930D8">
              <w:rPr>
                <w:rFonts w:ascii="Arial" w:hAnsi="Arial" w:cs="Arial"/>
              </w:rPr>
              <w:t>r Submissio</w:t>
            </w:r>
            <w:r>
              <w:rPr>
                <w:rFonts w:ascii="Arial" w:hAnsi="Arial" w:cs="Arial"/>
              </w:rPr>
              <w:t>n)</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263F7F">
            <w:pPr>
              <w:rPr>
                <w:rFonts w:ascii="Arial" w:hAnsi="Arial" w:cs="Arial"/>
              </w:rPr>
            </w:pPr>
            <w:r w:rsidRPr="00C930D8">
              <w:rPr>
                <w:rFonts w:ascii="Arial" w:hAnsi="Arial" w:cs="Arial"/>
              </w:rPr>
              <w:t>Ankylosing spondylitis</w:t>
            </w:r>
            <w:r>
              <w:rPr>
                <w:rFonts w:ascii="Arial" w:hAnsi="Arial" w:cs="Arial"/>
              </w:rPr>
              <w:t>,</w:t>
            </w:r>
          </w:p>
          <w:p w:rsidR="00F37EB5" w:rsidRDefault="00F37EB5" w:rsidP="00263F7F">
            <w:pPr>
              <w:rPr>
                <w:rFonts w:ascii="Arial" w:hAnsi="Arial" w:cs="Arial"/>
              </w:rPr>
            </w:pPr>
            <w:r w:rsidRPr="00C930D8">
              <w:rPr>
                <w:rFonts w:ascii="Arial" w:hAnsi="Arial" w:cs="Arial"/>
              </w:rPr>
              <w:t>Crohn's disease</w:t>
            </w:r>
            <w:r>
              <w:rPr>
                <w:rFonts w:ascii="Arial" w:hAnsi="Arial" w:cs="Arial"/>
              </w:rPr>
              <w:t>,</w:t>
            </w:r>
          </w:p>
          <w:p w:rsidR="00F37EB5" w:rsidRDefault="00F37EB5" w:rsidP="00263F7F">
            <w:pPr>
              <w:rPr>
                <w:rFonts w:ascii="Arial" w:hAnsi="Arial" w:cs="Arial"/>
              </w:rPr>
            </w:pPr>
            <w:r w:rsidRPr="00C930D8">
              <w:rPr>
                <w:rFonts w:ascii="Arial" w:hAnsi="Arial" w:cs="Arial"/>
              </w:rPr>
              <w:t>Psoriatic arthritis</w:t>
            </w:r>
            <w:r>
              <w:rPr>
                <w:rFonts w:ascii="Arial" w:hAnsi="Arial" w:cs="Arial"/>
              </w:rPr>
              <w:t>,</w:t>
            </w:r>
          </w:p>
          <w:p w:rsidR="00F37EB5" w:rsidRDefault="00F37EB5" w:rsidP="00263F7F">
            <w:pPr>
              <w:rPr>
                <w:rFonts w:ascii="Arial" w:hAnsi="Arial" w:cs="Arial"/>
              </w:rPr>
            </w:pPr>
            <w:r>
              <w:rPr>
                <w:rFonts w:ascii="Arial" w:hAnsi="Arial" w:cs="Arial"/>
              </w:rPr>
              <w:t xml:space="preserve">Rheumatoid Arthritis, </w:t>
            </w:r>
          </w:p>
          <w:p w:rsidR="00F37EB5" w:rsidRDefault="00F37EB5" w:rsidP="00263F7F">
            <w:pPr>
              <w:rPr>
                <w:rFonts w:ascii="Arial" w:hAnsi="Arial" w:cs="Arial"/>
              </w:rPr>
            </w:pPr>
            <w:r>
              <w:rPr>
                <w:rFonts w:ascii="Arial" w:hAnsi="Arial" w:cs="Arial"/>
              </w:rPr>
              <w:t>Plaque psoriasis,</w:t>
            </w:r>
          </w:p>
          <w:p w:rsidR="00F37EB5" w:rsidRPr="00925FB4" w:rsidRDefault="00F37EB5" w:rsidP="00263F7F">
            <w:pPr>
              <w:rPr>
                <w:rFonts w:ascii="Arial" w:hAnsi="Arial" w:cs="Arial"/>
              </w:rPr>
            </w:pPr>
            <w:r w:rsidRPr="00C930D8">
              <w:rPr>
                <w:rFonts w:ascii="Arial" w:hAnsi="Arial" w:cs="Arial"/>
              </w:rPr>
              <w:t>Ulcerative colitis</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C930D8">
              <w:rPr>
                <w:rFonts w:ascii="Arial" w:hAnsi="Arial" w:cs="Arial"/>
              </w:rPr>
              <w:t xml:space="preserve">Section 100 (Highly Specialised Drugs Program) Authority Required listing of </w:t>
            </w:r>
            <w:proofErr w:type="spellStart"/>
            <w:r w:rsidRPr="00C930D8">
              <w:rPr>
                <w:rFonts w:ascii="Arial" w:hAnsi="Arial" w:cs="Arial"/>
              </w:rPr>
              <w:t>Inflectra</w:t>
            </w:r>
            <w:proofErr w:type="spellEnd"/>
            <w:r w:rsidRPr="00C930D8">
              <w:rPr>
                <w:rFonts w:ascii="Arial" w:hAnsi="Arial" w:cs="Arial"/>
              </w:rPr>
              <w:t xml:space="preserve"> (infliximab), a similar biological medicinal product, with the same indications and restrictions as the currently PBS listed brand of infliximab (</w:t>
            </w:r>
            <w:proofErr w:type="spellStart"/>
            <w:r w:rsidRPr="00C930D8">
              <w:rPr>
                <w:rFonts w:ascii="Arial" w:hAnsi="Arial" w:cs="Arial"/>
              </w:rPr>
              <w:t>Remicade</w:t>
            </w:r>
            <w:proofErr w:type="spellEnd"/>
            <w:r w:rsidRPr="00C930D8">
              <w:rPr>
                <w:rFonts w:ascii="Arial" w:hAnsi="Arial" w:cs="Arial"/>
              </w:rPr>
              <w:t>®).</w:t>
            </w:r>
          </w:p>
        </w:tc>
        <w:tc>
          <w:tcPr>
            <w:tcW w:w="7192" w:type="dxa"/>
            <w:tcBorders>
              <w:top w:val="single" w:sz="4" w:space="0" w:color="auto"/>
              <w:left w:val="single" w:sz="4" w:space="0" w:color="auto"/>
              <w:bottom w:val="single" w:sz="4" w:space="0" w:color="auto"/>
              <w:right w:val="single" w:sz="4" w:space="0" w:color="auto"/>
            </w:tcBorders>
          </w:tcPr>
          <w:p w:rsidR="00F37EB5" w:rsidRPr="00925FB4" w:rsidRDefault="00F37EB5" w:rsidP="00660CE7">
            <w:pPr>
              <w:rPr>
                <w:rStyle w:val="IntenseReference"/>
                <w:rFonts w:ascii="Arial" w:hAnsi="Arial" w:cs="Arial"/>
                <w:b w:val="0"/>
                <w:bCs w:val="0"/>
                <w:i w:val="0"/>
                <w:smallCaps w:val="0"/>
                <w:color w:val="auto"/>
                <w:spacing w:val="0"/>
              </w:rPr>
            </w:pPr>
            <w:r w:rsidRPr="00925FB4">
              <w:rPr>
                <w:rStyle w:val="IntenseReference"/>
                <w:rFonts w:ascii="Arial" w:hAnsi="Arial" w:cs="Arial"/>
                <w:b w:val="0"/>
                <w:bCs w:val="0"/>
                <w:i w:val="0"/>
                <w:smallCaps w:val="0"/>
                <w:color w:val="auto"/>
                <w:spacing w:val="0"/>
              </w:rPr>
              <w:t>The PBAC recommended the listing of infliximab (</w:t>
            </w:r>
            <w:proofErr w:type="spellStart"/>
            <w:r w:rsidRPr="00925FB4">
              <w:rPr>
                <w:rStyle w:val="IntenseReference"/>
                <w:rFonts w:ascii="Arial" w:hAnsi="Arial" w:cs="Arial"/>
                <w:b w:val="0"/>
                <w:bCs w:val="0"/>
                <w:i w:val="0"/>
                <w:smallCaps w:val="0"/>
                <w:color w:val="auto"/>
                <w:spacing w:val="0"/>
              </w:rPr>
              <w:t>Inflectra</w:t>
            </w:r>
            <w:proofErr w:type="spellEnd"/>
            <w:r w:rsidRPr="00925FB4">
              <w:rPr>
                <w:rStyle w:val="IntenseReference"/>
                <w:rFonts w:ascii="Arial" w:hAnsi="Arial" w:cs="Arial"/>
                <w:b w:val="0"/>
                <w:bCs w:val="0"/>
                <w:i w:val="0"/>
                <w:smallCaps w:val="0"/>
                <w:color w:val="auto"/>
                <w:spacing w:val="0"/>
              </w:rPr>
              <w:t xml:space="preserve">) as a </w:t>
            </w:r>
            <w:proofErr w:type="spellStart"/>
            <w:r w:rsidRPr="00925FB4">
              <w:rPr>
                <w:rStyle w:val="IntenseReference"/>
                <w:rFonts w:ascii="Arial" w:hAnsi="Arial" w:cs="Arial"/>
                <w:b w:val="0"/>
                <w:bCs w:val="0"/>
                <w:i w:val="0"/>
                <w:smallCaps w:val="0"/>
                <w:color w:val="auto"/>
                <w:spacing w:val="0"/>
              </w:rPr>
              <w:t>biosimilar</w:t>
            </w:r>
            <w:proofErr w:type="spellEnd"/>
            <w:r w:rsidRPr="00925FB4">
              <w:rPr>
                <w:rStyle w:val="IntenseReference"/>
                <w:rFonts w:ascii="Arial" w:hAnsi="Arial" w:cs="Arial"/>
                <w:b w:val="0"/>
                <w:bCs w:val="0"/>
                <w:i w:val="0"/>
                <w:smallCaps w:val="0"/>
                <w:color w:val="auto"/>
                <w:spacing w:val="0"/>
              </w:rPr>
              <w:t xml:space="preserve"> of infliximab (</w:t>
            </w:r>
            <w:proofErr w:type="spellStart"/>
            <w:r w:rsidRPr="00925FB4">
              <w:rPr>
                <w:rStyle w:val="IntenseReference"/>
                <w:rFonts w:ascii="Arial" w:hAnsi="Arial" w:cs="Arial"/>
                <w:b w:val="0"/>
                <w:bCs w:val="0"/>
                <w:i w:val="0"/>
                <w:smallCaps w:val="0"/>
                <w:color w:val="auto"/>
                <w:spacing w:val="0"/>
              </w:rPr>
              <w:t>Remicade</w:t>
            </w:r>
            <w:proofErr w:type="spellEnd"/>
            <w:r w:rsidRPr="00925FB4">
              <w:rPr>
                <w:rStyle w:val="IntenseReference"/>
                <w:rFonts w:ascii="Arial" w:hAnsi="Arial" w:cs="Arial"/>
                <w:b w:val="0"/>
                <w:bCs w:val="0"/>
                <w:i w:val="0"/>
                <w:smallCaps w:val="0"/>
                <w:color w:val="auto"/>
                <w:spacing w:val="0"/>
              </w:rPr>
              <w:t>), on a cost-minimisation basis to infliximab (</w:t>
            </w:r>
            <w:proofErr w:type="spellStart"/>
            <w:r w:rsidRPr="00925FB4">
              <w:rPr>
                <w:rStyle w:val="IntenseReference"/>
                <w:rFonts w:ascii="Arial" w:hAnsi="Arial" w:cs="Arial"/>
                <w:b w:val="0"/>
                <w:bCs w:val="0"/>
                <w:i w:val="0"/>
                <w:smallCaps w:val="0"/>
                <w:color w:val="auto"/>
                <w:spacing w:val="0"/>
              </w:rPr>
              <w:t>Remicade</w:t>
            </w:r>
            <w:proofErr w:type="spellEnd"/>
            <w:r w:rsidRPr="00925FB4">
              <w:rPr>
                <w:rStyle w:val="IntenseReference"/>
                <w:rFonts w:ascii="Arial" w:hAnsi="Arial" w:cs="Arial"/>
                <w:b w:val="0"/>
                <w:bCs w:val="0"/>
                <w:i w:val="0"/>
                <w:smallCaps w:val="0"/>
                <w:color w:val="auto"/>
                <w:spacing w:val="0"/>
              </w:rPr>
              <w:t>), where the equi-effective doses are 100 mg infliximab (</w:t>
            </w:r>
            <w:proofErr w:type="spellStart"/>
            <w:r w:rsidRPr="00925FB4">
              <w:rPr>
                <w:rStyle w:val="IntenseReference"/>
                <w:rFonts w:ascii="Arial" w:hAnsi="Arial" w:cs="Arial"/>
                <w:b w:val="0"/>
                <w:bCs w:val="0"/>
                <w:i w:val="0"/>
                <w:smallCaps w:val="0"/>
                <w:color w:val="auto"/>
                <w:spacing w:val="0"/>
              </w:rPr>
              <w:t>Inflectra</w:t>
            </w:r>
            <w:proofErr w:type="spellEnd"/>
            <w:r w:rsidRPr="00925FB4">
              <w:rPr>
                <w:rStyle w:val="IntenseReference"/>
                <w:rFonts w:ascii="Arial" w:hAnsi="Arial" w:cs="Arial"/>
                <w:b w:val="0"/>
                <w:bCs w:val="0"/>
                <w:i w:val="0"/>
                <w:smallCaps w:val="0"/>
                <w:color w:val="auto"/>
                <w:spacing w:val="0"/>
              </w:rPr>
              <w:t>) and 100 mg infliximab (</w:t>
            </w:r>
            <w:proofErr w:type="spellStart"/>
            <w:r w:rsidRPr="00925FB4">
              <w:rPr>
                <w:rStyle w:val="IntenseReference"/>
                <w:rFonts w:ascii="Arial" w:hAnsi="Arial" w:cs="Arial"/>
                <w:b w:val="0"/>
                <w:bCs w:val="0"/>
                <w:i w:val="0"/>
                <w:smallCaps w:val="0"/>
                <w:color w:val="auto"/>
                <w:spacing w:val="0"/>
              </w:rPr>
              <w:t>Remicade</w:t>
            </w:r>
            <w:proofErr w:type="spellEnd"/>
            <w:r w:rsidRPr="00925FB4">
              <w:rPr>
                <w:rStyle w:val="IntenseReference"/>
                <w:rFonts w:ascii="Arial" w:hAnsi="Arial" w:cs="Arial"/>
                <w:b w:val="0"/>
                <w:bCs w:val="0"/>
                <w:i w:val="0"/>
                <w:smallCaps w:val="0"/>
                <w:color w:val="auto"/>
                <w:spacing w:val="0"/>
              </w:rPr>
              <w:t>). The PBAC recommended that the same indications that apply to infliximab (</w:t>
            </w:r>
            <w:proofErr w:type="spellStart"/>
            <w:r w:rsidRPr="00925FB4">
              <w:rPr>
                <w:rStyle w:val="IntenseReference"/>
                <w:rFonts w:ascii="Arial" w:hAnsi="Arial" w:cs="Arial"/>
                <w:b w:val="0"/>
                <w:bCs w:val="0"/>
                <w:i w:val="0"/>
                <w:smallCaps w:val="0"/>
                <w:color w:val="auto"/>
                <w:spacing w:val="0"/>
              </w:rPr>
              <w:t>Remicade</w:t>
            </w:r>
            <w:proofErr w:type="spellEnd"/>
            <w:r w:rsidRPr="00925FB4">
              <w:rPr>
                <w:rStyle w:val="IntenseReference"/>
                <w:rFonts w:ascii="Arial" w:hAnsi="Arial" w:cs="Arial"/>
                <w:b w:val="0"/>
                <w:bCs w:val="0"/>
                <w:i w:val="0"/>
                <w:smallCaps w:val="0"/>
                <w:color w:val="auto"/>
                <w:spacing w:val="0"/>
              </w:rPr>
              <w:t>) should apply to infliximab (</w:t>
            </w:r>
            <w:proofErr w:type="spellStart"/>
            <w:r w:rsidRPr="00925FB4">
              <w:rPr>
                <w:rStyle w:val="IntenseReference"/>
                <w:rFonts w:ascii="Arial" w:hAnsi="Arial" w:cs="Arial"/>
                <w:b w:val="0"/>
                <w:bCs w:val="0"/>
                <w:i w:val="0"/>
                <w:smallCaps w:val="0"/>
                <w:color w:val="auto"/>
                <w:spacing w:val="0"/>
              </w:rPr>
              <w:t>Inflectra</w:t>
            </w:r>
            <w:proofErr w:type="spellEnd"/>
            <w:r w:rsidRPr="00925FB4">
              <w:rPr>
                <w:rStyle w:val="IntenseReference"/>
                <w:rFonts w:ascii="Arial" w:hAnsi="Arial" w:cs="Arial"/>
                <w:b w:val="0"/>
                <w:bCs w:val="0"/>
                <w:i w:val="0"/>
                <w:smallCaps w:val="0"/>
                <w:color w:val="auto"/>
                <w:spacing w:val="0"/>
              </w:rPr>
              <w:t xml:space="preserve">). </w:t>
            </w:r>
          </w:p>
          <w:p w:rsidR="00F37EB5" w:rsidRPr="00925FB4" w:rsidRDefault="00F37EB5" w:rsidP="00660CE7">
            <w:pPr>
              <w:rPr>
                <w:rStyle w:val="IntenseReference"/>
                <w:rFonts w:ascii="Arial" w:hAnsi="Arial" w:cs="Arial"/>
                <w:b w:val="0"/>
                <w:bCs w:val="0"/>
                <w:i w:val="0"/>
                <w:smallCaps w:val="0"/>
                <w:color w:val="auto"/>
                <w:spacing w:val="0"/>
              </w:rPr>
            </w:pPr>
          </w:p>
          <w:p w:rsidR="00F37EB5" w:rsidRPr="00925FB4" w:rsidRDefault="00F37EB5" w:rsidP="00660CE7">
            <w:pPr>
              <w:rPr>
                <w:rStyle w:val="IntenseReference"/>
                <w:rFonts w:ascii="Arial" w:hAnsi="Arial" w:cs="Arial"/>
                <w:b w:val="0"/>
                <w:bCs w:val="0"/>
                <w:i w:val="0"/>
                <w:smallCaps w:val="0"/>
                <w:color w:val="auto"/>
                <w:spacing w:val="0"/>
              </w:rPr>
            </w:pPr>
            <w:r w:rsidRPr="00925FB4">
              <w:rPr>
                <w:rStyle w:val="IntenseReference"/>
                <w:rFonts w:ascii="Arial" w:hAnsi="Arial" w:cs="Arial"/>
                <w:b w:val="0"/>
                <w:bCs w:val="0"/>
                <w:i w:val="0"/>
                <w:smallCaps w:val="0"/>
                <w:color w:val="auto"/>
                <w:spacing w:val="0"/>
              </w:rPr>
              <w:t xml:space="preserve">In relation to the “a” flagging of the </w:t>
            </w:r>
            <w:proofErr w:type="spellStart"/>
            <w:r w:rsidRPr="00925FB4">
              <w:rPr>
                <w:rStyle w:val="IntenseReference"/>
                <w:rFonts w:ascii="Arial" w:hAnsi="Arial" w:cs="Arial"/>
                <w:b w:val="0"/>
                <w:bCs w:val="0"/>
                <w:i w:val="0"/>
                <w:smallCaps w:val="0"/>
                <w:color w:val="auto"/>
                <w:spacing w:val="0"/>
              </w:rPr>
              <w:t>Remicade</w:t>
            </w:r>
            <w:proofErr w:type="spellEnd"/>
            <w:r w:rsidRPr="00925FB4">
              <w:rPr>
                <w:rStyle w:val="IntenseReference"/>
                <w:rFonts w:ascii="Arial" w:hAnsi="Arial" w:cs="Arial"/>
                <w:b w:val="0"/>
                <w:bCs w:val="0"/>
                <w:i w:val="0"/>
                <w:smallCaps w:val="0"/>
                <w:color w:val="auto"/>
                <w:spacing w:val="0"/>
              </w:rPr>
              <w:t xml:space="preserve"> and </w:t>
            </w:r>
            <w:proofErr w:type="spellStart"/>
            <w:r w:rsidRPr="00925FB4">
              <w:rPr>
                <w:rStyle w:val="IntenseReference"/>
                <w:rFonts w:ascii="Arial" w:hAnsi="Arial" w:cs="Arial"/>
                <w:b w:val="0"/>
                <w:bCs w:val="0"/>
                <w:i w:val="0"/>
                <w:smallCaps w:val="0"/>
                <w:color w:val="auto"/>
                <w:spacing w:val="0"/>
              </w:rPr>
              <w:t>Inflectra</w:t>
            </w:r>
            <w:proofErr w:type="spellEnd"/>
            <w:r w:rsidRPr="00925FB4">
              <w:rPr>
                <w:rStyle w:val="IntenseReference"/>
                <w:rFonts w:ascii="Arial" w:hAnsi="Arial" w:cs="Arial"/>
                <w:b w:val="0"/>
                <w:bCs w:val="0"/>
                <w:i w:val="0"/>
                <w:smallCaps w:val="0"/>
                <w:color w:val="auto"/>
                <w:spacing w:val="0"/>
              </w:rPr>
              <w:t xml:space="preserve"> brands of infliximab, the PBAC considered a range of factors including: </w:t>
            </w:r>
          </w:p>
          <w:p w:rsidR="00F37EB5" w:rsidRPr="00925FB4" w:rsidRDefault="00F37EB5" w:rsidP="00F1055C">
            <w:pPr>
              <w:numPr>
                <w:ilvl w:val="0"/>
                <w:numId w:val="37"/>
              </w:numPr>
              <w:ind w:left="280" w:hanging="280"/>
              <w:rPr>
                <w:rStyle w:val="IntenseReference"/>
                <w:rFonts w:ascii="Arial" w:hAnsi="Arial" w:cs="Arial"/>
                <w:b w:val="0"/>
                <w:bCs w:val="0"/>
                <w:i w:val="0"/>
                <w:smallCaps w:val="0"/>
                <w:color w:val="auto"/>
                <w:spacing w:val="0"/>
              </w:rPr>
            </w:pPr>
            <w:r w:rsidRPr="00925FB4">
              <w:rPr>
                <w:rStyle w:val="IntenseReference"/>
                <w:rFonts w:ascii="Arial" w:hAnsi="Arial" w:cs="Arial"/>
                <w:b w:val="0"/>
                <w:bCs w:val="0"/>
                <w:i w:val="0"/>
                <w:smallCaps w:val="0"/>
                <w:color w:val="auto"/>
                <w:spacing w:val="0"/>
              </w:rPr>
              <w:t xml:space="preserve">There is evidence from three randomised clinical trials in treatment-naïve patients initiating on either </w:t>
            </w:r>
            <w:proofErr w:type="spellStart"/>
            <w:r w:rsidRPr="00925FB4">
              <w:rPr>
                <w:rStyle w:val="IntenseReference"/>
                <w:rFonts w:ascii="Arial" w:hAnsi="Arial" w:cs="Arial"/>
                <w:b w:val="0"/>
                <w:bCs w:val="0"/>
                <w:i w:val="0"/>
                <w:smallCaps w:val="0"/>
                <w:color w:val="auto"/>
                <w:spacing w:val="0"/>
              </w:rPr>
              <w:t>Inflectra</w:t>
            </w:r>
            <w:proofErr w:type="spellEnd"/>
            <w:r w:rsidRPr="00925FB4">
              <w:rPr>
                <w:rStyle w:val="IntenseReference"/>
                <w:rFonts w:ascii="Arial" w:hAnsi="Arial" w:cs="Arial"/>
                <w:b w:val="0"/>
                <w:bCs w:val="0"/>
                <w:i w:val="0"/>
                <w:smallCaps w:val="0"/>
                <w:color w:val="auto"/>
                <w:spacing w:val="0"/>
              </w:rPr>
              <w:t xml:space="preserve"> or </w:t>
            </w:r>
            <w:proofErr w:type="spellStart"/>
            <w:r w:rsidRPr="00925FB4">
              <w:rPr>
                <w:rStyle w:val="IntenseReference"/>
                <w:rFonts w:ascii="Arial" w:hAnsi="Arial" w:cs="Arial"/>
                <w:b w:val="0"/>
                <w:bCs w:val="0"/>
                <w:i w:val="0"/>
                <w:smallCaps w:val="0"/>
                <w:color w:val="auto"/>
                <w:spacing w:val="0"/>
              </w:rPr>
              <w:t>Remicade</w:t>
            </w:r>
            <w:proofErr w:type="spellEnd"/>
            <w:r w:rsidRPr="00925FB4">
              <w:rPr>
                <w:rStyle w:val="IntenseReference"/>
                <w:rFonts w:ascii="Arial" w:hAnsi="Arial" w:cs="Arial"/>
                <w:b w:val="0"/>
                <w:bCs w:val="0"/>
                <w:i w:val="0"/>
                <w:smallCaps w:val="0"/>
                <w:color w:val="auto"/>
                <w:spacing w:val="0"/>
              </w:rPr>
              <w:t xml:space="preserve"> that support a finding  that </w:t>
            </w:r>
            <w:proofErr w:type="spellStart"/>
            <w:r w:rsidRPr="00925FB4">
              <w:rPr>
                <w:rStyle w:val="IntenseReference"/>
                <w:rFonts w:ascii="Arial" w:hAnsi="Arial" w:cs="Arial"/>
                <w:b w:val="0"/>
                <w:bCs w:val="0"/>
                <w:i w:val="0"/>
                <w:smallCaps w:val="0"/>
                <w:color w:val="auto"/>
                <w:spacing w:val="0"/>
              </w:rPr>
              <w:t>Inflectra</w:t>
            </w:r>
            <w:proofErr w:type="spellEnd"/>
            <w:r w:rsidRPr="00925FB4">
              <w:rPr>
                <w:rStyle w:val="IntenseReference"/>
                <w:rFonts w:ascii="Arial" w:hAnsi="Arial" w:cs="Arial"/>
                <w:b w:val="0"/>
                <w:bCs w:val="0"/>
                <w:i w:val="0"/>
                <w:smallCaps w:val="0"/>
                <w:color w:val="auto"/>
                <w:spacing w:val="0"/>
              </w:rPr>
              <w:t xml:space="preserve"> has equivalent effectiveness and equivalent safety compared to </w:t>
            </w:r>
            <w:proofErr w:type="spellStart"/>
            <w:r w:rsidRPr="00925FB4">
              <w:rPr>
                <w:rStyle w:val="IntenseReference"/>
                <w:rFonts w:ascii="Arial" w:hAnsi="Arial" w:cs="Arial"/>
                <w:b w:val="0"/>
                <w:bCs w:val="0"/>
                <w:i w:val="0"/>
                <w:smallCaps w:val="0"/>
                <w:color w:val="auto"/>
                <w:spacing w:val="0"/>
              </w:rPr>
              <w:t>Remicade</w:t>
            </w:r>
            <w:proofErr w:type="spellEnd"/>
            <w:r w:rsidRPr="00925FB4">
              <w:rPr>
                <w:rStyle w:val="IntenseReference"/>
                <w:rFonts w:ascii="Arial" w:hAnsi="Arial" w:cs="Arial"/>
                <w:b w:val="0"/>
                <w:bCs w:val="0"/>
                <w:i w:val="0"/>
                <w:smallCaps w:val="0"/>
                <w:color w:val="auto"/>
                <w:spacing w:val="0"/>
              </w:rPr>
              <w:t xml:space="preserve">. </w:t>
            </w:r>
          </w:p>
          <w:p w:rsidR="00F37EB5" w:rsidRPr="00925FB4" w:rsidRDefault="00F37EB5" w:rsidP="00F1055C">
            <w:pPr>
              <w:numPr>
                <w:ilvl w:val="0"/>
                <w:numId w:val="37"/>
              </w:numPr>
              <w:ind w:left="280" w:hanging="280"/>
              <w:rPr>
                <w:rStyle w:val="IntenseReference"/>
                <w:rFonts w:ascii="Arial" w:hAnsi="Arial" w:cs="Arial"/>
                <w:b w:val="0"/>
                <w:bCs w:val="0"/>
                <w:i w:val="0"/>
                <w:smallCaps w:val="0"/>
                <w:color w:val="auto"/>
                <w:spacing w:val="0"/>
              </w:rPr>
            </w:pPr>
            <w:r w:rsidRPr="00925FB4">
              <w:rPr>
                <w:rStyle w:val="IntenseReference"/>
                <w:rFonts w:ascii="Arial" w:hAnsi="Arial" w:cs="Arial"/>
                <w:b w:val="0"/>
                <w:bCs w:val="0"/>
                <w:i w:val="0"/>
                <w:smallCaps w:val="0"/>
                <w:color w:val="auto"/>
                <w:spacing w:val="0"/>
              </w:rPr>
              <w:t xml:space="preserve">The key randomised clinical studies in rheumatoid arthritis and ankylosing spondylitis did not indicate differences in efficacy or safety of </w:t>
            </w:r>
            <w:proofErr w:type="spellStart"/>
            <w:r w:rsidRPr="00925FB4">
              <w:rPr>
                <w:rStyle w:val="IntenseReference"/>
                <w:rFonts w:ascii="Arial" w:hAnsi="Arial" w:cs="Arial"/>
                <w:b w:val="0"/>
                <w:bCs w:val="0"/>
                <w:i w:val="0"/>
                <w:smallCaps w:val="0"/>
                <w:color w:val="auto"/>
                <w:spacing w:val="0"/>
              </w:rPr>
              <w:t>Inflectra</w:t>
            </w:r>
            <w:proofErr w:type="spellEnd"/>
            <w:r w:rsidRPr="00925FB4">
              <w:rPr>
                <w:rStyle w:val="IntenseReference"/>
                <w:rFonts w:ascii="Arial" w:hAnsi="Arial" w:cs="Arial"/>
                <w:b w:val="0"/>
                <w:bCs w:val="0"/>
                <w:i w:val="0"/>
                <w:smallCaps w:val="0"/>
                <w:color w:val="auto"/>
                <w:spacing w:val="0"/>
              </w:rPr>
              <w:t xml:space="preserve"> compared with </w:t>
            </w:r>
            <w:proofErr w:type="spellStart"/>
            <w:r w:rsidRPr="00925FB4">
              <w:rPr>
                <w:rStyle w:val="IntenseReference"/>
                <w:rFonts w:ascii="Arial" w:hAnsi="Arial" w:cs="Arial"/>
                <w:b w:val="0"/>
                <w:bCs w:val="0"/>
                <w:i w:val="0"/>
                <w:smallCaps w:val="0"/>
                <w:color w:val="auto"/>
                <w:spacing w:val="0"/>
              </w:rPr>
              <w:t>Remicade</w:t>
            </w:r>
            <w:proofErr w:type="spellEnd"/>
            <w:r w:rsidRPr="00925FB4">
              <w:rPr>
                <w:rStyle w:val="IntenseReference"/>
                <w:rFonts w:ascii="Arial" w:hAnsi="Arial" w:cs="Arial"/>
                <w:b w:val="0"/>
                <w:bCs w:val="0"/>
                <w:i w:val="0"/>
                <w:smallCaps w:val="0"/>
                <w:color w:val="auto"/>
                <w:spacing w:val="0"/>
              </w:rPr>
              <w:t xml:space="preserve">. The supportive evidence from a series of non-comparative studies in patients with Crohn’s disease or ulcerative colitis demonstrates treatment with </w:t>
            </w:r>
            <w:proofErr w:type="spellStart"/>
            <w:r w:rsidRPr="00925FB4">
              <w:rPr>
                <w:rStyle w:val="IntenseReference"/>
                <w:rFonts w:ascii="Arial" w:hAnsi="Arial" w:cs="Arial"/>
                <w:b w:val="0"/>
                <w:bCs w:val="0"/>
                <w:i w:val="0"/>
                <w:smallCaps w:val="0"/>
                <w:color w:val="auto"/>
                <w:spacing w:val="0"/>
              </w:rPr>
              <w:t>Inflectra</w:t>
            </w:r>
            <w:proofErr w:type="spellEnd"/>
            <w:r w:rsidRPr="00925FB4">
              <w:rPr>
                <w:rStyle w:val="IntenseReference"/>
                <w:rFonts w:ascii="Arial" w:hAnsi="Arial" w:cs="Arial"/>
                <w:b w:val="0"/>
                <w:bCs w:val="0"/>
                <w:i w:val="0"/>
                <w:smallCaps w:val="0"/>
                <w:color w:val="auto"/>
                <w:spacing w:val="0"/>
              </w:rPr>
              <w:t xml:space="preserve"> is also effective and safe in these conditions. </w:t>
            </w:r>
          </w:p>
          <w:p w:rsidR="00F37EB5" w:rsidRPr="00925FB4" w:rsidRDefault="00F37EB5" w:rsidP="00F1055C">
            <w:pPr>
              <w:numPr>
                <w:ilvl w:val="0"/>
                <w:numId w:val="37"/>
              </w:numPr>
              <w:ind w:left="280" w:hanging="280"/>
              <w:rPr>
                <w:rStyle w:val="IntenseReference"/>
                <w:rFonts w:ascii="Arial" w:hAnsi="Arial" w:cs="Arial"/>
                <w:b w:val="0"/>
                <w:bCs w:val="0"/>
                <w:i w:val="0"/>
                <w:smallCaps w:val="0"/>
                <w:color w:val="auto"/>
                <w:spacing w:val="0"/>
              </w:rPr>
            </w:pPr>
            <w:r w:rsidRPr="00925FB4">
              <w:rPr>
                <w:rStyle w:val="IntenseReference"/>
                <w:rFonts w:ascii="Arial" w:hAnsi="Arial" w:cs="Arial"/>
                <w:b w:val="0"/>
                <w:bCs w:val="0"/>
                <w:i w:val="0"/>
                <w:smallCaps w:val="0"/>
                <w:color w:val="auto"/>
                <w:spacing w:val="0"/>
              </w:rPr>
              <w:t>The clinical data provided in the submission did not suggest that there were any identified populations where the risks of using the biosimilar product in place of the reference biologic are disproportionately high.</w:t>
            </w:r>
          </w:p>
          <w:p w:rsidR="00F37EB5" w:rsidRPr="00925FB4" w:rsidRDefault="00F37EB5" w:rsidP="00F1055C">
            <w:pPr>
              <w:numPr>
                <w:ilvl w:val="0"/>
                <w:numId w:val="37"/>
              </w:numPr>
              <w:ind w:left="280" w:hanging="280"/>
              <w:rPr>
                <w:rStyle w:val="IntenseReference"/>
                <w:rFonts w:ascii="Arial" w:hAnsi="Arial" w:cs="Arial"/>
                <w:b w:val="0"/>
                <w:bCs w:val="0"/>
                <w:i w:val="0"/>
                <w:smallCaps w:val="0"/>
                <w:color w:val="auto"/>
                <w:spacing w:val="0"/>
              </w:rPr>
            </w:pPr>
            <w:r w:rsidRPr="00925FB4">
              <w:rPr>
                <w:rStyle w:val="IntenseReference"/>
                <w:rFonts w:ascii="Arial" w:hAnsi="Arial" w:cs="Arial"/>
                <w:b w:val="0"/>
                <w:bCs w:val="0"/>
                <w:i w:val="0"/>
                <w:smallCaps w:val="0"/>
                <w:color w:val="auto"/>
                <w:spacing w:val="0"/>
              </w:rPr>
              <w:t xml:space="preserve">In the two trials with extension studies (Study 1.1 and Study 3.1), switching from </w:t>
            </w:r>
            <w:proofErr w:type="spellStart"/>
            <w:r w:rsidRPr="00925FB4">
              <w:rPr>
                <w:rStyle w:val="IntenseReference"/>
                <w:rFonts w:ascii="Arial" w:hAnsi="Arial" w:cs="Arial"/>
                <w:b w:val="0"/>
                <w:bCs w:val="0"/>
                <w:i w:val="0"/>
                <w:smallCaps w:val="0"/>
                <w:color w:val="auto"/>
                <w:spacing w:val="0"/>
              </w:rPr>
              <w:t>Remicade</w:t>
            </w:r>
            <w:proofErr w:type="spellEnd"/>
            <w:r w:rsidRPr="00925FB4">
              <w:rPr>
                <w:rStyle w:val="IntenseReference"/>
                <w:rFonts w:ascii="Arial" w:hAnsi="Arial" w:cs="Arial"/>
                <w:b w:val="0"/>
                <w:bCs w:val="0"/>
                <w:i w:val="0"/>
                <w:smallCaps w:val="0"/>
                <w:color w:val="auto"/>
                <w:spacing w:val="0"/>
              </w:rPr>
              <w:t xml:space="preserve"> to </w:t>
            </w:r>
            <w:proofErr w:type="spellStart"/>
            <w:r w:rsidRPr="00925FB4">
              <w:rPr>
                <w:rStyle w:val="IntenseReference"/>
                <w:rFonts w:ascii="Arial" w:hAnsi="Arial" w:cs="Arial"/>
                <w:b w:val="0"/>
                <w:bCs w:val="0"/>
                <w:i w:val="0"/>
                <w:smallCaps w:val="0"/>
                <w:color w:val="auto"/>
                <w:spacing w:val="0"/>
              </w:rPr>
              <w:t>Inflectra</w:t>
            </w:r>
            <w:proofErr w:type="spellEnd"/>
            <w:r w:rsidRPr="00925FB4">
              <w:rPr>
                <w:rStyle w:val="IntenseReference"/>
                <w:rFonts w:ascii="Arial" w:hAnsi="Arial" w:cs="Arial"/>
                <w:b w:val="0"/>
                <w:bCs w:val="0"/>
                <w:i w:val="0"/>
                <w:smallCaps w:val="0"/>
                <w:color w:val="auto"/>
                <w:spacing w:val="0"/>
              </w:rPr>
              <w:t xml:space="preserve"> occurred, and the clinical evidence suggested no difference in efficacy, safety or immunogenicity between the biosimilar and reference biologic in these studies.</w:t>
            </w:r>
          </w:p>
          <w:p w:rsidR="00F37EB5" w:rsidRPr="00925FB4" w:rsidRDefault="00F37EB5" w:rsidP="00F1055C">
            <w:pPr>
              <w:numPr>
                <w:ilvl w:val="0"/>
                <w:numId w:val="37"/>
              </w:numPr>
              <w:ind w:left="280" w:hanging="280"/>
              <w:rPr>
                <w:rStyle w:val="IntenseReference"/>
                <w:rFonts w:ascii="Arial" w:hAnsi="Arial" w:cs="Arial"/>
                <w:b w:val="0"/>
                <w:bCs w:val="0"/>
                <w:i w:val="0"/>
                <w:smallCaps w:val="0"/>
                <w:color w:val="auto"/>
                <w:spacing w:val="0"/>
              </w:rPr>
            </w:pPr>
            <w:r w:rsidRPr="00925FB4">
              <w:rPr>
                <w:rStyle w:val="IntenseReference"/>
                <w:rFonts w:ascii="Arial" w:hAnsi="Arial" w:cs="Arial"/>
                <w:b w:val="0"/>
                <w:bCs w:val="0"/>
                <w:i w:val="0"/>
                <w:smallCaps w:val="0"/>
                <w:color w:val="auto"/>
                <w:spacing w:val="0"/>
              </w:rPr>
              <w:t xml:space="preserve">The ACPM has declared </w:t>
            </w:r>
            <w:proofErr w:type="spellStart"/>
            <w:r w:rsidRPr="00925FB4">
              <w:rPr>
                <w:rStyle w:val="IntenseReference"/>
                <w:rFonts w:ascii="Arial" w:hAnsi="Arial" w:cs="Arial"/>
                <w:b w:val="0"/>
                <w:bCs w:val="0"/>
                <w:i w:val="0"/>
                <w:smallCaps w:val="0"/>
                <w:color w:val="auto"/>
                <w:spacing w:val="0"/>
              </w:rPr>
              <w:t>Inflectra</w:t>
            </w:r>
            <w:proofErr w:type="spellEnd"/>
            <w:r w:rsidRPr="00925FB4">
              <w:rPr>
                <w:rStyle w:val="IntenseReference"/>
                <w:rFonts w:ascii="Arial" w:hAnsi="Arial" w:cs="Arial"/>
                <w:b w:val="0"/>
                <w:bCs w:val="0"/>
                <w:i w:val="0"/>
                <w:smallCaps w:val="0"/>
                <w:color w:val="auto"/>
                <w:spacing w:val="0"/>
              </w:rPr>
              <w:t xml:space="preserve"> a </w:t>
            </w:r>
            <w:proofErr w:type="spellStart"/>
            <w:r w:rsidRPr="00925FB4">
              <w:rPr>
                <w:rStyle w:val="IntenseReference"/>
                <w:rFonts w:ascii="Arial" w:hAnsi="Arial" w:cs="Arial"/>
                <w:b w:val="0"/>
                <w:bCs w:val="0"/>
                <w:i w:val="0"/>
                <w:smallCaps w:val="0"/>
                <w:color w:val="auto"/>
                <w:spacing w:val="0"/>
              </w:rPr>
              <w:t>biosimilar</w:t>
            </w:r>
            <w:proofErr w:type="spellEnd"/>
            <w:r w:rsidRPr="00925FB4">
              <w:rPr>
                <w:rStyle w:val="IntenseReference"/>
                <w:rFonts w:ascii="Arial" w:hAnsi="Arial" w:cs="Arial"/>
                <w:b w:val="0"/>
                <w:bCs w:val="0"/>
                <w:i w:val="0"/>
                <w:smallCaps w:val="0"/>
                <w:color w:val="auto"/>
                <w:spacing w:val="0"/>
              </w:rPr>
              <w:t xml:space="preserve"> for </w:t>
            </w:r>
            <w:proofErr w:type="spellStart"/>
            <w:r w:rsidRPr="00925FB4">
              <w:rPr>
                <w:rStyle w:val="IntenseReference"/>
                <w:rFonts w:ascii="Arial" w:hAnsi="Arial" w:cs="Arial"/>
                <w:b w:val="0"/>
                <w:bCs w:val="0"/>
                <w:i w:val="0"/>
                <w:smallCaps w:val="0"/>
                <w:color w:val="auto"/>
                <w:spacing w:val="0"/>
              </w:rPr>
              <w:t>Remicade</w:t>
            </w:r>
            <w:proofErr w:type="spellEnd"/>
            <w:r w:rsidRPr="00925FB4">
              <w:rPr>
                <w:rStyle w:val="IntenseReference"/>
                <w:rFonts w:ascii="Arial" w:hAnsi="Arial" w:cs="Arial"/>
                <w:b w:val="0"/>
                <w:bCs w:val="0"/>
                <w:i w:val="0"/>
                <w:smallCaps w:val="0"/>
                <w:color w:val="auto"/>
                <w:spacing w:val="0"/>
              </w:rPr>
              <w:t xml:space="preserve">. The ACPM was satisfied of the similar safety and efficacy of </w:t>
            </w:r>
            <w:proofErr w:type="spellStart"/>
            <w:r w:rsidRPr="00925FB4">
              <w:rPr>
                <w:rStyle w:val="IntenseReference"/>
                <w:rFonts w:ascii="Arial" w:hAnsi="Arial" w:cs="Arial"/>
                <w:b w:val="0"/>
                <w:bCs w:val="0"/>
                <w:i w:val="0"/>
                <w:smallCaps w:val="0"/>
                <w:color w:val="auto"/>
                <w:spacing w:val="0"/>
              </w:rPr>
              <w:t>Inflectra</w:t>
            </w:r>
            <w:proofErr w:type="spellEnd"/>
            <w:r w:rsidRPr="00925FB4">
              <w:rPr>
                <w:rStyle w:val="IntenseReference"/>
                <w:rFonts w:ascii="Arial" w:hAnsi="Arial" w:cs="Arial"/>
                <w:b w:val="0"/>
                <w:bCs w:val="0"/>
                <w:i w:val="0"/>
                <w:smallCaps w:val="0"/>
                <w:color w:val="auto"/>
                <w:spacing w:val="0"/>
              </w:rPr>
              <w:t xml:space="preserve"> and </w:t>
            </w:r>
            <w:proofErr w:type="spellStart"/>
            <w:r w:rsidRPr="00925FB4">
              <w:rPr>
                <w:rStyle w:val="IntenseReference"/>
                <w:rFonts w:ascii="Arial" w:hAnsi="Arial" w:cs="Arial"/>
                <w:b w:val="0"/>
                <w:bCs w:val="0"/>
                <w:i w:val="0"/>
                <w:smallCaps w:val="0"/>
                <w:color w:val="auto"/>
                <w:spacing w:val="0"/>
              </w:rPr>
              <w:t>Remicade</w:t>
            </w:r>
            <w:proofErr w:type="spellEnd"/>
            <w:r w:rsidRPr="00925FB4">
              <w:rPr>
                <w:rStyle w:val="IntenseReference"/>
                <w:rFonts w:ascii="Arial" w:hAnsi="Arial" w:cs="Arial"/>
                <w:b w:val="0"/>
                <w:bCs w:val="0"/>
                <w:i w:val="0"/>
                <w:smallCaps w:val="0"/>
                <w:color w:val="auto"/>
                <w:spacing w:val="0"/>
              </w:rPr>
              <w:t xml:space="preserve"> in rheumatoid arthritis, ankylosing spondylitis, psoriatic arthritis, psoriasis, ulcerative colitis and Crohn’s disease. </w:t>
            </w:r>
          </w:p>
          <w:p w:rsidR="00F37EB5" w:rsidRDefault="00F37EB5" w:rsidP="003F528A">
            <w:pPr>
              <w:pStyle w:val="ListParagraph"/>
              <w:ind w:left="0"/>
              <w:rPr>
                <w:rFonts w:ascii="Arial" w:hAnsi="Arial" w:cs="Arial"/>
                <w:sz w:val="20"/>
                <w:szCs w:val="20"/>
              </w:rPr>
            </w:pPr>
          </w:p>
          <w:p w:rsidR="00091413" w:rsidRPr="00091413" w:rsidRDefault="00091413" w:rsidP="00091413">
            <w:pPr>
              <w:rPr>
                <w:rStyle w:val="IntenseReference"/>
                <w:rFonts w:ascii="Arial" w:hAnsi="Arial" w:cs="Arial"/>
                <w:b w:val="0"/>
                <w:bCs w:val="0"/>
                <w:i w:val="0"/>
                <w:smallCaps w:val="0"/>
                <w:color w:val="auto"/>
                <w:spacing w:val="0"/>
              </w:rPr>
            </w:pPr>
            <w:r w:rsidRPr="00091413">
              <w:rPr>
                <w:rStyle w:val="IntenseReference"/>
                <w:rFonts w:ascii="Arial" w:hAnsi="Arial" w:cs="Arial"/>
                <w:b w:val="0"/>
                <w:bCs w:val="0"/>
                <w:i w:val="0"/>
                <w:smallCaps w:val="0"/>
                <w:color w:val="auto"/>
                <w:spacing w:val="0"/>
              </w:rPr>
              <w:t xml:space="preserve">The PBAC advised the Minister that it considered the </w:t>
            </w:r>
            <w:proofErr w:type="spellStart"/>
            <w:r w:rsidRPr="00091413">
              <w:rPr>
                <w:rStyle w:val="IntenseReference"/>
                <w:rFonts w:ascii="Arial" w:hAnsi="Arial" w:cs="Arial"/>
                <w:b w:val="0"/>
                <w:bCs w:val="0"/>
                <w:i w:val="0"/>
                <w:smallCaps w:val="0"/>
                <w:color w:val="auto"/>
                <w:spacing w:val="0"/>
              </w:rPr>
              <w:t>Remicade</w:t>
            </w:r>
            <w:proofErr w:type="spellEnd"/>
            <w:r w:rsidRPr="00091413">
              <w:rPr>
                <w:rStyle w:val="IntenseReference"/>
                <w:rFonts w:ascii="Arial" w:hAnsi="Arial" w:cs="Arial"/>
                <w:b w:val="0"/>
                <w:bCs w:val="0"/>
                <w:i w:val="0"/>
                <w:smallCaps w:val="0"/>
                <w:color w:val="auto"/>
                <w:spacing w:val="0"/>
              </w:rPr>
              <w:t xml:space="preserve"> and </w:t>
            </w:r>
            <w:proofErr w:type="spellStart"/>
            <w:r w:rsidRPr="00091413">
              <w:rPr>
                <w:rStyle w:val="IntenseReference"/>
                <w:rFonts w:ascii="Arial" w:hAnsi="Arial" w:cs="Arial"/>
                <w:b w:val="0"/>
                <w:bCs w:val="0"/>
                <w:i w:val="0"/>
                <w:smallCaps w:val="0"/>
                <w:color w:val="auto"/>
                <w:spacing w:val="0"/>
              </w:rPr>
              <w:t>Inflectra</w:t>
            </w:r>
            <w:proofErr w:type="spellEnd"/>
            <w:r w:rsidRPr="00091413">
              <w:rPr>
                <w:rStyle w:val="IntenseReference"/>
                <w:rFonts w:ascii="Arial" w:hAnsi="Arial" w:cs="Arial"/>
                <w:b w:val="0"/>
                <w:bCs w:val="0"/>
                <w:i w:val="0"/>
                <w:smallCaps w:val="0"/>
                <w:color w:val="auto"/>
                <w:spacing w:val="0"/>
              </w:rPr>
              <w:t xml:space="preserve"> brands of infliximab could be marked as equivalent in the Schedule of Pharmaceutical Benefits (“a” flagged), for the purposes of substitution by the pharmacist at the point of dispensing. </w:t>
            </w:r>
          </w:p>
          <w:p w:rsidR="00091413" w:rsidRPr="00091413" w:rsidRDefault="00091413" w:rsidP="00091413">
            <w:pPr>
              <w:rPr>
                <w:rStyle w:val="IntenseReference"/>
                <w:rFonts w:ascii="Arial" w:hAnsi="Arial" w:cs="Arial"/>
                <w:b w:val="0"/>
                <w:bCs w:val="0"/>
                <w:i w:val="0"/>
                <w:smallCaps w:val="0"/>
                <w:color w:val="auto"/>
                <w:spacing w:val="0"/>
              </w:rPr>
            </w:pPr>
          </w:p>
          <w:p w:rsidR="00091413" w:rsidRPr="00091413" w:rsidRDefault="00091413" w:rsidP="00091413">
            <w:pPr>
              <w:rPr>
                <w:rStyle w:val="IntenseReference"/>
                <w:rFonts w:ascii="Arial" w:hAnsi="Arial" w:cs="Arial"/>
                <w:b w:val="0"/>
                <w:bCs w:val="0"/>
                <w:i w:val="0"/>
                <w:smallCaps w:val="0"/>
                <w:color w:val="auto"/>
                <w:spacing w:val="0"/>
              </w:rPr>
            </w:pPr>
            <w:r w:rsidRPr="00091413">
              <w:rPr>
                <w:rStyle w:val="IntenseReference"/>
                <w:rFonts w:ascii="Arial" w:hAnsi="Arial" w:cs="Arial"/>
                <w:b w:val="0"/>
                <w:bCs w:val="0"/>
                <w:i w:val="0"/>
                <w:smallCaps w:val="0"/>
                <w:color w:val="auto"/>
                <w:spacing w:val="0"/>
              </w:rPr>
              <w:t xml:space="preserve">The PBAC noted that it had held a consumer hearing on biosimilars, and that the issues discussed at the hearing in relation to biosimilar substitution had been considered by the PBAC when making its recommendation.  </w:t>
            </w:r>
          </w:p>
          <w:p w:rsidR="00091413" w:rsidRPr="00091413" w:rsidRDefault="00091413" w:rsidP="00091413">
            <w:pPr>
              <w:rPr>
                <w:rStyle w:val="IntenseReference"/>
                <w:rFonts w:ascii="Arial" w:hAnsi="Arial" w:cs="Arial"/>
                <w:b w:val="0"/>
                <w:bCs w:val="0"/>
                <w:i w:val="0"/>
                <w:smallCaps w:val="0"/>
                <w:color w:val="auto"/>
                <w:spacing w:val="0"/>
              </w:rPr>
            </w:pPr>
            <w:r w:rsidRPr="00091413">
              <w:rPr>
                <w:rStyle w:val="IntenseReference"/>
                <w:rFonts w:ascii="Arial" w:hAnsi="Arial" w:cs="Arial"/>
                <w:b w:val="0"/>
                <w:bCs w:val="0"/>
                <w:i w:val="0"/>
                <w:smallCaps w:val="0"/>
                <w:color w:val="auto"/>
                <w:spacing w:val="0"/>
              </w:rPr>
              <w:lastRenderedPageBreak/>
              <w:t xml:space="preserve">The PBAC noted that there appeared a public misunderstanding about how substitution occurs, and </w:t>
            </w:r>
            <w:proofErr w:type="gramStart"/>
            <w:r w:rsidRPr="00091413">
              <w:rPr>
                <w:rStyle w:val="IntenseReference"/>
                <w:rFonts w:ascii="Arial" w:hAnsi="Arial" w:cs="Arial"/>
                <w:b w:val="0"/>
                <w:bCs w:val="0"/>
                <w:i w:val="0"/>
                <w:smallCaps w:val="0"/>
                <w:color w:val="auto"/>
                <w:spacing w:val="0"/>
              </w:rPr>
              <w:t>noted  that</w:t>
            </w:r>
            <w:proofErr w:type="gramEnd"/>
            <w:r w:rsidRPr="00091413">
              <w:rPr>
                <w:rStyle w:val="IntenseReference"/>
                <w:rFonts w:ascii="Arial" w:hAnsi="Arial" w:cs="Arial"/>
                <w:b w:val="0"/>
                <w:bCs w:val="0"/>
                <w:i w:val="0"/>
                <w:smallCaps w:val="0"/>
                <w:color w:val="auto"/>
                <w:spacing w:val="0"/>
              </w:rPr>
              <w:t xml:space="preserve"> the substitution process allows for patient and prescriber choice and is not automatic. For any individual prescription, a prescriber may choose to not permit brand substitution. If on the other hand, substitution has been permitted by the prescriber, the patient may choose which brand they wish to receive from the pharmacist.  The PBAC noted that in relation to concerns about traceability, that Medicare routinely collects information on the brand of drug that is dispensed for a patient.  In relation to concerns about multiple switches of brands, the PBAC considered that this is unlikely to occur in practice because infliximab is administered via an infusion with most patients receiving all courses of treatment at a single centre, reducing the likelihood of switches between brands.</w:t>
            </w:r>
          </w:p>
          <w:p w:rsidR="00091413" w:rsidRPr="00091413" w:rsidRDefault="00091413" w:rsidP="00091413">
            <w:pPr>
              <w:rPr>
                <w:rStyle w:val="IntenseReference"/>
                <w:rFonts w:ascii="Arial" w:hAnsi="Arial" w:cs="Arial"/>
                <w:b w:val="0"/>
                <w:bCs w:val="0"/>
                <w:i w:val="0"/>
                <w:smallCaps w:val="0"/>
                <w:color w:val="auto"/>
                <w:spacing w:val="0"/>
              </w:rPr>
            </w:pPr>
          </w:p>
          <w:p w:rsidR="00F37EB5" w:rsidRPr="00925FB4" w:rsidRDefault="00091413" w:rsidP="00091413">
            <w:pPr>
              <w:rPr>
                <w:rStyle w:val="IntenseReference"/>
                <w:rFonts w:ascii="Arial" w:hAnsi="Arial" w:cs="Arial"/>
                <w:b w:val="0"/>
                <w:bCs w:val="0"/>
                <w:i w:val="0"/>
                <w:smallCaps w:val="0"/>
                <w:color w:val="auto"/>
                <w:spacing w:val="0"/>
              </w:rPr>
            </w:pPr>
            <w:r w:rsidRPr="00091413">
              <w:rPr>
                <w:rStyle w:val="IntenseReference"/>
                <w:rFonts w:ascii="Arial" w:hAnsi="Arial" w:cs="Arial"/>
                <w:b w:val="0"/>
                <w:bCs w:val="0"/>
                <w:i w:val="0"/>
                <w:smallCaps w:val="0"/>
                <w:color w:val="auto"/>
                <w:spacing w:val="0"/>
              </w:rPr>
              <w:t xml:space="preserve">The PBAC recommended that the Department develop an implementation strategy for infliximab for the PBAC’s review before an “a” flag can be included against the </w:t>
            </w:r>
            <w:proofErr w:type="spellStart"/>
            <w:r w:rsidRPr="00091413">
              <w:rPr>
                <w:rStyle w:val="IntenseReference"/>
                <w:rFonts w:ascii="Arial" w:hAnsi="Arial" w:cs="Arial"/>
                <w:b w:val="0"/>
                <w:bCs w:val="0"/>
                <w:i w:val="0"/>
                <w:smallCaps w:val="0"/>
                <w:color w:val="auto"/>
                <w:spacing w:val="0"/>
              </w:rPr>
              <w:t>Inflectra</w:t>
            </w:r>
            <w:proofErr w:type="spellEnd"/>
            <w:r w:rsidRPr="00091413">
              <w:rPr>
                <w:rStyle w:val="IntenseReference"/>
                <w:rFonts w:ascii="Arial" w:hAnsi="Arial" w:cs="Arial"/>
                <w:b w:val="0"/>
                <w:bCs w:val="0"/>
                <w:i w:val="0"/>
                <w:smallCaps w:val="0"/>
                <w:color w:val="auto"/>
                <w:spacing w:val="0"/>
              </w:rPr>
              <w:t xml:space="preserve"> and </w:t>
            </w:r>
            <w:proofErr w:type="spellStart"/>
            <w:r w:rsidRPr="00091413">
              <w:rPr>
                <w:rStyle w:val="IntenseReference"/>
                <w:rFonts w:ascii="Arial" w:hAnsi="Arial" w:cs="Arial"/>
                <w:b w:val="0"/>
                <w:bCs w:val="0"/>
                <w:i w:val="0"/>
                <w:smallCaps w:val="0"/>
                <w:color w:val="auto"/>
                <w:spacing w:val="0"/>
              </w:rPr>
              <w:t>Remicade</w:t>
            </w:r>
            <w:proofErr w:type="spellEnd"/>
            <w:r w:rsidRPr="00091413">
              <w:rPr>
                <w:rStyle w:val="IntenseReference"/>
                <w:rFonts w:ascii="Arial" w:hAnsi="Arial" w:cs="Arial"/>
                <w:b w:val="0"/>
                <w:bCs w:val="0"/>
                <w:i w:val="0"/>
                <w:smallCaps w:val="0"/>
                <w:color w:val="auto"/>
                <w:spacing w:val="0"/>
              </w:rPr>
              <w:t xml:space="preserve"> brands on the Schedule. This implementation strategy should include an education campaign designed to support and promote the use of biosimilars, improving awareness and confidence by both health professionals and consumers to choose these products.</w:t>
            </w:r>
          </w:p>
          <w:p w:rsidR="00F37EB5" w:rsidRPr="00925FB4" w:rsidRDefault="00F37EB5" w:rsidP="003F528A">
            <w:pPr>
              <w:rPr>
                <w:rStyle w:val="IntenseReference"/>
                <w:rFonts w:ascii="Arial" w:hAnsi="Arial" w:cs="Arial"/>
                <w:b w:val="0"/>
                <w:bCs w:val="0"/>
                <w:i w:val="0"/>
                <w:smallCaps w:val="0"/>
                <w:color w:val="auto"/>
                <w:spacing w:val="0"/>
              </w:rPr>
            </w:pPr>
          </w:p>
          <w:p w:rsidR="00F37EB5" w:rsidRPr="00925FB4" w:rsidRDefault="00F37EB5" w:rsidP="003F528A">
            <w:pPr>
              <w:rPr>
                <w:rFonts w:ascii="Arial" w:hAnsi="Arial" w:cs="Arial"/>
              </w:rPr>
            </w:pPr>
            <w:r w:rsidRPr="00925FB4">
              <w:rPr>
                <w:rStyle w:val="IntenseReference"/>
                <w:rFonts w:ascii="Arial" w:hAnsi="Arial" w:cs="Arial"/>
                <w:b w:val="0"/>
                <w:bCs w:val="0"/>
                <w:i w:val="0"/>
                <w:smallCaps w:val="0"/>
                <w:color w:val="auto"/>
                <w:spacing w:val="0"/>
              </w:rPr>
              <w:t>The PBAC reiterated its position that it would consider the marking of equivalent (i.e. “a” flagging) in the Schedule of biosimilar medicines with their reference medicine on a case by case basis, taking into account the evidence presented in each submission to list a biosimilar medicine.</w:t>
            </w: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55653D">
            <w:pPr>
              <w:rPr>
                <w:rFonts w:ascii="Arial" w:hAnsi="Arial" w:cs="Arial"/>
                <w:b/>
              </w:rPr>
            </w:pPr>
            <w:r w:rsidRPr="00A10D66">
              <w:rPr>
                <w:rFonts w:ascii="Arial" w:hAnsi="Arial" w:cs="Arial"/>
                <w:b/>
              </w:rPr>
              <w:lastRenderedPageBreak/>
              <w:t xml:space="preserve">INSULIN GLARGINE </w:t>
            </w:r>
          </w:p>
          <w:p w:rsidR="00F37EB5" w:rsidRPr="00A10D66" w:rsidRDefault="00F37EB5" w:rsidP="0055653D">
            <w:pPr>
              <w:rPr>
                <w:rFonts w:ascii="Arial" w:hAnsi="Arial" w:cs="Arial"/>
              </w:rPr>
            </w:pPr>
            <w:r w:rsidRPr="00A10D66">
              <w:rPr>
                <w:rFonts w:ascii="Arial" w:hAnsi="Arial" w:cs="Arial"/>
              </w:rPr>
              <w:t xml:space="preserve">300 unit/mL, 1 x 1.5 mL cartridge </w:t>
            </w:r>
          </w:p>
          <w:p w:rsidR="00F37EB5" w:rsidRPr="00A10D66" w:rsidRDefault="00F37EB5" w:rsidP="0055653D">
            <w:pPr>
              <w:rPr>
                <w:rFonts w:ascii="Arial" w:hAnsi="Arial" w:cs="Arial"/>
              </w:rPr>
            </w:pPr>
            <w:r w:rsidRPr="00A10D66">
              <w:rPr>
                <w:rFonts w:ascii="Arial" w:hAnsi="Arial" w:cs="Arial"/>
              </w:rPr>
              <w:t xml:space="preserve">300 unit/mL, 3 x 1.5 mL cartridge </w:t>
            </w:r>
          </w:p>
          <w:p w:rsidR="00F37EB5" w:rsidRPr="00A10D66" w:rsidRDefault="00F37EB5" w:rsidP="0055653D">
            <w:pPr>
              <w:rPr>
                <w:rFonts w:ascii="Arial" w:hAnsi="Arial" w:cs="Arial"/>
              </w:rPr>
            </w:pPr>
            <w:r w:rsidRPr="00A10D66">
              <w:rPr>
                <w:rFonts w:ascii="Arial" w:hAnsi="Arial" w:cs="Arial"/>
              </w:rPr>
              <w:t xml:space="preserve">300 unit/mL, 5 x 1.5 mL cartridge </w:t>
            </w:r>
          </w:p>
          <w:p w:rsidR="00F37EB5" w:rsidRPr="00A10D66" w:rsidRDefault="00F37EB5" w:rsidP="0055653D">
            <w:pPr>
              <w:rPr>
                <w:rFonts w:ascii="Arial" w:hAnsi="Arial" w:cs="Arial"/>
              </w:rPr>
            </w:pPr>
          </w:p>
          <w:p w:rsidR="00F37EB5" w:rsidRPr="00A10D66" w:rsidRDefault="00F37EB5" w:rsidP="0055653D">
            <w:pPr>
              <w:rPr>
                <w:rFonts w:ascii="Arial" w:hAnsi="Arial" w:cs="Arial"/>
              </w:rPr>
            </w:pPr>
            <w:r w:rsidRPr="00A10D66">
              <w:rPr>
                <w:rFonts w:ascii="Arial" w:hAnsi="Arial" w:cs="Arial"/>
              </w:rPr>
              <w:t xml:space="preserve">TOUJEO® </w:t>
            </w:r>
          </w:p>
          <w:p w:rsidR="00F37EB5" w:rsidRPr="00A10D66" w:rsidRDefault="00F37EB5" w:rsidP="0055653D">
            <w:pPr>
              <w:rPr>
                <w:rFonts w:ascii="Arial" w:hAnsi="Arial" w:cs="Arial"/>
              </w:rPr>
            </w:pPr>
          </w:p>
          <w:p w:rsidR="00F37EB5" w:rsidRPr="00A10D66" w:rsidRDefault="00F37EB5" w:rsidP="0055653D">
            <w:pPr>
              <w:rPr>
                <w:rFonts w:ascii="Arial" w:hAnsi="Arial" w:cs="Arial"/>
              </w:rPr>
            </w:pPr>
            <w:proofErr w:type="spellStart"/>
            <w:r w:rsidRPr="00A10D66">
              <w:rPr>
                <w:rFonts w:ascii="Arial" w:hAnsi="Arial" w:cs="Arial"/>
              </w:rPr>
              <w:t>Sanofi-aventis</w:t>
            </w:r>
            <w:proofErr w:type="spellEnd"/>
          </w:p>
          <w:p w:rsidR="00F37EB5" w:rsidRPr="00A10D66" w:rsidRDefault="00F37EB5" w:rsidP="0055653D">
            <w:pPr>
              <w:rPr>
                <w:rFonts w:ascii="Arial" w:hAnsi="Arial" w:cs="Arial"/>
              </w:rPr>
            </w:pPr>
          </w:p>
          <w:p w:rsidR="00F37EB5" w:rsidRPr="00A10D66" w:rsidRDefault="00F37EB5" w:rsidP="0055653D">
            <w:pPr>
              <w:rPr>
                <w:rFonts w:ascii="Arial" w:hAnsi="Arial" w:cs="Arial"/>
              </w:rPr>
            </w:pPr>
            <w:r w:rsidRPr="00A10D66">
              <w:rPr>
                <w:rFonts w:ascii="Arial" w:hAnsi="Arial" w:cs="Arial"/>
              </w:rPr>
              <w:t xml:space="preserve">New listing </w:t>
            </w:r>
          </w:p>
          <w:p w:rsidR="00F37EB5" w:rsidRPr="00A10D66" w:rsidRDefault="00F37EB5" w:rsidP="0055653D">
            <w:pPr>
              <w:rPr>
                <w:rFonts w:ascii="Arial" w:hAnsi="Arial" w:cs="Arial"/>
              </w:rPr>
            </w:pPr>
          </w:p>
          <w:p w:rsidR="00F37EB5" w:rsidRPr="00925FB4" w:rsidRDefault="00F37EB5" w:rsidP="0055653D">
            <w:pPr>
              <w:rPr>
                <w:rFonts w:ascii="Arial" w:hAnsi="Arial" w:cs="Arial"/>
                <w:b/>
              </w:rPr>
            </w:pPr>
            <w:r w:rsidRPr="00A10D66">
              <w:rPr>
                <w:rFonts w:ascii="Arial" w:hAnsi="Arial" w:cs="Arial"/>
              </w:rPr>
              <w:t>(Major Submission)</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A10D66">
              <w:rPr>
                <w:rFonts w:ascii="Arial" w:hAnsi="Arial" w:cs="Arial"/>
              </w:rPr>
              <w:t>Diabetes</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A10D66">
              <w:rPr>
                <w:rFonts w:ascii="Arial" w:hAnsi="Arial" w:cs="Arial"/>
              </w:rPr>
              <w:t>Unrestricted benefit listing.</w:t>
            </w:r>
          </w:p>
        </w:tc>
        <w:tc>
          <w:tcPr>
            <w:tcW w:w="7192" w:type="dxa"/>
            <w:tcBorders>
              <w:top w:val="single" w:sz="4" w:space="0" w:color="auto"/>
              <w:left w:val="single" w:sz="4" w:space="0" w:color="auto"/>
              <w:bottom w:val="single" w:sz="4" w:space="0" w:color="auto"/>
              <w:right w:val="single" w:sz="4" w:space="0" w:color="auto"/>
            </w:tcBorders>
          </w:tcPr>
          <w:p w:rsidR="00F37EB5" w:rsidRPr="00935CDB" w:rsidRDefault="00F37EB5" w:rsidP="00935CDB">
            <w:pPr>
              <w:rPr>
                <w:rFonts w:ascii="Arial" w:hAnsi="Arial" w:cs="Arial"/>
                <w:bCs/>
                <w:lang w:val="en-GB"/>
              </w:rPr>
            </w:pPr>
            <w:r w:rsidRPr="00935CDB">
              <w:rPr>
                <w:rFonts w:ascii="Arial" w:hAnsi="Arial" w:cs="Arial"/>
                <w:bCs/>
                <w:lang w:val="en-GB"/>
              </w:rPr>
              <w:t xml:space="preserve">The PBAC recommended insulin glargine U300 as an unrestricted benefit on the basis of cost-minimisation to </w:t>
            </w:r>
            <w:r>
              <w:rPr>
                <w:rFonts w:ascii="Arial" w:hAnsi="Arial" w:cs="Arial"/>
                <w:bCs/>
                <w:lang w:val="en-GB"/>
              </w:rPr>
              <w:t xml:space="preserve">insulin glargine </w:t>
            </w:r>
            <w:r w:rsidRPr="00935CDB">
              <w:rPr>
                <w:rFonts w:ascii="Arial" w:hAnsi="Arial" w:cs="Arial"/>
                <w:bCs/>
                <w:lang w:val="en-GB"/>
              </w:rPr>
              <w:t>U100 for both type 1 and type</w:t>
            </w:r>
            <w:r>
              <w:rPr>
                <w:rFonts w:ascii="Arial" w:hAnsi="Arial" w:cs="Arial"/>
                <w:bCs/>
                <w:lang w:val="en-GB"/>
              </w:rPr>
              <w:t> </w:t>
            </w:r>
            <w:r w:rsidRPr="00935CDB">
              <w:rPr>
                <w:rFonts w:ascii="Arial" w:hAnsi="Arial" w:cs="Arial"/>
                <w:bCs/>
                <w:lang w:val="en-GB"/>
              </w:rPr>
              <w:t xml:space="preserve">2 diabetes mellitus. The PBAC rejected the claimed benefit in hypoglycaemic events and the modelled cost effectiveness in type 2 diabetes </w:t>
            </w:r>
            <w:r w:rsidRPr="00935CDB">
              <w:rPr>
                <w:rFonts w:ascii="Arial" w:hAnsi="Arial" w:cs="Arial"/>
              </w:rPr>
              <w:t>mellitus.</w:t>
            </w:r>
            <w:r w:rsidRPr="00935CDB">
              <w:rPr>
                <w:rFonts w:ascii="Arial" w:hAnsi="Arial" w:cs="Arial"/>
                <w:bCs/>
                <w:lang w:val="en-GB"/>
              </w:rPr>
              <w:t xml:space="preserve"> The PBAC noted the supportive comments from consumers but considered there was low clinical need for this additional formulation of insulin glargine.</w:t>
            </w:r>
          </w:p>
          <w:p w:rsidR="00F37EB5" w:rsidRDefault="00F37EB5" w:rsidP="00935CDB">
            <w:pPr>
              <w:rPr>
                <w:rFonts w:ascii="Arial" w:hAnsi="Arial" w:cs="Arial"/>
                <w:bCs/>
              </w:rPr>
            </w:pPr>
          </w:p>
          <w:p w:rsidR="00F37EB5" w:rsidRPr="0038081F" w:rsidRDefault="00F37EB5" w:rsidP="00935CDB">
            <w:pPr>
              <w:rPr>
                <w:rFonts w:ascii="Arial" w:hAnsi="Arial" w:cs="Arial"/>
                <w:bCs/>
                <w:u w:val="single"/>
              </w:rPr>
            </w:pPr>
            <w:r>
              <w:rPr>
                <w:rFonts w:ascii="Arial" w:hAnsi="Arial" w:cs="Arial"/>
                <w:bCs/>
                <w:u w:val="single"/>
              </w:rPr>
              <w:t>Type 1 diabetes mellitus</w:t>
            </w:r>
            <w:r w:rsidRPr="0038081F">
              <w:rPr>
                <w:rFonts w:ascii="Arial" w:hAnsi="Arial" w:cs="Arial"/>
                <w:bCs/>
                <w:u w:val="single"/>
              </w:rPr>
              <w:t>:</w:t>
            </w:r>
          </w:p>
          <w:p w:rsidR="00F37EB5" w:rsidRDefault="00F37EB5" w:rsidP="00935CDB">
            <w:pPr>
              <w:rPr>
                <w:rFonts w:ascii="Arial" w:hAnsi="Arial" w:cs="Arial"/>
              </w:rPr>
            </w:pPr>
            <w:r w:rsidRPr="00935CDB">
              <w:rPr>
                <w:rFonts w:ascii="Arial" w:hAnsi="Arial" w:cs="Arial"/>
              </w:rPr>
              <w:t>On the basis of one head-to-head trial (EDITION IV) presented in the submission, U300 appears to have the same effect</w:t>
            </w:r>
            <w:r>
              <w:rPr>
                <w:rFonts w:ascii="Arial" w:hAnsi="Arial" w:cs="Arial"/>
              </w:rPr>
              <w:t xml:space="preserve"> on </w:t>
            </w:r>
            <w:r w:rsidRPr="00935CDB">
              <w:rPr>
                <w:rFonts w:ascii="Arial" w:hAnsi="Arial" w:cs="Arial"/>
              </w:rPr>
              <w:t xml:space="preserve">glycosylated haemoglobin </w:t>
            </w:r>
            <w:r>
              <w:rPr>
                <w:rFonts w:ascii="Arial" w:hAnsi="Arial" w:cs="Arial"/>
              </w:rPr>
              <w:t xml:space="preserve">and frequency of adverse events </w:t>
            </w:r>
            <w:r w:rsidRPr="00935CDB">
              <w:rPr>
                <w:rFonts w:ascii="Arial" w:hAnsi="Arial" w:cs="Arial"/>
              </w:rPr>
              <w:t xml:space="preserve">as U100 in the treatment of </w:t>
            </w:r>
            <w:r>
              <w:rPr>
                <w:rFonts w:ascii="Arial" w:hAnsi="Arial" w:cs="Arial"/>
              </w:rPr>
              <w:t>type 1 diabetes mellitus</w:t>
            </w:r>
            <w:r w:rsidRPr="00935CDB">
              <w:rPr>
                <w:rFonts w:ascii="Arial" w:hAnsi="Arial" w:cs="Arial"/>
              </w:rPr>
              <w:t xml:space="preserve">. </w:t>
            </w:r>
          </w:p>
          <w:p w:rsidR="00F37EB5" w:rsidRDefault="00F37EB5" w:rsidP="00935CDB">
            <w:pPr>
              <w:rPr>
                <w:rFonts w:ascii="Arial" w:hAnsi="Arial" w:cs="Arial"/>
              </w:rPr>
            </w:pPr>
          </w:p>
          <w:p w:rsidR="00F37EB5" w:rsidRPr="00895B59" w:rsidRDefault="00F37EB5" w:rsidP="00AD1EEA">
            <w:pPr>
              <w:rPr>
                <w:rFonts w:ascii="Arial" w:hAnsi="Arial" w:cs="Arial"/>
                <w:bCs/>
                <w:u w:val="single"/>
              </w:rPr>
            </w:pPr>
            <w:r>
              <w:rPr>
                <w:rFonts w:ascii="Arial" w:hAnsi="Arial" w:cs="Arial"/>
                <w:bCs/>
                <w:u w:val="single"/>
              </w:rPr>
              <w:t>Type 2 diabetes mellitus</w:t>
            </w:r>
            <w:r w:rsidRPr="00895B59">
              <w:rPr>
                <w:rFonts w:ascii="Arial" w:hAnsi="Arial" w:cs="Arial"/>
                <w:bCs/>
                <w:u w:val="single"/>
              </w:rPr>
              <w:t>:</w:t>
            </w:r>
          </w:p>
          <w:p w:rsidR="00F37EB5" w:rsidRPr="00935CDB" w:rsidRDefault="00F37EB5" w:rsidP="00560272">
            <w:pPr>
              <w:rPr>
                <w:rFonts w:ascii="Arial" w:hAnsi="Arial" w:cs="Arial"/>
              </w:rPr>
            </w:pPr>
            <w:r w:rsidRPr="00935CDB">
              <w:rPr>
                <w:rFonts w:ascii="Arial" w:hAnsi="Arial" w:cs="Arial"/>
              </w:rPr>
              <w:t xml:space="preserve">On the basis of three head-to-head trials (EDITION I, II and III), U300 appears to have the same effect </w:t>
            </w:r>
            <w:r>
              <w:rPr>
                <w:rFonts w:ascii="Arial" w:hAnsi="Arial" w:cs="Arial"/>
              </w:rPr>
              <w:t xml:space="preserve">on </w:t>
            </w:r>
            <w:r w:rsidRPr="00935CDB">
              <w:rPr>
                <w:rFonts w:ascii="Arial" w:hAnsi="Arial" w:cs="Arial"/>
              </w:rPr>
              <w:t xml:space="preserve">glycosylated haemoglobin as U100 in the treatment of </w:t>
            </w:r>
            <w:r>
              <w:rPr>
                <w:rFonts w:ascii="Arial" w:hAnsi="Arial" w:cs="Arial"/>
              </w:rPr>
              <w:t>type 2 diabetes mellitus</w:t>
            </w:r>
            <w:r w:rsidRPr="00935CDB">
              <w:rPr>
                <w:rFonts w:ascii="Arial" w:hAnsi="Arial" w:cs="Arial"/>
              </w:rPr>
              <w:t xml:space="preserve">. </w:t>
            </w:r>
          </w:p>
          <w:p w:rsidR="00796703" w:rsidRPr="00796703" w:rsidRDefault="00796703" w:rsidP="00796703">
            <w:pPr>
              <w:rPr>
                <w:rFonts w:ascii="Arial" w:hAnsi="Arial" w:cs="Arial"/>
              </w:rPr>
            </w:pPr>
          </w:p>
          <w:p w:rsidR="003F66A8" w:rsidRDefault="003F66A8" w:rsidP="00796703">
            <w:pPr>
              <w:rPr>
                <w:rFonts w:ascii="Arial" w:hAnsi="Arial" w:cs="Arial"/>
              </w:rPr>
            </w:pPr>
            <w:r w:rsidRPr="003F66A8">
              <w:rPr>
                <w:rFonts w:ascii="Arial" w:hAnsi="Arial" w:cs="Arial"/>
              </w:rPr>
              <w:t xml:space="preserve">The PBAC did not accept U300 to have superior comparative safety in terms of reduced risk of hypoglycaemia. </w:t>
            </w:r>
          </w:p>
          <w:p w:rsidR="003F66A8" w:rsidRDefault="003F66A8" w:rsidP="00796703">
            <w:pPr>
              <w:rPr>
                <w:rFonts w:ascii="Arial" w:hAnsi="Arial" w:cs="Arial"/>
              </w:rPr>
            </w:pPr>
          </w:p>
          <w:p w:rsidR="00796703" w:rsidRPr="00796703" w:rsidRDefault="00796703" w:rsidP="00796703">
            <w:pPr>
              <w:rPr>
                <w:rFonts w:ascii="Arial" w:hAnsi="Arial" w:cs="Arial"/>
              </w:rPr>
            </w:pPr>
            <w:r w:rsidRPr="00796703">
              <w:rPr>
                <w:rFonts w:ascii="Arial" w:hAnsi="Arial" w:cs="Arial"/>
              </w:rPr>
              <w:t xml:space="preserve">Based on the acceptance of non-inferiority of both comparative clinical effectiveness and safety, the PBAC agreed with the following equi-effective doses for </w:t>
            </w:r>
            <w:r w:rsidR="00D94BDE">
              <w:rPr>
                <w:rFonts w:ascii="Arial" w:hAnsi="Arial" w:cs="Arial"/>
              </w:rPr>
              <w:t>type 2 diabetes mellitus</w:t>
            </w:r>
            <w:r w:rsidRPr="00796703">
              <w:rPr>
                <w:rFonts w:ascii="Arial" w:hAnsi="Arial" w:cs="Arial"/>
              </w:rPr>
              <w:t>:</w:t>
            </w:r>
          </w:p>
          <w:p w:rsidR="00796703" w:rsidRPr="00796703" w:rsidRDefault="00796703" w:rsidP="00796703">
            <w:pPr>
              <w:numPr>
                <w:ilvl w:val="0"/>
                <w:numId w:val="39"/>
              </w:numPr>
              <w:rPr>
                <w:rFonts w:ascii="Arial" w:hAnsi="Arial" w:cs="Arial"/>
              </w:rPr>
            </w:pPr>
            <w:r w:rsidRPr="00796703">
              <w:rPr>
                <w:rFonts w:ascii="Arial" w:hAnsi="Arial" w:cs="Arial"/>
              </w:rPr>
              <w:t xml:space="preserve">EDITION I: </w:t>
            </w:r>
            <w:r w:rsidRPr="00796703">
              <w:rPr>
                <w:rFonts w:ascii="Arial" w:hAnsi="Arial" w:cs="Arial"/>
              </w:rPr>
              <w:tab/>
              <w:t>1U of U300 = 0.91U of U100</w:t>
            </w:r>
          </w:p>
          <w:p w:rsidR="00796703" w:rsidRPr="00796703" w:rsidRDefault="00796703" w:rsidP="00796703">
            <w:pPr>
              <w:numPr>
                <w:ilvl w:val="0"/>
                <w:numId w:val="39"/>
              </w:numPr>
              <w:rPr>
                <w:rFonts w:ascii="Arial" w:hAnsi="Arial" w:cs="Arial"/>
              </w:rPr>
            </w:pPr>
            <w:r w:rsidRPr="00796703">
              <w:rPr>
                <w:rFonts w:ascii="Arial" w:hAnsi="Arial" w:cs="Arial"/>
              </w:rPr>
              <w:t xml:space="preserve">EDITION II: </w:t>
            </w:r>
            <w:r w:rsidRPr="00796703">
              <w:rPr>
                <w:rFonts w:ascii="Arial" w:hAnsi="Arial" w:cs="Arial"/>
              </w:rPr>
              <w:tab/>
              <w:t>1U of U300 = 0.90U of U100</w:t>
            </w:r>
          </w:p>
          <w:p w:rsidR="00F37EB5" w:rsidRDefault="00796703" w:rsidP="00796703">
            <w:pPr>
              <w:numPr>
                <w:ilvl w:val="0"/>
                <w:numId w:val="39"/>
              </w:numPr>
              <w:rPr>
                <w:rFonts w:ascii="Arial" w:hAnsi="Arial" w:cs="Arial"/>
              </w:rPr>
            </w:pPr>
            <w:r w:rsidRPr="00796703">
              <w:rPr>
                <w:rFonts w:ascii="Arial" w:hAnsi="Arial" w:cs="Arial"/>
              </w:rPr>
              <w:t>EDITION III:</w:t>
            </w:r>
            <w:r w:rsidRPr="00796703">
              <w:rPr>
                <w:rFonts w:ascii="Arial" w:hAnsi="Arial" w:cs="Arial"/>
              </w:rPr>
              <w:tab/>
              <w:t>1U of U300 = 0.88U of U100</w:t>
            </w:r>
          </w:p>
          <w:p w:rsidR="008C6E04" w:rsidRDefault="008C6E04" w:rsidP="008C6E04">
            <w:pPr>
              <w:rPr>
                <w:rFonts w:ascii="Arial" w:hAnsi="Arial" w:cs="Arial"/>
              </w:rPr>
            </w:pPr>
          </w:p>
          <w:p w:rsidR="008C6E04" w:rsidRPr="00925FB4" w:rsidRDefault="008C6E04" w:rsidP="008C6E04">
            <w:pPr>
              <w:rPr>
                <w:rFonts w:ascii="Arial" w:hAnsi="Arial" w:cs="Arial"/>
              </w:rPr>
            </w:pPr>
            <w:r w:rsidRPr="008C6E04">
              <w:rPr>
                <w:rFonts w:ascii="Arial" w:hAnsi="Arial" w:cs="Arial"/>
              </w:rPr>
              <w:t>The PBAC noted the 28 day shelf life of the U300 and that the increase in the number of units per cartridge may result in increased wastage in a small group of patients. The PBAC considered a small reduction in the price of the U300 was appropriate to account for the potential wastage.</w:t>
            </w: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6101D8">
            <w:pPr>
              <w:rPr>
                <w:rFonts w:ascii="Arial" w:hAnsi="Arial" w:cs="Arial"/>
                <w:b/>
              </w:rPr>
            </w:pPr>
            <w:r w:rsidRPr="00784A12">
              <w:rPr>
                <w:rFonts w:ascii="Arial" w:hAnsi="Arial" w:cs="Arial"/>
                <w:b/>
              </w:rPr>
              <w:lastRenderedPageBreak/>
              <w:t xml:space="preserve">LEUPRORELIN </w:t>
            </w:r>
          </w:p>
          <w:p w:rsidR="00F37EB5" w:rsidRPr="00784A12" w:rsidRDefault="00F37EB5" w:rsidP="006101D8">
            <w:pPr>
              <w:rPr>
                <w:rFonts w:ascii="Arial" w:hAnsi="Arial" w:cs="Arial"/>
              </w:rPr>
            </w:pPr>
            <w:r w:rsidRPr="00784A12">
              <w:rPr>
                <w:rFonts w:ascii="Arial" w:hAnsi="Arial" w:cs="Arial"/>
              </w:rPr>
              <w:t>45 mg injection: modified release [1</w:t>
            </w:r>
            <w:r>
              <w:rPr>
                <w:rFonts w:ascii="Arial" w:hAnsi="Arial" w:cs="Arial"/>
              </w:rPr>
              <w:t> </w:t>
            </w:r>
            <w:r w:rsidRPr="00784A12">
              <w:rPr>
                <w:rFonts w:ascii="Arial" w:hAnsi="Arial" w:cs="Arial"/>
              </w:rPr>
              <w:t xml:space="preserve">x 45 mg syringe] (&amp;) inert substance diluent [1 x 2 mL syringe], 1 </w:t>
            </w:r>
          </w:p>
          <w:p w:rsidR="00F37EB5" w:rsidRPr="00784A12" w:rsidRDefault="00F37EB5" w:rsidP="006101D8">
            <w:pPr>
              <w:rPr>
                <w:rFonts w:ascii="Arial" w:hAnsi="Arial" w:cs="Arial"/>
              </w:rPr>
            </w:pPr>
          </w:p>
          <w:p w:rsidR="00F37EB5" w:rsidRPr="00784A12" w:rsidRDefault="00F37EB5" w:rsidP="006101D8">
            <w:pPr>
              <w:rPr>
                <w:rFonts w:ascii="Arial" w:hAnsi="Arial" w:cs="Arial"/>
              </w:rPr>
            </w:pPr>
            <w:r w:rsidRPr="00784A12">
              <w:rPr>
                <w:rFonts w:ascii="Arial" w:hAnsi="Arial" w:cs="Arial"/>
              </w:rPr>
              <w:t xml:space="preserve">LUCRIN® DEPOT 6 month PDS </w:t>
            </w:r>
          </w:p>
          <w:p w:rsidR="00F37EB5" w:rsidRPr="00784A12" w:rsidRDefault="00F37EB5" w:rsidP="006101D8">
            <w:pPr>
              <w:rPr>
                <w:rFonts w:ascii="Arial" w:hAnsi="Arial" w:cs="Arial"/>
              </w:rPr>
            </w:pPr>
          </w:p>
          <w:p w:rsidR="00F37EB5" w:rsidRPr="00784A12" w:rsidRDefault="00F37EB5" w:rsidP="006101D8">
            <w:pPr>
              <w:rPr>
                <w:rFonts w:ascii="Arial" w:hAnsi="Arial" w:cs="Arial"/>
              </w:rPr>
            </w:pPr>
            <w:r w:rsidRPr="00784A12">
              <w:rPr>
                <w:rFonts w:ascii="Arial" w:hAnsi="Arial" w:cs="Arial"/>
              </w:rPr>
              <w:t>AbbVie Pty Ltd</w:t>
            </w:r>
          </w:p>
          <w:p w:rsidR="00F37EB5" w:rsidRPr="00784A12" w:rsidRDefault="00F37EB5" w:rsidP="006101D8">
            <w:pPr>
              <w:rPr>
                <w:rFonts w:ascii="Arial" w:hAnsi="Arial" w:cs="Arial"/>
              </w:rPr>
            </w:pPr>
          </w:p>
          <w:p w:rsidR="00F37EB5" w:rsidRPr="00784A12" w:rsidRDefault="00F37EB5" w:rsidP="006101D8">
            <w:pPr>
              <w:rPr>
                <w:rFonts w:ascii="Arial" w:hAnsi="Arial" w:cs="Arial"/>
              </w:rPr>
            </w:pPr>
            <w:r w:rsidRPr="00784A12">
              <w:rPr>
                <w:rFonts w:ascii="Arial" w:hAnsi="Arial" w:cs="Arial"/>
              </w:rPr>
              <w:t xml:space="preserve">New listing </w:t>
            </w:r>
          </w:p>
          <w:p w:rsidR="00F37EB5" w:rsidRPr="00784A12" w:rsidRDefault="00F37EB5" w:rsidP="006101D8">
            <w:pPr>
              <w:rPr>
                <w:rFonts w:ascii="Arial" w:hAnsi="Arial" w:cs="Arial"/>
              </w:rPr>
            </w:pPr>
          </w:p>
          <w:p w:rsidR="00F37EB5" w:rsidRPr="00925FB4" w:rsidRDefault="00F37EB5" w:rsidP="006101D8">
            <w:pPr>
              <w:rPr>
                <w:rFonts w:ascii="Arial" w:hAnsi="Arial" w:cs="Arial"/>
                <w:b/>
              </w:rPr>
            </w:pPr>
            <w:r w:rsidRPr="00784A12">
              <w:rPr>
                <w:rFonts w:ascii="Arial" w:hAnsi="Arial" w:cs="Arial"/>
              </w:rPr>
              <w:t>(Minor Submission)</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784A12">
              <w:rPr>
                <w:rFonts w:ascii="Arial" w:hAnsi="Arial" w:cs="Arial"/>
              </w:rPr>
              <w:t>Prostate cancer</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784A12">
              <w:rPr>
                <w:rFonts w:ascii="Arial" w:hAnsi="Arial" w:cs="Arial"/>
              </w:rPr>
              <w:t>Authority Required (STREAMLINED) listing of an additional strength of leuprorelin for the treatment of locally advanced or metastatic carcinoma of the prostate.</w:t>
            </w:r>
          </w:p>
        </w:tc>
        <w:tc>
          <w:tcPr>
            <w:tcW w:w="7192" w:type="dxa"/>
            <w:tcBorders>
              <w:top w:val="single" w:sz="4" w:space="0" w:color="auto"/>
              <w:left w:val="single" w:sz="4" w:space="0" w:color="auto"/>
              <w:bottom w:val="single" w:sz="4" w:space="0" w:color="auto"/>
              <w:right w:val="single" w:sz="4" w:space="0" w:color="auto"/>
            </w:tcBorders>
          </w:tcPr>
          <w:p w:rsidR="00F37EB5" w:rsidRPr="00925FB4" w:rsidRDefault="00F37EB5" w:rsidP="00F54D37">
            <w:pPr>
              <w:widowControl w:val="0"/>
              <w:contextualSpacing/>
              <w:jc w:val="both"/>
              <w:rPr>
                <w:rFonts w:ascii="Arial" w:hAnsi="Arial" w:cs="Arial"/>
                <w:b/>
                <w:bCs/>
                <w:snapToGrid w:val="0"/>
                <w:lang w:val="en-GB"/>
              </w:rPr>
            </w:pPr>
            <w:r w:rsidRPr="00925FB4">
              <w:rPr>
                <w:rFonts w:ascii="Arial" w:hAnsi="Arial" w:cs="Arial"/>
                <w:bCs/>
                <w:snapToGrid w:val="0"/>
                <w:lang w:val="en-GB"/>
              </w:rPr>
              <w:t xml:space="preserve">The PBAC recommended listing an additional strength (45 mg) of intramuscularly administered leuprorelin for the treatment of locally advanced (equivalent to stage C) or metastatic (equivalent to stage D) carcinoma of the prostate. The PBAC accepted that there was a clinical place for the additional strength and considered that it was acceptably similar to the 3- and 4-month formulations with regard to effectiveness and the adverse events profile. The PBAC noted that listing the 45 mg intramuscular formulation would result in </w:t>
            </w:r>
            <w:r w:rsidRPr="00925FB4">
              <w:rPr>
                <w:rFonts w:ascii="Arial" w:hAnsi="Arial" w:cs="Arial"/>
              </w:rPr>
              <w:t>savings to the PBS.</w:t>
            </w: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A21351">
            <w:pPr>
              <w:rPr>
                <w:rFonts w:ascii="Arial" w:hAnsi="Arial" w:cs="Arial"/>
                <w:b/>
              </w:rPr>
            </w:pPr>
            <w:r w:rsidRPr="00C930D8">
              <w:rPr>
                <w:rFonts w:ascii="Arial" w:hAnsi="Arial" w:cs="Arial"/>
                <w:b/>
              </w:rPr>
              <w:t xml:space="preserve">LEUPRORELIN </w:t>
            </w:r>
          </w:p>
          <w:p w:rsidR="00F37EB5" w:rsidRPr="00DE231F" w:rsidRDefault="00F37EB5" w:rsidP="00A21351">
            <w:pPr>
              <w:rPr>
                <w:rFonts w:ascii="Arial" w:hAnsi="Arial" w:cs="Arial"/>
              </w:rPr>
            </w:pPr>
            <w:r w:rsidRPr="00DE231F">
              <w:rPr>
                <w:rFonts w:ascii="Arial" w:hAnsi="Arial" w:cs="Arial"/>
              </w:rPr>
              <w:t xml:space="preserve">30 mg injection: modified release [1 x 30 mg syringe] (&amp;) inert substance diluent [1 x 2 mL syringe], 1 </w:t>
            </w:r>
          </w:p>
          <w:p w:rsidR="00F37EB5" w:rsidRPr="00DE231F" w:rsidRDefault="00F37EB5" w:rsidP="00A21351">
            <w:pPr>
              <w:rPr>
                <w:rFonts w:ascii="Arial" w:hAnsi="Arial" w:cs="Arial"/>
              </w:rPr>
            </w:pPr>
          </w:p>
          <w:p w:rsidR="00F37EB5" w:rsidRPr="00DE231F" w:rsidRDefault="00F37EB5" w:rsidP="00A21351">
            <w:pPr>
              <w:rPr>
                <w:rFonts w:ascii="Arial" w:hAnsi="Arial" w:cs="Arial"/>
              </w:rPr>
            </w:pPr>
            <w:r w:rsidRPr="00DE231F">
              <w:rPr>
                <w:rFonts w:ascii="Arial" w:hAnsi="Arial" w:cs="Arial"/>
              </w:rPr>
              <w:t xml:space="preserve">LUCRIN® DEPOT </w:t>
            </w:r>
          </w:p>
          <w:p w:rsidR="00F37EB5" w:rsidRPr="00DE231F" w:rsidRDefault="00F37EB5" w:rsidP="00A21351">
            <w:pPr>
              <w:rPr>
                <w:rFonts w:ascii="Arial" w:hAnsi="Arial" w:cs="Arial"/>
              </w:rPr>
            </w:pPr>
          </w:p>
          <w:p w:rsidR="00F37EB5" w:rsidRPr="00DE231F" w:rsidRDefault="00F37EB5" w:rsidP="00A21351">
            <w:pPr>
              <w:rPr>
                <w:rFonts w:ascii="Arial" w:hAnsi="Arial" w:cs="Arial"/>
              </w:rPr>
            </w:pPr>
            <w:r w:rsidRPr="00DE231F">
              <w:rPr>
                <w:rFonts w:ascii="Arial" w:hAnsi="Arial" w:cs="Arial"/>
              </w:rPr>
              <w:t>AbbVie Pty Ltd</w:t>
            </w:r>
          </w:p>
          <w:p w:rsidR="00F37EB5" w:rsidRPr="00DE231F" w:rsidRDefault="00F37EB5" w:rsidP="00A21351">
            <w:pPr>
              <w:rPr>
                <w:rFonts w:ascii="Arial" w:hAnsi="Arial" w:cs="Arial"/>
              </w:rPr>
            </w:pPr>
          </w:p>
          <w:p w:rsidR="00F37EB5" w:rsidRPr="00DE231F" w:rsidRDefault="00F37EB5" w:rsidP="00A21351">
            <w:pPr>
              <w:rPr>
                <w:rFonts w:ascii="Arial" w:hAnsi="Arial" w:cs="Arial"/>
              </w:rPr>
            </w:pPr>
            <w:r w:rsidRPr="00DE231F">
              <w:rPr>
                <w:rFonts w:ascii="Arial" w:hAnsi="Arial" w:cs="Arial"/>
              </w:rPr>
              <w:t xml:space="preserve">Change to listing </w:t>
            </w:r>
          </w:p>
          <w:p w:rsidR="00F37EB5" w:rsidRPr="00DE231F" w:rsidRDefault="00F37EB5" w:rsidP="00A21351">
            <w:pPr>
              <w:rPr>
                <w:rFonts w:ascii="Arial" w:hAnsi="Arial" w:cs="Arial"/>
              </w:rPr>
            </w:pPr>
          </w:p>
          <w:p w:rsidR="00F37EB5" w:rsidRPr="00925FB4" w:rsidRDefault="00F37EB5" w:rsidP="00A21351">
            <w:pPr>
              <w:rPr>
                <w:rFonts w:ascii="Arial" w:hAnsi="Arial" w:cs="Arial"/>
                <w:b/>
              </w:rPr>
            </w:pPr>
            <w:r w:rsidRPr="00DE231F">
              <w:rPr>
                <w:rFonts w:ascii="Arial" w:hAnsi="Arial" w:cs="Arial"/>
              </w:rPr>
              <w:t>(Minor Submission)</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C930D8">
              <w:rPr>
                <w:rFonts w:ascii="Arial" w:hAnsi="Arial" w:cs="Arial"/>
              </w:rPr>
              <w:t>Central precocious puberty</w:t>
            </w:r>
            <w:r>
              <w:rPr>
                <w:rFonts w:ascii="Arial" w:hAnsi="Arial" w:cs="Arial"/>
              </w:rPr>
              <w:t xml:space="preserve"> (CPP)</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C930D8">
              <w:rPr>
                <w:rFonts w:ascii="Arial" w:hAnsi="Arial" w:cs="Arial"/>
              </w:rPr>
              <w:t xml:space="preserve">Amendment to the PBS restriction wording of </w:t>
            </w:r>
            <w:proofErr w:type="spellStart"/>
            <w:r w:rsidRPr="00C930D8">
              <w:rPr>
                <w:rFonts w:ascii="Arial" w:hAnsi="Arial" w:cs="Arial"/>
              </w:rPr>
              <w:t>Lucrin</w:t>
            </w:r>
            <w:proofErr w:type="spellEnd"/>
            <w:r w:rsidRPr="00C930D8">
              <w:rPr>
                <w:rFonts w:ascii="Arial" w:hAnsi="Arial" w:cs="Arial"/>
              </w:rPr>
              <w:t>® Depot Paediatric to specify that the patient must have had onset of signs or symptoms of central precocious puberty prior to the age of 8 years (girls) or 9 years (boys).</w:t>
            </w:r>
          </w:p>
        </w:tc>
        <w:tc>
          <w:tcPr>
            <w:tcW w:w="7192" w:type="dxa"/>
            <w:tcBorders>
              <w:top w:val="single" w:sz="4" w:space="0" w:color="auto"/>
              <w:left w:val="single" w:sz="4" w:space="0" w:color="auto"/>
              <w:bottom w:val="single" w:sz="4" w:space="0" w:color="auto"/>
              <w:right w:val="single" w:sz="4" w:space="0" w:color="auto"/>
            </w:tcBorders>
          </w:tcPr>
          <w:p w:rsidR="00F37EB5" w:rsidRPr="00925FB4" w:rsidRDefault="00F37EB5" w:rsidP="005D02D6">
            <w:pPr>
              <w:rPr>
                <w:rFonts w:ascii="Arial" w:hAnsi="Arial" w:cs="Arial"/>
                <w:lang w:val="en-GB"/>
              </w:rPr>
            </w:pPr>
            <w:r w:rsidRPr="00925FB4">
              <w:rPr>
                <w:rFonts w:ascii="Arial" w:hAnsi="Arial" w:cs="Arial"/>
              </w:rPr>
              <w:t>The PBAC recommended that the criterion pertaining to patient age in the initial treatment restriction for leuprorelin for the treatment of CPP, be amended as follows: “Patient must be aged 10 years or younger (girls) or 11</w:t>
            </w:r>
            <w:r>
              <w:rPr>
                <w:rFonts w:ascii="Arial" w:hAnsi="Arial" w:cs="Arial"/>
              </w:rPr>
              <w:t> </w:t>
            </w:r>
            <w:r w:rsidRPr="00925FB4">
              <w:rPr>
                <w:rFonts w:ascii="Arial" w:hAnsi="Arial" w:cs="Arial"/>
              </w:rPr>
              <w:t>years or younger (boys) AND Patient must have had onset of signs or symptoms of central precocious puberty prior to the age of 8 years (girls) or 9</w:t>
            </w:r>
            <w:r>
              <w:rPr>
                <w:rFonts w:ascii="Arial" w:hAnsi="Arial" w:cs="Arial"/>
              </w:rPr>
              <w:t> </w:t>
            </w:r>
            <w:r w:rsidRPr="00925FB4">
              <w:rPr>
                <w:rFonts w:ascii="Arial" w:hAnsi="Arial" w:cs="Arial"/>
              </w:rPr>
              <w:t>years (boys)”. The PBAC noted that there may be a very small number of patients who may not have initiated treatment before 8 years (girls) or 9 years (boys) despite onset of symptoms before 8 years (girls) or 9 years (boys), and therefore considered it may be reasonable to extend the PBS age limit for initiating leuprorelin therapy.</w:t>
            </w: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2E5A8E">
            <w:pPr>
              <w:rPr>
                <w:rFonts w:ascii="Arial" w:hAnsi="Arial" w:cs="Arial"/>
                <w:b/>
              </w:rPr>
            </w:pPr>
            <w:r w:rsidRPr="00925FB4">
              <w:rPr>
                <w:rFonts w:ascii="Arial" w:hAnsi="Arial" w:cs="Arial"/>
                <w:b/>
              </w:rPr>
              <w:lastRenderedPageBreak/>
              <w:t>NADROPARIN CALCIUM</w:t>
            </w:r>
          </w:p>
          <w:p w:rsidR="00F37EB5" w:rsidRPr="002E5A8E" w:rsidRDefault="00F37EB5" w:rsidP="002E5A8E">
            <w:pPr>
              <w:rPr>
                <w:rFonts w:ascii="Arial" w:hAnsi="Arial" w:cs="Arial"/>
              </w:rPr>
            </w:pPr>
            <w:r w:rsidRPr="002E5A8E">
              <w:rPr>
                <w:rFonts w:ascii="Arial" w:hAnsi="Arial" w:cs="Arial"/>
              </w:rPr>
              <w:t>pre-filled syringe, 1900, 2850, 3800, 5700, 7600, 9500, 11400, 15200, 19,000 IU anti-</w:t>
            </w:r>
            <w:proofErr w:type="spellStart"/>
            <w:r w:rsidRPr="002E5A8E">
              <w:rPr>
                <w:rFonts w:ascii="Arial" w:hAnsi="Arial" w:cs="Arial"/>
              </w:rPr>
              <w:t>Xa</w:t>
            </w:r>
            <w:proofErr w:type="spellEnd"/>
            <w:r w:rsidRPr="002E5A8E">
              <w:rPr>
                <w:rFonts w:ascii="Arial" w:hAnsi="Arial" w:cs="Arial"/>
              </w:rPr>
              <w:t>/mL</w:t>
            </w:r>
          </w:p>
          <w:p w:rsidR="00F37EB5" w:rsidRPr="002E5A8E" w:rsidRDefault="00F37EB5" w:rsidP="002E5A8E">
            <w:pPr>
              <w:rPr>
                <w:rFonts w:ascii="Arial" w:hAnsi="Arial" w:cs="Arial"/>
              </w:rPr>
            </w:pPr>
          </w:p>
          <w:p w:rsidR="00F37EB5" w:rsidRPr="002E5A8E" w:rsidRDefault="00F37EB5" w:rsidP="002E5A8E">
            <w:pPr>
              <w:rPr>
                <w:rFonts w:ascii="Arial" w:hAnsi="Arial" w:cs="Arial"/>
                <w:vertAlign w:val="superscript"/>
              </w:rPr>
            </w:pPr>
            <w:r w:rsidRPr="002E5A8E">
              <w:rPr>
                <w:rFonts w:ascii="Arial" w:hAnsi="Arial" w:cs="Arial"/>
              </w:rPr>
              <w:t>Fraxiparine</w:t>
            </w:r>
            <w:r w:rsidRPr="006E5101">
              <w:rPr>
                <w:rFonts w:ascii="Arial" w:hAnsi="Arial" w:cs="Arial"/>
                <w:lang w:val="it-IT"/>
              </w:rPr>
              <w:t>®</w:t>
            </w:r>
            <w:r>
              <w:rPr>
                <w:rFonts w:ascii="Arial" w:hAnsi="Arial" w:cs="Arial"/>
                <w:lang w:val="it-IT"/>
              </w:rPr>
              <w:t xml:space="preserve"> </w:t>
            </w:r>
            <w:r w:rsidRPr="002E5A8E">
              <w:rPr>
                <w:rFonts w:ascii="Arial" w:hAnsi="Arial" w:cs="Arial"/>
              </w:rPr>
              <w:t>and Fraxiparine Forte</w:t>
            </w:r>
            <w:r w:rsidRPr="006E5101">
              <w:rPr>
                <w:rFonts w:ascii="Arial" w:hAnsi="Arial" w:cs="Arial"/>
                <w:lang w:val="it-IT"/>
              </w:rPr>
              <w:t>®</w:t>
            </w:r>
          </w:p>
          <w:p w:rsidR="00F37EB5" w:rsidRPr="002E5A8E" w:rsidRDefault="00F37EB5" w:rsidP="002E5A8E">
            <w:pPr>
              <w:rPr>
                <w:rFonts w:ascii="Arial" w:hAnsi="Arial" w:cs="Arial"/>
                <w:vertAlign w:val="superscript"/>
              </w:rPr>
            </w:pPr>
          </w:p>
          <w:p w:rsidR="00F37EB5" w:rsidRDefault="00F37EB5" w:rsidP="002E5A8E">
            <w:pPr>
              <w:rPr>
                <w:rFonts w:ascii="Arial" w:hAnsi="Arial" w:cs="Arial"/>
              </w:rPr>
            </w:pPr>
            <w:r w:rsidRPr="002E5A8E">
              <w:rPr>
                <w:rFonts w:ascii="Arial" w:hAnsi="Arial" w:cs="Arial"/>
              </w:rPr>
              <w:t xml:space="preserve">Aspen </w:t>
            </w:r>
            <w:proofErr w:type="spellStart"/>
            <w:r w:rsidRPr="002E5A8E">
              <w:rPr>
                <w:rFonts w:ascii="Arial" w:hAnsi="Arial" w:cs="Arial"/>
              </w:rPr>
              <w:t>Pharmacare</w:t>
            </w:r>
            <w:proofErr w:type="spellEnd"/>
            <w:r w:rsidRPr="002E5A8E">
              <w:rPr>
                <w:rFonts w:ascii="Arial" w:hAnsi="Arial" w:cs="Arial"/>
              </w:rPr>
              <w:t xml:space="preserve"> Australia Pty Lt</w:t>
            </w:r>
            <w:r>
              <w:rPr>
                <w:rFonts w:ascii="Arial" w:hAnsi="Arial" w:cs="Arial"/>
              </w:rPr>
              <w:t>d</w:t>
            </w:r>
          </w:p>
          <w:p w:rsidR="00F37EB5" w:rsidRDefault="00F37EB5" w:rsidP="002E5A8E">
            <w:pPr>
              <w:rPr>
                <w:rFonts w:ascii="Arial" w:hAnsi="Arial" w:cs="Arial"/>
              </w:rPr>
            </w:pPr>
          </w:p>
          <w:p w:rsidR="00F37EB5" w:rsidRDefault="00F37EB5" w:rsidP="002E5A8E">
            <w:pPr>
              <w:rPr>
                <w:rFonts w:ascii="Arial" w:hAnsi="Arial" w:cs="Arial"/>
              </w:rPr>
            </w:pPr>
            <w:r>
              <w:rPr>
                <w:rFonts w:ascii="Arial" w:hAnsi="Arial" w:cs="Arial"/>
              </w:rPr>
              <w:t xml:space="preserve">New listing </w:t>
            </w:r>
          </w:p>
          <w:p w:rsidR="00F37EB5" w:rsidRDefault="00F37EB5" w:rsidP="002E5A8E">
            <w:pPr>
              <w:rPr>
                <w:rFonts w:ascii="Arial" w:hAnsi="Arial" w:cs="Arial"/>
              </w:rPr>
            </w:pPr>
          </w:p>
          <w:p w:rsidR="00F37EB5" w:rsidRPr="00925FB4" w:rsidRDefault="00F37EB5" w:rsidP="002E5A8E">
            <w:pPr>
              <w:rPr>
                <w:rFonts w:ascii="Arial" w:hAnsi="Arial" w:cs="Arial"/>
                <w:b/>
              </w:rPr>
            </w:pPr>
            <w:r>
              <w:rPr>
                <w:rFonts w:ascii="Arial" w:hAnsi="Arial" w:cs="Arial"/>
              </w:rPr>
              <w:t xml:space="preserve">(Major Submission) </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784A12">
              <w:rPr>
                <w:rFonts w:ascii="Arial" w:hAnsi="Arial" w:cs="Arial"/>
              </w:rPr>
              <w:t>Prevention of deep vein thrombosis</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784A12">
              <w:rPr>
                <w:rFonts w:ascii="Arial" w:hAnsi="Arial" w:cs="Arial"/>
              </w:rPr>
              <w:t>Unrestricted benefit listing and restricted benefit listing for prevention of clotting during haemodialysis.</w:t>
            </w:r>
          </w:p>
        </w:tc>
        <w:tc>
          <w:tcPr>
            <w:tcW w:w="7192" w:type="dxa"/>
            <w:tcBorders>
              <w:top w:val="single" w:sz="4" w:space="0" w:color="auto"/>
              <w:left w:val="single" w:sz="4" w:space="0" w:color="auto"/>
              <w:bottom w:val="single" w:sz="4" w:space="0" w:color="auto"/>
              <w:right w:val="single" w:sz="4" w:space="0" w:color="auto"/>
            </w:tcBorders>
          </w:tcPr>
          <w:p w:rsidR="00F37EB5" w:rsidRDefault="00F37EB5" w:rsidP="00FA0E8D">
            <w:pPr>
              <w:widowControl w:val="0"/>
              <w:jc w:val="both"/>
              <w:rPr>
                <w:rFonts w:ascii="Arial" w:hAnsi="Arial" w:cs="Arial"/>
                <w:bCs/>
                <w:snapToGrid w:val="0"/>
                <w:lang w:val="en-GB"/>
              </w:rPr>
            </w:pPr>
            <w:r w:rsidRPr="00925FB4">
              <w:rPr>
                <w:rFonts w:ascii="Arial" w:hAnsi="Arial" w:cs="Arial"/>
                <w:bCs/>
                <w:snapToGrid w:val="0"/>
                <w:lang w:val="en-GB"/>
              </w:rPr>
              <w:t xml:space="preserve">The PBAC recommended the listing of </w:t>
            </w:r>
            <w:proofErr w:type="spellStart"/>
            <w:r w:rsidRPr="00925FB4">
              <w:rPr>
                <w:rFonts w:ascii="Arial" w:hAnsi="Arial" w:cs="Arial"/>
                <w:bCs/>
                <w:snapToGrid w:val="0"/>
                <w:lang w:val="en-GB"/>
              </w:rPr>
              <w:t>nadroparin</w:t>
            </w:r>
            <w:proofErr w:type="spellEnd"/>
            <w:r w:rsidRPr="00925FB4">
              <w:rPr>
                <w:rFonts w:ascii="Arial" w:hAnsi="Arial" w:cs="Arial"/>
                <w:bCs/>
                <w:snapToGrid w:val="0"/>
                <w:lang w:val="en-GB"/>
              </w:rPr>
              <w:t xml:space="preserve"> (as </w:t>
            </w:r>
            <w:proofErr w:type="spellStart"/>
            <w:r w:rsidRPr="00925FB4">
              <w:rPr>
                <w:rFonts w:ascii="Arial" w:hAnsi="Arial" w:cs="Arial"/>
                <w:bCs/>
                <w:snapToGrid w:val="0"/>
                <w:lang w:val="en-GB"/>
              </w:rPr>
              <w:t>Fraxip</w:t>
            </w:r>
            <w:r>
              <w:rPr>
                <w:rFonts w:ascii="Arial" w:hAnsi="Arial" w:cs="Arial"/>
                <w:bCs/>
                <w:snapToGrid w:val="0"/>
                <w:lang w:val="en-GB"/>
              </w:rPr>
              <w:t>a</w:t>
            </w:r>
            <w:r w:rsidRPr="00925FB4">
              <w:rPr>
                <w:rFonts w:ascii="Arial" w:hAnsi="Arial" w:cs="Arial"/>
                <w:bCs/>
                <w:snapToGrid w:val="0"/>
                <w:lang w:val="en-GB"/>
              </w:rPr>
              <w:t>rine</w:t>
            </w:r>
            <w:proofErr w:type="spellEnd"/>
            <w:r w:rsidRPr="00925FB4">
              <w:rPr>
                <w:rFonts w:ascii="Arial" w:hAnsi="Arial" w:cs="Arial"/>
                <w:bCs/>
                <w:snapToGrid w:val="0"/>
                <w:lang w:val="en-GB"/>
              </w:rPr>
              <w:t xml:space="preserve"> and Fraxiparine Forte) as an Unrestricted Benefit and as a Restricted Benefit listing (as Fraxip</w:t>
            </w:r>
            <w:r w:rsidR="002906EE">
              <w:rPr>
                <w:rFonts w:ascii="Arial" w:hAnsi="Arial" w:cs="Arial"/>
                <w:bCs/>
                <w:snapToGrid w:val="0"/>
                <w:lang w:val="en-GB"/>
              </w:rPr>
              <w:t>a</w:t>
            </w:r>
            <w:r w:rsidRPr="00925FB4">
              <w:rPr>
                <w:rFonts w:ascii="Arial" w:hAnsi="Arial" w:cs="Arial"/>
                <w:bCs/>
                <w:snapToGrid w:val="0"/>
                <w:lang w:val="en-GB"/>
              </w:rPr>
              <w:t>rine) for haemodialysis on a cost-minimisation basis against enoxaparin.</w:t>
            </w:r>
          </w:p>
          <w:p w:rsidR="00DA5190" w:rsidRDefault="00DA5190" w:rsidP="00FA0E8D">
            <w:pPr>
              <w:widowControl w:val="0"/>
              <w:jc w:val="both"/>
              <w:rPr>
                <w:rFonts w:ascii="Arial" w:hAnsi="Arial" w:cs="Arial"/>
                <w:bCs/>
                <w:snapToGrid w:val="0"/>
                <w:lang w:val="en-GB"/>
              </w:rPr>
            </w:pPr>
          </w:p>
          <w:p w:rsidR="00DA5190" w:rsidRPr="00925FB4" w:rsidRDefault="00DA5190" w:rsidP="002906EE">
            <w:pPr>
              <w:widowControl w:val="0"/>
              <w:jc w:val="both"/>
              <w:rPr>
                <w:rFonts w:ascii="Arial" w:hAnsi="Arial" w:cs="Arial"/>
                <w:bCs/>
                <w:snapToGrid w:val="0"/>
              </w:rPr>
            </w:pPr>
            <w:r w:rsidRPr="00DA5190">
              <w:rPr>
                <w:rFonts w:ascii="Arial" w:hAnsi="Arial" w:cs="Arial"/>
                <w:bCs/>
                <w:snapToGrid w:val="0"/>
              </w:rPr>
              <w:t xml:space="preserve">The equi-effective doses are </w:t>
            </w:r>
            <w:proofErr w:type="spellStart"/>
            <w:r w:rsidRPr="00DA5190">
              <w:rPr>
                <w:rFonts w:ascii="Arial" w:hAnsi="Arial" w:cs="Arial"/>
                <w:bCs/>
                <w:snapToGrid w:val="0"/>
              </w:rPr>
              <w:t>nadroparin</w:t>
            </w:r>
            <w:proofErr w:type="spellEnd"/>
            <w:r w:rsidRPr="00DA5190">
              <w:rPr>
                <w:rFonts w:ascii="Arial" w:hAnsi="Arial" w:cs="Arial"/>
                <w:bCs/>
                <w:snapToGrid w:val="0"/>
              </w:rPr>
              <w:t xml:space="preserve"> calcium 111.9 IU is equal to enoxaparin sodium 1 mg.  The PBAC advised that this equi-effective dose calculation appropriately excludes doses for haemodialysis, noting that in Australian clinical practice unfractionated heparin may </w:t>
            </w:r>
            <w:r w:rsidR="002906EE">
              <w:rPr>
                <w:rFonts w:ascii="Arial" w:hAnsi="Arial" w:cs="Arial"/>
                <w:bCs/>
                <w:snapToGrid w:val="0"/>
              </w:rPr>
              <w:t xml:space="preserve">also </w:t>
            </w:r>
            <w:r w:rsidRPr="00DA5190">
              <w:rPr>
                <w:rFonts w:ascii="Arial" w:hAnsi="Arial" w:cs="Arial"/>
                <w:bCs/>
                <w:snapToGrid w:val="0"/>
              </w:rPr>
              <w:t>be used in this setting instead of enoxaparin.</w:t>
            </w:r>
            <w:r w:rsidR="002906EE">
              <w:rPr>
                <w:rFonts w:ascii="Arial" w:hAnsi="Arial" w:cs="Arial"/>
                <w:bCs/>
                <w:snapToGrid w:val="0"/>
              </w:rPr>
              <w:t xml:space="preserve"> The TGA approved indication for </w:t>
            </w:r>
            <w:proofErr w:type="spellStart"/>
            <w:r w:rsidR="002906EE">
              <w:rPr>
                <w:rFonts w:ascii="Arial" w:hAnsi="Arial" w:cs="Arial"/>
                <w:bCs/>
                <w:snapToGrid w:val="0"/>
              </w:rPr>
              <w:t>Fraxiparine</w:t>
            </w:r>
            <w:proofErr w:type="spellEnd"/>
            <w:r w:rsidR="002906EE">
              <w:rPr>
                <w:rFonts w:ascii="Arial" w:hAnsi="Arial" w:cs="Arial"/>
                <w:bCs/>
                <w:snapToGrid w:val="0"/>
              </w:rPr>
              <w:t xml:space="preserve"> (</w:t>
            </w:r>
            <w:proofErr w:type="spellStart"/>
            <w:r w:rsidR="002906EE">
              <w:rPr>
                <w:rFonts w:ascii="Arial" w:hAnsi="Arial" w:cs="Arial"/>
                <w:bCs/>
                <w:snapToGrid w:val="0"/>
              </w:rPr>
              <w:t>nadroparin</w:t>
            </w:r>
            <w:proofErr w:type="spellEnd"/>
            <w:r w:rsidR="002906EE">
              <w:rPr>
                <w:rFonts w:ascii="Arial" w:hAnsi="Arial" w:cs="Arial"/>
                <w:bCs/>
                <w:snapToGrid w:val="0"/>
              </w:rPr>
              <w:t>) includes haemodialysis.</w:t>
            </w:r>
          </w:p>
        </w:tc>
      </w:tr>
      <w:tr w:rsidR="00F37EB5" w:rsidRPr="00925FB4" w:rsidTr="0034440A">
        <w:trPr>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B036BF" w:rsidRDefault="00F37EB5" w:rsidP="006101D8">
            <w:pPr>
              <w:rPr>
                <w:rFonts w:ascii="Arial" w:hAnsi="Arial" w:cs="Arial"/>
                <w:b/>
              </w:rPr>
            </w:pPr>
            <w:r w:rsidRPr="00B036BF">
              <w:rPr>
                <w:rFonts w:ascii="Arial" w:hAnsi="Arial" w:cs="Arial"/>
                <w:b/>
              </w:rPr>
              <w:t xml:space="preserve">PARITAPREVIR with RITONAVIR, OMBITASVIR and DASABUVIR </w:t>
            </w:r>
          </w:p>
          <w:p w:rsidR="00F37EB5" w:rsidRPr="00B036BF" w:rsidRDefault="00F37EB5" w:rsidP="006101D8">
            <w:pPr>
              <w:rPr>
                <w:rFonts w:ascii="Arial" w:hAnsi="Arial" w:cs="Arial"/>
                <w:b/>
              </w:rPr>
            </w:pPr>
          </w:p>
          <w:p w:rsidR="00F37EB5" w:rsidRPr="00784A12" w:rsidRDefault="00F37EB5" w:rsidP="006101D8">
            <w:pPr>
              <w:rPr>
                <w:rFonts w:ascii="Arial" w:hAnsi="Arial" w:cs="Arial"/>
              </w:rPr>
            </w:pPr>
            <w:r w:rsidRPr="00B036BF">
              <w:rPr>
                <w:rFonts w:ascii="Arial" w:hAnsi="Arial" w:cs="Arial"/>
                <w:b/>
              </w:rPr>
              <w:t xml:space="preserve">PARITAPREVIR with RITONAVIR, OMBITASVIR, DASABUVIR and RIBAVIRIN </w:t>
            </w:r>
            <w:r w:rsidRPr="00B036BF">
              <w:rPr>
                <w:rFonts w:ascii="Arial" w:hAnsi="Arial" w:cs="Arial"/>
              </w:rPr>
              <w:t>paritaprevir 75 mg + ritonavir 50 mg + ombitasvir 12.5 mg tablet, 56, with dasabuvir 250 mg tablet, 56 paritaprevir 75 mg + ritonavi</w:t>
            </w:r>
            <w:r w:rsidRPr="00784A12">
              <w:rPr>
                <w:rFonts w:ascii="Arial" w:hAnsi="Arial" w:cs="Arial"/>
              </w:rPr>
              <w:t xml:space="preserve">r 50 mg + ombitasvir 12.5 mg tablet, 56, with dasabuvir 250 mg tablet, 56 and ribavirin 200 mg tablet, 168 paritaprevir 75 mg + ritonavir 50 mg + ombitasvir 12.5 mg tablet, 56, with dasabuvir 250 mg tablet, 56, and ribavirin 600 mg tablet, 56 </w:t>
            </w:r>
          </w:p>
          <w:p w:rsidR="00F37EB5" w:rsidRPr="00784A12" w:rsidRDefault="00F37EB5" w:rsidP="006101D8">
            <w:pPr>
              <w:rPr>
                <w:rFonts w:ascii="Arial" w:hAnsi="Arial" w:cs="Arial"/>
              </w:rPr>
            </w:pPr>
          </w:p>
          <w:p w:rsidR="00F37EB5" w:rsidRPr="00784A12" w:rsidRDefault="00F37EB5" w:rsidP="006101D8">
            <w:pPr>
              <w:rPr>
                <w:rFonts w:ascii="Arial" w:hAnsi="Arial" w:cs="Arial"/>
              </w:rPr>
            </w:pPr>
            <w:r w:rsidRPr="00784A12">
              <w:rPr>
                <w:rFonts w:ascii="Arial" w:hAnsi="Arial" w:cs="Arial"/>
              </w:rPr>
              <w:t>VIEKIRA PAK</w:t>
            </w:r>
            <w:r w:rsidRPr="006E5101">
              <w:rPr>
                <w:rFonts w:ascii="Arial" w:hAnsi="Arial" w:cs="Arial"/>
                <w:lang w:val="it-IT"/>
              </w:rPr>
              <w:t>®</w:t>
            </w:r>
          </w:p>
          <w:p w:rsidR="00F37EB5" w:rsidRPr="00784A12" w:rsidRDefault="00F37EB5" w:rsidP="006101D8">
            <w:pPr>
              <w:rPr>
                <w:rFonts w:ascii="Arial" w:hAnsi="Arial" w:cs="Arial"/>
              </w:rPr>
            </w:pPr>
            <w:r w:rsidRPr="00784A12">
              <w:rPr>
                <w:rFonts w:ascii="Arial" w:hAnsi="Arial" w:cs="Arial"/>
              </w:rPr>
              <w:t>VIEKIRA PAK-RBV</w:t>
            </w:r>
            <w:r w:rsidRPr="006E5101">
              <w:rPr>
                <w:rFonts w:ascii="Arial" w:hAnsi="Arial" w:cs="Arial"/>
                <w:lang w:val="it-IT"/>
              </w:rPr>
              <w:t>®</w:t>
            </w:r>
          </w:p>
          <w:p w:rsidR="00F37EB5" w:rsidRPr="00784A12" w:rsidRDefault="00F37EB5" w:rsidP="006101D8">
            <w:pPr>
              <w:rPr>
                <w:rFonts w:ascii="Arial" w:hAnsi="Arial" w:cs="Arial"/>
              </w:rPr>
            </w:pPr>
          </w:p>
          <w:p w:rsidR="00F37EB5" w:rsidRDefault="00F37EB5" w:rsidP="006101D8">
            <w:pPr>
              <w:rPr>
                <w:rFonts w:ascii="Arial" w:hAnsi="Arial" w:cs="Arial"/>
              </w:rPr>
            </w:pPr>
            <w:r w:rsidRPr="00784A12">
              <w:rPr>
                <w:rFonts w:ascii="Arial" w:hAnsi="Arial" w:cs="Arial"/>
              </w:rPr>
              <w:t>AbbVie Pty Ltd</w:t>
            </w:r>
          </w:p>
          <w:p w:rsidR="00F37EB5" w:rsidRDefault="00F37EB5" w:rsidP="006101D8">
            <w:pPr>
              <w:rPr>
                <w:rFonts w:ascii="Arial" w:hAnsi="Arial" w:cs="Arial"/>
              </w:rPr>
            </w:pPr>
          </w:p>
          <w:p w:rsidR="00F37EB5" w:rsidRDefault="00F37EB5" w:rsidP="006101D8">
            <w:pPr>
              <w:rPr>
                <w:rFonts w:ascii="Arial" w:hAnsi="Arial" w:cs="Arial"/>
              </w:rPr>
            </w:pPr>
            <w:r>
              <w:rPr>
                <w:rFonts w:ascii="Arial" w:hAnsi="Arial" w:cs="Arial"/>
              </w:rPr>
              <w:lastRenderedPageBreak/>
              <w:t xml:space="preserve">New listing </w:t>
            </w:r>
          </w:p>
          <w:p w:rsidR="00F37EB5" w:rsidRDefault="00F37EB5" w:rsidP="006101D8">
            <w:pPr>
              <w:rPr>
                <w:rFonts w:ascii="Arial" w:hAnsi="Arial" w:cs="Arial"/>
              </w:rPr>
            </w:pPr>
          </w:p>
          <w:p w:rsidR="00F37EB5" w:rsidRPr="00925FB4" w:rsidRDefault="00F37EB5" w:rsidP="006101D8">
            <w:pPr>
              <w:rPr>
                <w:rFonts w:ascii="Arial" w:hAnsi="Arial" w:cs="Arial"/>
                <w:b/>
              </w:rPr>
            </w:pPr>
            <w:r>
              <w:rPr>
                <w:rFonts w:ascii="Arial" w:hAnsi="Arial" w:cs="Arial"/>
              </w:rPr>
              <w:t xml:space="preserve">(Major submission) </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784A12">
              <w:rPr>
                <w:rFonts w:ascii="Arial" w:hAnsi="Arial" w:cs="Arial"/>
              </w:rPr>
              <w:lastRenderedPageBreak/>
              <w:t>Hepatitis C</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263F7F">
            <w:pPr>
              <w:rPr>
                <w:rFonts w:ascii="Arial" w:hAnsi="Arial" w:cs="Arial"/>
              </w:rPr>
            </w:pPr>
            <w:r w:rsidRPr="00E1257E">
              <w:rPr>
                <w:rFonts w:ascii="Arial" w:hAnsi="Arial" w:cs="Arial"/>
              </w:rPr>
              <w:t>Authority Required (STREAMLINED) listing for the treatment of patients with genotype 1 chronic hepatitis C</w:t>
            </w:r>
            <w:r>
              <w:rPr>
                <w:rFonts w:ascii="Arial" w:hAnsi="Arial" w:cs="Arial"/>
              </w:rPr>
              <w:t xml:space="preserve"> (CHC)</w:t>
            </w:r>
            <w:r w:rsidRPr="00E1257E">
              <w:rPr>
                <w:rFonts w:ascii="Arial" w:hAnsi="Arial" w:cs="Arial"/>
              </w:rPr>
              <w:t>.</w:t>
            </w:r>
          </w:p>
          <w:p w:rsidR="00F37EB5" w:rsidRPr="00784A12" w:rsidRDefault="00F37EB5" w:rsidP="00784A12">
            <w:pPr>
              <w:ind w:firstLine="567"/>
              <w:rPr>
                <w:rFonts w:ascii="Arial" w:hAnsi="Arial" w:cs="Arial"/>
              </w:rPr>
            </w:pPr>
          </w:p>
        </w:tc>
        <w:tc>
          <w:tcPr>
            <w:tcW w:w="7192" w:type="dxa"/>
            <w:tcBorders>
              <w:top w:val="single" w:sz="4" w:space="0" w:color="auto"/>
              <w:left w:val="single" w:sz="4" w:space="0" w:color="auto"/>
              <w:bottom w:val="single" w:sz="4" w:space="0" w:color="auto"/>
              <w:right w:val="single" w:sz="4" w:space="0" w:color="auto"/>
            </w:tcBorders>
          </w:tcPr>
          <w:p w:rsidR="001F1C94" w:rsidRDefault="001F1C94" w:rsidP="001F1C94">
            <w:pPr>
              <w:rPr>
                <w:rFonts w:ascii="Arial" w:hAnsi="Arial" w:cs="Arial"/>
                <w:lang w:val="en-GB"/>
              </w:rPr>
            </w:pPr>
            <w:r>
              <w:rPr>
                <w:rFonts w:ascii="Arial" w:hAnsi="Arial" w:cs="Arial"/>
                <w:lang w:val="en-GB"/>
              </w:rPr>
              <w:t>The PBAC recommended the Authority Required listing of paritaprevir/ritonavir/ombitasvir plus dasabuvir (Viekira PAK) and paritaprevir/ritonavir/ombitasvir plus dasabuvir with ribavirin (Viekira PAK</w:t>
            </w:r>
            <w:r>
              <w:rPr>
                <w:rFonts w:ascii="Arial" w:hAnsi="Arial" w:cs="Arial"/>
                <w:lang w:val="en-GB"/>
              </w:rPr>
              <w:noBreakHyphen/>
              <w:t xml:space="preserve">RBV) for the treatment of patients with Genotype 1 chronic hepatitis C (CHC) infection on the basis of non-inferior efficacy and safety with Ledipasvir/Sofosbuvir (LDV/SOF), recommended in March 2015. </w:t>
            </w:r>
          </w:p>
          <w:p w:rsidR="001F1C94" w:rsidRDefault="001F1C94" w:rsidP="001F1C94">
            <w:pPr>
              <w:jc w:val="both"/>
              <w:rPr>
                <w:rFonts w:ascii="Arial" w:hAnsi="Arial" w:cs="Arial"/>
              </w:rPr>
            </w:pPr>
          </w:p>
          <w:p w:rsidR="001F1C94" w:rsidRDefault="001F1C94" w:rsidP="001F1C94">
            <w:pPr>
              <w:jc w:val="both"/>
              <w:rPr>
                <w:rFonts w:ascii="Arial" w:hAnsi="Arial" w:cs="Arial"/>
                <w:lang w:val="en-GB"/>
              </w:rPr>
            </w:pPr>
            <w:r w:rsidRPr="0048374E">
              <w:rPr>
                <w:rFonts w:ascii="Arial" w:hAnsi="Arial" w:cs="Arial"/>
              </w:rPr>
              <w:t xml:space="preserve">The PBAC considered that it was reasonable to assume that one treatment course of </w:t>
            </w:r>
            <w:r>
              <w:rPr>
                <w:rFonts w:ascii="Arial" w:hAnsi="Arial" w:cs="Arial"/>
                <w:lang w:val="en-GB"/>
              </w:rPr>
              <w:t>Viekira PAK/Viekira PAK</w:t>
            </w:r>
            <w:r>
              <w:rPr>
                <w:rFonts w:ascii="Arial" w:hAnsi="Arial" w:cs="Arial"/>
                <w:lang w:val="en-GB"/>
              </w:rPr>
              <w:noBreakHyphen/>
              <w:t>RBV</w:t>
            </w:r>
            <w:r w:rsidRPr="0048374E">
              <w:rPr>
                <w:rFonts w:ascii="Arial" w:hAnsi="Arial" w:cs="Arial"/>
              </w:rPr>
              <w:t xml:space="preserve"> was as effective as one course of </w:t>
            </w:r>
            <w:r>
              <w:rPr>
                <w:rFonts w:ascii="Arial" w:hAnsi="Arial" w:cs="Arial"/>
                <w:lang w:val="en-GB"/>
              </w:rPr>
              <w:t xml:space="preserve">LDV/SOF. </w:t>
            </w:r>
          </w:p>
          <w:p w:rsidR="001F1C94" w:rsidRPr="00FF2FB4" w:rsidRDefault="001F1C94" w:rsidP="001F1C94">
            <w:pPr>
              <w:jc w:val="both"/>
              <w:rPr>
                <w:rFonts w:ascii="Arial" w:hAnsi="Arial" w:cs="Arial"/>
              </w:rPr>
            </w:pPr>
          </w:p>
          <w:p w:rsidR="001F1C94" w:rsidRPr="00FF2FB4" w:rsidRDefault="001F1C94" w:rsidP="001F1C94">
            <w:pPr>
              <w:jc w:val="both"/>
              <w:rPr>
                <w:rFonts w:ascii="Arial" w:hAnsi="Arial" w:cs="Arial"/>
              </w:rPr>
            </w:pPr>
            <w:r w:rsidRPr="00FF2FB4">
              <w:rPr>
                <w:rFonts w:ascii="Arial" w:hAnsi="Arial" w:cs="Arial"/>
              </w:rPr>
              <w:t xml:space="preserve">The PBAC reiterated that new treatments for </w:t>
            </w:r>
            <w:r>
              <w:rPr>
                <w:rFonts w:ascii="Arial" w:hAnsi="Arial" w:cs="Arial"/>
              </w:rPr>
              <w:t>CHC infection</w:t>
            </w:r>
            <w:r w:rsidRPr="00FF2FB4">
              <w:rPr>
                <w:rFonts w:ascii="Arial" w:hAnsi="Arial" w:cs="Arial"/>
              </w:rPr>
              <w:t xml:space="preserve"> were very effective and listing of these products would offer options for treatment of Genotype </w:t>
            </w:r>
            <w:r>
              <w:rPr>
                <w:rFonts w:ascii="Arial" w:hAnsi="Arial" w:cs="Arial"/>
              </w:rPr>
              <w:t>1</w:t>
            </w:r>
            <w:r w:rsidRPr="00FF2FB4">
              <w:rPr>
                <w:rFonts w:ascii="Arial" w:hAnsi="Arial" w:cs="Arial"/>
              </w:rPr>
              <w:t xml:space="preserve"> CHC. </w:t>
            </w:r>
          </w:p>
          <w:p w:rsidR="001F1C94" w:rsidRPr="00FF2FB4" w:rsidRDefault="001F1C94" w:rsidP="001F1C94">
            <w:pPr>
              <w:jc w:val="both"/>
              <w:rPr>
                <w:rFonts w:ascii="Arial" w:hAnsi="Arial" w:cs="Arial"/>
              </w:rPr>
            </w:pPr>
          </w:p>
          <w:p w:rsidR="001F1C94" w:rsidRPr="00FF2FB4" w:rsidRDefault="001F1C94" w:rsidP="001F1C94">
            <w:pPr>
              <w:jc w:val="both"/>
              <w:rPr>
                <w:rFonts w:ascii="Arial" w:hAnsi="Arial" w:cs="Arial"/>
              </w:rPr>
            </w:pPr>
            <w:r w:rsidRPr="00FF2FB4">
              <w:rPr>
                <w:rFonts w:ascii="Arial" w:hAnsi="Arial" w:cs="Arial"/>
              </w:rPr>
              <w:t xml:space="preserve">The PBAC </w:t>
            </w:r>
            <w:r>
              <w:rPr>
                <w:rFonts w:ascii="Arial" w:hAnsi="Arial" w:cs="Arial"/>
              </w:rPr>
              <w:t xml:space="preserve">reiterated </w:t>
            </w:r>
            <w:r w:rsidRPr="00FF2FB4">
              <w:rPr>
                <w:rFonts w:ascii="Arial" w:hAnsi="Arial" w:cs="Arial"/>
              </w:rPr>
              <w:t>that it was appropriate for the new all oral treatment to be listed in the General Schedule, rather than Section 100 Highly Specialised Drug Program, to facilitate the longer term objectives for access to treatment, increase treatment rates and better outcomes with a view to treat all patients with CHC over time.</w:t>
            </w:r>
          </w:p>
          <w:p w:rsidR="001F1C94" w:rsidRDefault="001F1C94" w:rsidP="001F1C94">
            <w:pPr>
              <w:jc w:val="both"/>
              <w:rPr>
                <w:rFonts w:ascii="Arial" w:hAnsi="Arial" w:cs="Arial"/>
              </w:rPr>
            </w:pPr>
          </w:p>
          <w:p w:rsidR="001F1C94" w:rsidRPr="00FF2FB4" w:rsidRDefault="001F1C94" w:rsidP="001F1C94">
            <w:pPr>
              <w:jc w:val="both"/>
              <w:rPr>
                <w:rFonts w:ascii="Arial" w:hAnsi="Arial" w:cs="Arial"/>
              </w:rPr>
            </w:pPr>
            <w:r w:rsidRPr="00FF2FB4">
              <w:rPr>
                <w:rFonts w:ascii="Arial" w:hAnsi="Arial" w:cs="Arial"/>
              </w:rPr>
              <w:t>The PBAC did not accept that the treatments are cost</w:t>
            </w:r>
            <w:r>
              <w:rPr>
                <w:rFonts w:ascii="Arial" w:hAnsi="Arial" w:cs="Arial"/>
              </w:rPr>
              <w:t>-</w:t>
            </w:r>
            <w:r w:rsidRPr="00FF2FB4">
              <w:rPr>
                <w:rFonts w:ascii="Arial" w:hAnsi="Arial" w:cs="Arial"/>
              </w:rPr>
              <w:t>effective at the price proposed by the sponsor</w:t>
            </w:r>
            <w:r>
              <w:rPr>
                <w:rFonts w:ascii="Arial" w:hAnsi="Arial" w:cs="Arial"/>
              </w:rPr>
              <w:t xml:space="preserve"> </w:t>
            </w:r>
            <w:r w:rsidRPr="00D33096">
              <w:rPr>
                <w:rFonts w:ascii="Arial" w:hAnsi="Arial" w:cs="Arial"/>
              </w:rPr>
              <w:t xml:space="preserve">in the overall </w:t>
            </w:r>
            <w:r>
              <w:rPr>
                <w:rFonts w:ascii="Arial" w:hAnsi="Arial" w:cs="Arial"/>
              </w:rPr>
              <w:t xml:space="preserve">patient </w:t>
            </w:r>
            <w:r w:rsidRPr="00D33096">
              <w:rPr>
                <w:rFonts w:ascii="Arial" w:hAnsi="Arial" w:cs="Arial"/>
              </w:rPr>
              <w:t>population</w:t>
            </w:r>
            <w:r>
              <w:rPr>
                <w:rFonts w:ascii="Arial" w:hAnsi="Arial" w:cs="Arial"/>
              </w:rPr>
              <w:t xml:space="preserve"> with Genotype 1 CHC</w:t>
            </w:r>
            <w:r w:rsidRPr="00FF2FB4">
              <w:rPr>
                <w:rFonts w:ascii="Arial" w:hAnsi="Arial" w:cs="Arial"/>
              </w:rPr>
              <w:t>.</w:t>
            </w:r>
          </w:p>
          <w:p w:rsidR="001F1C94" w:rsidRDefault="001F1C94" w:rsidP="001F1C94">
            <w:pPr>
              <w:jc w:val="both"/>
              <w:rPr>
                <w:rFonts w:ascii="Arial" w:hAnsi="Arial" w:cs="Arial"/>
              </w:rPr>
            </w:pPr>
          </w:p>
          <w:p w:rsidR="001F1C94" w:rsidRPr="00FF2FB4" w:rsidRDefault="001F1C94" w:rsidP="001F1C94">
            <w:pPr>
              <w:jc w:val="both"/>
              <w:rPr>
                <w:rFonts w:ascii="Arial" w:hAnsi="Arial" w:cs="Arial"/>
              </w:rPr>
            </w:pPr>
            <w:r w:rsidRPr="00FF2FB4">
              <w:rPr>
                <w:rFonts w:ascii="Arial" w:hAnsi="Arial" w:cs="Arial"/>
              </w:rPr>
              <w:t>The PBAC noted that there was a prevalent population of approximately 230,000 patients with CHC in Australia</w:t>
            </w:r>
            <w:r>
              <w:rPr>
                <w:rFonts w:ascii="Arial" w:hAnsi="Arial" w:cs="Arial"/>
              </w:rPr>
              <w:t>, of which approximately 50% have Genotype 1 CHC</w:t>
            </w:r>
            <w:r w:rsidRPr="00FF2FB4">
              <w:rPr>
                <w:rFonts w:ascii="Arial" w:hAnsi="Arial" w:cs="Arial"/>
              </w:rPr>
              <w:t>. The estimates of the number of patients treated with the availability of an all oral interferon free treatment, presented by the DUSC</w:t>
            </w:r>
            <w:r>
              <w:rPr>
                <w:rFonts w:ascii="Arial" w:hAnsi="Arial" w:cs="Arial"/>
              </w:rPr>
              <w:t xml:space="preserve"> for the March 2015 PBAC meeting</w:t>
            </w:r>
            <w:r w:rsidRPr="00FF2FB4">
              <w:rPr>
                <w:rFonts w:ascii="Arial" w:hAnsi="Arial" w:cs="Arial"/>
              </w:rPr>
              <w:t xml:space="preserve">, indicated that approximately 62,000 patients </w:t>
            </w:r>
            <w:r>
              <w:rPr>
                <w:rFonts w:ascii="Arial" w:hAnsi="Arial" w:cs="Arial"/>
              </w:rPr>
              <w:t xml:space="preserve">with any Genotype CHC </w:t>
            </w:r>
            <w:r w:rsidRPr="00FF2FB4">
              <w:rPr>
                <w:rFonts w:ascii="Arial" w:hAnsi="Arial" w:cs="Arial"/>
              </w:rPr>
              <w:t xml:space="preserve">could be treated in the next years. </w:t>
            </w:r>
            <w:r>
              <w:rPr>
                <w:rFonts w:ascii="Arial" w:hAnsi="Arial" w:cs="Arial"/>
              </w:rPr>
              <w:t>The</w:t>
            </w:r>
            <w:r w:rsidRPr="00FF2FB4">
              <w:rPr>
                <w:rFonts w:ascii="Arial" w:hAnsi="Arial" w:cs="Arial"/>
              </w:rPr>
              <w:t xml:space="preserve"> PBAC noted that at the price </w:t>
            </w:r>
            <w:r>
              <w:rPr>
                <w:rFonts w:ascii="Arial" w:hAnsi="Arial" w:cs="Arial"/>
              </w:rPr>
              <w:t xml:space="preserve">and patient estimates </w:t>
            </w:r>
            <w:r w:rsidRPr="00FF2FB4">
              <w:rPr>
                <w:rFonts w:ascii="Arial" w:hAnsi="Arial" w:cs="Arial"/>
              </w:rPr>
              <w:t xml:space="preserve">submitted by the sponsor, the proposed budget impact was </w:t>
            </w:r>
            <w:r w:rsidR="005A44E3">
              <w:rPr>
                <w:rFonts w:ascii="Arial" w:hAnsi="Arial" w:cs="Arial"/>
              </w:rPr>
              <w:t xml:space="preserve">less than $2 billion </w:t>
            </w:r>
            <w:r w:rsidRPr="00FF2FB4">
              <w:rPr>
                <w:rFonts w:ascii="Arial" w:hAnsi="Arial" w:cs="Arial"/>
              </w:rPr>
              <w:t>over 5 years</w:t>
            </w:r>
            <w:r>
              <w:rPr>
                <w:rFonts w:ascii="Arial" w:hAnsi="Arial" w:cs="Arial"/>
              </w:rPr>
              <w:t xml:space="preserve"> for the patient </w:t>
            </w:r>
            <w:r w:rsidRPr="00D33096">
              <w:rPr>
                <w:rFonts w:ascii="Arial" w:hAnsi="Arial" w:cs="Arial"/>
              </w:rPr>
              <w:t>population</w:t>
            </w:r>
            <w:r>
              <w:rPr>
                <w:rFonts w:ascii="Arial" w:hAnsi="Arial" w:cs="Arial"/>
              </w:rPr>
              <w:t xml:space="preserve"> with Genotype 1 CHC</w:t>
            </w:r>
            <w:r w:rsidRPr="00FF2FB4">
              <w:rPr>
                <w:rFonts w:ascii="Arial" w:hAnsi="Arial" w:cs="Arial"/>
              </w:rPr>
              <w:t>.</w:t>
            </w:r>
          </w:p>
          <w:p w:rsidR="001F1C94" w:rsidRPr="00FF2FB4" w:rsidRDefault="001F1C94" w:rsidP="001F1C94">
            <w:pPr>
              <w:jc w:val="both"/>
              <w:rPr>
                <w:rFonts w:ascii="Arial" w:hAnsi="Arial" w:cs="Arial"/>
              </w:rPr>
            </w:pPr>
          </w:p>
          <w:p w:rsidR="001F1C94" w:rsidRPr="00FF2FB4" w:rsidRDefault="001F1C94" w:rsidP="001F1C94">
            <w:pPr>
              <w:jc w:val="both"/>
              <w:rPr>
                <w:rFonts w:ascii="Arial" w:hAnsi="Arial" w:cs="Arial"/>
              </w:rPr>
            </w:pPr>
            <w:r w:rsidRPr="00FF2FB4">
              <w:rPr>
                <w:rFonts w:ascii="Arial" w:hAnsi="Arial" w:cs="Arial"/>
              </w:rPr>
              <w:t xml:space="preserve">The PBAC </w:t>
            </w:r>
            <w:r>
              <w:rPr>
                <w:rFonts w:ascii="Arial" w:hAnsi="Arial" w:cs="Arial"/>
              </w:rPr>
              <w:t>confirmed their previous advice to the Minister:</w:t>
            </w:r>
          </w:p>
          <w:p w:rsidR="001F1C94" w:rsidRPr="00FF2FB4" w:rsidRDefault="001F1C94" w:rsidP="001F1C94">
            <w:pPr>
              <w:ind w:left="222" w:hanging="222"/>
              <w:jc w:val="both"/>
              <w:rPr>
                <w:rFonts w:ascii="Arial" w:hAnsi="Arial" w:cs="Arial"/>
              </w:rPr>
            </w:pPr>
            <w:r w:rsidRPr="00FF2FB4">
              <w:rPr>
                <w:rFonts w:ascii="Arial" w:hAnsi="Arial" w:cs="Arial"/>
              </w:rPr>
              <w:t>•</w:t>
            </w:r>
            <w:r w:rsidRPr="00FF2FB4">
              <w:rPr>
                <w:rFonts w:ascii="Arial" w:hAnsi="Arial" w:cs="Arial"/>
              </w:rPr>
              <w:tab/>
              <w:t>that there is the high clinical need for all oral interferon-free treatments of CHC to be made available on the PBS,</w:t>
            </w:r>
          </w:p>
          <w:p w:rsidR="001F1C94" w:rsidRPr="00FF2FB4" w:rsidRDefault="001F1C94" w:rsidP="001F1C94">
            <w:pPr>
              <w:ind w:left="222" w:hanging="222"/>
              <w:jc w:val="both"/>
              <w:rPr>
                <w:rFonts w:ascii="Arial" w:hAnsi="Arial" w:cs="Arial"/>
              </w:rPr>
            </w:pPr>
            <w:r w:rsidRPr="00FF2FB4">
              <w:rPr>
                <w:rFonts w:ascii="Arial" w:hAnsi="Arial" w:cs="Arial"/>
              </w:rPr>
              <w:t>•</w:t>
            </w:r>
            <w:r w:rsidRPr="00FF2FB4">
              <w:rPr>
                <w:rFonts w:ascii="Arial" w:hAnsi="Arial" w:cs="Arial"/>
              </w:rPr>
              <w:tab/>
              <w:t xml:space="preserve">that there was no basis on which to recommend that any </w:t>
            </w:r>
            <w:r>
              <w:rPr>
                <w:rFonts w:ascii="Arial" w:hAnsi="Arial" w:cs="Arial"/>
              </w:rPr>
              <w:t xml:space="preserve">one </w:t>
            </w:r>
            <w:r w:rsidRPr="00FF2FB4">
              <w:rPr>
                <w:rFonts w:ascii="Arial" w:hAnsi="Arial" w:cs="Arial"/>
              </w:rPr>
              <w:t>treatment be more expensive than</w:t>
            </w:r>
            <w:r>
              <w:rPr>
                <w:rFonts w:ascii="Arial" w:hAnsi="Arial" w:cs="Arial"/>
              </w:rPr>
              <w:t xml:space="preserve"> another</w:t>
            </w:r>
            <w:r w:rsidRPr="00FF2FB4">
              <w:rPr>
                <w:rFonts w:ascii="Arial" w:hAnsi="Arial" w:cs="Arial"/>
              </w:rPr>
              <w:t xml:space="preserve">, </w:t>
            </w:r>
          </w:p>
          <w:p w:rsidR="001F1C94" w:rsidRPr="004F1E9D" w:rsidRDefault="001F1C94" w:rsidP="001F1C94">
            <w:pPr>
              <w:ind w:left="222" w:hanging="222"/>
              <w:jc w:val="both"/>
              <w:rPr>
                <w:rFonts w:ascii="Arial" w:hAnsi="Arial" w:cs="Arial"/>
              </w:rPr>
            </w:pPr>
            <w:r w:rsidRPr="00FF2FB4">
              <w:rPr>
                <w:rFonts w:ascii="Arial" w:hAnsi="Arial" w:cs="Arial"/>
              </w:rPr>
              <w:t>•</w:t>
            </w:r>
            <w:r w:rsidRPr="00FF2FB4">
              <w:rPr>
                <w:rFonts w:ascii="Arial" w:hAnsi="Arial" w:cs="Arial"/>
              </w:rPr>
              <w:tab/>
            </w:r>
            <w:proofErr w:type="gramStart"/>
            <w:r w:rsidRPr="00FF2FB4">
              <w:rPr>
                <w:rFonts w:ascii="Arial" w:hAnsi="Arial" w:cs="Arial"/>
              </w:rPr>
              <w:t>there</w:t>
            </w:r>
            <w:proofErr w:type="gramEnd"/>
            <w:r w:rsidRPr="00FF2FB4">
              <w:rPr>
                <w:rFonts w:ascii="Arial" w:hAnsi="Arial" w:cs="Arial"/>
              </w:rPr>
              <w:t xml:space="preserve"> is a large opportunity cost to health care system</w:t>
            </w:r>
            <w:r>
              <w:rPr>
                <w:rFonts w:ascii="Arial" w:hAnsi="Arial" w:cs="Arial"/>
              </w:rPr>
              <w:t>.</w:t>
            </w:r>
            <w:r w:rsidRPr="00FF2FB4">
              <w:rPr>
                <w:rFonts w:ascii="Arial" w:hAnsi="Arial" w:cs="Arial"/>
              </w:rPr>
              <w:t xml:space="preserve"> </w:t>
            </w:r>
            <w:r w:rsidRPr="00AD61A6">
              <w:rPr>
                <w:rFonts w:ascii="Arial" w:hAnsi="Arial" w:cs="Arial"/>
              </w:rPr>
              <w:t xml:space="preserve">Given this large opportunity cost, the cost of a course of treatment should be set irrespective of the duration, and that other pricing policies </w:t>
            </w:r>
            <w:proofErr w:type="gramStart"/>
            <w:r w:rsidRPr="00AD61A6">
              <w:rPr>
                <w:rFonts w:ascii="Arial" w:hAnsi="Arial" w:cs="Arial"/>
              </w:rPr>
              <w:t>be</w:t>
            </w:r>
            <w:proofErr w:type="gramEnd"/>
            <w:r w:rsidRPr="00AD61A6">
              <w:rPr>
                <w:rFonts w:ascii="Arial" w:hAnsi="Arial" w:cs="Arial"/>
              </w:rPr>
              <w:t xml:space="preserve"> considered</w:t>
            </w:r>
            <w:r>
              <w:rPr>
                <w:rFonts w:ascii="Arial" w:hAnsi="Arial" w:cs="Arial"/>
              </w:rPr>
              <w:t xml:space="preserve">. </w:t>
            </w:r>
          </w:p>
          <w:p w:rsidR="00F37EB5" w:rsidRPr="00925FB4" w:rsidRDefault="00F37EB5" w:rsidP="00FA0E8D">
            <w:pPr>
              <w:widowControl w:val="0"/>
              <w:jc w:val="both"/>
              <w:rPr>
                <w:rFonts w:ascii="Arial" w:hAnsi="Arial" w:cs="Arial"/>
                <w:bCs/>
                <w:snapToGrid w:val="0"/>
                <w:lang w:val="en-GB"/>
              </w:rPr>
            </w:pP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6101D8">
            <w:pPr>
              <w:rPr>
                <w:rFonts w:ascii="Arial" w:hAnsi="Arial" w:cs="Arial"/>
                <w:b/>
              </w:rPr>
            </w:pPr>
            <w:r w:rsidRPr="00B430D8">
              <w:rPr>
                <w:rFonts w:ascii="Arial" w:hAnsi="Arial" w:cs="Arial"/>
                <w:b/>
              </w:rPr>
              <w:lastRenderedPageBreak/>
              <w:t>PERTUSSIS VACCINE-ACELLULAR, combined wit</w:t>
            </w:r>
            <w:r w:rsidR="00DA5190">
              <w:rPr>
                <w:rFonts w:ascii="Arial" w:hAnsi="Arial" w:cs="Arial"/>
                <w:b/>
              </w:rPr>
              <w:t>h DIPTHERIA and TETANUS TOXOIDS</w:t>
            </w:r>
          </w:p>
          <w:p w:rsidR="00F37EB5" w:rsidRPr="00B430D8" w:rsidRDefault="00F37EB5" w:rsidP="006101D8">
            <w:pPr>
              <w:rPr>
                <w:rFonts w:ascii="Arial" w:hAnsi="Arial" w:cs="Arial"/>
              </w:rPr>
            </w:pPr>
            <w:r w:rsidRPr="00B430D8">
              <w:rPr>
                <w:rFonts w:ascii="Arial" w:hAnsi="Arial" w:cs="Arial"/>
              </w:rPr>
              <w:t xml:space="preserve">0.5 ml vial, 1 </w:t>
            </w:r>
          </w:p>
          <w:p w:rsidR="00F37EB5" w:rsidRPr="00B430D8" w:rsidRDefault="00F37EB5" w:rsidP="006101D8">
            <w:pPr>
              <w:rPr>
                <w:rFonts w:ascii="Arial" w:hAnsi="Arial" w:cs="Arial"/>
              </w:rPr>
            </w:pPr>
          </w:p>
          <w:p w:rsidR="00F37EB5" w:rsidRPr="00B430D8" w:rsidRDefault="00F37EB5" w:rsidP="006101D8">
            <w:pPr>
              <w:rPr>
                <w:rFonts w:ascii="Arial" w:hAnsi="Arial" w:cs="Arial"/>
              </w:rPr>
            </w:pPr>
            <w:r w:rsidRPr="00B430D8">
              <w:rPr>
                <w:rFonts w:ascii="Arial" w:hAnsi="Arial" w:cs="Arial"/>
              </w:rPr>
              <w:t xml:space="preserve">TRIPACEL® </w:t>
            </w:r>
          </w:p>
          <w:p w:rsidR="00F37EB5" w:rsidRPr="00B430D8" w:rsidRDefault="00F37EB5" w:rsidP="006101D8">
            <w:pPr>
              <w:rPr>
                <w:rFonts w:ascii="Arial" w:hAnsi="Arial" w:cs="Arial"/>
              </w:rPr>
            </w:pPr>
          </w:p>
          <w:p w:rsidR="00F37EB5" w:rsidRPr="00B430D8" w:rsidRDefault="00F37EB5" w:rsidP="006101D8">
            <w:pPr>
              <w:rPr>
                <w:rFonts w:ascii="Arial" w:hAnsi="Arial" w:cs="Arial"/>
              </w:rPr>
            </w:pPr>
            <w:proofErr w:type="spellStart"/>
            <w:r w:rsidRPr="00B430D8">
              <w:rPr>
                <w:rFonts w:ascii="Arial" w:hAnsi="Arial" w:cs="Arial"/>
              </w:rPr>
              <w:t>Sanofi-aventis</w:t>
            </w:r>
            <w:proofErr w:type="spellEnd"/>
            <w:r w:rsidRPr="00B430D8">
              <w:rPr>
                <w:rFonts w:ascii="Arial" w:hAnsi="Arial" w:cs="Arial"/>
              </w:rPr>
              <w:t xml:space="preserve"> Australia Pty Ltd</w:t>
            </w:r>
          </w:p>
          <w:p w:rsidR="00F37EB5" w:rsidRPr="00B430D8" w:rsidRDefault="00F37EB5" w:rsidP="006101D8">
            <w:pPr>
              <w:rPr>
                <w:rFonts w:ascii="Arial" w:hAnsi="Arial" w:cs="Arial"/>
              </w:rPr>
            </w:pPr>
          </w:p>
          <w:p w:rsidR="00F37EB5" w:rsidRPr="00B430D8" w:rsidRDefault="00F37EB5" w:rsidP="006101D8">
            <w:pPr>
              <w:rPr>
                <w:rFonts w:ascii="Arial" w:hAnsi="Arial" w:cs="Arial"/>
              </w:rPr>
            </w:pPr>
            <w:r w:rsidRPr="00B430D8">
              <w:rPr>
                <w:rFonts w:ascii="Arial" w:hAnsi="Arial" w:cs="Arial"/>
              </w:rPr>
              <w:t xml:space="preserve">New listing </w:t>
            </w:r>
          </w:p>
          <w:p w:rsidR="00F37EB5" w:rsidRPr="00B430D8" w:rsidRDefault="00F37EB5" w:rsidP="006101D8">
            <w:pPr>
              <w:rPr>
                <w:rFonts w:ascii="Arial" w:hAnsi="Arial" w:cs="Arial"/>
              </w:rPr>
            </w:pPr>
          </w:p>
          <w:p w:rsidR="00F37EB5" w:rsidRPr="00925FB4" w:rsidRDefault="00F37EB5" w:rsidP="006101D8">
            <w:pPr>
              <w:rPr>
                <w:rFonts w:ascii="Arial" w:hAnsi="Arial" w:cs="Arial"/>
                <w:b/>
              </w:rPr>
            </w:pPr>
            <w:r w:rsidRPr="00B430D8">
              <w:rPr>
                <w:rFonts w:ascii="Arial" w:hAnsi="Arial" w:cs="Arial"/>
              </w:rPr>
              <w:t>(Major submission)</w:t>
            </w:r>
            <w:r>
              <w:rPr>
                <w:rFonts w:ascii="Arial" w:hAnsi="Arial" w:cs="Arial"/>
                <w:b/>
              </w:rPr>
              <w:t xml:space="preserve"> </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B430D8">
              <w:rPr>
                <w:rFonts w:ascii="Arial" w:hAnsi="Arial" w:cs="Arial"/>
              </w:rPr>
              <w:t>Prevention of diphtheria, tetanus and pertussis</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B430D8">
              <w:rPr>
                <w:rFonts w:ascii="Arial" w:hAnsi="Arial" w:cs="Arial"/>
              </w:rPr>
              <w:t xml:space="preserve">National Immunisation Program </w:t>
            </w:r>
            <w:r>
              <w:rPr>
                <w:rFonts w:ascii="Arial" w:hAnsi="Arial" w:cs="Arial"/>
              </w:rPr>
              <w:t xml:space="preserve">(NIP) </w:t>
            </w:r>
            <w:r w:rsidRPr="00B430D8">
              <w:rPr>
                <w:rFonts w:ascii="Arial" w:hAnsi="Arial" w:cs="Arial"/>
              </w:rPr>
              <w:t>listing of an additional booster dose of DTaP vaccine for children aged 18 months.</w:t>
            </w:r>
          </w:p>
        </w:tc>
        <w:tc>
          <w:tcPr>
            <w:tcW w:w="7192" w:type="dxa"/>
            <w:tcBorders>
              <w:top w:val="single" w:sz="4" w:space="0" w:color="auto"/>
              <w:left w:val="single" w:sz="4" w:space="0" w:color="auto"/>
              <w:bottom w:val="single" w:sz="4" w:space="0" w:color="auto"/>
              <w:right w:val="single" w:sz="4" w:space="0" w:color="auto"/>
            </w:tcBorders>
          </w:tcPr>
          <w:p w:rsidR="00F37EB5" w:rsidRPr="00925FB4" w:rsidRDefault="00F37EB5" w:rsidP="00DA5190">
            <w:pPr>
              <w:contextualSpacing/>
              <w:rPr>
                <w:rFonts w:ascii="Arial" w:hAnsi="Arial" w:cs="Arial"/>
                <w:b/>
                <w:bCs/>
                <w:lang w:val="en-GB"/>
              </w:rPr>
            </w:pPr>
            <w:r w:rsidRPr="00925FB4">
              <w:rPr>
                <w:rFonts w:ascii="Arial" w:hAnsi="Arial" w:cs="Arial"/>
                <w:bCs/>
                <w:lang w:val="en-GB"/>
              </w:rPr>
              <w:t xml:space="preserve">The PBAC recommended including the 18-month booster of the </w:t>
            </w:r>
            <w:r w:rsidR="00DA5190" w:rsidRPr="00DA5190">
              <w:rPr>
                <w:rFonts w:ascii="Arial" w:hAnsi="Arial" w:cs="Arial"/>
              </w:rPr>
              <w:t>pertussis vaccine-</w:t>
            </w:r>
            <w:proofErr w:type="spellStart"/>
            <w:r w:rsidR="00DA5190" w:rsidRPr="00DA5190">
              <w:rPr>
                <w:rFonts w:ascii="Arial" w:hAnsi="Arial" w:cs="Arial"/>
              </w:rPr>
              <w:t>acellular</w:t>
            </w:r>
            <w:proofErr w:type="spellEnd"/>
            <w:r w:rsidR="00DA5190" w:rsidRPr="00DA5190">
              <w:rPr>
                <w:rFonts w:ascii="Arial" w:hAnsi="Arial" w:cs="Arial"/>
              </w:rPr>
              <w:t>, combined with</w:t>
            </w:r>
            <w:r w:rsidR="00DA5190">
              <w:rPr>
                <w:rFonts w:ascii="Arial" w:hAnsi="Arial" w:cs="Arial"/>
              </w:rPr>
              <w:t xml:space="preserve"> diphtheria and tetanus toxoids </w:t>
            </w:r>
            <w:r w:rsidRPr="00925FB4">
              <w:rPr>
                <w:rFonts w:ascii="Arial" w:hAnsi="Arial" w:cs="Arial"/>
              </w:rPr>
              <w:t>(</w:t>
            </w:r>
            <w:proofErr w:type="spellStart"/>
            <w:r w:rsidRPr="00925FB4">
              <w:rPr>
                <w:rFonts w:ascii="Arial" w:hAnsi="Arial" w:cs="Arial"/>
              </w:rPr>
              <w:t>Tripa</w:t>
            </w:r>
            <w:r w:rsidR="00DA5190">
              <w:rPr>
                <w:rFonts w:ascii="Arial" w:hAnsi="Arial" w:cs="Arial"/>
              </w:rPr>
              <w:t>cel</w:t>
            </w:r>
            <w:proofErr w:type="spellEnd"/>
            <w:r w:rsidR="00DA5190">
              <w:rPr>
                <w:rFonts w:ascii="Arial" w:hAnsi="Arial" w:cs="Arial"/>
              </w:rPr>
              <w:t xml:space="preserve">), </w:t>
            </w:r>
            <w:r w:rsidRPr="00925FB4">
              <w:rPr>
                <w:rFonts w:ascii="Arial" w:hAnsi="Arial" w:cs="Arial"/>
                <w:bCs/>
                <w:lang w:val="en-GB"/>
              </w:rPr>
              <w:t xml:space="preserve">on the NIP for the prevention of pertussis on the basis of cost-minimisation to the 18-month booster of the combined diphtheria, tetanus and </w:t>
            </w:r>
            <w:proofErr w:type="spellStart"/>
            <w:r w:rsidRPr="00925FB4">
              <w:rPr>
                <w:rFonts w:ascii="Arial" w:hAnsi="Arial" w:cs="Arial"/>
                <w:bCs/>
                <w:lang w:val="en-GB"/>
              </w:rPr>
              <w:t>acellular</w:t>
            </w:r>
            <w:proofErr w:type="spellEnd"/>
            <w:r w:rsidRPr="00925FB4">
              <w:rPr>
                <w:rFonts w:ascii="Arial" w:hAnsi="Arial" w:cs="Arial"/>
                <w:bCs/>
                <w:lang w:val="en-GB"/>
              </w:rPr>
              <w:t xml:space="preserve"> pertussis (</w:t>
            </w:r>
            <w:proofErr w:type="spellStart"/>
            <w:r w:rsidRPr="00925FB4">
              <w:rPr>
                <w:rFonts w:ascii="Arial" w:hAnsi="Arial" w:cs="Arial"/>
                <w:bCs/>
                <w:lang w:val="en-GB"/>
              </w:rPr>
              <w:t>Infanrix</w:t>
            </w:r>
            <w:proofErr w:type="spellEnd"/>
            <w:r w:rsidRPr="00925FB4">
              <w:rPr>
                <w:rFonts w:ascii="Arial" w:hAnsi="Arial" w:cs="Arial"/>
                <w:bCs/>
                <w:lang w:val="en-GB"/>
              </w:rPr>
              <w:t>) vaccine recommended at the November 2014 PBAC meeting for inclusion on the NIP. Based on the evidence provided, the PBAC considered it would be reasonable to conclude that the two vaccines at the 18-month time point conferred similar efficacy and safety.</w:t>
            </w: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6101D8">
            <w:pPr>
              <w:rPr>
                <w:rFonts w:ascii="Arial" w:hAnsi="Arial" w:cs="Arial"/>
                <w:b/>
              </w:rPr>
            </w:pPr>
            <w:r w:rsidRPr="00B430D8">
              <w:rPr>
                <w:rFonts w:ascii="Arial" w:hAnsi="Arial" w:cs="Arial"/>
                <w:b/>
              </w:rPr>
              <w:lastRenderedPageBreak/>
              <w:t xml:space="preserve">PNEUMOCOCCAL CONJUGATE VACCINE (13-valent) </w:t>
            </w:r>
          </w:p>
          <w:p w:rsidR="00F37EB5" w:rsidRPr="00B430D8" w:rsidRDefault="00F37EB5" w:rsidP="006101D8">
            <w:pPr>
              <w:rPr>
                <w:rFonts w:ascii="Arial" w:hAnsi="Arial" w:cs="Arial"/>
              </w:rPr>
            </w:pPr>
            <w:r w:rsidRPr="00B430D8">
              <w:rPr>
                <w:rFonts w:ascii="Arial" w:hAnsi="Arial" w:cs="Arial"/>
              </w:rPr>
              <w:t xml:space="preserve">0.5 mL injection </w:t>
            </w:r>
          </w:p>
          <w:p w:rsidR="00F37EB5" w:rsidRPr="00B430D8" w:rsidRDefault="00F37EB5" w:rsidP="006101D8">
            <w:pPr>
              <w:rPr>
                <w:rFonts w:ascii="Arial" w:hAnsi="Arial" w:cs="Arial"/>
              </w:rPr>
            </w:pPr>
          </w:p>
          <w:p w:rsidR="00F37EB5" w:rsidRPr="00B430D8" w:rsidRDefault="00F37EB5" w:rsidP="006101D8">
            <w:pPr>
              <w:rPr>
                <w:rFonts w:ascii="Arial" w:hAnsi="Arial" w:cs="Arial"/>
              </w:rPr>
            </w:pPr>
            <w:r w:rsidRPr="00B430D8">
              <w:rPr>
                <w:rFonts w:ascii="Arial" w:hAnsi="Arial" w:cs="Arial"/>
              </w:rPr>
              <w:t xml:space="preserve">PREVENAR 13® </w:t>
            </w:r>
          </w:p>
          <w:p w:rsidR="00F37EB5" w:rsidRPr="00B430D8" w:rsidRDefault="00F37EB5" w:rsidP="006101D8">
            <w:pPr>
              <w:rPr>
                <w:rFonts w:ascii="Arial" w:hAnsi="Arial" w:cs="Arial"/>
              </w:rPr>
            </w:pPr>
          </w:p>
          <w:p w:rsidR="00F37EB5" w:rsidRPr="00B430D8" w:rsidRDefault="00F37EB5" w:rsidP="006101D8">
            <w:pPr>
              <w:rPr>
                <w:rFonts w:ascii="Arial" w:hAnsi="Arial" w:cs="Arial"/>
              </w:rPr>
            </w:pPr>
            <w:r w:rsidRPr="00B430D8">
              <w:rPr>
                <w:rFonts w:ascii="Arial" w:hAnsi="Arial" w:cs="Arial"/>
              </w:rPr>
              <w:t>Pfizer Australia Pty Ltd</w:t>
            </w:r>
          </w:p>
          <w:p w:rsidR="00F37EB5" w:rsidRPr="00B430D8" w:rsidRDefault="00F37EB5" w:rsidP="006101D8">
            <w:pPr>
              <w:rPr>
                <w:rFonts w:ascii="Arial" w:hAnsi="Arial" w:cs="Arial"/>
              </w:rPr>
            </w:pPr>
          </w:p>
          <w:p w:rsidR="00F37EB5" w:rsidRPr="00B430D8" w:rsidRDefault="00F37EB5" w:rsidP="006101D8">
            <w:pPr>
              <w:rPr>
                <w:rFonts w:ascii="Arial" w:hAnsi="Arial" w:cs="Arial"/>
              </w:rPr>
            </w:pPr>
            <w:r w:rsidRPr="00B430D8">
              <w:rPr>
                <w:rFonts w:ascii="Arial" w:hAnsi="Arial" w:cs="Arial"/>
              </w:rPr>
              <w:t xml:space="preserve">Change to listing </w:t>
            </w:r>
          </w:p>
          <w:p w:rsidR="00F37EB5" w:rsidRPr="00B430D8" w:rsidRDefault="00F37EB5" w:rsidP="006101D8">
            <w:pPr>
              <w:rPr>
                <w:rFonts w:ascii="Arial" w:hAnsi="Arial" w:cs="Arial"/>
              </w:rPr>
            </w:pPr>
          </w:p>
          <w:p w:rsidR="00F37EB5" w:rsidRPr="00925FB4" w:rsidRDefault="00F37EB5" w:rsidP="006101D8">
            <w:pPr>
              <w:rPr>
                <w:rFonts w:ascii="Arial" w:hAnsi="Arial" w:cs="Arial"/>
                <w:b/>
              </w:rPr>
            </w:pPr>
            <w:r w:rsidRPr="00B430D8">
              <w:rPr>
                <w:rFonts w:ascii="Arial" w:hAnsi="Arial" w:cs="Arial"/>
              </w:rPr>
              <w:t>(Minor Submission)</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B430D8">
              <w:rPr>
                <w:rFonts w:ascii="Arial" w:hAnsi="Arial" w:cs="Arial"/>
              </w:rPr>
              <w:t>P</w:t>
            </w:r>
            <w:r>
              <w:rPr>
                <w:rFonts w:ascii="Arial" w:hAnsi="Arial" w:cs="Arial"/>
              </w:rPr>
              <w:t>revention of p</w:t>
            </w:r>
            <w:r w:rsidRPr="00B430D8">
              <w:rPr>
                <w:rFonts w:ascii="Arial" w:hAnsi="Arial" w:cs="Arial"/>
              </w:rPr>
              <w:t>neumococcal disease</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74257E">
            <w:pPr>
              <w:rPr>
                <w:rFonts w:ascii="Arial" w:hAnsi="Arial" w:cs="Arial"/>
              </w:rPr>
            </w:pPr>
            <w:r w:rsidRPr="00B430D8">
              <w:rPr>
                <w:rFonts w:ascii="Arial" w:hAnsi="Arial" w:cs="Arial"/>
              </w:rPr>
              <w:t xml:space="preserve">Re-submission to extend the listing on the </w:t>
            </w:r>
            <w:r w:rsidR="00DA5190" w:rsidRPr="00B430D8">
              <w:rPr>
                <w:rFonts w:ascii="Arial" w:hAnsi="Arial" w:cs="Arial"/>
              </w:rPr>
              <w:t>National Immunisation Program</w:t>
            </w:r>
            <w:r w:rsidR="00DA5190">
              <w:rPr>
                <w:rFonts w:ascii="Arial" w:hAnsi="Arial" w:cs="Arial"/>
              </w:rPr>
              <w:t xml:space="preserve"> (</w:t>
            </w:r>
            <w:r>
              <w:rPr>
                <w:rFonts w:ascii="Arial" w:hAnsi="Arial" w:cs="Arial"/>
              </w:rPr>
              <w:t>NIP</w:t>
            </w:r>
            <w:r w:rsidR="00DA5190">
              <w:rPr>
                <w:rFonts w:ascii="Arial" w:hAnsi="Arial" w:cs="Arial"/>
              </w:rPr>
              <w:t>)</w:t>
            </w:r>
            <w:r>
              <w:rPr>
                <w:rFonts w:ascii="Arial" w:hAnsi="Arial" w:cs="Arial"/>
              </w:rPr>
              <w:t xml:space="preserve"> </w:t>
            </w:r>
            <w:r w:rsidRPr="00B430D8">
              <w:rPr>
                <w:rFonts w:ascii="Arial" w:hAnsi="Arial" w:cs="Arial"/>
              </w:rPr>
              <w:t>to include the prevention of pneumococcal disease in non</w:t>
            </w:r>
            <w:r>
              <w:rPr>
                <w:rFonts w:ascii="Arial" w:hAnsi="Arial" w:cs="Arial"/>
              </w:rPr>
              <w:noBreakHyphen/>
            </w:r>
            <w:r w:rsidRPr="00B430D8">
              <w:rPr>
                <w:rFonts w:ascii="Arial" w:hAnsi="Arial" w:cs="Arial"/>
              </w:rPr>
              <w:t>Indigenous adults aged 65</w:t>
            </w:r>
            <w:r>
              <w:rPr>
                <w:rFonts w:ascii="Arial" w:hAnsi="Arial" w:cs="Arial"/>
              </w:rPr>
              <w:t> </w:t>
            </w:r>
            <w:r w:rsidRPr="00B430D8">
              <w:rPr>
                <w:rFonts w:ascii="Arial" w:hAnsi="Arial" w:cs="Arial"/>
              </w:rPr>
              <w:t>years and Indigenous adults aged 50 years.</w:t>
            </w:r>
          </w:p>
        </w:tc>
        <w:tc>
          <w:tcPr>
            <w:tcW w:w="7192" w:type="dxa"/>
            <w:tcBorders>
              <w:top w:val="single" w:sz="4" w:space="0" w:color="auto"/>
              <w:left w:val="single" w:sz="4" w:space="0" w:color="auto"/>
              <w:bottom w:val="single" w:sz="4" w:space="0" w:color="auto"/>
              <w:right w:val="single" w:sz="4" w:space="0" w:color="auto"/>
            </w:tcBorders>
          </w:tcPr>
          <w:p w:rsidR="00F37EB5" w:rsidRPr="00925FB4" w:rsidRDefault="00F37EB5" w:rsidP="004617B4">
            <w:pPr>
              <w:contextualSpacing/>
              <w:rPr>
                <w:rFonts w:ascii="Arial" w:hAnsi="Arial" w:cs="Arial"/>
                <w:bCs/>
                <w:lang w:val="en-GB"/>
              </w:rPr>
            </w:pPr>
            <w:r w:rsidRPr="00925FB4">
              <w:rPr>
                <w:rFonts w:ascii="Arial" w:hAnsi="Arial" w:cs="Arial"/>
                <w:bCs/>
                <w:lang w:val="en-GB"/>
              </w:rPr>
              <w:t xml:space="preserve">The PBAC recommended including the </w:t>
            </w:r>
            <w:r>
              <w:rPr>
                <w:rFonts w:ascii="Arial" w:hAnsi="Arial" w:cs="Arial"/>
                <w:bCs/>
                <w:lang w:val="en-GB"/>
              </w:rPr>
              <w:t>13-valent pneumococcal conjugate vaccine (</w:t>
            </w:r>
            <w:r w:rsidRPr="00925FB4">
              <w:rPr>
                <w:rFonts w:ascii="Arial" w:hAnsi="Arial" w:cs="Arial"/>
                <w:bCs/>
                <w:lang w:val="en-GB"/>
              </w:rPr>
              <w:t>13vPCV</w:t>
            </w:r>
            <w:r>
              <w:rPr>
                <w:rFonts w:ascii="Arial" w:hAnsi="Arial" w:cs="Arial"/>
                <w:bCs/>
                <w:lang w:val="en-GB"/>
              </w:rPr>
              <w:t>)</w:t>
            </w:r>
            <w:r w:rsidRPr="00925FB4">
              <w:rPr>
                <w:rFonts w:ascii="Arial" w:hAnsi="Arial" w:cs="Arial"/>
                <w:bCs/>
                <w:lang w:val="en-GB"/>
              </w:rPr>
              <w:t xml:space="preserve"> on the NIP for the prevention of pneumococcal pneumonia and invasive pneumococcal disease in adults on the basis of cost-minimisation to the </w:t>
            </w:r>
            <w:r>
              <w:rPr>
                <w:rFonts w:ascii="Arial" w:hAnsi="Arial" w:cs="Arial"/>
                <w:bCs/>
                <w:lang w:val="en-GB"/>
              </w:rPr>
              <w:t>23-valent pneumococcal polysaccharide vaccine</w:t>
            </w:r>
            <w:r w:rsidRPr="00925FB4">
              <w:rPr>
                <w:rFonts w:ascii="Arial" w:hAnsi="Arial" w:cs="Arial"/>
                <w:bCs/>
                <w:lang w:val="en-GB"/>
              </w:rPr>
              <w:t xml:space="preserve"> </w:t>
            </w:r>
            <w:r>
              <w:rPr>
                <w:rFonts w:ascii="Arial" w:hAnsi="Arial" w:cs="Arial"/>
                <w:bCs/>
                <w:lang w:val="en-GB"/>
              </w:rPr>
              <w:t>(</w:t>
            </w:r>
            <w:r w:rsidRPr="00925FB4">
              <w:rPr>
                <w:rFonts w:ascii="Arial" w:hAnsi="Arial" w:cs="Arial"/>
                <w:bCs/>
                <w:lang w:val="en-GB"/>
              </w:rPr>
              <w:t>23vPPV</w:t>
            </w:r>
            <w:r>
              <w:rPr>
                <w:rFonts w:ascii="Arial" w:hAnsi="Arial" w:cs="Arial"/>
                <w:bCs/>
                <w:lang w:val="en-GB"/>
              </w:rPr>
              <w:t>)</w:t>
            </w:r>
            <w:r w:rsidRPr="00925FB4">
              <w:rPr>
                <w:rFonts w:ascii="Arial" w:hAnsi="Arial" w:cs="Arial"/>
                <w:bCs/>
                <w:lang w:val="en-GB"/>
              </w:rPr>
              <w:t>. The PBAC recommended that a single dose of 13vPCV be made available to pneumococcal vaccine naïve non-Indigenous adults aged 65 years and over and to pneumococcal vaccine naïve Indigenous adults aged 50 years and over.</w:t>
            </w:r>
          </w:p>
          <w:p w:rsidR="00F37EB5" w:rsidRPr="00925FB4" w:rsidRDefault="00F37EB5" w:rsidP="004617B4">
            <w:pPr>
              <w:contextualSpacing/>
              <w:rPr>
                <w:rFonts w:ascii="Arial" w:hAnsi="Arial" w:cs="Arial"/>
                <w:bCs/>
                <w:lang w:val="en-GB"/>
              </w:rPr>
            </w:pPr>
          </w:p>
          <w:p w:rsidR="00F37EB5" w:rsidRPr="00925FB4" w:rsidRDefault="00F37EB5" w:rsidP="004617B4">
            <w:pPr>
              <w:contextualSpacing/>
              <w:rPr>
                <w:rFonts w:ascii="Arial" w:hAnsi="Arial" w:cs="Arial"/>
                <w:bCs/>
                <w:lang w:val="en-GB"/>
              </w:rPr>
            </w:pPr>
            <w:r w:rsidRPr="00925FB4">
              <w:rPr>
                <w:rFonts w:ascii="Arial" w:hAnsi="Arial" w:cs="Arial"/>
                <w:bCs/>
                <w:lang w:val="en-GB"/>
              </w:rPr>
              <w:t>The PBAC noted that if 13vPCV were included on the NIP for adults, then individuals in specified at-risk groups would continue to receive a booster dose of 23vPPV five years following the primary dose of 13vPCV.</w:t>
            </w:r>
          </w:p>
          <w:p w:rsidR="00F37EB5" w:rsidRPr="00925FB4" w:rsidRDefault="00F37EB5" w:rsidP="004617B4">
            <w:pPr>
              <w:contextualSpacing/>
              <w:rPr>
                <w:rFonts w:ascii="Arial" w:hAnsi="Arial" w:cs="Arial"/>
                <w:bCs/>
                <w:lang w:val="en-GB"/>
              </w:rPr>
            </w:pP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2E5A8E">
            <w:pPr>
              <w:rPr>
                <w:rFonts w:ascii="Arial" w:hAnsi="Arial" w:cs="Arial"/>
                <w:b/>
              </w:rPr>
            </w:pPr>
            <w:r w:rsidRPr="00BD0CE3">
              <w:rPr>
                <w:rFonts w:ascii="Arial" w:hAnsi="Arial" w:cs="Arial"/>
                <w:b/>
              </w:rPr>
              <w:lastRenderedPageBreak/>
              <w:t xml:space="preserve">PONATINIB </w:t>
            </w:r>
          </w:p>
          <w:p w:rsidR="00F37EB5" w:rsidRPr="00BD0CE3" w:rsidRDefault="00F37EB5" w:rsidP="002E5A8E">
            <w:pPr>
              <w:rPr>
                <w:rFonts w:ascii="Arial" w:hAnsi="Arial" w:cs="Arial"/>
              </w:rPr>
            </w:pPr>
            <w:r w:rsidRPr="00BD0CE3">
              <w:rPr>
                <w:rFonts w:ascii="Arial" w:hAnsi="Arial" w:cs="Arial"/>
              </w:rPr>
              <w:t xml:space="preserve">15 mg tablet, 60 </w:t>
            </w:r>
          </w:p>
          <w:p w:rsidR="00F37EB5" w:rsidRPr="00BD0CE3" w:rsidRDefault="00F37EB5" w:rsidP="002E5A8E">
            <w:pPr>
              <w:rPr>
                <w:rFonts w:ascii="Arial" w:hAnsi="Arial" w:cs="Arial"/>
              </w:rPr>
            </w:pPr>
            <w:r w:rsidRPr="00BD0CE3">
              <w:rPr>
                <w:rFonts w:ascii="Arial" w:hAnsi="Arial" w:cs="Arial"/>
              </w:rPr>
              <w:t>45 mg tablet, 30</w:t>
            </w:r>
          </w:p>
          <w:p w:rsidR="00F37EB5" w:rsidRPr="00BD0CE3" w:rsidRDefault="00F37EB5" w:rsidP="002E5A8E">
            <w:pPr>
              <w:rPr>
                <w:rFonts w:ascii="Arial" w:hAnsi="Arial" w:cs="Arial"/>
              </w:rPr>
            </w:pPr>
          </w:p>
          <w:p w:rsidR="00F37EB5" w:rsidRPr="00BD0CE3" w:rsidRDefault="00F37EB5" w:rsidP="002E5A8E">
            <w:pPr>
              <w:rPr>
                <w:rFonts w:ascii="Arial" w:hAnsi="Arial" w:cs="Arial"/>
              </w:rPr>
            </w:pPr>
            <w:r w:rsidRPr="00BD0CE3">
              <w:rPr>
                <w:rFonts w:ascii="Arial" w:hAnsi="Arial" w:cs="Arial"/>
              </w:rPr>
              <w:t xml:space="preserve">ICLUSIG® </w:t>
            </w:r>
          </w:p>
          <w:p w:rsidR="00F37EB5" w:rsidRPr="00BD0CE3" w:rsidRDefault="00F37EB5" w:rsidP="002E5A8E">
            <w:pPr>
              <w:rPr>
                <w:rFonts w:ascii="Arial" w:hAnsi="Arial" w:cs="Arial"/>
              </w:rPr>
            </w:pPr>
          </w:p>
          <w:p w:rsidR="00F37EB5" w:rsidRPr="00BD0CE3" w:rsidRDefault="00F37EB5" w:rsidP="002E5A8E">
            <w:pPr>
              <w:rPr>
                <w:rFonts w:ascii="Arial" w:hAnsi="Arial" w:cs="Arial"/>
              </w:rPr>
            </w:pPr>
            <w:r w:rsidRPr="00BD0CE3">
              <w:rPr>
                <w:rFonts w:ascii="Arial" w:hAnsi="Arial" w:cs="Arial"/>
              </w:rPr>
              <w:t>Specialised Therapeutics Australia Pty Ltd</w:t>
            </w:r>
          </w:p>
          <w:p w:rsidR="00F37EB5" w:rsidRPr="00BD0CE3" w:rsidRDefault="00F37EB5" w:rsidP="002E5A8E">
            <w:pPr>
              <w:rPr>
                <w:rFonts w:ascii="Arial" w:hAnsi="Arial" w:cs="Arial"/>
              </w:rPr>
            </w:pPr>
          </w:p>
          <w:p w:rsidR="00F37EB5" w:rsidRPr="00BD0CE3" w:rsidRDefault="00F37EB5" w:rsidP="002E5A8E">
            <w:pPr>
              <w:rPr>
                <w:rFonts w:ascii="Arial" w:hAnsi="Arial" w:cs="Arial"/>
              </w:rPr>
            </w:pPr>
            <w:r w:rsidRPr="00BD0CE3">
              <w:rPr>
                <w:rFonts w:ascii="Arial" w:hAnsi="Arial" w:cs="Arial"/>
              </w:rPr>
              <w:t xml:space="preserve">New listing </w:t>
            </w:r>
          </w:p>
          <w:p w:rsidR="00F37EB5" w:rsidRPr="00BD0CE3" w:rsidRDefault="00F37EB5" w:rsidP="002E5A8E">
            <w:pPr>
              <w:rPr>
                <w:rFonts w:ascii="Arial" w:hAnsi="Arial" w:cs="Arial"/>
              </w:rPr>
            </w:pPr>
          </w:p>
          <w:p w:rsidR="00F37EB5" w:rsidRPr="00925FB4" w:rsidRDefault="00F37EB5" w:rsidP="002E5A8E">
            <w:pPr>
              <w:rPr>
                <w:rFonts w:ascii="Arial" w:hAnsi="Arial" w:cs="Arial"/>
                <w:b/>
              </w:rPr>
            </w:pPr>
            <w:r w:rsidRPr="00BD0CE3">
              <w:rPr>
                <w:rFonts w:ascii="Arial" w:hAnsi="Arial" w:cs="Arial"/>
              </w:rPr>
              <w:t>(Major submission)</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BD0CE3">
              <w:rPr>
                <w:rFonts w:ascii="Arial" w:hAnsi="Arial" w:cs="Arial"/>
              </w:rPr>
              <w:t>Chronic myeloid leukaemia</w:t>
            </w:r>
            <w:r>
              <w:rPr>
                <w:rFonts w:ascii="Arial" w:hAnsi="Arial" w:cs="Arial"/>
              </w:rPr>
              <w:t xml:space="preserve"> (CML)</w:t>
            </w:r>
            <w:r w:rsidRPr="00BD0CE3">
              <w:rPr>
                <w:rFonts w:ascii="Arial" w:hAnsi="Arial" w:cs="Arial"/>
              </w:rPr>
              <w:t xml:space="preserve"> and acute lymphoblastic leukaemia</w:t>
            </w:r>
            <w:r>
              <w:rPr>
                <w:rFonts w:ascii="Arial" w:hAnsi="Arial" w:cs="Arial"/>
              </w:rPr>
              <w:t xml:space="preserve"> (ALL)</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EE1C62">
            <w:pPr>
              <w:rPr>
                <w:rFonts w:ascii="Arial" w:hAnsi="Arial" w:cs="Arial"/>
              </w:rPr>
            </w:pPr>
            <w:r w:rsidRPr="00BD0CE3">
              <w:rPr>
                <w:rFonts w:ascii="Arial" w:hAnsi="Arial" w:cs="Arial"/>
              </w:rPr>
              <w:t xml:space="preserve">Re-submission for Authority Required listing for the treatment of </w:t>
            </w:r>
            <w:r>
              <w:rPr>
                <w:rFonts w:ascii="Arial" w:hAnsi="Arial" w:cs="Arial"/>
              </w:rPr>
              <w:t>CML</w:t>
            </w:r>
            <w:r w:rsidRPr="00BD0CE3">
              <w:rPr>
                <w:rFonts w:ascii="Arial" w:hAnsi="Arial" w:cs="Arial"/>
              </w:rPr>
              <w:t xml:space="preserve"> or </w:t>
            </w:r>
            <w:r>
              <w:rPr>
                <w:rFonts w:ascii="Arial" w:hAnsi="Arial" w:cs="Arial"/>
              </w:rPr>
              <w:t>ALL</w:t>
            </w:r>
            <w:r w:rsidRPr="00BD0CE3">
              <w:rPr>
                <w:rFonts w:ascii="Arial" w:hAnsi="Arial" w:cs="Arial"/>
              </w:rPr>
              <w:t xml:space="preserve"> in a patient who meets certain criteria.</w:t>
            </w:r>
          </w:p>
        </w:tc>
        <w:tc>
          <w:tcPr>
            <w:tcW w:w="7192" w:type="dxa"/>
            <w:tcBorders>
              <w:top w:val="single" w:sz="4" w:space="0" w:color="auto"/>
              <w:left w:val="single" w:sz="4" w:space="0" w:color="auto"/>
              <w:bottom w:val="single" w:sz="4" w:space="0" w:color="auto"/>
              <w:right w:val="single" w:sz="4" w:space="0" w:color="auto"/>
            </w:tcBorders>
          </w:tcPr>
          <w:p w:rsidR="00F37EB5" w:rsidRPr="00925FB4" w:rsidRDefault="00F37EB5" w:rsidP="00B23560">
            <w:pPr>
              <w:rPr>
                <w:rFonts w:ascii="Arial" w:hAnsi="Arial" w:cs="Arial"/>
                <w:bCs/>
                <w:lang w:val="en-GB"/>
              </w:rPr>
            </w:pPr>
            <w:r w:rsidRPr="00925FB4">
              <w:rPr>
                <w:rFonts w:ascii="Arial" w:hAnsi="Arial" w:cs="Arial"/>
                <w:bCs/>
                <w:lang w:val="en-GB"/>
              </w:rPr>
              <w:t xml:space="preserve">The PBAC recommended the PBS-listing of </w:t>
            </w:r>
            <w:proofErr w:type="spellStart"/>
            <w:r w:rsidRPr="00925FB4">
              <w:rPr>
                <w:rFonts w:ascii="Arial" w:hAnsi="Arial" w:cs="Arial"/>
                <w:bCs/>
                <w:lang w:val="en-GB"/>
              </w:rPr>
              <w:t>ponatinib</w:t>
            </w:r>
            <w:proofErr w:type="spellEnd"/>
            <w:r w:rsidRPr="00925FB4">
              <w:rPr>
                <w:rFonts w:ascii="Arial" w:hAnsi="Arial" w:cs="Arial"/>
                <w:bCs/>
                <w:lang w:val="en-GB"/>
              </w:rPr>
              <w:t xml:space="preserve"> as an Authority Required benefit for treatment of CML in (</w:t>
            </w:r>
            <w:proofErr w:type="spellStart"/>
            <w:r w:rsidRPr="00925FB4">
              <w:rPr>
                <w:rFonts w:ascii="Arial" w:hAnsi="Arial" w:cs="Arial"/>
                <w:bCs/>
                <w:lang w:val="en-GB"/>
              </w:rPr>
              <w:t>i</w:t>
            </w:r>
            <w:proofErr w:type="spellEnd"/>
            <w:r w:rsidRPr="00925FB4">
              <w:rPr>
                <w:rFonts w:ascii="Arial" w:hAnsi="Arial" w:cs="Arial"/>
                <w:bCs/>
                <w:lang w:val="en-GB"/>
              </w:rPr>
              <w:t xml:space="preserve">) Patients who have failed first line therapy with </w:t>
            </w:r>
            <w:proofErr w:type="spellStart"/>
            <w:r w:rsidRPr="00925FB4">
              <w:rPr>
                <w:rFonts w:ascii="Arial" w:hAnsi="Arial" w:cs="Arial"/>
                <w:bCs/>
                <w:lang w:val="en-GB"/>
              </w:rPr>
              <w:t>imatinib</w:t>
            </w:r>
            <w:proofErr w:type="spellEnd"/>
            <w:r w:rsidRPr="00925FB4">
              <w:rPr>
                <w:rFonts w:ascii="Arial" w:hAnsi="Arial" w:cs="Arial"/>
                <w:bCs/>
                <w:lang w:val="en-GB"/>
              </w:rPr>
              <w:t xml:space="preserve"> or </w:t>
            </w:r>
            <w:proofErr w:type="spellStart"/>
            <w:r w:rsidRPr="00925FB4">
              <w:rPr>
                <w:rFonts w:ascii="Arial" w:hAnsi="Arial" w:cs="Arial"/>
                <w:bCs/>
                <w:lang w:val="en-GB"/>
              </w:rPr>
              <w:t>dasatinib</w:t>
            </w:r>
            <w:proofErr w:type="spellEnd"/>
            <w:r w:rsidRPr="00925FB4">
              <w:rPr>
                <w:rFonts w:ascii="Arial" w:hAnsi="Arial" w:cs="Arial"/>
                <w:bCs/>
                <w:lang w:val="en-GB"/>
              </w:rPr>
              <w:t xml:space="preserve"> or </w:t>
            </w:r>
            <w:proofErr w:type="spellStart"/>
            <w:r w:rsidRPr="00925FB4">
              <w:rPr>
                <w:rFonts w:ascii="Arial" w:hAnsi="Arial" w:cs="Arial"/>
                <w:bCs/>
                <w:lang w:val="en-GB"/>
              </w:rPr>
              <w:t>nilotinib</w:t>
            </w:r>
            <w:proofErr w:type="spellEnd"/>
            <w:r w:rsidRPr="00925FB4">
              <w:rPr>
                <w:rFonts w:ascii="Arial" w:hAnsi="Arial" w:cs="Arial"/>
                <w:bCs/>
                <w:lang w:val="en-GB"/>
              </w:rPr>
              <w:t xml:space="preserve"> and whose CML has the T315I mutation; (ii) Patients with CML where both </w:t>
            </w:r>
            <w:proofErr w:type="spellStart"/>
            <w:r w:rsidRPr="00925FB4">
              <w:rPr>
                <w:rFonts w:ascii="Arial" w:hAnsi="Arial" w:cs="Arial"/>
                <w:bCs/>
                <w:lang w:val="en-GB"/>
              </w:rPr>
              <w:t>nilotinib</w:t>
            </w:r>
            <w:proofErr w:type="spellEnd"/>
            <w:r w:rsidRPr="00925FB4">
              <w:rPr>
                <w:rFonts w:ascii="Arial" w:hAnsi="Arial" w:cs="Arial"/>
                <w:bCs/>
                <w:lang w:val="en-GB"/>
              </w:rPr>
              <w:t xml:space="preserve"> and </w:t>
            </w:r>
            <w:proofErr w:type="spellStart"/>
            <w:r w:rsidRPr="00925FB4">
              <w:rPr>
                <w:rFonts w:ascii="Arial" w:hAnsi="Arial" w:cs="Arial"/>
                <w:bCs/>
                <w:lang w:val="en-GB"/>
              </w:rPr>
              <w:t>dasatinib</w:t>
            </w:r>
            <w:proofErr w:type="spellEnd"/>
            <w:r w:rsidRPr="00925FB4">
              <w:rPr>
                <w:rFonts w:ascii="Arial" w:hAnsi="Arial" w:cs="Arial"/>
                <w:bCs/>
                <w:lang w:val="en-GB"/>
              </w:rPr>
              <w:t xml:space="preserve"> have failed or where one of </w:t>
            </w:r>
            <w:proofErr w:type="spellStart"/>
            <w:r w:rsidRPr="00925FB4">
              <w:rPr>
                <w:rFonts w:ascii="Arial" w:hAnsi="Arial" w:cs="Arial"/>
                <w:bCs/>
                <w:lang w:val="en-GB"/>
              </w:rPr>
              <w:t>nilotinib</w:t>
            </w:r>
            <w:proofErr w:type="spellEnd"/>
            <w:r w:rsidRPr="00925FB4">
              <w:rPr>
                <w:rFonts w:ascii="Arial" w:hAnsi="Arial" w:cs="Arial"/>
                <w:bCs/>
                <w:lang w:val="en-GB"/>
              </w:rPr>
              <w:t xml:space="preserve"> or </w:t>
            </w:r>
            <w:proofErr w:type="spellStart"/>
            <w:r w:rsidRPr="00925FB4">
              <w:rPr>
                <w:rFonts w:ascii="Arial" w:hAnsi="Arial" w:cs="Arial"/>
                <w:bCs/>
                <w:lang w:val="en-GB"/>
              </w:rPr>
              <w:t>dasatinib</w:t>
            </w:r>
            <w:proofErr w:type="spellEnd"/>
            <w:r w:rsidRPr="00925FB4">
              <w:rPr>
                <w:rFonts w:ascii="Arial" w:hAnsi="Arial" w:cs="Arial"/>
                <w:bCs/>
                <w:lang w:val="en-GB"/>
              </w:rPr>
              <w:t xml:space="preserve"> has failed and who are intolerant of the other drug; and for the treatment of relapsed or refractory Philadelphia chromosome positive</w:t>
            </w:r>
            <w:r>
              <w:rPr>
                <w:rFonts w:ascii="Arial" w:hAnsi="Arial" w:cs="Arial"/>
                <w:bCs/>
                <w:lang w:val="en-GB"/>
              </w:rPr>
              <w:t xml:space="preserve"> (</w:t>
            </w:r>
            <w:proofErr w:type="spellStart"/>
            <w:r w:rsidRPr="00925FB4">
              <w:rPr>
                <w:rFonts w:ascii="Arial" w:hAnsi="Arial" w:cs="Arial"/>
                <w:bCs/>
                <w:lang w:val="en-GB"/>
              </w:rPr>
              <w:t>Ph</w:t>
            </w:r>
            <w:proofErr w:type="spellEnd"/>
            <w:r w:rsidRPr="00925FB4">
              <w:rPr>
                <w:rFonts w:ascii="Arial" w:hAnsi="Arial" w:cs="Arial"/>
                <w:bCs/>
                <w:lang w:val="en-GB"/>
              </w:rPr>
              <w:t xml:space="preserve">+ </w:t>
            </w:r>
            <w:r>
              <w:rPr>
                <w:rFonts w:ascii="Arial" w:hAnsi="Arial" w:cs="Arial"/>
                <w:bCs/>
                <w:lang w:val="en-GB"/>
              </w:rPr>
              <w:t>)</w:t>
            </w:r>
            <w:r w:rsidRPr="00925FB4">
              <w:rPr>
                <w:rFonts w:ascii="Arial" w:hAnsi="Arial" w:cs="Arial"/>
                <w:bCs/>
                <w:lang w:val="en-GB"/>
              </w:rPr>
              <w:t xml:space="preserve"> ALL in patients whose ALL has the T315I mutation. </w:t>
            </w:r>
          </w:p>
          <w:p w:rsidR="00F37EB5" w:rsidRPr="00925FB4" w:rsidRDefault="00F37EB5" w:rsidP="00B23560">
            <w:pPr>
              <w:rPr>
                <w:rFonts w:ascii="Arial" w:hAnsi="Arial" w:cs="Arial"/>
                <w:bCs/>
                <w:lang w:val="en-GB"/>
              </w:rPr>
            </w:pPr>
          </w:p>
          <w:p w:rsidR="00F37EB5" w:rsidRPr="00925FB4" w:rsidRDefault="00F37EB5" w:rsidP="00B23560">
            <w:pPr>
              <w:rPr>
                <w:rFonts w:ascii="Arial" w:hAnsi="Arial" w:cs="Arial"/>
                <w:bCs/>
                <w:lang w:val="en-GB"/>
              </w:rPr>
            </w:pPr>
            <w:r w:rsidRPr="00925FB4">
              <w:rPr>
                <w:rFonts w:ascii="Arial" w:hAnsi="Arial" w:cs="Arial"/>
                <w:bCs/>
                <w:lang w:val="en-GB"/>
              </w:rPr>
              <w:t xml:space="preserve">The PBAC reaffirmed its previous conclusion that </w:t>
            </w:r>
            <w:proofErr w:type="spellStart"/>
            <w:r w:rsidRPr="00925FB4">
              <w:rPr>
                <w:rFonts w:ascii="Arial" w:hAnsi="Arial" w:cs="Arial"/>
                <w:bCs/>
                <w:lang w:val="en-GB"/>
              </w:rPr>
              <w:t>ponatinib</w:t>
            </w:r>
            <w:proofErr w:type="spellEnd"/>
            <w:r w:rsidRPr="00925FB4">
              <w:rPr>
                <w:rFonts w:ascii="Arial" w:hAnsi="Arial" w:cs="Arial"/>
                <w:bCs/>
                <w:lang w:val="en-GB"/>
              </w:rPr>
              <w:t xml:space="preserve"> is the most active </w:t>
            </w:r>
            <w:r>
              <w:rPr>
                <w:rFonts w:ascii="Arial" w:hAnsi="Arial" w:cs="Arial"/>
                <w:bCs/>
                <w:lang w:val="en-GB"/>
              </w:rPr>
              <w:t>tyrosine kinase inhibitor</w:t>
            </w:r>
            <w:r w:rsidRPr="00925FB4">
              <w:rPr>
                <w:rFonts w:ascii="Arial" w:hAnsi="Arial" w:cs="Arial"/>
                <w:bCs/>
                <w:lang w:val="en-GB"/>
              </w:rPr>
              <w:t xml:space="preserve"> for CML patients who carry the T315I mutation, and that response rates to </w:t>
            </w:r>
            <w:proofErr w:type="spellStart"/>
            <w:r w:rsidRPr="00925FB4">
              <w:rPr>
                <w:rFonts w:ascii="Arial" w:hAnsi="Arial" w:cs="Arial"/>
                <w:bCs/>
                <w:lang w:val="en-GB"/>
              </w:rPr>
              <w:t>ponatinib</w:t>
            </w:r>
            <w:proofErr w:type="spellEnd"/>
            <w:r w:rsidRPr="00925FB4">
              <w:rPr>
                <w:rFonts w:ascii="Arial" w:hAnsi="Arial" w:cs="Arial"/>
                <w:bCs/>
                <w:lang w:val="en-GB"/>
              </w:rPr>
              <w:t xml:space="preserve"> in CML patients with the T315I mutant CML are similar to those seen in CML patients without this mutation treated with </w:t>
            </w:r>
            <w:proofErr w:type="spellStart"/>
            <w:r w:rsidRPr="00925FB4">
              <w:rPr>
                <w:rFonts w:ascii="Arial" w:hAnsi="Arial" w:cs="Arial"/>
                <w:bCs/>
                <w:lang w:val="en-GB"/>
              </w:rPr>
              <w:t>dasatinib</w:t>
            </w:r>
            <w:proofErr w:type="spellEnd"/>
            <w:r w:rsidRPr="00925FB4">
              <w:rPr>
                <w:rFonts w:ascii="Arial" w:hAnsi="Arial" w:cs="Arial"/>
                <w:bCs/>
                <w:lang w:val="en-GB"/>
              </w:rPr>
              <w:t xml:space="preserve"> or </w:t>
            </w:r>
            <w:proofErr w:type="spellStart"/>
            <w:r w:rsidRPr="00925FB4">
              <w:rPr>
                <w:rFonts w:ascii="Arial" w:hAnsi="Arial" w:cs="Arial"/>
                <w:bCs/>
                <w:lang w:val="en-GB"/>
              </w:rPr>
              <w:t>nilotinib</w:t>
            </w:r>
            <w:proofErr w:type="spellEnd"/>
            <w:r w:rsidRPr="00925FB4">
              <w:rPr>
                <w:rFonts w:ascii="Arial" w:hAnsi="Arial" w:cs="Arial"/>
                <w:bCs/>
                <w:lang w:val="en-GB"/>
              </w:rPr>
              <w:t xml:space="preserve"> in second line.</w:t>
            </w:r>
          </w:p>
          <w:p w:rsidR="00F37EB5" w:rsidRPr="00925FB4" w:rsidRDefault="00F37EB5" w:rsidP="00B23560">
            <w:pPr>
              <w:rPr>
                <w:rFonts w:ascii="Arial" w:hAnsi="Arial" w:cs="Arial"/>
                <w:bCs/>
                <w:lang w:val="en-GB"/>
              </w:rPr>
            </w:pPr>
          </w:p>
          <w:p w:rsidR="00F37EB5" w:rsidRPr="00925FB4" w:rsidRDefault="00F37EB5" w:rsidP="00B23560">
            <w:pPr>
              <w:rPr>
                <w:rFonts w:ascii="Arial" w:hAnsi="Arial" w:cs="Arial"/>
                <w:bCs/>
                <w:lang w:val="en-GB"/>
              </w:rPr>
            </w:pPr>
            <w:r w:rsidRPr="00925FB4">
              <w:rPr>
                <w:rFonts w:ascii="Arial" w:hAnsi="Arial" w:cs="Arial"/>
                <w:bCs/>
                <w:lang w:val="en-GB"/>
              </w:rPr>
              <w:t xml:space="preserve">The PBAC reaffirmed its view that </w:t>
            </w:r>
            <w:proofErr w:type="spellStart"/>
            <w:r w:rsidRPr="00925FB4">
              <w:rPr>
                <w:rFonts w:ascii="Arial" w:hAnsi="Arial" w:cs="Arial"/>
                <w:bCs/>
                <w:lang w:val="en-GB"/>
              </w:rPr>
              <w:t>ponatinib</w:t>
            </w:r>
            <w:proofErr w:type="spellEnd"/>
            <w:r w:rsidRPr="00925FB4">
              <w:rPr>
                <w:rFonts w:ascii="Arial" w:hAnsi="Arial" w:cs="Arial"/>
                <w:bCs/>
                <w:lang w:val="en-GB"/>
              </w:rPr>
              <w:t xml:space="preserve"> has an inferior toxicity profile to </w:t>
            </w:r>
            <w:proofErr w:type="spellStart"/>
            <w:r w:rsidRPr="00925FB4">
              <w:rPr>
                <w:rFonts w:ascii="Arial" w:hAnsi="Arial" w:cs="Arial"/>
                <w:bCs/>
                <w:lang w:val="en-GB"/>
              </w:rPr>
              <w:t>imatinib</w:t>
            </w:r>
            <w:proofErr w:type="spellEnd"/>
            <w:r w:rsidRPr="00925FB4">
              <w:rPr>
                <w:rFonts w:ascii="Arial" w:hAnsi="Arial" w:cs="Arial"/>
                <w:bCs/>
                <w:lang w:val="en-GB"/>
              </w:rPr>
              <w:t xml:space="preserve">, </w:t>
            </w:r>
            <w:proofErr w:type="spellStart"/>
            <w:r w:rsidRPr="00925FB4">
              <w:rPr>
                <w:rFonts w:ascii="Arial" w:hAnsi="Arial" w:cs="Arial"/>
                <w:bCs/>
                <w:lang w:val="en-GB"/>
              </w:rPr>
              <w:t>dasatinib</w:t>
            </w:r>
            <w:proofErr w:type="spellEnd"/>
            <w:r w:rsidRPr="00925FB4">
              <w:rPr>
                <w:rFonts w:ascii="Arial" w:hAnsi="Arial" w:cs="Arial"/>
                <w:bCs/>
                <w:lang w:val="en-GB"/>
              </w:rPr>
              <w:t xml:space="preserve"> and </w:t>
            </w:r>
            <w:proofErr w:type="spellStart"/>
            <w:r w:rsidRPr="00925FB4">
              <w:rPr>
                <w:rFonts w:ascii="Arial" w:hAnsi="Arial" w:cs="Arial"/>
                <w:bCs/>
                <w:lang w:val="en-GB"/>
              </w:rPr>
              <w:t>nilotinib</w:t>
            </w:r>
            <w:proofErr w:type="spellEnd"/>
            <w:r w:rsidRPr="00925FB4">
              <w:rPr>
                <w:rFonts w:ascii="Arial" w:hAnsi="Arial" w:cs="Arial"/>
                <w:bCs/>
                <w:lang w:val="en-GB"/>
              </w:rPr>
              <w:t>, especially with regard to serious vascular occlusive events.</w:t>
            </w:r>
          </w:p>
          <w:p w:rsidR="00F37EB5" w:rsidRPr="00925FB4" w:rsidRDefault="00F37EB5" w:rsidP="00B23560">
            <w:pPr>
              <w:rPr>
                <w:rFonts w:ascii="Arial" w:hAnsi="Arial" w:cs="Arial"/>
                <w:bCs/>
                <w:lang w:val="en-GB"/>
              </w:rPr>
            </w:pPr>
          </w:p>
          <w:p w:rsidR="00F37EB5" w:rsidRPr="00925FB4" w:rsidRDefault="00F37EB5" w:rsidP="00B23560">
            <w:pPr>
              <w:rPr>
                <w:rFonts w:ascii="Arial" w:hAnsi="Arial" w:cs="Arial"/>
                <w:bCs/>
                <w:lang w:val="en-GB"/>
              </w:rPr>
            </w:pPr>
            <w:r w:rsidRPr="00925FB4">
              <w:rPr>
                <w:rFonts w:ascii="Arial" w:hAnsi="Arial" w:cs="Arial"/>
                <w:bCs/>
                <w:lang w:val="en-GB"/>
              </w:rPr>
              <w:t xml:space="preserve">The PBAC considered that there was a clinical need for treatments of </w:t>
            </w:r>
            <w:proofErr w:type="spellStart"/>
            <w:r w:rsidRPr="00925FB4">
              <w:rPr>
                <w:rFonts w:ascii="Arial" w:hAnsi="Arial" w:cs="Arial"/>
                <w:bCs/>
                <w:lang w:val="en-GB"/>
              </w:rPr>
              <w:t>Ph</w:t>
            </w:r>
            <w:proofErr w:type="spellEnd"/>
            <w:r w:rsidRPr="00925FB4">
              <w:rPr>
                <w:rFonts w:ascii="Arial" w:hAnsi="Arial" w:cs="Arial"/>
                <w:bCs/>
                <w:lang w:val="en-GB"/>
              </w:rPr>
              <w:t xml:space="preserve">+ ALL patients without the T315 mutation (including patients with less common mutations such as F317L and E225V). However, in the absence of additional evidence, the PBAC could not recommend approval for </w:t>
            </w:r>
            <w:proofErr w:type="spellStart"/>
            <w:r w:rsidRPr="00925FB4">
              <w:rPr>
                <w:rFonts w:ascii="Arial" w:hAnsi="Arial" w:cs="Arial"/>
                <w:bCs/>
                <w:lang w:val="en-GB"/>
              </w:rPr>
              <w:t>ponatinib</w:t>
            </w:r>
            <w:proofErr w:type="spellEnd"/>
            <w:r w:rsidRPr="00925FB4">
              <w:rPr>
                <w:rFonts w:ascii="Arial" w:hAnsi="Arial" w:cs="Arial"/>
                <w:bCs/>
                <w:lang w:val="en-GB"/>
              </w:rPr>
              <w:t xml:space="preserve"> in </w:t>
            </w:r>
            <w:proofErr w:type="spellStart"/>
            <w:r w:rsidRPr="00925FB4">
              <w:rPr>
                <w:rFonts w:ascii="Arial" w:hAnsi="Arial" w:cs="Arial"/>
                <w:bCs/>
                <w:lang w:val="en-GB"/>
              </w:rPr>
              <w:t>Ph</w:t>
            </w:r>
            <w:proofErr w:type="spellEnd"/>
            <w:r w:rsidRPr="00925FB4">
              <w:rPr>
                <w:rFonts w:ascii="Arial" w:hAnsi="Arial" w:cs="Arial"/>
                <w:bCs/>
                <w:lang w:val="en-GB"/>
              </w:rPr>
              <w:t>+ ALL without the T315 mutation. The PBAC did not alter its view from November</w:t>
            </w:r>
            <w:r>
              <w:rPr>
                <w:rFonts w:ascii="Arial" w:hAnsi="Arial" w:cs="Arial"/>
                <w:bCs/>
                <w:lang w:val="en-GB"/>
              </w:rPr>
              <w:t> </w:t>
            </w:r>
            <w:r w:rsidRPr="00925FB4">
              <w:rPr>
                <w:rFonts w:ascii="Arial" w:hAnsi="Arial" w:cs="Arial"/>
                <w:bCs/>
                <w:lang w:val="en-GB"/>
              </w:rPr>
              <w:t xml:space="preserve">2014 in recommending the use of </w:t>
            </w:r>
            <w:proofErr w:type="spellStart"/>
            <w:r w:rsidRPr="00925FB4">
              <w:rPr>
                <w:rFonts w:ascii="Arial" w:hAnsi="Arial" w:cs="Arial"/>
                <w:bCs/>
                <w:lang w:val="en-GB"/>
              </w:rPr>
              <w:t>ponatinib</w:t>
            </w:r>
            <w:proofErr w:type="spellEnd"/>
            <w:r w:rsidRPr="00925FB4">
              <w:rPr>
                <w:rFonts w:ascii="Arial" w:hAnsi="Arial" w:cs="Arial"/>
                <w:bCs/>
                <w:lang w:val="en-GB"/>
              </w:rPr>
              <w:t xml:space="preserve"> in clinical scenarios where its </w:t>
            </w:r>
            <w:proofErr w:type="spellStart"/>
            <w:r w:rsidRPr="00925FB4">
              <w:rPr>
                <w:rFonts w:ascii="Arial" w:hAnsi="Arial" w:cs="Arial"/>
                <w:bCs/>
                <w:lang w:val="en-GB"/>
              </w:rPr>
              <w:t>risk</w:t>
            </w:r>
            <w:proofErr w:type="gramStart"/>
            <w:r w:rsidRPr="00925FB4">
              <w:rPr>
                <w:rFonts w:ascii="Arial" w:hAnsi="Arial" w:cs="Arial"/>
                <w:bCs/>
                <w:lang w:val="en-GB"/>
              </w:rPr>
              <w:t>:benefit</w:t>
            </w:r>
            <w:proofErr w:type="spellEnd"/>
            <w:proofErr w:type="gramEnd"/>
            <w:r w:rsidRPr="00925FB4">
              <w:rPr>
                <w:rFonts w:ascii="Arial" w:hAnsi="Arial" w:cs="Arial"/>
                <w:bCs/>
                <w:lang w:val="en-GB"/>
              </w:rPr>
              <w:t xml:space="preserve"> ratios were most favourable. The PBAC would welcome additional quality evidence of the benefit of </w:t>
            </w:r>
            <w:proofErr w:type="spellStart"/>
            <w:r w:rsidRPr="00925FB4">
              <w:rPr>
                <w:rFonts w:ascii="Arial" w:hAnsi="Arial" w:cs="Arial"/>
                <w:bCs/>
                <w:lang w:val="en-GB"/>
              </w:rPr>
              <w:t>pontantib</w:t>
            </w:r>
            <w:proofErr w:type="spellEnd"/>
            <w:r w:rsidRPr="00925FB4">
              <w:rPr>
                <w:rFonts w:ascii="Arial" w:hAnsi="Arial" w:cs="Arial"/>
                <w:bCs/>
                <w:lang w:val="en-GB"/>
              </w:rPr>
              <w:t xml:space="preserve"> in </w:t>
            </w:r>
            <w:proofErr w:type="spellStart"/>
            <w:r w:rsidRPr="00925FB4">
              <w:rPr>
                <w:rFonts w:ascii="Arial" w:hAnsi="Arial" w:cs="Arial"/>
                <w:bCs/>
                <w:lang w:val="en-GB"/>
              </w:rPr>
              <w:t>Ph</w:t>
            </w:r>
            <w:proofErr w:type="spellEnd"/>
            <w:r w:rsidRPr="00925FB4">
              <w:rPr>
                <w:rFonts w:ascii="Arial" w:hAnsi="Arial" w:cs="Arial"/>
                <w:bCs/>
                <w:lang w:val="en-GB"/>
              </w:rPr>
              <w:t>+ ALL patients without the T315 mutation to facilitate any future reconsideration.</w:t>
            </w:r>
          </w:p>
          <w:p w:rsidR="00F37EB5" w:rsidRPr="00925FB4" w:rsidRDefault="00F37EB5" w:rsidP="00B23560">
            <w:pPr>
              <w:rPr>
                <w:rFonts w:ascii="Arial" w:hAnsi="Arial" w:cs="Arial"/>
                <w:bCs/>
                <w:lang w:val="en-GB"/>
              </w:rPr>
            </w:pPr>
          </w:p>
          <w:p w:rsidR="00F37EB5" w:rsidRPr="00925FB4" w:rsidRDefault="00F37EB5" w:rsidP="00B23560">
            <w:pPr>
              <w:rPr>
                <w:rFonts w:ascii="Arial" w:hAnsi="Arial" w:cs="Arial"/>
              </w:rPr>
            </w:pPr>
            <w:r w:rsidRPr="00925FB4">
              <w:rPr>
                <w:rFonts w:ascii="Arial" w:hAnsi="Arial" w:cs="Arial"/>
                <w:bCs/>
                <w:lang w:val="en-GB"/>
              </w:rPr>
              <w:t xml:space="preserve">The PBAC considered that the cost-effectiveness of </w:t>
            </w:r>
            <w:proofErr w:type="spellStart"/>
            <w:r w:rsidRPr="00925FB4">
              <w:rPr>
                <w:rFonts w:ascii="Arial" w:hAnsi="Arial" w:cs="Arial"/>
                <w:bCs/>
                <w:lang w:val="en-GB"/>
              </w:rPr>
              <w:t>ponatinib</w:t>
            </w:r>
            <w:proofErr w:type="spellEnd"/>
            <w:r w:rsidRPr="00925FB4">
              <w:rPr>
                <w:rFonts w:ascii="Arial" w:hAnsi="Arial" w:cs="Arial"/>
                <w:bCs/>
                <w:lang w:val="en-GB"/>
              </w:rPr>
              <w:t xml:space="preserve"> would be acceptable when benchmarked against the costs of </w:t>
            </w:r>
            <w:proofErr w:type="spellStart"/>
            <w:r w:rsidRPr="00925FB4">
              <w:rPr>
                <w:rFonts w:ascii="Arial" w:hAnsi="Arial" w:cs="Arial"/>
                <w:bCs/>
                <w:lang w:val="en-GB"/>
              </w:rPr>
              <w:t>dasatinib</w:t>
            </w:r>
            <w:proofErr w:type="spellEnd"/>
            <w:r w:rsidRPr="00925FB4">
              <w:rPr>
                <w:rFonts w:ascii="Arial" w:hAnsi="Arial" w:cs="Arial"/>
                <w:bCs/>
                <w:lang w:val="en-GB"/>
              </w:rPr>
              <w:t xml:space="preserve"> and </w:t>
            </w:r>
            <w:proofErr w:type="spellStart"/>
            <w:r w:rsidRPr="00925FB4">
              <w:rPr>
                <w:rFonts w:ascii="Arial" w:hAnsi="Arial" w:cs="Arial"/>
                <w:bCs/>
                <w:lang w:val="en-GB"/>
              </w:rPr>
              <w:t>nilotinib</w:t>
            </w:r>
            <w:proofErr w:type="spellEnd"/>
            <w:r w:rsidRPr="00925FB4">
              <w:rPr>
                <w:rFonts w:ascii="Arial" w:hAnsi="Arial" w:cs="Arial"/>
                <w:bCs/>
                <w:lang w:val="en-GB"/>
              </w:rPr>
              <w:t xml:space="preserve">, with adjustments required to account for the toxicity of the treatments. The equi-effective doses were considered to be </w:t>
            </w:r>
            <w:proofErr w:type="spellStart"/>
            <w:r w:rsidRPr="00925FB4">
              <w:rPr>
                <w:rFonts w:ascii="Arial" w:hAnsi="Arial" w:cs="Arial"/>
                <w:bCs/>
                <w:lang w:val="en-GB"/>
              </w:rPr>
              <w:t>ponatinib</w:t>
            </w:r>
            <w:proofErr w:type="spellEnd"/>
            <w:r w:rsidRPr="00925FB4">
              <w:rPr>
                <w:rFonts w:ascii="Arial" w:hAnsi="Arial" w:cs="Arial"/>
                <w:bCs/>
                <w:lang w:val="en-GB"/>
              </w:rPr>
              <w:t xml:space="preserve"> 30.2 mg daily, </w:t>
            </w:r>
            <w:proofErr w:type="spellStart"/>
            <w:r w:rsidRPr="00925FB4">
              <w:rPr>
                <w:rFonts w:ascii="Arial" w:hAnsi="Arial" w:cs="Arial"/>
                <w:bCs/>
                <w:lang w:val="en-GB"/>
              </w:rPr>
              <w:t>dasatinib</w:t>
            </w:r>
            <w:proofErr w:type="spellEnd"/>
            <w:r w:rsidRPr="00925FB4">
              <w:rPr>
                <w:rFonts w:ascii="Arial" w:hAnsi="Arial" w:cs="Arial"/>
                <w:bCs/>
                <w:lang w:val="en-GB"/>
              </w:rPr>
              <w:t xml:space="preserve"> 102 mg daily and </w:t>
            </w:r>
            <w:proofErr w:type="spellStart"/>
            <w:r w:rsidRPr="00925FB4">
              <w:rPr>
                <w:rFonts w:ascii="Arial" w:hAnsi="Arial" w:cs="Arial"/>
                <w:bCs/>
                <w:lang w:val="en-GB"/>
              </w:rPr>
              <w:t>nilotinib</w:t>
            </w:r>
            <w:proofErr w:type="spellEnd"/>
            <w:r w:rsidRPr="00925FB4">
              <w:rPr>
                <w:rFonts w:ascii="Arial" w:hAnsi="Arial" w:cs="Arial"/>
                <w:bCs/>
                <w:lang w:val="en-GB"/>
              </w:rPr>
              <w:t xml:space="preserve"> 797 mg daily.</w:t>
            </w: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6101D8">
            <w:pPr>
              <w:rPr>
                <w:rFonts w:ascii="Arial" w:hAnsi="Arial" w:cs="Arial"/>
                <w:b/>
              </w:rPr>
            </w:pPr>
            <w:r w:rsidRPr="00B430D8">
              <w:rPr>
                <w:rFonts w:ascii="Arial" w:hAnsi="Arial" w:cs="Arial"/>
                <w:b/>
              </w:rPr>
              <w:lastRenderedPageBreak/>
              <w:t xml:space="preserve">QUADRIVALENT INFLUENZA VACCINE </w:t>
            </w:r>
          </w:p>
          <w:p w:rsidR="00F37EB5" w:rsidRPr="00B430D8" w:rsidRDefault="00DA5190" w:rsidP="006101D8">
            <w:pPr>
              <w:rPr>
                <w:rFonts w:ascii="Arial" w:hAnsi="Arial" w:cs="Arial"/>
              </w:rPr>
            </w:pPr>
            <w:r>
              <w:rPr>
                <w:rFonts w:ascii="Arial" w:hAnsi="Arial" w:cs="Arial"/>
              </w:rPr>
              <w:t>0.5 ml pre-filled syringe, 5;</w:t>
            </w:r>
          </w:p>
          <w:p w:rsidR="00F37EB5" w:rsidRPr="00B430D8" w:rsidRDefault="00F37EB5" w:rsidP="006101D8">
            <w:pPr>
              <w:rPr>
                <w:rFonts w:ascii="Arial" w:hAnsi="Arial" w:cs="Arial"/>
              </w:rPr>
            </w:pPr>
            <w:r w:rsidRPr="00B430D8">
              <w:rPr>
                <w:rFonts w:ascii="Arial" w:hAnsi="Arial" w:cs="Arial"/>
              </w:rPr>
              <w:t>0.5 ml pre-filled syringe, 10</w:t>
            </w:r>
            <w:r w:rsidR="00DA5190">
              <w:rPr>
                <w:rFonts w:ascii="Arial" w:hAnsi="Arial" w:cs="Arial"/>
              </w:rPr>
              <w:t>; 0.25 </w:t>
            </w:r>
            <w:r w:rsidRPr="00B430D8">
              <w:rPr>
                <w:rFonts w:ascii="Arial" w:hAnsi="Arial" w:cs="Arial"/>
              </w:rPr>
              <w:t>ml pre-filled syringe, 5</w:t>
            </w:r>
            <w:r w:rsidR="00DA5190">
              <w:rPr>
                <w:rFonts w:ascii="Arial" w:hAnsi="Arial" w:cs="Arial"/>
              </w:rPr>
              <w:t>; 0.25 </w:t>
            </w:r>
            <w:r w:rsidRPr="00B430D8">
              <w:rPr>
                <w:rFonts w:ascii="Arial" w:hAnsi="Arial" w:cs="Arial"/>
              </w:rPr>
              <w:t xml:space="preserve">ml pre-filled syringe, 10 </w:t>
            </w:r>
          </w:p>
          <w:p w:rsidR="00F37EB5" w:rsidRPr="00B430D8" w:rsidRDefault="00F37EB5" w:rsidP="006101D8">
            <w:pPr>
              <w:rPr>
                <w:rFonts w:ascii="Arial" w:hAnsi="Arial" w:cs="Arial"/>
              </w:rPr>
            </w:pPr>
          </w:p>
          <w:p w:rsidR="00F37EB5" w:rsidRPr="00B430D8" w:rsidRDefault="00F37EB5" w:rsidP="006101D8">
            <w:pPr>
              <w:rPr>
                <w:rFonts w:ascii="Arial" w:hAnsi="Arial" w:cs="Arial"/>
              </w:rPr>
            </w:pPr>
            <w:r w:rsidRPr="00B430D8">
              <w:rPr>
                <w:rFonts w:ascii="Arial" w:hAnsi="Arial" w:cs="Arial"/>
              </w:rPr>
              <w:t xml:space="preserve">FLUQUADRI® </w:t>
            </w:r>
          </w:p>
          <w:p w:rsidR="00F37EB5" w:rsidRPr="00B430D8" w:rsidRDefault="00F37EB5" w:rsidP="006101D8">
            <w:pPr>
              <w:rPr>
                <w:rFonts w:ascii="Arial" w:hAnsi="Arial" w:cs="Arial"/>
              </w:rPr>
            </w:pPr>
          </w:p>
          <w:p w:rsidR="00F37EB5" w:rsidRPr="00B430D8" w:rsidRDefault="00F37EB5" w:rsidP="006101D8">
            <w:pPr>
              <w:rPr>
                <w:rFonts w:ascii="Arial" w:hAnsi="Arial" w:cs="Arial"/>
              </w:rPr>
            </w:pPr>
            <w:proofErr w:type="spellStart"/>
            <w:r w:rsidRPr="00B430D8">
              <w:rPr>
                <w:rFonts w:ascii="Arial" w:hAnsi="Arial" w:cs="Arial"/>
              </w:rPr>
              <w:t>Sanofi-aventis</w:t>
            </w:r>
            <w:proofErr w:type="spellEnd"/>
          </w:p>
          <w:p w:rsidR="00F37EB5" w:rsidRPr="00B430D8" w:rsidRDefault="00F37EB5" w:rsidP="006101D8">
            <w:pPr>
              <w:rPr>
                <w:rFonts w:ascii="Arial" w:hAnsi="Arial" w:cs="Arial"/>
              </w:rPr>
            </w:pPr>
          </w:p>
          <w:p w:rsidR="00F37EB5" w:rsidRPr="00B430D8" w:rsidRDefault="00F37EB5" w:rsidP="006101D8">
            <w:pPr>
              <w:rPr>
                <w:rFonts w:ascii="Arial" w:hAnsi="Arial" w:cs="Arial"/>
              </w:rPr>
            </w:pPr>
            <w:r w:rsidRPr="00B430D8">
              <w:rPr>
                <w:rFonts w:ascii="Arial" w:hAnsi="Arial" w:cs="Arial"/>
              </w:rPr>
              <w:t xml:space="preserve">New listing </w:t>
            </w:r>
          </w:p>
          <w:p w:rsidR="00F37EB5" w:rsidRPr="00B430D8" w:rsidRDefault="00F37EB5" w:rsidP="006101D8">
            <w:pPr>
              <w:rPr>
                <w:rFonts w:ascii="Arial" w:hAnsi="Arial" w:cs="Arial"/>
              </w:rPr>
            </w:pPr>
          </w:p>
          <w:p w:rsidR="00F37EB5" w:rsidRPr="00925FB4" w:rsidRDefault="00F37EB5" w:rsidP="006101D8">
            <w:pPr>
              <w:rPr>
                <w:rFonts w:ascii="Arial" w:hAnsi="Arial" w:cs="Arial"/>
                <w:b/>
              </w:rPr>
            </w:pPr>
            <w:r w:rsidRPr="00B430D8">
              <w:rPr>
                <w:rFonts w:ascii="Arial" w:hAnsi="Arial" w:cs="Arial"/>
              </w:rPr>
              <w:t>(Major Submission)</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B430D8">
              <w:rPr>
                <w:rFonts w:ascii="Arial" w:hAnsi="Arial" w:cs="Arial"/>
              </w:rPr>
              <w:t>Prevention of seasonal influenza</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DA5190" w:rsidP="00263F7F">
            <w:pPr>
              <w:rPr>
                <w:rFonts w:ascii="Arial" w:hAnsi="Arial" w:cs="Arial"/>
              </w:rPr>
            </w:pPr>
            <w:r w:rsidRPr="00B430D8">
              <w:rPr>
                <w:rFonts w:ascii="Arial" w:hAnsi="Arial" w:cs="Arial"/>
              </w:rPr>
              <w:t>National Immunisation Program</w:t>
            </w:r>
            <w:r>
              <w:rPr>
                <w:rFonts w:ascii="Arial" w:hAnsi="Arial" w:cs="Arial"/>
              </w:rPr>
              <w:t xml:space="preserve"> (</w:t>
            </w:r>
            <w:r w:rsidR="00F37EB5">
              <w:rPr>
                <w:rFonts w:ascii="Arial" w:hAnsi="Arial" w:cs="Arial"/>
              </w:rPr>
              <w:t>NIP</w:t>
            </w:r>
            <w:r>
              <w:rPr>
                <w:rFonts w:ascii="Arial" w:hAnsi="Arial" w:cs="Arial"/>
              </w:rPr>
              <w:t>)</w:t>
            </w:r>
            <w:r w:rsidR="00F37EB5" w:rsidRPr="00B430D8">
              <w:rPr>
                <w:rFonts w:ascii="Arial" w:hAnsi="Arial" w:cs="Arial"/>
              </w:rPr>
              <w:t xml:space="preserve"> listing for the prevention of seasonal influenza in the currently eligible patient populations.</w:t>
            </w:r>
          </w:p>
        </w:tc>
        <w:tc>
          <w:tcPr>
            <w:tcW w:w="7192" w:type="dxa"/>
            <w:tcBorders>
              <w:top w:val="single" w:sz="4" w:space="0" w:color="auto"/>
              <w:left w:val="single" w:sz="4" w:space="0" w:color="auto"/>
              <w:bottom w:val="single" w:sz="4" w:space="0" w:color="auto"/>
              <w:right w:val="single" w:sz="4" w:space="0" w:color="auto"/>
            </w:tcBorders>
          </w:tcPr>
          <w:p w:rsidR="00F37EB5" w:rsidRPr="00925FB4" w:rsidRDefault="00F37EB5" w:rsidP="00560272">
            <w:pPr>
              <w:rPr>
                <w:rFonts w:ascii="Arial" w:hAnsi="Arial" w:cs="Arial"/>
              </w:rPr>
            </w:pPr>
            <w:r w:rsidRPr="00925FB4">
              <w:rPr>
                <w:rFonts w:ascii="Arial" w:hAnsi="Arial" w:cs="Arial"/>
              </w:rPr>
              <w:t xml:space="preserve">The PBAC recommended the listing of the quadrivalent influenza vaccine, </w:t>
            </w:r>
            <w:proofErr w:type="spellStart"/>
            <w:r w:rsidRPr="00925FB4">
              <w:rPr>
                <w:rFonts w:ascii="Arial" w:hAnsi="Arial" w:cs="Arial"/>
              </w:rPr>
              <w:t>FluQuadri</w:t>
            </w:r>
            <w:proofErr w:type="spellEnd"/>
            <w:r w:rsidRPr="00925FB4">
              <w:rPr>
                <w:rFonts w:ascii="Arial" w:hAnsi="Arial" w:cs="Arial"/>
              </w:rPr>
              <w:t xml:space="preserve">, on the NIP – Designated Vaccines List for the prevention of seasonal influenza. The recommendation was based on a cost-minimisation with </w:t>
            </w:r>
            <w:proofErr w:type="spellStart"/>
            <w:r w:rsidRPr="00925FB4">
              <w:rPr>
                <w:rFonts w:ascii="Arial" w:hAnsi="Arial" w:cs="Arial"/>
              </w:rPr>
              <w:t>Fluarix</w:t>
            </w:r>
            <w:proofErr w:type="spellEnd"/>
            <w:r w:rsidRPr="00925FB4">
              <w:rPr>
                <w:rFonts w:ascii="Arial" w:hAnsi="Arial" w:cs="Arial"/>
              </w:rPr>
              <w:t xml:space="preserve"> Tetra quadrivalent influenza (for individuals 3 years and above) and with trivalent influenza vaccine (for individuals less than 3 years).</w:t>
            </w: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560272" w:rsidRDefault="00F37EB5" w:rsidP="0055653D">
            <w:pPr>
              <w:rPr>
                <w:rFonts w:ascii="Arial" w:hAnsi="Arial" w:cs="Arial"/>
              </w:rPr>
            </w:pPr>
            <w:r w:rsidRPr="00560272">
              <w:rPr>
                <w:rFonts w:ascii="Arial" w:hAnsi="Arial" w:cs="Arial"/>
                <w:b/>
              </w:rPr>
              <w:t>RITUXIMAB</w:t>
            </w:r>
          </w:p>
          <w:p w:rsidR="00F37EB5" w:rsidRPr="00560272" w:rsidRDefault="00F37EB5" w:rsidP="0055653D">
            <w:pPr>
              <w:rPr>
                <w:rStyle w:val="st"/>
                <w:rFonts w:ascii="Arial" w:hAnsi="Arial" w:cs="Arial"/>
                <w:color w:val="000000"/>
              </w:rPr>
            </w:pPr>
            <w:r w:rsidRPr="00560272">
              <w:rPr>
                <w:rStyle w:val="st"/>
                <w:rFonts w:ascii="Arial" w:hAnsi="Arial" w:cs="Arial"/>
                <w:color w:val="000000"/>
              </w:rPr>
              <w:t>injection for infusion</w:t>
            </w:r>
          </w:p>
          <w:p w:rsidR="00F37EB5" w:rsidRPr="00560272" w:rsidRDefault="00F37EB5" w:rsidP="0055653D">
            <w:pPr>
              <w:rPr>
                <w:rStyle w:val="st"/>
                <w:rFonts w:ascii="Arial" w:hAnsi="Arial" w:cs="Arial"/>
                <w:color w:val="000000"/>
              </w:rPr>
            </w:pPr>
            <w:r w:rsidRPr="00560272">
              <w:rPr>
                <w:rStyle w:val="st"/>
                <w:rFonts w:ascii="Arial" w:hAnsi="Arial" w:cs="Arial"/>
                <w:color w:val="000000"/>
              </w:rPr>
              <w:t>500mg/50mL</w:t>
            </w:r>
          </w:p>
          <w:p w:rsidR="00F37EB5" w:rsidRPr="00560272" w:rsidRDefault="00F37EB5" w:rsidP="0055653D">
            <w:pPr>
              <w:rPr>
                <w:rStyle w:val="st"/>
                <w:rFonts w:ascii="Arial" w:hAnsi="Arial" w:cs="Arial"/>
                <w:color w:val="000000"/>
              </w:rPr>
            </w:pPr>
          </w:p>
          <w:p w:rsidR="00F37EB5" w:rsidRPr="00560272" w:rsidRDefault="00F37EB5" w:rsidP="0055653D">
            <w:pPr>
              <w:rPr>
                <w:rStyle w:val="st"/>
                <w:rFonts w:ascii="Arial" w:hAnsi="Arial" w:cs="Arial"/>
                <w:color w:val="000000"/>
              </w:rPr>
            </w:pPr>
            <w:proofErr w:type="spellStart"/>
            <w:r w:rsidRPr="00560272">
              <w:rPr>
                <w:rStyle w:val="st"/>
                <w:rFonts w:ascii="Arial" w:hAnsi="Arial" w:cs="Arial"/>
                <w:color w:val="000000"/>
              </w:rPr>
              <w:t>Mabthera</w:t>
            </w:r>
            <w:proofErr w:type="spellEnd"/>
            <w:r w:rsidRPr="00560272">
              <w:rPr>
                <w:rFonts w:ascii="Arial" w:hAnsi="Arial" w:cs="Arial"/>
              </w:rPr>
              <w:t>®</w:t>
            </w:r>
          </w:p>
          <w:p w:rsidR="00F37EB5" w:rsidRPr="00560272" w:rsidRDefault="00F37EB5" w:rsidP="0055653D">
            <w:pPr>
              <w:rPr>
                <w:rStyle w:val="st"/>
                <w:rFonts w:ascii="Arial" w:hAnsi="Arial" w:cs="Arial"/>
                <w:color w:val="000000"/>
              </w:rPr>
            </w:pPr>
          </w:p>
          <w:p w:rsidR="00F37EB5" w:rsidRPr="00560272" w:rsidRDefault="00F37EB5" w:rsidP="0055653D">
            <w:pPr>
              <w:rPr>
                <w:rStyle w:val="st"/>
                <w:rFonts w:ascii="Arial" w:hAnsi="Arial" w:cs="Arial"/>
                <w:color w:val="000000"/>
              </w:rPr>
            </w:pPr>
            <w:r w:rsidRPr="00560272">
              <w:rPr>
                <w:rStyle w:val="st"/>
                <w:rFonts w:ascii="Arial" w:hAnsi="Arial" w:cs="Arial"/>
                <w:color w:val="000000"/>
              </w:rPr>
              <w:t>Roche Products Pty Ltd.</w:t>
            </w:r>
          </w:p>
          <w:p w:rsidR="00F37EB5" w:rsidRPr="00560272" w:rsidRDefault="00F37EB5" w:rsidP="0055653D">
            <w:pPr>
              <w:rPr>
                <w:rStyle w:val="st"/>
                <w:rFonts w:ascii="Arial" w:hAnsi="Arial" w:cs="Arial"/>
                <w:color w:val="000000"/>
              </w:rPr>
            </w:pPr>
          </w:p>
          <w:p w:rsidR="00F37EB5" w:rsidRPr="00560272" w:rsidRDefault="00F37EB5" w:rsidP="00925FB4">
            <w:pPr>
              <w:rPr>
                <w:rFonts w:ascii="Arial" w:hAnsi="Arial" w:cs="Arial"/>
              </w:rPr>
            </w:pPr>
            <w:r w:rsidRPr="00560272">
              <w:rPr>
                <w:rStyle w:val="st"/>
                <w:rFonts w:ascii="Arial" w:hAnsi="Arial" w:cs="Arial"/>
                <w:color w:val="000000"/>
              </w:rPr>
              <w:t>(Deferral from March 2015 PBAC meeting)</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560272" w:rsidRDefault="00F37EB5" w:rsidP="00263F7F">
            <w:pPr>
              <w:rPr>
                <w:rFonts w:ascii="Arial" w:hAnsi="Arial" w:cs="Arial"/>
              </w:rPr>
            </w:pPr>
            <w:r w:rsidRPr="00560272">
              <w:rPr>
                <w:rFonts w:ascii="Arial" w:hAnsi="Arial" w:cs="Arial"/>
              </w:rPr>
              <w:t xml:space="preserve">Severe active </w:t>
            </w:r>
            <w:proofErr w:type="spellStart"/>
            <w:r w:rsidRPr="00560272">
              <w:rPr>
                <w:rFonts w:ascii="Arial" w:hAnsi="Arial" w:cs="Arial"/>
              </w:rPr>
              <w:t>granulomatosis</w:t>
            </w:r>
            <w:proofErr w:type="spellEnd"/>
            <w:r w:rsidRPr="00560272">
              <w:rPr>
                <w:rFonts w:ascii="Arial" w:hAnsi="Arial" w:cs="Arial"/>
              </w:rPr>
              <w:t xml:space="preserve"> with </w:t>
            </w:r>
            <w:proofErr w:type="spellStart"/>
            <w:r w:rsidRPr="00560272">
              <w:rPr>
                <w:rFonts w:ascii="Arial" w:hAnsi="Arial" w:cs="Arial"/>
              </w:rPr>
              <w:t>polyangiitis</w:t>
            </w:r>
            <w:proofErr w:type="spellEnd"/>
            <w:r w:rsidRPr="00560272">
              <w:rPr>
                <w:rFonts w:ascii="Arial" w:hAnsi="Arial" w:cs="Arial"/>
              </w:rPr>
              <w:t xml:space="preserve"> and microscopic </w:t>
            </w:r>
            <w:proofErr w:type="spellStart"/>
            <w:r w:rsidRPr="00560272">
              <w:rPr>
                <w:rFonts w:ascii="Arial" w:hAnsi="Arial" w:cs="Arial"/>
              </w:rPr>
              <w:t>polyangiitis</w:t>
            </w:r>
            <w:proofErr w:type="spellEnd"/>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560272" w:rsidRDefault="00F37EB5" w:rsidP="00560272">
            <w:pPr>
              <w:rPr>
                <w:rFonts w:ascii="Arial" w:hAnsi="Arial" w:cs="Arial"/>
              </w:rPr>
            </w:pPr>
            <w:r w:rsidRPr="00560272">
              <w:rPr>
                <w:rFonts w:ascii="Arial" w:hAnsi="Arial" w:cs="Arial"/>
              </w:rPr>
              <w:t xml:space="preserve">The March 2015 </w:t>
            </w:r>
            <w:r>
              <w:rPr>
                <w:rFonts w:ascii="Arial" w:hAnsi="Arial" w:cs="Arial"/>
              </w:rPr>
              <w:t xml:space="preserve">major </w:t>
            </w:r>
            <w:r w:rsidRPr="00560272">
              <w:rPr>
                <w:rFonts w:ascii="Arial" w:hAnsi="Arial" w:cs="Arial"/>
              </w:rPr>
              <w:t>submission sought Section 100</w:t>
            </w:r>
            <w:r>
              <w:rPr>
                <w:rFonts w:ascii="Arial" w:hAnsi="Arial" w:cs="Arial"/>
              </w:rPr>
              <w:t xml:space="preserve"> (Highly Specialised Drugs Program)</w:t>
            </w:r>
            <w:r w:rsidRPr="00560272">
              <w:rPr>
                <w:rFonts w:ascii="Arial" w:hAnsi="Arial" w:cs="Arial"/>
              </w:rPr>
              <w:t xml:space="preserve"> Authority Required listing for rituximab for remission induction in patients with severe active </w:t>
            </w:r>
            <w:proofErr w:type="spellStart"/>
            <w:r w:rsidRPr="00560272">
              <w:rPr>
                <w:rFonts w:ascii="Arial" w:hAnsi="Arial" w:cs="Arial"/>
              </w:rPr>
              <w:t>granulomatosis</w:t>
            </w:r>
            <w:proofErr w:type="spellEnd"/>
            <w:r w:rsidRPr="00560272">
              <w:rPr>
                <w:rFonts w:ascii="Arial" w:hAnsi="Arial" w:cs="Arial"/>
              </w:rPr>
              <w:t xml:space="preserve"> with </w:t>
            </w:r>
            <w:proofErr w:type="spellStart"/>
            <w:r w:rsidRPr="00560272">
              <w:rPr>
                <w:rFonts w:ascii="Arial" w:hAnsi="Arial" w:cs="Arial"/>
              </w:rPr>
              <w:t>polyangiitis</w:t>
            </w:r>
            <w:proofErr w:type="spellEnd"/>
            <w:r w:rsidRPr="00560272">
              <w:rPr>
                <w:rFonts w:ascii="Arial" w:hAnsi="Arial" w:cs="Arial"/>
              </w:rPr>
              <w:t xml:space="preserve"> </w:t>
            </w:r>
            <w:r>
              <w:rPr>
                <w:rFonts w:ascii="Arial" w:hAnsi="Arial" w:cs="Arial"/>
              </w:rPr>
              <w:t xml:space="preserve">(GPA) </w:t>
            </w:r>
            <w:r w:rsidRPr="00560272">
              <w:rPr>
                <w:rFonts w:ascii="Arial" w:hAnsi="Arial" w:cs="Arial"/>
              </w:rPr>
              <w:t xml:space="preserve">and microscopic </w:t>
            </w:r>
            <w:proofErr w:type="spellStart"/>
            <w:r w:rsidRPr="00560272">
              <w:rPr>
                <w:rFonts w:ascii="Arial" w:hAnsi="Arial" w:cs="Arial"/>
              </w:rPr>
              <w:t>polyangiitis</w:t>
            </w:r>
            <w:proofErr w:type="spellEnd"/>
            <w:r>
              <w:rPr>
                <w:rFonts w:ascii="Arial" w:hAnsi="Arial" w:cs="Arial"/>
              </w:rPr>
              <w:t xml:space="preserve"> (MPA)</w:t>
            </w:r>
            <w:r w:rsidRPr="00560272">
              <w:rPr>
                <w:rFonts w:ascii="Arial" w:hAnsi="Arial" w:cs="Arial"/>
              </w:rPr>
              <w:t>.</w:t>
            </w:r>
          </w:p>
        </w:tc>
        <w:tc>
          <w:tcPr>
            <w:tcW w:w="7192" w:type="dxa"/>
            <w:tcBorders>
              <w:top w:val="single" w:sz="4" w:space="0" w:color="auto"/>
              <w:left w:val="single" w:sz="4" w:space="0" w:color="auto"/>
              <w:bottom w:val="single" w:sz="4" w:space="0" w:color="auto"/>
              <w:right w:val="single" w:sz="4" w:space="0" w:color="auto"/>
            </w:tcBorders>
          </w:tcPr>
          <w:p w:rsidR="00F37EB5" w:rsidRPr="00560272" w:rsidRDefault="00F37EB5" w:rsidP="0055653D">
            <w:pPr>
              <w:rPr>
                <w:rFonts w:ascii="Arial" w:hAnsi="Arial" w:cs="Arial"/>
              </w:rPr>
            </w:pPr>
            <w:r w:rsidRPr="00560272">
              <w:rPr>
                <w:rFonts w:ascii="Arial" w:hAnsi="Arial" w:cs="Arial"/>
              </w:rPr>
              <w:t>The PBAC recommended the listing of rituximab, on the basis that it should be available only under special arrangements under the Section 100 Highly Specialised Drugs Program, for remission induction in patients with severe active GPA and MPA.</w:t>
            </w:r>
          </w:p>
          <w:p w:rsidR="00F37EB5" w:rsidRPr="00560272" w:rsidRDefault="00F37EB5" w:rsidP="0055653D">
            <w:pPr>
              <w:rPr>
                <w:rFonts w:ascii="Arial" w:hAnsi="Arial" w:cs="Arial"/>
              </w:rPr>
            </w:pPr>
          </w:p>
          <w:p w:rsidR="00F37EB5" w:rsidRPr="00560272" w:rsidRDefault="00F37EB5" w:rsidP="0055653D">
            <w:pPr>
              <w:rPr>
                <w:rFonts w:ascii="Arial" w:hAnsi="Arial" w:cs="Arial"/>
              </w:rPr>
            </w:pPr>
            <w:r w:rsidRPr="00560272">
              <w:rPr>
                <w:rFonts w:ascii="Arial" w:hAnsi="Arial" w:cs="Arial"/>
              </w:rPr>
              <w:t>At its March 2015 meeting, the PBAC considered that there is a high clinical need for rituximab for rare and potentially life-threatening conditions such as GPA and MPA. The PBAC considered that the claim of non-inferior comparative effectiveness and safety of rituximab compared to cyclophosphamide made in the submission was reasonable.</w:t>
            </w:r>
          </w:p>
          <w:p w:rsidR="00F37EB5" w:rsidRPr="00560272" w:rsidRDefault="00F37EB5" w:rsidP="0055653D">
            <w:pPr>
              <w:rPr>
                <w:rFonts w:ascii="Arial" w:hAnsi="Arial" w:cs="Arial"/>
              </w:rPr>
            </w:pPr>
          </w:p>
          <w:p w:rsidR="00F37EB5" w:rsidRPr="00BD0CE3" w:rsidRDefault="00F37EB5" w:rsidP="0055653D">
            <w:pPr>
              <w:rPr>
                <w:rFonts w:ascii="Arial" w:hAnsi="Arial" w:cs="Arial"/>
                <w:highlight w:val="yellow"/>
              </w:rPr>
            </w:pPr>
            <w:r w:rsidRPr="00560272">
              <w:rPr>
                <w:rFonts w:ascii="Arial" w:hAnsi="Arial" w:cs="Arial"/>
              </w:rPr>
              <w:t>The PBAC requested the Department negotiate a Risk Share Arrangement in a manner that can be implemented and managed by the Department.</w:t>
            </w: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6101D8">
            <w:pPr>
              <w:rPr>
                <w:rFonts w:ascii="Arial" w:hAnsi="Arial" w:cs="Arial"/>
                <w:b/>
              </w:rPr>
            </w:pPr>
            <w:r w:rsidRPr="00784A12">
              <w:rPr>
                <w:rFonts w:ascii="Arial" w:hAnsi="Arial" w:cs="Arial"/>
                <w:b/>
              </w:rPr>
              <w:lastRenderedPageBreak/>
              <w:t xml:space="preserve">RIVASTIGMINE </w:t>
            </w:r>
          </w:p>
          <w:p w:rsidR="00F37EB5" w:rsidRPr="00784A12" w:rsidRDefault="00F37EB5" w:rsidP="006101D8">
            <w:pPr>
              <w:rPr>
                <w:rFonts w:ascii="Arial" w:hAnsi="Arial" w:cs="Arial"/>
              </w:rPr>
            </w:pPr>
            <w:r w:rsidRPr="00784A12">
              <w:rPr>
                <w:rFonts w:ascii="Arial" w:hAnsi="Arial" w:cs="Arial"/>
              </w:rPr>
              <w:t xml:space="preserve">13.3 mg/24 hours patch, 30 </w:t>
            </w:r>
          </w:p>
          <w:p w:rsidR="00F37EB5" w:rsidRPr="00784A12" w:rsidRDefault="00F37EB5" w:rsidP="006101D8">
            <w:pPr>
              <w:rPr>
                <w:rFonts w:ascii="Arial" w:hAnsi="Arial" w:cs="Arial"/>
              </w:rPr>
            </w:pPr>
          </w:p>
          <w:p w:rsidR="00F37EB5" w:rsidRPr="00784A12" w:rsidRDefault="00F37EB5" w:rsidP="006101D8">
            <w:pPr>
              <w:rPr>
                <w:rFonts w:ascii="Arial" w:hAnsi="Arial" w:cs="Arial"/>
              </w:rPr>
            </w:pPr>
            <w:r w:rsidRPr="00784A12">
              <w:rPr>
                <w:rFonts w:ascii="Arial" w:hAnsi="Arial" w:cs="Arial"/>
              </w:rPr>
              <w:t xml:space="preserve">EXELON® </w:t>
            </w:r>
          </w:p>
          <w:p w:rsidR="00F37EB5" w:rsidRPr="00784A12" w:rsidRDefault="00F37EB5" w:rsidP="006101D8">
            <w:pPr>
              <w:rPr>
                <w:rFonts w:ascii="Arial" w:hAnsi="Arial" w:cs="Arial"/>
              </w:rPr>
            </w:pPr>
          </w:p>
          <w:p w:rsidR="00F37EB5" w:rsidRPr="00784A12" w:rsidRDefault="00F37EB5" w:rsidP="006101D8">
            <w:pPr>
              <w:rPr>
                <w:rFonts w:ascii="Arial" w:hAnsi="Arial" w:cs="Arial"/>
              </w:rPr>
            </w:pPr>
            <w:r w:rsidRPr="00784A12">
              <w:rPr>
                <w:rFonts w:ascii="Arial" w:hAnsi="Arial" w:cs="Arial"/>
              </w:rPr>
              <w:t>Novartis Pharmaceuticals Australia Pty Limited</w:t>
            </w:r>
          </w:p>
          <w:p w:rsidR="00F37EB5" w:rsidRPr="00784A12" w:rsidRDefault="00F37EB5" w:rsidP="006101D8">
            <w:pPr>
              <w:rPr>
                <w:rFonts w:ascii="Arial" w:hAnsi="Arial" w:cs="Arial"/>
              </w:rPr>
            </w:pPr>
          </w:p>
          <w:p w:rsidR="00F37EB5" w:rsidRPr="00784A12" w:rsidRDefault="00F37EB5" w:rsidP="006101D8">
            <w:pPr>
              <w:rPr>
                <w:rFonts w:ascii="Arial" w:hAnsi="Arial" w:cs="Arial"/>
              </w:rPr>
            </w:pPr>
            <w:r w:rsidRPr="00784A12">
              <w:rPr>
                <w:rFonts w:ascii="Arial" w:hAnsi="Arial" w:cs="Arial"/>
              </w:rPr>
              <w:t>Change to listing</w:t>
            </w:r>
          </w:p>
          <w:p w:rsidR="00F37EB5" w:rsidRPr="00784A12" w:rsidRDefault="00F37EB5" w:rsidP="006101D8">
            <w:pPr>
              <w:rPr>
                <w:rFonts w:ascii="Arial" w:hAnsi="Arial" w:cs="Arial"/>
              </w:rPr>
            </w:pPr>
          </w:p>
          <w:p w:rsidR="00F37EB5" w:rsidRPr="00925FB4" w:rsidRDefault="00F37EB5" w:rsidP="006101D8">
            <w:pPr>
              <w:rPr>
                <w:rFonts w:ascii="Arial" w:hAnsi="Arial" w:cs="Arial"/>
                <w:b/>
              </w:rPr>
            </w:pPr>
            <w:r w:rsidRPr="00784A12">
              <w:rPr>
                <w:rFonts w:ascii="Arial" w:hAnsi="Arial" w:cs="Arial"/>
              </w:rPr>
              <w:t>(Minor Submission)</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784A12">
              <w:rPr>
                <w:rFonts w:ascii="Arial" w:hAnsi="Arial" w:cs="Arial"/>
              </w:rPr>
              <w:t>Dementia</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784A12">
              <w:rPr>
                <w:rFonts w:ascii="Arial" w:hAnsi="Arial" w:cs="Arial"/>
              </w:rPr>
              <w:t>Authority Required listing of an additional strength for the treatment of mild to moderately severe Alzheimer-type dementia.</w:t>
            </w:r>
          </w:p>
        </w:tc>
        <w:tc>
          <w:tcPr>
            <w:tcW w:w="7192" w:type="dxa"/>
            <w:tcBorders>
              <w:top w:val="single" w:sz="4" w:space="0" w:color="auto"/>
              <w:left w:val="single" w:sz="4" w:space="0" w:color="auto"/>
              <w:bottom w:val="single" w:sz="4" w:space="0" w:color="auto"/>
              <w:right w:val="single" w:sz="4" w:space="0" w:color="auto"/>
            </w:tcBorders>
          </w:tcPr>
          <w:p w:rsidR="00F37EB5" w:rsidRPr="00925FB4" w:rsidRDefault="00F37EB5" w:rsidP="00FF4728">
            <w:pPr>
              <w:widowControl w:val="0"/>
              <w:jc w:val="both"/>
              <w:rPr>
                <w:rFonts w:ascii="Arial" w:hAnsi="Arial" w:cs="Arial"/>
                <w:bCs/>
                <w:snapToGrid w:val="0"/>
              </w:rPr>
            </w:pPr>
            <w:r w:rsidRPr="00925FB4">
              <w:rPr>
                <w:rFonts w:ascii="Arial" w:hAnsi="Arial" w:cs="Arial"/>
                <w:bCs/>
                <w:snapToGrid w:val="0"/>
              </w:rPr>
              <w:t xml:space="preserve">The PBAC recommended the listing of </w:t>
            </w:r>
            <w:proofErr w:type="spellStart"/>
            <w:r w:rsidRPr="00925FB4">
              <w:rPr>
                <w:rFonts w:ascii="Arial" w:hAnsi="Arial" w:cs="Arial"/>
                <w:bCs/>
                <w:snapToGrid w:val="0"/>
              </w:rPr>
              <w:t>rivastigmine</w:t>
            </w:r>
            <w:proofErr w:type="spellEnd"/>
            <w:r w:rsidRPr="00925FB4">
              <w:rPr>
                <w:rFonts w:ascii="Arial" w:hAnsi="Arial" w:cs="Arial"/>
                <w:bCs/>
                <w:snapToGrid w:val="0"/>
              </w:rPr>
              <w:t xml:space="preserve"> for the treatment of mild to moderately severe Alzheimer disease, under the same conditions as current PBS-listed strengths.</w:t>
            </w: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A21351">
            <w:pPr>
              <w:rPr>
                <w:rFonts w:ascii="Arial" w:hAnsi="Arial" w:cs="Arial"/>
                <w:b/>
              </w:rPr>
            </w:pPr>
            <w:r w:rsidRPr="00C930D8">
              <w:rPr>
                <w:rFonts w:ascii="Arial" w:hAnsi="Arial" w:cs="Arial"/>
                <w:b/>
              </w:rPr>
              <w:t xml:space="preserve">SAXAGLIPTIN </w:t>
            </w:r>
          </w:p>
          <w:p w:rsidR="00F37EB5" w:rsidRPr="00C930D8" w:rsidRDefault="00F37EB5" w:rsidP="00A21351">
            <w:pPr>
              <w:rPr>
                <w:rFonts w:ascii="Arial" w:hAnsi="Arial" w:cs="Arial"/>
              </w:rPr>
            </w:pPr>
            <w:r w:rsidRPr="00C930D8">
              <w:rPr>
                <w:rFonts w:ascii="Arial" w:hAnsi="Arial" w:cs="Arial"/>
              </w:rPr>
              <w:t xml:space="preserve">2.5 mg tablet, 28 </w:t>
            </w:r>
          </w:p>
          <w:p w:rsidR="00F37EB5" w:rsidRPr="00C930D8" w:rsidRDefault="00F37EB5" w:rsidP="00A21351">
            <w:pPr>
              <w:rPr>
                <w:rFonts w:ascii="Arial" w:hAnsi="Arial" w:cs="Arial"/>
              </w:rPr>
            </w:pPr>
            <w:r w:rsidRPr="00C930D8">
              <w:rPr>
                <w:rFonts w:ascii="Arial" w:hAnsi="Arial" w:cs="Arial"/>
              </w:rPr>
              <w:t xml:space="preserve">5.0 mg tablet, 28 </w:t>
            </w:r>
          </w:p>
          <w:p w:rsidR="00F37EB5" w:rsidRPr="00C930D8" w:rsidRDefault="00F37EB5" w:rsidP="00A21351">
            <w:pPr>
              <w:rPr>
                <w:rFonts w:ascii="Arial" w:hAnsi="Arial" w:cs="Arial"/>
              </w:rPr>
            </w:pPr>
          </w:p>
          <w:p w:rsidR="00F37EB5" w:rsidRPr="00C930D8" w:rsidRDefault="00F37EB5" w:rsidP="00A21351">
            <w:pPr>
              <w:rPr>
                <w:rFonts w:ascii="Arial" w:hAnsi="Arial" w:cs="Arial"/>
              </w:rPr>
            </w:pPr>
            <w:r w:rsidRPr="00C930D8">
              <w:rPr>
                <w:rFonts w:ascii="Arial" w:hAnsi="Arial" w:cs="Arial"/>
              </w:rPr>
              <w:t xml:space="preserve">ONGLYZA® </w:t>
            </w:r>
          </w:p>
          <w:p w:rsidR="00F37EB5" w:rsidRPr="00C930D8" w:rsidRDefault="00F37EB5" w:rsidP="00A21351">
            <w:pPr>
              <w:rPr>
                <w:rFonts w:ascii="Arial" w:hAnsi="Arial" w:cs="Arial"/>
              </w:rPr>
            </w:pPr>
          </w:p>
          <w:p w:rsidR="00F37EB5" w:rsidRPr="00C930D8" w:rsidRDefault="00F37EB5" w:rsidP="00A21351">
            <w:pPr>
              <w:rPr>
                <w:rFonts w:ascii="Arial" w:hAnsi="Arial" w:cs="Arial"/>
              </w:rPr>
            </w:pPr>
            <w:r w:rsidRPr="00C930D8">
              <w:rPr>
                <w:rFonts w:ascii="Arial" w:hAnsi="Arial" w:cs="Arial"/>
              </w:rPr>
              <w:t>AstraZeneca Pty Ltd</w:t>
            </w:r>
          </w:p>
          <w:p w:rsidR="00F37EB5" w:rsidRPr="00C930D8" w:rsidRDefault="00F37EB5" w:rsidP="00A21351">
            <w:pPr>
              <w:rPr>
                <w:rFonts w:ascii="Arial" w:hAnsi="Arial" w:cs="Arial"/>
              </w:rPr>
            </w:pPr>
          </w:p>
          <w:p w:rsidR="00F37EB5" w:rsidRPr="00C930D8" w:rsidRDefault="00F37EB5" w:rsidP="00A21351">
            <w:pPr>
              <w:rPr>
                <w:rFonts w:ascii="Arial" w:hAnsi="Arial" w:cs="Arial"/>
              </w:rPr>
            </w:pPr>
            <w:r w:rsidRPr="00C930D8">
              <w:rPr>
                <w:rFonts w:ascii="Arial" w:hAnsi="Arial" w:cs="Arial"/>
              </w:rPr>
              <w:t xml:space="preserve">Change to listing </w:t>
            </w:r>
          </w:p>
          <w:p w:rsidR="00F37EB5" w:rsidRPr="00C930D8" w:rsidRDefault="00F37EB5" w:rsidP="00A21351">
            <w:pPr>
              <w:rPr>
                <w:rFonts w:ascii="Arial" w:hAnsi="Arial" w:cs="Arial"/>
              </w:rPr>
            </w:pPr>
          </w:p>
          <w:p w:rsidR="00F37EB5" w:rsidRPr="00925FB4" w:rsidRDefault="00F37EB5" w:rsidP="00A21351">
            <w:pPr>
              <w:rPr>
                <w:rFonts w:ascii="Arial" w:hAnsi="Arial" w:cs="Arial"/>
                <w:b/>
              </w:rPr>
            </w:pPr>
            <w:r w:rsidRPr="00C930D8">
              <w:rPr>
                <w:rFonts w:ascii="Arial" w:hAnsi="Arial" w:cs="Arial"/>
              </w:rPr>
              <w:t>(Major Submission)</w:t>
            </w:r>
            <w:r>
              <w:rPr>
                <w:rFonts w:ascii="Arial" w:hAnsi="Arial" w:cs="Arial"/>
                <w:b/>
              </w:rPr>
              <w:t xml:space="preserve"> </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C930D8">
              <w:rPr>
                <w:rFonts w:ascii="Arial" w:hAnsi="Arial" w:cs="Arial"/>
              </w:rPr>
              <w:t>Type 2 diabetes mellitus</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C930D8">
              <w:rPr>
                <w:rFonts w:ascii="Arial" w:hAnsi="Arial" w:cs="Arial"/>
              </w:rPr>
              <w:t>Authority Required (STREAMLINED) listing for triple oral therapy with metformin and a sulfonylurea in patients with type 2 diabetes mellitus.</w:t>
            </w:r>
          </w:p>
        </w:tc>
        <w:tc>
          <w:tcPr>
            <w:tcW w:w="7192" w:type="dxa"/>
            <w:tcBorders>
              <w:top w:val="single" w:sz="4" w:space="0" w:color="auto"/>
              <w:left w:val="single" w:sz="4" w:space="0" w:color="auto"/>
              <w:bottom w:val="single" w:sz="4" w:space="0" w:color="auto"/>
              <w:right w:val="single" w:sz="4" w:space="0" w:color="auto"/>
            </w:tcBorders>
          </w:tcPr>
          <w:p w:rsidR="00F37EB5" w:rsidRPr="00925FB4" w:rsidRDefault="00F37EB5" w:rsidP="00186727">
            <w:pPr>
              <w:keepNext/>
              <w:contextualSpacing/>
              <w:rPr>
                <w:rStyle w:val="IntenseReference"/>
                <w:rFonts w:ascii="Arial" w:hAnsi="Arial" w:cs="Arial"/>
                <w:b w:val="0"/>
                <w:i w:val="0"/>
                <w:smallCaps w:val="0"/>
                <w:color w:val="auto"/>
                <w:spacing w:val="0"/>
                <w:lang w:val="en-GB"/>
              </w:rPr>
            </w:pPr>
            <w:r w:rsidRPr="00925FB4">
              <w:rPr>
                <w:rFonts w:ascii="Arial" w:hAnsi="Arial" w:cs="Arial"/>
                <w:bCs/>
                <w:lang w:val="en-GB"/>
              </w:rPr>
              <w:t>The PBAC recommended the listing of saxagliptin for the treatment of type 2 diabetes mellitus in combination with metformin and sulfonylurea (triple oral therapy). The recommendation was formed on the basis of a cost minimisation analysis compared with dapagliflozin. The equi-effective doses are saxagliptin 5mg and dapagliflozin 10mg.</w:t>
            </w: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2D2C7A">
            <w:pPr>
              <w:rPr>
                <w:rFonts w:ascii="Arial" w:hAnsi="Arial" w:cs="Arial"/>
                <w:b/>
              </w:rPr>
            </w:pPr>
            <w:r w:rsidRPr="00BD0CE3">
              <w:rPr>
                <w:rFonts w:ascii="Arial" w:hAnsi="Arial" w:cs="Arial"/>
                <w:b/>
              </w:rPr>
              <w:lastRenderedPageBreak/>
              <w:t xml:space="preserve">SAXAGLIPTIN and METFORMIN XR </w:t>
            </w:r>
          </w:p>
          <w:p w:rsidR="00F37EB5" w:rsidRDefault="00F37EB5" w:rsidP="002D2C7A">
            <w:pPr>
              <w:rPr>
                <w:rFonts w:ascii="Arial" w:hAnsi="Arial" w:cs="Arial"/>
              </w:rPr>
            </w:pPr>
            <w:r w:rsidRPr="00626C7C">
              <w:rPr>
                <w:rFonts w:ascii="Arial" w:hAnsi="Arial" w:cs="Arial"/>
              </w:rPr>
              <w:t xml:space="preserve">saxagliptin 5 mg + metformin hydrochloride 500 mg tablet: modified release, 28 </w:t>
            </w:r>
          </w:p>
          <w:p w:rsidR="00F37EB5" w:rsidRDefault="00F37EB5" w:rsidP="002D2C7A">
            <w:pPr>
              <w:rPr>
                <w:rFonts w:ascii="Arial" w:hAnsi="Arial" w:cs="Arial"/>
              </w:rPr>
            </w:pPr>
            <w:r w:rsidRPr="00626C7C">
              <w:rPr>
                <w:rFonts w:ascii="Arial" w:hAnsi="Arial" w:cs="Arial"/>
              </w:rPr>
              <w:t xml:space="preserve">saxagliptin 5 mg + metformin hydrochloride 1000 mg tablet: modified release, 28 </w:t>
            </w:r>
          </w:p>
          <w:p w:rsidR="00F37EB5" w:rsidRPr="00626C7C" w:rsidRDefault="00F37EB5" w:rsidP="002D2C7A">
            <w:pPr>
              <w:rPr>
                <w:rFonts w:ascii="Arial" w:hAnsi="Arial" w:cs="Arial"/>
              </w:rPr>
            </w:pPr>
            <w:proofErr w:type="spellStart"/>
            <w:r w:rsidRPr="00626C7C">
              <w:rPr>
                <w:rFonts w:ascii="Arial" w:hAnsi="Arial" w:cs="Arial"/>
              </w:rPr>
              <w:t>saxaglitpin</w:t>
            </w:r>
            <w:proofErr w:type="spellEnd"/>
            <w:r w:rsidRPr="00626C7C">
              <w:rPr>
                <w:rFonts w:ascii="Arial" w:hAnsi="Arial" w:cs="Arial"/>
              </w:rPr>
              <w:t xml:space="preserve"> 2.5 mg + metformin hydrochloride 1000 mg tablet: modified release, 56</w:t>
            </w:r>
          </w:p>
          <w:p w:rsidR="00F37EB5" w:rsidRPr="00626C7C" w:rsidRDefault="00F37EB5" w:rsidP="002D2C7A">
            <w:pPr>
              <w:rPr>
                <w:rFonts w:ascii="Arial" w:hAnsi="Arial" w:cs="Arial"/>
              </w:rPr>
            </w:pPr>
          </w:p>
          <w:p w:rsidR="00F37EB5" w:rsidRPr="00626C7C" w:rsidRDefault="00F37EB5" w:rsidP="002D2C7A">
            <w:pPr>
              <w:rPr>
                <w:rFonts w:ascii="Arial" w:hAnsi="Arial" w:cs="Arial"/>
              </w:rPr>
            </w:pPr>
            <w:r w:rsidRPr="00626C7C">
              <w:rPr>
                <w:rFonts w:ascii="Arial" w:hAnsi="Arial" w:cs="Arial"/>
              </w:rPr>
              <w:t xml:space="preserve">KOMBIGLYZE® XR </w:t>
            </w:r>
          </w:p>
          <w:p w:rsidR="00F37EB5" w:rsidRPr="00626C7C" w:rsidRDefault="00F37EB5" w:rsidP="002D2C7A">
            <w:pPr>
              <w:rPr>
                <w:rFonts w:ascii="Arial" w:hAnsi="Arial" w:cs="Arial"/>
              </w:rPr>
            </w:pPr>
          </w:p>
          <w:p w:rsidR="00F37EB5" w:rsidRPr="00626C7C" w:rsidRDefault="00F37EB5" w:rsidP="002D2C7A">
            <w:pPr>
              <w:rPr>
                <w:rFonts w:ascii="Arial" w:hAnsi="Arial" w:cs="Arial"/>
              </w:rPr>
            </w:pPr>
            <w:r w:rsidRPr="00626C7C">
              <w:rPr>
                <w:rFonts w:ascii="Arial" w:hAnsi="Arial" w:cs="Arial"/>
              </w:rPr>
              <w:t>AstraZeneca Pty Ltd</w:t>
            </w:r>
          </w:p>
          <w:p w:rsidR="00F37EB5" w:rsidRPr="00626C7C" w:rsidRDefault="00F37EB5" w:rsidP="002D2C7A">
            <w:pPr>
              <w:rPr>
                <w:rFonts w:ascii="Arial" w:hAnsi="Arial" w:cs="Arial"/>
              </w:rPr>
            </w:pPr>
          </w:p>
          <w:p w:rsidR="00F37EB5" w:rsidRPr="00626C7C" w:rsidRDefault="00F37EB5" w:rsidP="002D2C7A">
            <w:pPr>
              <w:rPr>
                <w:rFonts w:ascii="Arial" w:hAnsi="Arial" w:cs="Arial"/>
              </w:rPr>
            </w:pPr>
            <w:r w:rsidRPr="00626C7C">
              <w:rPr>
                <w:rFonts w:ascii="Arial" w:hAnsi="Arial" w:cs="Arial"/>
              </w:rPr>
              <w:t xml:space="preserve">Change to listing </w:t>
            </w:r>
          </w:p>
          <w:p w:rsidR="00F37EB5" w:rsidRPr="00626C7C" w:rsidRDefault="00F37EB5" w:rsidP="002D2C7A">
            <w:pPr>
              <w:rPr>
                <w:rFonts w:ascii="Arial" w:hAnsi="Arial" w:cs="Arial"/>
              </w:rPr>
            </w:pPr>
          </w:p>
          <w:p w:rsidR="00F37EB5" w:rsidRPr="00925FB4" w:rsidRDefault="00F37EB5" w:rsidP="00BD0CE3">
            <w:pPr>
              <w:rPr>
                <w:rFonts w:ascii="Arial" w:hAnsi="Arial" w:cs="Arial"/>
                <w:b/>
              </w:rPr>
            </w:pPr>
            <w:r w:rsidRPr="00626C7C">
              <w:rPr>
                <w:rFonts w:ascii="Arial" w:hAnsi="Arial" w:cs="Arial"/>
              </w:rPr>
              <w:t>(Minor Submission)</w:t>
            </w:r>
            <w:r>
              <w:rPr>
                <w:rFonts w:ascii="Arial" w:hAnsi="Arial" w:cs="Arial"/>
                <w:b/>
              </w:rPr>
              <w:t xml:space="preserve">  </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BD0CE3">
              <w:rPr>
                <w:rFonts w:ascii="Arial" w:hAnsi="Arial" w:cs="Arial"/>
              </w:rPr>
              <w:t>Type 2 diabetes mellitus</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BD0CE3">
              <w:rPr>
                <w:rFonts w:ascii="Arial" w:hAnsi="Arial" w:cs="Arial"/>
              </w:rPr>
              <w:t>Authority Required (STREAMLINED) listing for triple oral therapy with metformin and a sulfonylurea in patients with type 2 diabetes mellitus.</w:t>
            </w:r>
          </w:p>
        </w:tc>
        <w:tc>
          <w:tcPr>
            <w:tcW w:w="7192" w:type="dxa"/>
            <w:tcBorders>
              <w:top w:val="single" w:sz="4" w:space="0" w:color="auto"/>
              <w:left w:val="single" w:sz="4" w:space="0" w:color="auto"/>
              <w:bottom w:val="single" w:sz="4" w:space="0" w:color="auto"/>
              <w:right w:val="single" w:sz="4" w:space="0" w:color="auto"/>
            </w:tcBorders>
          </w:tcPr>
          <w:p w:rsidR="00F37EB5" w:rsidRPr="00925FB4" w:rsidRDefault="00F37EB5" w:rsidP="00FF4728">
            <w:pPr>
              <w:keepNext/>
              <w:rPr>
                <w:rFonts w:ascii="Arial" w:hAnsi="Arial" w:cs="Arial"/>
              </w:rPr>
            </w:pPr>
            <w:r w:rsidRPr="00925FB4">
              <w:rPr>
                <w:rFonts w:ascii="Arial" w:hAnsi="Arial" w:cs="Arial"/>
              </w:rPr>
              <w:t xml:space="preserve">The PBAC recommended that the listing of </w:t>
            </w:r>
            <w:proofErr w:type="spellStart"/>
            <w:r w:rsidRPr="00925FB4">
              <w:rPr>
                <w:rFonts w:ascii="Arial" w:hAnsi="Arial" w:cs="Arial"/>
              </w:rPr>
              <w:t>saxagliptin+metformin</w:t>
            </w:r>
            <w:proofErr w:type="spellEnd"/>
            <w:r w:rsidRPr="00925FB4">
              <w:rPr>
                <w:rFonts w:ascii="Arial" w:hAnsi="Arial" w:cs="Arial"/>
              </w:rPr>
              <w:t xml:space="preserve"> XR for the treatment of </w:t>
            </w:r>
            <w:r>
              <w:rPr>
                <w:rFonts w:ascii="Arial" w:hAnsi="Arial" w:cs="Arial"/>
              </w:rPr>
              <w:t>type 2 diabetes mellitus</w:t>
            </w:r>
            <w:r w:rsidRPr="00925FB4">
              <w:rPr>
                <w:rFonts w:ascii="Arial" w:hAnsi="Arial" w:cs="Arial"/>
              </w:rPr>
              <w:t xml:space="preserve"> be extended to include use in combination with a sulfonylurea (triple oral therapy).</w:t>
            </w: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A21351">
            <w:pPr>
              <w:rPr>
                <w:rFonts w:ascii="Arial" w:hAnsi="Arial" w:cs="Arial"/>
                <w:b/>
              </w:rPr>
            </w:pPr>
            <w:r w:rsidRPr="00BD0CE3">
              <w:rPr>
                <w:rFonts w:ascii="Arial" w:hAnsi="Arial" w:cs="Arial"/>
                <w:b/>
              </w:rPr>
              <w:lastRenderedPageBreak/>
              <w:t xml:space="preserve">SITAGLIPTIN </w:t>
            </w:r>
          </w:p>
          <w:p w:rsidR="00F37EB5" w:rsidRDefault="00F37EB5" w:rsidP="00A21351">
            <w:pPr>
              <w:rPr>
                <w:rFonts w:ascii="Arial" w:hAnsi="Arial" w:cs="Arial"/>
                <w:b/>
              </w:rPr>
            </w:pPr>
            <w:r w:rsidRPr="00BD0CE3">
              <w:rPr>
                <w:rFonts w:ascii="Arial" w:hAnsi="Arial" w:cs="Arial"/>
                <w:b/>
              </w:rPr>
              <w:t xml:space="preserve">SITAGLIPTIN and METFORMIN </w:t>
            </w:r>
          </w:p>
          <w:p w:rsidR="00F37EB5" w:rsidRDefault="00F37EB5" w:rsidP="00A21351">
            <w:pPr>
              <w:rPr>
                <w:rFonts w:ascii="Arial" w:hAnsi="Arial" w:cs="Arial"/>
                <w:b/>
              </w:rPr>
            </w:pPr>
            <w:r w:rsidRPr="00BD0CE3">
              <w:rPr>
                <w:rFonts w:ascii="Arial" w:hAnsi="Arial" w:cs="Arial"/>
                <w:b/>
              </w:rPr>
              <w:t xml:space="preserve">SITAGLIPTIN and METFORMIN XR </w:t>
            </w:r>
          </w:p>
          <w:p w:rsidR="00F37EB5" w:rsidRPr="00BD0CE3" w:rsidRDefault="00F37EB5" w:rsidP="00A21351">
            <w:pPr>
              <w:rPr>
                <w:rFonts w:ascii="Arial" w:hAnsi="Arial" w:cs="Arial"/>
              </w:rPr>
            </w:pPr>
            <w:r w:rsidRPr="00BD0CE3">
              <w:rPr>
                <w:rFonts w:ascii="Arial" w:hAnsi="Arial" w:cs="Arial"/>
              </w:rPr>
              <w:t xml:space="preserve">sitagliptin 100 mg tablet, 28 sitagliptin 50 mg tablet, 28 sitagliptin 25 mg tablet, 28 sitagliptin 50 mg + metformin hydrochloride 1000 mg tablet, 56 </w:t>
            </w:r>
          </w:p>
          <w:p w:rsidR="00F37EB5" w:rsidRPr="00BD0CE3" w:rsidRDefault="00F37EB5" w:rsidP="00A21351">
            <w:pPr>
              <w:rPr>
                <w:rFonts w:ascii="Arial" w:hAnsi="Arial" w:cs="Arial"/>
              </w:rPr>
            </w:pPr>
            <w:r w:rsidRPr="00BD0CE3">
              <w:rPr>
                <w:rFonts w:ascii="Arial" w:hAnsi="Arial" w:cs="Arial"/>
              </w:rPr>
              <w:t xml:space="preserve">sitagliptin 50 mg + metformin hydrochloride 850 mg tablet, 56 sitagliptin 50 mg + metformin hydrochloride 500 mg tablet, 56 </w:t>
            </w:r>
          </w:p>
          <w:p w:rsidR="00F37EB5" w:rsidRPr="00BD0CE3" w:rsidRDefault="00F37EB5" w:rsidP="00A21351">
            <w:pPr>
              <w:rPr>
                <w:rFonts w:ascii="Arial" w:hAnsi="Arial" w:cs="Arial"/>
              </w:rPr>
            </w:pPr>
            <w:r w:rsidRPr="00BD0CE3">
              <w:rPr>
                <w:rFonts w:ascii="Arial" w:hAnsi="Arial" w:cs="Arial"/>
              </w:rPr>
              <w:t xml:space="preserve">sitagliptin 100 mg + metformin hydrochloride 1000 mg tablet: modified release, 28 sitagliptin 50 mg + metformin hydrochloride 1000 mg tablet: modified release, 56 </w:t>
            </w:r>
          </w:p>
          <w:p w:rsidR="00F37EB5" w:rsidRPr="00BD0CE3" w:rsidRDefault="00F37EB5" w:rsidP="00A21351">
            <w:pPr>
              <w:rPr>
                <w:rFonts w:ascii="Arial" w:hAnsi="Arial" w:cs="Arial"/>
              </w:rPr>
            </w:pPr>
          </w:p>
          <w:p w:rsidR="00F37EB5" w:rsidRPr="00BD0CE3" w:rsidRDefault="00F37EB5" w:rsidP="00A21351">
            <w:pPr>
              <w:rPr>
                <w:rFonts w:ascii="Arial" w:hAnsi="Arial" w:cs="Arial"/>
              </w:rPr>
            </w:pPr>
            <w:r w:rsidRPr="00BD0CE3">
              <w:rPr>
                <w:rFonts w:ascii="Arial" w:hAnsi="Arial" w:cs="Arial"/>
              </w:rPr>
              <w:t xml:space="preserve">JANUVIA® </w:t>
            </w:r>
          </w:p>
          <w:p w:rsidR="00F37EB5" w:rsidRPr="00BD0CE3" w:rsidRDefault="00F37EB5" w:rsidP="00A21351">
            <w:pPr>
              <w:rPr>
                <w:rFonts w:ascii="Arial" w:hAnsi="Arial" w:cs="Arial"/>
              </w:rPr>
            </w:pPr>
            <w:r w:rsidRPr="00BD0CE3">
              <w:rPr>
                <w:rFonts w:ascii="Arial" w:hAnsi="Arial" w:cs="Arial"/>
              </w:rPr>
              <w:t xml:space="preserve">JANUMET® </w:t>
            </w:r>
          </w:p>
          <w:p w:rsidR="00F37EB5" w:rsidRPr="00BD0CE3" w:rsidRDefault="00F37EB5" w:rsidP="00A21351">
            <w:pPr>
              <w:rPr>
                <w:rFonts w:ascii="Arial" w:hAnsi="Arial" w:cs="Arial"/>
              </w:rPr>
            </w:pPr>
            <w:r w:rsidRPr="00BD0CE3">
              <w:rPr>
                <w:rFonts w:ascii="Arial" w:hAnsi="Arial" w:cs="Arial"/>
              </w:rPr>
              <w:t xml:space="preserve">JANUMET XR® </w:t>
            </w:r>
          </w:p>
          <w:p w:rsidR="00F37EB5" w:rsidRPr="00BD0CE3" w:rsidRDefault="00F37EB5" w:rsidP="00A21351">
            <w:pPr>
              <w:rPr>
                <w:rFonts w:ascii="Arial" w:hAnsi="Arial" w:cs="Arial"/>
              </w:rPr>
            </w:pPr>
          </w:p>
          <w:p w:rsidR="00F37EB5" w:rsidRPr="00BD0CE3" w:rsidRDefault="00F37EB5" w:rsidP="00A21351">
            <w:pPr>
              <w:rPr>
                <w:rFonts w:ascii="Arial" w:hAnsi="Arial" w:cs="Arial"/>
              </w:rPr>
            </w:pPr>
            <w:r w:rsidRPr="00BD0CE3">
              <w:rPr>
                <w:rFonts w:ascii="Arial" w:hAnsi="Arial" w:cs="Arial"/>
              </w:rPr>
              <w:t xml:space="preserve">Merck Sharp &amp; </w:t>
            </w:r>
            <w:proofErr w:type="spellStart"/>
            <w:r w:rsidRPr="00BD0CE3">
              <w:rPr>
                <w:rFonts w:ascii="Arial" w:hAnsi="Arial" w:cs="Arial"/>
              </w:rPr>
              <w:t>Dohme</w:t>
            </w:r>
            <w:proofErr w:type="spellEnd"/>
            <w:r w:rsidRPr="00BD0CE3">
              <w:rPr>
                <w:rFonts w:ascii="Arial" w:hAnsi="Arial" w:cs="Arial"/>
              </w:rPr>
              <w:t xml:space="preserve"> (Australia) Pty Limited</w:t>
            </w:r>
          </w:p>
          <w:p w:rsidR="00F37EB5" w:rsidRPr="00BD0CE3" w:rsidRDefault="00F37EB5" w:rsidP="00A21351">
            <w:pPr>
              <w:rPr>
                <w:rFonts w:ascii="Arial" w:hAnsi="Arial" w:cs="Arial"/>
              </w:rPr>
            </w:pPr>
          </w:p>
          <w:p w:rsidR="00F37EB5" w:rsidRPr="00BD0CE3" w:rsidRDefault="00F37EB5" w:rsidP="00A21351">
            <w:pPr>
              <w:rPr>
                <w:rFonts w:ascii="Arial" w:hAnsi="Arial" w:cs="Arial"/>
              </w:rPr>
            </w:pPr>
            <w:r w:rsidRPr="00BD0CE3">
              <w:rPr>
                <w:rFonts w:ascii="Arial" w:hAnsi="Arial" w:cs="Arial"/>
              </w:rPr>
              <w:t xml:space="preserve">Change to listing </w:t>
            </w:r>
          </w:p>
          <w:p w:rsidR="00F37EB5" w:rsidRPr="00BD0CE3" w:rsidRDefault="00F37EB5" w:rsidP="00A21351">
            <w:pPr>
              <w:rPr>
                <w:rFonts w:ascii="Arial" w:hAnsi="Arial" w:cs="Arial"/>
              </w:rPr>
            </w:pPr>
          </w:p>
          <w:p w:rsidR="00F37EB5" w:rsidRPr="00925FB4" w:rsidRDefault="00F37EB5" w:rsidP="00A21351">
            <w:pPr>
              <w:rPr>
                <w:rFonts w:ascii="Arial" w:hAnsi="Arial" w:cs="Arial"/>
                <w:b/>
              </w:rPr>
            </w:pPr>
            <w:r w:rsidRPr="00BD0CE3">
              <w:rPr>
                <w:rFonts w:ascii="Arial" w:hAnsi="Arial" w:cs="Arial"/>
              </w:rPr>
              <w:t>(Major Submission)</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0212E2">
            <w:pPr>
              <w:rPr>
                <w:rFonts w:ascii="Arial" w:hAnsi="Arial" w:cs="Arial"/>
              </w:rPr>
            </w:pPr>
            <w:r w:rsidRPr="00BD0CE3">
              <w:rPr>
                <w:rFonts w:ascii="Arial" w:hAnsi="Arial" w:cs="Arial"/>
              </w:rPr>
              <w:t>Type 2 diabetes mellitus</w:t>
            </w:r>
            <w:r w:rsidR="000212E2">
              <w:rPr>
                <w:rFonts w:ascii="Arial" w:hAnsi="Arial" w:cs="Arial"/>
              </w:rPr>
              <w:t xml:space="preserve"> (T2DM) – </w:t>
            </w:r>
            <w:r>
              <w:rPr>
                <w:rFonts w:ascii="Arial" w:hAnsi="Arial" w:cs="Arial"/>
              </w:rPr>
              <w:t>triple oral therapy</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0212E2">
            <w:pPr>
              <w:rPr>
                <w:rFonts w:ascii="Arial" w:hAnsi="Arial" w:cs="Arial"/>
              </w:rPr>
            </w:pPr>
            <w:r w:rsidRPr="00BD0CE3">
              <w:rPr>
                <w:rFonts w:ascii="Arial" w:hAnsi="Arial" w:cs="Arial"/>
              </w:rPr>
              <w:t xml:space="preserve">Authority Required (STREAMLINED) listing for </w:t>
            </w:r>
            <w:r>
              <w:rPr>
                <w:rFonts w:ascii="Arial" w:hAnsi="Arial" w:cs="Arial"/>
              </w:rPr>
              <w:t>triple oral therapy with metformin and a sulfonylurea</w:t>
            </w:r>
            <w:r w:rsidRPr="00BD0CE3">
              <w:rPr>
                <w:rFonts w:ascii="Arial" w:hAnsi="Arial" w:cs="Arial"/>
              </w:rPr>
              <w:t xml:space="preserve"> in patients with </w:t>
            </w:r>
            <w:r w:rsidR="000212E2">
              <w:rPr>
                <w:rFonts w:ascii="Arial" w:hAnsi="Arial" w:cs="Arial"/>
              </w:rPr>
              <w:t>T2DM</w:t>
            </w:r>
            <w:r w:rsidRPr="00BD0CE3">
              <w:rPr>
                <w:rFonts w:ascii="Arial" w:hAnsi="Arial" w:cs="Arial"/>
              </w:rPr>
              <w:t>.</w:t>
            </w:r>
          </w:p>
        </w:tc>
        <w:tc>
          <w:tcPr>
            <w:tcW w:w="7192" w:type="dxa"/>
            <w:tcBorders>
              <w:top w:val="single" w:sz="4" w:space="0" w:color="auto"/>
              <w:left w:val="single" w:sz="4" w:space="0" w:color="auto"/>
              <w:bottom w:val="single" w:sz="4" w:space="0" w:color="auto"/>
              <w:right w:val="single" w:sz="4" w:space="0" w:color="auto"/>
            </w:tcBorders>
          </w:tcPr>
          <w:p w:rsidR="000212E2" w:rsidRPr="00925FB4" w:rsidRDefault="000212E2" w:rsidP="000212E2">
            <w:pPr>
              <w:rPr>
                <w:rFonts w:ascii="Arial" w:hAnsi="Arial" w:cs="Arial"/>
                <w:bCs/>
                <w:lang w:val="en-GB"/>
              </w:rPr>
            </w:pPr>
            <w:r w:rsidRPr="000212E2">
              <w:rPr>
                <w:rFonts w:ascii="Arial" w:hAnsi="Arial" w:cs="Arial"/>
                <w:bCs/>
                <w:lang w:val="en-GB"/>
              </w:rPr>
              <w:t xml:space="preserve">The PBAC recommended the listing of </w:t>
            </w:r>
            <w:r>
              <w:rPr>
                <w:rFonts w:ascii="Arial" w:hAnsi="Arial" w:cs="Arial"/>
                <w:bCs/>
                <w:lang w:val="en-GB"/>
              </w:rPr>
              <w:t xml:space="preserve">sitagliptin and the </w:t>
            </w:r>
            <w:proofErr w:type="spellStart"/>
            <w:r>
              <w:rPr>
                <w:rFonts w:ascii="Arial" w:hAnsi="Arial" w:cs="Arial"/>
                <w:bCs/>
                <w:lang w:val="en-GB"/>
              </w:rPr>
              <w:t>sitagliptin+metformin</w:t>
            </w:r>
            <w:proofErr w:type="spellEnd"/>
            <w:r>
              <w:rPr>
                <w:rFonts w:ascii="Arial" w:hAnsi="Arial" w:cs="Arial"/>
                <w:bCs/>
                <w:lang w:val="en-GB"/>
              </w:rPr>
              <w:t xml:space="preserve"> fixed dose combinations (FDCs) </w:t>
            </w:r>
            <w:r w:rsidRPr="000212E2">
              <w:rPr>
                <w:rFonts w:ascii="Arial" w:hAnsi="Arial" w:cs="Arial"/>
                <w:bCs/>
                <w:lang w:val="en-GB"/>
              </w:rPr>
              <w:t xml:space="preserve">for the treatment of T2DM in combination with </w:t>
            </w:r>
            <w:r>
              <w:rPr>
                <w:rFonts w:ascii="Arial" w:hAnsi="Arial" w:cs="Arial"/>
                <w:bCs/>
                <w:lang w:val="en-GB"/>
              </w:rPr>
              <w:t>metformin</w:t>
            </w:r>
            <w:r w:rsidRPr="000212E2">
              <w:rPr>
                <w:rFonts w:ascii="Arial" w:hAnsi="Arial" w:cs="Arial"/>
                <w:bCs/>
                <w:lang w:val="en-GB"/>
              </w:rPr>
              <w:t xml:space="preserve"> and a </w:t>
            </w:r>
            <w:r>
              <w:rPr>
                <w:rFonts w:ascii="Arial" w:hAnsi="Arial" w:cs="Arial"/>
                <w:bCs/>
                <w:lang w:val="en-GB"/>
              </w:rPr>
              <w:t>sulfonylurea</w:t>
            </w:r>
            <w:r w:rsidRPr="000212E2">
              <w:rPr>
                <w:rFonts w:ascii="Arial" w:hAnsi="Arial" w:cs="Arial"/>
                <w:bCs/>
                <w:lang w:val="en-GB"/>
              </w:rPr>
              <w:t xml:space="preserve"> (triple oral therapy). The recommendation was formed on the basis of a cost minimisation analysis compared with dapagliflozin in combination with </w:t>
            </w:r>
            <w:r>
              <w:rPr>
                <w:rFonts w:ascii="Arial" w:hAnsi="Arial" w:cs="Arial"/>
                <w:bCs/>
                <w:lang w:val="en-GB"/>
              </w:rPr>
              <w:t>metformin</w:t>
            </w:r>
            <w:r w:rsidRPr="000212E2">
              <w:rPr>
                <w:rFonts w:ascii="Arial" w:hAnsi="Arial" w:cs="Arial"/>
                <w:bCs/>
                <w:lang w:val="en-GB"/>
              </w:rPr>
              <w:t xml:space="preserve"> and a </w:t>
            </w:r>
            <w:r>
              <w:rPr>
                <w:rFonts w:ascii="Arial" w:hAnsi="Arial" w:cs="Arial"/>
                <w:bCs/>
                <w:lang w:val="en-GB"/>
              </w:rPr>
              <w:t>sulfonylurea. The equi</w:t>
            </w:r>
            <w:r>
              <w:rPr>
                <w:rFonts w:ascii="Arial" w:hAnsi="Arial" w:cs="Arial"/>
                <w:bCs/>
                <w:lang w:val="en-GB"/>
              </w:rPr>
              <w:noBreakHyphen/>
            </w:r>
            <w:r w:rsidRPr="000212E2">
              <w:rPr>
                <w:rFonts w:ascii="Arial" w:hAnsi="Arial" w:cs="Arial"/>
                <w:bCs/>
                <w:lang w:val="en-GB"/>
              </w:rPr>
              <w:t xml:space="preserve">effective doses are sitagliptin 100mg and dapagliflozin 10mg.  </w:t>
            </w:r>
          </w:p>
        </w:tc>
      </w:tr>
      <w:tr w:rsidR="00F37EB5" w:rsidRPr="00925FB4" w:rsidTr="00A0373B">
        <w:trPr>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38081F">
            <w:pPr>
              <w:keepNext/>
              <w:rPr>
                <w:rFonts w:ascii="Arial" w:hAnsi="Arial" w:cs="Arial"/>
                <w:b/>
              </w:rPr>
            </w:pPr>
            <w:r w:rsidRPr="00C930D8">
              <w:rPr>
                <w:rFonts w:ascii="Arial" w:hAnsi="Arial" w:cs="Arial"/>
                <w:b/>
              </w:rPr>
              <w:lastRenderedPageBreak/>
              <w:t>STRONTIUM RANELATE</w:t>
            </w:r>
          </w:p>
          <w:p w:rsidR="00F37EB5" w:rsidRPr="00C930D8" w:rsidRDefault="00F37EB5" w:rsidP="0038081F">
            <w:pPr>
              <w:keepNext/>
              <w:rPr>
                <w:rFonts w:ascii="Arial" w:hAnsi="Arial" w:cs="Arial"/>
              </w:rPr>
            </w:pPr>
            <w:r w:rsidRPr="00C930D8">
              <w:rPr>
                <w:rFonts w:ascii="Arial" w:hAnsi="Arial" w:cs="Arial"/>
              </w:rPr>
              <w:t xml:space="preserve">2 g granules for oral suspension, 28 x 2g sachets </w:t>
            </w:r>
          </w:p>
          <w:p w:rsidR="00F37EB5" w:rsidRPr="00C930D8" w:rsidRDefault="00F37EB5" w:rsidP="0038081F">
            <w:pPr>
              <w:keepNext/>
              <w:rPr>
                <w:rFonts w:ascii="Arial" w:hAnsi="Arial" w:cs="Arial"/>
              </w:rPr>
            </w:pPr>
          </w:p>
          <w:p w:rsidR="00F37EB5" w:rsidRPr="00C930D8" w:rsidRDefault="00F37EB5" w:rsidP="0038081F">
            <w:pPr>
              <w:keepNext/>
              <w:rPr>
                <w:rFonts w:ascii="Arial" w:hAnsi="Arial" w:cs="Arial"/>
              </w:rPr>
            </w:pPr>
            <w:r w:rsidRPr="00C930D8">
              <w:rPr>
                <w:rFonts w:ascii="Arial" w:hAnsi="Arial" w:cs="Arial"/>
              </w:rPr>
              <w:t xml:space="preserve">PROTOS® </w:t>
            </w:r>
          </w:p>
          <w:p w:rsidR="00F37EB5" w:rsidRPr="00C930D8" w:rsidRDefault="00F37EB5" w:rsidP="0038081F">
            <w:pPr>
              <w:keepNext/>
              <w:rPr>
                <w:rFonts w:ascii="Arial" w:hAnsi="Arial" w:cs="Arial"/>
              </w:rPr>
            </w:pPr>
          </w:p>
          <w:p w:rsidR="00F37EB5" w:rsidRPr="00C930D8" w:rsidRDefault="00F37EB5" w:rsidP="0038081F">
            <w:pPr>
              <w:keepNext/>
              <w:rPr>
                <w:rFonts w:ascii="Arial" w:hAnsi="Arial" w:cs="Arial"/>
              </w:rPr>
            </w:pPr>
            <w:proofErr w:type="spellStart"/>
            <w:r w:rsidRPr="00C930D8">
              <w:rPr>
                <w:rFonts w:ascii="Arial" w:hAnsi="Arial" w:cs="Arial"/>
              </w:rPr>
              <w:t>Servier</w:t>
            </w:r>
            <w:proofErr w:type="spellEnd"/>
            <w:r w:rsidRPr="00C930D8">
              <w:rPr>
                <w:rFonts w:ascii="Arial" w:hAnsi="Arial" w:cs="Arial"/>
              </w:rPr>
              <w:t xml:space="preserve"> Laboratories</w:t>
            </w:r>
          </w:p>
          <w:p w:rsidR="00F37EB5" w:rsidRPr="00C930D8" w:rsidRDefault="00F37EB5" w:rsidP="0038081F">
            <w:pPr>
              <w:keepNext/>
              <w:rPr>
                <w:rFonts w:ascii="Arial" w:hAnsi="Arial" w:cs="Arial"/>
              </w:rPr>
            </w:pPr>
          </w:p>
          <w:p w:rsidR="00F37EB5" w:rsidRPr="00C930D8" w:rsidRDefault="00F37EB5" w:rsidP="0038081F">
            <w:pPr>
              <w:keepNext/>
              <w:rPr>
                <w:rFonts w:ascii="Arial" w:hAnsi="Arial" w:cs="Arial"/>
              </w:rPr>
            </w:pPr>
            <w:r w:rsidRPr="00C930D8">
              <w:rPr>
                <w:rFonts w:ascii="Arial" w:hAnsi="Arial" w:cs="Arial"/>
              </w:rPr>
              <w:t>Change to listing</w:t>
            </w:r>
          </w:p>
          <w:p w:rsidR="00F37EB5" w:rsidRPr="00C930D8" w:rsidRDefault="00F37EB5" w:rsidP="00A21351">
            <w:pPr>
              <w:rPr>
                <w:rFonts w:ascii="Arial" w:hAnsi="Arial" w:cs="Arial"/>
              </w:rPr>
            </w:pPr>
          </w:p>
          <w:p w:rsidR="00F37EB5" w:rsidRPr="00925FB4" w:rsidRDefault="00F37EB5" w:rsidP="00A21351">
            <w:pPr>
              <w:rPr>
                <w:rFonts w:ascii="Arial" w:hAnsi="Arial" w:cs="Arial"/>
                <w:b/>
              </w:rPr>
            </w:pPr>
            <w:r w:rsidRPr="00C930D8">
              <w:rPr>
                <w:rFonts w:ascii="Arial" w:hAnsi="Arial" w:cs="Arial"/>
              </w:rPr>
              <w:t>(Major Submission)</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C930D8">
              <w:rPr>
                <w:rFonts w:ascii="Arial" w:hAnsi="Arial" w:cs="Arial"/>
              </w:rPr>
              <w:t>Osteoporosis</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C930D8">
              <w:rPr>
                <w:rFonts w:ascii="Arial" w:hAnsi="Arial" w:cs="Arial"/>
              </w:rPr>
              <w:t>To not delist the current Authority Required listing for the treatment of severe established osteoporosis.</w:t>
            </w:r>
          </w:p>
        </w:tc>
        <w:tc>
          <w:tcPr>
            <w:tcW w:w="7192" w:type="dxa"/>
            <w:tcBorders>
              <w:top w:val="single" w:sz="4" w:space="0" w:color="auto"/>
              <w:left w:val="single" w:sz="4" w:space="0" w:color="auto"/>
              <w:bottom w:val="single" w:sz="4" w:space="0" w:color="auto"/>
              <w:right w:val="single" w:sz="4" w:space="0" w:color="auto"/>
            </w:tcBorders>
          </w:tcPr>
          <w:p w:rsidR="00F37EB5" w:rsidRPr="00C930D8" w:rsidRDefault="00F37EB5" w:rsidP="00C930D8">
            <w:pPr>
              <w:rPr>
                <w:rFonts w:ascii="Arial" w:hAnsi="Arial" w:cs="Arial"/>
              </w:rPr>
            </w:pPr>
            <w:r w:rsidRPr="00C930D8">
              <w:rPr>
                <w:rFonts w:ascii="Arial" w:hAnsi="Arial" w:cs="Arial"/>
              </w:rPr>
              <w:t>The PBAC recommended that strontium ranelate should remain listed on the PBS for the treatment of severe established osteoporosis in patients unable to use other osteoporosis medications and without cardiovascular contraindications.</w:t>
            </w:r>
          </w:p>
          <w:p w:rsidR="00F37EB5" w:rsidRPr="00C930D8" w:rsidRDefault="00F37EB5" w:rsidP="00C930D8">
            <w:pPr>
              <w:rPr>
                <w:rFonts w:ascii="Arial" w:hAnsi="Arial" w:cs="Arial"/>
              </w:rPr>
            </w:pPr>
          </w:p>
          <w:p w:rsidR="00F37EB5" w:rsidRPr="00C930D8" w:rsidRDefault="00F37EB5" w:rsidP="00C930D8">
            <w:pPr>
              <w:rPr>
                <w:rFonts w:ascii="Arial" w:hAnsi="Arial" w:cs="Arial"/>
              </w:rPr>
            </w:pPr>
            <w:r w:rsidRPr="00C930D8">
              <w:rPr>
                <w:rFonts w:ascii="Arial" w:hAnsi="Arial" w:cs="Arial"/>
              </w:rPr>
              <w:t xml:space="preserve">The PBAC recalled that in April 2014, the TGA issued an alert warning against use of the drug in patients with cardiovascular contraindications and restricting use to patients unable to take other osteoporosis medications. As a result, the PBAC recommended changes to the strontium ranelate restriction </w:t>
            </w:r>
            <w:r>
              <w:rPr>
                <w:rFonts w:ascii="Arial" w:hAnsi="Arial" w:cs="Arial"/>
              </w:rPr>
              <w:t>in</w:t>
            </w:r>
            <w:r w:rsidRPr="00C930D8">
              <w:rPr>
                <w:rFonts w:ascii="Arial" w:hAnsi="Arial" w:cs="Arial"/>
              </w:rPr>
              <w:t xml:space="preserve"> July 2014 and noted that it was of a mind to recommend delisting of strontium from the PBS. However, the PBAC considered that it would be appropriate for the sponsor to have the opportunity to establish the cost effectiveness of strontium ranelate in patients with severe established osteoporosis unable to use other treatments due to contraindication or intolerance.</w:t>
            </w:r>
          </w:p>
          <w:p w:rsidR="00F37EB5" w:rsidRPr="00C930D8" w:rsidRDefault="00F37EB5" w:rsidP="00C930D8">
            <w:pPr>
              <w:rPr>
                <w:rFonts w:ascii="Arial" w:hAnsi="Arial" w:cs="Arial"/>
              </w:rPr>
            </w:pPr>
          </w:p>
          <w:p w:rsidR="00F37EB5" w:rsidRPr="00C930D8" w:rsidRDefault="00F37EB5" w:rsidP="00C930D8">
            <w:pPr>
              <w:rPr>
                <w:rFonts w:ascii="Arial" w:hAnsi="Arial" w:cs="Arial"/>
              </w:rPr>
            </w:pPr>
            <w:r w:rsidRPr="00C930D8">
              <w:rPr>
                <w:rFonts w:ascii="Arial" w:hAnsi="Arial" w:cs="Arial"/>
              </w:rPr>
              <w:t>On the basis of meta-analysis presented in the submission, for every 100 patients treated with strontium ranelate in comparison to placebo:</w:t>
            </w:r>
          </w:p>
          <w:p w:rsidR="00F37EB5" w:rsidRPr="00C930D8" w:rsidRDefault="00F37EB5" w:rsidP="0038081F">
            <w:pPr>
              <w:numPr>
                <w:ilvl w:val="0"/>
                <w:numId w:val="38"/>
              </w:numPr>
              <w:ind w:left="280" w:hanging="280"/>
              <w:rPr>
                <w:rFonts w:ascii="Arial" w:hAnsi="Arial" w:cs="Arial"/>
              </w:rPr>
            </w:pPr>
            <w:r w:rsidRPr="00C930D8">
              <w:rPr>
                <w:rFonts w:ascii="Arial" w:hAnsi="Arial" w:cs="Arial"/>
              </w:rPr>
              <w:t>Approximately 9 fewer patients would have a new morphometric vertebral fracture (i.e. detectable on x ray or other imaging but not necessarily clinically apparent) over 3 years</w:t>
            </w:r>
          </w:p>
          <w:p w:rsidR="00F37EB5" w:rsidRPr="00C930D8" w:rsidRDefault="00F37EB5" w:rsidP="0038081F">
            <w:pPr>
              <w:numPr>
                <w:ilvl w:val="0"/>
                <w:numId w:val="38"/>
              </w:numPr>
              <w:ind w:left="280" w:hanging="280"/>
              <w:rPr>
                <w:rFonts w:ascii="Arial" w:hAnsi="Arial" w:cs="Arial"/>
              </w:rPr>
            </w:pPr>
            <w:r w:rsidRPr="00C930D8">
              <w:rPr>
                <w:rFonts w:ascii="Arial" w:hAnsi="Arial" w:cs="Arial"/>
              </w:rPr>
              <w:t>Approximately 3 fewer patients would have a new clinical vertebral fracture over 3 years</w:t>
            </w:r>
          </w:p>
          <w:p w:rsidR="00F37EB5" w:rsidRPr="00C930D8" w:rsidRDefault="00F37EB5" w:rsidP="0038081F">
            <w:pPr>
              <w:numPr>
                <w:ilvl w:val="0"/>
                <w:numId w:val="38"/>
              </w:numPr>
              <w:ind w:left="280" w:hanging="280"/>
              <w:rPr>
                <w:rFonts w:ascii="Arial" w:hAnsi="Arial" w:cs="Arial"/>
              </w:rPr>
            </w:pPr>
            <w:r w:rsidRPr="00C930D8">
              <w:rPr>
                <w:rFonts w:ascii="Arial" w:hAnsi="Arial" w:cs="Arial"/>
              </w:rPr>
              <w:t>Approximately 2 fewer patients would have a new clinical non-vertebral fracture over 3 years</w:t>
            </w:r>
          </w:p>
          <w:p w:rsidR="00F37EB5" w:rsidRPr="00C930D8" w:rsidRDefault="00F37EB5" w:rsidP="0038081F">
            <w:pPr>
              <w:numPr>
                <w:ilvl w:val="0"/>
                <w:numId w:val="38"/>
              </w:numPr>
              <w:ind w:left="280" w:hanging="280"/>
              <w:rPr>
                <w:rFonts w:ascii="Arial" w:hAnsi="Arial" w:cs="Arial"/>
              </w:rPr>
            </w:pPr>
            <w:r w:rsidRPr="00C930D8">
              <w:rPr>
                <w:rFonts w:ascii="Arial" w:hAnsi="Arial" w:cs="Arial"/>
              </w:rPr>
              <w:t>There would be no difference in the number of patients with a new hip fracture over 3 years</w:t>
            </w:r>
          </w:p>
          <w:p w:rsidR="00F37EB5" w:rsidRPr="00C930D8" w:rsidRDefault="00F37EB5" w:rsidP="0038081F">
            <w:pPr>
              <w:numPr>
                <w:ilvl w:val="0"/>
                <w:numId w:val="38"/>
              </w:numPr>
              <w:ind w:left="280" w:hanging="280"/>
              <w:rPr>
                <w:rFonts w:ascii="Arial" w:hAnsi="Arial" w:cs="Arial"/>
              </w:rPr>
            </w:pPr>
            <w:r w:rsidRPr="00C930D8">
              <w:rPr>
                <w:rFonts w:ascii="Arial" w:hAnsi="Arial" w:cs="Arial"/>
              </w:rPr>
              <w:t>Approximately 5 additional patients would experience a treatment-related adverse event over 3 years</w:t>
            </w:r>
          </w:p>
          <w:p w:rsidR="00F37EB5" w:rsidRPr="00C930D8" w:rsidRDefault="00F37EB5" w:rsidP="00C930D8">
            <w:pPr>
              <w:rPr>
                <w:rFonts w:ascii="Arial" w:hAnsi="Arial" w:cs="Arial"/>
              </w:rPr>
            </w:pPr>
          </w:p>
          <w:p w:rsidR="00F37EB5" w:rsidRDefault="00F37EB5" w:rsidP="00C930D8">
            <w:pPr>
              <w:rPr>
                <w:rFonts w:ascii="Arial" w:hAnsi="Arial" w:cs="Arial"/>
              </w:rPr>
            </w:pPr>
            <w:r w:rsidRPr="00C930D8">
              <w:rPr>
                <w:rFonts w:ascii="Arial" w:hAnsi="Arial" w:cs="Arial"/>
              </w:rPr>
              <w:t>The PBAC considered that the claim of superior comparative effectiveness compared with placebo may be reasonable and that the claim of inferior comparative safety compared with placebo was reasonable.</w:t>
            </w:r>
          </w:p>
          <w:p w:rsidR="00F37EB5" w:rsidRDefault="00F37EB5" w:rsidP="00C930D8">
            <w:pPr>
              <w:rPr>
                <w:rFonts w:ascii="Arial" w:hAnsi="Arial" w:cs="Arial"/>
              </w:rPr>
            </w:pPr>
          </w:p>
          <w:p w:rsidR="00F37EB5" w:rsidRDefault="00F37EB5" w:rsidP="003F528A">
            <w:pPr>
              <w:rPr>
                <w:rFonts w:ascii="Arial" w:hAnsi="Arial" w:cs="Arial"/>
                <w:bCs/>
              </w:rPr>
            </w:pPr>
            <w:r w:rsidRPr="00C930D8">
              <w:rPr>
                <w:rFonts w:ascii="Arial" w:hAnsi="Arial" w:cs="Arial"/>
                <w:bCs/>
              </w:rPr>
              <w:t>A revised base case provided in the pre-PBAC response resulted in an ICER of around $45,000 to $75,000 per QALY. The PBAC considered that if the submission was seeking PBS-listing of strontium ranelate, it would not have considered this ICER to be sufficiently cost</w:t>
            </w:r>
            <w:r>
              <w:rPr>
                <w:rFonts w:ascii="Arial" w:hAnsi="Arial" w:cs="Arial"/>
                <w:bCs/>
              </w:rPr>
              <w:t>-</w:t>
            </w:r>
            <w:r w:rsidRPr="00C930D8">
              <w:rPr>
                <w:rFonts w:ascii="Arial" w:hAnsi="Arial" w:cs="Arial"/>
                <w:bCs/>
              </w:rPr>
              <w:t xml:space="preserve">effective for this indication. Accordingly, as the submission is seeking continued listing of strontium </w:t>
            </w:r>
            <w:r w:rsidRPr="00C930D8">
              <w:rPr>
                <w:rFonts w:ascii="Arial" w:hAnsi="Arial" w:cs="Arial"/>
                <w:bCs/>
              </w:rPr>
              <w:lastRenderedPageBreak/>
              <w:t>ranelate, the PBAC considered that a pragmatic approach would be to recommend continued listing of strontium on the condition that the price of strontium is reduced such that the ICER would be around $15,000 to $45,000 per QALY.</w:t>
            </w:r>
          </w:p>
          <w:p w:rsidR="00F37EB5" w:rsidRDefault="00F37EB5" w:rsidP="003F528A">
            <w:pPr>
              <w:rPr>
                <w:rFonts w:ascii="Arial" w:hAnsi="Arial" w:cs="Arial"/>
                <w:bCs/>
              </w:rPr>
            </w:pPr>
          </w:p>
          <w:p w:rsidR="00F37EB5" w:rsidRPr="00925FB4" w:rsidRDefault="00F37EB5" w:rsidP="003F528A">
            <w:pPr>
              <w:rPr>
                <w:rFonts w:ascii="Arial" w:hAnsi="Arial" w:cs="Arial"/>
              </w:rPr>
            </w:pPr>
            <w:r w:rsidRPr="00925FB4">
              <w:rPr>
                <w:rFonts w:ascii="Arial" w:hAnsi="Arial" w:cs="Arial"/>
                <w:lang w:val="en-GB"/>
              </w:rPr>
              <w:t>The PBAC considered that current utilisation of strontium ranelate is relatively small compared with the overall osteoporosis drug market and will continue to decline over</w:t>
            </w:r>
            <w:r>
              <w:rPr>
                <w:rFonts w:ascii="Arial" w:hAnsi="Arial" w:cs="Arial"/>
                <w:lang w:val="en-GB"/>
              </w:rPr>
              <w:t xml:space="preserve"> time.</w:t>
            </w: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A0373B" w:rsidRDefault="00F37EB5" w:rsidP="006101D8">
            <w:pPr>
              <w:rPr>
                <w:rFonts w:ascii="Arial" w:hAnsi="Arial" w:cs="Arial"/>
                <w:b/>
              </w:rPr>
            </w:pPr>
            <w:r w:rsidRPr="00A0373B">
              <w:rPr>
                <w:rFonts w:ascii="Arial" w:hAnsi="Arial" w:cs="Arial"/>
                <w:b/>
              </w:rPr>
              <w:lastRenderedPageBreak/>
              <w:t>SUCROFERRIC OXYHYDROXIDE</w:t>
            </w:r>
          </w:p>
          <w:p w:rsidR="00F37EB5" w:rsidRPr="00A0373B" w:rsidRDefault="00F37EB5" w:rsidP="006101D8">
            <w:pPr>
              <w:rPr>
                <w:rFonts w:ascii="Arial" w:hAnsi="Arial" w:cs="Arial"/>
              </w:rPr>
            </w:pPr>
            <w:r w:rsidRPr="00A0373B">
              <w:rPr>
                <w:rFonts w:ascii="Arial" w:hAnsi="Arial" w:cs="Arial"/>
              </w:rPr>
              <w:t xml:space="preserve">Iron (as </w:t>
            </w:r>
            <w:proofErr w:type="spellStart"/>
            <w:r w:rsidRPr="00A0373B">
              <w:rPr>
                <w:rFonts w:ascii="Arial" w:hAnsi="Arial" w:cs="Arial"/>
              </w:rPr>
              <w:t>sucroferric</w:t>
            </w:r>
            <w:proofErr w:type="spellEnd"/>
            <w:r w:rsidRPr="00A0373B">
              <w:rPr>
                <w:rFonts w:ascii="Arial" w:hAnsi="Arial" w:cs="Arial"/>
              </w:rPr>
              <w:t xml:space="preserve"> </w:t>
            </w:r>
            <w:proofErr w:type="spellStart"/>
            <w:r w:rsidRPr="00A0373B">
              <w:rPr>
                <w:rFonts w:ascii="Arial" w:hAnsi="Arial" w:cs="Arial"/>
              </w:rPr>
              <w:t>oxyhydroxice</w:t>
            </w:r>
            <w:proofErr w:type="spellEnd"/>
            <w:r w:rsidRPr="00A0373B">
              <w:rPr>
                <w:rFonts w:ascii="Arial" w:hAnsi="Arial" w:cs="Arial"/>
              </w:rPr>
              <w:t>) 500 mg tablet: chewable, 90</w:t>
            </w:r>
          </w:p>
          <w:p w:rsidR="00F37EB5" w:rsidRPr="00A0373B" w:rsidRDefault="00F37EB5" w:rsidP="006101D8">
            <w:pPr>
              <w:rPr>
                <w:rFonts w:ascii="Arial" w:hAnsi="Arial" w:cs="Arial"/>
              </w:rPr>
            </w:pPr>
          </w:p>
          <w:p w:rsidR="00F37EB5" w:rsidRPr="00A0373B" w:rsidRDefault="00F37EB5" w:rsidP="006101D8">
            <w:pPr>
              <w:rPr>
                <w:rFonts w:ascii="Arial" w:hAnsi="Arial" w:cs="Arial"/>
              </w:rPr>
            </w:pPr>
            <w:r w:rsidRPr="00A0373B">
              <w:rPr>
                <w:rFonts w:ascii="Arial" w:hAnsi="Arial" w:cs="Arial"/>
              </w:rPr>
              <w:t>VELPHORO</w:t>
            </w:r>
            <w:r w:rsidRPr="00A0373B">
              <w:rPr>
                <w:rFonts w:ascii="Arial" w:hAnsi="Arial" w:cs="Arial"/>
                <w:lang w:val="it-IT"/>
              </w:rPr>
              <w:t>®</w:t>
            </w:r>
            <w:r w:rsidRPr="00A0373B">
              <w:rPr>
                <w:rFonts w:ascii="Arial" w:hAnsi="Arial" w:cs="Arial"/>
              </w:rPr>
              <w:t xml:space="preserve"> </w:t>
            </w:r>
          </w:p>
          <w:p w:rsidR="00F37EB5" w:rsidRPr="00A0373B" w:rsidRDefault="00F37EB5" w:rsidP="006C7606">
            <w:pPr>
              <w:rPr>
                <w:rFonts w:ascii="Arial" w:hAnsi="Arial" w:cs="Arial"/>
              </w:rPr>
            </w:pPr>
          </w:p>
          <w:p w:rsidR="00F37EB5" w:rsidRPr="00A0373B" w:rsidRDefault="00F37EB5" w:rsidP="006C7606">
            <w:pPr>
              <w:rPr>
                <w:rFonts w:ascii="Arial" w:hAnsi="Arial" w:cs="Arial"/>
              </w:rPr>
            </w:pPr>
            <w:r w:rsidRPr="00A0373B">
              <w:rPr>
                <w:rFonts w:ascii="Arial" w:hAnsi="Arial" w:cs="Arial"/>
              </w:rPr>
              <w:t>Fresenius Medical Care Pty Ltd</w:t>
            </w:r>
          </w:p>
          <w:p w:rsidR="00F37EB5" w:rsidRDefault="00F37EB5" w:rsidP="006C7606">
            <w:pPr>
              <w:rPr>
                <w:rFonts w:ascii="Arial" w:hAnsi="Arial" w:cs="Arial"/>
              </w:rPr>
            </w:pPr>
          </w:p>
          <w:p w:rsidR="00F37EB5" w:rsidRDefault="00F37EB5" w:rsidP="006C7606">
            <w:pPr>
              <w:rPr>
                <w:rFonts w:ascii="Arial" w:hAnsi="Arial" w:cs="Arial"/>
              </w:rPr>
            </w:pPr>
            <w:r>
              <w:rPr>
                <w:rFonts w:ascii="Arial" w:hAnsi="Arial" w:cs="Arial"/>
              </w:rPr>
              <w:t>Change to listing</w:t>
            </w:r>
          </w:p>
          <w:p w:rsidR="00F37EB5" w:rsidRPr="00A0373B" w:rsidRDefault="00F37EB5" w:rsidP="006C7606">
            <w:pPr>
              <w:rPr>
                <w:rFonts w:ascii="Arial" w:hAnsi="Arial" w:cs="Arial"/>
              </w:rPr>
            </w:pPr>
          </w:p>
          <w:p w:rsidR="00F37EB5" w:rsidRPr="00A0373B" w:rsidRDefault="00F37EB5" w:rsidP="006C7606">
            <w:pPr>
              <w:rPr>
                <w:rFonts w:ascii="Arial" w:hAnsi="Arial" w:cs="Arial"/>
                <w:b/>
              </w:rPr>
            </w:pPr>
            <w:r w:rsidRPr="00A0373B">
              <w:rPr>
                <w:rFonts w:ascii="Arial" w:hAnsi="Arial" w:cs="Arial"/>
              </w:rPr>
              <w:t>(Other)</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A0373B" w:rsidRDefault="00F37EB5" w:rsidP="00263F7F">
            <w:pPr>
              <w:rPr>
                <w:rFonts w:ascii="Arial" w:hAnsi="Arial" w:cs="Arial"/>
              </w:rPr>
            </w:pPr>
            <w:r w:rsidRPr="00A0373B">
              <w:rPr>
                <w:rFonts w:ascii="Arial" w:hAnsi="Arial" w:cs="Arial"/>
              </w:rPr>
              <w:t>Hyperphosphataemia</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A0373B" w:rsidRDefault="00F37EB5" w:rsidP="00263F7F">
            <w:pPr>
              <w:rPr>
                <w:rFonts w:ascii="Arial" w:hAnsi="Arial" w:cs="Arial"/>
              </w:rPr>
            </w:pPr>
            <w:r w:rsidRPr="00A0373B">
              <w:rPr>
                <w:rFonts w:ascii="Arial" w:hAnsi="Arial" w:cs="Arial"/>
              </w:rPr>
              <w:t xml:space="preserve">To request that the clinical criterion “not to be used in combination with any other phosphate binder” be amended to ensure concomitant use with calcium could occur. Any change would also apply to sevelamer and lanthanum. </w:t>
            </w:r>
          </w:p>
          <w:p w:rsidR="00F37EB5" w:rsidRPr="00A0373B" w:rsidRDefault="00F37EB5" w:rsidP="006C7606">
            <w:pPr>
              <w:ind w:firstLine="567"/>
              <w:rPr>
                <w:rFonts w:ascii="Arial" w:hAnsi="Arial" w:cs="Arial"/>
              </w:rPr>
            </w:pPr>
          </w:p>
        </w:tc>
        <w:tc>
          <w:tcPr>
            <w:tcW w:w="7192" w:type="dxa"/>
            <w:tcBorders>
              <w:top w:val="single" w:sz="4" w:space="0" w:color="auto"/>
              <w:left w:val="single" w:sz="4" w:space="0" w:color="auto"/>
              <w:bottom w:val="single" w:sz="4" w:space="0" w:color="auto"/>
              <w:right w:val="single" w:sz="4" w:space="0" w:color="auto"/>
            </w:tcBorders>
          </w:tcPr>
          <w:p w:rsidR="00F37EB5" w:rsidRPr="00B430D8" w:rsidRDefault="00F37EB5" w:rsidP="002876D1">
            <w:pPr>
              <w:widowControl w:val="0"/>
              <w:contextualSpacing/>
              <w:jc w:val="both"/>
              <w:rPr>
                <w:rFonts w:ascii="Arial" w:hAnsi="Arial" w:cs="Arial"/>
                <w:bCs/>
                <w:iCs/>
                <w:snapToGrid w:val="0"/>
                <w:highlight w:val="yellow"/>
              </w:rPr>
            </w:pPr>
            <w:r w:rsidRPr="00A0373B">
              <w:rPr>
                <w:rFonts w:ascii="Arial" w:hAnsi="Arial" w:cs="Arial"/>
                <w:bCs/>
                <w:iCs/>
                <w:snapToGrid w:val="0"/>
              </w:rPr>
              <w:t>The PBAC noted the concerns regarding the exclusion of patients taking calcium, aluminium or magnesium based agents concomitantly with sucroferric oxyhydroxide, sevelamer or lanthanum.  The PBAC recommended that the clinical criterion for sucroferric oxyhydroxide, sevelamer and lanthanum be amended from “The treatment must not be used in combination with any other phosphate binding agents” to “The treatment must not be used in combination with any other non-calcium phosphate binding agents”.</w:t>
            </w: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B036BF" w:rsidRDefault="00F37EB5" w:rsidP="00A21351">
            <w:pPr>
              <w:rPr>
                <w:rFonts w:ascii="Arial" w:hAnsi="Arial" w:cs="Arial"/>
                <w:b/>
              </w:rPr>
            </w:pPr>
            <w:r w:rsidRPr="00B036BF">
              <w:rPr>
                <w:rFonts w:ascii="Arial" w:hAnsi="Arial" w:cs="Arial"/>
                <w:b/>
              </w:rPr>
              <w:lastRenderedPageBreak/>
              <w:t>TESTOSTERONE</w:t>
            </w:r>
          </w:p>
          <w:p w:rsidR="00F37EB5" w:rsidRDefault="00F37EB5" w:rsidP="00A21351">
            <w:pPr>
              <w:rPr>
                <w:rFonts w:ascii="Arial" w:hAnsi="Arial" w:cs="Arial"/>
              </w:rPr>
            </w:pPr>
            <w:r w:rsidRPr="00B036BF">
              <w:rPr>
                <w:rFonts w:ascii="Arial" w:hAnsi="Arial" w:cs="Arial"/>
              </w:rPr>
              <w:t>testosterone 1% (50 mg/5 g) gel, 30 x 5 g sachets</w:t>
            </w:r>
            <w:r w:rsidRPr="006E5101">
              <w:rPr>
                <w:rFonts w:ascii="Arial" w:hAnsi="Arial" w:cs="Arial"/>
              </w:rPr>
              <w:t xml:space="preserve"> </w:t>
            </w:r>
          </w:p>
          <w:p w:rsidR="00F37EB5" w:rsidRDefault="00F37EB5" w:rsidP="00A21351">
            <w:pPr>
              <w:rPr>
                <w:rFonts w:ascii="Arial" w:hAnsi="Arial" w:cs="Arial"/>
              </w:rPr>
            </w:pPr>
          </w:p>
          <w:p w:rsidR="00F37EB5" w:rsidRDefault="00F37EB5" w:rsidP="00A21351">
            <w:pPr>
              <w:rPr>
                <w:rFonts w:ascii="Arial" w:hAnsi="Arial" w:cs="Arial"/>
              </w:rPr>
            </w:pPr>
            <w:r w:rsidRPr="006E5101">
              <w:rPr>
                <w:rFonts w:ascii="Arial" w:hAnsi="Arial" w:cs="Arial"/>
              </w:rPr>
              <w:t xml:space="preserve">testosterone 2% (30 mg/1.5 mL actuation) transdermal solution, 60 actuations </w:t>
            </w:r>
          </w:p>
          <w:p w:rsidR="00F37EB5" w:rsidRDefault="00F37EB5" w:rsidP="00A21351">
            <w:pPr>
              <w:rPr>
                <w:rFonts w:ascii="Arial" w:hAnsi="Arial" w:cs="Arial"/>
              </w:rPr>
            </w:pPr>
          </w:p>
          <w:p w:rsidR="00F37EB5" w:rsidRDefault="00F37EB5" w:rsidP="00A21351">
            <w:pPr>
              <w:rPr>
                <w:rFonts w:ascii="Arial" w:hAnsi="Arial" w:cs="Arial"/>
              </w:rPr>
            </w:pPr>
            <w:r w:rsidRPr="006E5101">
              <w:rPr>
                <w:rFonts w:ascii="Arial" w:hAnsi="Arial" w:cs="Arial"/>
              </w:rPr>
              <w:t xml:space="preserve">testosterone 2.5 mg/24 hours patch, 60 </w:t>
            </w:r>
          </w:p>
          <w:p w:rsidR="00F37EB5" w:rsidRDefault="00F37EB5" w:rsidP="00A21351">
            <w:pPr>
              <w:rPr>
                <w:rFonts w:ascii="Arial" w:hAnsi="Arial" w:cs="Arial"/>
              </w:rPr>
            </w:pPr>
          </w:p>
          <w:p w:rsidR="00F37EB5" w:rsidRPr="006E5101" w:rsidRDefault="00F37EB5" w:rsidP="00A21351">
            <w:pPr>
              <w:rPr>
                <w:rFonts w:ascii="Arial" w:hAnsi="Arial" w:cs="Arial"/>
              </w:rPr>
            </w:pPr>
            <w:r w:rsidRPr="006E5101">
              <w:rPr>
                <w:rFonts w:ascii="Arial" w:hAnsi="Arial" w:cs="Arial"/>
              </w:rPr>
              <w:t xml:space="preserve">testosterone 5 mg/24 hours patch, 30 </w:t>
            </w:r>
          </w:p>
          <w:p w:rsidR="00F37EB5" w:rsidRPr="006E5101" w:rsidRDefault="00F37EB5" w:rsidP="00A21351">
            <w:pPr>
              <w:rPr>
                <w:rFonts w:ascii="Arial" w:hAnsi="Arial" w:cs="Arial"/>
              </w:rPr>
            </w:pPr>
          </w:p>
          <w:p w:rsidR="00F37EB5" w:rsidRPr="006E5101" w:rsidRDefault="00F37EB5" w:rsidP="00A21351">
            <w:pPr>
              <w:rPr>
                <w:rFonts w:ascii="Arial" w:hAnsi="Arial" w:cs="Arial"/>
              </w:rPr>
            </w:pPr>
            <w:r w:rsidRPr="006E5101">
              <w:rPr>
                <w:rFonts w:ascii="Arial" w:hAnsi="Arial" w:cs="Arial"/>
              </w:rPr>
              <w:t xml:space="preserve">Various sponsors </w:t>
            </w:r>
          </w:p>
          <w:p w:rsidR="00F37EB5" w:rsidRPr="006E5101" w:rsidRDefault="00F37EB5" w:rsidP="00A21351">
            <w:pPr>
              <w:rPr>
                <w:rFonts w:ascii="Arial" w:hAnsi="Arial" w:cs="Arial"/>
              </w:rPr>
            </w:pPr>
          </w:p>
          <w:p w:rsidR="00F37EB5" w:rsidRPr="006E5101" w:rsidRDefault="00F37EB5" w:rsidP="00A21351">
            <w:pPr>
              <w:rPr>
                <w:rFonts w:ascii="Arial" w:hAnsi="Arial" w:cs="Arial"/>
              </w:rPr>
            </w:pPr>
            <w:r w:rsidRPr="006E5101">
              <w:rPr>
                <w:rFonts w:ascii="Arial" w:hAnsi="Arial" w:cs="Arial"/>
              </w:rPr>
              <w:t xml:space="preserve">National Lesbian, Gay, Bisexual, Transgender, and Intersex </w:t>
            </w:r>
            <w:r>
              <w:rPr>
                <w:rFonts w:ascii="Arial" w:hAnsi="Arial" w:cs="Arial"/>
              </w:rPr>
              <w:t>(</w:t>
            </w:r>
            <w:proofErr w:type="spellStart"/>
            <w:r>
              <w:rPr>
                <w:rFonts w:ascii="Arial" w:hAnsi="Arial" w:cs="Arial"/>
              </w:rPr>
              <w:t>LGBTi</w:t>
            </w:r>
            <w:proofErr w:type="spellEnd"/>
            <w:r>
              <w:rPr>
                <w:rFonts w:ascii="Arial" w:hAnsi="Arial" w:cs="Arial"/>
              </w:rPr>
              <w:t xml:space="preserve">) </w:t>
            </w:r>
            <w:r w:rsidRPr="006E5101">
              <w:rPr>
                <w:rFonts w:ascii="Arial" w:hAnsi="Arial" w:cs="Arial"/>
              </w:rPr>
              <w:t>Health Alliance</w:t>
            </w:r>
          </w:p>
          <w:p w:rsidR="00F37EB5" w:rsidRPr="006E5101" w:rsidRDefault="00F37EB5" w:rsidP="00A21351">
            <w:pPr>
              <w:rPr>
                <w:rFonts w:ascii="Arial" w:hAnsi="Arial" w:cs="Arial"/>
              </w:rPr>
            </w:pPr>
          </w:p>
          <w:p w:rsidR="00F37EB5" w:rsidRPr="006E5101" w:rsidRDefault="00F37EB5" w:rsidP="00A21351">
            <w:pPr>
              <w:rPr>
                <w:rFonts w:ascii="Arial" w:hAnsi="Arial" w:cs="Arial"/>
              </w:rPr>
            </w:pPr>
            <w:r w:rsidRPr="006E5101">
              <w:rPr>
                <w:rFonts w:ascii="Arial" w:hAnsi="Arial" w:cs="Arial"/>
              </w:rPr>
              <w:t xml:space="preserve">Change to listing </w:t>
            </w:r>
          </w:p>
          <w:p w:rsidR="00F37EB5" w:rsidRPr="006E5101" w:rsidRDefault="00F37EB5" w:rsidP="00A21351">
            <w:pPr>
              <w:rPr>
                <w:rFonts w:ascii="Arial" w:hAnsi="Arial" w:cs="Arial"/>
              </w:rPr>
            </w:pPr>
          </w:p>
          <w:p w:rsidR="00F37EB5" w:rsidRPr="002E5A8E" w:rsidRDefault="00F37EB5" w:rsidP="00A21351">
            <w:pPr>
              <w:rPr>
                <w:rFonts w:ascii="Arial" w:hAnsi="Arial" w:cs="Arial"/>
              </w:rPr>
            </w:pPr>
            <w:r w:rsidRPr="006E5101">
              <w:rPr>
                <w:rFonts w:ascii="Arial" w:hAnsi="Arial" w:cs="Arial"/>
              </w:rPr>
              <w:t>(Minor submission)</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6E5101">
              <w:rPr>
                <w:rFonts w:ascii="Arial" w:hAnsi="Arial" w:cs="Arial"/>
              </w:rPr>
              <w:t>Androgen deficiency</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6E5101">
              <w:rPr>
                <w:rFonts w:ascii="Arial" w:hAnsi="Arial" w:cs="Arial"/>
              </w:rPr>
              <w:t>Amendment to the revised PBS restrictions to enable access by transgender and intersex patients.</w:t>
            </w:r>
          </w:p>
        </w:tc>
        <w:tc>
          <w:tcPr>
            <w:tcW w:w="7192" w:type="dxa"/>
            <w:tcBorders>
              <w:top w:val="single" w:sz="4" w:space="0" w:color="auto"/>
              <w:left w:val="single" w:sz="4" w:space="0" w:color="auto"/>
              <w:bottom w:val="single" w:sz="4" w:space="0" w:color="auto"/>
              <w:right w:val="single" w:sz="4" w:space="0" w:color="auto"/>
            </w:tcBorders>
          </w:tcPr>
          <w:p w:rsidR="00F37EB5" w:rsidRPr="00925FB4" w:rsidRDefault="00F37EB5" w:rsidP="00925FB4">
            <w:pPr>
              <w:pStyle w:val="ListParagraph"/>
              <w:ind w:left="0"/>
              <w:rPr>
                <w:rFonts w:ascii="Arial" w:hAnsi="Arial" w:cs="Arial"/>
                <w:sz w:val="20"/>
                <w:szCs w:val="20"/>
              </w:rPr>
            </w:pPr>
            <w:r w:rsidRPr="00925FB4">
              <w:rPr>
                <w:rFonts w:ascii="Arial" w:hAnsi="Arial" w:cs="Arial"/>
                <w:sz w:val="20"/>
                <w:szCs w:val="20"/>
              </w:rPr>
              <w:t>The PBAC recommended amending the restriction wording for testosterone</w:t>
            </w:r>
            <w:r w:rsidR="0035337D">
              <w:rPr>
                <w:rFonts w:ascii="Arial" w:hAnsi="Arial" w:cs="Arial"/>
                <w:sz w:val="20"/>
                <w:szCs w:val="20"/>
              </w:rPr>
              <w:t xml:space="preserve"> to</w:t>
            </w:r>
            <w:r w:rsidRPr="00925FB4">
              <w:rPr>
                <w:rFonts w:ascii="Arial" w:hAnsi="Arial" w:cs="Arial"/>
                <w:sz w:val="20"/>
                <w:szCs w:val="20"/>
              </w:rPr>
              <w:t xml:space="preserve"> remove the population criterion ‘patient must be male’. The PBAC considered that the remaining requested changes to the restrictions for testosterone products were complex in nature.  </w:t>
            </w:r>
            <w:r w:rsidRPr="00925FB4">
              <w:rPr>
                <w:rFonts w:ascii="Arial" w:hAnsi="Arial" w:cs="Arial"/>
                <w:bCs/>
                <w:sz w:val="20"/>
                <w:szCs w:val="20"/>
                <w:lang w:val="en-GB"/>
              </w:rPr>
              <w:t>The PBAC recommended a stakeholder meeting be held between the Department, representatives of the National LGBTI Health Alliance and other consumer representatives, relevant clinicians, the Department of Human Services, the sponsors of testosterone preparations and PBAC members. The aim of this meeting would be to determine an appropriate restriction arrangement (including appropriate prescriber groups) for transgender and intersex populations. A revised restriction would need to reflect the need for these patients to maintain continuity of care with a primary care provider</w:t>
            </w:r>
            <w:r w:rsidR="0035337D">
              <w:rPr>
                <w:rFonts w:ascii="Arial" w:hAnsi="Arial" w:cs="Arial"/>
                <w:bCs/>
                <w:sz w:val="20"/>
                <w:szCs w:val="20"/>
                <w:lang w:val="en-GB"/>
              </w:rPr>
              <w:t>.</w:t>
            </w: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6101D8">
            <w:pPr>
              <w:rPr>
                <w:rFonts w:ascii="Arial" w:hAnsi="Arial" w:cs="Arial"/>
                <w:b/>
              </w:rPr>
            </w:pPr>
            <w:r w:rsidRPr="00B430D8">
              <w:rPr>
                <w:rFonts w:ascii="Arial" w:hAnsi="Arial" w:cs="Arial"/>
                <w:b/>
              </w:rPr>
              <w:t xml:space="preserve">TIOTROPIUM BROMIDE with OLODATEROL HYDROCHLORIDE </w:t>
            </w:r>
          </w:p>
          <w:p w:rsidR="00F37EB5" w:rsidRPr="00784A12" w:rsidRDefault="00F37EB5" w:rsidP="006101D8">
            <w:pPr>
              <w:rPr>
                <w:rFonts w:ascii="Arial" w:hAnsi="Arial" w:cs="Arial"/>
              </w:rPr>
            </w:pPr>
            <w:proofErr w:type="spellStart"/>
            <w:r>
              <w:rPr>
                <w:rFonts w:ascii="Arial" w:hAnsi="Arial" w:cs="Arial"/>
              </w:rPr>
              <w:t>tiotropium</w:t>
            </w:r>
            <w:proofErr w:type="spellEnd"/>
            <w:r>
              <w:rPr>
                <w:rFonts w:ascii="Arial" w:hAnsi="Arial" w:cs="Arial"/>
              </w:rPr>
              <w:t xml:space="preserve"> 2.5 </w:t>
            </w:r>
            <w:r w:rsidRPr="00784A12">
              <w:rPr>
                <w:rFonts w:ascii="Arial" w:hAnsi="Arial" w:cs="Arial"/>
              </w:rPr>
              <w:t xml:space="preserve">microgram/actuation + </w:t>
            </w:r>
            <w:proofErr w:type="spellStart"/>
            <w:r w:rsidRPr="00784A12">
              <w:rPr>
                <w:rFonts w:ascii="Arial" w:hAnsi="Arial" w:cs="Arial"/>
              </w:rPr>
              <w:t>olodaterol</w:t>
            </w:r>
            <w:proofErr w:type="spellEnd"/>
            <w:r w:rsidRPr="00784A12">
              <w:rPr>
                <w:rFonts w:ascii="Arial" w:hAnsi="Arial" w:cs="Arial"/>
              </w:rPr>
              <w:t xml:space="preserve"> 2.5 microgram/actuation inhalation: solution for, 60 actuations </w:t>
            </w:r>
          </w:p>
          <w:p w:rsidR="00F37EB5" w:rsidRPr="00784A12" w:rsidRDefault="00F37EB5" w:rsidP="006101D8">
            <w:pPr>
              <w:rPr>
                <w:rFonts w:ascii="Arial" w:hAnsi="Arial" w:cs="Arial"/>
              </w:rPr>
            </w:pPr>
          </w:p>
          <w:p w:rsidR="00F37EB5" w:rsidRPr="00784A12" w:rsidRDefault="00F37EB5" w:rsidP="006101D8">
            <w:pPr>
              <w:rPr>
                <w:rFonts w:ascii="Arial" w:hAnsi="Arial" w:cs="Arial"/>
              </w:rPr>
            </w:pPr>
            <w:r w:rsidRPr="00784A12">
              <w:rPr>
                <w:rFonts w:ascii="Arial" w:hAnsi="Arial" w:cs="Arial"/>
              </w:rPr>
              <w:t xml:space="preserve">SPIOLTO® RESPIMAT® </w:t>
            </w:r>
          </w:p>
          <w:p w:rsidR="00F37EB5" w:rsidRPr="00784A12" w:rsidRDefault="00F37EB5" w:rsidP="006101D8">
            <w:pPr>
              <w:rPr>
                <w:rFonts w:ascii="Arial" w:hAnsi="Arial" w:cs="Arial"/>
              </w:rPr>
            </w:pPr>
          </w:p>
          <w:p w:rsidR="00F37EB5" w:rsidRDefault="00F37EB5" w:rsidP="006101D8">
            <w:pPr>
              <w:rPr>
                <w:rFonts w:ascii="Arial" w:hAnsi="Arial" w:cs="Arial"/>
              </w:rPr>
            </w:pPr>
            <w:proofErr w:type="spellStart"/>
            <w:r w:rsidRPr="00784A12">
              <w:rPr>
                <w:rFonts w:ascii="Arial" w:hAnsi="Arial" w:cs="Arial"/>
              </w:rPr>
              <w:t>Boehringer</w:t>
            </w:r>
            <w:proofErr w:type="spellEnd"/>
            <w:r w:rsidRPr="00784A12">
              <w:rPr>
                <w:rFonts w:ascii="Arial" w:hAnsi="Arial" w:cs="Arial"/>
              </w:rPr>
              <w:t xml:space="preserve"> </w:t>
            </w:r>
            <w:proofErr w:type="spellStart"/>
            <w:r w:rsidRPr="00784A12">
              <w:rPr>
                <w:rFonts w:ascii="Arial" w:hAnsi="Arial" w:cs="Arial"/>
              </w:rPr>
              <w:t>Ingelheim</w:t>
            </w:r>
            <w:proofErr w:type="spellEnd"/>
            <w:r w:rsidRPr="00784A12">
              <w:rPr>
                <w:rFonts w:ascii="Arial" w:hAnsi="Arial" w:cs="Arial"/>
              </w:rPr>
              <w:t xml:space="preserve"> Pty Limited</w:t>
            </w:r>
          </w:p>
          <w:p w:rsidR="00F37EB5" w:rsidRDefault="00F37EB5" w:rsidP="006101D8">
            <w:pPr>
              <w:rPr>
                <w:rFonts w:ascii="Arial" w:hAnsi="Arial" w:cs="Arial"/>
              </w:rPr>
            </w:pPr>
          </w:p>
          <w:p w:rsidR="00F37EB5" w:rsidRDefault="00F37EB5" w:rsidP="006101D8">
            <w:pPr>
              <w:rPr>
                <w:rFonts w:ascii="Arial" w:hAnsi="Arial" w:cs="Arial"/>
              </w:rPr>
            </w:pPr>
            <w:r>
              <w:rPr>
                <w:rFonts w:ascii="Arial" w:hAnsi="Arial" w:cs="Arial"/>
              </w:rPr>
              <w:t>New listing</w:t>
            </w:r>
          </w:p>
          <w:p w:rsidR="00F37EB5" w:rsidRDefault="00F37EB5" w:rsidP="006101D8">
            <w:pPr>
              <w:rPr>
                <w:rFonts w:ascii="Arial" w:hAnsi="Arial" w:cs="Arial"/>
              </w:rPr>
            </w:pPr>
          </w:p>
          <w:p w:rsidR="00F37EB5" w:rsidRPr="00925FB4" w:rsidRDefault="00F37EB5" w:rsidP="006101D8">
            <w:pPr>
              <w:rPr>
                <w:rFonts w:ascii="Arial" w:hAnsi="Arial" w:cs="Arial"/>
                <w:b/>
              </w:rPr>
            </w:pPr>
            <w:r>
              <w:rPr>
                <w:rFonts w:ascii="Arial" w:hAnsi="Arial" w:cs="Arial"/>
              </w:rPr>
              <w:t xml:space="preserve">(Major Submission) </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784A12">
              <w:rPr>
                <w:rFonts w:ascii="Arial" w:hAnsi="Arial" w:cs="Arial"/>
              </w:rPr>
              <w:t>Chronic obstructive pulmonary disease</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784A12">
              <w:rPr>
                <w:rFonts w:ascii="Arial" w:hAnsi="Arial" w:cs="Arial"/>
              </w:rPr>
              <w:t>Authority Required (STREAMLINED) listing for the treatment of patients with chronic obstructive pulmonary disease.</w:t>
            </w:r>
          </w:p>
        </w:tc>
        <w:tc>
          <w:tcPr>
            <w:tcW w:w="7192" w:type="dxa"/>
            <w:tcBorders>
              <w:top w:val="single" w:sz="4" w:space="0" w:color="auto"/>
              <w:left w:val="single" w:sz="4" w:space="0" w:color="auto"/>
              <w:bottom w:val="single" w:sz="4" w:space="0" w:color="auto"/>
              <w:right w:val="single" w:sz="4" w:space="0" w:color="auto"/>
            </w:tcBorders>
          </w:tcPr>
          <w:p w:rsidR="00F37EB5" w:rsidRDefault="00F37EB5" w:rsidP="00D4168A">
            <w:pPr>
              <w:rPr>
                <w:rFonts w:ascii="Arial" w:hAnsi="Arial" w:cs="Arial"/>
              </w:rPr>
            </w:pPr>
            <w:r w:rsidRPr="00925FB4">
              <w:rPr>
                <w:rFonts w:ascii="Arial" w:hAnsi="Arial" w:cs="Arial"/>
              </w:rPr>
              <w:t xml:space="preserve">The PBAC recommended the listing of </w:t>
            </w:r>
            <w:proofErr w:type="spellStart"/>
            <w:r w:rsidRPr="00925FB4">
              <w:rPr>
                <w:rFonts w:ascii="Arial" w:hAnsi="Arial" w:cs="Arial"/>
              </w:rPr>
              <w:t>tiotropium</w:t>
            </w:r>
            <w:proofErr w:type="spellEnd"/>
            <w:r w:rsidRPr="00925FB4">
              <w:rPr>
                <w:rFonts w:ascii="Arial" w:hAnsi="Arial" w:cs="Arial"/>
              </w:rPr>
              <w:t>/</w:t>
            </w:r>
            <w:proofErr w:type="spellStart"/>
            <w:r w:rsidRPr="00925FB4">
              <w:rPr>
                <w:rFonts w:ascii="Arial" w:hAnsi="Arial" w:cs="Arial"/>
              </w:rPr>
              <w:t>olodaterol</w:t>
            </w:r>
            <w:proofErr w:type="spellEnd"/>
            <w:r w:rsidRPr="00925FB4">
              <w:rPr>
                <w:rFonts w:ascii="Arial" w:hAnsi="Arial" w:cs="Arial"/>
              </w:rPr>
              <w:t xml:space="preserve"> FDC as an Authority required (STREAMLINED) benefit for the treatment of chronic obstructive pulmonary disease for patients already stabilised on concomitant </w:t>
            </w:r>
            <w:r w:rsidR="0035337D" w:rsidRPr="00AC57A8">
              <w:rPr>
                <w:rFonts w:ascii="Arial" w:hAnsi="Arial" w:cs="Arial"/>
                <w:bCs/>
                <w:iCs/>
                <w:snapToGrid w:val="0"/>
              </w:rPr>
              <w:t xml:space="preserve">long acting muscarinic receptor antagonist </w:t>
            </w:r>
            <w:r w:rsidR="0035337D">
              <w:rPr>
                <w:rFonts w:ascii="Arial" w:hAnsi="Arial" w:cs="Arial"/>
                <w:bCs/>
                <w:iCs/>
                <w:snapToGrid w:val="0"/>
              </w:rPr>
              <w:t>(</w:t>
            </w:r>
            <w:r w:rsidR="0035337D" w:rsidRPr="00925FB4">
              <w:rPr>
                <w:rFonts w:ascii="Arial" w:hAnsi="Arial" w:cs="Arial"/>
                <w:bCs/>
                <w:iCs/>
                <w:snapToGrid w:val="0"/>
              </w:rPr>
              <w:t>LAMA</w:t>
            </w:r>
            <w:r w:rsidR="0035337D">
              <w:rPr>
                <w:rFonts w:ascii="Arial" w:hAnsi="Arial" w:cs="Arial"/>
                <w:bCs/>
                <w:iCs/>
                <w:snapToGrid w:val="0"/>
              </w:rPr>
              <w:t xml:space="preserve">) </w:t>
            </w:r>
            <w:r w:rsidRPr="00925FB4">
              <w:rPr>
                <w:rFonts w:ascii="Arial" w:hAnsi="Arial" w:cs="Arial"/>
              </w:rPr>
              <w:t xml:space="preserve">and </w:t>
            </w:r>
            <w:r w:rsidR="0035337D" w:rsidRPr="00AC57A8">
              <w:rPr>
                <w:rFonts w:ascii="Arial" w:hAnsi="Arial" w:cs="Arial"/>
                <w:bCs/>
                <w:iCs/>
                <w:snapToGrid w:val="0"/>
              </w:rPr>
              <w:t xml:space="preserve">long-acting selective β2 agonist </w:t>
            </w:r>
            <w:r w:rsidR="0035337D">
              <w:rPr>
                <w:rFonts w:ascii="Arial" w:hAnsi="Arial" w:cs="Arial"/>
                <w:bCs/>
                <w:iCs/>
                <w:snapToGrid w:val="0"/>
              </w:rPr>
              <w:t>(</w:t>
            </w:r>
            <w:r w:rsidR="0035337D" w:rsidRPr="00925FB4">
              <w:rPr>
                <w:rFonts w:ascii="Arial" w:hAnsi="Arial" w:cs="Arial"/>
                <w:bCs/>
                <w:iCs/>
                <w:snapToGrid w:val="0"/>
              </w:rPr>
              <w:t>LABA</w:t>
            </w:r>
            <w:r w:rsidR="0035337D">
              <w:rPr>
                <w:rFonts w:ascii="Arial" w:hAnsi="Arial" w:cs="Arial"/>
              </w:rPr>
              <w:t>) therapy.</w:t>
            </w:r>
          </w:p>
          <w:p w:rsidR="0035337D" w:rsidRPr="00925FB4" w:rsidRDefault="0035337D" w:rsidP="00D4168A">
            <w:pPr>
              <w:rPr>
                <w:rFonts w:ascii="Arial" w:hAnsi="Arial" w:cs="Arial"/>
              </w:rPr>
            </w:pPr>
          </w:p>
          <w:p w:rsidR="00F37EB5" w:rsidRPr="00925FB4" w:rsidRDefault="00F37EB5" w:rsidP="00D4168A">
            <w:pPr>
              <w:rPr>
                <w:rFonts w:ascii="Arial" w:hAnsi="Arial" w:cs="Arial"/>
              </w:rPr>
            </w:pPr>
            <w:r w:rsidRPr="00925FB4">
              <w:rPr>
                <w:rFonts w:ascii="Arial" w:hAnsi="Arial" w:cs="Arial"/>
              </w:rPr>
              <w:t xml:space="preserve">The PBAC recommended the listing on a cost-minimisation basis to the existing LAMA/LABA fixed dose combinations, </w:t>
            </w:r>
            <w:proofErr w:type="spellStart"/>
            <w:r w:rsidRPr="00925FB4">
              <w:rPr>
                <w:rFonts w:ascii="Arial" w:hAnsi="Arial" w:cs="Arial"/>
              </w:rPr>
              <w:t>umeclidinium</w:t>
            </w:r>
            <w:proofErr w:type="spellEnd"/>
            <w:r w:rsidRPr="00925FB4">
              <w:rPr>
                <w:rFonts w:ascii="Arial" w:hAnsi="Arial" w:cs="Arial"/>
              </w:rPr>
              <w:t>/</w:t>
            </w:r>
            <w:proofErr w:type="spellStart"/>
            <w:r w:rsidRPr="00925FB4">
              <w:rPr>
                <w:rFonts w:ascii="Arial" w:hAnsi="Arial" w:cs="Arial"/>
              </w:rPr>
              <w:t>vilanterol</w:t>
            </w:r>
            <w:proofErr w:type="spellEnd"/>
            <w:r w:rsidRPr="00925FB4">
              <w:rPr>
                <w:rFonts w:ascii="Arial" w:hAnsi="Arial" w:cs="Arial"/>
              </w:rPr>
              <w:t xml:space="preserve"> and </w:t>
            </w:r>
            <w:proofErr w:type="spellStart"/>
            <w:r w:rsidRPr="00925FB4">
              <w:rPr>
                <w:rFonts w:ascii="Arial" w:hAnsi="Arial" w:cs="Arial"/>
              </w:rPr>
              <w:t>glycopyrronium</w:t>
            </w:r>
            <w:proofErr w:type="spellEnd"/>
            <w:r w:rsidRPr="00925FB4">
              <w:rPr>
                <w:rFonts w:ascii="Arial" w:hAnsi="Arial" w:cs="Arial"/>
              </w:rPr>
              <w:t>/</w:t>
            </w:r>
            <w:proofErr w:type="spellStart"/>
            <w:r w:rsidRPr="00925FB4">
              <w:rPr>
                <w:rFonts w:ascii="Arial" w:hAnsi="Arial" w:cs="Arial"/>
              </w:rPr>
              <w:t>indacaterol</w:t>
            </w:r>
            <w:proofErr w:type="spellEnd"/>
            <w:r w:rsidRPr="00925FB4">
              <w:rPr>
                <w:rFonts w:ascii="Arial" w:hAnsi="Arial" w:cs="Arial"/>
              </w:rPr>
              <w:t xml:space="preserve">. The equi-effective doses are considered to be </w:t>
            </w:r>
            <w:proofErr w:type="spellStart"/>
            <w:r w:rsidRPr="00925FB4">
              <w:rPr>
                <w:rFonts w:ascii="Arial" w:hAnsi="Arial" w:cs="Arial"/>
              </w:rPr>
              <w:t>tiotropium</w:t>
            </w:r>
            <w:proofErr w:type="spellEnd"/>
            <w:r w:rsidRPr="00925FB4">
              <w:rPr>
                <w:rFonts w:ascii="Arial" w:hAnsi="Arial" w:cs="Arial"/>
              </w:rPr>
              <w:t xml:space="preserve"> 5 microgram with </w:t>
            </w:r>
            <w:proofErr w:type="spellStart"/>
            <w:r w:rsidRPr="00925FB4">
              <w:rPr>
                <w:rFonts w:ascii="Arial" w:hAnsi="Arial" w:cs="Arial"/>
              </w:rPr>
              <w:t>olodaterol</w:t>
            </w:r>
            <w:proofErr w:type="spellEnd"/>
            <w:r w:rsidRPr="00925FB4">
              <w:rPr>
                <w:rFonts w:ascii="Arial" w:hAnsi="Arial" w:cs="Arial"/>
              </w:rPr>
              <w:t xml:space="preserve"> 5 microgram (two inhalations daily), </w:t>
            </w:r>
            <w:proofErr w:type="spellStart"/>
            <w:r w:rsidRPr="00925FB4">
              <w:rPr>
                <w:rFonts w:ascii="Arial" w:hAnsi="Arial" w:cs="Arial"/>
              </w:rPr>
              <w:t>umeclidinium</w:t>
            </w:r>
            <w:proofErr w:type="spellEnd"/>
            <w:r w:rsidRPr="00925FB4">
              <w:rPr>
                <w:rFonts w:ascii="Arial" w:hAnsi="Arial" w:cs="Arial"/>
              </w:rPr>
              <w:t xml:space="preserve"> 62.5 microgram with </w:t>
            </w:r>
            <w:proofErr w:type="spellStart"/>
            <w:r w:rsidRPr="00925FB4">
              <w:rPr>
                <w:rFonts w:ascii="Arial" w:hAnsi="Arial" w:cs="Arial"/>
              </w:rPr>
              <w:t>vilanterol</w:t>
            </w:r>
            <w:proofErr w:type="spellEnd"/>
            <w:r w:rsidRPr="00925FB4">
              <w:rPr>
                <w:rFonts w:ascii="Arial" w:hAnsi="Arial" w:cs="Arial"/>
              </w:rPr>
              <w:t xml:space="preserve"> 25 microgram (daily), and </w:t>
            </w:r>
            <w:proofErr w:type="spellStart"/>
            <w:r w:rsidRPr="00925FB4">
              <w:rPr>
                <w:rFonts w:ascii="Arial" w:hAnsi="Arial" w:cs="Arial"/>
              </w:rPr>
              <w:t>glycopyrronium</w:t>
            </w:r>
            <w:proofErr w:type="spellEnd"/>
            <w:r w:rsidRPr="00925FB4">
              <w:rPr>
                <w:rFonts w:ascii="Arial" w:hAnsi="Arial" w:cs="Arial"/>
              </w:rPr>
              <w:t xml:space="preserve"> 50 microgram with </w:t>
            </w:r>
            <w:proofErr w:type="spellStart"/>
            <w:r w:rsidRPr="00925FB4">
              <w:rPr>
                <w:rFonts w:ascii="Arial" w:hAnsi="Arial" w:cs="Arial"/>
              </w:rPr>
              <w:t>indacaterol</w:t>
            </w:r>
            <w:proofErr w:type="spellEnd"/>
            <w:r w:rsidRPr="00925FB4">
              <w:rPr>
                <w:rFonts w:ascii="Arial" w:hAnsi="Arial" w:cs="Arial"/>
              </w:rPr>
              <w:t xml:space="preserve"> 110 microgram (daily).</w:t>
            </w: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38081F" w:rsidRDefault="00F37EB5" w:rsidP="00FF4728">
            <w:pPr>
              <w:rPr>
                <w:rFonts w:ascii="Arial Bold" w:hAnsi="Arial Bold" w:cs="Arial"/>
                <w:b/>
                <w:caps/>
              </w:rPr>
            </w:pPr>
            <w:r w:rsidRPr="0038081F">
              <w:rPr>
                <w:rFonts w:ascii="Arial Bold" w:hAnsi="Arial Bold" w:cs="Arial"/>
                <w:b/>
                <w:caps/>
              </w:rPr>
              <w:lastRenderedPageBreak/>
              <w:t>TRASTUZUMAB</w:t>
            </w:r>
          </w:p>
          <w:p w:rsidR="00F37EB5" w:rsidRPr="0038081F" w:rsidRDefault="00F37EB5" w:rsidP="00FF4728">
            <w:pPr>
              <w:rPr>
                <w:rFonts w:ascii="Arial" w:hAnsi="Arial" w:cs="Arial"/>
              </w:rPr>
            </w:pPr>
            <w:r w:rsidRPr="0038081F">
              <w:rPr>
                <w:rFonts w:ascii="Arial" w:hAnsi="Arial" w:cs="Arial"/>
              </w:rPr>
              <w:t>solution for subcutaneous injection, 600 mg/5 mL, 1</w:t>
            </w:r>
          </w:p>
          <w:p w:rsidR="00F37EB5" w:rsidRPr="0038081F" w:rsidRDefault="00F37EB5" w:rsidP="00FF4728">
            <w:pPr>
              <w:rPr>
                <w:rFonts w:ascii="Arial" w:hAnsi="Arial" w:cs="Arial"/>
              </w:rPr>
            </w:pPr>
          </w:p>
          <w:p w:rsidR="00F37EB5" w:rsidRPr="0038081F" w:rsidRDefault="00F37EB5" w:rsidP="00FF4728">
            <w:pPr>
              <w:rPr>
                <w:rFonts w:ascii="Arial" w:hAnsi="Arial" w:cs="Arial"/>
              </w:rPr>
            </w:pPr>
            <w:r w:rsidRPr="0038081F">
              <w:rPr>
                <w:rFonts w:ascii="Arial" w:hAnsi="Arial" w:cs="Arial"/>
              </w:rPr>
              <w:t>HERCEPTIN®</w:t>
            </w:r>
          </w:p>
          <w:p w:rsidR="00F37EB5" w:rsidRPr="0038081F" w:rsidRDefault="00F37EB5" w:rsidP="00FF4728">
            <w:pPr>
              <w:rPr>
                <w:rFonts w:ascii="Arial" w:hAnsi="Arial" w:cs="Arial"/>
              </w:rPr>
            </w:pPr>
          </w:p>
          <w:p w:rsidR="00F37EB5" w:rsidRPr="0038081F" w:rsidRDefault="00F37EB5" w:rsidP="00FF4728">
            <w:pPr>
              <w:rPr>
                <w:rFonts w:ascii="Arial" w:hAnsi="Arial" w:cs="Arial"/>
              </w:rPr>
            </w:pPr>
            <w:r w:rsidRPr="0038081F">
              <w:rPr>
                <w:rFonts w:ascii="Arial" w:hAnsi="Arial" w:cs="Arial"/>
              </w:rPr>
              <w:t>Roche Products Pty Ltd</w:t>
            </w:r>
          </w:p>
          <w:p w:rsidR="00F37EB5" w:rsidRPr="0038081F" w:rsidRDefault="00F37EB5" w:rsidP="00FF4728">
            <w:pPr>
              <w:rPr>
                <w:rFonts w:ascii="Arial" w:hAnsi="Arial" w:cs="Arial"/>
              </w:rPr>
            </w:pPr>
          </w:p>
          <w:p w:rsidR="00F37EB5" w:rsidRPr="0038081F" w:rsidRDefault="00F37EB5" w:rsidP="00FF4728">
            <w:pPr>
              <w:rPr>
                <w:rFonts w:ascii="Arial" w:hAnsi="Arial" w:cs="Arial"/>
              </w:rPr>
            </w:pPr>
            <w:r w:rsidRPr="0038081F">
              <w:rPr>
                <w:rFonts w:ascii="Arial" w:hAnsi="Arial" w:cs="Arial"/>
              </w:rPr>
              <w:t>New listing</w:t>
            </w:r>
          </w:p>
          <w:p w:rsidR="00F37EB5" w:rsidRPr="0038081F" w:rsidRDefault="00F37EB5" w:rsidP="00FF4728">
            <w:pPr>
              <w:rPr>
                <w:rFonts w:ascii="Arial" w:hAnsi="Arial" w:cs="Arial"/>
              </w:rPr>
            </w:pPr>
          </w:p>
          <w:p w:rsidR="00F37EB5" w:rsidRPr="0038081F" w:rsidRDefault="00F37EB5" w:rsidP="00FF4728">
            <w:pPr>
              <w:rPr>
                <w:rFonts w:ascii="Arial" w:hAnsi="Arial" w:cs="Arial"/>
              </w:rPr>
            </w:pPr>
            <w:r w:rsidRPr="0038081F">
              <w:rPr>
                <w:rFonts w:ascii="Arial" w:hAnsi="Arial" w:cs="Arial"/>
              </w:rPr>
              <w:t>(Minor Submission)</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38081F" w:rsidRDefault="00F37EB5" w:rsidP="00263F7F">
            <w:pPr>
              <w:rPr>
                <w:rFonts w:ascii="Arial" w:hAnsi="Arial" w:cs="Arial"/>
              </w:rPr>
            </w:pPr>
            <w:r w:rsidRPr="0038081F">
              <w:rPr>
                <w:rFonts w:ascii="Arial" w:hAnsi="Arial" w:cs="Arial"/>
              </w:rPr>
              <w:t>Breast cancer</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38081F" w:rsidRDefault="00F37EB5" w:rsidP="00FF4728">
            <w:pPr>
              <w:rPr>
                <w:rFonts w:ascii="Arial" w:hAnsi="Arial" w:cs="Arial"/>
              </w:rPr>
            </w:pPr>
            <w:r w:rsidRPr="0038081F">
              <w:rPr>
                <w:rFonts w:ascii="Arial" w:hAnsi="Arial" w:cs="Arial"/>
              </w:rPr>
              <w:t>Authority Required listing of a subcutaneously administered formulation for the treatment of HER2 positive breast cancer.</w:t>
            </w:r>
          </w:p>
        </w:tc>
        <w:tc>
          <w:tcPr>
            <w:tcW w:w="7192" w:type="dxa"/>
            <w:tcBorders>
              <w:top w:val="single" w:sz="4" w:space="0" w:color="auto"/>
              <w:left w:val="single" w:sz="4" w:space="0" w:color="auto"/>
              <w:bottom w:val="single" w:sz="4" w:space="0" w:color="auto"/>
              <w:right w:val="single" w:sz="4" w:space="0" w:color="auto"/>
            </w:tcBorders>
          </w:tcPr>
          <w:p w:rsidR="00F37EB5" w:rsidRPr="00AF089F" w:rsidRDefault="00F37EB5" w:rsidP="00AF089F">
            <w:pPr>
              <w:rPr>
                <w:rFonts w:ascii="Arial" w:hAnsi="Arial" w:cs="Arial"/>
                <w:bCs/>
                <w:lang w:val="en-GB"/>
              </w:rPr>
            </w:pPr>
            <w:r w:rsidRPr="00AF089F">
              <w:rPr>
                <w:rFonts w:ascii="Arial" w:hAnsi="Arial" w:cs="Arial"/>
                <w:bCs/>
                <w:lang w:val="en-GB"/>
              </w:rPr>
              <w:t xml:space="preserve">The PBAC recommended the General Schedule and Schedule 100 Efficient Funding of Chemotherapy (‘Related Pharmaceutical Benefits’) listing of </w:t>
            </w:r>
            <w:proofErr w:type="spellStart"/>
            <w:r w:rsidRPr="00AF089F">
              <w:rPr>
                <w:rFonts w:ascii="Arial" w:hAnsi="Arial" w:cs="Arial"/>
                <w:bCs/>
                <w:lang w:val="en-GB"/>
              </w:rPr>
              <w:t>trastuzumab</w:t>
            </w:r>
            <w:proofErr w:type="spellEnd"/>
            <w:r w:rsidRPr="00AF089F">
              <w:rPr>
                <w:rFonts w:ascii="Arial" w:hAnsi="Arial" w:cs="Arial"/>
                <w:bCs/>
                <w:lang w:val="en-GB"/>
              </w:rPr>
              <w:t xml:space="preserve"> </w:t>
            </w:r>
            <w:r w:rsidR="007914E1">
              <w:rPr>
                <w:rFonts w:ascii="Arial" w:hAnsi="Arial" w:cs="Arial"/>
                <w:bCs/>
                <w:lang w:val="en-GB"/>
              </w:rPr>
              <w:t>subcutaneous (</w:t>
            </w:r>
            <w:r w:rsidRPr="00AF089F">
              <w:rPr>
                <w:rFonts w:ascii="Arial" w:hAnsi="Arial" w:cs="Arial"/>
                <w:bCs/>
                <w:lang w:val="en-GB"/>
              </w:rPr>
              <w:t>SC</w:t>
            </w:r>
            <w:r w:rsidR="007914E1">
              <w:rPr>
                <w:rFonts w:ascii="Arial" w:hAnsi="Arial" w:cs="Arial"/>
                <w:bCs/>
                <w:lang w:val="en-GB"/>
              </w:rPr>
              <w:t>)</w:t>
            </w:r>
            <w:r w:rsidRPr="00AF089F">
              <w:rPr>
                <w:rFonts w:ascii="Arial" w:hAnsi="Arial" w:cs="Arial"/>
                <w:bCs/>
                <w:lang w:val="en-GB"/>
              </w:rPr>
              <w:t>, for patients with locally advanced human epidermal growth factor receptor 2 (HER2) positive breast cancer, early HER2 positive breast cancer and metastatic (Stage IV) HER2-positive breast cancer.</w:t>
            </w:r>
          </w:p>
          <w:p w:rsidR="00F37EB5" w:rsidRPr="00AF089F" w:rsidRDefault="00F37EB5" w:rsidP="00AF089F">
            <w:pPr>
              <w:rPr>
                <w:rFonts w:ascii="Arial" w:hAnsi="Arial" w:cs="Arial"/>
                <w:bCs/>
                <w:lang w:val="en-GB"/>
              </w:rPr>
            </w:pPr>
          </w:p>
          <w:p w:rsidR="00F37EB5" w:rsidRPr="00AF089F" w:rsidRDefault="00F37EB5" w:rsidP="00AF089F">
            <w:pPr>
              <w:rPr>
                <w:rFonts w:ascii="Arial" w:hAnsi="Arial" w:cs="Arial"/>
                <w:bCs/>
                <w:lang w:val="en-GB"/>
              </w:rPr>
            </w:pPr>
            <w:r w:rsidRPr="00AF089F">
              <w:rPr>
                <w:rFonts w:ascii="Arial" w:hAnsi="Arial" w:cs="Arial"/>
                <w:bCs/>
                <w:lang w:val="en-GB"/>
              </w:rPr>
              <w:t xml:space="preserve">The PBAC was satisfied that </w:t>
            </w:r>
            <w:proofErr w:type="spellStart"/>
            <w:r w:rsidRPr="00AF089F">
              <w:rPr>
                <w:rFonts w:ascii="Arial" w:hAnsi="Arial" w:cs="Arial"/>
                <w:bCs/>
                <w:lang w:val="en-GB"/>
              </w:rPr>
              <w:t>trastuzumab</w:t>
            </w:r>
            <w:proofErr w:type="spellEnd"/>
            <w:r w:rsidRPr="00AF089F">
              <w:rPr>
                <w:rFonts w:ascii="Arial" w:hAnsi="Arial" w:cs="Arial"/>
                <w:bCs/>
                <w:lang w:val="en-GB"/>
              </w:rPr>
              <w:t xml:space="preserve"> SC is safe and effective in treatment-naïve patients initiating on this form of </w:t>
            </w:r>
            <w:proofErr w:type="spellStart"/>
            <w:r w:rsidRPr="00AF089F">
              <w:rPr>
                <w:rFonts w:ascii="Arial" w:hAnsi="Arial" w:cs="Arial"/>
                <w:bCs/>
                <w:lang w:val="en-GB"/>
              </w:rPr>
              <w:t>trastuzumab</w:t>
            </w:r>
            <w:proofErr w:type="spellEnd"/>
            <w:r w:rsidRPr="00AF089F">
              <w:rPr>
                <w:rFonts w:ascii="Arial" w:hAnsi="Arial" w:cs="Arial"/>
                <w:bCs/>
                <w:lang w:val="en-GB"/>
              </w:rPr>
              <w:t>; that there is no evidence of significant differences in clinical effectivenes</w:t>
            </w:r>
            <w:r w:rsidR="007914E1">
              <w:rPr>
                <w:rFonts w:ascii="Arial" w:hAnsi="Arial" w:cs="Arial"/>
                <w:bCs/>
                <w:lang w:val="en-GB"/>
              </w:rPr>
              <w:t>s or safety compared with the intravenous</w:t>
            </w:r>
            <w:r w:rsidRPr="00AF089F">
              <w:rPr>
                <w:rFonts w:ascii="Arial" w:hAnsi="Arial" w:cs="Arial"/>
                <w:bCs/>
                <w:lang w:val="en-GB"/>
              </w:rPr>
              <w:t xml:space="preserve"> </w:t>
            </w:r>
            <w:r w:rsidR="00190492">
              <w:rPr>
                <w:rFonts w:ascii="Arial" w:hAnsi="Arial" w:cs="Arial"/>
                <w:bCs/>
                <w:lang w:val="en-GB"/>
              </w:rPr>
              <w:t xml:space="preserve">(IV) </w:t>
            </w:r>
            <w:r w:rsidRPr="00AF089F">
              <w:rPr>
                <w:rFonts w:ascii="Arial" w:hAnsi="Arial" w:cs="Arial"/>
                <w:bCs/>
                <w:lang w:val="en-GB"/>
              </w:rPr>
              <w:t xml:space="preserve">form, and there is no evidence that identifies populations in whom the risks of using the SC form of </w:t>
            </w:r>
            <w:proofErr w:type="spellStart"/>
            <w:r w:rsidRPr="00AF089F">
              <w:rPr>
                <w:rFonts w:ascii="Arial" w:hAnsi="Arial" w:cs="Arial"/>
                <w:bCs/>
                <w:lang w:val="en-GB"/>
              </w:rPr>
              <w:t>trastuzumab</w:t>
            </w:r>
            <w:proofErr w:type="spellEnd"/>
            <w:r w:rsidRPr="00AF089F">
              <w:rPr>
                <w:rFonts w:ascii="Arial" w:hAnsi="Arial" w:cs="Arial"/>
                <w:bCs/>
                <w:lang w:val="en-GB"/>
              </w:rPr>
              <w:t xml:space="preserve"> are disproportionately high.  The PBAC was concerned that only very limited clinical efficacy and safety data was provided in support of switching between </w:t>
            </w:r>
            <w:proofErr w:type="spellStart"/>
            <w:r w:rsidRPr="00AF089F">
              <w:rPr>
                <w:rFonts w:ascii="Arial" w:hAnsi="Arial" w:cs="Arial"/>
                <w:bCs/>
                <w:lang w:val="en-GB"/>
              </w:rPr>
              <w:t>trastuzumab</w:t>
            </w:r>
            <w:proofErr w:type="spellEnd"/>
            <w:r w:rsidRPr="00AF089F">
              <w:rPr>
                <w:rFonts w:ascii="Arial" w:hAnsi="Arial" w:cs="Arial"/>
                <w:bCs/>
                <w:lang w:val="en-GB"/>
              </w:rPr>
              <w:t xml:space="preserve"> SC and its IV form, as this is likely to occur in clinical practice. In addition, the chemotherapy partners in practice will be broader than those for which evidence was provided, and trial evidence was not available for the metastatic breast cancer setting.</w:t>
            </w:r>
          </w:p>
          <w:p w:rsidR="00F37EB5" w:rsidRPr="00AF089F" w:rsidRDefault="00F37EB5" w:rsidP="00AF089F">
            <w:pPr>
              <w:rPr>
                <w:rFonts w:ascii="Arial" w:hAnsi="Arial" w:cs="Arial"/>
                <w:bCs/>
                <w:lang w:val="en-GB"/>
              </w:rPr>
            </w:pPr>
          </w:p>
          <w:p w:rsidR="00F37EB5" w:rsidRPr="0038081F" w:rsidRDefault="00F37EB5" w:rsidP="00AF089F">
            <w:pPr>
              <w:rPr>
                <w:rFonts w:ascii="Arial" w:hAnsi="Arial" w:cs="Arial"/>
                <w:bCs/>
                <w:lang w:val="en-GB"/>
              </w:rPr>
            </w:pPr>
            <w:r w:rsidRPr="00AF089F">
              <w:rPr>
                <w:rFonts w:ascii="Arial" w:hAnsi="Arial" w:cs="Arial"/>
                <w:bCs/>
                <w:lang w:val="en-GB"/>
              </w:rPr>
              <w:t xml:space="preserve">The PBAC concluded that it could not be completely assured of the efficacy and safety of </w:t>
            </w:r>
            <w:proofErr w:type="spellStart"/>
            <w:r w:rsidRPr="00AF089F">
              <w:rPr>
                <w:rFonts w:ascii="Arial" w:hAnsi="Arial" w:cs="Arial"/>
                <w:bCs/>
                <w:lang w:val="en-GB"/>
              </w:rPr>
              <w:t>trastuzumab</w:t>
            </w:r>
            <w:proofErr w:type="spellEnd"/>
            <w:r w:rsidRPr="00AF089F">
              <w:rPr>
                <w:rFonts w:ascii="Arial" w:hAnsi="Arial" w:cs="Arial"/>
                <w:bCs/>
                <w:lang w:val="en-GB"/>
              </w:rPr>
              <w:t xml:space="preserve"> SC in clinical practice. However the PBAC considered that, on balance it was a</w:t>
            </w:r>
            <w:bookmarkStart w:id="0" w:name="_GoBack"/>
            <w:bookmarkEnd w:id="0"/>
            <w:r w:rsidRPr="00AF089F">
              <w:rPr>
                <w:rFonts w:ascii="Arial" w:hAnsi="Arial" w:cs="Arial"/>
                <w:bCs/>
                <w:lang w:val="en-GB"/>
              </w:rPr>
              <w:t xml:space="preserve">ppropriate to recommend </w:t>
            </w:r>
            <w:proofErr w:type="spellStart"/>
            <w:r w:rsidRPr="00AF089F">
              <w:rPr>
                <w:rFonts w:ascii="Arial" w:hAnsi="Arial" w:cs="Arial"/>
                <w:bCs/>
                <w:lang w:val="en-GB"/>
              </w:rPr>
              <w:t>trastuzumab</w:t>
            </w:r>
            <w:proofErr w:type="spellEnd"/>
            <w:r w:rsidRPr="00AF089F">
              <w:rPr>
                <w:rFonts w:ascii="Arial" w:hAnsi="Arial" w:cs="Arial"/>
                <w:bCs/>
                <w:lang w:val="en-GB"/>
              </w:rPr>
              <w:t xml:space="preserve"> SC be listed on the PBS and that patients with breast cancer should be able to access </w:t>
            </w:r>
            <w:proofErr w:type="spellStart"/>
            <w:r w:rsidRPr="00AF089F">
              <w:rPr>
                <w:rFonts w:ascii="Arial" w:hAnsi="Arial" w:cs="Arial"/>
                <w:bCs/>
                <w:lang w:val="en-GB"/>
              </w:rPr>
              <w:t>trastuzumab</w:t>
            </w:r>
            <w:proofErr w:type="spellEnd"/>
            <w:r w:rsidRPr="00AF089F">
              <w:rPr>
                <w:rFonts w:ascii="Arial" w:hAnsi="Arial" w:cs="Arial"/>
                <w:bCs/>
                <w:lang w:val="en-GB"/>
              </w:rPr>
              <w:t xml:space="preserve"> SC via the PBS in the same way as the currently listed </w:t>
            </w:r>
            <w:proofErr w:type="spellStart"/>
            <w:r w:rsidRPr="00AF089F">
              <w:rPr>
                <w:rFonts w:ascii="Arial" w:hAnsi="Arial" w:cs="Arial"/>
                <w:bCs/>
                <w:lang w:val="en-GB"/>
              </w:rPr>
              <w:t>trastuzumab</w:t>
            </w:r>
            <w:proofErr w:type="spellEnd"/>
            <w:r w:rsidRPr="00AF089F">
              <w:rPr>
                <w:rFonts w:ascii="Arial" w:hAnsi="Arial" w:cs="Arial"/>
                <w:bCs/>
                <w:lang w:val="en-GB"/>
              </w:rPr>
              <w:t xml:space="preserve"> IV and without any restriction on switching between the different forms. The recommendation was made on the basis that the listing should, at worst, be cost-neutral for government.</w:t>
            </w: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6101D8">
            <w:pPr>
              <w:rPr>
                <w:rFonts w:ascii="Arial" w:hAnsi="Arial" w:cs="Arial"/>
                <w:b/>
              </w:rPr>
            </w:pPr>
            <w:r w:rsidRPr="00B036BF">
              <w:rPr>
                <w:rFonts w:ascii="Arial" w:hAnsi="Arial" w:cs="Arial"/>
                <w:b/>
              </w:rPr>
              <w:lastRenderedPageBreak/>
              <w:t>TRASTUZUMAB</w:t>
            </w:r>
            <w:r w:rsidRPr="00925FB4">
              <w:rPr>
                <w:rFonts w:ascii="Arial" w:hAnsi="Arial" w:cs="Arial"/>
                <w:b/>
              </w:rPr>
              <w:t xml:space="preserve"> </w:t>
            </w:r>
          </w:p>
          <w:p w:rsidR="00F37EB5" w:rsidRDefault="00F37EB5" w:rsidP="006101D8">
            <w:pPr>
              <w:rPr>
                <w:rFonts w:ascii="Arial" w:hAnsi="Arial" w:cs="Arial"/>
              </w:rPr>
            </w:pPr>
            <w:r w:rsidRPr="00B430D8">
              <w:rPr>
                <w:rFonts w:ascii="Arial" w:hAnsi="Arial" w:cs="Arial"/>
              </w:rPr>
              <w:t xml:space="preserve">powder for I.V. infusion, 60 mg vial,1 </w:t>
            </w:r>
          </w:p>
          <w:p w:rsidR="00F37EB5" w:rsidRPr="00B430D8" w:rsidRDefault="00F37EB5" w:rsidP="006101D8">
            <w:pPr>
              <w:rPr>
                <w:rFonts w:ascii="Arial" w:hAnsi="Arial" w:cs="Arial"/>
              </w:rPr>
            </w:pPr>
            <w:r w:rsidRPr="00B430D8">
              <w:rPr>
                <w:rFonts w:ascii="Arial" w:hAnsi="Arial" w:cs="Arial"/>
              </w:rPr>
              <w:t xml:space="preserve">powder for I.V. infusion, 150 mg vial, 1 </w:t>
            </w:r>
          </w:p>
          <w:p w:rsidR="00F37EB5" w:rsidRPr="00B430D8" w:rsidRDefault="00F37EB5" w:rsidP="006101D8">
            <w:pPr>
              <w:rPr>
                <w:rFonts w:ascii="Arial" w:hAnsi="Arial" w:cs="Arial"/>
              </w:rPr>
            </w:pPr>
          </w:p>
          <w:p w:rsidR="00F37EB5" w:rsidRPr="00B430D8" w:rsidRDefault="00F37EB5" w:rsidP="006101D8">
            <w:pPr>
              <w:rPr>
                <w:rFonts w:ascii="Arial" w:hAnsi="Arial" w:cs="Arial"/>
              </w:rPr>
            </w:pPr>
            <w:r w:rsidRPr="00B430D8">
              <w:rPr>
                <w:rFonts w:ascii="Arial" w:hAnsi="Arial" w:cs="Arial"/>
              </w:rPr>
              <w:t xml:space="preserve">HERCEPTIN® </w:t>
            </w:r>
          </w:p>
          <w:p w:rsidR="00F37EB5" w:rsidRPr="00B430D8" w:rsidRDefault="00F37EB5" w:rsidP="006101D8">
            <w:pPr>
              <w:rPr>
                <w:rFonts w:ascii="Arial" w:hAnsi="Arial" w:cs="Arial"/>
              </w:rPr>
            </w:pPr>
          </w:p>
          <w:p w:rsidR="00F37EB5" w:rsidRPr="00B430D8" w:rsidRDefault="00F37EB5" w:rsidP="006101D8">
            <w:pPr>
              <w:rPr>
                <w:rFonts w:ascii="Arial" w:hAnsi="Arial" w:cs="Arial"/>
              </w:rPr>
            </w:pPr>
            <w:r w:rsidRPr="00B430D8">
              <w:rPr>
                <w:rFonts w:ascii="Arial" w:hAnsi="Arial" w:cs="Arial"/>
              </w:rPr>
              <w:t>Roche Products Pty Ltd</w:t>
            </w:r>
          </w:p>
          <w:p w:rsidR="00F37EB5" w:rsidRPr="00B430D8" w:rsidRDefault="00F37EB5" w:rsidP="006101D8">
            <w:pPr>
              <w:rPr>
                <w:rFonts w:ascii="Arial" w:hAnsi="Arial" w:cs="Arial"/>
              </w:rPr>
            </w:pPr>
          </w:p>
          <w:p w:rsidR="00F37EB5" w:rsidRPr="00B430D8" w:rsidRDefault="00F37EB5" w:rsidP="006101D8">
            <w:pPr>
              <w:rPr>
                <w:rFonts w:ascii="Arial" w:hAnsi="Arial" w:cs="Arial"/>
              </w:rPr>
            </w:pPr>
            <w:r w:rsidRPr="00B430D8">
              <w:rPr>
                <w:rFonts w:ascii="Arial" w:hAnsi="Arial" w:cs="Arial"/>
              </w:rPr>
              <w:t xml:space="preserve">Change to recommended listing </w:t>
            </w:r>
          </w:p>
          <w:p w:rsidR="00F37EB5" w:rsidRPr="00B430D8" w:rsidRDefault="00F37EB5" w:rsidP="006101D8">
            <w:pPr>
              <w:rPr>
                <w:rFonts w:ascii="Arial" w:hAnsi="Arial" w:cs="Arial"/>
              </w:rPr>
            </w:pPr>
          </w:p>
          <w:p w:rsidR="00F37EB5" w:rsidRPr="00925FB4" w:rsidRDefault="00F37EB5" w:rsidP="006101D8">
            <w:pPr>
              <w:rPr>
                <w:rFonts w:ascii="Arial" w:hAnsi="Arial" w:cs="Arial"/>
              </w:rPr>
            </w:pPr>
            <w:r w:rsidRPr="00B430D8">
              <w:rPr>
                <w:rFonts w:ascii="Arial" w:hAnsi="Arial" w:cs="Arial"/>
              </w:rPr>
              <w:t>(Major Submission)</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B430D8">
              <w:rPr>
                <w:rFonts w:ascii="Arial" w:hAnsi="Arial" w:cs="Arial"/>
              </w:rPr>
              <w:t>Gastric cancer</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B430D8">
              <w:rPr>
                <w:rFonts w:ascii="Arial" w:hAnsi="Arial" w:cs="Arial"/>
              </w:rPr>
              <w:t>Section 100 (Efficient Funding of Chemotherapy) Authority Required listing for the treatment of patients with HER2 positive, metastatic (equivalent to stage IV) adenocarcinoma of the stomach or gastro</w:t>
            </w:r>
            <w:r>
              <w:rPr>
                <w:rFonts w:ascii="Arial" w:hAnsi="Arial" w:cs="Arial"/>
              </w:rPr>
              <w:noBreakHyphen/>
            </w:r>
            <w:r w:rsidRPr="00B430D8">
              <w:rPr>
                <w:rFonts w:ascii="Arial" w:hAnsi="Arial" w:cs="Arial"/>
              </w:rPr>
              <w:t>oesophageal junction.</w:t>
            </w:r>
          </w:p>
        </w:tc>
        <w:tc>
          <w:tcPr>
            <w:tcW w:w="7192" w:type="dxa"/>
            <w:tcBorders>
              <w:top w:val="single" w:sz="4" w:space="0" w:color="auto"/>
              <w:left w:val="single" w:sz="4" w:space="0" w:color="auto"/>
              <w:bottom w:val="single" w:sz="4" w:space="0" w:color="auto"/>
              <w:right w:val="single" w:sz="4" w:space="0" w:color="auto"/>
            </w:tcBorders>
          </w:tcPr>
          <w:p w:rsidR="00F37EB5" w:rsidRPr="00925FB4" w:rsidRDefault="00F37EB5" w:rsidP="00A0373B">
            <w:pPr>
              <w:rPr>
                <w:rFonts w:ascii="Arial" w:hAnsi="Arial" w:cs="Arial"/>
                <w:bCs/>
                <w:lang w:val="en-GB"/>
              </w:rPr>
            </w:pPr>
            <w:r w:rsidRPr="00925FB4">
              <w:rPr>
                <w:rFonts w:ascii="Arial" w:hAnsi="Arial" w:cs="Arial"/>
                <w:bCs/>
                <w:lang w:val="en-GB"/>
              </w:rPr>
              <w:t xml:space="preserve">The PBAC recommended extending the listing of </w:t>
            </w:r>
            <w:proofErr w:type="spellStart"/>
            <w:r w:rsidRPr="00925FB4">
              <w:rPr>
                <w:rFonts w:ascii="Arial" w:hAnsi="Arial" w:cs="Arial"/>
                <w:bCs/>
                <w:lang w:val="en-GB"/>
              </w:rPr>
              <w:t>trastuzumab</w:t>
            </w:r>
            <w:proofErr w:type="spellEnd"/>
            <w:r w:rsidRPr="00925FB4">
              <w:rPr>
                <w:rFonts w:ascii="Arial" w:hAnsi="Arial" w:cs="Arial"/>
                <w:bCs/>
                <w:lang w:val="en-GB"/>
              </w:rPr>
              <w:t xml:space="preserve"> under Section</w:t>
            </w:r>
            <w:r>
              <w:rPr>
                <w:rFonts w:ascii="Arial" w:hAnsi="Arial" w:cs="Arial"/>
                <w:bCs/>
                <w:lang w:val="en-GB"/>
              </w:rPr>
              <w:t> </w:t>
            </w:r>
            <w:r w:rsidRPr="00925FB4">
              <w:rPr>
                <w:rFonts w:ascii="Arial" w:hAnsi="Arial" w:cs="Arial"/>
                <w:bCs/>
                <w:lang w:val="en-GB"/>
              </w:rPr>
              <w:t xml:space="preserve">100 (Efficient Funding of Chemotherapy) for the </w:t>
            </w:r>
            <w:r w:rsidRPr="00925FB4">
              <w:rPr>
                <w:rFonts w:ascii="Arial" w:hAnsi="Arial" w:cs="Arial"/>
              </w:rPr>
              <w:t>treatment of HER2 positive, metastatic (equivalent to stage IV) adenocarcinoma of the stomach or gastro-oesophageal junction. This recommendation reflected a wide range of high to very high incremental cost-effectiveness ratios that were acceptable in the context of a modest but potentially meaningful extension of overall survival in a difficult to treat cancer affecting a small number of patients, and with effective controls to limit the financial costs to the PBS.</w:t>
            </w:r>
          </w:p>
        </w:tc>
      </w:tr>
      <w:tr w:rsidR="00F37EB5" w:rsidRPr="00925FB4" w:rsidTr="00A0373B">
        <w:trPr>
          <w:cantSplit/>
          <w:trHeight w:val="430"/>
        </w:trPr>
        <w:tc>
          <w:tcPr>
            <w:tcW w:w="3369"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Default="00F37EB5" w:rsidP="002E5A8E">
            <w:pPr>
              <w:rPr>
                <w:rFonts w:ascii="Arial" w:hAnsi="Arial" w:cs="Arial"/>
                <w:b/>
              </w:rPr>
            </w:pPr>
            <w:r w:rsidRPr="006E5101">
              <w:rPr>
                <w:rFonts w:ascii="Arial" w:hAnsi="Arial" w:cs="Arial"/>
                <w:b/>
              </w:rPr>
              <w:t xml:space="preserve">TRIGLYCERIDES MEDIUM CHAIN FORMULA </w:t>
            </w:r>
          </w:p>
          <w:p w:rsidR="00F37EB5" w:rsidRPr="006E5101" w:rsidRDefault="00F37EB5" w:rsidP="002E5A8E">
            <w:pPr>
              <w:rPr>
                <w:rFonts w:ascii="Arial" w:hAnsi="Arial" w:cs="Arial"/>
              </w:rPr>
            </w:pPr>
            <w:r w:rsidRPr="006E5101">
              <w:rPr>
                <w:rFonts w:ascii="Arial" w:hAnsi="Arial" w:cs="Arial"/>
              </w:rPr>
              <w:t xml:space="preserve">oral liquid: powder for, 400 g </w:t>
            </w:r>
          </w:p>
          <w:p w:rsidR="00F37EB5" w:rsidRPr="006E5101" w:rsidRDefault="00F37EB5" w:rsidP="002E5A8E">
            <w:pPr>
              <w:rPr>
                <w:rFonts w:ascii="Arial" w:hAnsi="Arial" w:cs="Arial"/>
              </w:rPr>
            </w:pPr>
          </w:p>
          <w:p w:rsidR="00F37EB5" w:rsidRPr="006E5101" w:rsidRDefault="00F37EB5" w:rsidP="002E5A8E">
            <w:pPr>
              <w:rPr>
                <w:rFonts w:ascii="Arial" w:hAnsi="Arial" w:cs="Arial"/>
              </w:rPr>
            </w:pPr>
            <w:r w:rsidRPr="006E5101">
              <w:rPr>
                <w:rFonts w:ascii="Arial" w:hAnsi="Arial" w:cs="Arial"/>
              </w:rPr>
              <w:t xml:space="preserve">PEPTAMEN JUNIOR® </w:t>
            </w:r>
          </w:p>
          <w:p w:rsidR="00F37EB5" w:rsidRPr="006E5101" w:rsidRDefault="00F37EB5" w:rsidP="002E5A8E">
            <w:pPr>
              <w:rPr>
                <w:rFonts w:ascii="Arial" w:hAnsi="Arial" w:cs="Arial"/>
              </w:rPr>
            </w:pPr>
          </w:p>
          <w:p w:rsidR="00F37EB5" w:rsidRPr="006E5101" w:rsidRDefault="00F37EB5" w:rsidP="002E5A8E">
            <w:pPr>
              <w:rPr>
                <w:rFonts w:ascii="Arial" w:hAnsi="Arial" w:cs="Arial"/>
              </w:rPr>
            </w:pPr>
            <w:r w:rsidRPr="006E5101">
              <w:rPr>
                <w:rFonts w:ascii="Arial" w:hAnsi="Arial" w:cs="Arial"/>
              </w:rPr>
              <w:t>Nestle Health Science (Nestle Australia Ltd)</w:t>
            </w:r>
          </w:p>
          <w:p w:rsidR="00F37EB5" w:rsidRPr="006E5101" w:rsidRDefault="00F37EB5" w:rsidP="002E5A8E">
            <w:pPr>
              <w:rPr>
                <w:rFonts w:ascii="Arial" w:hAnsi="Arial" w:cs="Arial"/>
              </w:rPr>
            </w:pPr>
          </w:p>
          <w:p w:rsidR="00F37EB5" w:rsidRPr="006E5101" w:rsidRDefault="00F37EB5" w:rsidP="002E5A8E">
            <w:pPr>
              <w:rPr>
                <w:rFonts w:ascii="Arial" w:hAnsi="Arial" w:cs="Arial"/>
              </w:rPr>
            </w:pPr>
            <w:r w:rsidRPr="006E5101">
              <w:rPr>
                <w:rFonts w:ascii="Arial" w:hAnsi="Arial" w:cs="Arial"/>
              </w:rPr>
              <w:t xml:space="preserve">Change to listing </w:t>
            </w:r>
          </w:p>
          <w:p w:rsidR="00F37EB5" w:rsidRPr="006E5101" w:rsidRDefault="00F37EB5" w:rsidP="002E5A8E">
            <w:pPr>
              <w:rPr>
                <w:rFonts w:ascii="Arial" w:hAnsi="Arial" w:cs="Arial"/>
              </w:rPr>
            </w:pPr>
          </w:p>
          <w:p w:rsidR="00F37EB5" w:rsidRPr="002E5A8E" w:rsidRDefault="00F37EB5" w:rsidP="002E5A8E">
            <w:pPr>
              <w:rPr>
                <w:rFonts w:ascii="Arial" w:hAnsi="Arial" w:cs="Arial"/>
                <w:lang w:val="it-IT"/>
              </w:rPr>
            </w:pPr>
            <w:r w:rsidRPr="006E5101">
              <w:rPr>
                <w:rFonts w:ascii="Arial" w:hAnsi="Arial" w:cs="Arial"/>
              </w:rPr>
              <w:t xml:space="preserve">(Minor Submission) </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6E5101">
            <w:pPr>
              <w:rPr>
                <w:rFonts w:ascii="Arial" w:hAnsi="Arial" w:cs="Arial"/>
              </w:rPr>
            </w:pPr>
            <w:r w:rsidRPr="006E5101">
              <w:rPr>
                <w:rFonts w:ascii="Arial" w:hAnsi="Arial" w:cs="Arial"/>
              </w:rPr>
              <w:t>Medicinal food</w:t>
            </w:r>
          </w:p>
        </w:tc>
        <w:tc>
          <w:tcPr>
            <w:tcW w:w="2872" w:type="dxa"/>
            <w:tcBorders>
              <w:top w:val="single" w:sz="4" w:space="0" w:color="auto"/>
              <w:left w:val="single" w:sz="4" w:space="0" w:color="auto"/>
              <w:bottom w:val="single" w:sz="4" w:space="0" w:color="auto"/>
              <w:right w:val="single" w:sz="4" w:space="0" w:color="auto"/>
            </w:tcBorders>
            <w:tcMar>
              <w:top w:w="28" w:type="dxa"/>
              <w:bottom w:w="28" w:type="dxa"/>
            </w:tcMar>
          </w:tcPr>
          <w:p w:rsidR="00F37EB5" w:rsidRPr="00925FB4" w:rsidRDefault="00F37EB5" w:rsidP="00263F7F">
            <w:pPr>
              <w:rPr>
                <w:rFonts w:ascii="Arial" w:hAnsi="Arial" w:cs="Arial"/>
              </w:rPr>
            </w:pPr>
            <w:r w:rsidRPr="006E5101">
              <w:rPr>
                <w:rFonts w:ascii="Arial" w:hAnsi="Arial" w:cs="Arial"/>
              </w:rPr>
              <w:t>Amendment to the current PBS restriction 'NOTE' to allow an increase in the maximum quantity.</w:t>
            </w:r>
          </w:p>
        </w:tc>
        <w:tc>
          <w:tcPr>
            <w:tcW w:w="7192" w:type="dxa"/>
            <w:tcBorders>
              <w:top w:val="single" w:sz="4" w:space="0" w:color="auto"/>
              <w:left w:val="single" w:sz="4" w:space="0" w:color="auto"/>
              <w:bottom w:val="single" w:sz="4" w:space="0" w:color="auto"/>
              <w:right w:val="single" w:sz="4" w:space="0" w:color="auto"/>
            </w:tcBorders>
          </w:tcPr>
          <w:p w:rsidR="00F37EB5" w:rsidRPr="00925FB4" w:rsidRDefault="00F37EB5" w:rsidP="00925FB4">
            <w:pPr>
              <w:pStyle w:val="ListParagraph"/>
              <w:ind w:left="0"/>
              <w:rPr>
                <w:rFonts w:ascii="Arial" w:hAnsi="Arial" w:cs="Arial"/>
                <w:sz w:val="20"/>
                <w:szCs w:val="20"/>
              </w:rPr>
            </w:pPr>
            <w:r w:rsidRPr="00925FB4">
              <w:rPr>
                <w:rFonts w:ascii="Arial" w:hAnsi="Arial" w:cs="Arial"/>
                <w:sz w:val="20"/>
                <w:szCs w:val="20"/>
              </w:rPr>
              <w:t xml:space="preserve">The PBAC noted advice from the Nutritional Products Working Party and recommended to amend the current administrative advice note, allowing an increased supply of </w:t>
            </w:r>
            <w:proofErr w:type="spellStart"/>
            <w:r w:rsidRPr="00925FB4">
              <w:rPr>
                <w:rFonts w:ascii="Arial" w:hAnsi="Arial" w:cs="Arial"/>
                <w:sz w:val="20"/>
                <w:szCs w:val="20"/>
              </w:rPr>
              <w:t>Peptamen</w:t>
            </w:r>
            <w:proofErr w:type="spellEnd"/>
            <w:r w:rsidRPr="00925FB4">
              <w:rPr>
                <w:rFonts w:ascii="Arial" w:hAnsi="Arial" w:cs="Arial"/>
                <w:sz w:val="20"/>
                <w:szCs w:val="20"/>
              </w:rPr>
              <w:t>® Junior from the listed maximum quantity of 8</w:t>
            </w:r>
            <w:r>
              <w:rPr>
                <w:rFonts w:ascii="Arial" w:hAnsi="Arial" w:cs="Arial"/>
                <w:sz w:val="20"/>
                <w:szCs w:val="20"/>
              </w:rPr>
              <w:t> </w:t>
            </w:r>
            <w:r w:rsidRPr="00925FB4">
              <w:rPr>
                <w:rFonts w:ascii="Arial" w:hAnsi="Arial" w:cs="Arial"/>
                <w:sz w:val="20"/>
                <w:szCs w:val="20"/>
              </w:rPr>
              <w:t>cans up to a maximum of 20 cans to allow a one month supply for an infant or child at an appropriate dose to meet the total nutritional requirements for their respective age range.</w:t>
            </w:r>
          </w:p>
        </w:tc>
      </w:tr>
    </w:tbl>
    <w:p w:rsidR="00E066EF" w:rsidRPr="009147E0" w:rsidRDefault="00E066EF" w:rsidP="00450BC1">
      <w:pPr>
        <w:tabs>
          <w:tab w:val="left" w:pos="5210"/>
        </w:tabs>
        <w:rPr>
          <w:rFonts w:ascii="Arial" w:hAnsi="Arial" w:cs="Arial"/>
          <w:lang w:val="en-US"/>
        </w:rPr>
      </w:pPr>
    </w:p>
    <w:sectPr w:rsidR="00E066EF" w:rsidRPr="009147E0" w:rsidSect="00CB2D1B">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97E" w:rsidRDefault="000E197E">
      <w:r>
        <w:separator/>
      </w:r>
    </w:p>
  </w:endnote>
  <w:endnote w:type="continuationSeparator" w:id="0">
    <w:p w:rsidR="000E197E" w:rsidRDefault="000E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Default="00C21AE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1AE1" w:rsidRDefault="00C21AE1"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Pr="00CE0CBC" w:rsidRDefault="00C21AE1"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D42E45">
      <w:rPr>
        <w:rStyle w:val="PageNumber"/>
        <w:rFonts w:ascii="Arial" w:hAnsi="Arial" w:cs="Arial"/>
        <w:noProof/>
      </w:rPr>
      <w:t>23</w:t>
    </w:r>
    <w:r w:rsidRPr="00CE0CBC">
      <w:rPr>
        <w:rStyle w:val="PageNumber"/>
        <w:rFonts w:ascii="Arial" w:hAnsi="Arial" w:cs="Arial"/>
      </w:rPr>
      <w:fldChar w:fldCharType="end"/>
    </w:r>
  </w:p>
  <w:p w:rsidR="00C21AE1" w:rsidRDefault="00C21AE1"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C24" w:rsidRDefault="00B10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97E" w:rsidRDefault="000E197E">
      <w:r>
        <w:separator/>
      </w:r>
    </w:p>
  </w:footnote>
  <w:footnote w:type="continuationSeparator" w:id="0">
    <w:p w:rsidR="000E197E" w:rsidRDefault="000E1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C24" w:rsidRDefault="00B10C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Default="00B347CA" w:rsidP="007D408D">
    <w:pPr>
      <w:pStyle w:val="Header"/>
      <w:jc w:val="center"/>
      <w:rPr>
        <w:rFonts w:ascii="Arial" w:hAnsi="Arial" w:cs="Arial"/>
        <w:b/>
        <w:snapToGrid w:val="0"/>
        <w:lang w:eastAsia="en-US"/>
      </w:rPr>
    </w:pPr>
    <w:r>
      <w:rPr>
        <w:rFonts w:ascii="Arial" w:hAnsi="Arial" w:cs="Arial"/>
        <w:b/>
        <w:snapToGrid w:val="0"/>
        <w:lang w:eastAsia="en-US"/>
      </w:rPr>
      <w:t>JULY</w:t>
    </w:r>
    <w:r w:rsidR="006101D8">
      <w:rPr>
        <w:rFonts w:ascii="Arial" w:hAnsi="Arial" w:cs="Arial"/>
        <w:b/>
        <w:snapToGrid w:val="0"/>
        <w:lang w:eastAsia="en-US"/>
      </w:rPr>
      <w:t xml:space="preserve"> </w:t>
    </w:r>
    <w:r>
      <w:rPr>
        <w:rFonts w:ascii="Arial" w:hAnsi="Arial" w:cs="Arial"/>
        <w:b/>
        <w:snapToGrid w:val="0"/>
        <w:lang w:eastAsia="en-US"/>
      </w:rPr>
      <w:t>2015</w:t>
    </w:r>
    <w:r w:rsidR="00C21AE1">
      <w:rPr>
        <w:rFonts w:ascii="Arial" w:hAnsi="Arial" w:cs="Arial"/>
        <w:b/>
        <w:snapToGrid w:val="0"/>
        <w:lang w:eastAsia="en-US"/>
      </w:rPr>
      <w:t xml:space="preserve"> PBAC MEETING </w:t>
    </w:r>
    <w:r w:rsidR="00FE54F6">
      <w:rPr>
        <w:rFonts w:ascii="Arial" w:hAnsi="Arial" w:cs="Arial"/>
        <w:b/>
        <w:snapToGrid w:val="0"/>
        <w:lang w:eastAsia="en-US"/>
      </w:rPr>
      <w:t>– POSITIVE RECOMMENDATIONS</w:t>
    </w:r>
  </w:p>
  <w:p w:rsidR="00C21AE1" w:rsidRDefault="00C21AE1" w:rsidP="007D408D">
    <w:pPr>
      <w:pStyle w:val="Header"/>
      <w:jc w:val="center"/>
      <w:rPr>
        <w:rFonts w:ascii="Arial" w:hAnsi="Arial" w:cs="Arial"/>
        <w:b/>
        <w:snapToGrid w:val="0"/>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C24" w:rsidRDefault="00B10C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8A00CCF"/>
    <w:multiLevelType w:val="hybridMultilevel"/>
    <w:tmpl w:val="19B0D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1">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89A6837"/>
    <w:multiLevelType w:val="hybridMultilevel"/>
    <w:tmpl w:val="9852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34B670C0"/>
    <w:multiLevelType w:val="hybridMultilevel"/>
    <w:tmpl w:val="A2204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6923557"/>
    <w:multiLevelType w:val="hybridMultilevel"/>
    <w:tmpl w:val="07C6B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4E72E35"/>
    <w:multiLevelType w:val="hybridMultilevel"/>
    <w:tmpl w:val="96CA5850"/>
    <w:lvl w:ilvl="0" w:tplc="B30C4C7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5705406"/>
    <w:multiLevelType w:val="hybridMultilevel"/>
    <w:tmpl w:val="48C03CD2"/>
    <w:lvl w:ilvl="0" w:tplc="BE206CEE">
      <w:start w:val="1"/>
      <w:numFmt w:val="upperLetter"/>
      <w:lvlText w:val="%1."/>
      <w:lvlJc w:val="left"/>
      <w:pPr>
        <w:ind w:left="720" w:hanging="360"/>
      </w:pPr>
      <w:rPr>
        <w:rFonts w:ascii="Arial" w:hAnsi="Aria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37">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34"/>
  </w:num>
  <w:num w:numId="3">
    <w:abstractNumId w:val="33"/>
  </w:num>
  <w:num w:numId="4">
    <w:abstractNumId w:val="23"/>
  </w:num>
  <w:num w:numId="5">
    <w:abstractNumId w:val="17"/>
  </w:num>
  <w:num w:numId="6">
    <w:abstractNumId w:val="7"/>
  </w:num>
  <w:num w:numId="7">
    <w:abstractNumId w:val="35"/>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38"/>
  </w:num>
  <w:num w:numId="12">
    <w:abstractNumId w:val="37"/>
  </w:num>
  <w:num w:numId="13">
    <w:abstractNumId w:val="8"/>
  </w:num>
  <w:num w:numId="14">
    <w:abstractNumId w:val="25"/>
  </w:num>
  <w:num w:numId="15">
    <w:abstractNumId w:val="11"/>
  </w:num>
  <w:num w:numId="16">
    <w:abstractNumId w:val="27"/>
  </w:num>
  <w:num w:numId="17">
    <w:abstractNumId w:val="2"/>
  </w:num>
  <w:num w:numId="18">
    <w:abstractNumId w:val="3"/>
  </w:num>
  <w:num w:numId="19">
    <w:abstractNumId w:val="12"/>
  </w:num>
  <w:num w:numId="20">
    <w:abstractNumId w:val="30"/>
  </w:num>
  <w:num w:numId="21">
    <w:abstractNumId w:val="24"/>
  </w:num>
  <w:num w:numId="22">
    <w:abstractNumId w:val="29"/>
  </w:num>
  <w:num w:numId="23">
    <w:abstractNumId w:val="1"/>
  </w:num>
  <w:num w:numId="24">
    <w:abstractNumId w:val="6"/>
  </w:num>
  <w:num w:numId="25">
    <w:abstractNumId w:val="26"/>
  </w:num>
  <w:num w:numId="26">
    <w:abstractNumId w:val="36"/>
  </w:num>
  <w:num w:numId="27">
    <w:abstractNumId w:val="15"/>
  </w:num>
  <w:num w:numId="28">
    <w:abstractNumId w:val="4"/>
  </w:num>
  <w:num w:numId="29">
    <w:abstractNumId w:val="10"/>
  </w:num>
  <w:num w:numId="30">
    <w:abstractNumId w:val="13"/>
  </w:num>
  <w:num w:numId="31">
    <w:abstractNumId w:val="22"/>
  </w:num>
  <w:num w:numId="32">
    <w:abstractNumId w:val="21"/>
  </w:num>
  <w:num w:numId="33">
    <w:abstractNumId w:val="28"/>
  </w:num>
  <w:num w:numId="34">
    <w:abstractNumId w:val="14"/>
  </w:num>
  <w:num w:numId="35">
    <w:abstractNumId w:val="31"/>
  </w:num>
  <w:num w:numId="36">
    <w:abstractNumId w:val="32"/>
  </w:num>
  <w:num w:numId="37">
    <w:abstractNumId w:val="18"/>
  </w:num>
  <w:num w:numId="38">
    <w:abstractNumId w:val="5"/>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12E2"/>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6F9B"/>
    <w:rsid w:val="0002716D"/>
    <w:rsid w:val="00027346"/>
    <w:rsid w:val="0003024D"/>
    <w:rsid w:val="00030320"/>
    <w:rsid w:val="00031946"/>
    <w:rsid w:val="000322EC"/>
    <w:rsid w:val="00032AB9"/>
    <w:rsid w:val="00033D0B"/>
    <w:rsid w:val="00034086"/>
    <w:rsid w:val="00034121"/>
    <w:rsid w:val="000350A9"/>
    <w:rsid w:val="00035472"/>
    <w:rsid w:val="0003621F"/>
    <w:rsid w:val="000365B0"/>
    <w:rsid w:val="00036CF7"/>
    <w:rsid w:val="00037699"/>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14CE"/>
    <w:rsid w:val="00071D67"/>
    <w:rsid w:val="00072584"/>
    <w:rsid w:val="00072F02"/>
    <w:rsid w:val="00074126"/>
    <w:rsid w:val="0007469D"/>
    <w:rsid w:val="00075136"/>
    <w:rsid w:val="0007567B"/>
    <w:rsid w:val="00075B7E"/>
    <w:rsid w:val="00076287"/>
    <w:rsid w:val="00076297"/>
    <w:rsid w:val="00077F45"/>
    <w:rsid w:val="00080510"/>
    <w:rsid w:val="00081153"/>
    <w:rsid w:val="000812EE"/>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1413"/>
    <w:rsid w:val="00092523"/>
    <w:rsid w:val="00093960"/>
    <w:rsid w:val="0009470A"/>
    <w:rsid w:val="00095C30"/>
    <w:rsid w:val="00096B9F"/>
    <w:rsid w:val="00096E39"/>
    <w:rsid w:val="000971C3"/>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0B19"/>
    <w:rsid w:val="000B1811"/>
    <w:rsid w:val="000B1A6E"/>
    <w:rsid w:val="000B21DD"/>
    <w:rsid w:val="000B2F97"/>
    <w:rsid w:val="000B3043"/>
    <w:rsid w:val="000B34FA"/>
    <w:rsid w:val="000B36FE"/>
    <w:rsid w:val="000B372D"/>
    <w:rsid w:val="000B38D3"/>
    <w:rsid w:val="000B5120"/>
    <w:rsid w:val="000B5B24"/>
    <w:rsid w:val="000B6487"/>
    <w:rsid w:val="000B7071"/>
    <w:rsid w:val="000B7A91"/>
    <w:rsid w:val="000B7F45"/>
    <w:rsid w:val="000C040A"/>
    <w:rsid w:val="000C0497"/>
    <w:rsid w:val="000C059E"/>
    <w:rsid w:val="000C0E21"/>
    <w:rsid w:val="000C1BA1"/>
    <w:rsid w:val="000C22B0"/>
    <w:rsid w:val="000C2786"/>
    <w:rsid w:val="000C3369"/>
    <w:rsid w:val="000C3CAA"/>
    <w:rsid w:val="000C45E3"/>
    <w:rsid w:val="000C56B4"/>
    <w:rsid w:val="000C5728"/>
    <w:rsid w:val="000C586F"/>
    <w:rsid w:val="000C5B48"/>
    <w:rsid w:val="000C661A"/>
    <w:rsid w:val="000C6D1E"/>
    <w:rsid w:val="000C77A9"/>
    <w:rsid w:val="000D0D8B"/>
    <w:rsid w:val="000D14F1"/>
    <w:rsid w:val="000D1C61"/>
    <w:rsid w:val="000D203D"/>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97E"/>
    <w:rsid w:val="000E1C3A"/>
    <w:rsid w:val="000E21D8"/>
    <w:rsid w:val="000E2C73"/>
    <w:rsid w:val="000E2C8F"/>
    <w:rsid w:val="000E2EA3"/>
    <w:rsid w:val="000E4B3E"/>
    <w:rsid w:val="000E539F"/>
    <w:rsid w:val="000E6CF9"/>
    <w:rsid w:val="000E73BD"/>
    <w:rsid w:val="000F069C"/>
    <w:rsid w:val="000F0B27"/>
    <w:rsid w:val="000F1D4F"/>
    <w:rsid w:val="000F2E82"/>
    <w:rsid w:val="000F3A4F"/>
    <w:rsid w:val="000F3D50"/>
    <w:rsid w:val="000F5D35"/>
    <w:rsid w:val="000F5DDE"/>
    <w:rsid w:val="001000EA"/>
    <w:rsid w:val="00100B0B"/>
    <w:rsid w:val="00101BF9"/>
    <w:rsid w:val="001025E7"/>
    <w:rsid w:val="0010275F"/>
    <w:rsid w:val="0010316E"/>
    <w:rsid w:val="001038BB"/>
    <w:rsid w:val="00103F76"/>
    <w:rsid w:val="00105880"/>
    <w:rsid w:val="00107038"/>
    <w:rsid w:val="00107219"/>
    <w:rsid w:val="001101E1"/>
    <w:rsid w:val="00110379"/>
    <w:rsid w:val="001103CF"/>
    <w:rsid w:val="00111F4C"/>
    <w:rsid w:val="0011290B"/>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5D35"/>
    <w:rsid w:val="00176067"/>
    <w:rsid w:val="00176645"/>
    <w:rsid w:val="001766A8"/>
    <w:rsid w:val="0017687A"/>
    <w:rsid w:val="00176927"/>
    <w:rsid w:val="001772D4"/>
    <w:rsid w:val="0017743E"/>
    <w:rsid w:val="00177845"/>
    <w:rsid w:val="00180596"/>
    <w:rsid w:val="001806A2"/>
    <w:rsid w:val="001810C8"/>
    <w:rsid w:val="001812AE"/>
    <w:rsid w:val="001815CB"/>
    <w:rsid w:val="00182E45"/>
    <w:rsid w:val="00183DEE"/>
    <w:rsid w:val="00184373"/>
    <w:rsid w:val="00184E8A"/>
    <w:rsid w:val="0018519A"/>
    <w:rsid w:val="00186727"/>
    <w:rsid w:val="00190492"/>
    <w:rsid w:val="00190B9C"/>
    <w:rsid w:val="00190D52"/>
    <w:rsid w:val="0019138B"/>
    <w:rsid w:val="001919D3"/>
    <w:rsid w:val="001925E9"/>
    <w:rsid w:val="00192900"/>
    <w:rsid w:val="001935DE"/>
    <w:rsid w:val="00193C35"/>
    <w:rsid w:val="0019441C"/>
    <w:rsid w:val="001950D9"/>
    <w:rsid w:val="00195379"/>
    <w:rsid w:val="0019538E"/>
    <w:rsid w:val="00196144"/>
    <w:rsid w:val="001971B1"/>
    <w:rsid w:val="001971E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49D"/>
    <w:rsid w:val="001B04E4"/>
    <w:rsid w:val="001B0553"/>
    <w:rsid w:val="001B1469"/>
    <w:rsid w:val="001B1577"/>
    <w:rsid w:val="001B16C3"/>
    <w:rsid w:val="001B1838"/>
    <w:rsid w:val="001B1C67"/>
    <w:rsid w:val="001B2234"/>
    <w:rsid w:val="001B3984"/>
    <w:rsid w:val="001B3FE9"/>
    <w:rsid w:val="001B4293"/>
    <w:rsid w:val="001B46AE"/>
    <w:rsid w:val="001B54F0"/>
    <w:rsid w:val="001B5950"/>
    <w:rsid w:val="001B6AAD"/>
    <w:rsid w:val="001B71B5"/>
    <w:rsid w:val="001B78E2"/>
    <w:rsid w:val="001B7BF2"/>
    <w:rsid w:val="001B7EC9"/>
    <w:rsid w:val="001B7EED"/>
    <w:rsid w:val="001C0289"/>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5E8"/>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776D"/>
    <w:rsid w:val="001E77D9"/>
    <w:rsid w:val="001F0D67"/>
    <w:rsid w:val="001F0F1E"/>
    <w:rsid w:val="001F1A00"/>
    <w:rsid w:val="001F1B8A"/>
    <w:rsid w:val="001F1C94"/>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6B2E"/>
    <w:rsid w:val="002070E4"/>
    <w:rsid w:val="0020721C"/>
    <w:rsid w:val="002072C3"/>
    <w:rsid w:val="0020790A"/>
    <w:rsid w:val="00207E1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592"/>
    <w:rsid w:val="00231F8F"/>
    <w:rsid w:val="002338AD"/>
    <w:rsid w:val="002348AB"/>
    <w:rsid w:val="00234FCD"/>
    <w:rsid w:val="00234FD9"/>
    <w:rsid w:val="002356F5"/>
    <w:rsid w:val="0023617F"/>
    <w:rsid w:val="00236374"/>
    <w:rsid w:val="00237E07"/>
    <w:rsid w:val="00237F8D"/>
    <w:rsid w:val="002400A1"/>
    <w:rsid w:val="00240222"/>
    <w:rsid w:val="002413C0"/>
    <w:rsid w:val="00241B09"/>
    <w:rsid w:val="0024218B"/>
    <w:rsid w:val="002425FE"/>
    <w:rsid w:val="00242CD9"/>
    <w:rsid w:val="0024349D"/>
    <w:rsid w:val="00243967"/>
    <w:rsid w:val="002444C2"/>
    <w:rsid w:val="00244BE9"/>
    <w:rsid w:val="0024530D"/>
    <w:rsid w:val="0024556A"/>
    <w:rsid w:val="00245A74"/>
    <w:rsid w:val="00246A8F"/>
    <w:rsid w:val="00247154"/>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575FC"/>
    <w:rsid w:val="00260361"/>
    <w:rsid w:val="0026049B"/>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367"/>
    <w:rsid w:val="0026773E"/>
    <w:rsid w:val="00270693"/>
    <w:rsid w:val="002723FD"/>
    <w:rsid w:val="0027256C"/>
    <w:rsid w:val="00272E01"/>
    <w:rsid w:val="00273015"/>
    <w:rsid w:val="002731A4"/>
    <w:rsid w:val="00274536"/>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37E8"/>
    <w:rsid w:val="00285478"/>
    <w:rsid w:val="0028663C"/>
    <w:rsid w:val="002876D1"/>
    <w:rsid w:val="002905B5"/>
    <w:rsid w:val="002906EE"/>
    <w:rsid w:val="002919F3"/>
    <w:rsid w:val="00293203"/>
    <w:rsid w:val="0029329A"/>
    <w:rsid w:val="00293A15"/>
    <w:rsid w:val="00295693"/>
    <w:rsid w:val="002969C0"/>
    <w:rsid w:val="002972D4"/>
    <w:rsid w:val="00297AEF"/>
    <w:rsid w:val="00297F02"/>
    <w:rsid w:val="002A0126"/>
    <w:rsid w:val="002A06E1"/>
    <w:rsid w:val="002A21E8"/>
    <w:rsid w:val="002A2A7B"/>
    <w:rsid w:val="002A3220"/>
    <w:rsid w:val="002A3596"/>
    <w:rsid w:val="002A3AA9"/>
    <w:rsid w:val="002A5AA2"/>
    <w:rsid w:val="002A5C85"/>
    <w:rsid w:val="002A5C87"/>
    <w:rsid w:val="002A5D50"/>
    <w:rsid w:val="002A5DE5"/>
    <w:rsid w:val="002A62BA"/>
    <w:rsid w:val="002A7542"/>
    <w:rsid w:val="002A7BE8"/>
    <w:rsid w:val="002B09C6"/>
    <w:rsid w:val="002B0F52"/>
    <w:rsid w:val="002B1071"/>
    <w:rsid w:val="002B129B"/>
    <w:rsid w:val="002B29E2"/>
    <w:rsid w:val="002B3708"/>
    <w:rsid w:val="002B5625"/>
    <w:rsid w:val="002B5707"/>
    <w:rsid w:val="002B5F9C"/>
    <w:rsid w:val="002B6147"/>
    <w:rsid w:val="002B7C88"/>
    <w:rsid w:val="002B7ECB"/>
    <w:rsid w:val="002C0062"/>
    <w:rsid w:val="002C0170"/>
    <w:rsid w:val="002C0E18"/>
    <w:rsid w:val="002C1CC9"/>
    <w:rsid w:val="002C2427"/>
    <w:rsid w:val="002C2773"/>
    <w:rsid w:val="002C2A4F"/>
    <w:rsid w:val="002C3502"/>
    <w:rsid w:val="002C397B"/>
    <w:rsid w:val="002C3B93"/>
    <w:rsid w:val="002C3BA0"/>
    <w:rsid w:val="002C436C"/>
    <w:rsid w:val="002C47C4"/>
    <w:rsid w:val="002C6492"/>
    <w:rsid w:val="002C6E41"/>
    <w:rsid w:val="002C748E"/>
    <w:rsid w:val="002D0DDF"/>
    <w:rsid w:val="002D17A5"/>
    <w:rsid w:val="002D1AC7"/>
    <w:rsid w:val="002D2C7A"/>
    <w:rsid w:val="002D347E"/>
    <w:rsid w:val="002D35CB"/>
    <w:rsid w:val="002D3D17"/>
    <w:rsid w:val="002D42A0"/>
    <w:rsid w:val="002D440D"/>
    <w:rsid w:val="002D4C8C"/>
    <w:rsid w:val="002D545A"/>
    <w:rsid w:val="002D59E5"/>
    <w:rsid w:val="002D5C23"/>
    <w:rsid w:val="002D5CBC"/>
    <w:rsid w:val="002D5DC3"/>
    <w:rsid w:val="002D6B4D"/>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A8E"/>
    <w:rsid w:val="002E5E0E"/>
    <w:rsid w:val="002E5E2F"/>
    <w:rsid w:val="002E5F1C"/>
    <w:rsid w:val="002E5F3E"/>
    <w:rsid w:val="002E736D"/>
    <w:rsid w:val="002F0875"/>
    <w:rsid w:val="002F0884"/>
    <w:rsid w:val="002F1A5B"/>
    <w:rsid w:val="002F1B87"/>
    <w:rsid w:val="002F1CF8"/>
    <w:rsid w:val="002F1DBC"/>
    <w:rsid w:val="002F1FB6"/>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992"/>
    <w:rsid w:val="00311387"/>
    <w:rsid w:val="00311EEA"/>
    <w:rsid w:val="0031351E"/>
    <w:rsid w:val="00313537"/>
    <w:rsid w:val="003135CD"/>
    <w:rsid w:val="00313625"/>
    <w:rsid w:val="00313C59"/>
    <w:rsid w:val="00314373"/>
    <w:rsid w:val="00314425"/>
    <w:rsid w:val="003146EE"/>
    <w:rsid w:val="003153EA"/>
    <w:rsid w:val="00316745"/>
    <w:rsid w:val="00320015"/>
    <w:rsid w:val="00320263"/>
    <w:rsid w:val="0032080E"/>
    <w:rsid w:val="003209C7"/>
    <w:rsid w:val="00320AB2"/>
    <w:rsid w:val="003225D5"/>
    <w:rsid w:val="0032271E"/>
    <w:rsid w:val="003229A0"/>
    <w:rsid w:val="0032378E"/>
    <w:rsid w:val="00323C12"/>
    <w:rsid w:val="00323D04"/>
    <w:rsid w:val="003243CB"/>
    <w:rsid w:val="003245FB"/>
    <w:rsid w:val="003250E2"/>
    <w:rsid w:val="0032569E"/>
    <w:rsid w:val="00326522"/>
    <w:rsid w:val="00326943"/>
    <w:rsid w:val="003270BF"/>
    <w:rsid w:val="0032756C"/>
    <w:rsid w:val="00327A0C"/>
    <w:rsid w:val="003301A3"/>
    <w:rsid w:val="0033063D"/>
    <w:rsid w:val="00332129"/>
    <w:rsid w:val="0033322F"/>
    <w:rsid w:val="00334912"/>
    <w:rsid w:val="00336FF2"/>
    <w:rsid w:val="003376B5"/>
    <w:rsid w:val="003376DF"/>
    <w:rsid w:val="003402DF"/>
    <w:rsid w:val="00340AC2"/>
    <w:rsid w:val="00340D16"/>
    <w:rsid w:val="00340EB5"/>
    <w:rsid w:val="00340EFB"/>
    <w:rsid w:val="00341361"/>
    <w:rsid w:val="003435A3"/>
    <w:rsid w:val="00343D26"/>
    <w:rsid w:val="00343D77"/>
    <w:rsid w:val="0034440A"/>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37D"/>
    <w:rsid w:val="00353798"/>
    <w:rsid w:val="003541D1"/>
    <w:rsid w:val="003548D7"/>
    <w:rsid w:val="003548F0"/>
    <w:rsid w:val="003549D1"/>
    <w:rsid w:val="00354D94"/>
    <w:rsid w:val="003550C7"/>
    <w:rsid w:val="003566E9"/>
    <w:rsid w:val="00356844"/>
    <w:rsid w:val="00357214"/>
    <w:rsid w:val="0035791D"/>
    <w:rsid w:val="00357DB9"/>
    <w:rsid w:val="00357FA8"/>
    <w:rsid w:val="00360CBD"/>
    <w:rsid w:val="00361072"/>
    <w:rsid w:val="003610D5"/>
    <w:rsid w:val="00362461"/>
    <w:rsid w:val="003628AA"/>
    <w:rsid w:val="00362D37"/>
    <w:rsid w:val="00363DA3"/>
    <w:rsid w:val="00364D63"/>
    <w:rsid w:val="00365105"/>
    <w:rsid w:val="0036579C"/>
    <w:rsid w:val="003657E7"/>
    <w:rsid w:val="00365E78"/>
    <w:rsid w:val="00366857"/>
    <w:rsid w:val="00370449"/>
    <w:rsid w:val="00370CFC"/>
    <w:rsid w:val="00370EE0"/>
    <w:rsid w:val="003713B0"/>
    <w:rsid w:val="00371B3D"/>
    <w:rsid w:val="00371EC9"/>
    <w:rsid w:val="00372F44"/>
    <w:rsid w:val="00374783"/>
    <w:rsid w:val="003750B5"/>
    <w:rsid w:val="00375135"/>
    <w:rsid w:val="00377224"/>
    <w:rsid w:val="003777B8"/>
    <w:rsid w:val="00377BAD"/>
    <w:rsid w:val="0038081F"/>
    <w:rsid w:val="00381ACB"/>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0BC7"/>
    <w:rsid w:val="003A1CFF"/>
    <w:rsid w:val="003A24D9"/>
    <w:rsid w:val="003A2BB7"/>
    <w:rsid w:val="003A312D"/>
    <w:rsid w:val="003A4AB4"/>
    <w:rsid w:val="003A4C61"/>
    <w:rsid w:val="003A4D00"/>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22F"/>
    <w:rsid w:val="003B1AF6"/>
    <w:rsid w:val="003B1B75"/>
    <w:rsid w:val="003B253C"/>
    <w:rsid w:val="003B2FBC"/>
    <w:rsid w:val="003B32CC"/>
    <w:rsid w:val="003B35CB"/>
    <w:rsid w:val="003B4DA2"/>
    <w:rsid w:val="003B4DDF"/>
    <w:rsid w:val="003B545C"/>
    <w:rsid w:val="003B57B7"/>
    <w:rsid w:val="003B5E19"/>
    <w:rsid w:val="003B64D8"/>
    <w:rsid w:val="003B78AC"/>
    <w:rsid w:val="003C08BD"/>
    <w:rsid w:val="003C1A62"/>
    <w:rsid w:val="003C1B40"/>
    <w:rsid w:val="003C2F43"/>
    <w:rsid w:val="003C318F"/>
    <w:rsid w:val="003C32FC"/>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E03C3"/>
    <w:rsid w:val="003E067B"/>
    <w:rsid w:val="003E11A4"/>
    <w:rsid w:val="003E1AD1"/>
    <w:rsid w:val="003E236D"/>
    <w:rsid w:val="003E2E8C"/>
    <w:rsid w:val="003E3009"/>
    <w:rsid w:val="003E308A"/>
    <w:rsid w:val="003E367A"/>
    <w:rsid w:val="003E37A4"/>
    <w:rsid w:val="003E4136"/>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28A"/>
    <w:rsid w:val="003F53B6"/>
    <w:rsid w:val="003F53D1"/>
    <w:rsid w:val="003F6169"/>
    <w:rsid w:val="003F6645"/>
    <w:rsid w:val="003F66A8"/>
    <w:rsid w:val="003F6947"/>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07ED3"/>
    <w:rsid w:val="00410B00"/>
    <w:rsid w:val="00410B24"/>
    <w:rsid w:val="00410E12"/>
    <w:rsid w:val="00410E3B"/>
    <w:rsid w:val="004115C8"/>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73BF"/>
    <w:rsid w:val="004311FF"/>
    <w:rsid w:val="004314B6"/>
    <w:rsid w:val="00432447"/>
    <w:rsid w:val="00432D97"/>
    <w:rsid w:val="00432F21"/>
    <w:rsid w:val="00435431"/>
    <w:rsid w:val="0043544F"/>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FA"/>
    <w:rsid w:val="004462BD"/>
    <w:rsid w:val="004462FA"/>
    <w:rsid w:val="00446828"/>
    <w:rsid w:val="0044692E"/>
    <w:rsid w:val="0044732A"/>
    <w:rsid w:val="00450BC1"/>
    <w:rsid w:val="00451103"/>
    <w:rsid w:val="00451F2C"/>
    <w:rsid w:val="0045203F"/>
    <w:rsid w:val="004520DB"/>
    <w:rsid w:val="00452550"/>
    <w:rsid w:val="004525A5"/>
    <w:rsid w:val="00453228"/>
    <w:rsid w:val="00453DB2"/>
    <w:rsid w:val="00453F45"/>
    <w:rsid w:val="00454D4D"/>
    <w:rsid w:val="00454DFB"/>
    <w:rsid w:val="00454F1D"/>
    <w:rsid w:val="00455817"/>
    <w:rsid w:val="00455AE4"/>
    <w:rsid w:val="00457034"/>
    <w:rsid w:val="00457BAA"/>
    <w:rsid w:val="00460981"/>
    <w:rsid w:val="004609DE"/>
    <w:rsid w:val="004617B4"/>
    <w:rsid w:val="00461DC0"/>
    <w:rsid w:val="00462668"/>
    <w:rsid w:val="004628F0"/>
    <w:rsid w:val="00462D54"/>
    <w:rsid w:val="00462D63"/>
    <w:rsid w:val="00462E56"/>
    <w:rsid w:val="00463886"/>
    <w:rsid w:val="004643B9"/>
    <w:rsid w:val="00464F36"/>
    <w:rsid w:val="0046568B"/>
    <w:rsid w:val="00466121"/>
    <w:rsid w:val="00466912"/>
    <w:rsid w:val="00466A77"/>
    <w:rsid w:val="00467686"/>
    <w:rsid w:val="00467792"/>
    <w:rsid w:val="004679AB"/>
    <w:rsid w:val="00471665"/>
    <w:rsid w:val="0047195F"/>
    <w:rsid w:val="00471A9E"/>
    <w:rsid w:val="00471B86"/>
    <w:rsid w:val="00472227"/>
    <w:rsid w:val="00472E9C"/>
    <w:rsid w:val="004732E6"/>
    <w:rsid w:val="00474927"/>
    <w:rsid w:val="00474FBE"/>
    <w:rsid w:val="0047540F"/>
    <w:rsid w:val="00475612"/>
    <w:rsid w:val="004772FF"/>
    <w:rsid w:val="00477DE8"/>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BEB"/>
    <w:rsid w:val="00486EEE"/>
    <w:rsid w:val="0048735B"/>
    <w:rsid w:val="004875E6"/>
    <w:rsid w:val="00487AD4"/>
    <w:rsid w:val="00490275"/>
    <w:rsid w:val="00490628"/>
    <w:rsid w:val="0049071D"/>
    <w:rsid w:val="004908CE"/>
    <w:rsid w:val="0049103F"/>
    <w:rsid w:val="00491532"/>
    <w:rsid w:val="0049239D"/>
    <w:rsid w:val="004925C9"/>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DA"/>
    <w:rsid w:val="004A2509"/>
    <w:rsid w:val="004A294E"/>
    <w:rsid w:val="004A3391"/>
    <w:rsid w:val="004A3C39"/>
    <w:rsid w:val="004A3FAE"/>
    <w:rsid w:val="004A4225"/>
    <w:rsid w:val="004A4291"/>
    <w:rsid w:val="004A4D02"/>
    <w:rsid w:val="004A4F2D"/>
    <w:rsid w:val="004A5AFA"/>
    <w:rsid w:val="004A723C"/>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F45"/>
    <w:rsid w:val="004E64DC"/>
    <w:rsid w:val="004E6F86"/>
    <w:rsid w:val="004E706A"/>
    <w:rsid w:val="004F0671"/>
    <w:rsid w:val="004F0C01"/>
    <w:rsid w:val="004F126D"/>
    <w:rsid w:val="004F15F3"/>
    <w:rsid w:val="004F24B5"/>
    <w:rsid w:val="004F2B02"/>
    <w:rsid w:val="004F2D1B"/>
    <w:rsid w:val="004F2E11"/>
    <w:rsid w:val="004F31BD"/>
    <w:rsid w:val="004F3B34"/>
    <w:rsid w:val="004F3E23"/>
    <w:rsid w:val="004F4767"/>
    <w:rsid w:val="004F498A"/>
    <w:rsid w:val="004F4C20"/>
    <w:rsid w:val="004F51B2"/>
    <w:rsid w:val="004F59C4"/>
    <w:rsid w:val="004F5D65"/>
    <w:rsid w:val="004F70F8"/>
    <w:rsid w:val="004F7230"/>
    <w:rsid w:val="004F77EE"/>
    <w:rsid w:val="004F7D7B"/>
    <w:rsid w:val="00501659"/>
    <w:rsid w:val="00501733"/>
    <w:rsid w:val="00501B75"/>
    <w:rsid w:val="00501C39"/>
    <w:rsid w:val="00502203"/>
    <w:rsid w:val="005027B8"/>
    <w:rsid w:val="00503D5D"/>
    <w:rsid w:val="00503F42"/>
    <w:rsid w:val="005054FD"/>
    <w:rsid w:val="00505A66"/>
    <w:rsid w:val="00506576"/>
    <w:rsid w:val="00506710"/>
    <w:rsid w:val="00506E86"/>
    <w:rsid w:val="0050702C"/>
    <w:rsid w:val="0050723E"/>
    <w:rsid w:val="00507403"/>
    <w:rsid w:val="00507430"/>
    <w:rsid w:val="00507CFF"/>
    <w:rsid w:val="005101E5"/>
    <w:rsid w:val="005110FB"/>
    <w:rsid w:val="00511D75"/>
    <w:rsid w:val="00512232"/>
    <w:rsid w:val="00513B7E"/>
    <w:rsid w:val="00514597"/>
    <w:rsid w:val="005150AB"/>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78F8"/>
    <w:rsid w:val="005300ED"/>
    <w:rsid w:val="005308A4"/>
    <w:rsid w:val="00531706"/>
    <w:rsid w:val="00532121"/>
    <w:rsid w:val="00532429"/>
    <w:rsid w:val="00532850"/>
    <w:rsid w:val="005328A9"/>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71A"/>
    <w:rsid w:val="005420CF"/>
    <w:rsid w:val="00542C2A"/>
    <w:rsid w:val="00543122"/>
    <w:rsid w:val="0054337D"/>
    <w:rsid w:val="005438E3"/>
    <w:rsid w:val="00543CAC"/>
    <w:rsid w:val="005440E4"/>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653D"/>
    <w:rsid w:val="00556A43"/>
    <w:rsid w:val="00560272"/>
    <w:rsid w:val="0056087F"/>
    <w:rsid w:val="0056121A"/>
    <w:rsid w:val="005614F5"/>
    <w:rsid w:val="00562195"/>
    <w:rsid w:val="00562575"/>
    <w:rsid w:val="0056261D"/>
    <w:rsid w:val="00562918"/>
    <w:rsid w:val="00563269"/>
    <w:rsid w:val="00564643"/>
    <w:rsid w:val="00564772"/>
    <w:rsid w:val="00566518"/>
    <w:rsid w:val="005669DA"/>
    <w:rsid w:val="00567613"/>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03E"/>
    <w:rsid w:val="005A118A"/>
    <w:rsid w:val="005A1897"/>
    <w:rsid w:val="005A3B97"/>
    <w:rsid w:val="005A41B4"/>
    <w:rsid w:val="005A44E3"/>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E5D"/>
    <w:rsid w:val="005C76FD"/>
    <w:rsid w:val="005C7A6D"/>
    <w:rsid w:val="005C7DC3"/>
    <w:rsid w:val="005D02D6"/>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F043C"/>
    <w:rsid w:val="005F0593"/>
    <w:rsid w:val="005F1BE8"/>
    <w:rsid w:val="005F1C1F"/>
    <w:rsid w:val="005F2ABB"/>
    <w:rsid w:val="005F3375"/>
    <w:rsid w:val="005F33BE"/>
    <w:rsid w:val="005F354A"/>
    <w:rsid w:val="005F5B5B"/>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C2D"/>
    <w:rsid w:val="006101D8"/>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558F"/>
    <w:rsid w:val="00625D3D"/>
    <w:rsid w:val="00625DB6"/>
    <w:rsid w:val="00626C7C"/>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206"/>
    <w:rsid w:val="006433D0"/>
    <w:rsid w:val="00643467"/>
    <w:rsid w:val="00643A31"/>
    <w:rsid w:val="00643AAE"/>
    <w:rsid w:val="00644A9F"/>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602CF"/>
    <w:rsid w:val="00660CE7"/>
    <w:rsid w:val="00660FB0"/>
    <w:rsid w:val="00661356"/>
    <w:rsid w:val="00662399"/>
    <w:rsid w:val="006628D0"/>
    <w:rsid w:val="00664B40"/>
    <w:rsid w:val="006652FD"/>
    <w:rsid w:val="00665679"/>
    <w:rsid w:val="0066568C"/>
    <w:rsid w:val="0066590A"/>
    <w:rsid w:val="00665DB7"/>
    <w:rsid w:val="00665E65"/>
    <w:rsid w:val="00666370"/>
    <w:rsid w:val="0066646F"/>
    <w:rsid w:val="00666775"/>
    <w:rsid w:val="00666A5B"/>
    <w:rsid w:val="0066758F"/>
    <w:rsid w:val="006707E3"/>
    <w:rsid w:val="00670EFB"/>
    <w:rsid w:val="00671380"/>
    <w:rsid w:val="006713F9"/>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1713"/>
    <w:rsid w:val="006936CD"/>
    <w:rsid w:val="0069391C"/>
    <w:rsid w:val="00693EA8"/>
    <w:rsid w:val="00693F03"/>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4B7"/>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4F21"/>
    <w:rsid w:val="006C5014"/>
    <w:rsid w:val="006C565B"/>
    <w:rsid w:val="006C5D35"/>
    <w:rsid w:val="006C75FA"/>
    <w:rsid w:val="006C7606"/>
    <w:rsid w:val="006C7FAC"/>
    <w:rsid w:val="006D0421"/>
    <w:rsid w:val="006D047B"/>
    <w:rsid w:val="006D11C3"/>
    <w:rsid w:val="006D1D18"/>
    <w:rsid w:val="006D2594"/>
    <w:rsid w:val="006D2BD4"/>
    <w:rsid w:val="006D407D"/>
    <w:rsid w:val="006D4750"/>
    <w:rsid w:val="006D477F"/>
    <w:rsid w:val="006D47BC"/>
    <w:rsid w:val="006D4ACA"/>
    <w:rsid w:val="006D5843"/>
    <w:rsid w:val="006D59EA"/>
    <w:rsid w:val="006D6871"/>
    <w:rsid w:val="006D6CA2"/>
    <w:rsid w:val="006D71D3"/>
    <w:rsid w:val="006E1FB4"/>
    <w:rsid w:val="006E24D7"/>
    <w:rsid w:val="006E3415"/>
    <w:rsid w:val="006E3962"/>
    <w:rsid w:val="006E464C"/>
    <w:rsid w:val="006E4970"/>
    <w:rsid w:val="006E4A6B"/>
    <w:rsid w:val="006E4CCB"/>
    <w:rsid w:val="006E4CCC"/>
    <w:rsid w:val="006E4EC5"/>
    <w:rsid w:val="006E5101"/>
    <w:rsid w:val="006E516B"/>
    <w:rsid w:val="006E64FC"/>
    <w:rsid w:val="006E6536"/>
    <w:rsid w:val="006E69AE"/>
    <w:rsid w:val="006E78A4"/>
    <w:rsid w:val="006E7A04"/>
    <w:rsid w:val="006F065D"/>
    <w:rsid w:val="006F0C10"/>
    <w:rsid w:val="006F29B4"/>
    <w:rsid w:val="006F5A8D"/>
    <w:rsid w:val="006F6DDA"/>
    <w:rsid w:val="006F7041"/>
    <w:rsid w:val="0070068B"/>
    <w:rsid w:val="00700990"/>
    <w:rsid w:val="00700CF4"/>
    <w:rsid w:val="007016BE"/>
    <w:rsid w:val="007025A3"/>
    <w:rsid w:val="007030B9"/>
    <w:rsid w:val="00703181"/>
    <w:rsid w:val="007037C1"/>
    <w:rsid w:val="007042E7"/>
    <w:rsid w:val="007044EC"/>
    <w:rsid w:val="00704571"/>
    <w:rsid w:val="007048F0"/>
    <w:rsid w:val="007048F1"/>
    <w:rsid w:val="00705362"/>
    <w:rsid w:val="0070604E"/>
    <w:rsid w:val="0070718C"/>
    <w:rsid w:val="00710751"/>
    <w:rsid w:val="00711526"/>
    <w:rsid w:val="0071165C"/>
    <w:rsid w:val="00711CAD"/>
    <w:rsid w:val="0071201B"/>
    <w:rsid w:val="0071330E"/>
    <w:rsid w:val="007147A8"/>
    <w:rsid w:val="007153F0"/>
    <w:rsid w:val="007154CF"/>
    <w:rsid w:val="007159A1"/>
    <w:rsid w:val="00716812"/>
    <w:rsid w:val="00716DC4"/>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5AF"/>
    <w:rsid w:val="007359A2"/>
    <w:rsid w:val="007360A9"/>
    <w:rsid w:val="0073699B"/>
    <w:rsid w:val="0073710F"/>
    <w:rsid w:val="00737362"/>
    <w:rsid w:val="00737753"/>
    <w:rsid w:val="007409AA"/>
    <w:rsid w:val="007411F4"/>
    <w:rsid w:val="007413BF"/>
    <w:rsid w:val="00741968"/>
    <w:rsid w:val="00741BDD"/>
    <w:rsid w:val="0074257E"/>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0F7B"/>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77719"/>
    <w:rsid w:val="0078016F"/>
    <w:rsid w:val="007805EC"/>
    <w:rsid w:val="007808A4"/>
    <w:rsid w:val="00780928"/>
    <w:rsid w:val="00780FA6"/>
    <w:rsid w:val="00781689"/>
    <w:rsid w:val="00781EF6"/>
    <w:rsid w:val="007822D6"/>
    <w:rsid w:val="00782394"/>
    <w:rsid w:val="00782848"/>
    <w:rsid w:val="007829B1"/>
    <w:rsid w:val="00783873"/>
    <w:rsid w:val="007847D1"/>
    <w:rsid w:val="00784924"/>
    <w:rsid w:val="00784A12"/>
    <w:rsid w:val="00785D82"/>
    <w:rsid w:val="0078647B"/>
    <w:rsid w:val="00786ED4"/>
    <w:rsid w:val="0078716F"/>
    <w:rsid w:val="007873C8"/>
    <w:rsid w:val="0078793D"/>
    <w:rsid w:val="00790F50"/>
    <w:rsid w:val="00791374"/>
    <w:rsid w:val="007914E1"/>
    <w:rsid w:val="00792B66"/>
    <w:rsid w:val="0079352C"/>
    <w:rsid w:val="00793B34"/>
    <w:rsid w:val="00793B84"/>
    <w:rsid w:val="00793D87"/>
    <w:rsid w:val="00794795"/>
    <w:rsid w:val="007949E6"/>
    <w:rsid w:val="00794CC2"/>
    <w:rsid w:val="00794D98"/>
    <w:rsid w:val="00794F29"/>
    <w:rsid w:val="00795A2A"/>
    <w:rsid w:val="007964B5"/>
    <w:rsid w:val="00796703"/>
    <w:rsid w:val="007972FB"/>
    <w:rsid w:val="007A02BC"/>
    <w:rsid w:val="007A099F"/>
    <w:rsid w:val="007A0ADA"/>
    <w:rsid w:val="007A0F0F"/>
    <w:rsid w:val="007A16EB"/>
    <w:rsid w:val="007A26C4"/>
    <w:rsid w:val="007A2742"/>
    <w:rsid w:val="007A2F96"/>
    <w:rsid w:val="007A33C4"/>
    <w:rsid w:val="007A49D9"/>
    <w:rsid w:val="007A5620"/>
    <w:rsid w:val="007A7750"/>
    <w:rsid w:val="007B01E7"/>
    <w:rsid w:val="007B0810"/>
    <w:rsid w:val="007B104F"/>
    <w:rsid w:val="007B1418"/>
    <w:rsid w:val="007B150E"/>
    <w:rsid w:val="007B1C29"/>
    <w:rsid w:val="007B2177"/>
    <w:rsid w:val="007B763F"/>
    <w:rsid w:val="007B7BB1"/>
    <w:rsid w:val="007C0B47"/>
    <w:rsid w:val="007C1229"/>
    <w:rsid w:val="007C17AB"/>
    <w:rsid w:val="007C1DFF"/>
    <w:rsid w:val="007C1E1D"/>
    <w:rsid w:val="007C2145"/>
    <w:rsid w:val="007C2349"/>
    <w:rsid w:val="007C377C"/>
    <w:rsid w:val="007C3815"/>
    <w:rsid w:val="007C3B7F"/>
    <w:rsid w:val="007C5B20"/>
    <w:rsid w:val="007C65FA"/>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D4"/>
    <w:rsid w:val="007E3514"/>
    <w:rsid w:val="007E3829"/>
    <w:rsid w:val="007E402B"/>
    <w:rsid w:val="007E495E"/>
    <w:rsid w:val="007E5FF3"/>
    <w:rsid w:val="007E624F"/>
    <w:rsid w:val="007E65FE"/>
    <w:rsid w:val="007E6782"/>
    <w:rsid w:val="007E6B64"/>
    <w:rsid w:val="007E6C79"/>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8AC"/>
    <w:rsid w:val="00807C1B"/>
    <w:rsid w:val="00810489"/>
    <w:rsid w:val="00810B18"/>
    <w:rsid w:val="00811026"/>
    <w:rsid w:val="00811B7A"/>
    <w:rsid w:val="00811D91"/>
    <w:rsid w:val="00811E77"/>
    <w:rsid w:val="00812638"/>
    <w:rsid w:val="00812720"/>
    <w:rsid w:val="00812AE2"/>
    <w:rsid w:val="00812CD4"/>
    <w:rsid w:val="00814892"/>
    <w:rsid w:val="00814D78"/>
    <w:rsid w:val="0081513B"/>
    <w:rsid w:val="00815167"/>
    <w:rsid w:val="008151B0"/>
    <w:rsid w:val="00816744"/>
    <w:rsid w:val="0081696D"/>
    <w:rsid w:val="00816B36"/>
    <w:rsid w:val="00817452"/>
    <w:rsid w:val="0081758D"/>
    <w:rsid w:val="00817C39"/>
    <w:rsid w:val="00817C8A"/>
    <w:rsid w:val="0082098B"/>
    <w:rsid w:val="00821E84"/>
    <w:rsid w:val="00822005"/>
    <w:rsid w:val="0082256B"/>
    <w:rsid w:val="008225BB"/>
    <w:rsid w:val="00822609"/>
    <w:rsid w:val="00822B0C"/>
    <w:rsid w:val="00822C45"/>
    <w:rsid w:val="00823810"/>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29DB"/>
    <w:rsid w:val="00842BA8"/>
    <w:rsid w:val="008430BE"/>
    <w:rsid w:val="0084324E"/>
    <w:rsid w:val="00844A48"/>
    <w:rsid w:val="00844B2A"/>
    <w:rsid w:val="00844ED2"/>
    <w:rsid w:val="0084562E"/>
    <w:rsid w:val="00845CAA"/>
    <w:rsid w:val="0084736D"/>
    <w:rsid w:val="008479BC"/>
    <w:rsid w:val="00847C79"/>
    <w:rsid w:val="008509B7"/>
    <w:rsid w:val="00850A19"/>
    <w:rsid w:val="00850EC4"/>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0E4"/>
    <w:rsid w:val="00860F08"/>
    <w:rsid w:val="008612F5"/>
    <w:rsid w:val="00861F9D"/>
    <w:rsid w:val="0086307F"/>
    <w:rsid w:val="00863113"/>
    <w:rsid w:val="008639AD"/>
    <w:rsid w:val="00863C1F"/>
    <w:rsid w:val="00863E8B"/>
    <w:rsid w:val="0086436B"/>
    <w:rsid w:val="00870856"/>
    <w:rsid w:val="008708CA"/>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568"/>
    <w:rsid w:val="008919D4"/>
    <w:rsid w:val="00892157"/>
    <w:rsid w:val="0089225A"/>
    <w:rsid w:val="00892AC0"/>
    <w:rsid w:val="00892D09"/>
    <w:rsid w:val="008934FE"/>
    <w:rsid w:val="00893B5D"/>
    <w:rsid w:val="00893E2F"/>
    <w:rsid w:val="008944DB"/>
    <w:rsid w:val="0089594E"/>
    <w:rsid w:val="00895E22"/>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6E04"/>
    <w:rsid w:val="008C7375"/>
    <w:rsid w:val="008C79F3"/>
    <w:rsid w:val="008D0267"/>
    <w:rsid w:val="008D02BA"/>
    <w:rsid w:val="008D04D0"/>
    <w:rsid w:val="008D1097"/>
    <w:rsid w:val="008D137F"/>
    <w:rsid w:val="008D1417"/>
    <w:rsid w:val="008D1F27"/>
    <w:rsid w:val="008D2F95"/>
    <w:rsid w:val="008D384C"/>
    <w:rsid w:val="008D3EF5"/>
    <w:rsid w:val="008D483E"/>
    <w:rsid w:val="008D4BD7"/>
    <w:rsid w:val="008D56F1"/>
    <w:rsid w:val="008D6375"/>
    <w:rsid w:val="008E02E0"/>
    <w:rsid w:val="008E0670"/>
    <w:rsid w:val="008E0C4A"/>
    <w:rsid w:val="008E114F"/>
    <w:rsid w:val="008E1153"/>
    <w:rsid w:val="008E1495"/>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4DC6"/>
    <w:rsid w:val="008F629F"/>
    <w:rsid w:val="008F6537"/>
    <w:rsid w:val="00900590"/>
    <w:rsid w:val="00901459"/>
    <w:rsid w:val="00901C47"/>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6440"/>
    <w:rsid w:val="00916748"/>
    <w:rsid w:val="00917332"/>
    <w:rsid w:val="009177FA"/>
    <w:rsid w:val="009201C7"/>
    <w:rsid w:val="009202C5"/>
    <w:rsid w:val="00920773"/>
    <w:rsid w:val="009209C5"/>
    <w:rsid w:val="00921817"/>
    <w:rsid w:val="00922327"/>
    <w:rsid w:val="0092265F"/>
    <w:rsid w:val="0092359E"/>
    <w:rsid w:val="00923DF1"/>
    <w:rsid w:val="00923EA0"/>
    <w:rsid w:val="0092474D"/>
    <w:rsid w:val="0092598F"/>
    <w:rsid w:val="00925FB4"/>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5CDB"/>
    <w:rsid w:val="0093661E"/>
    <w:rsid w:val="00936789"/>
    <w:rsid w:val="00936EF5"/>
    <w:rsid w:val="009372E1"/>
    <w:rsid w:val="0093736F"/>
    <w:rsid w:val="00937FBA"/>
    <w:rsid w:val="00940E29"/>
    <w:rsid w:val="0094325C"/>
    <w:rsid w:val="00945766"/>
    <w:rsid w:val="009457AC"/>
    <w:rsid w:val="00945B1E"/>
    <w:rsid w:val="0094609D"/>
    <w:rsid w:val="00946484"/>
    <w:rsid w:val="00946970"/>
    <w:rsid w:val="00946B28"/>
    <w:rsid w:val="00947447"/>
    <w:rsid w:val="00947A1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224"/>
    <w:rsid w:val="00985DA2"/>
    <w:rsid w:val="0098660C"/>
    <w:rsid w:val="00987DF4"/>
    <w:rsid w:val="00990175"/>
    <w:rsid w:val="00990561"/>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4644"/>
    <w:rsid w:val="009A468E"/>
    <w:rsid w:val="009A480D"/>
    <w:rsid w:val="009A4908"/>
    <w:rsid w:val="009A6258"/>
    <w:rsid w:val="009A6B3A"/>
    <w:rsid w:val="009A76F7"/>
    <w:rsid w:val="009B00E1"/>
    <w:rsid w:val="009B01CF"/>
    <w:rsid w:val="009B02DB"/>
    <w:rsid w:val="009B0A50"/>
    <w:rsid w:val="009B1DA0"/>
    <w:rsid w:val="009B1F5D"/>
    <w:rsid w:val="009B2407"/>
    <w:rsid w:val="009B3BEA"/>
    <w:rsid w:val="009B41BA"/>
    <w:rsid w:val="009B44F0"/>
    <w:rsid w:val="009B545D"/>
    <w:rsid w:val="009B593A"/>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04E7"/>
    <w:rsid w:val="009D3D0D"/>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4B7F"/>
    <w:rsid w:val="009F5C78"/>
    <w:rsid w:val="009F697A"/>
    <w:rsid w:val="009F6DAC"/>
    <w:rsid w:val="009F7309"/>
    <w:rsid w:val="009F763F"/>
    <w:rsid w:val="009F7748"/>
    <w:rsid w:val="009F7802"/>
    <w:rsid w:val="009F791B"/>
    <w:rsid w:val="009F79D5"/>
    <w:rsid w:val="009F7D96"/>
    <w:rsid w:val="00A007E7"/>
    <w:rsid w:val="00A01DF2"/>
    <w:rsid w:val="00A029D9"/>
    <w:rsid w:val="00A035DE"/>
    <w:rsid w:val="00A035EA"/>
    <w:rsid w:val="00A0373B"/>
    <w:rsid w:val="00A04F59"/>
    <w:rsid w:val="00A05597"/>
    <w:rsid w:val="00A05B20"/>
    <w:rsid w:val="00A070DE"/>
    <w:rsid w:val="00A0718D"/>
    <w:rsid w:val="00A071B5"/>
    <w:rsid w:val="00A07468"/>
    <w:rsid w:val="00A0797A"/>
    <w:rsid w:val="00A07FED"/>
    <w:rsid w:val="00A105EC"/>
    <w:rsid w:val="00A10896"/>
    <w:rsid w:val="00A10C0A"/>
    <w:rsid w:val="00A10D66"/>
    <w:rsid w:val="00A11019"/>
    <w:rsid w:val="00A114E5"/>
    <w:rsid w:val="00A115CB"/>
    <w:rsid w:val="00A116B1"/>
    <w:rsid w:val="00A11A73"/>
    <w:rsid w:val="00A11A7E"/>
    <w:rsid w:val="00A11F1D"/>
    <w:rsid w:val="00A1253F"/>
    <w:rsid w:val="00A13C50"/>
    <w:rsid w:val="00A13F40"/>
    <w:rsid w:val="00A14331"/>
    <w:rsid w:val="00A145EB"/>
    <w:rsid w:val="00A14849"/>
    <w:rsid w:val="00A14AB2"/>
    <w:rsid w:val="00A14AC9"/>
    <w:rsid w:val="00A1690D"/>
    <w:rsid w:val="00A175A7"/>
    <w:rsid w:val="00A20573"/>
    <w:rsid w:val="00A207FA"/>
    <w:rsid w:val="00A20C94"/>
    <w:rsid w:val="00A21351"/>
    <w:rsid w:val="00A21800"/>
    <w:rsid w:val="00A21C4C"/>
    <w:rsid w:val="00A220B7"/>
    <w:rsid w:val="00A227D6"/>
    <w:rsid w:val="00A227E7"/>
    <w:rsid w:val="00A22D55"/>
    <w:rsid w:val="00A239DB"/>
    <w:rsid w:val="00A24008"/>
    <w:rsid w:val="00A24078"/>
    <w:rsid w:val="00A2475E"/>
    <w:rsid w:val="00A258E0"/>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813"/>
    <w:rsid w:val="00A439C0"/>
    <w:rsid w:val="00A43D47"/>
    <w:rsid w:val="00A440A6"/>
    <w:rsid w:val="00A4618D"/>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1FE5"/>
    <w:rsid w:val="00A92A16"/>
    <w:rsid w:val="00A92ABE"/>
    <w:rsid w:val="00A93154"/>
    <w:rsid w:val="00A93214"/>
    <w:rsid w:val="00A93552"/>
    <w:rsid w:val="00A93C27"/>
    <w:rsid w:val="00A93C2B"/>
    <w:rsid w:val="00A93DC1"/>
    <w:rsid w:val="00A94D8C"/>
    <w:rsid w:val="00A95EA8"/>
    <w:rsid w:val="00A96FC0"/>
    <w:rsid w:val="00A97BFA"/>
    <w:rsid w:val="00AA007C"/>
    <w:rsid w:val="00AA0B30"/>
    <w:rsid w:val="00AA25C9"/>
    <w:rsid w:val="00AA3726"/>
    <w:rsid w:val="00AA40AA"/>
    <w:rsid w:val="00AA4F09"/>
    <w:rsid w:val="00AA5C2A"/>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6F61"/>
    <w:rsid w:val="00AB7601"/>
    <w:rsid w:val="00AB7957"/>
    <w:rsid w:val="00AB7A15"/>
    <w:rsid w:val="00AB7D9C"/>
    <w:rsid w:val="00AC1506"/>
    <w:rsid w:val="00AC1E53"/>
    <w:rsid w:val="00AC42FA"/>
    <w:rsid w:val="00AC455C"/>
    <w:rsid w:val="00AC4C60"/>
    <w:rsid w:val="00AC4D66"/>
    <w:rsid w:val="00AC57A8"/>
    <w:rsid w:val="00AC5C0E"/>
    <w:rsid w:val="00AC5FCE"/>
    <w:rsid w:val="00AC615E"/>
    <w:rsid w:val="00AC62B7"/>
    <w:rsid w:val="00AC6BDA"/>
    <w:rsid w:val="00AC6E20"/>
    <w:rsid w:val="00AC7A38"/>
    <w:rsid w:val="00AD07F1"/>
    <w:rsid w:val="00AD08BD"/>
    <w:rsid w:val="00AD1EEA"/>
    <w:rsid w:val="00AD20E0"/>
    <w:rsid w:val="00AD2BE1"/>
    <w:rsid w:val="00AD3C49"/>
    <w:rsid w:val="00AD3D21"/>
    <w:rsid w:val="00AD4939"/>
    <w:rsid w:val="00AD68F8"/>
    <w:rsid w:val="00AE0B68"/>
    <w:rsid w:val="00AE10CD"/>
    <w:rsid w:val="00AE1499"/>
    <w:rsid w:val="00AE2D0A"/>
    <w:rsid w:val="00AE3725"/>
    <w:rsid w:val="00AE4E58"/>
    <w:rsid w:val="00AE5139"/>
    <w:rsid w:val="00AE54FA"/>
    <w:rsid w:val="00AE5C8B"/>
    <w:rsid w:val="00AE653E"/>
    <w:rsid w:val="00AE65CA"/>
    <w:rsid w:val="00AE6800"/>
    <w:rsid w:val="00AE6CDA"/>
    <w:rsid w:val="00AE72FC"/>
    <w:rsid w:val="00AE751E"/>
    <w:rsid w:val="00AF089F"/>
    <w:rsid w:val="00AF109A"/>
    <w:rsid w:val="00AF16A0"/>
    <w:rsid w:val="00AF239F"/>
    <w:rsid w:val="00AF23AA"/>
    <w:rsid w:val="00AF23C2"/>
    <w:rsid w:val="00AF3040"/>
    <w:rsid w:val="00AF39BC"/>
    <w:rsid w:val="00AF4046"/>
    <w:rsid w:val="00AF4C0E"/>
    <w:rsid w:val="00AF51E5"/>
    <w:rsid w:val="00AF52E7"/>
    <w:rsid w:val="00AF5D55"/>
    <w:rsid w:val="00AF605B"/>
    <w:rsid w:val="00AF741B"/>
    <w:rsid w:val="00AF7453"/>
    <w:rsid w:val="00AF7C3D"/>
    <w:rsid w:val="00AF7E72"/>
    <w:rsid w:val="00B0115C"/>
    <w:rsid w:val="00B036BF"/>
    <w:rsid w:val="00B0432F"/>
    <w:rsid w:val="00B043ED"/>
    <w:rsid w:val="00B04547"/>
    <w:rsid w:val="00B054FF"/>
    <w:rsid w:val="00B05CB6"/>
    <w:rsid w:val="00B0633F"/>
    <w:rsid w:val="00B070A0"/>
    <w:rsid w:val="00B07CC0"/>
    <w:rsid w:val="00B07D53"/>
    <w:rsid w:val="00B102F5"/>
    <w:rsid w:val="00B103BE"/>
    <w:rsid w:val="00B103E9"/>
    <w:rsid w:val="00B10C24"/>
    <w:rsid w:val="00B11586"/>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35C"/>
    <w:rsid w:val="00B23560"/>
    <w:rsid w:val="00B23D2D"/>
    <w:rsid w:val="00B242E8"/>
    <w:rsid w:val="00B24FEA"/>
    <w:rsid w:val="00B2540B"/>
    <w:rsid w:val="00B25B94"/>
    <w:rsid w:val="00B25FE6"/>
    <w:rsid w:val="00B26407"/>
    <w:rsid w:val="00B26CD6"/>
    <w:rsid w:val="00B27255"/>
    <w:rsid w:val="00B2749B"/>
    <w:rsid w:val="00B2763A"/>
    <w:rsid w:val="00B27A0A"/>
    <w:rsid w:val="00B30160"/>
    <w:rsid w:val="00B3068C"/>
    <w:rsid w:val="00B308B8"/>
    <w:rsid w:val="00B3155C"/>
    <w:rsid w:val="00B317DC"/>
    <w:rsid w:val="00B31E48"/>
    <w:rsid w:val="00B327F4"/>
    <w:rsid w:val="00B32F4E"/>
    <w:rsid w:val="00B3322F"/>
    <w:rsid w:val="00B334B1"/>
    <w:rsid w:val="00B33554"/>
    <w:rsid w:val="00B33E53"/>
    <w:rsid w:val="00B3426C"/>
    <w:rsid w:val="00B347CA"/>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30D8"/>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11A"/>
    <w:rsid w:val="00B722FE"/>
    <w:rsid w:val="00B729F1"/>
    <w:rsid w:val="00B7300C"/>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866"/>
    <w:rsid w:val="00BB3919"/>
    <w:rsid w:val="00BB3A56"/>
    <w:rsid w:val="00BB3E2E"/>
    <w:rsid w:val="00BB49CB"/>
    <w:rsid w:val="00BB4CAE"/>
    <w:rsid w:val="00BB6187"/>
    <w:rsid w:val="00BB67F1"/>
    <w:rsid w:val="00BB79C2"/>
    <w:rsid w:val="00BB7F0F"/>
    <w:rsid w:val="00BC0EC7"/>
    <w:rsid w:val="00BC1722"/>
    <w:rsid w:val="00BC194A"/>
    <w:rsid w:val="00BC2214"/>
    <w:rsid w:val="00BC2825"/>
    <w:rsid w:val="00BC2E96"/>
    <w:rsid w:val="00BC365F"/>
    <w:rsid w:val="00BC406F"/>
    <w:rsid w:val="00BC4C88"/>
    <w:rsid w:val="00BC4F84"/>
    <w:rsid w:val="00BC59CA"/>
    <w:rsid w:val="00BC6970"/>
    <w:rsid w:val="00BC6D81"/>
    <w:rsid w:val="00BC6F87"/>
    <w:rsid w:val="00BC734E"/>
    <w:rsid w:val="00BC7713"/>
    <w:rsid w:val="00BC7C93"/>
    <w:rsid w:val="00BC7F2A"/>
    <w:rsid w:val="00BD0286"/>
    <w:rsid w:val="00BD0CE3"/>
    <w:rsid w:val="00BD1B3F"/>
    <w:rsid w:val="00BD20DA"/>
    <w:rsid w:val="00BD33A9"/>
    <w:rsid w:val="00BD33BE"/>
    <w:rsid w:val="00BD3792"/>
    <w:rsid w:val="00BD3C72"/>
    <w:rsid w:val="00BD4E12"/>
    <w:rsid w:val="00BD5D4E"/>
    <w:rsid w:val="00BD7991"/>
    <w:rsid w:val="00BE0BDD"/>
    <w:rsid w:val="00BE21E3"/>
    <w:rsid w:val="00BE305B"/>
    <w:rsid w:val="00BE62B2"/>
    <w:rsid w:val="00BE6350"/>
    <w:rsid w:val="00BE6C24"/>
    <w:rsid w:val="00BE7287"/>
    <w:rsid w:val="00BE7C93"/>
    <w:rsid w:val="00BF0362"/>
    <w:rsid w:val="00BF0479"/>
    <w:rsid w:val="00BF0D73"/>
    <w:rsid w:val="00BF1D23"/>
    <w:rsid w:val="00BF1F82"/>
    <w:rsid w:val="00BF2520"/>
    <w:rsid w:val="00BF3470"/>
    <w:rsid w:val="00BF3B94"/>
    <w:rsid w:val="00BF3FF8"/>
    <w:rsid w:val="00BF4C53"/>
    <w:rsid w:val="00BF5294"/>
    <w:rsid w:val="00BF54DC"/>
    <w:rsid w:val="00BF5748"/>
    <w:rsid w:val="00BF6270"/>
    <w:rsid w:val="00BF67B7"/>
    <w:rsid w:val="00BF770B"/>
    <w:rsid w:val="00C00567"/>
    <w:rsid w:val="00C00A65"/>
    <w:rsid w:val="00C01510"/>
    <w:rsid w:val="00C01CEB"/>
    <w:rsid w:val="00C01F6E"/>
    <w:rsid w:val="00C03249"/>
    <w:rsid w:val="00C04EB3"/>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F8A"/>
    <w:rsid w:val="00C24B05"/>
    <w:rsid w:val="00C25D31"/>
    <w:rsid w:val="00C265D0"/>
    <w:rsid w:val="00C26A6C"/>
    <w:rsid w:val="00C26FE5"/>
    <w:rsid w:val="00C3022B"/>
    <w:rsid w:val="00C30723"/>
    <w:rsid w:val="00C31756"/>
    <w:rsid w:val="00C31F7F"/>
    <w:rsid w:val="00C32186"/>
    <w:rsid w:val="00C32A3B"/>
    <w:rsid w:val="00C335AE"/>
    <w:rsid w:val="00C35C70"/>
    <w:rsid w:val="00C35E26"/>
    <w:rsid w:val="00C36684"/>
    <w:rsid w:val="00C36F0A"/>
    <w:rsid w:val="00C36F4F"/>
    <w:rsid w:val="00C372CB"/>
    <w:rsid w:val="00C4067A"/>
    <w:rsid w:val="00C41480"/>
    <w:rsid w:val="00C44052"/>
    <w:rsid w:val="00C44368"/>
    <w:rsid w:val="00C46111"/>
    <w:rsid w:val="00C46822"/>
    <w:rsid w:val="00C46CE5"/>
    <w:rsid w:val="00C50260"/>
    <w:rsid w:val="00C51395"/>
    <w:rsid w:val="00C51553"/>
    <w:rsid w:val="00C518A5"/>
    <w:rsid w:val="00C51A60"/>
    <w:rsid w:val="00C52334"/>
    <w:rsid w:val="00C52C65"/>
    <w:rsid w:val="00C53110"/>
    <w:rsid w:val="00C53636"/>
    <w:rsid w:val="00C53B12"/>
    <w:rsid w:val="00C541B2"/>
    <w:rsid w:val="00C54928"/>
    <w:rsid w:val="00C54A44"/>
    <w:rsid w:val="00C54B19"/>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744"/>
    <w:rsid w:val="00C72DD5"/>
    <w:rsid w:val="00C733A6"/>
    <w:rsid w:val="00C737B0"/>
    <w:rsid w:val="00C7380F"/>
    <w:rsid w:val="00C73D39"/>
    <w:rsid w:val="00C75B40"/>
    <w:rsid w:val="00C7675A"/>
    <w:rsid w:val="00C76E9D"/>
    <w:rsid w:val="00C816DF"/>
    <w:rsid w:val="00C820EE"/>
    <w:rsid w:val="00C84713"/>
    <w:rsid w:val="00C84758"/>
    <w:rsid w:val="00C853AB"/>
    <w:rsid w:val="00C85F72"/>
    <w:rsid w:val="00C86896"/>
    <w:rsid w:val="00C876E1"/>
    <w:rsid w:val="00C87792"/>
    <w:rsid w:val="00C908A9"/>
    <w:rsid w:val="00C908BE"/>
    <w:rsid w:val="00C91507"/>
    <w:rsid w:val="00C930D8"/>
    <w:rsid w:val="00C940C2"/>
    <w:rsid w:val="00C952E9"/>
    <w:rsid w:val="00C95AC8"/>
    <w:rsid w:val="00C9760B"/>
    <w:rsid w:val="00C976E0"/>
    <w:rsid w:val="00C9796B"/>
    <w:rsid w:val="00C97C19"/>
    <w:rsid w:val="00CA0174"/>
    <w:rsid w:val="00CA0C53"/>
    <w:rsid w:val="00CA0D9B"/>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64E"/>
    <w:rsid w:val="00CB0717"/>
    <w:rsid w:val="00CB0A65"/>
    <w:rsid w:val="00CB1177"/>
    <w:rsid w:val="00CB1618"/>
    <w:rsid w:val="00CB277F"/>
    <w:rsid w:val="00CB2D1B"/>
    <w:rsid w:val="00CB310A"/>
    <w:rsid w:val="00CB3318"/>
    <w:rsid w:val="00CB3628"/>
    <w:rsid w:val="00CB407C"/>
    <w:rsid w:val="00CB46B4"/>
    <w:rsid w:val="00CB4940"/>
    <w:rsid w:val="00CB5D5B"/>
    <w:rsid w:val="00CB6D0C"/>
    <w:rsid w:val="00CB6E94"/>
    <w:rsid w:val="00CB7060"/>
    <w:rsid w:val="00CB77F2"/>
    <w:rsid w:val="00CB7DD6"/>
    <w:rsid w:val="00CC0438"/>
    <w:rsid w:val="00CC0563"/>
    <w:rsid w:val="00CC140D"/>
    <w:rsid w:val="00CC2270"/>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7055"/>
    <w:rsid w:val="00CD7340"/>
    <w:rsid w:val="00CD7753"/>
    <w:rsid w:val="00CD7874"/>
    <w:rsid w:val="00CE06B1"/>
    <w:rsid w:val="00CE0944"/>
    <w:rsid w:val="00CE0A76"/>
    <w:rsid w:val="00CE0CBC"/>
    <w:rsid w:val="00CE1F13"/>
    <w:rsid w:val="00CE3120"/>
    <w:rsid w:val="00CE3C60"/>
    <w:rsid w:val="00CE42DB"/>
    <w:rsid w:val="00CE4C6F"/>
    <w:rsid w:val="00CE52CC"/>
    <w:rsid w:val="00CE53F4"/>
    <w:rsid w:val="00CE5510"/>
    <w:rsid w:val="00CE5B5C"/>
    <w:rsid w:val="00CE5B69"/>
    <w:rsid w:val="00CE6071"/>
    <w:rsid w:val="00CE66E3"/>
    <w:rsid w:val="00CE7432"/>
    <w:rsid w:val="00CE793F"/>
    <w:rsid w:val="00CF0FA5"/>
    <w:rsid w:val="00CF15DD"/>
    <w:rsid w:val="00CF223D"/>
    <w:rsid w:val="00CF2824"/>
    <w:rsid w:val="00CF3526"/>
    <w:rsid w:val="00CF357F"/>
    <w:rsid w:val="00CF3A33"/>
    <w:rsid w:val="00CF3C7D"/>
    <w:rsid w:val="00CF45BF"/>
    <w:rsid w:val="00CF4755"/>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13"/>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E87"/>
    <w:rsid w:val="00D17335"/>
    <w:rsid w:val="00D17F7B"/>
    <w:rsid w:val="00D2079E"/>
    <w:rsid w:val="00D21356"/>
    <w:rsid w:val="00D2142F"/>
    <w:rsid w:val="00D216EE"/>
    <w:rsid w:val="00D220B5"/>
    <w:rsid w:val="00D233CD"/>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975"/>
    <w:rsid w:val="00D33A8C"/>
    <w:rsid w:val="00D33ED9"/>
    <w:rsid w:val="00D34D1F"/>
    <w:rsid w:val="00D34E20"/>
    <w:rsid w:val="00D35597"/>
    <w:rsid w:val="00D35689"/>
    <w:rsid w:val="00D36180"/>
    <w:rsid w:val="00D365FA"/>
    <w:rsid w:val="00D36AEC"/>
    <w:rsid w:val="00D37093"/>
    <w:rsid w:val="00D40425"/>
    <w:rsid w:val="00D40BC3"/>
    <w:rsid w:val="00D40D6B"/>
    <w:rsid w:val="00D4129E"/>
    <w:rsid w:val="00D4168A"/>
    <w:rsid w:val="00D418A3"/>
    <w:rsid w:val="00D42946"/>
    <w:rsid w:val="00D42E45"/>
    <w:rsid w:val="00D433C1"/>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A41"/>
    <w:rsid w:val="00D65C02"/>
    <w:rsid w:val="00D661D2"/>
    <w:rsid w:val="00D66410"/>
    <w:rsid w:val="00D66648"/>
    <w:rsid w:val="00D66FDA"/>
    <w:rsid w:val="00D67292"/>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40EE"/>
    <w:rsid w:val="00D94BDE"/>
    <w:rsid w:val="00D94D1D"/>
    <w:rsid w:val="00D94E4C"/>
    <w:rsid w:val="00D95709"/>
    <w:rsid w:val="00D958A7"/>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190"/>
    <w:rsid w:val="00DA52EB"/>
    <w:rsid w:val="00DA5CD6"/>
    <w:rsid w:val="00DA6868"/>
    <w:rsid w:val="00DB0312"/>
    <w:rsid w:val="00DB115A"/>
    <w:rsid w:val="00DB1B88"/>
    <w:rsid w:val="00DB3213"/>
    <w:rsid w:val="00DB387C"/>
    <w:rsid w:val="00DB43F8"/>
    <w:rsid w:val="00DB46DA"/>
    <w:rsid w:val="00DB5A7F"/>
    <w:rsid w:val="00DB640B"/>
    <w:rsid w:val="00DB656B"/>
    <w:rsid w:val="00DB6A23"/>
    <w:rsid w:val="00DB75BE"/>
    <w:rsid w:val="00DB7D6B"/>
    <w:rsid w:val="00DC01DD"/>
    <w:rsid w:val="00DC0423"/>
    <w:rsid w:val="00DC29D6"/>
    <w:rsid w:val="00DC430F"/>
    <w:rsid w:val="00DC43B0"/>
    <w:rsid w:val="00DC478C"/>
    <w:rsid w:val="00DC47BF"/>
    <w:rsid w:val="00DC4CEC"/>
    <w:rsid w:val="00DC5055"/>
    <w:rsid w:val="00DC5F0A"/>
    <w:rsid w:val="00DC6348"/>
    <w:rsid w:val="00DC6447"/>
    <w:rsid w:val="00DC6F43"/>
    <w:rsid w:val="00DC7AD9"/>
    <w:rsid w:val="00DD0C80"/>
    <w:rsid w:val="00DD2409"/>
    <w:rsid w:val="00DD2798"/>
    <w:rsid w:val="00DD2A6B"/>
    <w:rsid w:val="00DD3A79"/>
    <w:rsid w:val="00DD4174"/>
    <w:rsid w:val="00DD418A"/>
    <w:rsid w:val="00DD452E"/>
    <w:rsid w:val="00DD4929"/>
    <w:rsid w:val="00DD6998"/>
    <w:rsid w:val="00DD7C1F"/>
    <w:rsid w:val="00DD7C32"/>
    <w:rsid w:val="00DE00A7"/>
    <w:rsid w:val="00DE0A7D"/>
    <w:rsid w:val="00DE0DC9"/>
    <w:rsid w:val="00DE12EF"/>
    <w:rsid w:val="00DE19AA"/>
    <w:rsid w:val="00DE231F"/>
    <w:rsid w:val="00DE367F"/>
    <w:rsid w:val="00DE3E2A"/>
    <w:rsid w:val="00DE5469"/>
    <w:rsid w:val="00DE5D83"/>
    <w:rsid w:val="00DE67E0"/>
    <w:rsid w:val="00DE7DBA"/>
    <w:rsid w:val="00DE7FB5"/>
    <w:rsid w:val="00DF0953"/>
    <w:rsid w:val="00DF33E8"/>
    <w:rsid w:val="00DF354D"/>
    <w:rsid w:val="00DF3B05"/>
    <w:rsid w:val="00DF44BC"/>
    <w:rsid w:val="00DF46D2"/>
    <w:rsid w:val="00DF4B5B"/>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53BA"/>
    <w:rsid w:val="00E0562D"/>
    <w:rsid w:val="00E05C05"/>
    <w:rsid w:val="00E06510"/>
    <w:rsid w:val="00E066EF"/>
    <w:rsid w:val="00E072B0"/>
    <w:rsid w:val="00E07C90"/>
    <w:rsid w:val="00E111E7"/>
    <w:rsid w:val="00E111F8"/>
    <w:rsid w:val="00E11C10"/>
    <w:rsid w:val="00E1257E"/>
    <w:rsid w:val="00E12618"/>
    <w:rsid w:val="00E129DF"/>
    <w:rsid w:val="00E12B5D"/>
    <w:rsid w:val="00E13435"/>
    <w:rsid w:val="00E134E8"/>
    <w:rsid w:val="00E13F23"/>
    <w:rsid w:val="00E143D4"/>
    <w:rsid w:val="00E14773"/>
    <w:rsid w:val="00E1521D"/>
    <w:rsid w:val="00E155E5"/>
    <w:rsid w:val="00E16E19"/>
    <w:rsid w:val="00E1769F"/>
    <w:rsid w:val="00E17930"/>
    <w:rsid w:val="00E20164"/>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92C"/>
    <w:rsid w:val="00E41DF6"/>
    <w:rsid w:val="00E420CB"/>
    <w:rsid w:val="00E44877"/>
    <w:rsid w:val="00E451B6"/>
    <w:rsid w:val="00E454AD"/>
    <w:rsid w:val="00E4671A"/>
    <w:rsid w:val="00E474DE"/>
    <w:rsid w:val="00E47539"/>
    <w:rsid w:val="00E47920"/>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1623"/>
    <w:rsid w:val="00E722A2"/>
    <w:rsid w:val="00E729B9"/>
    <w:rsid w:val="00E742E4"/>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4584"/>
    <w:rsid w:val="00E95058"/>
    <w:rsid w:val="00E95C26"/>
    <w:rsid w:val="00E95CEA"/>
    <w:rsid w:val="00E967F1"/>
    <w:rsid w:val="00E97D20"/>
    <w:rsid w:val="00E97FE2"/>
    <w:rsid w:val="00E97FE6"/>
    <w:rsid w:val="00EA08E8"/>
    <w:rsid w:val="00EA1903"/>
    <w:rsid w:val="00EA1A5A"/>
    <w:rsid w:val="00EA2FC0"/>
    <w:rsid w:val="00EA3F5C"/>
    <w:rsid w:val="00EA4397"/>
    <w:rsid w:val="00EA499D"/>
    <w:rsid w:val="00EA4FFF"/>
    <w:rsid w:val="00EA54A1"/>
    <w:rsid w:val="00EA54AD"/>
    <w:rsid w:val="00EA58A0"/>
    <w:rsid w:val="00EA5AE3"/>
    <w:rsid w:val="00EA5C8C"/>
    <w:rsid w:val="00EA5ECB"/>
    <w:rsid w:val="00EA62F8"/>
    <w:rsid w:val="00EA6B56"/>
    <w:rsid w:val="00EA6D49"/>
    <w:rsid w:val="00EA7144"/>
    <w:rsid w:val="00EA7D0C"/>
    <w:rsid w:val="00EA7F0B"/>
    <w:rsid w:val="00EB0CCF"/>
    <w:rsid w:val="00EB114C"/>
    <w:rsid w:val="00EB18C0"/>
    <w:rsid w:val="00EB20F4"/>
    <w:rsid w:val="00EB2490"/>
    <w:rsid w:val="00EB3F05"/>
    <w:rsid w:val="00EB43BA"/>
    <w:rsid w:val="00EB56C4"/>
    <w:rsid w:val="00EB5955"/>
    <w:rsid w:val="00EB6662"/>
    <w:rsid w:val="00EB6E71"/>
    <w:rsid w:val="00EB7657"/>
    <w:rsid w:val="00EC05E1"/>
    <w:rsid w:val="00EC07BA"/>
    <w:rsid w:val="00EC08E4"/>
    <w:rsid w:val="00EC23D8"/>
    <w:rsid w:val="00EC3785"/>
    <w:rsid w:val="00EC3796"/>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503"/>
    <w:rsid w:val="00ED35D8"/>
    <w:rsid w:val="00ED4DFC"/>
    <w:rsid w:val="00ED4E42"/>
    <w:rsid w:val="00ED5E54"/>
    <w:rsid w:val="00ED60D4"/>
    <w:rsid w:val="00ED7786"/>
    <w:rsid w:val="00ED7EA9"/>
    <w:rsid w:val="00EE00E5"/>
    <w:rsid w:val="00EE0B31"/>
    <w:rsid w:val="00EE1C62"/>
    <w:rsid w:val="00EE1E9C"/>
    <w:rsid w:val="00EE200B"/>
    <w:rsid w:val="00EE2083"/>
    <w:rsid w:val="00EE20A8"/>
    <w:rsid w:val="00EE2143"/>
    <w:rsid w:val="00EE23BC"/>
    <w:rsid w:val="00EE25D9"/>
    <w:rsid w:val="00EE433B"/>
    <w:rsid w:val="00EE46D0"/>
    <w:rsid w:val="00EE476D"/>
    <w:rsid w:val="00EE49A6"/>
    <w:rsid w:val="00EE4C73"/>
    <w:rsid w:val="00EE5C23"/>
    <w:rsid w:val="00EE67FE"/>
    <w:rsid w:val="00EE703E"/>
    <w:rsid w:val="00EE76F0"/>
    <w:rsid w:val="00EE7B1C"/>
    <w:rsid w:val="00EE7FFB"/>
    <w:rsid w:val="00EF02BD"/>
    <w:rsid w:val="00EF17B9"/>
    <w:rsid w:val="00EF1EB9"/>
    <w:rsid w:val="00EF20AF"/>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02AB"/>
    <w:rsid w:val="00F1055C"/>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210C"/>
    <w:rsid w:val="00F231FB"/>
    <w:rsid w:val="00F243C4"/>
    <w:rsid w:val="00F243FF"/>
    <w:rsid w:val="00F25199"/>
    <w:rsid w:val="00F254D8"/>
    <w:rsid w:val="00F2551B"/>
    <w:rsid w:val="00F26955"/>
    <w:rsid w:val="00F26A46"/>
    <w:rsid w:val="00F26F86"/>
    <w:rsid w:val="00F271AB"/>
    <w:rsid w:val="00F2780A"/>
    <w:rsid w:val="00F311C3"/>
    <w:rsid w:val="00F314EF"/>
    <w:rsid w:val="00F3167E"/>
    <w:rsid w:val="00F332B2"/>
    <w:rsid w:val="00F33DD2"/>
    <w:rsid w:val="00F33E94"/>
    <w:rsid w:val="00F33F0D"/>
    <w:rsid w:val="00F352BD"/>
    <w:rsid w:val="00F3589E"/>
    <w:rsid w:val="00F35DAE"/>
    <w:rsid w:val="00F36723"/>
    <w:rsid w:val="00F368F2"/>
    <w:rsid w:val="00F3715D"/>
    <w:rsid w:val="00F37A09"/>
    <w:rsid w:val="00F37EB5"/>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4EC8"/>
    <w:rsid w:val="00F452E7"/>
    <w:rsid w:val="00F4670C"/>
    <w:rsid w:val="00F467C0"/>
    <w:rsid w:val="00F47B25"/>
    <w:rsid w:val="00F47C6B"/>
    <w:rsid w:val="00F503D2"/>
    <w:rsid w:val="00F505AC"/>
    <w:rsid w:val="00F50603"/>
    <w:rsid w:val="00F50C03"/>
    <w:rsid w:val="00F50F47"/>
    <w:rsid w:val="00F51899"/>
    <w:rsid w:val="00F51E43"/>
    <w:rsid w:val="00F51E44"/>
    <w:rsid w:val="00F5253A"/>
    <w:rsid w:val="00F5325B"/>
    <w:rsid w:val="00F53AF0"/>
    <w:rsid w:val="00F54D37"/>
    <w:rsid w:val="00F55337"/>
    <w:rsid w:val="00F55F0A"/>
    <w:rsid w:val="00F56456"/>
    <w:rsid w:val="00F5652C"/>
    <w:rsid w:val="00F575D1"/>
    <w:rsid w:val="00F57C49"/>
    <w:rsid w:val="00F57D6B"/>
    <w:rsid w:val="00F60A98"/>
    <w:rsid w:val="00F618C5"/>
    <w:rsid w:val="00F619E0"/>
    <w:rsid w:val="00F622E5"/>
    <w:rsid w:val="00F626FF"/>
    <w:rsid w:val="00F627D0"/>
    <w:rsid w:val="00F62C80"/>
    <w:rsid w:val="00F6380C"/>
    <w:rsid w:val="00F63E23"/>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44"/>
    <w:rsid w:val="00F76268"/>
    <w:rsid w:val="00F76CF3"/>
    <w:rsid w:val="00F76DA3"/>
    <w:rsid w:val="00F805CA"/>
    <w:rsid w:val="00F807A4"/>
    <w:rsid w:val="00F809ED"/>
    <w:rsid w:val="00F80DD8"/>
    <w:rsid w:val="00F81914"/>
    <w:rsid w:val="00F81B7D"/>
    <w:rsid w:val="00F82079"/>
    <w:rsid w:val="00F824D5"/>
    <w:rsid w:val="00F82628"/>
    <w:rsid w:val="00F82D8E"/>
    <w:rsid w:val="00F8321D"/>
    <w:rsid w:val="00F83461"/>
    <w:rsid w:val="00F83585"/>
    <w:rsid w:val="00F83883"/>
    <w:rsid w:val="00F83ACF"/>
    <w:rsid w:val="00F8517B"/>
    <w:rsid w:val="00F853BE"/>
    <w:rsid w:val="00F87971"/>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0E8D"/>
    <w:rsid w:val="00FA12ED"/>
    <w:rsid w:val="00FA1B1B"/>
    <w:rsid w:val="00FA2534"/>
    <w:rsid w:val="00FA2BC2"/>
    <w:rsid w:val="00FA37EA"/>
    <w:rsid w:val="00FA381E"/>
    <w:rsid w:val="00FA52C8"/>
    <w:rsid w:val="00FA54B2"/>
    <w:rsid w:val="00FA5812"/>
    <w:rsid w:val="00FA59CD"/>
    <w:rsid w:val="00FA7990"/>
    <w:rsid w:val="00FB07FC"/>
    <w:rsid w:val="00FB1180"/>
    <w:rsid w:val="00FB174F"/>
    <w:rsid w:val="00FB1FEB"/>
    <w:rsid w:val="00FB28DA"/>
    <w:rsid w:val="00FB4250"/>
    <w:rsid w:val="00FB42B4"/>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63B"/>
    <w:rsid w:val="00FD1AB4"/>
    <w:rsid w:val="00FD1DDF"/>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F0644"/>
    <w:rsid w:val="00FF094E"/>
    <w:rsid w:val="00FF0A66"/>
    <w:rsid w:val="00FF1632"/>
    <w:rsid w:val="00FF1FCE"/>
    <w:rsid w:val="00FF2234"/>
    <w:rsid w:val="00FF290B"/>
    <w:rsid w:val="00FF320D"/>
    <w:rsid w:val="00FF33BD"/>
    <w:rsid w:val="00FF3C13"/>
    <w:rsid w:val="00FF4169"/>
    <w:rsid w:val="00FF4728"/>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uiPriority w:val="99"/>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99"/>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72"/>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paragraph" w:styleId="Revision">
    <w:name w:val="Revision"/>
    <w:hidden/>
    <w:uiPriority w:val="99"/>
    <w:semiHidden/>
    <w:rsid w:val="00AC4C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uiPriority w:val="99"/>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99"/>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72"/>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paragraph" w:styleId="Revision">
    <w:name w:val="Revision"/>
    <w:hidden/>
    <w:uiPriority w:val="99"/>
    <w:semiHidden/>
    <w:rsid w:val="00AC4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77765">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7902699">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E3F52-7384-4B6B-BCE9-E53913257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24</Pages>
  <Words>6287</Words>
  <Characters>36734</Characters>
  <Application>Microsoft Office Word</Application>
  <DocSecurity>0</DocSecurity>
  <Lines>306</Lines>
  <Paragraphs>85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Garnham</dc:creator>
  <cp:lastModifiedBy>Kellie Gavin</cp:lastModifiedBy>
  <cp:revision>11</cp:revision>
  <cp:lastPrinted>2015-08-20T05:09:00Z</cp:lastPrinted>
  <dcterms:created xsi:type="dcterms:W3CDTF">2015-08-20T00:34:00Z</dcterms:created>
  <dcterms:modified xsi:type="dcterms:W3CDTF">2015-08-20T06:32:00Z</dcterms:modified>
</cp:coreProperties>
</file>