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D85" w:rsidRPr="00105DF3" w:rsidRDefault="004F3D85" w:rsidP="00BA2981">
      <w:pPr>
        <w:pStyle w:val="Heading1"/>
      </w:pPr>
      <w:r w:rsidRPr="00105DF3">
        <w:t>Consumer hearing – Biosimilar medicines</w:t>
      </w:r>
    </w:p>
    <w:p w:rsidR="00ED457E" w:rsidRPr="00105DF3" w:rsidRDefault="00ED457E" w:rsidP="00BA2981">
      <w:pPr>
        <w:pStyle w:val="Heading1"/>
      </w:pPr>
      <w:r w:rsidRPr="00105DF3">
        <w:t>7 July 2015</w:t>
      </w:r>
    </w:p>
    <w:p w:rsidR="00ED457E" w:rsidRPr="003156CC" w:rsidRDefault="00ED457E" w:rsidP="00BA2981">
      <w:pPr>
        <w:pStyle w:val="Heading1"/>
      </w:pPr>
    </w:p>
    <w:p w:rsidR="00105DF3" w:rsidRDefault="00105DF3" w:rsidP="00BA2981">
      <w:bookmarkStart w:id="0" w:name="_GoBack"/>
      <w:bookmarkEnd w:id="0"/>
      <w:r w:rsidRPr="003156CC">
        <w:t>Th</w:t>
      </w:r>
      <w:r w:rsidR="00011F0C">
        <w:t>is</w:t>
      </w:r>
      <w:r w:rsidRPr="003156CC">
        <w:t xml:space="preserve"> consumer hearing on biosimilar medicines was convened</w:t>
      </w:r>
      <w:r>
        <w:t xml:space="preserve"> by the P</w:t>
      </w:r>
      <w:r w:rsidR="005E6DA4">
        <w:t>harmaceutical Benefits Advisory Committee</w:t>
      </w:r>
      <w:r w:rsidR="00011F0C">
        <w:t xml:space="preserve"> (PBAC)</w:t>
      </w:r>
      <w:r>
        <w:t>, and was attended by representatives of the following groups;</w:t>
      </w:r>
    </w:p>
    <w:p w:rsidR="00105DF3" w:rsidRDefault="00105DF3" w:rsidP="005E1644">
      <w:pPr>
        <w:widowControl/>
        <w:jc w:val="left"/>
        <w:rPr>
          <w:szCs w:val="24"/>
          <w:u w:val="single"/>
        </w:rPr>
      </w:pPr>
    </w:p>
    <w:p w:rsidR="00105DF3" w:rsidRPr="002963C1" w:rsidRDefault="00105DF3" w:rsidP="005E1644">
      <w:pPr>
        <w:widowControl/>
        <w:jc w:val="left"/>
        <w:rPr>
          <w:i/>
          <w:szCs w:val="24"/>
          <w:u w:val="single"/>
        </w:rPr>
      </w:pPr>
      <w:r w:rsidRPr="002963C1">
        <w:rPr>
          <w:i/>
          <w:szCs w:val="24"/>
          <w:u w:val="single"/>
        </w:rPr>
        <w:t>Consumer organisations</w:t>
      </w:r>
    </w:p>
    <w:p w:rsidR="002170D2" w:rsidRPr="003156CC" w:rsidRDefault="002170D2" w:rsidP="005E1644">
      <w:pPr>
        <w:widowControl/>
        <w:jc w:val="left"/>
        <w:rPr>
          <w:szCs w:val="24"/>
        </w:rPr>
      </w:pPr>
      <w:r w:rsidRPr="003156CC">
        <w:rPr>
          <w:szCs w:val="24"/>
        </w:rPr>
        <w:t>Arthritis Australia</w:t>
      </w:r>
    </w:p>
    <w:p w:rsidR="002170D2" w:rsidRPr="003156CC" w:rsidRDefault="002170D2" w:rsidP="005E1644">
      <w:pPr>
        <w:widowControl/>
        <w:jc w:val="left"/>
        <w:rPr>
          <w:szCs w:val="24"/>
        </w:rPr>
      </w:pPr>
      <w:r w:rsidRPr="003156CC">
        <w:rPr>
          <w:szCs w:val="24"/>
        </w:rPr>
        <w:t>Consumers’ Health Forum</w:t>
      </w:r>
    </w:p>
    <w:p w:rsidR="002170D2" w:rsidRPr="003156CC" w:rsidRDefault="002170D2" w:rsidP="005E1644">
      <w:pPr>
        <w:widowControl/>
        <w:jc w:val="left"/>
        <w:rPr>
          <w:szCs w:val="24"/>
        </w:rPr>
      </w:pPr>
      <w:proofErr w:type="spellStart"/>
      <w:r w:rsidRPr="003156CC">
        <w:rPr>
          <w:szCs w:val="24"/>
        </w:rPr>
        <w:t>Crohns</w:t>
      </w:r>
      <w:proofErr w:type="spellEnd"/>
      <w:r w:rsidRPr="003156CC">
        <w:rPr>
          <w:szCs w:val="24"/>
        </w:rPr>
        <w:t xml:space="preserve"> and Colitis Australia</w:t>
      </w:r>
    </w:p>
    <w:p w:rsidR="002170D2" w:rsidRPr="003156CC" w:rsidRDefault="002170D2" w:rsidP="005E1644">
      <w:pPr>
        <w:widowControl/>
        <w:jc w:val="left"/>
        <w:rPr>
          <w:szCs w:val="24"/>
        </w:rPr>
      </w:pPr>
      <w:r w:rsidRPr="003156CC">
        <w:rPr>
          <w:szCs w:val="24"/>
        </w:rPr>
        <w:t>Diabetes Australia</w:t>
      </w:r>
    </w:p>
    <w:p w:rsidR="002170D2" w:rsidRPr="003156CC" w:rsidRDefault="002170D2" w:rsidP="005E1644">
      <w:pPr>
        <w:widowControl/>
        <w:jc w:val="left"/>
        <w:rPr>
          <w:szCs w:val="24"/>
        </w:rPr>
      </w:pPr>
      <w:r w:rsidRPr="003156CC">
        <w:rPr>
          <w:szCs w:val="24"/>
        </w:rPr>
        <w:t>Lymphoma Australia</w:t>
      </w:r>
    </w:p>
    <w:p w:rsidR="00105DF3" w:rsidRDefault="00105DF3" w:rsidP="005E1644">
      <w:pPr>
        <w:widowControl/>
        <w:jc w:val="left"/>
        <w:rPr>
          <w:szCs w:val="24"/>
        </w:rPr>
      </w:pPr>
    </w:p>
    <w:p w:rsidR="00105DF3" w:rsidRPr="002963C1" w:rsidRDefault="00105DF3" w:rsidP="005E1644">
      <w:pPr>
        <w:widowControl/>
        <w:jc w:val="left"/>
        <w:rPr>
          <w:i/>
          <w:szCs w:val="24"/>
          <w:u w:val="single"/>
        </w:rPr>
      </w:pPr>
      <w:r w:rsidRPr="002963C1">
        <w:rPr>
          <w:i/>
          <w:szCs w:val="24"/>
          <w:u w:val="single"/>
        </w:rPr>
        <w:t>Clinical groups</w:t>
      </w:r>
    </w:p>
    <w:p w:rsidR="002170D2" w:rsidRPr="003156CC" w:rsidRDefault="002170D2" w:rsidP="005E1644">
      <w:pPr>
        <w:widowControl/>
        <w:jc w:val="left"/>
        <w:rPr>
          <w:szCs w:val="24"/>
        </w:rPr>
      </w:pPr>
      <w:r w:rsidRPr="003156CC">
        <w:rPr>
          <w:szCs w:val="24"/>
        </w:rPr>
        <w:t>Australian Rheumatology Association</w:t>
      </w:r>
    </w:p>
    <w:p w:rsidR="002170D2" w:rsidRPr="003156CC" w:rsidRDefault="002170D2" w:rsidP="005E1644">
      <w:pPr>
        <w:widowControl/>
        <w:jc w:val="left"/>
        <w:rPr>
          <w:szCs w:val="24"/>
        </w:rPr>
      </w:pPr>
      <w:r w:rsidRPr="003156CC">
        <w:rPr>
          <w:szCs w:val="24"/>
        </w:rPr>
        <w:t>Gastroenterological Society of Australia</w:t>
      </w:r>
    </w:p>
    <w:p w:rsidR="002170D2" w:rsidRPr="003156CC" w:rsidRDefault="002170D2" w:rsidP="005E1644">
      <w:pPr>
        <w:widowControl/>
        <w:jc w:val="left"/>
        <w:rPr>
          <w:szCs w:val="24"/>
        </w:rPr>
      </w:pPr>
      <w:r w:rsidRPr="003156CC">
        <w:rPr>
          <w:szCs w:val="24"/>
        </w:rPr>
        <w:t>Haematology Society of Australia and New Zealand</w:t>
      </w:r>
    </w:p>
    <w:p w:rsidR="002170D2" w:rsidRPr="003156CC" w:rsidRDefault="002170D2" w:rsidP="005E1644">
      <w:pPr>
        <w:widowControl/>
        <w:jc w:val="left"/>
        <w:rPr>
          <w:szCs w:val="24"/>
        </w:rPr>
      </w:pPr>
      <w:r w:rsidRPr="003156CC">
        <w:rPr>
          <w:szCs w:val="24"/>
        </w:rPr>
        <w:t>Medical Oncology Group of Australia</w:t>
      </w:r>
    </w:p>
    <w:p w:rsidR="002170D2" w:rsidRDefault="002170D2" w:rsidP="005E1644">
      <w:pPr>
        <w:widowControl/>
        <w:jc w:val="left"/>
        <w:rPr>
          <w:szCs w:val="24"/>
        </w:rPr>
      </w:pPr>
      <w:r w:rsidRPr="003156CC">
        <w:rPr>
          <w:szCs w:val="24"/>
        </w:rPr>
        <w:t>Royal Australasian College of Physicians</w:t>
      </w:r>
    </w:p>
    <w:p w:rsidR="00F94737" w:rsidRDefault="00F94737" w:rsidP="005E1644">
      <w:pPr>
        <w:widowControl/>
        <w:jc w:val="left"/>
        <w:rPr>
          <w:szCs w:val="24"/>
        </w:rPr>
      </w:pPr>
    </w:p>
    <w:p w:rsidR="00F94737" w:rsidRPr="00F94737" w:rsidRDefault="00F94737" w:rsidP="005E1644">
      <w:pPr>
        <w:widowControl/>
        <w:jc w:val="left"/>
        <w:rPr>
          <w:szCs w:val="24"/>
        </w:rPr>
      </w:pPr>
      <w:r w:rsidRPr="00F94737">
        <w:rPr>
          <w:szCs w:val="24"/>
        </w:rPr>
        <w:t>Council of Australian Therapeutic Advisory Groups</w:t>
      </w:r>
    </w:p>
    <w:p w:rsidR="00F94737" w:rsidRPr="003156CC" w:rsidRDefault="00F94737" w:rsidP="005E1644">
      <w:pPr>
        <w:widowControl/>
        <w:jc w:val="left"/>
        <w:rPr>
          <w:szCs w:val="24"/>
        </w:rPr>
      </w:pPr>
      <w:r w:rsidRPr="00F94737">
        <w:rPr>
          <w:szCs w:val="24"/>
        </w:rPr>
        <w:t>National Prescribing Service</w:t>
      </w:r>
    </w:p>
    <w:p w:rsidR="00105DF3" w:rsidRDefault="00105DF3" w:rsidP="005E1644">
      <w:pPr>
        <w:widowControl/>
        <w:jc w:val="left"/>
        <w:rPr>
          <w:szCs w:val="24"/>
        </w:rPr>
      </w:pPr>
    </w:p>
    <w:p w:rsidR="00105DF3" w:rsidRPr="002963C1" w:rsidRDefault="00105DF3" w:rsidP="005E1644">
      <w:pPr>
        <w:widowControl/>
        <w:jc w:val="left"/>
        <w:rPr>
          <w:i/>
          <w:szCs w:val="24"/>
          <w:u w:val="single"/>
        </w:rPr>
      </w:pPr>
      <w:r w:rsidRPr="002963C1">
        <w:rPr>
          <w:i/>
          <w:szCs w:val="24"/>
          <w:u w:val="single"/>
        </w:rPr>
        <w:t>Industry groups</w:t>
      </w:r>
    </w:p>
    <w:p w:rsidR="002170D2" w:rsidRPr="003156CC" w:rsidRDefault="002170D2" w:rsidP="005E1644">
      <w:pPr>
        <w:widowControl/>
        <w:jc w:val="left"/>
        <w:rPr>
          <w:szCs w:val="24"/>
        </w:rPr>
      </w:pPr>
      <w:proofErr w:type="spellStart"/>
      <w:r w:rsidRPr="003156CC">
        <w:rPr>
          <w:szCs w:val="24"/>
        </w:rPr>
        <w:t>AusBioTech</w:t>
      </w:r>
      <w:proofErr w:type="spellEnd"/>
    </w:p>
    <w:p w:rsidR="002170D2" w:rsidRPr="003156CC" w:rsidRDefault="002170D2" w:rsidP="005E1644">
      <w:pPr>
        <w:widowControl/>
        <w:jc w:val="left"/>
        <w:rPr>
          <w:szCs w:val="24"/>
        </w:rPr>
      </w:pPr>
      <w:r w:rsidRPr="003156CC">
        <w:rPr>
          <w:szCs w:val="24"/>
        </w:rPr>
        <w:t>Generic Medicines Industry Association</w:t>
      </w:r>
    </w:p>
    <w:p w:rsidR="002170D2" w:rsidRPr="003156CC" w:rsidRDefault="002170D2" w:rsidP="005E1644">
      <w:pPr>
        <w:widowControl/>
        <w:tabs>
          <w:tab w:val="left" w:pos="3735"/>
        </w:tabs>
        <w:jc w:val="left"/>
        <w:rPr>
          <w:szCs w:val="24"/>
        </w:rPr>
      </w:pPr>
      <w:r w:rsidRPr="003156CC">
        <w:rPr>
          <w:szCs w:val="24"/>
        </w:rPr>
        <w:t>Medicines Australia</w:t>
      </w:r>
      <w:r w:rsidR="00292818" w:rsidRPr="003156CC">
        <w:rPr>
          <w:szCs w:val="24"/>
        </w:rPr>
        <w:tab/>
      </w:r>
    </w:p>
    <w:p w:rsidR="004F3D85" w:rsidRPr="003156CC" w:rsidRDefault="002170D2" w:rsidP="005E1644">
      <w:pPr>
        <w:widowControl/>
        <w:tabs>
          <w:tab w:val="left" w:pos="3650"/>
          <w:tab w:val="left" w:pos="3750"/>
        </w:tabs>
        <w:jc w:val="left"/>
        <w:rPr>
          <w:szCs w:val="24"/>
        </w:rPr>
      </w:pPr>
      <w:r w:rsidRPr="003156CC">
        <w:rPr>
          <w:szCs w:val="24"/>
        </w:rPr>
        <w:t>Pharmacy Guild of Australia</w:t>
      </w:r>
    </w:p>
    <w:p w:rsidR="004F3D85" w:rsidRDefault="004F3D85" w:rsidP="005E1644">
      <w:pPr>
        <w:widowControl/>
        <w:tabs>
          <w:tab w:val="left" w:pos="3650"/>
          <w:tab w:val="left" w:pos="3750"/>
        </w:tabs>
        <w:jc w:val="left"/>
        <w:rPr>
          <w:szCs w:val="24"/>
        </w:rPr>
      </w:pPr>
    </w:p>
    <w:p w:rsidR="00105DF3" w:rsidRPr="002963C1" w:rsidRDefault="00105DF3" w:rsidP="005E1644">
      <w:pPr>
        <w:widowControl/>
        <w:tabs>
          <w:tab w:val="left" w:pos="3650"/>
          <w:tab w:val="left" w:pos="3750"/>
        </w:tabs>
        <w:jc w:val="left"/>
        <w:rPr>
          <w:i/>
          <w:szCs w:val="24"/>
          <w:u w:val="single"/>
        </w:rPr>
      </w:pPr>
      <w:r w:rsidRPr="002963C1">
        <w:rPr>
          <w:i/>
          <w:szCs w:val="24"/>
          <w:u w:val="single"/>
        </w:rPr>
        <w:t>Department of Health</w:t>
      </w:r>
    </w:p>
    <w:p w:rsidR="00105DF3" w:rsidRPr="00105DF3" w:rsidRDefault="00105DF3" w:rsidP="005E1644">
      <w:pPr>
        <w:widowControl/>
        <w:tabs>
          <w:tab w:val="left" w:pos="3650"/>
          <w:tab w:val="left" w:pos="3750"/>
        </w:tabs>
        <w:jc w:val="left"/>
        <w:rPr>
          <w:szCs w:val="24"/>
        </w:rPr>
      </w:pPr>
      <w:r w:rsidRPr="00105DF3">
        <w:rPr>
          <w:szCs w:val="24"/>
        </w:rPr>
        <w:t>Pharmaceutical Benefits Division</w:t>
      </w:r>
    </w:p>
    <w:p w:rsidR="002170D2" w:rsidRPr="003156CC" w:rsidRDefault="00105DF3" w:rsidP="005E1644">
      <w:pPr>
        <w:widowControl/>
        <w:tabs>
          <w:tab w:val="left" w:pos="3650"/>
          <w:tab w:val="left" w:pos="3750"/>
        </w:tabs>
        <w:jc w:val="left"/>
        <w:rPr>
          <w:szCs w:val="24"/>
        </w:rPr>
      </w:pPr>
      <w:r w:rsidRPr="00105DF3">
        <w:rPr>
          <w:szCs w:val="24"/>
        </w:rPr>
        <w:t xml:space="preserve">Therapeutic Goods Administration (TGA) </w:t>
      </w:r>
    </w:p>
    <w:p w:rsidR="00105DF3" w:rsidRDefault="00105DF3" w:rsidP="005E1644">
      <w:pPr>
        <w:widowControl/>
        <w:jc w:val="left"/>
        <w:rPr>
          <w:szCs w:val="24"/>
        </w:rPr>
      </w:pPr>
    </w:p>
    <w:p w:rsidR="00F94737" w:rsidRPr="00566AC3" w:rsidRDefault="00EB3CAB" w:rsidP="005E1644">
      <w:pPr>
        <w:widowControl/>
        <w:jc w:val="left"/>
        <w:rPr>
          <w:szCs w:val="24"/>
          <w:u w:val="single"/>
        </w:rPr>
      </w:pPr>
      <w:r w:rsidRPr="00EB3CAB">
        <w:rPr>
          <w:szCs w:val="24"/>
          <w:u w:val="single"/>
        </w:rPr>
        <w:t>Introduction</w:t>
      </w:r>
    </w:p>
    <w:p w:rsidR="00F94737" w:rsidRDefault="00F94737" w:rsidP="005E1644">
      <w:pPr>
        <w:widowControl/>
        <w:jc w:val="left"/>
        <w:rPr>
          <w:szCs w:val="24"/>
        </w:rPr>
      </w:pPr>
      <w:r w:rsidRPr="00F94737">
        <w:rPr>
          <w:szCs w:val="24"/>
        </w:rPr>
        <w:t>Th</w:t>
      </w:r>
      <w:r w:rsidR="005E6DA4">
        <w:rPr>
          <w:szCs w:val="24"/>
        </w:rPr>
        <w:t>is</w:t>
      </w:r>
      <w:r w:rsidRPr="00F94737">
        <w:rPr>
          <w:szCs w:val="24"/>
        </w:rPr>
        <w:t xml:space="preserve"> consumer hearing </w:t>
      </w:r>
      <w:r w:rsidR="005E6DA4">
        <w:rPr>
          <w:szCs w:val="24"/>
        </w:rPr>
        <w:t xml:space="preserve">followed </w:t>
      </w:r>
      <w:r w:rsidRPr="00F94737">
        <w:rPr>
          <w:szCs w:val="24"/>
        </w:rPr>
        <w:t xml:space="preserve">the Minister’s 13 March 2015 </w:t>
      </w:r>
      <w:r w:rsidR="005E6DA4">
        <w:rPr>
          <w:szCs w:val="24"/>
        </w:rPr>
        <w:t>announcement</w:t>
      </w:r>
      <w:r w:rsidRPr="00F94737">
        <w:rPr>
          <w:szCs w:val="24"/>
        </w:rPr>
        <w:t xml:space="preserve"> </w:t>
      </w:r>
      <w:r w:rsidR="005E6DA4">
        <w:rPr>
          <w:szCs w:val="24"/>
        </w:rPr>
        <w:t xml:space="preserve">that </w:t>
      </w:r>
      <w:r w:rsidRPr="00F94737">
        <w:rPr>
          <w:szCs w:val="24"/>
        </w:rPr>
        <w:t xml:space="preserve">the PBAC </w:t>
      </w:r>
      <w:r w:rsidR="003F2326">
        <w:rPr>
          <w:szCs w:val="24"/>
        </w:rPr>
        <w:t>has begun holding consumer hearings</w:t>
      </w:r>
      <w:r w:rsidR="00C3055C">
        <w:rPr>
          <w:szCs w:val="24"/>
        </w:rPr>
        <w:t xml:space="preserve"> prior to each PBAC meeting</w:t>
      </w:r>
      <w:r w:rsidR="00011F0C">
        <w:rPr>
          <w:szCs w:val="24"/>
        </w:rPr>
        <w:t xml:space="preserve">. </w:t>
      </w:r>
      <w:r w:rsidR="00C3055C">
        <w:rPr>
          <w:szCs w:val="24"/>
        </w:rPr>
        <w:t xml:space="preserve"> The first of these hearings preceded the March 2015 PBAC meeting.  Consumer </w:t>
      </w:r>
      <w:r w:rsidR="003F2326" w:rsidRPr="003F2326">
        <w:rPr>
          <w:szCs w:val="24"/>
        </w:rPr>
        <w:t xml:space="preserve">hearings are an opportunity for </w:t>
      </w:r>
      <w:r w:rsidR="003F2326">
        <w:rPr>
          <w:szCs w:val="24"/>
        </w:rPr>
        <w:t>consumer groups</w:t>
      </w:r>
      <w:r w:rsidR="003F2326" w:rsidRPr="003F2326">
        <w:rPr>
          <w:szCs w:val="24"/>
        </w:rPr>
        <w:t xml:space="preserve"> to be heard directly by the PBAC</w:t>
      </w:r>
      <w:r w:rsidR="00A2611B">
        <w:rPr>
          <w:szCs w:val="24"/>
        </w:rPr>
        <w:t>. T</w:t>
      </w:r>
      <w:r w:rsidR="003F2326" w:rsidRPr="003F2326">
        <w:rPr>
          <w:szCs w:val="24"/>
        </w:rPr>
        <w:t xml:space="preserve">he views presented </w:t>
      </w:r>
      <w:r w:rsidR="003F2326" w:rsidRPr="00916C5E">
        <w:rPr>
          <w:szCs w:val="24"/>
        </w:rPr>
        <w:t>contribute</w:t>
      </w:r>
      <w:r w:rsidR="003F2326">
        <w:rPr>
          <w:szCs w:val="24"/>
        </w:rPr>
        <w:t xml:space="preserve"> an </w:t>
      </w:r>
      <w:r w:rsidR="003F2326" w:rsidRPr="003F2326">
        <w:rPr>
          <w:szCs w:val="24"/>
        </w:rPr>
        <w:t>important part of the information which the PBAC takes into consideration</w:t>
      </w:r>
      <w:r w:rsidR="003F2326">
        <w:rPr>
          <w:szCs w:val="24"/>
        </w:rPr>
        <w:t xml:space="preserve"> in its deliberations</w:t>
      </w:r>
      <w:r w:rsidR="003F2326" w:rsidRPr="003F2326">
        <w:rPr>
          <w:szCs w:val="24"/>
        </w:rPr>
        <w:t xml:space="preserve">. </w:t>
      </w:r>
      <w:r w:rsidR="003F2326">
        <w:rPr>
          <w:szCs w:val="24"/>
        </w:rPr>
        <w:t xml:space="preserve">Hearings are also </w:t>
      </w:r>
      <w:r w:rsidR="003F2326" w:rsidRPr="003F2326">
        <w:rPr>
          <w:szCs w:val="24"/>
        </w:rPr>
        <w:t xml:space="preserve">an opportunity for attendees to gain an understanding </w:t>
      </w:r>
      <w:r w:rsidR="00F12D7A">
        <w:rPr>
          <w:szCs w:val="24"/>
        </w:rPr>
        <w:t>of</w:t>
      </w:r>
      <w:r w:rsidR="003F2326" w:rsidRPr="003F2326">
        <w:rPr>
          <w:szCs w:val="24"/>
        </w:rPr>
        <w:t xml:space="preserve"> </w:t>
      </w:r>
      <w:r w:rsidR="00C3055C">
        <w:rPr>
          <w:szCs w:val="24"/>
        </w:rPr>
        <w:t>the</w:t>
      </w:r>
      <w:r w:rsidR="00C3055C" w:rsidRPr="003F2326">
        <w:rPr>
          <w:szCs w:val="24"/>
        </w:rPr>
        <w:t xml:space="preserve"> </w:t>
      </w:r>
      <w:r w:rsidR="003F2326" w:rsidRPr="003F2326">
        <w:rPr>
          <w:szCs w:val="24"/>
        </w:rPr>
        <w:t>factors and issues which the PBAC must consider when making a</w:t>
      </w:r>
      <w:r w:rsidR="003F2326">
        <w:rPr>
          <w:szCs w:val="24"/>
        </w:rPr>
        <w:t xml:space="preserve"> recommendation or providing advice.</w:t>
      </w:r>
      <w:r w:rsidR="003F2326" w:rsidRPr="003F2326">
        <w:rPr>
          <w:szCs w:val="24"/>
        </w:rPr>
        <w:t xml:space="preserve"> </w:t>
      </w:r>
    </w:p>
    <w:p w:rsidR="00F94737" w:rsidRDefault="00F94737" w:rsidP="005E1644">
      <w:pPr>
        <w:widowControl/>
        <w:jc w:val="left"/>
        <w:rPr>
          <w:szCs w:val="24"/>
        </w:rPr>
      </w:pPr>
    </w:p>
    <w:p w:rsidR="00003454" w:rsidRDefault="00105DF3" w:rsidP="005E1644">
      <w:pPr>
        <w:widowControl/>
        <w:jc w:val="left"/>
        <w:rPr>
          <w:szCs w:val="24"/>
        </w:rPr>
      </w:pPr>
      <w:r>
        <w:rPr>
          <w:szCs w:val="24"/>
        </w:rPr>
        <w:t>Th</w:t>
      </w:r>
      <w:r w:rsidR="00F94737">
        <w:rPr>
          <w:szCs w:val="24"/>
        </w:rPr>
        <w:t>is</w:t>
      </w:r>
      <w:r>
        <w:rPr>
          <w:szCs w:val="24"/>
        </w:rPr>
        <w:t xml:space="preserve"> consumer hearing occurred</w:t>
      </w:r>
      <w:r w:rsidR="003E576A" w:rsidRPr="003156CC">
        <w:rPr>
          <w:szCs w:val="24"/>
        </w:rPr>
        <w:t xml:space="preserve"> </w:t>
      </w:r>
      <w:r w:rsidR="005E6DA4">
        <w:rPr>
          <w:szCs w:val="24"/>
        </w:rPr>
        <w:t xml:space="preserve">in the context of </w:t>
      </w:r>
      <w:r w:rsidR="003E576A" w:rsidRPr="003156CC">
        <w:rPr>
          <w:szCs w:val="24"/>
        </w:rPr>
        <w:t xml:space="preserve">the </w:t>
      </w:r>
      <w:r w:rsidR="005E6DA4">
        <w:rPr>
          <w:szCs w:val="24"/>
        </w:rPr>
        <w:t>PBAC</w:t>
      </w:r>
      <w:r w:rsidR="003E576A" w:rsidRPr="003156CC">
        <w:rPr>
          <w:szCs w:val="24"/>
        </w:rPr>
        <w:t xml:space="preserve"> consideration of</w:t>
      </w:r>
      <w:r w:rsidR="00C136E8" w:rsidRPr="00C136E8">
        <w:t xml:space="preserve"> </w:t>
      </w:r>
      <w:proofErr w:type="spellStart"/>
      <w:r w:rsidR="00C136E8" w:rsidRPr="00C136E8">
        <w:rPr>
          <w:szCs w:val="24"/>
        </w:rPr>
        <w:t>Basaglar</w:t>
      </w:r>
      <w:proofErr w:type="spellEnd"/>
      <w:r w:rsidR="00C136E8" w:rsidRPr="00445A80">
        <w:rPr>
          <w:szCs w:val="24"/>
          <w:vertAlign w:val="superscript"/>
        </w:rPr>
        <w:t>®</w:t>
      </w:r>
      <w:r w:rsidR="00C136E8" w:rsidRPr="00C136E8">
        <w:rPr>
          <w:szCs w:val="24"/>
        </w:rPr>
        <w:t xml:space="preserve"> (insulin </w:t>
      </w:r>
      <w:proofErr w:type="spellStart"/>
      <w:r w:rsidR="00C136E8" w:rsidRPr="00C136E8">
        <w:rPr>
          <w:szCs w:val="24"/>
        </w:rPr>
        <w:t>glargine</w:t>
      </w:r>
      <w:proofErr w:type="spellEnd"/>
      <w:r w:rsidR="00C136E8" w:rsidRPr="00C136E8">
        <w:rPr>
          <w:szCs w:val="24"/>
        </w:rPr>
        <w:t>), a biosimilar to Lantus</w:t>
      </w:r>
      <w:r w:rsidR="00C136E8" w:rsidRPr="00445A80">
        <w:rPr>
          <w:szCs w:val="24"/>
          <w:vertAlign w:val="superscript"/>
        </w:rPr>
        <w:t>®</w:t>
      </w:r>
      <w:r w:rsidR="00566AC3">
        <w:rPr>
          <w:szCs w:val="24"/>
        </w:rPr>
        <w:t xml:space="preserve"> at</w:t>
      </w:r>
      <w:r w:rsidR="003E576A" w:rsidRPr="003156CC">
        <w:rPr>
          <w:szCs w:val="24"/>
        </w:rPr>
        <w:t xml:space="preserve"> </w:t>
      </w:r>
      <w:r w:rsidR="00C136E8">
        <w:rPr>
          <w:szCs w:val="24"/>
        </w:rPr>
        <w:t>its March 2015</w:t>
      </w:r>
      <w:r w:rsidR="00107C5E">
        <w:rPr>
          <w:szCs w:val="24"/>
        </w:rPr>
        <w:t xml:space="preserve"> meeting</w:t>
      </w:r>
      <w:r w:rsidR="00A34339">
        <w:rPr>
          <w:szCs w:val="24"/>
        </w:rPr>
        <w:t xml:space="preserve">; </w:t>
      </w:r>
      <w:r w:rsidR="00011F0C">
        <w:rPr>
          <w:szCs w:val="24"/>
        </w:rPr>
        <w:t xml:space="preserve">the PBAC consideration </w:t>
      </w:r>
      <w:r w:rsidR="00A34339">
        <w:rPr>
          <w:szCs w:val="24"/>
        </w:rPr>
        <w:t>of biosi</w:t>
      </w:r>
      <w:r w:rsidR="00566AC3">
        <w:rPr>
          <w:szCs w:val="24"/>
        </w:rPr>
        <w:t>milar subsidy</w:t>
      </w:r>
      <w:r w:rsidR="00A34339">
        <w:rPr>
          <w:szCs w:val="24"/>
        </w:rPr>
        <w:t xml:space="preserve"> in general at its April 2015 special meeting;</w:t>
      </w:r>
      <w:r w:rsidR="003E576A" w:rsidRPr="003156CC">
        <w:rPr>
          <w:szCs w:val="24"/>
        </w:rPr>
        <w:t xml:space="preserve"> and prior to</w:t>
      </w:r>
      <w:r w:rsidR="00011F0C">
        <w:rPr>
          <w:szCs w:val="24"/>
        </w:rPr>
        <w:t xml:space="preserve"> PBAC considering, at its </w:t>
      </w:r>
      <w:r w:rsidR="00ED457E" w:rsidRPr="003156CC">
        <w:rPr>
          <w:szCs w:val="24"/>
        </w:rPr>
        <w:t xml:space="preserve">July </w:t>
      </w:r>
      <w:r w:rsidR="00566AC3">
        <w:rPr>
          <w:szCs w:val="24"/>
        </w:rPr>
        <w:t>2015</w:t>
      </w:r>
      <w:r w:rsidR="00011F0C">
        <w:rPr>
          <w:szCs w:val="24"/>
        </w:rPr>
        <w:t xml:space="preserve"> meeting, </w:t>
      </w:r>
      <w:proofErr w:type="spellStart"/>
      <w:r w:rsidR="003E576A" w:rsidRPr="003156CC">
        <w:rPr>
          <w:szCs w:val="24"/>
        </w:rPr>
        <w:t>Inflectra</w:t>
      </w:r>
      <w:proofErr w:type="spellEnd"/>
      <w:r w:rsidR="00D00CC8" w:rsidRPr="003156CC">
        <w:rPr>
          <w:szCs w:val="24"/>
          <w:vertAlign w:val="superscript"/>
        </w:rPr>
        <w:t>®</w:t>
      </w:r>
      <w:r w:rsidR="003E576A" w:rsidRPr="003156CC">
        <w:rPr>
          <w:szCs w:val="24"/>
        </w:rPr>
        <w:t xml:space="preserve"> (infliximab), </w:t>
      </w:r>
      <w:r w:rsidR="00D00CC8" w:rsidRPr="003156CC">
        <w:rPr>
          <w:szCs w:val="24"/>
        </w:rPr>
        <w:t xml:space="preserve">a biosimilar to </w:t>
      </w:r>
      <w:proofErr w:type="spellStart"/>
      <w:r w:rsidR="003E576A" w:rsidRPr="003156CC">
        <w:rPr>
          <w:szCs w:val="24"/>
        </w:rPr>
        <w:t>Remicade</w:t>
      </w:r>
      <w:proofErr w:type="spellEnd"/>
      <w:r w:rsidR="00D00CC8" w:rsidRPr="003156CC">
        <w:rPr>
          <w:szCs w:val="24"/>
          <w:vertAlign w:val="superscript"/>
        </w:rPr>
        <w:t>®</w:t>
      </w:r>
      <w:r w:rsidR="00162B73">
        <w:rPr>
          <w:szCs w:val="24"/>
        </w:rPr>
        <w:t>.</w:t>
      </w:r>
    </w:p>
    <w:p w:rsidR="005E6DA4" w:rsidRDefault="005E6DA4" w:rsidP="005E1644">
      <w:pPr>
        <w:widowControl/>
        <w:jc w:val="left"/>
        <w:rPr>
          <w:szCs w:val="24"/>
        </w:rPr>
      </w:pPr>
    </w:p>
    <w:p w:rsidR="005E6DA4" w:rsidRPr="00566AC3" w:rsidRDefault="00EB3CAB" w:rsidP="005E1644">
      <w:pPr>
        <w:widowControl/>
        <w:jc w:val="left"/>
        <w:rPr>
          <w:szCs w:val="24"/>
          <w:u w:val="single"/>
        </w:rPr>
      </w:pPr>
      <w:r w:rsidRPr="00EB3CAB">
        <w:rPr>
          <w:szCs w:val="24"/>
          <w:u w:val="single"/>
        </w:rPr>
        <w:t>Opening remarks</w:t>
      </w:r>
    </w:p>
    <w:p w:rsidR="00BA2981" w:rsidRDefault="00003454" w:rsidP="00BA2981">
      <w:pPr>
        <w:widowControl/>
        <w:jc w:val="left"/>
        <w:rPr>
          <w:szCs w:val="24"/>
        </w:rPr>
      </w:pPr>
      <w:r w:rsidRPr="003156CC">
        <w:rPr>
          <w:szCs w:val="24"/>
        </w:rPr>
        <w:t xml:space="preserve">Professor Andrew Wilson, the PBAC Chair, welcomed attendees to the hearing.  He highlighted </w:t>
      </w:r>
      <w:r w:rsidR="005B7E7F" w:rsidRPr="003156CC">
        <w:rPr>
          <w:szCs w:val="24"/>
        </w:rPr>
        <w:t>that the</w:t>
      </w:r>
      <w:r w:rsidR="00BB52B1" w:rsidRPr="003156CC">
        <w:rPr>
          <w:szCs w:val="24"/>
        </w:rPr>
        <w:t xml:space="preserve"> </w:t>
      </w:r>
      <w:r w:rsidR="009C47AE" w:rsidRPr="003156CC">
        <w:rPr>
          <w:szCs w:val="24"/>
        </w:rPr>
        <w:t xml:space="preserve">purpose of </w:t>
      </w:r>
      <w:r w:rsidR="00BB52B1" w:rsidRPr="003156CC">
        <w:rPr>
          <w:szCs w:val="24"/>
        </w:rPr>
        <w:t>consumer hearing</w:t>
      </w:r>
      <w:r w:rsidR="00162B73">
        <w:rPr>
          <w:szCs w:val="24"/>
        </w:rPr>
        <w:t>s</w:t>
      </w:r>
      <w:r w:rsidR="00BB52B1" w:rsidRPr="003156CC">
        <w:rPr>
          <w:szCs w:val="24"/>
        </w:rPr>
        <w:t xml:space="preserve"> is usually to</w:t>
      </w:r>
      <w:r w:rsidRPr="003156CC">
        <w:rPr>
          <w:szCs w:val="24"/>
        </w:rPr>
        <w:t xml:space="preserve"> allow the PBAC to</w:t>
      </w:r>
      <w:r w:rsidR="00BB52B1" w:rsidRPr="003156CC">
        <w:rPr>
          <w:szCs w:val="24"/>
        </w:rPr>
        <w:t xml:space="preserve"> hear from patient groups who have an interest in a drug </w:t>
      </w:r>
      <w:r w:rsidR="00162B73">
        <w:rPr>
          <w:szCs w:val="24"/>
        </w:rPr>
        <w:t xml:space="preserve">that is </w:t>
      </w:r>
      <w:r w:rsidR="00BB52B1" w:rsidRPr="003156CC">
        <w:rPr>
          <w:szCs w:val="24"/>
        </w:rPr>
        <w:t xml:space="preserve">being considered at the subsequent PBAC meeting. </w:t>
      </w:r>
      <w:r w:rsidRPr="003156CC">
        <w:rPr>
          <w:szCs w:val="24"/>
        </w:rPr>
        <w:t xml:space="preserve">In this case, given the high level of interest regarding issues relating to the </w:t>
      </w:r>
      <w:r w:rsidR="00162B73">
        <w:rPr>
          <w:szCs w:val="24"/>
        </w:rPr>
        <w:t>subsidy</w:t>
      </w:r>
      <w:r w:rsidR="00162B73" w:rsidRPr="003156CC">
        <w:rPr>
          <w:szCs w:val="24"/>
        </w:rPr>
        <w:t xml:space="preserve"> </w:t>
      </w:r>
      <w:r w:rsidRPr="003156CC">
        <w:rPr>
          <w:szCs w:val="24"/>
        </w:rPr>
        <w:t>of biosimilar</w:t>
      </w:r>
      <w:r w:rsidR="004F3D85" w:rsidRPr="003156CC">
        <w:rPr>
          <w:szCs w:val="24"/>
        </w:rPr>
        <w:t xml:space="preserve"> medicines</w:t>
      </w:r>
      <w:r w:rsidRPr="003156CC">
        <w:rPr>
          <w:szCs w:val="24"/>
        </w:rPr>
        <w:t xml:space="preserve">, </w:t>
      </w:r>
      <w:r w:rsidR="00E85338">
        <w:rPr>
          <w:szCs w:val="24"/>
        </w:rPr>
        <w:t>t</w:t>
      </w:r>
      <w:r w:rsidR="0064714A" w:rsidRPr="003156CC">
        <w:rPr>
          <w:szCs w:val="24"/>
        </w:rPr>
        <w:t xml:space="preserve">he </w:t>
      </w:r>
      <w:r w:rsidR="00E85338">
        <w:rPr>
          <w:szCs w:val="24"/>
        </w:rPr>
        <w:t>hearing</w:t>
      </w:r>
      <w:r w:rsidR="00C85F0B" w:rsidRPr="003156CC">
        <w:rPr>
          <w:szCs w:val="24"/>
        </w:rPr>
        <w:t xml:space="preserve"> had been broadened to </w:t>
      </w:r>
      <w:r w:rsidR="00E85338">
        <w:rPr>
          <w:szCs w:val="24"/>
        </w:rPr>
        <w:t>provide</w:t>
      </w:r>
      <w:r w:rsidRPr="003156CC">
        <w:rPr>
          <w:szCs w:val="24"/>
        </w:rPr>
        <w:t xml:space="preserve"> </w:t>
      </w:r>
      <w:r w:rsidR="0064714A" w:rsidRPr="003156CC">
        <w:rPr>
          <w:szCs w:val="24"/>
        </w:rPr>
        <w:t>consumer organisations, clinical groups</w:t>
      </w:r>
      <w:r w:rsidR="00C85F0B" w:rsidRPr="003156CC">
        <w:rPr>
          <w:szCs w:val="24"/>
        </w:rPr>
        <w:t xml:space="preserve"> and</w:t>
      </w:r>
      <w:r w:rsidRPr="003156CC">
        <w:rPr>
          <w:szCs w:val="24"/>
        </w:rPr>
        <w:t xml:space="preserve"> industry representatives</w:t>
      </w:r>
      <w:r w:rsidR="00E85338">
        <w:rPr>
          <w:szCs w:val="24"/>
        </w:rPr>
        <w:t xml:space="preserve"> the opportunity to</w:t>
      </w:r>
      <w:r w:rsidR="00C85F0B" w:rsidRPr="003156CC">
        <w:rPr>
          <w:szCs w:val="24"/>
        </w:rPr>
        <w:t xml:space="preserve"> attend and </w:t>
      </w:r>
      <w:r w:rsidR="00E85338">
        <w:rPr>
          <w:szCs w:val="24"/>
        </w:rPr>
        <w:lastRenderedPageBreak/>
        <w:t xml:space="preserve">allow </w:t>
      </w:r>
      <w:r w:rsidR="00C85F0B" w:rsidRPr="003156CC">
        <w:rPr>
          <w:szCs w:val="24"/>
        </w:rPr>
        <w:t>the PBAC to h</w:t>
      </w:r>
      <w:r w:rsidR="00BB52B1" w:rsidRPr="003156CC">
        <w:rPr>
          <w:szCs w:val="24"/>
        </w:rPr>
        <w:t xml:space="preserve">ear directly </w:t>
      </w:r>
      <w:r w:rsidR="00C0759C" w:rsidRPr="003156CC">
        <w:rPr>
          <w:szCs w:val="24"/>
        </w:rPr>
        <w:t xml:space="preserve">some of the broader </w:t>
      </w:r>
      <w:r w:rsidR="00A2611B">
        <w:rPr>
          <w:szCs w:val="24"/>
        </w:rPr>
        <w:t>views</w:t>
      </w:r>
      <w:r w:rsidR="00A2611B" w:rsidRPr="003156CC">
        <w:rPr>
          <w:szCs w:val="24"/>
        </w:rPr>
        <w:t xml:space="preserve"> </w:t>
      </w:r>
      <w:r w:rsidR="00C85F0B" w:rsidRPr="003156CC">
        <w:rPr>
          <w:szCs w:val="24"/>
        </w:rPr>
        <w:t xml:space="preserve">which </w:t>
      </w:r>
      <w:r w:rsidR="003F2326">
        <w:rPr>
          <w:szCs w:val="24"/>
        </w:rPr>
        <w:t xml:space="preserve">PBAC </w:t>
      </w:r>
      <w:r w:rsidR="00C85F0B" w:rsidRPr="003156CC">
        <w:rPr>
          <w:szCs w:val="24"/>
        </w:rPr>
        <w:t>should</w:t>
      </w:r>
      <w:r w:rsidR="00BB52B1" w:rsidRPr="003156CC">
        <w:rPr>
          <w:szCs w:val="24"/>
        </w:rPr>
        <w:t xml:space="preserve"> consider</w:t>
      </w:r>
      <w:r w:rsidR="00E85338">
        <w:rPr>
          <w:szCs w:val="24"/>
        </w:rPr>
        <w:t xml:space="preserve"> in its deliberations</w:t>
      </w:r>
      <w:r w:rsidR="00BB52B1" w:rsidRPr="003156CC">
        <w:rPr>
          <w:szCs w:val="24"/>
        </w:rPr>
        <w:t>.</w:t>
      </w:r>
    </w:p>
    <w:p w:rsidR="00003454" w:rsidRPr="003156CC" w:rsidRDefault="00E85338" w:rsidP="00BA2981">
      <w:pPr>
        <w:widowControl/>
        <w:jc w:val="left"/>
        <w:rPr>
          <w:szCs w:val="24"/>
        </w:rPr>
      </w:pPr>
      <w:r>
        <w:rPr>
          <w:szCs w:val="24"/>
        </w:rPr>
        <w:t xml:space="preserve"> </w:t>
      </w:r>
    </w:p>
    <w:p w:rsidR="002866FB" w:rsidRDefault="00D95F82" w:rsidP="005E1644">
      <w:pPr>
        <w:widowControl/>
        <w:jc w:val="left"/>
        <w:rPr>
          <w:szCs w:val="24"/>
        </w:rPr>
      </w:pPr>
      <w:r>
        <w:rPr>
          <w:szCs w:val="24"/>
        </w:rPr>
        <w:t>The PBAC which was</w:t>
      </w:r>
      <w:r w:rsidR="00C85F0B" w:rsidRPr="003156CC">
        <w:rPr>
          <w:szCs w:val="24"/>
        </w:rPr>
        <w:t xml:space="preserve"> established under the </w:t>
      </w:r>
      <w:r w:rsidR="00C85F0B" w:rsidRPr="003156CC">
        <w:rPr>
          <w:i/>
          <w:szCs w:val="24"/>
        </w:rPr>
        <w:t>National Health Act 1953</w:t>
      </w:r>
      <w:r w:rsidR="009C698D" w:rsidRPr="003156CC">
        <w:rPr>
          <w:i/>
          <w:szCs w:val="24"/>
        </w:rPr>
        <w:t xml:space="preserve"> (</w:t>
      </w:r>
      <w:r w:rsidR="00E85338">
        <w:rPr>
          <w:szCs w:val="24"/>
        </w:rPr>
        <w:t>the Act</w:t>
      </w:r>
      <w:r w:rsidR="009C698D" w:rsidRPr="003156CC">
        <w:rPr>
          <w:i/>
          <w:szCs w:val="24"/>
        </w:rPr>
        <w:t>)</w:t>
      </w:r>
      <w:r>
        <w:rPr>
          <w:i/>
          <w:szCs w:val="24"/>
        </w:rPr>
        <w:t xml:space="preserve"> </w:t>
      </w:r>
      <w:r w:rsidR="00EB3CAB" w:rsidRPr="00EB3CAB">
        <w:rPr>
          <w:szCs w:val="24"/>
        </w:rPr>
        <w:t>has two broad roles</w:t>
      </w:r>
      <w:r w:rsidR="00D00CC8" w:rsidRPr="003156CC">
        <w:rPr>
          <w:szCs w:val="24"/>
        </w:rPr>
        <w:t xml:space="preserve">: firstly, </w:t>
      </w:r>
      <w:r w:rsidR="00BA631B" w:rsidRPr="003156CC">
        <w:rPr>
          <w:szCs w:val="24"/>
        </w:rPr>
        <w:t xml:space="preserve">to recommend to the Minister </w:t>
      </w:r>
      <w:r w:rsidR="00D00CC8" w:rsidRPr="003156CC">
        <w:rPr>
          <w:szCs w:val="24"/>
        </w:rPr>
        <w:t xml:space="preserve">which </w:t>
      </w:r>
      <w:r w:rsidR="00D00CC8" w:rsidRPr="002963C1">
        <w:rPr>
          <w:szCs w:val="24"/>
        </w:rPr>
        <w:t>drugs</w:t>
      </w:r>
      <w:r w:rsidR="002963C1">
        <w:rPr>
          <w:szCs w:val="24"/>
        </w:rPr>
        <w:t xml:space="preserve"> and medicinal preparations</w:t>
      </w:r>
      <w:r w:rsidR="00D00CC8" w:rsidRPr="003156CC">
        <w:rPr>
          <w:b/>
          <w:szCs w:val="24"/>
        </w:rPr>
        <w:t xml:space="preserve"> </w:t>
      </w:r>
      <w:r w:rsidR="00BA631B" w:rsidRPr="003156CC">
        <w:rPr>
          <w:szCs w:val="24"/>
        </w:rPr>
        <w:t xml:space="preserve">should be listed on the </w:t>
      </w:r>
      <w:r w:rsidR="00445A80">
        <w:rPr>
          <w:szCs w:val="24"/>
        </w:rPr>
        <w:t>PBS</w:t>
      </w:r>
      <w:r w:rsidR="00BA631B" w:rsidRPr="003156CC">
        <w:rPr>
          <w:szCs w:val="24"/>
        </w:rPr>
        <w:t>, and</w:t>
      </w:r>
      <w:r w:rsidR="00D00CC8" w:rsidRPr="003156CC">
        <w:rPr>
          <w:szCs w:val="24"/>
        </w:rPr>
        <w:t xml:space="preserve"> secondly</w:t>
      </w:r>
      <w:r w:rsidR="00BA631B" w:rsidRPr="003156CC">
        <w:rPr>
          <w:szCs w:val="24"/>
        </w:rPr>
        <w:t xml:space="preserve">, </w:t>
      </w:r>
      <w:r w:rsidR="00D00CC8" w:rsidRPr="003156CC">
        <w:rPr>
          <w:szCs w:val="24"/>
        </w:rPr>
        <w:t>to</w:t>
      </w:r>
      <w:r w:rsidR="00BA631B" w:rsidRPr="003156CC">
        <w:rPr>
          <w:szCs w:val="24"/>
        </w:rPr>
        <w:t xml:space="preserve"> provide advice at the request of the Minister on other matters relating to the PBS.</w:t>
      </w:r>
      <w:r w:rsidR="00D00CC8" w:rsidRPr="003156CC">
        <w:rPr>
          <w:szCs w:val="24"/>
        </w:rPr>
        <w:t xml:space="preserve">  </w:t>
      </w:r>
      <w:r w:rsidR="003F2326" w:rsidRPr="00BA779D">
        <w:rPr>
          <w:szCs w:val="24"/>
        </w:rPr>
        <w:t>I</w:t>
      </w:r>
      <w:r w:rsidR="00D00CC8" w:rsidRPr="00BA779D">
        <w:rPr>
          <w:szCs w:val="24"/>
        </w:rPr>
        <w:t xml:space="preserve">t </w:t>
      </w:r>
      <w:r w:rsidR="003F2326" w:rsidRPr="00BA779D">
        <w:rPr>
          <w:szCs w:val="24"/>
        </w:rPr>
        <w:t>i</w:t>
      </w:r>
      <w:r w:rsidR="00D00CC8" w:rsidRPr="00BA779D">
        <w:rPr>
          <w:szCs w:val="24"/>
        </w:rPr>
        <w:t>s in this</w:t>
      </w:r>
      <w:r w:rsidR="00581399" w:rsidRPr="00BA779D">
        <w:rPr>
          <w:szCs w:val="24"/>
        </w:rPr>
        <w:t xml:space="preserve"> </w:t>
      </w:r>
      <w:r w:rsidR="00E85338" w:rsidRPr="00BA779D">
        <w:rPr>
          <w:szCs w:val="24"/>
        </w:rPr>
        <w:t xml:space="preserve">second </w:t>
      </w:r>
      <w:r w:rsidR="00581399" w:rsidRPr="00BA779D">
        <w:rPr>
          <w:szCs w:val="24"/>
        </w:rPr>
        <w:t>context</w:t>
      </w:r>
      <w:r w:rsidR="003F2326">
        <w:rPr>
          <w:szCs w:val="24"/>
        </w:rPr>
        <w:t>,</w:t>
      </w:r>
      <w:r w:rsidR="00D00CC8" w:rsidRPr="003156CC">
        <w:rPr>
          <w:szCs w:val="24"/>
        </w:rPr>
        <w:t xml:space="preserve"> that</w:t>
      </w:r>
      <w:r w:rsidR="00581399" w:rsidRPr="003156CC">
        <w:rPr>
          <w:szCs w:val="24"/>
        </w:rPr>
        <w:t xml:space="preserve"> the PBAC </w:t>
      </w:r>
      <w:r w:rsidR="003F2326">
        <w:rPr>
          <w:szCs w:val="24"/>
        </w:rPr>
        <w:t>is</w:t>
      </w:r>
      <w:r w:rsidR="00581399" w:rsidRPr="003156CC">
        <w:rPr>
          <w:szCs w:val="24"/>
        </w:rPr>
        <w:t xml:space="preserve"> considering both the listing of specific biosimilar </w:t>
      </w:r>
      <w:r w:rsidR="00162B73">
        <w:rPr>
          <w:szCs w:val="24"/>
        </w:rPr>
        <w:t>medicines</w:t>
      </w:r>
      <w:r w:rsidR="00162B73" w:rsidRPr="003156CC">
        <w:rPr>
          <w:szCs w:val="24"/>
        </w:rPr>
        <w:t xml:space="preserve"> </w:t>
      </w:r>
      <w:r w:rsidR="00581399" w:rsidRPr="003156CC">
        <w:rPr>
          <w:szCs w:val="24"/>
        </w:rPr>
        <w:t xml:space="preserve">and providing advice </w:t>
      </w:r>
      <w:r w:rsidR="00E85338">
        <w:rPr>
          <w:szCs w:val="24"/>
        </w:rPr>
        <w:t xml:space="preserve">on </w:t>
      </w:r>
      <w:r w:rsidR="00581399" w:rsidRPr="003156CC">
        <w:rPr>
          <w:szCs w:val="24"/>
        </w:rPr>
        <w:t xml:space="preserve">some of the policy </w:t>
      </w:r>
      <w:r>
        <w:rPr>
          <w:szCs w:val="24"/>
        </w:rPr>
        <w:t>issues</w:t>
      </w:r>
      <w:r w:rsidRPr="003156CC">
        <w:rPr>
          <w:szCs w:val="24"/>
        </w:rPr>
        <w:t xml:space="preserve"> </w:t>
      </w:r>
      <w:r w:rsidR="00581399" w:rsidRPr="003156CC">
        <w:rPr>
          <w:szCs w:val="24"/>
        </w:rPr>
        <w:t>relating to</w:t>
      </w:r>
      <w:r w:rsidR="003F2326">
        <w:rPr>
          <w:szCs w:val="24"/>
        </w:rPr>
        <w:t xml:space="preserve"> the subsidy of</w:t>
      </w:r>
      <w:r w:rsidR="00581399" w:rsidRPr="003156CC">
        <w:rPr>
          <w:szCs w:val="24"/>
        </w:rPr>
        <w:t xml:space="preserve"> biosimilars</w:t>
      </w:r>
      <w:r w:rsidR="003F2326">
        <w:rPr>
          <w:szCs w:val="24"/>
        </w:rPr>
        <w:t xml:space="preserve"> though the PBS.</w:t>
      </w:r>
    </w:p>
    <w:p w:rsidR="002866FB" w:rsidRDefault="002866FB" w:rsidP="005E1644">
      <w:pPr>
        <w:widowControl/>
        <w:jc w:val="left"/>
        <w:rPr>
          <w:szCs w:val="24"/>
        </w:rPr>
      </w:pPr>
    </w:p>
    <w:p w:rsidR="008C31C9" w:rsidRDefault="002866FB" w:rsidP="005E1644">
      <w:pPr>
        <w:widowControl/>
        <w:tabs>
          <w:tab w:val="left" w:pos="2220"/>
        </w:tabs>
        <w:jc w:val="left"/>
        <w:rPr>
          <w:szCs w:val="24"/>
        </w:rPr>
      </w:pPr>
      <w:r w:rsidRPr="002866FB">
        <w:rPr>
          <w:szCs w:val="24"/>
        </w:rPr>
        <w:t xml:space="preserve">Biosimilars are copies of biologic </w:t>
      </w:r>
      <w:r>
        <w:rPr>
          <w:szCs w:val="24"/>
        </w:rPr>
        <w:t>medicines</w:t>
      </w:r>
      <w:r w:rsidRPr="002866FB">
        <w:rPr>
          <w:szCs w:val="24"/>
        </w:rPr>
        <w:t xml:space="preserve">. However, because of both the complex nature of biologics and the way they are made, even though biosimilar </w:t>
      </w:r>
      <w:r>
        <w:rPr>
          <w:szCs w:val="24"/>
        </w:rPr>
        <w:t>medicines</w:t>
      </w:r>
      <w:r w:rsidRPr="002866FB">
        <w:rPr>
          <w:szCs w:val="24"/>
        </w:rPr>
        <w:t xml:space="preserve"> act in the same way as the </w:t>
      </w:r>
      <w:r>
        <w:rPr>
          <w:szCs w:val="24"/>
        </w:rPr>
        <w:t xml:space="preserve">original </w:t>
      </w:r>
      <w:r w:rsidRPr="002866FB">
        <w:rPr>
          <w:szCs w:val="24"/>
        </w:rPr>
        <w:t>patented biologic</w:t>
      </w:r>
      <w:r>
        <w:rPr>
          <w:szCs w:val="24"/>
        </w:rPr>
        <w:t xml:space="preserve"> medicine</w:t>
      </w:r>
      <w:r w:rsidRPr="002866FB">
        <w:rPr>
          <w:szCs w:val="24"/>
        </w:rPr>
        <w:t>, they may not be exactly the same.</w:t>
      </w:r>
    </w:p>
    <w:p w:rsidR="008C31C9" w:rsidRDefault="008C31C9" w:rsidP="005E1644">
      <w:pPr>
        <w:widowControl/>
        <w:jc w:val="left"/>
        <w:rPr>
          <w:szCs w:val="24"/>
        </w:rPr>
      </w:pPr>
    </w:p>
    <w:p w:rsidR="008C31C9" w:rsidRDefault="00BC02F3" w:rsidP="005E1644">
      <w:pPr>
        <w:widowControl/>
        <w:jc w:val="left"/>
        <w:rPr>
          <w:szCs w:val="24"/>
        </w:rPr>
      </w:pPr>
      <w:r w:rsidRPr="00CF37C0">
        <w:rPr>
          <w:szCs w:val="24"/>
        </w:rPr>
        <w:t>There are over 65 biological medicines currently funded through the PBS</w:t>
      </w:r>
      <w:r w:rsidR="00162B73">
        <w:rPr>
          <w:szCs w:val="24"/>
        </w:rPr>
        <w:t>:</w:t>
      </w:r>
    </w:p>
    <w:p w:rsidR="00D00CC8" w:rsidRPr="003156CC" w:rsidRDefault="00BC02F3" w:rsidP="00445A80">
      <w:pPr>
        <w:pStyle w:val="ListParagraph"/>
        <w:widowControl/>
        <w:numPr>
          <w:ilvl w:val="0"/>
          <w:numId w:val="6"/>
        </w:numPr>
        <w:ind w:left="284" w:hanging="284"/>
        <w:jc w:val="left"/>
        <w:rPr>
          <w:szCs w:val="24"/>
        </w:rPr>
      </w:pPr>
      <w:r w:rsidRPr="003156CC">
        <w:rPr>
          <w:szCs w:val="24"/>
        </w:rPr>
        <w:t>Expenditure on biologics has increased from approximately $1 billion in 2009-10 to around $2.3 billion in 2013-14 (an increase of 130 per cent).</w:t>
      </w:r>
    </w:p>
    <w:p w:rsidR="00D00CC8" w:rsidRPr="003156CC" w:rsidRDefault="00BC02F3" w:rsidP="00445A80">
      <w:pPr>
        <w:pStyle w:val="ListParagraph"/>
        <w:widowControl/>
        <w:numPr>
          <w:ilvl w:val="0"/>
          <w:numId w:val="6"/>
        </w:numPr>
        <w:ind w:left="284" w:hanging="284"/>
        <w:jc w:val="left"/>
        <w:rPr>
          <w:szCs w:val="24"/>
        </w:rPr>
      </w:pPr>
      <w:r w:rsidRPr="003156CC">
        <w:rPr>
          <w:szCs w:val="24"/>
        </w:rPr>
        <w:t xml:space="preserve">Of the ten most expensive PBS medicines in 2013-14, five were biologics with a combined cost to government of $860 million in 2013-14.  </w:t>
      </w:r>
    </w:p>
    <w:p w:rsidR="00D00CC8" w:rsidRPr="003156CC" w:rsidRDefault="00BC02F3" w:rsidP="00445A80">
      <w:pPr>
        <w:pStyle w:val="ListParagraph"/>
        <w:widowControl/>
        <w:numPr>
          <w:ilvl w:val="0"/>
          <w:numId w:val="6"/>
        </w:numPr>
        <w:ind w:left="284" w:hanging="284"/>
        <w:jc w:val="left"/>
        <w:rPr>
          <w:szCs w:val="24"/>
        </w:rPr>
      </w:pPr>
      <w:r w:rsidRPr="003156CC">
        <w:rPr>
          <w:szCs w:val="24"/>
        </w:rPr>
        <w:t>Currently only a modest portion of biosimilar</w:t>
      </w:r>
      <w:r w:rsidR="0064714A" w:rsidRPr="003156CC">
        <w:rPr>
          <w:szCs w:val="24"/>
        </w:rPr>
        <w:t xml:space="preserve"> medicine</w:t>
      </w:r>
      <w:r w:rsidRPr="003156CC">
        <w:rPr>
          <w:szCs w:val="24"/>
        </w:rPr>
        <w:t>s available overseas (in particular Europe) a</w:t>
      </w:r>
      <w:r w:rsidR="00116BC8" w:rsidRPr="003156CC">
        <w:rPr>
          <w:szCs w:val="24"/>
        </w:rPr>
        <w:t>re on the market in Australia.</w:t>
      </w:r>
    </w:p>
    <w:p w:rsidR="00D00CC8" w:rsidRPr="003156CC" w:rsidRDefault="00D00CC8" w:rsidP="00445A80">
      <w:pPr>
        <w:pStyle w:val="ListParagraph"/>
        <w:widowControl/>
        <w:numPr>
          <w:ilvl w:val="0"/>
          <w:numId w:val="6"/>
        </w:numPr>
        <w:ind w:left="284" w:hanging="284"/>
        <w:jc w:val="left"/>
        <w:rPr>
          <w:szCs w:val="24"/>
        </w:rPr>
      </w:pPr>
      <w:r w:rsidRPr="003156CC">
        <w:rPr>
          <w:szCs w:val="24"/>
        </w:rPr>
        <w:t xml:space="preserve">All </w:t>
      </w:r>
      <w:r w:rsidR="00517F6D" w:rsidRPr="003156CC">
        <w:rPr>
          <w:szCs w:val="24"/>
        </w:rPr>
        <w:t>biosimilar</w:t>
      </w:r>
      <w:r w:rsidRPr="003156CC">
        <w:rPr>
          <w:szCs w:val="24"/>
        </w:rPr>
        <w:t xml:space="preserve"> medicines are</w:t>
      </w:r>
      <w:r w:rsidR="00517F6D" w:rsidRPr="003156CC">
        <w:rPr>
          <w:szCs w:val="24"/>
        </w:rPr>
        <w:t xml:space="preserve"> assessed by the TGA for safety and </w:t>
      </w:r>
      <w:r w:rsidR="00282136" w:rsidRPr="003156CC">
        <w:rPr>
          <w:szCs w:val="24"/>
        </w:rPr>
        <w:t>eff</w:t>
      </w:r>
      <w:r w:rsidR="00282136">
        <w:rPr>
          <w:szCs w:val="24"/>
        </w:rPr>
        <w:t>icacy</w:t>
      </w:r>
      <w:r w:rsidR="00282136" w:rsidRPr="003156CC">
        <w:rPr>
          <w:szCs w:val="24"/>
        </w:rPr>
        <w:t xml:space="preserve"> </w:t>
      </w:r>
      <w:r w:rsidR="00517F6D" w:rsidRPr="003156CC">
        <w:rPr>
          <w:szCs w:val="24"/>
        </w:rPr>
        <w:t xml:space="preserve">in treating specific </w:t>
      </w:r>
      <w:r w:rsidR="00BC02F3" w:rsidRPr="003156CC">
        <w:rPr>
          <w:szCs w:val="24"/>
        </w:rPr>
        <w:t>conditions</w:t>
      </w:r>
      <w:r w:rsidR="00517F6D" w:rsidRPr="003156CC">
        <w:rPr>
          <w:szCs w:val="24"/>
        </w:rPr>
        <w:t xml:space="preserve">. </w:t>
      </w:r>
    </w:p>
    <w:p w:rsidR="00517F6D" w:rsidRPr="003156CC" w:rsidRDefault="00517F6D" w:rsidP="00445A80">
      <w:pPr>
        <w:pStyle w:val="ListParagraph"/>
        <w:widowControl/>
        <w:numPr>
          <w:ilvl w:val="0"/>
          <w:numId w:val="6"/>
        </w:numPr>
        <w:ind w:left="284" w:hanging="284"/>
        <w:jc w:val="left"/>
        <w:rPr>
          <w:szCs w:val="24"/>
        </w:rPr>
      </w:pPr>
      <w:r w:rsidRPr="003156CC">
        <w:rPr>
          <w:szCs w:val="24"/>
        </w:rPr>
        <w:t>Before a biosimilar</w:t>
      </w:r>
      <w:r w:rsidR="0064714A" w:rsidRPr="003156CC">
        <w:rPr>
          <w:szCs w:val="24"/>
        </w:rPr>
        <w:t xml:space="preserve"> medicine</w:t>
      </w:r>
      <w:r w:rsidRPr="003156CC">
        <w:rPr>
          <w:szCs w:val="24"/>
        </w:rPr>
        <w:t xml:space="preserve"> can be list</w:t>
      </w:r>
      <w:r w:rsidR="00D00CC8" w:rsidRPr="003156CC">
        <w:rPr>
          <w:szCs w:val="24"/>
        </w:rPr>
        <w:t>ed</w:t>
      </w:r>
      <w:r w:rsidRPr="003156CC">
        <w:rPr>
          <w:szCs w:val="24"/>
        </w:rPr>
        <w:t xml:space="preserve"> on the PBS</w:t>
      </w:r>
      <w:r w:rsidR="00D00CC8" w:rsidRPr="003156CC">
        <w:rPr>
          <w:szCs w:val="24"/>
        </w:rPr>
        <w:t>,</w:t>
      </w:r>
      <w:r w:rsidRPr="003156CC">
        <w:rPr>
          <w:szCs w:val="24"/>
        </w:rPr>
        <w:t xml:space="preserve"> it must have </w:t>
      </w:r>
      <w:r w:rsidR="007006AC" w:rsidRPr="003156CC">
        <w:rPr>
          <w:szCs w:val="24"/>
        </w:rPr>
        <w:t xml:space="preserve">been deemed by </w:t>
      </w:r>
      <w:r w:rsidRPr="003156CC">
        <w:rPr>
          <w:szCs w:val="24"/>
        </w:rPr>
        <w:t xml:space="preserve">the TGA </w:t>
      </w:r>
      <w:r w:rsidR="007006AC" w:rsidRPr="003156CC">
        <w:rPr>
          <w:szCs w:val="24"/>
        </w:rPr>
        <w:t xml:space="preserve">to be </w:t>
      </w:r>
      <w:r w:rsidRPr="003156CC">
        <w:rPr>
          <w:szCs w:val="24"/>
        </w:rPr>
        <w:t>as safe and effective</w:t>
      </w:r>
      <w:r w:rsidR="00FC27B3" w:rsidRPr="003156CC">
        <w:rPr>
          <w:szCs w:val="24"/>
        </w:rPr>
        <w:t xml:space="preserve"> as the reference biologic</w:t>
      </w:r>
      <w:r w:rsidRPr="003156CC">
        <w:rPr>
          <w:szCs w:val="24"/>
        </w:rPr>
        <w:t>.</w:t>
      </w:r>
    </w:p>
    <w:p w:rsidR="00116BC8" w:rsidRDefault="00116BC8" w:rsidP="005E1644">
      <w:pPr>
        <w:widowControl/>
        <w:jc w:val="left"/>
        <w:rPr>
          <w:szCs w:val="24"/>
        </w:rPr>
      </w:pPr>
    </w:p>
    <w:p w:rsidR="00A2611B" w:rsidRDefault="00A2611B" w:rsidP="005E1644">
      <w:pPr>
        <w:widowControl/>
        <w:jc w:val="left"/>
        <w:rPr>
          <w:szCs w:val="24"/>
        </w:rPr>
      </w:pPr>
      <w:r>
        <w:rPr>
          <w:szCs w:val="24"/>
        </w:rPr>
        <w:t>The budget</w:t>
      </w:r>
      <w:r w:rsidR="00CA70A0">
        <w:rPr>
          <w:szCs w:val="24"/>
        </w:rPr>
        <w:t>a</w:t>
      </w:r>
      <w:r>
        <w:rPr>
          <w:szCs w:val="24"/>
        </w:rPr>
        <w:t>ry</w:t>
      </w:r>
      <w:r w:rsidR="00CA70A0">
        <w:rPr>
          <w:szCs w:val="24"/>
        </w:rPr>
        <w:t xml:space="preserve"> implications of biologics will continue to grow into the future.  </w:t>
      </w:r>
      <w:r w:rsidR="00400583">
        <w:rPr>
          <w:szCs w:val="24"/>
        </w:rPr>
        <w:t xml:space="preserve">The availability of biosimilar medicines may improve access to biologicals for more patients and </w:t>
      </w:r>
      <w:r w:rsidR="00F12D7A">
        <w:rPr>
          <w:szCs w:val="24"/>
        </w:rPr>
        <w:t>will</w:t>
      </w:r>
      <w:r w:rsidR="00400583">
        <w:rPr>
          <w:szCs w:val="24"/>
        </w:rPr>
        <w:t xml:space="preserve"> contribute to the financial sustainability of the Australian health care system.</w:t>
      </w:r>
    </w:p>
    <w:p w:rsidR="00A2611B" w:rsidRPr="003156CC" w:rsidRDefault="00A2611B" w:rsidP="005E1644">
      <w:pPr>
        <w:widowControl/>
        <w:jc w:val="left"/>
        <w:rPr>
          <w:szCs w:val="24"/>
        </w:rPr>
      </w:pPr>
    </w:p>
    <w:p w:rsidR="0039025E" w:rsidRPr="003156CC" w:rsidRDefault="003F2326" w:rsidP="005E1644">
      <w:pPr>
        <w:widowControl/>
        <w:jc w:val="left"/>
        <w:rPr>
          <w:szCs w:val="24"/>
        </w:rPr>
      </w:pPr>
      <w:r>
        <w:rPr>
          <w:szCs w:val="24"/>
        </w:rPr>
        <w:t>M</w:t>
      </w:r>
      <w:r w:rsidR="00116BC8" w:rsidRPr="003156CC">
        <w:rPr>
          <w:szCs w:val="24"/>
        </w:rPr>
        <w:t xml:space="preserve">uch of the </w:t>
      </w:r>
      <w:r w:rsidR="00F612BF" w:rsidRPr="003156CC">
        <w:rPr>
          <w:szCs w:val="24"/>
        </w:rPr>
        <w:t xml:space="preserve">recent </w:t>
      </w:r>
      <w:r w:rsidR="00116BC8" w:rsidRPr="003156CC">
        <w:rPr>
          <w:szCs w:val="24"/>
        </w:rPr>
        <w:t xml:space="preserve">public discussion about the </w:t>
      </w:r>
      <w:r>
        <w:rPr>
          <w:szCs w:val="24"/>
        </w:rPr>
        <w:t>PBS subsidy</w:t>
      </w:r>
      <w:r w:rsidRPr="003156CC">
        <w:rPr>
          <w:szCs w:val="24"/>
        </w:rPr>
        <w:t xml:space="preserve"> </w:t>
      </w:r>
      <w:r w:rsidR="00F612BF" w:rsidRPr="003156CC">
        <w:rPr>
          <w:szCs w:val="24"/>
        </w:rPr>
        <w:t>and use</w:t>
      </w:r>
      <w:r w:rsidR="00116BC8" w:rsidRPr="003156CC">
        <w:rPr>
          <w:szCs w:val="24"/>
        </w:rPr>
        <w:t xml:space="preserve"> of biosimilar</w:t>
      </w:r>
      <w:r w:rsidR="00F612BF" w:rsidRPr="003156CC">
        <w:rPr>
          <w:szCs w:val="24"/>
        </w:rPr>
        <w:t xml:space="preserve"> medicines</w:t>
      </w:r>
      <w:r w:rsidR="00116BC8" w:rsidRPr="003156CC">
        <w:rPr>
          <w:szCs w:val="24"/>
        </w:rPr>
        <w:t xml:space="preserve"> has focussed on </w:t>
      </w:r>
      <w:r w:rsidR="00F612BF" w:rsidRPr="003156CC">
        <w:rPr>
          <w:szCs w:val="24"/>
        </w:rPr>
        <w:t xml:space="preserve">substitutability, that is, </w:t>
      </w:r>
      <w:r w:rsidR="00116BC8" w:rsidRPr="003156CC">
        <w:rPr>
          <w:szCs w:val="24"/>
        </w:rPr>
        <w:t xml:space="preserve">whether </w:t>
      </w:r>
      <w:r w:rsidR="00F612BF" w:rsidRPr="003156CC">
        <w:rPr>
          <w:szCs w:val="24"/>
        </w:rPr>
        <w:t>a</w:t>
      </w:r>
      <w:r w:rsidR="00116BC8" w:rsidRPr="003156CC">
        <w:rPr>
          <w:szCs w:val="24"/>
        </w:rPr>
        <w:t xml:space="preserve"> pharmacist should be able to substitute biosimilar</w:t>
      </w:r>
      <w:r w:rsidR="0064714A" w:rsidRPr="003156CC">
        <w:rPr>
          <w:szCs w:val="24"/>
        </w:rPr>
        <w:t xml:space="preserve"> medicine</w:t>
      </w:r>
      <w:r w:rsidR="00116BC8" w:rsidRPr="003156CC">
        <w:rPr>
          <w:szCs w:val="24"/>
        </w:rPr>
        <w:t xml:space="preserve">s for </w:t>
      </w:r>
      <w:r w:rsidR="007006AC" w:rsidRPr="003156CC">
        <w:rPr>
          <w:szCs w:val="24"/>
        </w:rPr>
        <w:t>reference biologics</w:t>
      </w:r>
      <w:r w:rsidR="00F612BF" w:rsidRPr="003156CC">
        <w:rPr>
          <w:szCs w:val="24"/>
        </w:rPr>
        <w:t xml:space="preserve"> at the point of dispensing, without reference to the </w:t>
      </w:r>
      <w:r w:rsidR="00244B26">
        <w:rPr>
          <w:szCs w:val="24"/>
        </w:rPr>
        <w:t>prescriber</w:t>
      </w:r>
      <w:r w:rsidR="00116BC8" w:rsidRPr="003156CC">
        <w:rPr>
          <w:szCs w:val="24"/>
        </w:rPr>
        <w:t xml:space="preserve">. The process that permits this to happen on the PBS is called </w:t>
      </w:r>
      <w:r w:rsidR="00A00F32">
        <w:rPr>
          <w:szCs w:val="24"/>
        </w:rPr>
        <w:t>‘</w:t>
      </w:r>
      <w:r w:rsidR="00116BC8" w:rsidRPr="003156CC">
        <w:rPr>
          <w:szCs w:val="24"/>
        </w:rPr>
        <w:t>a</w:t>
      </w:r>
      <w:r w:rsidR="00A00F32">
        <w:rPr>
          <w:szCs w:val="24"/>
        </w:rPr>
        <w:t>’</w:t>
      </w:r>
      <w:r w:rsidR="00116BC8" w:rsidRPr="003156CC">
        <w:rPr>
          <w:szCs w:val="24"/>
        </w:rPr>
        <w:t xml:space="preserve"> flagging</w:t>
      </w:r>
      <w:r w:rsidR="00F612BF" w:rsidRPr="003156CC">
        <w:rPr>
          <w:szCs w:val="24"/>
        </w:rPr>
        <w:t>, essentially a reference to</w:t>
      </w:r>
      <w:r w:rsidR="00116BC8" w:rsidRPr="003156CC">
        <w:rPr>
          <w:szCs w:val="24"/>
        </w:rPr>
        <w:t xml:space="preserve"> </w:t>
      </w:r>
      <w:r w:rsidR="00F612BF" w:rsidRPr="003156CC">
        <w:rPr>
          <w:szCs w:val="24"/>
        </w:rPr>
        <w:t>the</w:t>
      </w:r>
      <w:r w:rsidR="00116BC8" w:rsidRPr="003156CC">
        <w:rPr>
          <w:szCs w:val="24"/>
        </w:rPr>
        <w:t xml:space="preserve"> ‘</w:t>
      </w:r>
      <w:proofErr w:type="gramStart"/>
      <w:r w:rsidR="00116BC8" w:rsidRPr="003156CC">
        <w:rPr>
          <w:szCs w:val="24"/>
        </w:rPr>
        <w:t>a</w:t>
      </w:r>
      <w:proofErr w:type="gramEnd"/>
      <w:r w:rsidR="00116BC8" w:rsidRPr="003156CC">
        <w:rPr>
          <w:szCs w:val="24"/>
        </w:rPr>
        <w:t>’ annotation against the</w:t>
      </w:r>
      <w:r w:rsidR="00F612BF" w:rsidRPr="003156CC">
        <w:rPr>
          <w:szCs w:val="24"/>
        </w:rPr>
        <w:t xml:space="preserve"> PBS </w:t>
      </w:r>
      <w:r w:rsidR="00162B73">
        <w:rPr>
          <w:szCs w:val="24"/>
        </w:rPr>
        <w:t>brand</w:t>
      </w:r>
      <w:r w:rsidR="00116BC8" w:rsidRPr="003156CC">
        <w:rPr>
          <w:szCs w:val="24"/>
        </w:rPr>
        <w:t xml:space="preserve"> name</w:t>
      </w:r>
      <w:r w:rsidR="00162B73">
        <w:rPr>
          <w:szCs w:val="24"/>
        </w:rPr>
        <w:t>s</w:t>
      </w:r>
      <w:r w:rsidR="00116BC8" w:rsidRPr="003156CC">
        <w:rPr>
          <w:szCs w:val="24"/>
        </w:rPr>
        <w:t xml:space="preserve"> indicating </w:t>
      </w:r>
      <w:r w:rsidR="00F612BF" w:rsidRPr="003156CC">
        <w:rPr>
          <w:szCs w:val="24"/>
        </w:rPr>
        <w:t xml:space="preserve">substitutability. </w:t>
      </w:r>
    </w:p>
    <w:p w:rsidR="0039025E" w:rsidRPr="003156CC" w:rsidRDefault="0039025E" w:rsidP="005E1644">
      <w:pPr>
        <w:widowControl/>
        <w:jc w:val="left"/>
        <w:rPr>
          <w:szCs w:val="24"/>
        </w:rPr>
      </w:pPr>
    </w:p>
    <w:p w:rsidR="001C68F5" w:rsidRDefault="0039025E" w:rsidP="005E1644">
      <w:pPr>
        <w:widowControl/>
        <w:jc w:val="left"/>
        <w:rPr>
          <w:szCs w:val="24"/>
        </w:rPr>
      </w:pPr>
      <w:r w:rsidRPr="003156CC">
        <w:rPr>
          <w:szCs w:val="24"/>
        </w:rPr>
        <w:t>When making a</w:t>
      </w:r>
      <w:r w:rsidR="00116BC8" w:rsidRPr="003156CC">
        <w:rPr>
          <w:szCs w:val="24"/>
        </w:rPr>
        <w:t xml:space="preserve"> </w:t>
      </w:r>
      <w:r w:rsidR="00900D7F" w:rsidRPr="003156CC">
        <w:rPr>
          <w:szCs w:val="24"/>
        </w:rPr>
        <w:t xml:space="preserve">recommendation </w:t>
      </w:r>
      <w:r w:rsidRPr="003156CC">
        <w:rPr>
          <w:szCs w:val="24"/>
        </w:rPr>
        <w:t xml:space="preserve">for </w:t>
      </w:r>
      <w:r w:rsidR="00116BC8" w:rsidRPr="003156CC">
        <w:rPr>
          <w:szCs w:val="24"/>
        </w:rPr>
        <w:t>a</w:t>
      </w:r>
      <w:r w:rsidR="00B40CEF" w:rsidRPr="003156CC">
        <w:rPr>
          <w:szCs w:val="24"/>
        </w:rPr>
        <w:t>n</w:t>
      </w:r>
      <w:r w:rsidR="00900D7F" w:rsidRPr="003156CC">
        <w:rPr>
          <w:szCs w:val="24"/>
        </w:rPr>
        <w:t xml:space="preserve"> </w:t>
      </w:r>
      <w:r w:rsidR="00A00F32">
        <w:rPr>
          <w:szCs w:val="24"/>
        </w:rPr>
        <w:t>‘</w:t>
      </w:r>
      <w:r w:rsidR="00900D7F" w:rsidRPr="003156CC">
        <w:rPr>
          <w:szCs w:val="24"/>
        </w:rPr>
        <w:t>a</w:t>
      </w:r>
      <w:r w:rsidR="00A00F32">
        <w:rPr>
          <w:szCs w:val="24"/>
        </w:rPr>
        <w:t>’</w:t>
      </w:r>
      <w:r w:rsidR="00900D7F" w:rsidRPr="003156CC">
        <w:rPr>
          <w:szCs w:val="24"/>
        </w:rPr>
        <w:t xml:space="preserve"> flagged</w:t>
      </w:r>
      <w:r w:rsidR="00116BC8" w:rsidRPr="003156CC">
        <w:rPr>
          <w:szCs w:val="24"/>
        </w:rPr>
        <w:t xml:space="preserve"> listing, the PBAC consider</w:t>
      </w:r>
      <w:r w:rsidR="00A00F32">
        <w:rPr>
          <w:szCs w:val="24"/>
        </w:rPr>
        <w:t>s</w:t>
      </w:r>
      <w:r w:rsidR="00116BC8" w:rsidRPr="003156CC">
        <w:rPr>
          <w:szCs w:val="24"/>
        </w:rPr>
        <w:t xml:space="preserve"> whether it is </w:t>
      </w:r>
      <w:r w:rsidR="00105DF3">
        <w:rPr>
          <w:szCs w:val="24"/>
        </w:rPr>
        <w:t>appropriate</w:t>
      </w:r>
      <w:r w:rsidR="00116BC8" w:rsidRPr="003156CC">
        <w:rPr>
          <w:szCs w:val="24"/>
        </w:rPr>
        <w:t xml:space="preserve"> for a pharmacist to make such a substitution without reference to the p</w:t>
      </w:r>
      <w:r w:rsidR="00A00F32">
        <w:rPr>
          <w:szCs w:val="24"/>
        </w:rPr>
        <w:t>rescriber</w:t>
      </w:r>
      <w:r w:rsidR="001C68F5">
        <w:rPr>
          <w:szCs w:val="24"/>
        </w:rPr>
        <w:t>.  This consideration is additional to the PBAC’s consideration of the efficacy and safety of the drug itself.</w:t>
      </w:r>
    </w:p>
    <w:p w:rsidR="001C68F5" w:rsidRDefault="001C68F5" w:rsidP="005E1644">
      <w:pPr>
        <w:widowControl/>
        <w:jc w:val="left"/>
        <w:rPr>
          <w:szCs w:val="24"/>
        </w:rPr>
      </w:pPr>
    </w:p>
    <w:p w:rsidR="00B40CEF" w:rsidRDefault="00A00F32" w:rsidP="005E1644">
      <w:pPr>
        <w:widowControl/>
        <w:jc w:val="left"/>
        <w:rPr>
          <w:szCs w:val="24"/>
        </w:rPr>
      </w:pPr>
      <w:r>
        <w:rPr>
          <w:szCs w:val="24"/>
        </w:rPr>
        <w:t>T</w:t>
      </w:r>
      <w:r w:rsidR="0039025E" w:rsidRPr="003156CC">
        <w:rPr>
          <w:szCs w:val="24"/>
        </w:rPr>
        <w:t>h</w:t>
      </w:r>
      <w:r w:rsidR="00116BC8" w:rsidRPr="003156CC">
        <w:rPr>
          <w:szCs w:val="24"/>
        </w:rPr>
        <w:t>e prescrib</w:t>
      </w:r>
      <w:r>
        <w:rPr>
          <w:szCs w:val="24"/>
        </w:rPr>
        <w:t>er</w:t>
      </w:r>
      <w:r w:rsidR="00116BC8" w:rsidRPr="003156CC">
        <w:rPr>
          <w:szCs w:val="24"/>
        </w:rPr>
        <w:t xml:space="preserve"> can always </w:t>
      </w:r>
      <w:r w:rsidR="00445A80">
        <w:rPr>
          <w:szCs w:val="24"/>
        </w:rPr>
        <w:t>prevent</w:t>
      </w:r>
      <w:r w:rsidRPr="003156CC">
        <w:rPr>
          <w:szCs w:val="24"/>
        </w:rPr>
        <w:t xml:space="preserve"> </w:t>
      </w:r>
      <w:r w:rsidR="0039025E" w:rsidRPr="003156CC">
        <w:rPr>
          <w:szCs w:val="24"/>
        </w:rPr>
        <w:t xml:space="preserve">pharmacy level </w:t>
      </w:r>
      <w:r>
        <w:rPr>
          <w:szCs w:val="24"/>
        </w:rPr>
        <w:t xml:space="preserve">brand </w:t>
      </w:r>
      <w:r w:rsidR="0039025E" w:rsidRPr="003156CC">
        <w:rPr>
          <w:szCs w:val="24"/>
        </w:rPr>
        <w:t>substitution</w:t>
      </w:r>
      <w:r w:rsidR="00116BC8" w:rsidRPr="003156CC">
        <w:rPr>
          <w:szCs w:val="24"/>
        </w:rPr>
        <w:t xml:space="preserve"> by ticking the box on </w:t>
      </w:r>
      <w:proofErr w:type="gramStart"/>
      <w:r w:rsidR="00116BC8" w:rsidRPr="003156CC">
        <w:rPr>
          <w:szCs w:val="24"/>
        </w:rPr>
        <w:t>the</w:t>
      </w:r>
      <w:proofErr w:type="gramEnd"/>
      <w:r w:rsidR="00116BC8" w:rsidRPr="003156CC">
        <w:rPr>
          <w:szCs w:val="24"/>
        </w:rPr>
        <w:t xml:space="preserve"> prescription</w:t>
      </w:r>
      <w:r w:rsidR="0039025E" w:rsidRPr="003156CC">
        <w:rPr>
          <w:szCs w:val="24"/>
        </w:rPr>
        <w:t xml:space="preserve"> which</w:t>
      </w:r>
      <w:r w:rsidR="00116BC8" w:rsidRPr="003156CC">
        <w:rPr>
          <w:szCs w:val="24"/>
        </w:rPr>
        <w:t xml:space="preserve"> indicat</w:t>
      </w:r>
      <w:r w:rsidR="0039025E" w:rsidRPr="003156CC">
        <w:rPr>
          <w:szCs w:val="24"/>
        </w:rPr>
        <w:t>es</w:t>
      </w:r>
      <w:r w:rsidR="00116BC8" w:rsidRPr="003156CC">
        <w:rPr>
          <w:szCs w:val="24"/>
        </w:rPr>
        <w:t xml:space="preserve"> no substitution</w:t>
      </w:r>
      <w:r w:rsidR="0039025E" w:rsidRPr="003156CC">
        <w:rPr>
          <w:szCs w:val="24"/>
        </w:rPr>
        <w:t xml:space="preserve"> is </w:t>
      </w:r>
      <w:r w:rsidR="007006AC" w:rsidRPr="003156CC">
        <w:rPr>
          <w:szCs w:val="24"/>
        </w:rPr>
        <w:t>permitted</w:t>
      </w:r>
      <w:r w:rsidR="00116BC8" w:rsidRPr="003156CC">
        <w:rPr>
          <w:szCs w:val="24"/>
        </w:rPr>
        <w:t>.</w:t>
      </w:r>
      <w:r w:rsidR="007006AC" w:rsidRPr="003156CC">
        <w:rPr>
          <w:szCs w:val="24"/>
        </w:rPr>
        <w:t xml:space="preserve">  </w:t>
      </w:r>
      <w:r w:rsidR="001C68F5" w:rsidRPr="001C68F5">
        <w:rPr>
          <w:szCs w:val="24"/>
        </w:rPr>
        <w:t xml:space="preserve">If the box is ticked, it is an offence under the PBS legislation for a pharmacist to </w:t>
      </w:r>
      <w:r w:rsidR="001C68F5" w:rsidRPr="00F27B87">
        <w:rPr>
          <w:szCs w:val="24"/>
        </w:rPr>
        <w:t xml:space="preserve">dispense a brand other than that specified on the prescription.  </w:t>
      </w:r>
      <w:r w:rsidR="00DD5AE0" w:rsidRPr="00F27B87">
        <w:rPr>
          <w:szCs w:val="24"/>
        </w:rPr>
        <w:t>If the box is not ticked, g</w:t>
      </w:r>
      <w:r w:rsidR="001C68F5" w:rsidRPr="00F27B87">
        <w:rPr>
          <w:szCs w:val="24"/>
        </w:rPr>
        <w:t xml:space="preserve">ood pharmacy practice requires </w:t>
      </w:r>
      <w:r w:rsidR="00E95206" w:rsidRPr="00F27B87">
        <w:rPr>
          <w:szCs w:val="24"/>
        </w:rPr>
        <w:t xml:space="preserve">the </w:t>
      </w:r>
      <w:r w:rsidR="001C68F5" w:rsidRPr="00F27B87">
        <w:rPr>
          <w:szCs w:val="24"/>
        </w:rPr>
        <w:t xml:space="preserve">pharmacist to </w:t>
      </w:r>
      <w:r w:rsidR="00DD5AE0" w:rsidRPr="00F27B87">
        <w:rPr>
          <w:szCs w:val="24"/>
        </w:rPr>
        <w:t xml:space="preserve">consult with the patient before substituting.  </w:t>
      </w:r>
      <w:r w:rsidR="001C68F5" w:rsidRPr="00F27B87">
        <w:rPr>
          <w:szCs w:val="24"/>
        </w:rPr>
        <w:t>Th</w:t>
      </w:r>
      <w:r w:rsidR="00DD5AE0" w:rsidRPr="00F27B87">
        <w:rPr>
          <w:szCs w:val="24"/>
        </w:rPr>
        <w:t>ese</w:t>
      </w:r>
      <w:r w:rsidR="001C68F5" w:rsidRPr="00F27B87">
        <w:rPr>
          <w:szCs w:val="24"/>
        </w:rPr>
        <w:t xml:space="preserve"> feature</w:t>
      </w:r>
      <w:r w:rsidR="00DD5AE0" w:rsidRPr="00F27B87">
        <w:rPr>
          <w:szCs w:val="24"/>
        </w:rPr>
        <w:t>s</w:t>
      </w:r>
      <w:r w:rsidR="001C68F5" w:rsidRPr="00F27B87">
        <w:rPr>
          <w:szCs w:val="24"/>
        </w:rPr>
        <w:t xml:space="preserve"> </w:t>
      </w:r>
      <w:r w:rsidR="00DD5AE0" w:rsidRPr="00F27B87">
        <w:rPr>
          <w:szCs w:val="24"/>
        </w:rPr>
        <w:t>mean that there is no automatic or uncontrolled substitution in clinical practice</w:t>
      </w:r>
      <w:r w:rsidR="00F27B87" w:rsidRPr="00F27B87">
        <w:rPr>
          <w:szCs w:val="24"/>
        </w:rPr>
        <w:t xml:space="preserve"> in Australia</w:t>
      </w:r>
      <w:r w:rsidR="00DD5AE0" w:rsidRPr="00F27B87">
        <w:rPr>
          <w:szCs w:val="24"/>
        </w:rPr>
        <w:t>.</w:t>
      </w:r>
      <w:r w:rsidR="00DD5AE0">
        <w:rPr>
          <w:szCs w:val="24"/>
        </w:rPr>
        <w:t xml:space="preserve"> </w:t>
      </w:r>
    </w:p>
    <w:p w:rsidR="00445A80" w:rsidRPr="003156CC" w:rsidRDefault="00445A80" w:rsidP="005E1644">
      <w:pPr>
        <w:widowControl/>
        <w:jc w:val="left"/>
        <w:rPr>
          <w:szCs w:val="24"/>
        </w:rPr>
      </w:pPr>
    </w:p>
    <w:p w:rsidR="00B40CEF" w:rsidRPr="003156CC" w:rsidRDefault="00CF37C0" w:rsidP="005E1644">
      <w:pPr>
        <w:widowControl/>
        <w:tabs>
          <w:tab w:val="left" w:pos="8055"/>
        </w:tabs>
        <w:jc w:val="left"/>
      </w:pPr>
      <w:r>
        <w:t>At</w:t>
      </w:r>
      <w:r w:rsidR="00B40CEF" w:rsidRPr="003156CC">
        <w:t xml:space="preserve"> the</w:t>
      </w:r>
      <w:r w:rsidR="002963C1">
        <w:t xml:space="preserve"> </w:t>
      </w:r>
      <w:r w:rsidR="00B40CEF" w:rsidRPr="003156CC">
        <w:t xml:space="preserve">April 2015 </w:t>
      </w:r>
      <w:r>
        <w:t xml:space="preserve">PBAC </w:t>
      </w:r>
      <w:r w:rsidR="00B40CEF" w:rsidRPr="003156CC">
        <w:t>special meet</w:t>
      </w:r>
      <w:r w:rsidR="0064714A" w:rsidRPr="003156CC">
        <w:t>ing</w:t>
      </w:r>
      <w:r>
        <w:t xml:space="preserve"> c</w:t>
      </w:r>
      <w:r w:rsidR="0064714A" w:rsidRPr="003156CC">
        <w:t xml:space="preserve">onsideration of </w:t>
      </w:r>
      <w:r>
        <w:t xml:space="preserve">the PBS subsidy of </w:t>
      </w:r>
      <w:r w:rsidR="0064714A" w:rsidRPr="003156CC">
        <w:t>biosimilar medicines</w:t>
      </w:r>
      <w:r w:rsidR="00B40CEF" w:rsidRPr="003156CC">
        <w:t xml:space="preserve">, the PBAC considered the following principles </w:t>
      </w:r>
      <w:r>
        <w:t>to</w:t>
      </w:r>
      <w:r w:rsidRPr="003156CC">
        <w:t xml:space="preserve"> </w:t>
      </w:r>
      <w:r w:rsidR="00B40CEF" w:rsidRPr="003156CC">
        <w:t>be relevant</w:t>
      </w:r>
      <w:r>
        <w:t>:</w:t>
      </w:r>
    </w:p>
    <w:p w:rsidR="00B40CEF" w:rsidRPr="00E95206" w:rsidRDefault="00B40CEF" w:rsidP="00954D7A">
      <w:pPr>
        <w:pStyle w:val="ListParagraph"/>
        <w:widowControl/>
        <w:numPr>
          <w:ilvl w:val="0"/>
          <w:numId w:val="6"/>
        </w:numPr>
        <w:ind w:left="284" w:hanging="284"/>
        <w:jc w:val="left"/>
        <w:rPr>
          <w:szCs w:val="24"/>
        </w:rPr>
      </w:pPr>
      <w:r w:rsidRPr="00E95206">
        <w:rPr>
          <w:szCs w:val="24"/>
        </w:rPr>
        <w:t>Biosimilar</w:t>
      </w:r>
      <w:r w:rsidR="0064714A" w:rsidRPr="00E95206">
        <w:rPr>
          <w:szCs w:val="24"/>
        </w:rPr>
        <w:t xml:space="preserve"> medicine</w:t>
      </w:r>
      <w:r w:rsidRPr="00E95206">
        <w:rPr>
          <w:szCs w:val="24"/>
        </w:rPr>
        <w:t xml:space="preserve">s must be equivalent in efficacy and toxicity to the </w:t>
      </w:r>
      <w:r w:rsidR="00CF37C0" w:rsidRPr="00E95206">
        <w:rPr>
          <w:szCs w:val="24"/>
        </w:rPr>
        <w:t xml:space="preserve">reference </w:t>
      </w:r>
      <w:r w:rsidRPr="00E95206">
        <w:rPr>
          <w:szCs w:val="24"/>
        </w:rPr>
        <w:t xml:space="preserve">brand; </w:t>
      </w:r>
    </w:p>
    <w:p w:rsidR="00B40CEF" w:rsidRPr="00954D7A" w:rsidRDefault="00B40CEF" w:rsidP="00954D7A">
      <w:pPr>
        <w:pStyle w:val="ListParagraph"/>
        <w:widowControl/>
        <w:numPr>
          <w:ilvl w:val="0"/>
          <w:numId w:val="6"/>
        </w:numPr>
        <w:ind w:left="284" w:hanging="284"/>
        <w:jc w:val="left"/>
        <w:rPr>
          <w:szCs w:val="24"/>
        </w:rPr>
      </w:pPr>
      <w:r w:rsidRPr="00445A80">
        <w:rPr>
          <w:szCs w:val="24"/>
        </w:rPr>
        <w:t xml:space="preserve">The cost to the patient and to the Commonwealth is a factor in prioritising the use of a biosimilar </w:t>
      </w:r>
      <w:r w:rsidR="0064714A" w:rsidRPr="00954D7A">
        <w:rPr>
          <w:szCs w:val="24"/>
        </w:rPr>
        <w:t xml:space="preserve">medicine </w:t>
      </w:r>
      <w:r w:rsidRPr="00954D7A">
        <w:rPr>
          <w:szCs w:val="24"/>
        </w:rPr>
        <w:t>on the PBS;</w:t>
      </w:r>
    </w:p>
    <w:p w:rsidR="00B40CEF" w:rsidRPr="00954D7A" w:rsidRDefault="00B40CEF" w:rsidP="00954D7A">
      <w:pPr>
        <w:pStyle w:val="ListParagraph"/>
        <w:widowControl/>
        <w:numPr>
          <w:ilvl w:val="0"/>
          <w:numId w:val="6"/>
        </w:numPr>
        <w:ind w:left="284" w:hanging="284"/>
        <w:jc w:val="left"/>
        <w:rPr>
          <w:szCs w:val="24"/>
        </w:rPr>
      </w:pPr>
      <w:r w:rsidRPr="00954D7A">
        <w:rPr>
          <w:szCs w:val="24"/>
        </w:rPr>
        <w:lastRenderedPageBreak/>
        <w:t>In any prioritisation, patient</w:t>
      </w:r>
      <w:r w:rsidR="00CF37C0" w:rsidRPr="00954D7A">
        <w:rPr>
          <w:szCs w:val="24"/>
        </w:rPr>
        <w:t>s</w:t>
      </w:r>
      <w:r w:rsidRPr="00954D7A">
        <w:rPr>
          <w:szCs w:val="24"/>
        </w:rPr>
        <w:t xml:space="preserve"> should not have to pay more for a biosimilar brand than for </w:t>
      </w:r>
      <w:r w:rsidR="003B2E83" w:rsidRPr="00954D7A">
        <w:rPr>
          <w:szCs w:val="24"/>
        </w:rPr>
        <w:t>a reference brand</w:t>
      </w:r>
      <w:r w:rsidRPr="00954D7A">
        <w:rPr>
          <w:szCs w:val="24"/>
        </w:rPr>
        <w:t>;</w:t>
      </w:r>
    </w:p>
    <w:p w:rsidR="00B40CEF" w:rsidRPr="00954D7A" w:rsidRDefault="00B40CEF" w:rsidP="00954D7A">
      <w:pPr>
        <w:pStyle w:val="ListParagraph"/>
        <w:widowControl/>
        <w:numPr>
          <w:ilvl w:val="0"/>
          <w:numId w:val="6"/>
        </w:numPr>
        <w:ind w:left="284" w:hanging="284"/>
        <w:jc w:val="left"/>
        <w:rPr>
          <w:szCs w:val="24"/>
        </w:rPr>
      </w:pPr>
      <w:r w:rsidRPr="00954D7A">
        <w:rPr>
          <w:szCs w:val="24"/>
        </w:rPr>
        <w:t>PBS policies must not discourage competition; and,</w:t>
      </w:r>
    </w:p>
    <w:p w:rsidR="00B40CEF" w:rsidRPr="00954D7A" w:rsidRDefault="00B40CEF" w:rsidP="00954D7A">
      <w:pPr>
        <w:pStyle w:val="ListParagraph"/>
        <w:widowControl/>
        <w:numPr>
          <w:ilvl w:val="0"/>
          <w:numId w:val="6"/>
        </w:numPr>
        <w:ind w:left="284" w:hanging="284"/>
        <w:jc w:val="left"/>
        <w:rPr>
          <w:szCs w:val="24"/>
        </w:rPr>
      </w:pPr>
      <w:r w:rsidRPr="00954D7A">
        <w:rPr>
          <w:szCs w:val="24"/>
        </w:rPr>
        <w:t>Education for prescribers and patients is critical to ensure that decisions are supported by the most reliable information.</w:t>
      </w:r>
    </w:p>
    <w:p w:rsidR="00B40CEF" w:rsidRPr="00954D7A" w:rsidRDefault="00B40CEF" w:rsidP="00954D7A">
      <w:pPr>
        <w:pStyle w:val="ListParagraph"/>
        <w:widowControl/>
        <w:ind w:left="284"/>
        <w:jc w:val="left"/>
        <w:rPr>
          <w:szCs w:val="24"/>
        </w:rPr>
      </w:pPr>
    </w:p>
    <w:p w:rsidR="00B40CEF" w:rsidRPr="003156CC" w:rsidRDefault="003B2E83" w:rsidP="005E1644">
      <w:pPr>
        <w:widowControl/>
        <w:tabs>
          <w:tab w:val="left" w:pos="8055"/>
        </w:tabs>
        <w:jc w:val="left"/>
      </w:pPr>
      <w:r>
        <w:t>The PBAC noted that w</w:t>
      </w:r>
      <w:r w:rsidR="00CF37C0">
        <w:t xml:space="preserve">hen a </w:t>
      </w:r>
      <w:r>
        <w:t xml:space="preserve">reference medicine and its </w:t>
      </w:r>
      <w:r w:rsidR="00B40CEF" w:rsidRPr="003156CC">
        <w:t>biosimilar</w:t>
      </w:r>
      <w:r w:rsidR="0064714A" w:rsidRPr="003156CC">
        <w:t xml:space="preserve"> </w:t>
      </w:r>
      <w:r>
        <w:t xml:space="preserve">medicine are PBS </w:t>
      </w:r>
      <w:r w:rsidR="00CF37C0">
        <w:t>subsidised</w:t>
      </w:r>
      <w:r>
        <w:t xml:space="preserve"> </w:t>
      </w:r>
      <w:r w:rsidR="00B40CEF" w:rsidRPr="003156CC">
        <w:t xml:space="preserve">for a condition, there </w:t>
      </w:r>
      <w:r>
        <w:t>are</w:t>
      </w:r>
      <w:r w:rsidR="00B40CEF" w:rsidRPr="003156CC">
        <w:t xml:space="preserve"> </w:t>
      </w:r>
      <w:r w:rsidRPr="003156CC">
        <w:t>t</w:t>
      </w:r>
      <w:r>
        <w:t>hree</w:t>
      </w:r>
      <w:r w:rsidRPr="003156CC">
        <w:t xml:space="preserve"> </w:t>
      </w:r>
      <w:r w:rsidR="00B40CEF" w:rsidRPr="003156CC">
        <w:t xml:space="preserve">potential ways that a patient may </w:t>
      </w:r>
      <w:r>
        <w:t xml:space="preserve">receive initial treatment with a biological medicine: </w:t>
      </w:r>
      <w:r w:rsidR="00B40CEF" w:rsidRPr="003156CC">
        <w:t xml:space="preserve"> </w:t>
      </w:r>
    </w:p>
    <w:p w:rsidR="00B40CEF" w:rsidRPr="00445A80" w:rsidRDefault="00B40CEF" w:rsidP="00954D7A">
      <w:pPr>
        <w:pStyle w:val="ListParagraph"/>
        <w:widowControl/>
        <w:numPr>
          <w:ilvl w:val="0"/>
          <w:numId w:val="6"/>
        </w:numPr>
        <w:ind w:left="284" w:hanging="284"/>
        <w:jc w:val="left"/>
        <w:rPr>
          <w:szCs w:val="24"/>
        </w:rPr>
      </w:pPr>
      <w:r w:rsidRPr="00E95206">
        <w:rPr>
          <w:szCs w:val="24"/>
        </w:rPr>
        <w:t>When receiving their first treatment with a biological</w:t>
      </w:r>
      <w:r w:rsidR="003B2E83" w:rsidRPr="00E95206">
        <w:rPr>
          <w:szCs w:val="24"/>
        </w:rPr>
        <w:t xml:space="preserve"> medicine</w:t>
      </w:r>
      <w:r w:rsidRPr="00E95206">
        <w:rPr>
          <w:szCs w:val="24"/>
        </w:rPr>
        <w:t xml:space="preserve"> for this condition (i.e. treatment naïve);</w:t>
      </w:r>
    </w:p>
    <w:p w:rsidR="00B40CEF" w:rsidRPr="00954D7A" w:rsidRDefault="00B40CEF" w:rsidP="00954D7A">
      <w:pPr>
        <w:pStyle w:val="ListParagraph"/>
        <w:widowControl/>
        <w:numPr>
          <w:ilvl w:val="0"/>
          <w:numId w:val="6"/>
        </w:numPr>
        <w:ind w:left="284" w:hanging="284"/>
        <w:jc w:val="left"/>
        <w:rPr>
          <w:szCs w:val="24"/>
        </w:rPr>
      </w:pPr>
      <w:r w:rsidRPr="00954D7A">
        <w:rPr>
          <w:szCs w:val="24"/>
        </w:rPr>
        <w:t xml:space="preserve">When transitioning from one biological </w:t>
      </w:r>
      <w:r w:rsidR="003B2E83" w:rsidRPr="00954D7A">
        <w:rPr>
          <w:szCs w:val="24"/>
        </w:rPr>
        <w:t xml:space="preserve">medicine </w:t>
      </w:r>
      <w:r w:rsidRPr="00954D7A">
        <w:rPr>
          <w:szCs w:val="24"/>
        </w:rPr>
        <w:t xml:space="preserve">to a different biological </w:t>
      </w:r>
      <w:r w:rsidR="003B2E83" w:rsidRPr="00954D7A">
        <w:rPr>
          <w:szCs w:val="24"/>
        </w:rPr>
        <w:t>medicine</w:t>
      </w:r>
      <w:r w:rsidRPr="00954D7A">
        <w:rPr>
          <w:szCs w:val="24"/>
        </w:rPr>
        <w:t xml:space="preserve"> following failure of the first </w:t>
      </w:r>
      <w:r w:rsidR="003B2E83" w:rsidRPr="00954D7A">
        <w:rPr>
          <w:szCs w:val="24"/>
        </w:rPr>
        <w:t>medicine.</w:t>
      </w:r>
      <w:r w:rsidRPr="00954D7A">
        <w:rPr>
          <w:szCs w:val="24"/>
        </w:rPr>
        <w:t xml:space="preserve">  For example, moving to a different biological disease modifying anti-rheumatic drug (</w:t>
      </w:r>
      <w:proofErr w:type="spellStart"/>
      <w:r w:rsidRPr="00954D7A">
        <w:rPr>
          <w:szCs w:val="24"/>
        </w:rPr>
        <w:t>bDMARD</w:t>
      </w:r>
      <w:proofErr w:type="spellEnd"/>
      <w:r w:rsidRPr="00954D7A">
        <w:rPr>
          <w:szCs w:val="24"/>
        </w:rPr>
        <w:t>) following failure of a</w:t>
      </w:r>
      <w:r w:rsidR="003B2E83" w:rsidRPr="00954D7A">
        <w:rPr>
          <w:szCs w:val="24"/>
        </w:rPr>
        <w:t>n earlier</w:t>
      </w:r>
      <w:r w:rsidRPr="00954D7A">
        <w:rPr>
          <w:szCs w:val="24"/>
        </w:rPr>
        <w:t xml:space="preserve"> </w:t>
      </w:r>
      <w:proofErr w:type="spellStart"/>
      <w:r w:rsidRPr="00954D7A">
        <w:rPr>
          <w:szCs w:val="24"/>
        </w:rPr>
        <w:t>bDMARD</w:t>
      </w:r>
      <w:proofErr w:type="spellEnd"/>
      <w:r w:rsidRPr="00954D7A">
        <w:rPr>
          <w:szCs w:val="24"/>
        </w:rPr>
        <w:t xml:space="preserve"> for rheumatoid arthritis; and,</w:t>
      </w:r>
    </w:p>
    <w:p w:rsidR="00B40CEF" w:rsidRPr="00954D7A" w:rsidRDefault="00B40CEF" w:rsidP="00954D7A">
      <w:pPr>
        <w:pStyle w:val="ListParagraph"/>
        <w:widowControl/>
        <w:numPr>
          <w:ilvl w:val="0"/>
          <w:numId w:val="6"/>
        </w:numPr>
        <w:ind w:left="284" w:hanging="284"/>
        <w:jc w:val="left"/>
        <w:rPr>
          <w:szCs w:val="24"/>
        </w:rPr>
      </w:pPr>
      <w:r w:rsidRPr="00954D7A">
        <w:rPr>
          <w:szCs w:val="24"/>
        </w:rPr>
        <w:t xml:space="preserve">When receiving a second or subsequent course of a biological </w:t>
      </w:r>
      <w:r w:rsidR="003B2E83" w:rsidRPr="00954D7A">
        <w:rPr>
          <w:szCs w:val="24"/>
        </w:rPr>
        <w:t xml:space="preserve">medicine </w:t>
      </w:r>
      <w:r w:rsidRPr="00954D7A">
        <w:rPr>
          <w:szCs w:val="24"/>
        </w:rPr>
        <w:t>for relapse of an episodic condition.</w:t>
      </w:r>
    </w:p>
    <w:p w:rsidR="00B40CEF" w:rsidRPr="003156CC" w:rsidRDefault="00B40CEF" w:rsidP="005E1644">
      <w:pPr>
        <w:pStyle w:val="ListParagraph"/>
        <w:widowControl/>
        <w:tabs>
          <w:tab w:val="left" w:pos="8055"/>
        </w:tabs>
        <w:jc w:val="left"/>
      </w:pPr>
    </w:p>
    <w:p w:rsidR="00A56226" w:rsidRDefault="00B40CEF" w:rsidP="005E1644">
      <w:pPr>
        <w:widowControl/>
        <w:tabs>
          <w:tab w:val="left" w:pos="8055"/>
        </w:tabs>
        <w:jc w:val="left"/>
      </w:pPr>
      <w:r w:rsidRPr="003156CC">
        <w:t>In the first two situations,</w:t>
      </w:r>
      <w:r w:rsidR="003B2E83">
        <w:t xml:space="preserve"> </w:t>
      </w:r>
      <w:r w:rsidRPr="003156CC">
        <w:t>assuming that the TGA has assessed the biosimilar to be safe and effective, and the PBAC has assessed the biosimilar to be of equal effectiveness and safety as the</w:t>
      </w:r>
      <w:r w:rsidR="003B2E83">
        <w:t xml:space="preserve"> reference </w:t>
      </w:r>
      <w:r w:rsidR="00A56226">
        <w:t>biologic</w:t>
      </w:r>
      <w:r w:rsidRPr="003156CC">
        <w:t>, it seemed reasonable to the PBAC that the patient could be commenced on either</w:t>
      </w:r>
      <w:r w:rsidR="0064714A" w:rsidRPr="003156CC">
        <w:t xml:space="preserve"> the biosimilar or reference biologic</w:t>
      </w:r>
      <w:r w:rsidRPr="003156CC">
        <w:t xml:space="preserve">. </w:t>
      </w:r>
    </w:p>
    <w:p w:rsidR="00A56226" w:rsidRDefault="00A56226" w:rsidP="005E1644">
      <w:pPr>
        <w:widowControl/>
        <w:tabs>
          <w:tab w:val="left" w:pos="8055"/>
        </w:tabs>
        <w:jc w:val="left"/>
      </w:pPr>
    </w:p>
    <w:p w:rsidR="00B40CEF" w:rsidRDefault="00B40CEF" w:rsidP="005E1644">
      <w:pPr>
        <w:widowControl/>
        <w:tabs>
          <w:tab w:val="left" w:pos="8055"/>
        </w:tabs>
        <w:jc w:val="left"/>
      </w:pPr>
      <w:r w:rsidRPr="003156CC">
        <w:t xml:space="preserve">The PBAC </w:t>
      </w:r>
      <w:r w:rsidR="00282136">
        <w:t xml:space="preserve">also </w:t>
      </w:r>
      <w:r w:rsidRPr="003156CC">
        <w:t>considered</w:t>
      </w:r>
      <w:r w:rsidR="003B2E83">
        <w:t xml:space="preserve"> it to be reasonable</w:t>
      </w:r>
      <w:r w:rsidR="00A56226" w:rsidRPr="00A56226">
        <w:t xml:space="preserve"> that the patient could be commenced on either the biosimilar or reference biologic</w:t>
      </w:r>
      <w:r w:rsidR="00A56226">
        <w:t xml:space="preserve"> in the third,</w:t>
      </w:r>
      <w:r w:rsidR="00A56226" w:rsidRPr="00A56226">
        <w:t xml:space="preserve"> </w:t>
      </w:r>
      <w:r w:rsidRPr="003156CC">
        <w:t>more complex</w:t>
      </w:r>
      <w:r w:rsidR="00A56226">
        <w:t xml:space="preserve"> </w:t>
      </w:r>
      <w:r w:rsidRPr="003156CC">
        <w:t>situation</w:t>
      </w:r>
      <w:r w:rsidR="00A56226">
        <w:t xml:space="preserve"> </w:t>
      </w:r>
      <w:r w:rsidRPr="003156CC">
        <w:t>where a patient is receiving a second or subsequent course of a biological agent for relapse of an episodic condition, and a biosimilar</w:t>
      </w:r>
      <w:r w:rsidR="0064714A" w:rsidRPr="003156CC">
        <w:t xml:space="preserve"> medicine</w:t>
      </w:r>
      <w:r w:rsidRPr="003156CC">
        <w:t xml:space="preserve"> is available</w:t>
      </w:r>
      <w:r w:rsidR="00A56226">
        <w:t>.</w:t>
      </w:r>
    </w:p>
    <w:p w:rsidR="00A56226" w:rsidRDefault="00A56226" w:rsidP="005E1644">
      <w:pPr>
        <w:widowControl/>
        <w:tabs>
          <w:tab w:val="left" w:pos="8055"/>
        </w:tabs>
        <w:jc w:val="left"/>
      </w:pPr>
    </w:p>
    <w:p w:rsidR="00B40CEF" w:rsidRPr="003156CC" w:rsidRDefault="00A56226" w:rsidP="005E1644">
      <w:pPr>
        <w:widowControl/>
        <w:tabs>
          <w:tab w:val="left" w:pos="8055"/>
        </w:tabs>
        <w:jc w:val="left"/>
      </w:pPr>
      <w:r>
        <w:t>At the April 2015 special meeting, t</w:t>
      </w:r>
      <w:r w:rsidR="00B40CEF" w:rsidRPr="003156CC">
        <w:t xml:space="preserve">he PBAC considered the circumstances under which </w:t>
      </w:r>
      <w:r>
        <w:t>‘</w:t>
      </w:r>
      <w:r w:rsidR="00B40CEF" w:rsidRPr="003156CC">
        <w:t>a</w:t>
      </w:r>
      <w:r>
        <w:t>’</w:t>
      </w:r>
      <w:r w:rsidR="00B40CEF" w:rsidRPr="003156CC">
        <w:t xml:space="preserve"> flagging might be considered appropriate </w:t>
      </w:r>
      <w:r>
        <w:t xml:space="preserve">for </w:t>
      </w:r>
      <w:r w:rsidR="00B40CEF" w:rsidRPr="003156CC">
        <w:t>biosimilar</w:t>
      </w:r>
      <w:r w:rsidR="0064714A" w:rsidRPr="003156CC">
        <w:t xml:space="preserve"> </w:t>
      </w:r>
      <w:r>
        <w:t xml:space="preserve">and their reference </w:t>
      </w:r>
      <w:r w:rsidR="0064714A" w:rsidRPr="003156CC">
        <w:t>medicine</w:t>
      </w:r>
      <w:r w:rsidR="00B40CEF" w:rsidRPr="003156CC">
        <w:t xml:space="preserve">s.  </w:t>
      </w:r>
      <w:r>
        <w:t>T</w:t>
      </w:r>
      <w:r w:rsidR="00B40CEF" w:rsidRPr="003156CC">
        <w:t xml:space="preserve">he PBAC clearly noted that any such recommendations would be made on a case-by-case basis, by which </w:t>
      </w:r>
      <w:r>
        <w:t xml:space="preserve">PBAC </w:t>
      </w:r>
      <w:r w:rsidR="00B40CEF" w:rsidRPr="003156CC">
        <w:t>meant that being a biosimilar</w:t>
      </w:r>
      <w:r w:rsidR="0064714A" w:rsidRPr="003156CC">
        <w:t xml:space="preserve"> in itself,</w:t>
      </w:r>
      <w:r w:rsidR="00B40CEF" w:rsidRPr="003156CC">
        <w:t xml:space="preserve"> did not mean it </w:t>
      </w:r>
      <w:r>
        <w:t>c</w:t>
      </w:r>
      <w:r w:rsidR="00B40CEF" w:rsidRPr="003156CC">
        <w:t>ould</w:t>
      </w:r>
      <w:r w:rsidR="0064714A" w:rsidRPr="003156CC">
        <w:t xml:space="preserve"> automatically</w:t>
      </w:r>
      <w:r w:rsidR="00B40CEF" w:rsidRPr="003156CC">
        <w:t xml:space="preserve"> be </w:t>
      </w:r>
      <w:r>
        <w:t>‘</w:t>
      </w:r>
      <w:r w:rsidR="00B40CEF" w:rsidRPr="003156CC">
        <w:t>a</w:t>
      </w:r>
      <w:r>
        <w:t>’</w:t>
      </w:r>
      <w:r w:rsidR="00B40CEF" w:rsidRPr="003156CC">
        <w:t xml:space="preserve"> flagged.</w:t>
      </w:r>
    </w:p>
    <w:p w:rsidR="00B40CEF" w:rsidRPr="003156CC" w:rsidRDefault="00B40CEF" w:rsidP="005E1644">
      <w:pPr>
        <w:widowControl/>
        <w:jc w:val="left"/>
        <w:rPr>
          <w:sz w:val="28"/>
          <w:szCs w:val="28"/>
        </w:rPr>
      </w:pPr>
    </w:p>
    <w:p w:rsidR="00B40CEF" w:rsidRPr="003156CC" w:rsidRDefault="00B40CEF" w:rsidP="005E1644">
      <w:pPr>
        <w:widowControl/>
        <w:tabs>
          <w:tab w:val="left" w:pos="8055"/>
        </w:tabs>
        <w:jc w:val="left"/>
      </w:pPr>
      <w:r w:rsidRPr="003156CC">
        <w:t xml:space="preserve">The PBAC considered that, on a case-by-case basis, the following factors would be relevant considerations in establishing that a biosimilar </w:t>
      </w:r>
      <w:r w:rsidR="00A56226">
        <w:t>medicine</w:t>
      </w:r>
      <w:r w:rsidR="00A56226" w:rsidRPr="003156CC">
        <w:t xml:space="preserve"> </w:t>
      </w:r>
      <w:r w:rsidRPr="003156CC">
        <w:t>could be</w:t>
      </w:r>
      <w:r w:rsidR="00A56226">
        <w:t>’</w:t>
      </w:r>
      <w:r w:rsidRPr="003156CC">
        <w:t xml:space="preserve"> a</w:t>
      </w:r>
      <w:r w:rsidR="00A56226">
        <w:t>’</w:t>
      </w:r>
      <w:r w:rsidRPr="003156CC">
        <w:t xml:space="preserve"> flagged with the </w:t>
      </w:r>
      <w:r w:rsidR="00A56226">
        <w:t>reference (originator) medicine</w:t>
      </w:r>
      <w:r w:rsidRPr="003156CC">
        <w:t>:</w:t>
      </w:r>
    </w:p>
    <w:p w:rsidR="00B40CEF" w:rsidRPr="00445A80" w:rsidRDefault="00B40CEF" w:rsidP="00954D7A">
      <w:pPr>
        <w:pStyle w:val="ListParagraph"/>
        <w:widowControl/>
        <w:numPr>
          <w:ilvl w:val="0"/>
          <w:numId w:val="6"/>
        </w:numPr>
        <w:ind w:left="284" w:hanging="284"/>
        <w:jc w:val="left"/>
        <w:rPr>
          <w:szCs w:val="24"/>
        </w:rPr>
      </w:pPr>
      <w:r w:rsidRPr="00E95206">
        <w:rPr>
          <w:szCs w:val="24"/>
        </w:rPr>
        <w:t>There should be evidence that the biosimilar was safe and effective in treatment-naïve patients initiating on the biosimilar product;</w:t>
      </w:r>
    </w:p>
    <w:p w:rsidR="00B40CEF" w:rsidRPr="00954D7A" w:rsidRDefault="00B40CEF" w:rsidP="00954D7A">
      <w:pPr>
        <w:pStyle w:val="ListParagraph"/>
        <w:widowControl/>
        <w:numPr>
          <w:ilvl w:val="0"/>
          <w:numId w:val="6"/>
        </w:numPr>
        <w:ind w:left="284" w:hanging="284"/>
        <w:jc w:val="left"/>
        <w:rPr>
          <w:szCs w:val="24"/>
        </w:rPr>
      </w:pPr>
      <w:r w:rsidRPr="00954D7A">
        <w:rPr>
          <w:szCs w:val="24"/>
        </w:rPr>
        <w:t xml:space="preserve">There should be no evidence (data) that there was significant differences in clinical effectiveness or safety compared with the </w:t>
      </w:r>
      <w:r w:rsidR="00A56226" w:rsidRPr="00954D7A">
        <w:rPr>
          <w:szCs w:val="24"/>
        </w:rPr>
        <w:t>reference (</w:t>
      </w:r>
      <w:r w:rsidRPr="00954D7A">
        <w:rPr>
          <w:szCs w:val="24"/>
        </w:rPr>
        <w:t>originator</w:t>
      </w:r>
      <w:r w:rsidR="00A56226" w:rsidRPr="00954D7A">
        <w:rPr>
          <w:szCs w:val="24"/>
        </w:rPr>
        <w:t>) medicine</w:t>
      </w:r>
      <w:r w:rsidRPr="00954D7A">
        <w:rPr>
          <w:szCs w:val="24"/>
        </w:rPr>
        <w:t>;</w:t>
      </w:r>
    </w:p>
    <w:p w:rsidR="00B40CEF" w:rsidRPr="00954D7A" w:rsidRDefault="00B40CEF" w:rsidP="00954D7A">
      <w:pPr>
        <w:pStyle w:val="ListParagraph"/>
        <w:widowControl/>
        <w:numPr>
          <w:ilvl w:val="0"/>
          <w:numId w:val="6"/>
        </w:numPr>
        <w:ind w:left="284" w:hanging="284"/>
        <w:jc w:val="left"/>
        <w:rPr>
          <w:szCs w:val="24"/>
        </w:rPr>
      </w:pPr>
      <w:r w:rsidRPr="00954D7A">
        <w:rPr>
          <w:szCs w:val="24"/>
        </w:rPr>
        <w:t xml:space="preserve">There was no evidence that identified populations where the risks of using the biosimilar </w:t>
      </w:r>
      <w:r w:rsidR="00A56226" w:rsidRPr="00954D7A">
        <w:rPr>
          <w:szCs w:val="24"/>
        </w:rPr>
        <w:t xml:space="preserve">medicine </w:t>
      </w:r>
      <w:r w:rsidRPr="00954D7A">
        <w:rPr>
          <w:szCs w:val="24"/>
        </w:rPr>
        <w:t>was disproportionately high;</w:t>
      </w:r>
    </w:p>
    <w:p w:rsidR="00B40CEF" w:rsidRPr="00954D7A" w:rsidRDefault="00B40CEF" w:rsidP="00954D7A">
      <w:pPr>
        <w:pStyle w:val="ListParagraph"/>
        <w:widowControl/>
        <w:numPr>
          <w:ilvl w:val="0"/>
          <w:numId w:val="6"/>
        </w:numPr>
        <w:ind w:left="284" w:hanging="284"/>
        <w:jc w:val="left"/>
        <w:rPr>
          <w:szCs w:val="24"/>
        </w:rPr>
      </w:pPr>
      <w:r w:rsidRPr="00954D7A">
        <w:rPr>
          <w:szCs w:val="24"/>
        </w:rPr>
        <w:t xml:space="preserve">The evidence should support equal safety and effectiveness when switching between the </w:t>
      </w:r>
      <w:r w:rsidR="00A56226" w:rsidRPr="00954D7A">
        <w:rPr>
          <w:szCs w:val="24"/>
        </w:rPr>
        <w:t>reference (</w:t>
      </w:r>
      <w:r w:rsidRPr="00954D7A">
        <w:rPr>
          <w:szCs w:val="24"/>
        </w:rPr>
        <w:t>originator</w:t>
      </w:r>
      <w:r w:rsidR="00A56226" w:rsidRPr="00954D7A">
        <w:rPr>
          <w:szCs w:val="24"/>
        </w:rPr>
        <w:t xml:space="preserve">) medicine </w:t>
      </w:r>
      <w:r w:rsidRPr="00954D7A">
        <w:rPr>
          <w:szCs w:val="24"/>
        </w:rPr>
        <w:t xml:space="preserve">and the biosimilar </w:t>
      </w:r>
      <w:r w:rsidR="00A56226" w:rsidRPr="00954D7A">
        <w:rPr>
          <w:szCs w:val="24"/>
        </w:rPr>
        <w:t>medicine</w:t>
      </w:r>
      <w:r w:rsidRPr="00954D7A">
        <w:rPr>
          <w:szCs w:val="24"/>
        </w:rPr>
        <w:t>; and,</w:t>
      </w:r>
    </w:p>
    <w:p w:rsidR="00B40CEF" w:rsidRPr="00954D7A" w:rsidRDefault="00B40CEF" w:rsidP="00954D7A">
      <w:pPr>
        <w:pStyle w:val="ListParagraph"/>
        <w:widowControl/>
        <w:numPr>
          <w:ilvl w:val="0"/>
          <w:numId w:val="6"/>
        </w:numPr>
        <w:ind w:left="284" w:hanging="284"/>
        <w:jc w:val="left"/>
        <w:rPr>
          <w:szCs w:val="24"/>
        </w:rPr>
      </w:pPr>
      <w:r w:rsidRPr="00954D7A">
        <w:rPr>
          <w:szCs w:val="24"/>
        </w:rPr>
        <w:t xml:space="preserve">Whether the TGA has deemed a </w:t>
      </w:r>
      <w:r w:rsidR="00A56226" w:rsidRPr="00954D7A">
        <w:rPr>
          <w:szCs w:val="24"/>
        </w:rPr>
        <w:t xml:space="preserve">medicine </w:t>
      </w:r>
      <w:r w:rsidRPr="00954D7A">
        <w:rPr>
          <w:szCs w:val="24"/>
        </w:rPr>
        <w:t xml:space="preserve">to be biosimilar with the </w:t>
      </w:r>
      <w:r w:rsidR="00A56226" w:rsidRPr="00954D7A">
        <w:rPr>
          <w:szCs w:val="24"/>
        </w:rPr>
        <w:t>reference (</w:t>
      </w:r>
      <w:r w:rsidRPr="00954D7A">
        <w:rPr>
          <w:szCs w:val="24"/>
        </w:rPr>
        <w:t>originator</w:t>
      </w:r>
      <w:r w:rsidR="00A56226" w:rsidRPr="00954D7A">
        <w:rPr>
          <w:szCs w:val="24"/>
        </w:rPr>
        <w:t>)</w:t>
      </w:r>
      <w:r w:rsidRPr="00954D7A">
        <w:rPr>
          <w:szCs w:val="24"/>
        </w:rPr>
        <w:t xml:space="preserve"> </w:t>
      </w:r>
      <w:r w:rsidR="00A56226" w:rsidRPr="00954D7A">
        <w:rPr>
          <w:szCs w:val="24"/>
        </w:rPr>
        <w:t>medicine</w:t>
      </w:r>
      <w:r w:rsidRPr="00954D7A">
        <w:rPr>
          <w:szCs w:val="24"/>
        </w:rPr>
        <w:t>.</w:t>
      </w:r>
    </w:p>
    <w:p w:rsidR="00B40CEF" w:rsidRPr="003156CC" w:rsidRDefault="00B40CEF" w:rsidP="005E1644">
      <w:pPr>
        <w:widowControl/>
        <w:tabs>
          <w:tab w:val="left" w:pos="8055"/>
        </w:tabs>
        <w:jc w:val="left"/>
      </w:pPr>
    </w:p>
    <w:p w:rsidR="00BA2981" w:rsidRDefault="00A56226" w:rsidP="005E1644">
      <w:pPr>
        <w:widowControl/>
        <w:tabs>
          <w:tab w:val="left" w:pos="8055"/>
        </w:tabs>
        <w:jc w:val="left"/>
        <w:rPr>
          <w:sz w:val="28"/>
          <w:szCs w:val="28"/>
        </w:rPr>
      </w:pPr>
      <w:r>
        <w:t>T</w:t>
      </w:r>
      <w:r w:rsidR="00B40CEF" w:rsidRPr="003156CC">
        <w:t xml:space="preserve">he PBAC advised that biosimilar products would be </w:t>
      </w:r>
      <w:r>
        <w:t>‘</w:t>
      </w:r>
      <w:r w:rsidR="00B40CEF" w:rsidRPr="003156CC">
        <w:t>a</w:t>
      </w:r>
      <w:r>
        <w:t>’</w:t>
      </w:r>
      <w:r w:rsidR="00B40CEF" w:rsidRPr="003156CC">
        <w:t xml:space="preserve"> flagged, and therefore suitable for substitution at the pharmacy level, where the data are supportive of this conclusion.  </w:t>
      </w:r>
      <w:r>
        <w:t>T</w:t>
      </w:r>
      <w:r w:rsidR="00B40CEF" w:rsidRPr="003156CC">
        <w:t xml:space="preserve">he PBAC considered that when data supported </w:t>
      </w:r>
      <w:proofErr w:type="spellStart"/>
      <w:r w:rsidR="00B40CEF" w:rsidRPr="003156CC">
        <w:t>biosimilarity</w:t>
      </w:r>
      <w:proofErr w:type="spellEnd"/>
      <w:r w:rsidR="00B40CEF" w:rsidRPr="003156CC">
        <w:t xml:space="preserve"> but there was insufficient data to support </w:t>
      </w:r>
      <w:r>
        <w:t>‘</w:t>
      </w:r>
      <w:r w:rsidR="00B40CEF" w:rsidRPr="003156CC">
        <w:t>a</w:t>
      </w:r>
      <w:r>
        <w:t>’</w:t>
      </w:r>
      <w:r w:rsidR="00B40CEF" w:rsidRPr="003156CC">
        <w:t xml:space="preserve"> flagging, it may be appropriate for data pertaining to </w:t>
      </w:r>
      <w:r>
        <w:t>‘</w:t>
      </w:r>
      <w:r w:rsidR="00B40CEF" w:rsidRPr="003156CC">
        <w:t>a</w:t>
      </w:r>
      <w:r>
        <w:t>’</w:t>
      </w:r>
      <w:r w:rsidR="00B40CEF" w:rsidRPr="003156CC">
        <w:t xml:space="preserve"> flagging to be collected to facilitate future reconsideration.</w:t>
      </w:r>
    </w:p>
    <w:p w:rsidR="00B40CEF" w:rsidRDefault="00BA2981" w:rsidP="005E1644">
      <w:pPr>
        <w:widowControl/>
        <w:tabs>
          <w:tab w:val="left" w:pos="8055"/>
        </w:tabs>
        <w:jc w:val="left"/>
      </w:pPr>
      <w:r>
        <w:lastRenderedPageBreak/>
        <w:t xml:space="preserve"> </w:t>
      </w:r>
      <w:r w:rsidR="00A56226">
        <w:t>T</w:t>
      </w:r>
      <w:r w:rsidR="00B40CEF" w:rsidRPr="003156CC">
        <w:t>he introduction of biosimilar</w:t>
      </w:r>
      <w:r w:rsidR="0064714A" w:rsidRPr="003156CC">
        <w:t xml:space="preserve"> medicines and substitutability</w:t>
      </w:r>
      <w:r w:rsidR="00A56226">
        <w:t xml:space="preserve"> </w:t>
      </w:r>
      <w:r w:rsidR="00B40CEF" w:rsidRPr="003156CC">
        <w:t xml:space="preserve">should be supported by an education campaign designed to support and promote the use of </w:t>
      </w:r>
      <w:r w:rsidR="00A56226">
        <w:t>these</w:t>
      </w:r>
      <w:r w:rsidR="00A56226" w:rsidRPr="003156CC">
        <w:t xml:space="preserve"> </w:t>
      </w:r>
      <w:r w:rsidR="0064714A" w:rsidRPr="003156CC">
        <w:t>medicine</w:t>
      </w:r>
      <w:r w:rsidR="00B40CEF" w:rsidRPr="003156CC">
        <w:t xml:space="preserve">s, improving awareness and confidence </w:t>
      </w:r>
      <w:r w:rsidR="00B25338">
        <w:t xml:space="preserve">for </w:t>
      </w:r>
      <w:r w:rsidR="00B40CEF" w:rsidRPr="003156CC">
        <w:t>both health professionals and consumers to choose these products.</w:t>
      </w:r>
    </w:p>
    <w:p w:rsidR="00B93236" w:rsidRDefault="00B93236" w:rsidP="005E1644">
      <w:pPr>
        <w:widowControl/>
        <w:jc w:val="left"/>
        <w:rPr>
          <w:u w:val="single"/>
        </w:rPr>
      </w:pPr>
    </w:p>
    <w:p w:rsidR="00B25338" w:rsidRPr="00DC3C30" w:rsidRDefault="00EB3CAB" w:rsidP="005E1644">
      <w:pPr>
        <w:widowControl/>
        <w:tabs>
          <w:tab w:val="left" w:pos="8055"/>
        </w:tabs>
        <w:jc w:val="left"/>
        <w:rPr>
          <w:u w:val="single"/>
        </w:rPr>
      </w:pPr>
      <w:r w:rsidRPr="00EB3CAB">
        <w:rPr>
          <w:u w:val="single"/>
        </w:rPr>
        <w:t>Discussion</w:t>
      </w:r>
    </w:p>
    <w:p w:rsidR="00D0765E" w:rsidRPr="003156CC" w:rsidRDefault="00D0765E" w:rsidP="005E1644">
      <w:pPr>
        <w:widowControl/>
        <w:jc w:val="left"/>
        <w:rPr>
          <w:szCs w:val="24"/>
        </w:rPr>
      </w:pPr>
      <w:r w:rsidRPr="003156CC">
        <w:rPr>
          <w:szCs w:val="24"/>
        </w:rPr>
        <w:t>The following is a summary of issues which were</w:t>
      </w:r>
      <w:r w:rsidR="008E1D57">
        <w:rPr>
          <w:szCs w:val="24"/>
        </w:rPr>
        <w:t xml:space="preserve"> discussed</w:t>
      </w:r>
      <w:r w:rsidR="00ED7EF7">
        <w:rPr>
          <w:szCs w:val="24"/>
        </w:rPr>
        <w:t>, broadly grouped into four areas</w:t>
      </w:r>
      <w:r w:rsidRPr="003156CC">
        <w:rPr>
          <w:szCs w:val="24"/>
        </w:rPr>
        <w:t>:</w:t>
      </w:r>
    </w:p>
    <w:p w:rsidR="00D0765E" w:rsidRPr="003156CC" w:rsidRDefault="00D0765E" w:rsidP="005E1644">
      <w:pPr>
        <w:widowControl/>
        <w:jc w:val="left"/>
        <w:rPr>
          <w:szCs w:val="24"/>
        </w:rPr>
      </w:pPr>
    </w:p>
    <w:p w:rsidR="00D0765E" w:rsidRPr="00E95206" w:rsidRDefault="006E243D" w:rsidP="00E95206">
      <w:pPr>
        <w:widowControl/>
        <w:jc w:val="left"/>
        <w:rPr>
          <w:szCs w:val="24"/>
          <w:u w:val="single"/>
        </w:rPr>
      </w:pPr>
      <w:r w:rsidRPr="00E95206">
        <w:rPr>
          <w:szCs w:val="24"/>
          <w:u w:val="single"/>
        </w:rPr>
        <w:t xml:space="preserve">Availability of </w:t>
      </w:r>
      <w:r w:rsidR="00954D7A">
        <w:rPr>
          <w:szCs w:val="24"/>
          <w:u w:val="single"/>
        </w:rPr>
        <w:t>b</w:t>
      </w:r>
      <w:r w:rsidR="00D0765E" w:rsidRPr="00E95206">
        <w:rPr>
          <w:szCs w:val="24"/>
          <w:u w:val="single"/>
        </w:rPr>
        <w:t xml:space="preserve">iosimilar </w:t>
      </w:r>
      <w:r w:rsidRPr="00E95206">
        <w:rPr>
          <w:szCs w:val="24"/>
          <w:u w:val="single"/>
        </w:rPr>
        <w:t>medicines on the PBS</w:t>
      </w:r>
    </w:p>
    <w:p w:rsidR="00282136" w:rsidRPr="00282136" w:rsidRDefault="00282136" w:rsidP="00954D7A">
      <w:pPr>
        <w:pStyle w:val="ListParagraph"/>
        <w:widowControl/>
        <w:numPr>
          <w:ilvl w:val="0"/>
          <w:numId w:val="6"/>
        </w:numPr>
        <w:ind w:left="284" w:hanging="284"/>
        <w:jc w:val="left"/>
        <w:rPr>
          <w:szCs w:val="24"/>
        </w:rPr>
      </w:pPr>
      <w:r w:rsidRPr="00282136">
        <w:rPr>
          <w:szCs w:val="24"/>
        </w:rPr>
        <w:t>There is widespread acceptance</w:t>
      </w:r>
      <w:r w:rsidR="005C64E8" w:rsidRPr="005C64E8">
        <w:t xml:space="preserve"> </w:t>
      </w:r>
      <w:r w:rsidR="005C64E8" w:rsidRPr="005C64E8">
        <w:rPr>
          <w:szCs w:val="24"/>
        </w:rPr>
        <w:t>from all sectors represented at the hearing</w:t>
      </w:r>
      <w:r w:rsidRPr="00282136">
        <w:rPr>
          <w:szCs w:val="24"/>
        </w:rPr>
        <w:t xml:space="preserve"> that biosimilars are as safe and efficacious as their reference biological.</w:t>
      </w:r>
    </w:p>
    <w:p w:rsidR="00D0765E" w:rsidRPr="003156CC" w:rsidRDefault="006E243D" w:rsidP="00954D7A">
      <w:pPr>
        <w:pStyle w:val="ListParagraph"/>
        <w:widowControl/>
        <w:numPr>
          <w:ilvl w:val="0"/>
          <w:numId w:val="6"/>
        </w:numPr>
        <w:ind w:left="284" w:hanging="284"/>
        <w:jc w:val="left"/>
        <w:rPr>
          <w:szCs w:val="24"/>
        </w:rPr>
      </w:pPr>
      <w:r>
        <w:rPr>
          <w:szCs w:val="24"/>
        </w:rPr>
        <w:t xml:space="preserve">There is widespread support for the </w:t>
      </w:r>
      <w:r w:rsidR="00D0765E" w:rsidRPr="003156CC">
        <w:rPr>
          <w:szCs w:val="24"/>
        </w:rPr>
        <w:t xml:space="preserve">availability and </w:t>
      </w:r>
      <w:r>
        <w:rPr>
          <w:szCs w:val="24"/>
        </w:rPr>
        <w:t>PBS subsidy</w:t>
      </w:r>
      <w:r w:rsidRPr="003156CC">
        <w:rPr>
          <w:szCs w:val="24"/>
        </w:rPr>
        <w:t xml:space="preserve"> </w:t>
      </w:r>
      <w:r w:rsidR="00D0765E" w:rsidRPr="003156CC">
        <w:rPr>
          <w:szCs w:val="24"/>
        </w:rPr>
        <w:t xml:space="preserve">of biosimilar medicines.  It was generally acknowledged that price competition </w:t>
      </w:r>
      <w:r w:rsidR="00282136">
        <w:rPr>
          <w:szCs w:val="24"/>
        </w:rPr>
        <w:t>i</w:t>
      </w:r>
      <w:r w:rsidR="00D0765E" w:rsidRPr="003156CC">
        <w:rPr>
          <w:szCs w:val="24"/>
        </w:rPr>
        <w:t>s an important mechanism for supporting a sustainable PBS.</w:t>
      </w:r>
    </w:p>
    <w:p w:rsidR="00D0765E" w:rsidRPr="00916C5E" w:rsidRDefault="006E243D" w:rsidP="00916C5E">
      <w:pPr>
        <w:pStyle w:val="ListParagraph"/>
        <w:widowControl/>
        <w:numPr>
          <w:ilvl w:val="0"/>
          <w:numId w:val="6"/>
        </w:numPr>
        <w:ind w:left="284" w:hanging="284"/>
        <w:jc w:val="left"/>
        <w:rPr>
          <w:szCs w:val="24"/>
        </w:rPr>
      </w:pPr>
      <w:r w:rsidRPr="00E95206">
        <w:rPr>
          <w:szCs w:val="24"/>
        </w:rPr>
        <w:t xml:space="preserve">There is </w:t>
      </w:r>
      <w:r w:rsidR="00D8033F" w:rsidRPr="00E95206">
        <w:rPr>
          <w:szCs w:val="24"/>
        </w:rPr>
        <w:t xml:space="preserve">widespread </w:t>
      </w:r>
      <w:r w:rsidRPr="00E95206">
        <w:rPr>
          <w:szCs w:val="24"/>
        </w:rPr>
        <w:t xml:space="preserve">support for </w:t>
      </w:r>
      <w:r w:rsidR="00D0765E" w:rsidRPr="00E95206">
        <w:rPr>
          <w:szCs w:val="24"/>
        </w:rPr>
        <w:t xml:space="preserve">treatment </w:t>
      </w:r>
      <w:r w:rsidR="00916C5E">
        <w:rPr>
          <w:szCs w:val="24"/>
        </w:rPr>
        <w:t>naïve</w:t>
      </w:r>
      <w:r w:rsidR="00D0765E" w:rsidRPr="00916C5E">
        <w:rPr>
          <w:szCs w:val="24"/>
        </w:rPr>
        <w:t xml:space="preserve"> patients</w:t>
      </w:r>
      <w:r w:rsidR="00D8033F" w:rsidRPr="00916C5E">
        <w:rPr>
          <w:szCs w:val="24"/>
        </w:rPr>
        <w:t xml:space="preserve"> who are</w:t>
      </w:r>
      <w:r w:rsidR="00D0765E" w:rsidRPr="00916C5E">
        <w:rPr>
          <w:szCs w:val="24"/>
        </w:rPr>
        <w:t xml:space="preserve"> commencing</w:t>
      </w:r>
      <w:r w:rsidRPr="00916C5E">
        <w:rPr>
          <w:szCs w:val="24"/>
        </w:rPr>
        <w:t xml:space="preserve"> </w:t>
      </w:r>
      <w:r w:rsidR="00D0765E" w:rsidRPr="00916C5E">
        <w:rPr>
          <w:szCs w:val="24"/>
        </w:rPr>
        <w:t>treatment</w:t>
      </w:r>
      <w:r w:rsidRPr="00916C5E">
        <w:rPr>
          <w:szCs w:val="24"/>
        </w:rPr>
        <w:t xml:space="preserve"> with </w:t>
      </w:r>
      <w:r w:rsidR="00D8033F" w:rsidRPr="00916C5E">
        <w:rPr>
          <w:szCs w:val="24"/>
        </w:rPr>
        <w:t xml:space="preserve">a </w:t>
      </w:r>
      <w:r w:rsidRPr="00916C5E">
        <w:rPr>
          <w:szCs w:val="24"/>
        </w:rPr>
        <w:t>biologic</w:t>
      </w:r>
      <w:r w:rsidR="00916C5E">
        <w:rPr>
          <w:szCs w:val="24"/>
        </w:rPr>
        <w:t>al</w:t>
      </w:r>
      <w:r w:rsidR="00D8033F" w:rsidRPr="00916C5E">
        <w:rPr>
          <w:szCs w:val="24"/>
        </w:rPr>
        <w:t xml:space="preserve"> medicine to be treated with the </w:t>
      </w:r>
      <w:r w:rsidR="00D0765E" w:rsidRPr="00916C5E">
        <w:rPr>
          <w:szCs w:val="24"/>
        </w:rPr>
        <w:t xml:space="preserve">biosimilar, </w:t>
      </w:r>
      <w:r w:rsidR="00D8033F" w:rsidRPr="00916C5E">
        <w:rPr>
          <w:szCs w:val="24"/>
        </w:rPr>
        <w:t>and</w:t>
      </w:r>
      <w:r w:rsidR="00D0765E" w:rsidRPr="00916C5E">
        <w:rPr>
          <w:szCs w:val="24"/>
        </w:rPr>
        <w:t xml:space="preserve"> </w:t>
      </w:r>
      <w:r w:rsidR="00D8033F" w:rsidRPr="00916C5E">
        <w:rPr>
          <w:szCs w:val="24"/>
        </w:rPr>
        <w:t>for patients</w:t>
      </w:r>
      <w:r w:rsidR="00D0765E" w:rsidRPr="00916C5E">
        <w:rPr>
          <w:szCs w:val="24"/>
        </w:rPr>
        <w:t xml:space="preserve"> </w:t>
      </w:r>
      <w:r w:rsidR="0064714A" w:rsidRPr="00916C5E">
        <w:rPr>
          <w:szCs w:val="24"/>
        </w:rPr>
        <w:t xml:space="preserve">transitioning from one biological </w:t>
      </w:r>
      <w:r w:rsidRPr="00916C5E">
        <w:rPr>
          <w:szCs w:val="24"/>
        </w:rPr>
        <w:t xml:space="preserve">medicine </w:t>
      </w:r>
      <w:r w:rsidR="0064714A" w:rsidRPr="00916C5E">
        <w:rPr>
          <w:szCs w:val="24"/>
        </w:rPr>
        <w:t xml:space="preserve">to a different biological </w:t>
      </w:r>
      <w:r w:rsidR="00D8033F" w:rsidRPr="00916C5E">
        <w:rPr>
          <w:szCs w:val="24"/>
        </w:rPr>
        <w:t xml:space="preserve">medicine </w:t>
      </w:r>
      <w:r w:rsidR="00916C5E" w:rsidRPr="00916C5E">
        <w:rPr>
          <w:szCs w:val="24"/>
        </w:rPr>
        <w:t>to be treated with the biosimilar</w:t>
      </w:r>
      <w:r w:rsidR="00D0765E" w:rsidRPr="00916C5E">
        <w:rPr>
          <w:szCs w:val="24"/>
        </w:rPr>
        <w:t>.</w:t>
      </w:r>
    </w:p>
    <w:p w:rsidR="00D0765E" w:rsidRPr="00954D7A" w:rsidRDefault="00D8033F" w:rsidP="00954D7A">
      <w:pPr>
        <w:pStyle w:val="ListParagraph"/>
        <w:widowControl/>
        <w:numPr>
          <w:ilvl w:val="0"/>
          <w:numId w:val="6"/>
        </w:numPr>
        <w:ind w:left="284" w:hanging="284"/>
        <w:jc w:val="left"/>
        <w:rPr>
          <w:szCs w:val="24"/>
        </w:rPr>
      </w:pPr>
      <w:r w:rsidRPr="00954D7A">
        <w:rPr>
          <w:szCs w:val="24"/>
        </w:rPr>
        <w:t>T</w:t>
      </w:r>
      <w:r w:rsidR="00D0765E" w:rsidRPr="00954D7A">
        <w:rPr>
          <w:szCs w:val="24"/>
        </w:rPr>
        <w:t xml:space="preserve">here </w:t>
      </w:r>
      <w:r w:rsidR="00282136" w:rsidRPr="00954D7A">
        <w:rPr>
          <w:szCs w:val="24"/>
        </w:rPr>
        <w:t>are</w:t>
      </w:r>
      <w:r w:rsidR="00D0765E" w:rsidRPr="00954D7A">
        <w:rPr>
          <w:szCs w:val="24"/>
        </w:rPr>
        <w:t xml:space="preserve"> mechanisms other than pharmacy level substitution which could drive the uptake of the use of biosimilar</w:t>
      </w:r>
      <w:r w:rsidR="003156CC" w:rsidRPr="00954D7A">
        <w:rPr>
          <w:szCs w:val="24"/>
        </w:rPr>
        <w:t xml:space="preserve"> medicines</w:t>
      </w:r>
      <w:r w:rsidRPr="00954D7A">
        <w:rPr>
          <w:szCs w:val="24"/>
        </w:rPr>
        <w:t>. For example</w:t>
      </w:r>
      <w:r w:rsidR="00F95716">
        <w:rPr>
          <w:szCs w:val="24"/>
        </w:rPr>
        <w:t>,</w:t>
      </w:r>
      <w:r w:rsidRPr="00445A80">
        <w:rPr>
          <w:szCs w:val="24"/>
        </w:rPr>
        <w:t xml:space="preserve"> </w:t>
      </w:r>
      <w:r w:rsidR="00D0765E" w:rsidRPr="00954D7A">
        <w:rPr>
          <w:szCs w:val="24"/>
        </w:rPr>
        <w:t>tendering or physician driven substitution program</w:t>
      </w:r>
      <w:r w:rsidRPr="00954D7A">
        <w:rPr>
          <w:szCs w:val="24"/>
        </w:rPr>
        <w:t>s</w:t>
      </w:r>
      <w:r w:rsidR="00D0765E" w:rsidRPr="00954D7A">
        <w:rPr>
          <w:szCs w:val="24"/>
        </w:rPr>
        <w:t>.</w:t>
      </w:r>
    </w:p>
    <w:p w:rsidR="00AF0229" w:rsidRPr="00954D7A" w:rsidRDefault="00AF0229" w:rsidP="00954D7A">
      <w:pPr>
        <w:pStyle w:val="ListParagraph"/>
        <w:widowControl/>
        <w:ind w:left="284"/>
        <w:jc w:val="left"/>
        <w:rPr>
          <w:szCs w:val="24"/>
        </w:rPr>
      </w:pPr>
    </w:p>
    <w:p w:rsidR="005D7007" w:rsidRPr="00F95716" w:rsidRDefault="00916C5E" w:rsidP="00E95206">
      <w:pPr>
        <w:widowControl/>
        <w:jc w:val="left"/>
        <w:rPr>
          <w:szCs w:val="24"/>
          <w:u w:val="single"/>
        </w:rPr>
      </w:pPr>
      <w:r>
        <w:rPr>
          <w:szCs w:val="24"/>
          <w:u w:val="single"/>
        </w:rPr>
        <w:t>‘</w:t>
      </w:r>
      <w:r w:rsidR="005D7007" w:rsidRPr="00F95716">
        <w:rPr>
          <w:szCs w:val="24"/>
          <w:u w:val="single"/>
        </w:rPr>
        <w:t>A</w:t>
      </w:r>
      <w:r>
        <w:rPr>
          <w:szCs w:val="24"/>
          <w:u w:val="single"/>
        </w:rPr>
        <w:t>’</w:t>
      </w:r>
      <w:r w:rsidR="005D7007" w:rsidRPr="00F95716">
        <w:rPr>
          <w:szCs w:val="24"/>
          <w:u w:val="single"/>
        </w:rPr>
        <w:t xml:space="preserve">-flagging </w:t>
      </w:r>
      <w:r w:rsidR="00EB3CAB" w:rsidRPr="00F95716">
        <w:rPr>
          <w:szCs w:val="24"/>
          <w:u w:val="single"/>
        </w:rPr>
        <w:t xml:space="preserve">of </w:t>
      </w:r>
      <w:r w:rsidR="005D7007" w:rsidRPr="00F95716">
        <w:rPr>
          <w:szCs w:val="24"/>
          <w:u w:val="single"/>
        </w:rPr>
        <w:t>biosimilar medicines</w:t>
      </w:r>
      <w:r w:rsidR="00F40CDF" w:rsidRPr="00F95716">
        <w:rPr>
          <w:szCs w:val="24"/>
          <w:u w:val="single"/>
        </w:rPr>
        <w:t xml:space="preserve"> and their reference biological medicine</w:t>
      </w:r>
    </w:p>
    <w:p w:rsidR="005D7007" w:rsidRPr="00954D7A" w:rsidRDefault="002866FB" w:rsidP="00954D7A">
      <w:pPr>
        <w:pStyle w:val="ListParagraph"/>
        <w:widowControl/>
        <w:numPr>
          <w:ilvl w:val="0"/>
          <w:numId w:val="6"/>
        </w:numPr>
        <w:ind w:left="284" w:hanging="284"/>
        <w:jc w:val="left"/>
        <w:rPr>
          <w:szCs w:val="24"/>
        </w:rPr>
      </w:pPr>
      <w:r>
        <w:rPr>
          <w:szCs w:val="24"/>
        </w:rPr>
        <w:t>A</w:t>
      </w:r>
      <w:r w:rsidR="005D7007" w:rsidRPr="00E95206">
        <w:rPr>
          <w:szCs w:val="24"/>
        </w:rPr>
        <w:t xml:space="preserve"> robust process and policy with regard to </w:t>
      </w:r>
      <w:r w:rsidRPr="00E95206">
        <w:rPr>
          <w:szCs w:val="24"/>
        </w:rPr>
        <w:t>‘</w:t>
      </w:r>
      <w:r w:rsidR="005D7007" w:rsidRPr="00E95206">
        <w:rPr>
          <w:szCs w:val="24"/>
        </w:rPr>
        <w:t>a</w:t>
      </w:r>
      <w:r w:rsidRPr="00E95206">
        <w:rPr>
          <w:szCs w:val="24"/>
        </w:rPr>
        <w:t>’</w:t>
      </w:r>
      <w:r w:rsidR="005D7007" w:rsidRPr="00E95206">
        <w:rPr>
          <w:szCs w:val="24"/>
        </w:rPr>
        <w:t xml:space="preserve"> flagging of biosimilar</w:t>
      </w:r>
      <w:r w:rsidRPr="00E95206">
        <w:rPr>
          <w:szCs w:val="24"/>
        </w:rPr>
        <w:t xml:space="preserve"> medicines and their reference biological medicine</w:t>
      </w:r>
      <w:r w:rsidR="005D7007" w:rsidRPr="00445A80">
        <w:rPr>
          <w:szCs w:val="24"/>
        </w:rPr>
        <w:t xml:space="preserve"> </w:t>
      </w:r>
      <w:r w:rsidRPr="00954D7A">
        <w:rPr>
          <w:szCs w:val="24"/>
        </w:rPr>
        <w:t xml:space="preserve">is </w:t>
      </w:r>
      <w:r w:rsidR="005D7007" w:rsidRPr="00954D7A">
        <w:rPr>
          <w:szCs w:val="24"/>
        </w:rPr>
        <w:t xml:space="preserve">required to </w:t>
      </w:r>
      <w:r w:rsidRPr="00954D7A">
        <w:rPr>
          <w:szCs w:val="24"/>
        </w:rPr>
        <w:t xml:space="preserve">build </w:t>
      </w:r>
      <w:r w:rsidR="005D7007" w:rsidRPr="00954D7A">
        <w:rPr>
          <w:szCs w:val="24"/>
        </w:rPr>
        <w:t>public confidence</w:t>
      </w:r>
      <w:r w:rsidR="002D0F9D" w:rsidRPr="00954D7A">
        <w:rPr>
          <w:szCs w:val="24"/>
        </w:rPr>
        <w:t>.  The current system for handling generic drugs provide</w:t>
      </w:r>
      <w:r w:rsidR="00495147" w:rsidRPr="00954D7A">
        <w:rPr>
          <w:szCs w:val="24"/>
        </w:rPr>
        <w:t>s</w:t>
      </w:r>
      <w:r w:rsidR="002D0F9D" w:rsidRPr="00954D7A">
        <w:rPr>
          <w:szCs w:val="24"/>
        </w:rPr>
        <w:t xml:space="preserve"> a frame of reference</w:t>
      </w:r>
      <w:r w:rsidR="005D7007" w:rsidRPr="00954D7A">
        <w:rPr>
          <w:szCs w:val="24"/>
        </w:rPr>
        <w:t xml:space="preserve">, </w:t>
      </w:r>
      <w:r w:rsidRPr="00954D7A">
        <w:rPr>
          <w:szCs w:val="24"/>
        </w:rPr>
        <w:t>but</w:t>
      </w:r>
      <w:r w:rsidR="005D7007" w:rsidRPr="00954D7A">
        <w:rPr>
          <w:szCs w:val="24"/>
        </w:rPr>
        <w:t xml:space="preserve"> biosimilar</w:t>
      </w:r>
      <w:r w:rsidR="003156CC" w:rsidRPr="00954D7A">
        <w:rPr>
          <w:szCs w:val="24"/>
        </w:rPr>
        <w:t xml:space="preserve"> medicines</w:t>
      </w:r>
      <w:r w:rsidR="002D0F9D" w:rsidRPr="00954D7A">
        <w:rPr>
          <w:szCs w:val="24"/>
        </w:rPr>
        <w:t xml:space="preserve"> may </w:t>
      </w:r>
      <w:r w:rsidR="005D7007" w:rsidRPr="00954D7A">
        <w:rPr>
          <w:szCs w:val="24"/>
        </w:rPr>
        <w:t>require a</w:t>
      </w:r>
      <w:r w:rsidR="002D0F9D" w:rsidRPr="00954D7A">
        <w:rPr>
          <w:szCs w:val="24"/>
        </w:rPr>
        <w:t>n adapted</w:t>
      </w:r>
      <w:r w:rsidR="005D7007" w:rsidRPr="00954D7A">
        <w:rPr>
          <w:szCs w:val="24"/>
        </w:rPr>
        <w:t xml:space="preserve"> process. </w:t>
      </w:r>
    </w:p>
    <w:p w:rsidR="005D7007" w:rsidRDefault="005D7007" w:rsidP="00954D7A">
      <w:pPr>
        <w:pStyle w:val="ListParagraph"/>
        <w:widowControl/>
        <w:numPr>
          <w:ilvl w:val="0"/>
          <w:numId w:val="6"/>
        </w:numPr>
        <w:ind w:left="284" w:hanging="284"/>
        <w:jc w:val="left"/>
        <w:rPr>
          <w:szCs w:val="24"/>
        </w:rPr>
      </w:pPr>
      <w:r w:rsidRPr="003156CC">
        <w:rPr>
          <w:szCs w:val="24"/>
        </w:rPr>
        <w:t xml:space="preserve">There </w:t>
      </w:r>
      <w:r w:rsidR="005C64E8">
        <w:rPr>
          <w:szCs w:val="24"/>
        </w:rPr>
        <w:t>i</w:t>
      </w:r>
      <w:r w:rsidRPr="003156CC">
        <w:rPr>
          <w:szCs w:val="24"/>
        </w:rPr>
        <w:t>s support for t</w:t>
      </w:r>
      <w:r w:rsidR="003156CC" w:rsidRPr="003156CC">
        <w:rPr>
          <w:szCs w:val="24"/>
        </w:rPr>
        <w:t>he PBAC’s position to make case-</w:t>
      </w:r>
      <w:r w:rsidRPr="003156CC">
        <w:rPr>
          <w:szCs w:val="24"/>
        </w:rPr>
        <w:t>by</w:t>
      </w:r>
      <w:r w:rsidR="003156CC" w:rsidRPr="003156CC">
        <w:rPr>
          <w:szCs w:val="24"/>
        </w:rPr>
        <w:t>-</w:t>
      </w:r>
      <w:r w:rsidRPr="003156CC">
        <w:rPr>
          <w:szCs w:val="24"/>
        </w:rPr>
        <w:t xml:space="preserve">case </w:t>
      </w:r>
      <w:r w:rsidR="002866FB">
        <w:rPr>
          <w:szCs w:val="24"/>
        </w:rPr>
        <w:t>recommendations</w:t>
      </w:r>
      <w:r w:rsidR="002866FB" w:rsidRPr="003156CC">
        <w:rPr>
          <w:szCs w:val="24"/>
        </w:rPr>
        <w:t xml:space="preserve"> </w:t>
      </w:r>
      <w:r w:rsidRPr="003156CC">
        <w:rPr>
          <w:szCs w:val="24"/>
        </w:rPr>
        <w:t xml:space="preserve">with regard to </w:t>
      </w:r>
      <w:r w:rsidR="002866FB">
        <w:rPr>
          <w:szCs w:val="24"/>
        </w:rPr>
        <w:t>‘</w:t>
      </w:r>
      <w:r w:rsidRPr="003156CC">
        <w:rPr>
          <w:szCs w:val="24"/>
        </w:rPr>
        <w:t>a</w:t>
      </w:r>
      <w:r w:rsidR="002866FB">
        <w:rPr>
          <w:szCs w:val="24"/>
        </w:rPr>
        <w:t>’</w:t>
      </w:r>
      <w:r w:rsidRPr="003156CC">
        <w:rPr>
          <w:szCs w:val="24"/>
        </w:rPr>
        <w:t xml:space="preserve"> flagging of biosimilar medicines</w:t>
      </w:r>
      <w:r w:rsidR="002866FB" w:rsidRPr="00E95206">
        <w:rPr>
          <w:szCs w:val="24"/>
        </w:rPr>
        <w:t xml:space="preserve"> </w:t>
      </w:r>
      <w:r w:rsidR="002866FB" w:rsidRPr="002866FB">
        <w:rPr>
          <w:szCs w:val="24"/>
        </w:rPr>
        <w:t>and their reference biological medicine</w:t>
      </w:r>
      <w:r w:rsidRPr="003156CC">
        <w:rPr>
          <w:szCs w:val="24"/>
        </w:rPr>
        <w:t>.</w:t>
      </w:r>
      <w:r w:rsidR="00954D7A">
        <w:rPr>
          <w:szCs w:val="24"/>
        </w:rPr>
        <w:t xml:space="preserve">  There is broad agreement that </w:t>
      </w:r>
      <w:proofErr w:type="spellStart"/>
      <w:r w:rsidR="00954D7A">
        <w:rPr>
          <w:szCs w:val="24"/>
        </w:rPr>
        <w:t>b</w:t>
      </w:r>
      <w:r w:rsidR="008256C2" w:rsidRPr="008256C2">
        <w:rPr>
          <w:szCs w:val="24"/>
        </w:rPr>
        <w:t>iosimilarity</w:t>
      </w:r>
      <w:proofErr w:type="spellEnd"/>
      <w:r w:rsidR="008256C2" w:rsidRPr="008256C2">
        <w:rPr>
          <w:szCs w:val="24"/>
        </w:rPr>
        <w:t xml:space="preserve"> is not in itself sufficient to establish the safety of switching</w:t>
      </w:r>
      <w:r w:rsidR="005C64E8">
        <w:rPr>
          <w:szCs w:val="24"/>
        </w:rPr>
        <w:t>.</w:t>
      </w:r>
    </w:p>
    <w:p w:rsidR="005D7007" w:rsidRDefault="000B4479" w:rsidP="00954D7A">
      <w:pPr>
        <w:pStyle w:val="ListParagraph"/>
        <w:widowControl/>
        <w:numPr>
          <w:ilvl w:val="0"/>
          <w:numId w:val="6"/>
        </w:numPr>
        <w:ind w:left="284" w:hanging="284"/>
        <w:jc w:val="left"/>
        <w:rPr>
          <w:szCs w:val="24"/>
        </w:rPr>
      </w:pPr>
      <w:r w:rsidRPr="00ED7EF7">
        <w:rPr>
          <w:szCs w:val="24"/>
        </w:rPr>
        <w:t>T</w:t>
      </w:r>
      <w:r w:rsidR="00EB3CAB">
        <w:rPr>
          <w:szCs w:val="24"/>
        </w:rPr>
        <w:t xml:space="preserve">he importance of evidence-based consideration was emphasised, as was the need to ensure the PBAC’s rationale for ‘a’ flagging recommendations is clearly communicated in each case. </w:t>
      </w:r>
    </w:p>
    <w:p w:rsidR="00D521F8" w:rsidRPr="00D521F8" w:rsidRDefault="00D521F8" w:rsidP="00954D7A">
      <w:pPr>
        <w:pStyle w:val="ListParagraph"/>
        <w:numPr>
          <w:ilvl w:val="0"/>
          <w:numId w:val="6"/>
        </w:numPr>
        <w:ind w:left="284" w:hanging="284"/>
        <w:rPr>
          <w:szCs w:val="24"/>
        </w:rPr>
      </w:pPr>
      <w:r w:rsidRPr="00D521F8">
        <w:rPr>
          <w:szCs w:val="24"/>
        </w:rPr>
        <w:t>Substitution of biologic medicines already occurs in Australian public hospitals.</w:t>
      </w:r>
    </w:p>
    <w:p w:rsidR="005C64E8" w:rsidRPr="00E95206" w:rsidRDefault="004657B8" w:rsidP="00954D7A">
      <w:pPr>
        <w:pStyle w:val="ListParagraph"/>
        <w:numPr>
          <w:ilvl w:val="0"/>
          <w:numId w:val="6"/>
        </w:numPr>
        <w:ind w:left="284" w:hanging="284"/>
        <w:rPr>
          <w:szCs w:val="24"/>
        </w:rPr>
      </w:pPr>
      <w:r>
        <w:rPr>
          <w:szCs w:val="24"/>
        </w:rPr>
        <w:t>Some</w:t>
      </w:r>
      <w:r w:rsidR="005C64E8">
        <w:rPr>
          <w:szCs w:val="24"/>
        </w:rPr>
        <w:t xml:space="preserve"> representatives considered that d</w:t>
      </w:r>
      <w:r w:rsidR="005C64E8" w:rsidRPr="00E95206">
        <w:rPr>
          <w:szCs w:val="24"/>
        </w:rPr>
        <w:t>ecisions about substitution should occur in the therapeutic relationship between the prescriber and the patient with the patient giving informed consent.</w:t>
      </w:r>
    </w:p>
    <w:p w:rsidR="005D7007" w:rsidRPr="00E95206" w:rsidRDefault="0045116C" w:rsidP="00954D7A">
      <w:pPr>
        <w:pStyle w:val="ListParagraph"/>
        <w:widowControl/>
        <w:numPr>
          <w:ilvl w:val="0"/>
          <w:numId w:val="6"/>
        </w:numPr>
        <w:ind w:left="284" w:hanging="284"/>
        <w:jc w:val="left"/>
        <w:rPr>
          <w:szCs w:val="24"/>
        </w:rPr>
      </w:pPr>
      <w:r w:rsidRPr="00954D7A">
        <w:rPr>
          <w:szCs w:val="24"/>
        </w:rPr>
        <w:t>M</w:t>
      </w:r>
      <w:r w:rsidR="005D7007" w:rsidRPr="00954D7A">
        <w:rPr>
          <w:szCs w:val="24"/>
        </w:rPr>
        <w:t>any, although not all, representatives were concerned that pharmacy level substitution would</w:t>
      </w:r>
      <w:r w:rsidR="00105DF3" w:rsidRPr="00954D7A">
        <w:rPr>
          <w:szCs w:val="24"/>
        </w:rPr>
        <w:t xml:space="preserve"> be automatic and may</w:t>
      </w:r>
      <w:r w:rsidR="005D7007" w:rsidRPr="00954D7A">
        <w:rPr>
          <w:szCs w:val="24"/>
        </w:rPr>
        <w:t xml:space="preserve"> entail risks for patients.  These risks were </w:t>
      </w:r>
      <w:r w:rsidR="00E20916" w:rsidRPr="00954D7A">
        <w:rPr>
          <w:szCs w:val="24"/>
        </w:rPr>
        <w:t xml:space="preserve">considered </w:t>
      </w:r>
      <w:r w:rsidR="005D7007" w:rsidRPr="00954D7A">
        <w:rPr>
          <w:szCs w:val="24"/>
        </w:rPr>
        <w:t xml:space="preserve">primarily </w:t>
      </w:r>
      <w:r w:rsidR="005D7007" w:rsidRPr="00E95206">
        <w:rPr>
          <w:szCs w:val="24"/>
        </w:rPr>
        <w:t>rela</w:t>
      </w:r>
      <w:r w:rsidR="003156CC" w:rsidRPr="00E95206">
        <w:rPr>
          <w:szCs w:val="24"/>
        </w:rPr>
        <w:t>ted to the safety of</w:t>
      </w:r>
      <w:r w:rsidR="00E20916" w:rsidRPr="00E95206">
        <w:rPr>
          <w:szCs w:val="24"/>
        </w:rPr>
        <w:t xml:space="preserve"> switching between</w:t>
      </w:r>
      <w:r w:rsidR="003156CC" w:rsidRPr="00E95206">
        <w:rPr>
          <w:szCs w:val="24"/>
        </w:rPr>
        <w:t xml:space="preserve"> biosimilar medicines</w:t>
      </w:r>
      <w:r w:rsidR="00E20916" w:rsidRPr="00445A80">
        <w:rPr>
          <w:szCs w:val="24"/>
        </w:rPr>
        <w:t xml:space="preserve"> and their reference biological</w:t>
      </w:r>
      <w:r w:rsidR="00495147" w:rsidRPr="00954D7A">
        <w:rPr>
          <w:szCs w:val="24"/>
        </w:rPr>
        <w:t xml:space="preserve"> medicine</w:t>
      </w:r>
      <w:r w:rsidR="005D7007" w:rsidRPr="00954D7A">
        <w:rPr>
          <w:szCs w:val="24"/>
        </w:rPr>
        <w:t xml:space="preserve">, </w:t>
      </w:r>
      <w:r w:rsidR="00E20916" w:rsidRPr="00954D7A">
        <w:rPr>
          <w:szCs w:val="24"/>
        </w:rPr>
        <w:t>a</w:t>
      </w:r>
      <w:r w:rsidR="005D7007" w:rsidRPr="00954D7A">
        <w:rPr>
          <w:szCs w:val="24"/>
        </w:rPr>
        <w:t xml:space="preserve">nd not </w:t>
      </w:r>
      <w:r w:rsidR="00E20916" w:rsidRPr="00954D7A">
        <w:rPr>
          <w:szCs w:val="24"/>
        </w:rPr>
        <w:t xml:space="preserve">to the safety of </w:t>
      </w:r>
      <w:r w:rsidR="005D7007" w:rsidRPr="00954D7A">
        <w:rPr>
          <w:szCs w:val="24"/>
        </w:rPr>
        <w:t>biosimilar medicines in general.</w:t>
      </w:r>
      <w:r w:rsidR="001C68F5" w:rsidRPr="00954D7A">
        <w:rPr>
          <w:szCs w:val="24"/>
        </w:rPr>
        <w:t xml:space="preserve">  </w:t>
      </w:r>
      <w:r w:rsidR="00D521F8">
        <w:rPr>
          <w:szCs w:val="24"/>
        </w:rPr>
        <w:t>I</w:t>
      </w:r>
      <w:r w:rsidR="001C68F5" w:rsidRPr="00E95206">
        <w:rPr>
          <w:szCs w:val="24"/>
        </w:rPr>
        <w:t xml:space="preserve">t was explained that the prescriber can </w:t>
      </w:r>
      <w:r w:rsidR="00954D7A">
        <w:rPr>
          <w:szCs w:val="24"/>
        </w:rPr>
        <w:t>prevent</w:t>
      </w:r>
      <w:r w:rsidR="001C68F5" w:rsidRPr="00E95206">
        <w:rPr>
          <w:szCs w:val="24"/>
        </w:rPr>
        <w:t xml:space="preserve"> pharmacy level brand su</w:t>
      </w:r>
      <w:r w:rsidR="001C68F5" w:rsidRPr="00445A80">
        <w:rPr>
          <w:szCs w:val="24"/>
        </w:rPr>
        <w:t xml:space="preserve">bstitution by ticking the box on the prescription which indicates no substitution is permitted.  </w:t>
      </w:r>
      <w:r w:rsidR="001C68F5" w:rsidRPr="00954D7A">
        <w:rPr>
          <w:szCs w:val="24"/>
        </w:rPr>
        <w:t xml:space="preserve">If the </w:t>
      </w:r>
      <w:r w:rsidR="00F95716">
        <w:rPr>
          <w:szCs w:val="24"/>
        </w:rPr>
        <w:t xml:space="preserve">“no substitution” </w:t>
      </w:r>
      <w:r w:rsidR="001C68F5" w:rsidRPr="00E95206">
        <w:rPr>
          <w:szCs w:val="24"/>
        </w:rPr>
        <w:t>box is ticked, it</w:t>
      </w:r>
      <w:r w:rsidR="001C68F5" w:rsidRPr="00F12D7A">
        <w:rPr>
          <w:szCs w:val="24"/>
        </w:rPr>
        <w:t xml:space="preserve"> is</w:t>
      </w:r>
      <w:r w:rsidR="001C68F5" w:rsidRPr="00445A80">
        <w:rPr>
          <w:szCs w:val="24"/>
        </w:rPr>
        <w:t xml:space="preserve"> an offence</w:t>
      </w:r>
      <w:r w:rsidR="001C68F5" w:rsidRPr="00954D7A">
        <w:rPr>
          <w:szCs w:val="24"/>
        </w:rPr>
        <w:t xml:space="preserve"> under the PBS legislation for a pharmacist to dispense a brand other than that specified on the prescription.  </w:t>
      </w:r>
      <w:r w:rsidR="005C64E8">
        <w:rPr>
          <w:szCs w:val="24"/>
        </w:rPr>
        <w:t>T</w:t>
      </w:r>
      <w:r w:rsidR="006F7FCE">
        <w:rPr>
          <w:szCs w:val="24"/>
        </w:rPr>
        <w:t xml:space="preserve">here is Australian </w:t>
      </w:r>
      <w:r w:rsidR="00F95716">
        <w:rPr>
          <w:szCs w:val="24"/>
        </w:rPr>
        <w:t xml:space="preserve">evidence </w:t>
      </w:r>
      <w:r w:rsidR="006F7FCE">
        <w:rPr>
          <w:szCs w:val="24"/>
        </w:rPr>
        <w:t xml:space="preserve">that </w:t>
      </w:r>
      <w:r w:rsidR="00F95716">
        <w:rPr>
          <w:szCs w:val="24"/>
        </w:rPr>
        <w:t>shows that pharmacists do not substitute when the</w:t>
      </w:r>
      <w:r w:rsidR="005C64E8">
        <w:rPr>
          <w:szCs w:val="24"/>
        </w:rPr>
        <w:t xml:space="preserve"> “no-substitut</w:t>
      </w:r>
      <w:r w:rsidR="00D521F8">
        <w:rPr>
          <w:szCs w:val="24"/>
        </w:rPr>
        <w:t>i</w:t>
      </w:r>
      <w:r w:rsidR="005C64E8">
        <w:rPr>
          <w:szCs w:val="24"/>
        </w:rPr>
        <w:t>on”</w:t>
      </w:r>
      <w:r w:rsidR="00F95716">
        <w:rPr>
          <w:szCs w:val="24"/>
        </w:rPr>
        <w:t xml:space="preserve"> box is ticked.</w:t>
      </w:r>
    </w:p>
    <w:p w:rsidR="005C64E8" w:rsidRDefault="005C64E8" w:rsidP="00954D7A">
      <w:pPr>
        <w:pStyle w:val="ListParagraph"/>
        <w:numPr>
          <w:ilvl w:val="0"/>
          <w:numId w:val="6"/>
        </w:numPr>
        <w:ind w:left="284" w:hanging="284"/>
        <w:jc w:val="left"/>
        <w:rPr>
          <w:szCs w:val="24"/>
        </w:rPr>
      </w:pPr>
      <w:r w:rsidRPr="005C64E8">
        <w:rPr>
          <w:szCs w:val="24"/>
        </w:rPr>
        <w:t xml:space="preserve">A number of representatives considered there is a lack of evidence and data on safety and efficacy related to multiple switches between a biosimilar medicine and the reference biologic medicine and that ‘a’ flagging should only occur when there was robust evidence available on multiple switches.  Apart from data specific to switching between the biosimilar medicine and reference biologic, some representatives also showed a </w:t>
      </w:r>
      <w:r w:rsidRPr="005C64E8">
        <w:rPr>
          <w:szCs w:val="24"/>
        </w:rPr>
        <w:lastRenderedPageBreak/>
        <w:t>preference for data to be provided for each indication for which the biosimilar was proposed for subsidy rather than being extrapolated from one indication to another. However this position in relation to biosimilars is not consistent with providing expedited access to new drugs on the basis of early evidence, for example, in the context of a managed entry scheme.</w:t>
      </w:r>
    </w:p>
    <w:p w:rsidR="00395FFC" w:rsidRPr="00BA2981" w:rsidRDefault="00395FFC" w:rsidP="00954D7A">
      <w:pPr>
        <w:pStyle w:val="ListParagraph"/>
        <w:numPr>
          <w:ilvl w:val="0"/>
          <w:numId w:val="6"/>
        </w:numPr>
        <w:ind w:left="284" w:hanging="284"/>
        <w:jc w:val="left"/>
        <w:rPr>
          <w:szCs w:val="24"/>
        </w:rPr>
      </w:pPr>
      <w:r w:rsidRPr="00BA2981">
        <w:rPr>
          <w:szCs w:val="24"/>
        </w:rPr>
        <w:t>Some representatives expressed concern that substitution</w:t>
      </w:r>
      <w:r w:rsidR="009C2146" w:rsidRPr="00BA2981">
        <w:rPr>
          <w:szCs w:val="24"/>
        </w:rPr>
        <w:t xml:space="preserve"> of particular drugs</w:t>
      </w:r>
      <w:r w:rsidRPr="00BA2981">
        <w:rPr>
          <w:szCs w:val="24"/>
        </w:rPr>
        <w:t xml:space="preserve"> may entail use of a different drug delivery system, which could lead to confusion for self-administered drugs (e.g. insulin). </w:t>
      </w:r>
      <w:r w:rsidR="009C2146" w:rsidRPr="00BA2981">
        <w:rPr>
          <w:szCs w:val="24"/>
        </w:rPr>
        <w:t xml:space="preserve"> The PBAC noted that this issue was not limited to biosimilar substitution, and </w:t>
      </w:r>
      <w:r w:rsidR="00A26E72" w:rsidRPr="00BA2981">
        <w:rPr>
          <w:szCs w:val="24"/>
        </w:rPr>
        <w:t>considered that</w:t>
      </w:r>
      <w:r w:rsidRPr="00BA2981">
        <w:rPr>
          <w:szCs w:val="24"/>
        </w:rPr>
        <w:t xml:space="preserve"> differences in </w:t>
      </w:r>
      <w:r w:rsidR="00485F71" w:rsidRPr="00BA2981">
        <w:rPr>
          <w:szCs w:val="24"/>
        </w:rPr>
        <w:t xml:space="preserve">drug delivery </w:t>
      </w:r>
      <w:r w:rsidRPr="00BA2981">
        <w:rPr>
          <w:szCs w:val="24"/>
        </w:rPr>
        <w:t xml:space="preserve">devices </w:t>
      </w:r>
      <w:r w:rsidR="00A26E72" w:rsidRPr="00BA2981">
        <w:rPr>
          <w:szCs w:val="24"/>
        </w:rPr>
        <w:t>may be able to</w:t>
      </w:r>
      <w:r w:rsidRPr="00BA2981">
        <w:rPr>
          <w:szCs w:val="24"/>
        </w:rPr>
        <w:t xml:space="preserve"> be managed in the course of the regular patient education and counselling on the use of the devices that is provided to patients by prescribers, pharmacists and </w:t>
      </w:r>
      <w:r w:rsidR="009C2146" w:rsidRPr="00BA2981">
        <w:rPr>
          <w:szCs w:val="24"/>
        </w:rPr>
        <w:t>other health care professionals.</w:t>
      </w:r>
      <w:r w:rsidR="00A26E72" w:rsidRPr="00BA2981">
        <w:rPr>
          <w:szCs w:val="24"/>
        </w:rPr>
        <w:t xml:space="preserve">  The PBAC noted it would consider these issues on a case by case basis.</w:t>
      </w:r>
    </w:p>
    <w:p w:rsidR="005D7007" w:rsidRDefault="00274DE7" w:rsidP="00954D7A">
      <w:pPr>
        <w:pStyle w:val="ListParagraph"/>
        <w:widowControl/>
        <w:numPr>
          <w:ilvl w:val="0"/>
          <w:numId w:val="6"/>
        </w:numPr>
        <w:ind w:left="284" w:hanging="284"/>
        <w:jc w:val="left"/>
        <w:rPr>
          <w:szCs w:val="24"/>
        </w:rPr>
      </w:pPr>
      <w:r w:rsidRPr="00954D7A">
        <w:rPr>
          <w:szCs w:val="24"/>
        </w:rPr>
        <w:t xml:space="preserve">Prescribers </w:t>
      </w:r>
      <w:r w:rsidR="00940759" w:rsidRPr="00954D7A">
        <w:rPr>
          <w:szCs w:val="24"/>
        </w:rPr>
        <w:t>ar</w:t>
      </w:r>
      <w:r w:rsidR="005D7007" w:rsidRPr="00954D7A">
        <w:rPr>
          <w:szCs w:val="24"/>
        </w:rPr>
        <w:t xml:space="preserve">e currently able to switch </w:t>
      </w:r>
      <w:r w:rsidRPr="00954D7A">
        <w:rPr>
          <w:szCs w:val="24"/>
        </w:rPr>
        <w:t xml:space="preserve">patients </w:t>
      </w:r>
      <w:r w:rsidR="005D7007" w:rsidRPr="00954D7A">
        <w:rPr>
          <w:szCs w:val="24"/>
        </w:rPr>
        <w:t>between the intravenous and subcutaneous routes of administration of some of the same brand</w:t>
      </w:r>
      <w:r w:rsidRPr="00954D7A">
        <w:rPr>
          <w:szCs w:val="24"/>
        </w:rPr>
        <w:t>s</w:t>
      </w:r>
      <w:r w:rsidR="005D7007" w:rsidRPr="00954D7A">
        <w:rPr>
          <w:szCs w:val="24"/>
        </w:rPr>
        <w:t xml:space="preserve"> of a biological drug, and the data provided in support of such switches may be less than that routinely provided for biosimilar versions of a biological drug, </w:t>
      </w:r>
      <w:r w:rsidR="008E1D57" w:rsidRPr="00954D7A">
        <w:rPr>
          <w:szCs w:val="24"/>
        </w:rPr>
        <w:t xml:space="preserve">and </w:t>
      </w:r>
      <w:r w:rsidR="005D7007" w:rsidRPr="00954D7A">
        <w:rPr>
          <w:szCs w:val="24"/>
        </w:rPr>
        <w:t>less than</w:t>
      </w:r>
      <w:r w:rsidR="00940759" w:rsidRPr="00954D7A">
        <w:rPr>
          <w:szCs w:val="24"/>
        </w:rPr>
        <w:t xml:space="preserve"> would be</w:t>
      </w:r>
      <w:r w:rsidR="005D7007" w:rsidRPr="00954D7A">
        <w:rPr>
          <w:szCs w:val="24"/>
        </w:rPr>
        <w:t xml:space="preserve"> sufficient to meet the expectations </w:t>
      </w:r>
      <w:r w:rsidR="00940759" w:rsidRPr="00954D7A">
        <w:rPr>
          <w:szCs w:val="24"/>
        </w:rPr>
        <w:t xml:space="preserve">of some </w:t>
      </w:r>
      <w:r w:rsidR="0064714A" w:rsidRPr="00954D7A">
        <w:rPr>
          <w:szCs w:val="24"/>
        </w:rPr>
        <w:t>representatives</w:t>
      </w:r>
      <w:r w:rsidR="005D7007" w:rsidRPr="00954D7A">
        <w:rPr>
          <w:szCs w:val="24"/>
        </w:rPr>
        <w:t xml:space="preserve"> </w:t>
      </w:r>
      <w:r w:rsidR="00940759" w:rsidRPr="00954D7A">
        <w:rPr>
          <w:szCs w:val="24"/>
        </w:rPr>
        <w:t xml:space="preserve">in relation to </w:t>
      </w:r>
      <w:r w:rsidR="005D7007" w:rsidRPr="00954D7A">
        <w:rPr>
          <w:szCs w:val="24"/>
        </w:rPr>
        <w:t>biosimilar</w:t>
      </w:r>
      <w:r w:rsidR="00940759" w:rsidRPr="00954D7A">
        <w:rPr>
          <w:szCs w:val="24"/>
        </w:rPr>
        <w:t>s</w:t>
      </w:r>
      <w:r w:rsidR="00841CB8" w:rsidRPr="00954D7A">
        <w:rPr>
          <w:szCs w:val="24"/>
        </w:rPr>
        <w:t>, even though the efficacy and safety issues are similar.</w:t>
      </w:r>
      <w:r w:rsidRPr="00954D7A">
        <w:rPr>
          <w:szCs w:val="24"/>
        </w:rPr>
        <w:t xml:space="preserve"> </w:t>
      </w:r>
    </w:p>
    <w:p w:rsidR="00D521F8" w:rsidRPr="00D521F8" w:rsidRDefault="00D521F8" w:rsidP="00954D7A">
      <w:pPr>
        <w:pStyle w:val="ListParagraph"/>
        <w:numPr>
          <w:ilvl w:val="0"/>
          <w:numId w:val="6"/>
        </w:numPr>
        <w:ind w:left="284" w:hanging="284"/>
        <w:rPr>
          <w:szCs w:val="24"/>
        </w:rPr>
      </w:pPr>
      <w:r w:rsidRPr="00D521F8">
        <w:rPr>
          <w:szCs w:val="24"/>
        </w:rPr>
        <w:t xml:space="preserve">There are different perceptions as to what constitutes a ‘safety issue’ or ‘safety concern’ in relation to substitutability. For some, this phrase is used to describe a concern about adverse events due to immunogenicity or toxicity, for others, a concern about a loss of efficacy of the drug, or a concern about not being able to track whether the biosimilar medicine or the reference medicine has been administered to a patient. </w:t>
      </w:r>
    </w:p>
    <w:p w:rsidR="005D7007" w:rsidRPr="00E95206" w:rsidRDefault="005D7007" w:rsidP="00107C5E">
      <w:pPr>
        <w:pStyle w:val="ListParagraph"/>
        <w:widowControl/>
        <w:ind w:left="284"/>
        <w:jc w:val="left"/>
        <w:rPr>
          <w:szCs w:val="24"/>
        </w:rPr>
      </w:pPr>
    </w:p>
    <w:p w:rsidR="00D0765E" w:rsidRPr="00F12D7A" w:rsidRDefault="00D0765E" w:rsidP="00107C5E">
      <w:pPr>
        <w:widowControl/>
        <w:jc w:val="left"/>
        <w:rPr>
          <w:szCs w:val="24"/>
          <w:u w:val="single"/>
        </w:rPr>
      </w:pPr>
      <w:r w:rsidRPr="00E95206">
        <w:rPr>
          <w:szCs w:val="24"/>
          <w:u w:val="single"/>
        </w:rPr>
        <w:t>Education</w:t>
      </w:r>
    </w:p>
    <w:p w:rsidR="00D9501C" w:rsidRPr="00954D7A" w:rsidRDefault="00D9501C" w:rsidP="00107C5E">
      <w:pPr>
        <w:pStyle w:val="ListParagraph"/>
        <w:widowControl/>
        <w:numPr>
          <w:ilvl w:val="0"/>
          <w:numId w:val="6"/>
        </w:numPr>
        <w:ind w:left="284" w:hanging="284"/>
        <w:jc w:val="left"/>
        <w:rPr>
          <w:szCs w:val="24"/>
        </w:rPr>
      </w:pPr>
      <w:r w:rsidRPr="00445A80">
        <w:rPr>
          <w:szCs w:val="24"/>
        </w:rPr>
        <w:t xml:space="preserve">There is considerable negativity and misinformation about biosimilar medicines in the media. </w:t>
      </w:r>
    </w:p>
    <w:p w:rsidR="00D0765E" w:rsidRPr="00107C5E" w:rsidRDefault="008E1D57" w:rsidP="00107C5E">
      <w:pPr>
        <w:pStyle w:val="ListParagraph"/>
        <w:widowControl/>
        <w:numPr>
          <w:ilvl w:val="0"/>
          <w:numId w:val="6"/>
        </w:numPr>
        <w:ind w:left="284" w:hanging="284"/>
        <w:jc w:val="left"/>
        <w:rPr>
          <w:szCs w:val="24"/>
        </w:rPr>
      </w:pPr>
      <w:r w:rsidRPr="00107C5E">
        <w:rPr>
          <w:szCs w:val="24"/>
        </w:rPr>
        <w:t>P</w:t>
      </w:r>
      <w:r w:rsidR="00D0765E" w:rsidRPr="00107C5E">
        <w:rPr>
          <w:szCs w:val="24"/>
        </w:rPr>
        <w:t>ublic confidence in biosimilar medicines is paramount to the success of biosimilar uptake</w:t>
      </w:r>
      <w:r w:rsidR="007D5259" w:rsidRPr="00107C5E">
        <w:rPr>
          <w:szCs w:val="24"/>
        </w:rPr>
        <w:t>.</w:t>
      </w:r>
    </w:p>
    <w:p w:rsidR="00EE1170" w:rsidRPr="00107C5E" w:rsidRDefault="00EE1170" w:rsidP="00107C5E">
      <w:pPr>
        <w:pStyle w:val="ListParagraph"/>
        <w:widowControl/>
        <w:numPr>
          <w:ilvl w:val="0"/>
          <w:numId w:val="6"/>
        </w:numPr>
        <w:ind w:left="284" w:hanging="284"/>
        <w:jc w:val="left"/>
        <w:rPr>
          <w:szCs w:val="24"/>
        </w:rPr>
      </w:pPr>
      <w:r w:rsidRPr="00107C5E">
        <w:rPr>
          <w:szCs w:val="24"/>
        </w:rPr>
        <w:t>Biologics and biosimilars are not part of patient speech</w:t>
      </w:r>
      <w:r w:rsidR="00841CB8" w:rsidRPr="00107C5E">
        <w:rPr>
          <w:szCs w:val="24"/>
        </w:rPr>
        <w:t>, so there is a need to build patient understanding</w:t>
      </w:r>
      <w:r w:rsidRPr="00107C5E">
        <w:rPr>
          <w:szCs w:val="24"/>
        </w:rPr>
        <w:t>.</w:t>
      </w:r>
    </w:p>
    <w:p w:rsidR="00D9501C" w:rsidRPr="00D9501C" w:rsidRDefault="00D9501C" w:rsidP="00107C5E">
      <w:pPr>
        <w:pStyle w:val="ListParagraph"/>
        <w:widowControl/>
        <w:numPr>
          <w:ilvl w:val="0"/>
          <w:numId w:val="6"/>
        </w:numPr>
        <w:ind w:left="284" w:hanging="284"/>
        <w:jc w:val="left"/>
        <w:rPr>
          <w:szCs w:val="24"/>
        </w:rPr>
      </w:pPr>
      <w:r w:rsidRPr="00D9501C">
        <w:rPr>
          <w:szCs w:val="24"/>
        </w:rPr>
        <w:t xml:space="preserve">Patient consent and consultation when substituting is critical. </w:t>
      </w:r>
    </w:p>
    <w:p w:rsidR="00D0765E" w:rsidRPr="003156CC" w:rsidRDefault="00D0765E" w:rsidP="00107C5E">
      <w:pPr>
        <w:pStyle w:val="ListParagraph"/>
        <w:widowControl/>
        <w:numPr>
          <w:ilvl w:val="0"/>
          <w:numId w:val="6"/>
        </w:numPr>
        <w:ind w:left="284" w:hanging="284"/>
        <w:jc w:val="left"/>
        <w:rPr>
          <w:szCs w:val="24"/>
        </w:rPr>
      </w:pPr>
      <w:r w:rsidRPr="003156CC">
        <w:rPr>
          <w:szCs w:val="24"/>
        </w:rPr>
        <w:t>There is a need for a structured education plan to inform prescribers, pharmacists and patients about the use of biosimilar</w:t>
      </w:r>
      <w:r w:rsidR="003156CC" w:rsidRPr="003156CC">
        <w:rPr>
          <w:szCs w:val="24"/>
        </w:rPr>
        <w:t xml:space="preserve"> medicine</w:t>
      </w:r>
      <w:r w:rsidRPr="003156CC">
        <w:rPr>
          <w:szCs w:val="24"/>
        </w:rPr>
        <w:t xml:space="preserve">s. </w:t>
      </w:r>
    </w:p>
    <w:p w:rsidR="00BA2981" w:rsidRPr="00BA2981" w:rsidRDefault="008256C2" w:rsidP="00BA2981">
      <w:pPr>
        <w:pStyle w:val="ListParagraph"/>
        <w:widowControl/>
        <w:numPr>
          <w:ilvl w:val="0"/>
          <w:numId w:val="6"/>
        </w:numPr>
        <w:ind w:left="284" w:hanging="284"/>
        <w:jc w:val="left"/>
        <w:rPr>
          <w:szCs w:val="24"/>
          <w:u w:val="single"/>
        </w:rPr>
      </w:pPr>
      <w:r>
        <w:rPr>
          <w:szCs w:val="24"/>
        </w:rPr>
        <w:t>P</w:t>
      </w:r>
      <w:r w:rsidR="00D0765E" w:rsidRPr="003156CC">
        <w:rPr>
          <w:szCs w:val="24"/>
        </w:rPr>
        <w:t>rofessional societies could play a role in the development of policy and education in this area.</w:t>
      </w:r>
    </w:p>
    <w:p w:rsidR="00BA2981" w:rsidRPr="00BA2981" w:rsidRDefault="00BA2981" w:rsidP="00BA2981">
      <w:pPr>
        <w:pStyle w:val="ListParagraph"/>
        <w:widowControl/>
        <w:ind w:left="284"/>
        <w:jc w:val="left"/>
        <w:rPr>
          <w:szCs w:val="24"/>
          <w:u w:val="single"/>
        </w:rPr>
      </w:pPr>
    </w:p>
    <w:p w:rsidR="00D0765E" w:rsidRPr="00BA2981" w:rsidRDefault="00BA2981" w:rsidP="00BA2981">
      <w:pPr>
        <w:widowControl/>
        <w:jc w:val="left"/>
        <w:rPr>
          <w:szCs w:val="24"/>
          <w:u w:val="single"/>
        </w:rPr>
      </w:pPr>
      <w:r w:rsidRPr="00BA2981">
        <w:rPr>
          <w:szCs w:val="24"/>
          <w:u w:val="single"/>
        </w:rPr>
        <w:t xml:space="preserve"> </w:t>
      </w:r>
      <w:r w:rsidR="00C03C70" w:rsidRPr="00BA2981">
        <w:rPr>
          <w:szCs w:val="24"/>
          <w:u w:val="single"/>
        </w:rPr>
        <w:t xml:space="preserve">Tracking </w:t>
      </w:r>
      <w:r w:rsidR="00D0765E" w:rsidRPr="00BA2981">
        <w:rPr>
          <w:szCs w:val="24"/>
          <w:u w:val="single"/>
        </w:rPr>
        <w:t>and monitoring</w:t>
      </w:r>
    </w:p>
    <w:p w:rsidR="009C698D" w:rsidRDefault="00D0765E" w:rsidP="00916C5E">
      <w:pPr>
        <w:pStyle w:val="ListParagraph"/>
        <w:widowControl/>
        <w:numPr>
          <w:ilvl w:val="0"/>
          <w:numId w:val="6"/>
        </w:numPr>
        <w:ind w:left="284" w:hanging="284"/>
        <w:jc w:val="left"/>
        <w:rPr>
          <w:szCs w:val="24"/>
        </w:rPr>
      </w:pPr>
      <w:r w:rsidRPr="00916C5E">
        <w:rPr>
          <w:szCs w:val="24"/>
        </w:rPr>
        <w:t xml:space="preserve">Concerns were raised regarding the ability </w:t>
      </w:r>
      <w:r w:rsidR="009C698D" w:rsidRPr="00916C5E">
        <w:rPr>
          <w:szCs w:val="24"/>
        </w:rPr>
        <w:t xml:space="preserve">of prescribers </w:t>
      </w:r>
      <w:r w:rsidRPr="00916C5E">
        <w:rPr>
          <w:szCs w:val="24"/>
        </w:rPr>
        <w:t xml:space="preserve">to track use of a biosimilar and the reference biologic in a patient in order to assess </w:t>
      </w:r>
      <w:r w:rsidR="00841CB8" w:rsidRPr="00916C5E">
        <w:rPr>
          <w:szCs w:val="24"/>
        </w:rPr>
        <w:t xml:space="preserve">if </w:t>
      </w:r>
      <w:r w:rsidRPr="00916C5E">
        <w:rPr>
          <w:szCs w:val="24"/>
        </w:rPr>
        <w:t xml:space="preserve">any </w:t>
      </w:r>
      <w:r w:rsidR="008256C2" w:rsidRPr="00916C5E">
        <w:rPr>
          <w:szCs w:val="24"/>
        </w:rPr>
        <w:t xml:space="preserve">emergent </w:t>
      </w:r>
      <w:r w:rsidRPr="00916C5E">
        <w:rPr>
          <w:szCs w:val="24"/>
        </w:rPr>
        <w:t xml:space="preserve">safety or efficacy </w:t>
      </w:r>
      <w:r w:rsidR="008256C2" w:rsidRPr="00916C5E">
        <w:rPr>
          <w:szCs w:val="24"/>
        </w:rPr>
        <w:t>issues were brand related.</w:t>
      </w:r>
      <w:r w:rsidR="009C698D" w:rsidRPr="003156CC">
        <w:rPr>
          <w:szCs w:val="24"/>
        </w:rPr>
        <w:t xml:space="preserve"> </w:t>
      </w:r>
    </w:p>
    <w:p w:rsidR="00F95716" w:rsidRPr="00F95716" w:rsidRDefault="00F95716" w:rsidP="00916C5E">
      <w:pPr>
        <w:pStyle w:val="ListParagraph"/>
        <w:widowControl/>
        <w:numPr>
          <w:ilvl w:val="0"/>
          <w:numId w:val="6"/>
        </w:numPr>
        <w:ind w:left="284" w:hanging="284"/>
        <w:jc w:val="left"/>
        <w:rPr>
          <w:szCs w:val="24"/>
        </w:rPr>
      </w:pPr>
      <w:r w:rsidRPr="00F95716">
        <w:rPr>
          <w:szCs w:val="24"/>
        </w:rPr>
        <w:t xml:space="preserve">There is a potential role for the personally controlled electronic health record (PCEHR) system in this space. </w:t>
      </w:r>
    </w:p>
    <w:p w:rsidR="00F95716" w:rsidRPr="00F95716" w:rsidRDefault="00F95716" w:rsidP="00916C5E">
      <w:pPr>
        <w:pStyle w:val="ListParagraph"/>
        <w:widowControl/>
        <w:numPr>
          <w:ilvl w:val="0"/>
          <w:numId w:val="6"/>
        </w:numPr>
        <w:ind w:left="284" w:hanging="284"/>
        <w:jc w:val="left"/>
        <w:rPr>
          <w:szCs w:val="24"/>
        </w:rPr>
      </w:pPr>
      <w:r w:rsidRPr="00F95716">
        <w:rPr>
          <w:szCs w:val="24"/>
        </w:rPr>
        <w:t>There is a desire for a clear naming convention of biosimilar medicines and their reference biologicals which would also help with tracking and data analysis.</w:t>
      </w:r>
    </w:p>
    <w:p w:rsidR="00D0765E" w:rsidRPr="00916C5E" w:rsidRDefault="008256C2" w:rsidP="00916C5E">
      <w:pPr>
        <w:pStyle w:val="ListParagraph"/>
        <w:widowControl/>
        <w:numPr>
          <w:ilvl w:val="0"/>
          <w:numId w:val="6"/>
        </w:numPr>
        <w:ind w:left="284" w:hanging="284"/>
        <w:jc w:val="left"/>
        <w:rPr>
          <w:szCs w:val="24"/>
        </w:rPr>
      </w:pPr>
      <w:r w:rsidRPr="00445A80">
        <w:rPr>
          <w:szCs w:val="24"/>
        </w:rPr>
        <w:t>E</w:t>
      </w:r>
      <w:r w:rsidR="00D0765E" w:rsidRPr="00954D7A">
        <w:rPr>
          <w:szCs w:val="24"/>
        </w:rPr>
        <w:t>stablish</w:t>
      </w:r>
      <w:r w:rsidRPr="00954D7A">
        <w:rPr>
          <w:szCs w:val="24"/>
        </w:rPr>
        <w:t>ing</w:t>
      </w:r>
      <w:r w:rsidR="00D0765E" w:rsidRPr="00954D7A">
        <w:rPr>
          <w:szCs w:val="24"/>
        </w:rPr>
        <w:t xml:space="preserve"> a registry was suggested</w:t>
      </w:r>
      <w:r w:rsidRPr="00954D7A">
        <w:rPr>
          <w:szCs w:val="24"/>
        </w:rPr>
        <w:t xml:space="preserve"> as a means</w:t>
      </w:r>
      <w:r w:rsidR="00D0765E" w:rsidRPr="00954D7A">
        <w:rPr>
          <w:szCs w:val="24"/>
        </w:rPr>
        <w:t xml:space="preserve"> </w:t>
      </w:r>
      <w:r w:rsidRPr="00954D7A">
        <w:rPr>
          <w:szCs w:val="24"/>
        </w:rPr>
        <w:t xml:space="preserve">to enhance pharmacovigilance and post-market surveillance and </w:t>
      </w:r>
      <w:r w:rsidR="00D0765E" w:rsidRPr="00916C5E">
        <w:rPr>
          <w:szCs w:val="24"/>
        </w:rPr>
        <w:t>monitor the broader clinical impact of biosimilars</w:t>
      </w:r>
      <w:r w:rsidRPr="00916C5E">
        <w:rPr>
          <w:szCs w:val="24"/>
        </w:rPr>
        <w:t>, particularly</w:t>
      </w:r>
      <w:r w:rsidR="00D0765E" w:rsidRPr="00916C5E">
        <w:rPr>
          <w:szCs w:val="24"/>
        </w:rPr>
        <w:t xml:space="preserve"> as there </w:t>
      </w:r>
      <w:r w:rsidRPr="00916C5E">
        <w:rPr>
          <w:szCs w:val="24"/>
        </w:rPr>
        <w:t>i</w:t>
      </w:r>
      <w:r w:rsidR="00D0765E" w:rsidRPr="00916C5E">
        <w:rPr>
          <w:szCs w:val="24"/>
        </w:rPr>
        <w:t xml:space="preserve">s limited experience with the use of these </w:t>
      </w:r>
      <w:r w:rsidRPr="00916C5E">
        <w:rPr>
          <w:szCs w:val="24"/>
        </w:rPr>
        <w:t>medicines</w:t>
      </w:r>
      <w:r w:rsidR="00D0765E" w:rsidRPr="00916C5E">
        <w:rPr>
          <w:szCs w:val="24"/>
        </w:rPr>
        <w:t xml:space="preserve">.  </w:t>
      </w:r>
      <w:r w:rsidRPr="00916C5E">
        <w:rPr>
          <w:szCs w:val="24"/>
        </w:rPr>
        <w:t>M</w:t>
      </w:r>
      <w:r w:rsidR="00D0765E" w:rsidRPr="00916C5E">
        <w:rPr>
          <w:szCs w:val="24"/>
        </w:rPr>
        <w:t xml:space="preserve">ore collection of data </w:t>
      </w:r>
      <w:r w:rsidRPr="00916C5E">
        <w:rPr>
          <w:szCs w:val="24"/>
        </w:rPr>
        <w:t xml:space="preserve">would </w:t>
      </w:r>
      <w:r w:rsidR="00D0765E" w:rsidRPr="00916C5E">
        <w:rPr>
          <w:szCs w:val="24"/>
        </w:rPr>
        <w:t>provide more timely understanding of utilisation</w:t>
      </w:r>
      <w:r w:rsidR="00EE1170" w:rsidRPr="00916C5E">
        <w:rPr>
          <w:szCs w:val="24"/>
        </w:rPr>
        <w:t xml:space="preserve"> patterns</w:t>
      </w:r>
      <w:r w:rsidR="00D0765E" w:rsidRPr="00916C5E">
        <w:rPr>
          <w:szCs w:val="24"/>
        </w:rPr>
        <w:t xml:space="preserve"> and patient outcomes. </w:t>
      </w:r>
    </w:p>
    <w:p w:rsidR="005D7007" w:rsidRPr="00357142" w:rsidRDefault="005D7007" w:rsidP="00916C5E">
      <w:pPr>
        <w:pStyle w:val="ListParagraph"/>
        <w:widowControl/>
        <w:ind w:left="284"/>
        <w:jc w:val="left"/>
        <w:rPr>
          <w:szCs w:val="24"/>
        </w:rPr>
      </w:pPr>
    </w:p>
    <w:p w:rsidR="00357142" w:rsidRDefault="00357142" w:rsidP="005E1644">
      <w:pPr>
        <w:widowControl/>
        <w:jc w:val="left"/>
        <w:rPr>
          <w:szCs w:val="24"/>
        </w:rPr>
      </w:pPr>
      <w:r>
        <w:rPr>
          <w:szCs w:val="24"/>
        </w:rPr>
        <w:lastRenderedPageBreak/>
        <w:t xml:space="preserve">The PBAC Chair thanked representatives for their attendance and contributions to the consumer hearing, and committed to continuing to consult and engage </w:t>
      </w:r>
      <w:r w:rsidR="00EE1170">
        <w:rPr>
          <w:szCs w:val="24"/>
        </w:rPr>
        <w:t xml:space="preserve">with the community </w:t>
      </w:r>
      <w:r>
        <w:rPr>
          <w:szCs w:val="24"/>
        </w:rPr>
        <w:t>on the matters discussed.</w:t>
      </w:r>
    </w:p>
    <w:sectPr w:rsidR="00357142" w:rsidSect="00EB3CA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16" w:rsidRDefault="00E20916" w:rsidP="004C5C92">
      <w:r>
        <w:separator/>
      </w:r>
    </w:p>
  </w:endnote>
  <w:endnote w:type="continuationSeparator" w:id="0">
    <w:p w:rsidR="00E20916" w:rsidRDefault="00E20916" w:rsidP="004C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375533"/>
      <w:docPartObj>
        <w:docPartGallery w:val="Page Numbers (Bottom of Page)"/>
        <w:docPartUnique/>
      </w:docPartObj>
    </w:sdtPr>
    <w:sdtEndPr>
      <w:rPr>
        <w:noProof/>
      </w:rPr>
    </w:sdtEndPr>
    <w:sdtContent>
      <w:p w:rsidR="00E20916" w:rsidRDefault="00EB3CAB" w:rsidP="00D42B10">
        <w:pPr>
          <w:pStyle w:val="Footer"/>
          <w:jc w:val="center"/>
        </w:pPr>
        <w:r>
          <w:fldChar w:fldCharType="begin"/>
        </w:r>
        <w:r w:rsidR="00E20916">
          <w:instrText xml:space="preserve"> PAGE   \* MERGEFORMAT </w:instrText>
        </w:r>
        <w:r>
          <w:fldChar w:fldCharType="separate"/>
        </w:r>
        <w:r w:rsidR="00BA2981">
          <w:rPr>
            <w:noProof/>
          </w:rPr>
          <w:t>6</w:t>
        </w:r>
        <w:r>
          <w:rPr>
            <w:noProof/>
          </w:rPr>
          <w:fldChar w:fldCharType="end"/>
        </w:r>
      </w:p>
    </w:sdtContent>
  </w:sdt>
  <w:p w:rsidR="00E20916" w:rsidRPr="00D42B10" w:rsidRDefault="00E20916" w:rsidP="00D42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16" w:rsidRDefault="00E20916" w:rsidP="004C5C92">
      <w:r>
        <w:separator/>
      </w:r>
    </w:p>
  </w:footnote>
  <w:footnote w:type="continuationSeparator" w:id="0">
    <w:p w:rsidR="00E20916" w:rsidRDefault="00E20916" w:rsidP="004C5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916" w:rsidRPr="00D42B10" w:rsidRDefault="00E20916" w:rsidP="00D42B10">
    <w:pPr>
      <w:pStyle w:val="Header"/>
      <w:jc w:val="center"/>
      <w:rPr>
        <w:i/>
      </w:rPr>
    </w:pPr>
    <w:r w:rsidRPr="00D42B10">
      <w:rPr>
        <w:i/>
      </w:rPr>
      <w:t>July 2015 PBAC Meeting</w:t>
    </w:r>
  </w:p>
  <w:p w:rsidR="00E20916" w:rsidRPr="00D42B10" w:rsidRDefault="00E20916" w:rsidP="00D42B10">
    <w:pPr>
      <w:pStyle w:val="Header"/>
      <w:jc w:val="center"/>
      <w:rPr>
        <w:i/>
      </w:rPr>
    </w:pPr>
    <w:r w:rsidRPr="00D42B10">
      <w:rPr>
        <w:i/>
      </w:rPr>
      <w:t>Record of consumer hearings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F90"/>
    <w:multiLevelType w:val="hybridMultilevel"/>
    <w:tmpl w:val="8CDA2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F37E0E"/>
    <w:multiLevelType w:val="hybridMultilevel"/>
    <w:tmpl w:val="9A124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FCA331D"/>
    <w:multiLevelType w:val="hybridMultilevel"/>
    <w:tmpl w:val="29C83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2E7C80"/>
    <w:multiLevelType w:val="hybridMultilevel"/>
    <w:tmpl w:val="5B4CCA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7D544F8"/>
    <w:multiLevelType w:val="hybridMultilevel"/>
    <w:tmpl w:val="3AC28F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6424136"/>
    <w:multiLevelType w:val="hybridMultilevel"/>
    <w:tmpl w:val="F6FEF0CE"/>
    <w:lvl w:ilvl="0" w:tplc="0C090001">
      <w:start w:val="1"/>
      <w:numFmt w:val="bullet"/>
      <w:lvlText w:val=""/>
      <w:lvlJc w:val="left"/>
      <w:pPr>
        <w:ind w:left="720" w:hanging="360"/>
      </w:pPr>
      <w:rPr>
        <w:rFonts w:ascii="Symbol" w:hAnsi="Symbol" w:hint="default"/>
      </w:rPr>
    </w:lvl>
    <w:lvl w:ilvl="1" w:tplc="DA600EE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2F5752"/>
    <w:multiLevelType w:val="hybridMultilevel"/>
    <w:tmpl w:val="742C1EEC"/>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nsid w:val="4E78138D"/>
    <w:multiLevelType w:val="hybridMultilevel"/>
    <w:tmpl w:val="3AD09B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928"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1AD2234"/>
    <w:multiLevelType w:val="hybridMultilevel"/>
    <w:tmpl w:val="C9428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3AB129E"/>
    <w:multiLevelType w:val="hybridMultilevel"/>
    <w:tmpl w:val="B06A59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F161272"/>
    <w:multiLevelType w:val="hybridMultilevel"/>
    <w:tmpl w:val="84006254"/>
    <w:lvl w:ilvl="0" w:tplc="DA600EEA">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652E525A"/>
    <w:multiLevelType w:val="hybridMultilevel"/>
    <w:tmpl w:val="0F940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5A10FDE"/>
    <w:multiLevelType w:val="hybridMultilevel"/>
    <w:tmpl w:val="F642E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A6F02A1"/>
    <w:multiLevelType w:val="hybridMultilevel"/>
    <w:tmpl w:val="27D46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0220568"/>
    <w:multiLevelType w:val="hybridMultilevel"/>
    <w:tmpl w:val="4CD62B0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nsid w:val="784D033C"/>
    <w:multiLevelType w:val="multilevel"/>
    <w:tmpl w:val="D00288B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12"/>
  </w:num>
  <w:num w:numId="4">
    <w:abstractNumId w:val="10"/>
  </w:num>
  <w:num w:numId="5">
    <w:abstractNumId w:val="8"/>
  </w:num>
  <w:num w:numId="6">
    <w:abstractNumId w:val="1"/>
  </w:num>
  <w:num w:numId="7">
    <w:abstractNumId w:val="7"/>
  </w:num>
  <w:num w:numId="8">
    <w:abstractNumId w:val="14"/>
  </w:num>
  <w:num w:numId="9">
    <w:abstractNumId w:val="6"/>
  </w:num>
  <w:num w:numId="10">
    <w:abstractNumId w:val="13"/>
  </w:num>
  <w:num w:numId="11">
    <w:abstractNumId w:val="11"/>
  </w:num>
  <w:num w:numId="12">
    <w:abstractNumId w:val="2"/>
  </w:num>
  <w:num w:numId="13">
    <w:abstractNumId w:val="3"/>
  </w:num>
  <w:num w:numId="14">
    <w:abstractNumId w:val="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6A"/>
    <w:rsid w:val="00003454"/>
    <w:rsid w:val="00011F0C"/>
    <w:rsid w:val="00095D00"/>
    <w:rsid w:val="000B22FF"/>
    <w:rsid w:val="000B4479"/>
    <w:rsid w:val="000D5FCA"/>
    <w:rsid w:val="00104CB3"/>
    <w:rsid w:val="00105DF3"/>
    <w:rsid w:val="00107C5E"/>
    <w:rsid w:val="00116BC8"/>
    <w:rsid w:val="001346EA"/>
    <w:rsid w:val="00162B73"/>
    <w:rsid w:val="0017383C"/>
    <w:rsid w:val="00192067"/>
    <w:rsid w:val="001C4243"/>
    <w:rsid w:val="001C68F5"/>
    <w:rsid w:val="001E6393"/>
    <w:rsid w:val="001F7A15"/>
    <w:rsid w:val="002170D2"/>
    <w:rsid w:val="00244B26"/>
    <w:rsid w:val="00265534"/>
    <w:rsid w:val="00274DE7"/>
    <w:rsid w:val="00282136"/>
    <w:rsid w:val="002866FB"/>
    <w:rsid w:val="00292818"/>
    <w:rsid w:val="002963C1"/>
    <w:rsid w:val="002C222F"/>
    <w:rsid w:val="002D0F9D"/>
    <w:rsid w:val="002D5D9D"/>
    <w:rsid w:val="002D7832"/>
    <w:rsid w:val="002E6D4E"/>
    <w:rsid w:val="003156CC"/>
    <w:rsid w:val="0034041C"/>
    <w:rsid w:val="00357142"/>
    <w:rsid w:val="003641FE"/>
    <w:rsid w:val="003671AA"/>
    <w:rsid w:val="0039025E"/>
    <w:rsid w:val="00395FFC"/>
    <w:rsid w:val="003B2E83"/>
    <w:rsid w:val="003C6A73"/>
    <w:rsid w:val="003D3470"/>
    <w:rsid w:val="003E576A"/>
    <w:rsid w:val="003F226D"/>
    <w:rsid w:val="003F2326"/>
    <w:rsid w:val="00400583"/>
    <w:rsid w:val="00400672"/>
    <w:rsid w:val="00402672"/>
    <w:rsid w:val="004102DC"/>
    <w:rsid w:val="00445A80"/>
    <w:rsid w:val="0045116C"/>
    <w:rsid w:val="004657B8"/>
    <w:rsid w:val="00471F44"/>
    <w:rsid w:val="0047693D"/>
    <w:rsid w:val="00485F71"/>
    <w:rsid w:val="00495147"/>
    <w:rsid w:val="004A03C0"/>
    <w:rsid w:val="004B3771"/>
    <w:rsid w:val="004B4943"/>
    <w:rsid w:val="004C5C92"/>
    <w:rsid w:val="004D44BF"/>
    <w:rsid w:val="004D51C8"/>
    <w:rsid w:val="004D720E"/>
    <w:rsid w:val="004E784C"/>
    <w:rsid w:val="004F3D85"/>
    <w:rsid w:val="00504144"/>
    <w:rsid w:val="00517F6D"/>
    <w:rsid w:val="005403E8"/>
    <w:rsid w:val="00553ED4"/>
    <w:rsid w:val="00566AC3"/>
    <w:rsid w:val="00572A3E"/>
    <w:rsid w:val="00581399"/>
    <w:rsid w:val="005B7E7F"/>
    <w:rsid w:val="005C64E8"/>
    <w:rsid w:val="005D7007"/>
    <w:rsid w:val="005E1644"/>
    <w:rsid w:val="005E6DA4"/>
    <w:rsid w:val="0061246D"/>
    <w:rsid w:val="00615722"/>
    <w:rsid w:val="0064714A"/>
    <w:rsid w:val="006624D3"/>
    <w:rsid w:val="006709FA"/>
    <w:rsid w:val="006C4F79"/>
    <w:rsid w:val="006E243D"/>
    <w:rsid w:val="006F4952"/>
    <w:rsid w:val="006F7FCE"/>
    <w:rsid w:val="007006AC"/>
    <w:rsid w:val="00716CFA"/>
    <w:rsid w:val="0073123B"/>
    <w:rsid w:val="00733853"/>
    <w:rsid w:val="00743FC5"/>
    <w:rsid w:val="00777C8A"/>
    <w:rsid w:val="00795277"/>
    <w:rsid w:val="007C0491"/>
    <w:rsid w:val="007D4567"/>
    <w:rsid w:val="007D5259"/>
    <w:rsid w:val="007E1885"/>
    <w:rsid w:val="00811B37"/>
    <w:rsid w:val="008256C2"/>
    <w:rsid w:val="00841CB8"/>
    <w:rsid w:val="00874D21"/>
    <w:rsid w:val="008764A0"/>
    <w:rsid w:val="008C31C9"/>
    <w:rsid w:val="008E1D57"/>
    <w:rsid w:val="008E50BC"/>
    <w:rsid w:val="00900D7F"/>
    <w:rsid w:val="00916C5E"/>
    <w:rsid w:val="009203EB"/>
    <w:rsid w:val="00940759"/>
    <w:rsid w:val="00954D7A"/>
    <w:rsid w:val="009559CF"/>
    <w:rsid w:val="009657F3"/>
    <w:rsid w:val="009701CD"/>
    <w:rsid w:val="00993CDC"/>
    <w:rsid w:val="009B6840"/>
    <w:rsid w:val="009C2146"/>
    <w:rsid w:val="009C47AE"/>
    <w:rsid w:val="009C698D"/>
    <w:rsid w:val="009E0CAE"/>
    <w:rsid w:val="009F22C0"/>
    <w:rsid w:val="009F2D05"/>
    <w:rsid w:val="00A00F32"/>
    <w:rsid w:val="00A2611B"/>
    <w:rsid w:val="00A26E72"/>
    <w:rsid w:val="00A34339"/>
    <w:rsid w:val="00A56226"/>
    <w:rsid w:val="00A72D99"/>
    <w:rsid w:val="00AA0029"/>
    <w:rsid w:val="00AD74A5"/>
    <w:rsid w:val="00AF0229"/>
    <w:rsid w:val="00B25338"/>
    <w:rsid w:val="00B40240"/>
    <w:rsid w:val="00B40CEF"/>
    <w:rsid w:val="00B52656"/>
    <w:rsid w:val="00B60A78"/>
    <w:rsid w:val="00B66262"/>
    <w:rsid w:val="00B93236"/>
    <w:rsid w:val="00BA2981"/>
    <w:rsid w:val="00BA631B"/>
    <w:rsid w:val="00BA779D"/>
    <w:rsid w:val="00BB52B1"/>
    <w:rsid w:val="00BB5E4B"/>
    <w:rsid w:val="00BC02F3"/>
    <w:rsid w:val="00BD4191"/>
    <w:rsid w:val="00C03C70"/>
    <w:rsid w:val="00C0759C"/>
    <w:rsid w:val="00C136E8"/>
    <w:rsid w:val="00C3055C"/>
    <w:rsid w:val="00C540A8"/>
    <w:rsid w:val="00C85F0B"/>
    <w:rsid w:val="00CA6686"/>
    <w:rsid w:val="00CA6BDF"/>
    <w:rsid w:val="00CA70A0"/>
    <w:rsid w:val="00CF37C0"/>
    <w:rsid w:val="00D00CC8"/>
    <w:rsid w:val="00D0765E"/>
    <w:rsid w:val="00D42B10"/>
    <w:rsid w:val="00D521F8"/>
    <w:rsid w:val="00D71353"/>
    <w:rsid w:val="00D8033F"/>
    <w:rsid w:val="00D9501C"/>
    <w:rsid w:val="00D95F82"/>
    <w:rsid w:val="00DC3C30"/>
    <w:rsid w:val="00DD5AE0"/>
    <w:rsid w:val="00DF031E"/>
    <w:rsid w:val="00E11940"/>
    <w:rsid w:val="00E20916"/>
    <w:rsid w:val="00E262AE"/>
    <w:rsid w:val="00E72BC8"/>
    <w:rsid w:val="00E73AAD"/>
    <w:rsid w:val="00E85338"/>
    <w:rsid w:val="00E95206"/>
    <w:rsid w:val="00EB3CAB"/>
    <w:rsid w:val="00EB7C88"/>
    <w:rsid w:val="00EC5621"/>
    <w:rsid w:val="00ED23A2"/>
    <w:rsid w:val="00ED457E"/>
    <w:rsid w:val="00ED7EF7"/>
    <w:rsid w:val="00EE1170"/>
    <w:rsid w:val="00F12D7A"/>
    <w:rsid w:val="00F26FEF"/>
    <w:rsid w:val="00F27B87"/>
    <w:rsid w:val="00F320EA"/>
    <w:rsid w:val="00F34962"/>
    <w:rsid w:val="00F40CDF"/>
    <w:rsid w:val="00F41F38"/>
    <w:rsid w:val="00F42F6B"/>
    <w:rsid w:val="00F566E3"/>
    <w:rsid w:val="00F612BF"/>
    <w:rsid w:val="00F94737"/>
    <w:rsid w:val="00F95716"/>
    <w:rsid w:val="00FC27B3"/>
    <w:rsid w:val="00FD63F4"/>
    <w:rsid w:val="00FE4186"/>
    <w:rsid w:val="00FF45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qFormat="1"/>
    <w:lsdException w:name="Title" w:semiHidden="0" w:uiPriority="0" w:unhideWhenUsed="0"/>
    <w:lsdException w:name="Default Paragraph Font" w:uiPriority="1"/>
    <w:lsdException w:name="Body Text" w:uiPriority="0" w:qFormat="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04CB3"/>
    <w:pPr>
      <w:widowControl w:val="0"/>
      <w:jc w:val="both"/>
    </w:pPr>
    <w:rPr>
      <w:rFonts w:ascii="Arial" w:hAnsi="Arial" w:cs="Arial"/>
      <w:snapToGrid w:val="0"/>
      <w:sz w:val="22"/>
    </w:rPr>
  </w:style>
  <w:style w:type="paragraph" w:styleId="Heading1">
    <w:name w:val="heading 1"/>
    <w:basedOn w:val="Normal"/>
    <w:next w:val="Normal"/>
    <w:link w:val="Heading1Char"/>
    <w:qFormat/>
    <w:rsid w:val="00104CB3"/>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104CB3"/>
    <w:pPr>
      <w:outlineLvl w:val="1"/>
    </w:pPr>
    <w:rPr>
      <w:b/>
    </w:rPr>
  </w:style>
  <w:style w:type="paragraph" w:styleId="Heading3">
    <w:name w:val="heading 3"/>
    <w:basedOn w:val="Normal"/>
    <w:next w:val="Normal"/>
    <w:link w:val="Heading3Char"/>
    <w:qFormat/>
    <w:rsid w:val="00104CB3"/>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104CB3"/>
    <w:rPr>
      <w:rFonts w:ascii="Arial Narrow" w:hAnsi="Arial Narrow"/>
      <w:sz w:val="18"/>
    </w:rPr>
  </w:style>
  <w:style w:type="character" w:customStyle="1" w:styleId="TableFooterChar">
    <w:name w:val="Table Footer Char"/>
    <w:link w:val="TableFooter"/>
    <w:rsid w:val="00B66262"/>
    <w:rPr>
      <w:rFonts w:ascii="Arial Narrow" w:hAnsi="Arial Narrow" w:cs="Arial"/>
      <w:snapToGrid w:val="0"/>
      <w:sz w:val="18"/>
    </w:rPr>
  </w:style>
  <w:style w:type="paragraph" w:customStyle="1" w:styleId="TableText">
    <w:name w:val="TableText"/>
    <w:basedOn w:val="Normal"/>
    <w:rsid w:val="00B66262"/>
    <w:pPr>
      <w:keepNext/>
      <w:widowControl/>
      <w:spacing w:before="40" w:after="40"/>
      <w:jc w:val="left"/>
    </w:pPr>
    <w:rPr>
      <w:rFonts w:ascii="Arial Narrow" w:hAnsi="Arial Narrow" w:cs="Arial Narrow"/>
      <w:snapToGrid/>
      <w:sz w:val="20"/>
    </w:rPr>
  </w:style>
  <w:style w:type="paragraph" w:customStyle="1" w:styleId="TableText0">
    <w:name w:val="Table Text"/>
    <w:basedOn w:val="Normal"/>
    <w:link w:val="TableTextChar"/>
    <w:rsid w:val="00B66262"/>
    <w:pPr>
      <w:widowControl/>
      <w:spacing w:line="360" w:lineRule="auto"/>
      <w:jc w:val="left"/>
    </w:pPr>
    <w:rPr>
      <w:rFonts w:eastAsia="SimSun"/>
      <w:snapToGrid/>
      <w:sz w:val="24"/>
      <w:lang w:eastAsia="zh-CN"/>
    </w:rPr>
  </w:style>
  <w:style w:type="character" w:customStyle="1" w:styleId="TableTextChar">
    <w:name w:val="Table Text Char"/>
    <w:link w:val="TableText0"/>
    <w:rsid w:val="00B66262"/>
    <w:rPr>
      <w:rFonts w:ascii="Arial" w:eastAsia="SimSun" w:hAnsi="Arial" w:cs="Arial"/>
      <w:lang w:eastAsia="zh-CN"/>
    </w:rPr>
  </w:style>
  <w:style w:type="paragraph" w:customStyle="1" w:styleId="PBACHeading1">
    <w:name w:val="PBAC Heading 1"/>
    <w:qFormat/>
    <w:rsid w:val="00104CB3"/>
    <w:pPr>
      <w:numPr>
        <w:numId w:val="1"/>
      </w:numPr>
    </w:pPr>
    <w:rPr>
      <w:rFonts w:ascii="Arial" w:hAnsi="Arial" w:cs="Arial"/>
      <w:b/>
      <w:snapToGrid w:val="0"/>
      <w:sz w:val="22"/>
      <w:szCs w:val="22"/>
    </w:rPr>
  </w:style>
  <w:style w:type="paragraph" w:customStyle="1" w:styleId="PBACheading10">
    <w:name w:val="PBAC heading 1"/>
    <w:rsid w:val="00B66262"/>
    <w:rPr>
      <w:rFonts w:ascii="Arial" w:hAnsi="Arial" w:cs="Arial"/>
      <w:snapToGrid w:val="0"/>
      <w:sz w:val="22"/>
      <w:szCs w:val="22"/>
    </w:rPr>
  </w:style>
  <w:style w:type="character" w:customStyle="1" w:styleId="Heading1Char">
    <w:name w:val="Heading 1 Char"/>
    <w:basedOn w:val="DefaultParagraphFont"/>
    <w:link w:val="Heading1"/>
    <w:rsid w:val="00B66262"/>
    <w:rPr>
      <w:rFonts w:ascii="Arial Bold" w:hAnsi="Arial Bold" w:cs="Arial"/>
      <w:b/>
      <w:caps/>
      <w:snapToGrid w:val="0"/>
      <w:sz w:val="22"/>
    </w:rPr>
  </w:style>
  <w:style w:type="character" w:customStyle="1" w:styleId="Heading2Char">
    <w:name w:val="Heading 2 Char"/>
    <w:link w:val="Heading2"/>
    <w:uiPriority w:val="9"/>
    <w:rsid w:val="00104CB3"/>
    <w:rPr>
      <w:rFonts w:ascii="Arial" w:hAnsi="Arial" w:cs="Arial"/>
      <w:b/>
      <w:snapToGrid w:val="0"/>
      <w:sz w:val="22"/>
    </w:rPr>
  </w:style>
  <w:style w:type="character" w:customStyle="1" w:styleId="Heading3Char">
    <w:name w:val="Heading 3 Char"/>
    <w:basedOn w:val="DefaultParagraphFont"/>
    <w:link w:val="Heading3"/>
    <w:rsid w:val="00B66262"/>
    <w:rPr>
      <w:rFonts w:ascii="Arial" w:hAnsi="Arial" w:cs="Arial"/>
      <w:snapToGrid w:val="0"/>
      <w:sz w:val="22"/>
      <w:u w:val="single"/>
    </w:rPr>
  </w:style>
  <w:style w:type="paragraph" w:styleId="Caption">
    <w:name w:val="caption"/>
    <w:aliases w:val="Caption Char1,Caption Char Char,IB Caption Char,Medical Caption Char,Caption Char1 Char Char Char,Caption Char Char Char Char Char1,Caption Char1 Char Char1,Caption Char Char Char Char Char Char,Caption Char Char Char1,IB Caption"/>
    <w:basedOn w:val="Normal"/>
    <w:next w:val="Normal"/>
    <w:link w:val="CaptionChar"/>
    <w:unhideWhenUsed/>
    <w:rsid w:val="00B66262"/>
    <w:pPr>
      <w:spacing w:after="200"/>
    </w:pPr>
    <w:rPr>
      <w:rFonts w:ascii="Times New Roman" w:hAnsi="Times New Roman" w:cs="Times New Roman"/>
      <w:b/>
      <w:bCs/>
      <w:color w:val="4F81BD" w:themeColor="accent1"/>
      <w:sz w:val="18"/>
      <w:szCs w:val="18"/>
    </w:rPr>
  </w:style>
  <w:style w:type="character" w:customStyle="1" w:styleId="CaptionChar">
    <w:name w:val="Caption Char"/>
    <w:aliases w:val="Caption Char1 Char,Caption Char Char Char,IB Caption Char Char,Medical Caption Char Char,Caption Char1 Char Char Char Char,Caption Char Char Char Char Char1 Char,Caption Char1 Char Char1 Char,Caption Char Char Char Char Char Char Char"/>
    <w:link w:val="Caption"/>
    <w:rsid w:val="00B66262"/>
    <w:rPr>
      <w:b/>
      <w:bCs/>
      <w:snapToGrid w:val="0"/>
      <w:color w:val="4F81BD" w:themeColor="accent1"/>
      <w:sz w:val="18"/>
      <w:szCs w:val="18"/>
    </w:rPr>
  </w:style>
  <w:style w:type="character" w:styleId="CommentReference">
    <w:name w:val="annotation reference"/>
    <w:aliases w:val="Table Title"/>
    <w:uiPriority w:val="99"/>
    <w:qFormat/>
    <w:rsid w:val="00104CB3"/>
    <w:rPr>
      <w:rFonts w:ascii="Arial Narrow" w:hAnsi="Arial Narrow"/>
      <w:b/>
      <w:sz w:val="20"/>
      <w:szCs w:val="16"/>
    </w:rPr>
  </w:style>
  <w:style w:type="paragraph" w:styleId="Title">
    <w:name w:val="Title"/>
    <w:basedOn w:val="Normal"/>
    <w:next w:val="Normal"/>
    <w:link w:val="TitleChar"/>
    <w:rsid w:val="00B66262"/>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B66262"/>
    <w:rPr>
      <w:rFonts w:ascii="Cambria" w:hAnsi="Cambria"/>
      <w:b/>
      <w:bCs/>
      <w:snapToGrid w:val="0"/>
      <w:kern w:val="28"/>
      <w:sz w:val="32"/>
      <w:szCs w:val="32"/>
    </w:rPr>
  </w:style>
  <w:style w:type="paragraph" w:styleId="BodyText">
    <w:name w:val="Body Text"/>
    <w:basedOn w:val="Normal"/>
    <w:link w:val="BodyTextChar"/>
    <w:qFormat/>
    <w:rsid w:val="00104CB3"/>
    <w:pPr>
      <w:jc w:val="left"/>
    </w:pPr>
  </w:style>
  <w:style w:type="character" w:customStyle="1" w:styleId="BodyTextChar">
    <w:name w:val="Body Text Char"/>
    <w:basedOn w:val="DefaultParagraphFont"/>
    <w:link w:val="BodyText"/>
    <w:rsid w:val="00104CB3"/>
    <w:rPr>
      <w:rFonts w:ascii="Arial" w:hAnsi="Arial" w:cs="Arial"/>
      <w:snapToGrid w:val="0"/>
      <w:sz w:val="22"/>
    </w:rPr>
  </w:style>
  <w:style w:type="paragraph" w:styleId="NoSpacing">
    <w:name w:val="No Spacing"/>
    <w:uiPriority w:val="1"/>
    <w:qFormat/>
    <w:rsid w:val="00104CB3"/>
    <w:pPr>
      <w:widowControl w:val="0"/>
      <w:jc w:val="both"/>
    </w:pPr>
    <w:rPr>
      <w:rFonts w:ascii="Arial" w:hAnsi="Arial" w:cs="Arial"/>
      <w:snapToGrid w:val="0"/>
      <w:sz w:val="22"/>
    </w:rPr>
  </w:style>
  <w:style w:type="paragraph" w:styleId="ListParagraph">
    <w:name w:val="List Paragraph"/>
    <w:aliases w:val="BulletPoints"/>
    <w:basedOn w:val="Normal"/>
    <w:link w:val="ListParagraphChar"/>
    <w:uiPriority w:val="72"/>
    <w:qFormat/>
    <w:rsid w:val="00104CB3"/>
    <w:pPr>
      <w:ind w:left="720"/>
      <w:contextualSpacing/>
    </w:pPr>
  </w:style>
  <w:style w:type="character" w:customStyle="1" w:styleId="ListParagraphChar">
    <w:name w:val="List Paragraph Char"/>
    <w:aliases w:val="BulletPoints Char"/>
    <w:basedOn w:val="DefaultParagraphFont"/>
    <w:link w:val="ListParagraph"/>
    <w:uiPriority w:val="72"/>
    <w:rsid w:val="00104CB3"/>
    <w:rPr>
      <w:rFonts w:ascii="Arial" w:hAnsi="Arial" w:cs="Arial"/>
      <w:snapToGrid w:val="0"/>
      <w:sz w:val="22"/>
    </w:rPr>
  </w:style>
  <w:style w:type="paragraph" w:customStyle="1" w:styleId="Tabletext1">
    <w:name w:val="Table text"/>
    <w:basedOn w:val="Normal"/>
    <w:link w:val="TabletextChar0"/>
    <w:qFormat/>
    <w:rsid w:val="00104CB3"/>
    <w:pPr>
      <w:widowControl/>
      <w:jc w:val="left"/>
    </w:pPr>
    <w:rPr>
      <w:rFonts w:ascii="Arial Narrow" w:hAnsi="Arial Narrow" w:cs="Times New Roman"/>
      <w:snapToGrid/>
      <w:sz w:val="20"/>
    </w:rPr>
  </w:style>
  <w:style w:type="character" w:customStyle="1" w:styleId="TabletextChar0">
    <w:name w:val="Table text Char"/>
    <w:link w:val="Tabletext1"/>
    <w:rsid w:val="00104CB3"/>
    <w:rPr>
      <w:rFonts w:ascii="Arial Narrow" w:hAnsi="Arial Narrow"/>
    </w:rPr>
  </w:style>
  <w:style w:type="paragraph" w:styleId="Subtitle">
    <w:name w:val="Subtitle"/>
    <w:basedOn w:val="Normal"/>
    <w:link w:val="SubtitleChar"/>
    <w:qFormat/>
    <w:rsid w:val="00104CB3"/>
    <w:pPr>
      <w:widowControl/>
    </w:pPr>
    <w:rPr>
      <w:rFonts w:ascii="Times New Roman" w:hAnsi="Times New Roman" w:cs="Times New Roman"/>
      <w:snapToGrid/>
      <w:sz w:val="20"/>
    </w:rPr>
  </w:style>
  <w:style w:type="character" w:customStyle="1" w:styleId="SubtitleChar">
    <w:name w:val="Subtitle Char"/>
    <w:link w:val="Subtitle"/>
    <w:rsid w:val="00104CB3"/>
  </w:style>
  <w:style w:type="paragraph" w:styleId="Header">
    <w:name w:val="header"/>
    <w:basedOn w:val="Normal"/>
    <w:link w:val="HeaderChar"/>
    <w:uiPriority w:val="99"/>
    <w:unhideWhenUsed/>
    <w:rsid w:val="004C5C92"/>
    <w:pPr>
      <w:tabs>
        <w:tab w:val="center" w:pos="4513"/>
        <w:tab w:val="right" w:pos="9026"/>
      </w:tabs>
    </w:pPr>
  </w:style>
  <w:style w:type="character" w:customStyle="1" w:styleId="HeaderChar">
    <w:name w:val="Header Char"/>
    <w:basedOn w:val="DefaultParagraphFont"/>
    <w:link w:val="Header"/>
    <w:uiPriority w:val="99"/>
    <w:rsid w:val="004C5C92"/>
    <w:rPr>
      <w:rFonts w:ascii="Arial" w:hAnsi="Arial" w:cs="Arial"/>
      <w:snapToGrid w:val="0"/>
      <w:sz w:val="22"/>
    </w:rPr>
  </w:style>
  <w:style w:type="paragraph" w:styleId="Footer">
    <w:name w:val="footer"/>
    <w:basedOn w:val="Normal"/>
    <w:link w:val="FooterChar"/>
    <w:uiPriority w:val="99"/>
    <w:unhideWhenUsed/>
    <w:rsid w:val="004C5C92"/>
    <w:pPr>
      <w:tabs>
        <w:tab w:val="center" w:pos="4513"/>
        <w:tab w:val="right" w:pos="9026"/>
      </w:tabs>
    </w:pPr>
  </w:style>
  <w:style w:type="character" w:customStyle="1" w:styleId="FooterChar">
    <w:name w:val="Footer Char"/>
    <w:basedOn w:val="DefaultParagraphFont"/>
    <w:link w:val="Footer"/>
    <w:uiPriority w:val="99"/>
    <w:rsid w:val="004C5C92"/>
    <w:rPr>
      <w:rFonts w:ascii="Arial" w:hAnsi="Arial" w:cs="Arial"/>
      <w:snapToGrid w:val="0"/>
      <w:sz w:val="22"/>
    </w:rPr>
  </w:style>
  <w:style w:type="paragraph" w:styleId="BalloonText">
    <w:name w:val="Balloon Text"/>
    <w:basedOn w:val="Normal"/>
    <w:link w:val="BalloonTextChar"/>
    <w:uiPriority w:val="99"/>
    <w:semiHidden/>
    <w:unhideWhenUsed/>
    <w:rsid w:val="00C85F0B"/>
    <w:rPr>
      <w:rFonts w:ascii="Tahoma" w:hAnsi="Tahoma" w:cs="Tahoma"/>
      <w:sz w:val="16"/>
      <w:szCs w:val="16"/>
    </w:rPr>
  </w:style>
  <w:style w:type="character" w:customStyle="1" w:styleId="BalloonTextChar">
    <w:name w:val="Balloon Text Char"/>
    <w:basedOn w:val="DefaultParagraphFont"/>
    <w:link w:val="BalloonText"/>
    <w:uiPriority w:val="99"/>
    <w:semiHidden/>
    <w:rsid w:val="00C85F0B"/>
    <w:rPr>
      <w:rFonts w:ascii="Tahoma" w:hAnsi="Tahoma" w:cs="Tahoma"/>
      <w:snapToGrid w:val="0"/>
      <w:sz w:val="16"/>
      <w:szCs w:val="16"/>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34962"/>
    <w:pPr>
      <w:spacing w:after="160" w:line="240" w:lineRule="exact"/>
    </w:pPr>
    <w:rPr>
      <w:rFonts w:ascii="Verdana" w:eastAsia="MS Mincho" w:hAnsi="Verdana" w:cs="Verdan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annotation reference" w:qFormat="1"/>
    <w:lsdException w:name="Title" w:semiHidden="0" w:uiPriority="0" w:unhideWhenUsed="0"/>
    <w:lsdException w:name="Default Paragraph Font" w:uiPriority="1"/>
    <w:lsdException w:name="Body Text" w:uiPriority="0" w:qFormat="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04CB3"/>
    <w:pPr>
      <w:widowControl w:val="0"/>
      <w:jc w:val="both"/>
    </w:pPr>
    <w:rPr>
      <w:rFonts w:ascii="Arial" w:hAnsi="Arial" w:cs="Arial"/>
      <w:snapToGrid w:val="0"/>
      <w:sz w:val="22"/>
    </w:rPr>
  </w:style>
  <w:style w:type="paragraph" w:styleId="Heading1">
    <w:name w:val="heading 1"/>
    <w:basedOn w:val="Normal"/>
    <w:next w:val="Normal"/>
    <w:link w:val="Heading1Char"/>
    <w:qFormat/>
    <w:rsid w:val="00104CB3"/>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104CB3"/>
    <w:pPr>
      <w:outlineLvl w:val="1"/>
    </w:pPr>
    <w:rPr>
      <w:b/>
    </w:rPr>
  </w:style>
  <w:style w:type="paragraph" w:styleId="Heading3">
    <w:name w:val="heading 3"/>
    <w:basedOn w:val="Normal"/>
    <w:next w:val="Normal"/>
    <w:link w:val="Heading3Char"/>
    <w:qFormat/>
    <w:rsid w:val="00104CB3"/>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104CB3"/>
    <w:rPr>
      <w:rFonts w:ascii="Arial Narrow" w:hAnsi="Arial Narrow"/>
      <w:sz w:val="18"/>
    </w:rPr>
  </w:style>
  <w:style w:type="character" w:customStyle="1" w:styleId="TableFooterChar">
    <w:name w:val="Table Footer Char"/>
    <w:link w:val="TableFooter"/>
    <w:rsid w:val="00B66262"/>
    <w:rPr>
      <w:rFonts w:ascii="Arial Narrow" w:hAnsi="Arial Narrow" w:cs="Arial"/>
      <w:snapToGrid w:val="0"/>
      <w:sz w:val="18"/>
    </w:rPr>
  </w:style>
  <w:style w:type="paragraph" w:customStyle="1" w:styleId="TableText">
    <w:name w:val="TableText"/>
    <w:basedOn w:val="Normal"/>
    <w:rsid w:val="00B66262"/>
    <w:pPr>
      <w:keepNext/>
      <w:widowControl/>
      <w:spacing w:before="40" w:after="40"/>
      <w:jc w:val="left"/>
    </w:pPr>
    <w:rPr>
      <w:rFonts w:ascii="Arial Narrow" w:hAnsi="Arial Narrow" w:cs="Arial Narrow"/>
      <w:snapToGrid/>
      <w:sz w:val="20"/>
    </w:rPr>
  </w:style>
  <w:style w:type="paragraph" w:customStyle="1" w:styleId="TableText0">
    <w:name w:val="Table Text"/>
    <w:basedOn w:val="Normal"/>
    <w:link w:val="TableTextChar"/>
    <w:rsid w:val="00B66262"/>
    <w:pPr>
      <w:widowControl/>
      <w:spacing w:line="360" w:lineRule="auto"/>
      <w:jc w:val="left"/>
    </w:pPr>
    <w:rPr>
      <w:rFonts w:eastAsia="SimSun"/>
      <w:snapToGrid/>
      <w:sz w:val="24"/>
      <w:lang w:eastAsia="zh-CN"/>
    </w:rPr>
  </w:style>
  <w:style w:type="character" w:customStyle="1" w:styleId="TableTextChar">
    <w:name w:val="Table Text Char"/>
    <w:link w:val="TableText0"/>
    <w:rsid w:val="00B66262"/>
    <w:rPr>
      <w:rFonts w:ascii="Arial" w:eastAsia="SimSun" w:hAnsi="Arial" w:cs="Arial"/>
      <w:lang w:eastAsia="zh-CN"/>
    </w:rPr>
  </w:style>
  <w:style w:type="paragraph" w:customStyle="1" w:styleId="PBACHeading1">
    <w:name w:val="PBAC Heading 1"/>
    <w:qFormat/>
    <w:rsid w:val="00104CB3"/>
    <w:pPr>
      <w:numPr>
        <w:numId w:val="1"/>
      </w:numPr>
    </w:pPr>
    <w:rPr>
      <w:rFonts w:ascii="Arial" w:hAnsi="Arial" w:cs="Arial"/>
      <w:b/>
      <w:snapToGrid w:val="0"/>
      <w:sz w:val="22"/>
      <w:szCs w:val="22"/>
    </w:rPr>
  </w:style>
  <w:style w:type="paragraph" w:customStyle="1" w:styleId="PBACheading10">
    <w:name w:val="PBAC heading 1"/>
    <w:rsid w:val="00B66262"/>
    <w:rPr>
      <w:rFonts w:ascii="Arial" w:hAnsi="Arial" w:cs="Arial"/>
      <w:snapToGrid w:val="0"/>
      <w:sz w:val="22"/>
      <w:szCs w:val="22"/>
    </w:rPr>
  </w:style>
  <w:style w:type="character" w:customStyle="1" w:styleId="Heading1Char">
    <w:name w:val="Heading 1 Char"/>
    <w:basedOn w:val="DefaultParagraphFont"/>
    <w:link w:val="Heading1"/>
    <w:rsid w:val="00B66262"/>
    <w:rPr>
      <w:rFonts w:ascii="Arial Bold" w:hAnsi="Arial Bold" w:cs="Arial"/>
      <w:b/>
      <w:caps/>
      <w:snapToGrid w:val="0"/>
      <w:sz w:val="22"/>
    </w:rPr>
  </w:style>
  <w:style w:type="character" w:customStyle="1" w:styleId="Heading2Char">
    <w:name w:val="Heading 2 Char"/>
    <w:link w:val="Heading2"/>
    <w:uiPriority w:val="9"/>
    <w:rsid w:val="00104CB3"/>
    <w:rPr>
      <w:rFonts w:ascii="Arial" w:hAnsi="Arial" w:cs="Arial"/>
      <w:b/>
      <w:snapToGrid w:val="0"/>
      <w:sz w:val="22"/>
    </w:rPr>
  </w:style>
  <w:style w:type="character" w:customStyle="1" w:styleId="Heading3Char">
    <w:name w:val="Heading 3 Char"/>
    <w:basedOn w:val="DefaultParagraphFont"/>
    <w:link w:val="Heading3"/>
    <w:rsid w:val="00B66262"/>
    <w:rPr>
      <w:rFonts w:ascii="Arial" w:hAnsi="Arial" w:cs="Arial"/>
      <w:snapToGrid w:val="0"/>
      <w:sz w:val="22"/>
      <w:u w:val="single"/>
    </w:rPr>
  </w:style>
  <w:style w:type="paragraph" w:styleId="Caption">
    <w:name w:val="caption"/>
    <w:aliases w:val="Caption Char1,Caption Char Char,IB Caption Char,Medical Caption Char,Caption Char1 Char Char Char,Caption Char Char Char Char Char1,Caption Char1 Char Char1,Caption Char Char Char Char Char Char,Caption Char Char Char1,IB Caption"/>
    <w:basedOn w:val="Normal"/>
    <w:next w:val="Normal"/>
    <w:link w:val="CaptionChar"/>
    <w:unhideWhenUsed/>
    <w:rsid w:val="00B66262"/>
    <w:pPr>
      <w:spacing w:after="200"/>
    </w:pPr>
    <w:rPr>
      <w:rFonts w:ascii="Times New Roman" w:hAnsi="Times New Roman" w:cs="Times New Roman"/>
      <w:b/>
      <w:bCs/>
      <w:color w:val="4F81BD" w:themeColor="accent1"/>
      <w:sz w:val="18"/>
      <w:szCs w:val="18"/>
    </w:rPr>
  </w:style>
  <w:style w:type="character" w:customStyle="1" w:styleId="CaptionChar">
    <w:name w:val="Caption Char"/>
    <w:aliases w:val="Caption Char1 Char,Caption Char Char Char,IB Caption Char Char,Medical Caption Char Char,Caption Char1 Char Char Char Char,Caption Char Char Char Char Char1 Char,Caption Char1 Char Char1 Char,Caption Char Char Char Char Char Char Char"/>
    <w:link w:val="Caption"/>
    <w:rsid w:val="00B66262"/>
    <w:rPr>
      <w:b/>
      <w:bCs/>
      <w:snapToGrid w:val="0"/>
      <w:color w:val="4F81BD" w:themeColor="accent1"/>
      <w:sz w:val="18"/>
      <w:szCs w:val="18"/>
    </w:rPr>
  </w:style>
  <w:style w:type="character" w:styleId="CommentReference">
    <w:name w:val="annotation reference"/>
    <w:aliases w:val="Table Title"/>
    <w:uiPriority w:val="99"/>
    <w:qFormat/>
    <w:rsid w:val="00104CB3"/>
    <w:rPr>
      <w:rFonts w:ascii="Arial Narrow" w:hAnsi="Arial Narrow"/>
      <w:b/>
      <w:sz w:val="20"/>
      <w:szCs w:val="16"/>
    </w:rPr>
  </w:style>
  <w:style w:type="paragraph" w:styleId="Title">
    <w:name w:val="Title"/>
    <w:basedOn w:val="Normal"/>
    <w:next w:val="Normal"/>
    <w:link w:val="TitleChar"/>
    <w:rsid w:val="00B66262"/>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B66262"/>
    <w:rPr>
      <w:rFonts w:ascii="Cambria" w:hAnsi="Cambria"/>
      <w:b/>
      <w:bCs/>
      <w:snapToGrid w:val="0"/>
      <w:kern w:val="28"/>
      <w:sz w:val="32"/>
      <w:szCs w:val="32"/>
    </w:rPr>
  </w:style>
  <w:style w:type="paragraph" w:styleId="BodyText">
    <w:name w:val="Body Text"/>
    <w:basedOn w:val="Normal"/>
    <w:link w:val="BodyTextChar"/>
    <w:qFormat/>
    <w:rsid w:val="00104CB3"/>
    <w:pPr>
      <w:jc w:val="left"/>
    </w:pPr>
  </w:style>
  <w:style w:type="character" w:customStyle="1" w:styleId="BodyTextChar">
    <w:name w:val="Body Text Char"/>
    <w:basedOn w:val="DefaultParagraphFont"/>
    <w:link w:val="BodyText"/>
    <w:rsid w:val="00104CB3"/>
    <w:rPr>
      <w:rFonts w:ascii="Arial" w:hAnsi="Arial" w:cs="Arial"/>
      <w:snapToGrid w:val="0"/>
      <w:sz w:val="22"/>
    </w:rPr>
  </w:style>
  <w:style w:type="paragraph" w:styleId="NoSpacing">
    <w:name w:val="No Spacing"/>
    <w:uiPriority w:val="1"/>
    <w:qFormat/>
    <w:rsid w:val="00104CB3"/>
    <w:pPr>
      <w:widowControl w:val="0"/>
      <w:jc w:val="both"/>
    </w:pPr>
    <w:rPr>
      <w:rFonts w:ascii="Arial" w:hAnsi="Arial" w:cs="Arial"/>
      <w:snapToGrid w:val="0"/>
      <w:sz w:val="22"/>
    </w:rPr>
  </w:style>
  <w:style w:type="paragraph" w:styleId="ListParagraph">
    <w:name w:val="List Paragraph"/>
    <w:aliases w:val="BulletPoints"/>
    <w:basedOn w:val="Normal"/>
    <w:link w:val="ListParagraphChar"/>
    <w:uiPriority w:val="72"/>
    <w:qFormat/>
    <w:rsid w:val="00104CB3"/>
    <w:pPr>
      <w:ind w:left="720"/>
      <w:contextualSpacing/>
    </w:pPr>
  </w:style>
  <w:style w:type="character" w:customStyle="1" w:styleId="ListParagraphChar">
    <w:name w:val="List Paragraph Char"/>
    <w:aliases w:val="BulletPoints Char"/>
    <w:basedOn w:val="DefaultParagraphFont"/>
    <w:link w:val="ListParagraph"/>
    <w:uiPriority w:val="72"/>
    <w:rsid w:val="00104CB3"/>
    <w:rPr>
      <w:rFonts w:ascii="Arial" w:hAnsi="Arial" w:cs="Arial"/>
      <w:snapToGrid w:val="0"/>
      <w:sz w:val="22"/>
    </w:rPr>
  </w:style>
  <w:style w:type="paragraph" w:customStyle="1" w:styleId="Tabletext1">
    <w:name w:val="Table text"/>
    <w:basedOn w:val="Normal"/>
    <w:link w:val="TabletextChar0"/>
    <w:qFormat/>
    <w:rsid w:val="00104CB3"/>
    <w:pPr>
      <w:widowControl/>
      <w:jc w:val="left"/>
    </w:pPr>
    <w:rPr>
      <w:rFonts w:ascii="Arial Narrow" w:hAnsi="Arial Narrow" w:cs="Times New Roman"/>
      <w:snapToGrid/>
      <w:sz w:val="20"/>
    </w:rPr>
  </w:style>
  <w:style w:type="character" w:customStyle="1" w:styleId="TabletextChar0">
    <w:name w:val="Table text Char"/>
    <w:link w:val="Tabletext1"/>
    <w:rsid w:val="00104CB3"/>
    <w:rPr>
      <w:rFonts w:ascii="Arial Narrow" w:hAnsi="Arial Narrow"/>
    </w:rPr>
  </w:style>
  <w:style w:type="paragraph" w:styleId="Subtitle">
    <w:name w:val="Subtitle"/>
    <w:basedOn w:val="Normal"/>
    <w:link w:val="SubtitleChar"/>
    <w:qFormat/>
    <w:rsid w:val="00104CB3"/>
    <w:pPr>
      <w:widowControl/>
    </w:pPr>
    <w:rPr>
      <w:rFonts w:ascii="Times New Roman" w:hAnsi="Times New Roman" w:cs="Times New Roman"/>
      <w:snapToGrid/>
      <w:sz w:val="20"/>
    </w:rPr>
  </w:style>
  <w:style w:type="character" w:customStyle="1" w:styleId="SubtitleChar">
    <w:name w:val="Subtitle Char"/>
    <w:link w:val="Subtitle"/>
    <w:rsid w:val="00104CB3"/>
  </w:style>
  <w:style w:type="paragraph" w:styleId="Header">
    <w:name w:val="header"/>
    <w:basedOn w:val="Normal"/>
    <w:link w:val="HeaderChar"/>
    <w:uiPriority w:val="99"/>
    <w:unhideWhenUsed/>
    <w:rsid w:val="004C5C92"/>
    <w:pPr>
      <w:tabs>
        <w:tab w:val="center" w:pos="4513"/>
        <w:tab w:val="right" w:pos="9026"/>
      </w:tabs>
    </w:pPr>
  </w:style>
  <w:style w:type="character" w:customStyle="1" w:styleId="HeaderChar">
    <w:name w:val="Header Char"/>
    <w:basedOn w:val="DefaultParagraphFont"/>
    <w:link w:val="Header"/>
    <w:uiPriority w:val="99"/>
    <w:rsid w:val="004C5C92"/>
    <w:rPr>
      <w:rFonts w:ascii="Arial" w:hAnsi="Arial" w:cs="Arial"/>
      <w:snapToGrid w:val="0"/>
      <w:sz w:val="22"/>
    </w:rPr>
  </w:style>
  <w:style w:type="paragraph" w:styleId="Footer">
    <w:name w:val="footer"/>
    <w:basedOn w:val="Normal"/>
    <w:link w:val="FooterChar"/>
    <w:uiPriority w:val="99"/>
    <w:unhideWhenUsed/>
    <w:rsid w:val="004C5C92"/>
    <w:pPr>
      <w:tabs>
        <w:tab w:val="center" w:pos="4513"/>
        <w:tab w:val="right" w:pos="9026"/>
      </w:tabs>
    </w:pPr>
  </w:style>
  <w:style w:type="character" w:customStyle="1" w:styleId="FooterChar">
    <w:name w:val="Footer Char"/>
    <w:basedOn w:val="DefaultParagraphFont"/>
    <w:link w:val="Footer"/>
    <w:uiPriority w:val="99"/>
    <w:rsid w:val="004C5C92"/>
    <w:rPr>
      <w:rFonts w:ascii="Arial" w:hAnsi="Arial" w:cs="Arial"/>
      <w:snapToGrid w:val="0"/>
      <w:sz w:val="22"/>
    </w:rPr>
  </w:style>
  <w:style w:type="paragraph" w:styleId="BalloonText">
    <w:name w:val="Balloon Text"/>
    <w:basedOn w:val="Normal"/>
    <w:link w:val="BalloonTextChar"/>
    <w:uiPriority w:val="99"/>
    <w:semiHidden/>
    <w:unhideWhenUsed/>
    <w:rsid w:val="00C85F0B"/>
    <w:rPr>
      <w:rFonts w:ascii="Tahoma" w:hAnsi="Tahoma" w:cs="Tahoma"/>
      <w:sz w:val="16"/>
      <w:szCs w:val="16"/>
    </w:rPr>
  </w:style>
  <w:style w:type="character" w:customStyle="1" w:styleId="BalloonTextChar">
    <w:name w:val="Balloon Text Char"/>
    <w:basedOn w:val="DefaultParagraphFont"/>
    <w:link w:val="BalloonText"/>
    <w:uiPriority w:val="99"/>
    <w:semiHidden/>
    <w:rsid w:val="00C85F0B"/>
    <w:rPr>
      <w:rFonts w:ascii="Tahoma" w:hAnsi="Tahoma" w:cs="Tahoma"/>
      <w:snapToGrid w:val="0"/>
      <w:sz w:val="16"/>
      <w:szCs w:val="16"/>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34962"/>
    <w:pPr>
      <w:spacing w:after="160" w:line="240" w:lineRule="exact"/>
    </w:pPr>
    <w:rPr>
      <w:rFonts w:ascii="Verdana" w:eastAsia="MS Mincho"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rrsOffice\Template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DOCUMENT.DOTX</Template>
  <TotalTime>7</TotalTime>
  <Pages>6</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Sudarshan Soumya</dc:creator>
  <cp:lastModifiedBy>Louise Garnham</cp:lastModifiedBy>
  <cp:revision>3</cp:revision>
  <cp:lastPrinted>2015-08-04T00:51:00Z</cp:lastPrinted>
  <dcterms:created xsi:type="dcterms:W3CDTF">2015-08-20T01:52:00Z</dcterms:created>
  <dcterms:modified xsi:type="dcterms:W3CDTF">2015-08-20T01:57:00Z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