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4A0" w:firstRow="1" w:lastRow="0" w:firstColumn="1" w:lastColumn="0" w:noHBand="0" w:noVBand="1"/>
      </w:tblPr>
      <w:tblGrid>
        <w:gridCol w:w="1703"/>
        <w:gridCol w:w="4608"/>
        <w:gridCol w:w="7863"/>
      </w:tblGrid>
      <w:tr w:rsidR="00A27BA5" w:rsidTr="00020CA7">
        <w:tc>
          <w:tcPr>
            <w:tcW w:w="0" w:type="auto"/>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70BC" w:rsidRPr="00017944" w:rsidRDefault="004670BC" w:rsidP="00257C10">
            <w:pPr>
              <w:spacing w:line="276" w:lineRule="auto"/>
              <w:rPr>
                <w:rFonts w:ascii="Arial" w:hAnsi="Arial" w:cs="Arial"/>
                <w:b/>
                <w:sz w:val="18"/>
                <w:szCs w:val="18"/>
              </w:rPr>
            </w:pPr>
            <w:r w:rsidRPr="00017944">
              <w:rPr>
                <w:rFonts w:ascii="Arial" w:hAnsi="Arial" w:cs="Arial"/>
                <w:b/>
                <w:sz w:val="18"/>
                <w:szCs w:val="18"/>
              </w:rPr>
              <w:t>DRUG TYPE OR USE</w:t>
            </w:r>
          </w:p>
          <w:p w:rsidR="004670BC" w:rsidRDefault="004670BC" w:rsidP="00257C10">
            <w:pPr>
              <w:spacing w:line="276" w:lineRule="auto"/>
              <w:rPr>
                <w:rFonts w:ascii="Arial" w:hAnsi="Arial" w:cs="Arial"/>
                <w:sz w:val="18"/>
                <w:szCs w:val="18"/>
              </w:rPr>
            </w:pPr>
          </w:p>
        </w:tc>
        <w:tc>
          <w:tcPr>
            <w:tcW w:w="0" w:type="auto"/>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70BC" w:rsidRPr="00017944" w:rsidRDefault="004670BC" w:rsidP="00257C10">
            <w:pPr>
              <w:spacing w:line="276" w:lineRule="auto"/>
              <w:rPr>
                <w:rFonts w:ascii="Arial" w:hAnsi="Arial" w:cs="Arial"/>
                <w:b/>
                <w:sz w:val="18"/>
                <w:szCs w:val="18"/>
              </w:rPr>
            </w:pPr>
            <w:r w:rsidRPr="00017944">
              <w:rPr>
                <w:rFonts w:ascii="Arial" w:hAnsi="Arial" w:cs="Arial"/>
                <w:b/>
                <w:sz w:val="18"/>
                <w:szCs w:val="18"/>
              </w:rPr>
              <w:t xml:space="preserve">PURPOSE </w:t>
            </w:r>
          </w:p>
          <w:p w:rsidR="004670BC" w:rsidRPr="00017944" w:rsidRDefault="004670BC" w:rsidP="00257C10">
            <w:pPr>
              <w:spacing w:line="276" w:lineRule="auto"/>
              <w:rPr>
                <w:rFonts w:ascii="Arial" w:hAnsi="Arial" w:cs="Arial"/>
                <w:b/>
                <w:sz w:val="18"/>
                <w:szCs w:val="18"/>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70BC" w:rsidRPr="00017944" w:rsidRDefault="004670BC" w:rsidP="00257C10">
            <w:pPr>
              <w:spacing w:line="276" w:lineRule="auto"/>
              <w:rPr>
                <w:rFonts w:ascii="Arial" w:hAnsi="Arial" w:cs="Arial"/>
                <w:b/>
                <w:sz w:val="18"/>
                <w:szCs w:val="18"/>
              </w:rPr>
            </w:pPr>
            <w:r w:rsidRPr="00017944">
              <w:rPr>
                <w:rFonts w:ascii="Arial" w:hAnsi="Arial" w:cs="Arial"/>
                <w:b/>
                <w:sz w:val="18"/>
                <w:szCs w:val="18"/>
              </w:rPr>
              <w:t>PBAC OUTCOME</w:t>
            </w:r>
          </w:p>
        </w:tc>
      </w:tr>
      <w:tr w:rsidR="00A27BA5" w:rsidTr="00020CA7">
        <w:tc>
          <w:tcPr>
            <w:tcW w:w="0" w:type="auto"/>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5E57" w:rsidRPr="00017944" w:rsidRDefault="00884C61" w:rsidP="00257C10">
            <w:pPr>
              <w:spacing w:line="276" w:lineRule="auto"/>
              <w:rPr>
                <w:rFonts w:ascii="Arial" w:hAnsi="Arial" w:cs="Arial"/>
                <w:sz w:val="18"/>
                <w:szCs w:val="18"/>
              </w:rPr>
            </w:pPr>
            <w:r>
              <w:rPr>
                <w:rFonts w:ascii="Arial" w:hAnsi="Arial" w:cs="Arial"/>
                <w:sz w:val="18"/>
                <w:szCs w:val="18"/>
              </w:rPr>
              <w:t>Removing (delisting) over the counter (OTC) medicines from the PBS</w:t>
            </w:r>
          </w:p>
        </w:tc>
        <w:tc>
          <w:tcPr>
            <w:tcW w:w="0" w:type="auto"/>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84C61" w:rsidRPr="00884C61" w:rsidRDefault="00884C61" w:rsidP="00884C61">
            <w:pPr>
              <w:spacing w:line="276" w:lineRule="auto"/>
              <w:jc w:val="both"/>
              <w:rPr>
                <w:rFonts w:ascii="Arial" w:hAnsi="Arial" w:cs="Arial"/>
                <w:b/>
                <w:sz w:val="18"/>
                <w:szCs w:val="18"/>
              </w:rPr>
            </w:pPr>
            <w:r w:rsidRPr="00884C61">
              <w:rPr>
                <w:rFonts w:ascii="Arial" w:hAnsi="Arial" w:cs="Arial"/>
                <w:sz w:val="18"/>
                <w:szCs w:val="18"/>
              </w:rPr>
              <w:t xml:space="preserve">The Minister (delegate) requested the PBAC provide advice on the following matter(s) under section 101(3) of </w:t>
            </w:r>
            <w:r w:rsidRPr="00884C61">
              <w:rPr>
                <w:rFonts w:ascii="Arial" w:hAnsi="Arial" w:cs="Arial"/>
                <w:i/>
                <w:iCs/>
                <w:sz w:val="18"/>
                <w:szCs w:val="18"/>
              </w:rPr>
              <w:t>the National Health Act, 1953</w:t>
            </w:r>
            <w:r w:rsidRPr="00884C61">
              <w:rPr>
                <w:rFonts w:ascii="Arial" w:hAnsi="Arial" w:cs="Arial"/>
                <w:sz w:val="18"/>
                <w:szCs w:val="18"/>
              </w:rPr>
              <w:t xml:space="preserve"> (the Act).</w:t>
            </w:r>
          </w:p>
          <w:p w:rsidR="00884C61" w:rsidRPr="00884C61" w:rsidRDefault="00884C61" w:rsidP="00884C61">
            <w:pPr>
              <w:spacing w:line="276" w:lineRule="auto"/>
              <w:jc w:val="both"/>
              <w:rPr>
                <w:rFonts w:ascii="Arial" w:hAnsi="Arial" w:cs="Arial"/>
                <w:sz w:val="18"/>
                <w:szCs w:val="18"/>
              </w:rPr>
            </w:pPr>
          </w:p>
          <w:p w:rsidR="00884C61" w:rsidRPr="00884C61" w:rsidRDefault="00884C61" w:rsidP="00884C61">
            <w:pPr>
              <w:spacing w:line="276" w:lineRule="auto"/>
              <w:jc w:val="both"/>
              <w:rPr>
                <w:rFonts w:ascii="Arial" w:hAnsi="Arial" w:cs="Arial"/>
                <w:sz w:val="18"/>
                <w:szCs w:val="18"/>
              </w:rPr>
            </w:pPr>
            <w:r w:rsidRPr="00884C61">
              <w:rPr>
                <w:rFonts w:ascii="Arial" w:hAnsi="Arial" w:cs="Arial"/>
                <w:sz w:val="18"/>
                <w:szCs w:val="18"/>
              </w:rPr>
              <w:t xml:space="preserve">To review the drugs listed on the PBS which </w:t>
            </w:r>
            <w:proofErr w:type="gramStart"/>
            <w:r w:rsidRPr="00884C61">
              <w:rPr>
                <w:rFonts w:ascii="Arial" w:hAnsi="Arial" w:cs="Arial"/>
                <w:sz w:val="18"/>
                <w:szCs w:val="18"/>
              </w:rPr>
              <w:t>are</w:t>
            </w:r>
            <w:proofErr w:type="gramEnd"/>
            <w:r w:rsidRPr="00884C61">
              <w:rPr>
                <w:rFonts w:ascii="Arial" w:hAnsi="Arial" w:cs="Arial"/>
                <w:sz w:val="18"/>
                <w:szCs w:val="18"/>
              </w:rPr>
              <w:t xml:space="preserve"> also available for over the counter (OTC) purchase, and to advise which of those items may be appropriate to remove from the PBS, and what criteria for determining </w:t>
            </w:r>
            <w:r w:rsidR="00023CA1">
              <w:rPr>
                <w:rFonts w:ascii="Arial" w:hAnsi="Arial" w:cs="Arial"/>
                <w:sz w:val="18"/>
                <w:szCs w:val="18"/>
              </w:rPr>
              <w:t>de</w:t>
            </w:r>
            <w:r w:rsidRPr="00884C61">
              <w:rPr>
                <w:rFonts w:ascii="Arial" w:hAnsi="Arial" w:cs="Arial"/>
                <w:sz w:val="18"/>
                <w:szCs w:val="18"/>
              </w:rPr>
              <w:t>listing should apply to future consideration of OTC medicines on the PBS.</w:t>
            </w:r>
          </w:p>
          <w:p w:rsidR="00884C61" w:rsidRPr="00884C61" w:rsidRDefault="00884C61" w:rsidP="00884C61">
            <w:pPr>
              <w:spacing w:line="276" w:lineRule="auto"/>
              <w:jc w:val="both"/>
              <w:rPr>
                <w:rFonts w:ascii="Arial" w:hAnsi="Arial" w:cs="Arial"/>
                <w:sz w:val="18"/>
                <w:szCs w:val="18"/>
              </w:rPr>
            </w:pPr>
          </w:p>
          <w:p w:rsidR="00884C61" w:rsidRPr="00884C61" w:rsidRDefault="00884C61" w:rsidP="00884C61">
            <w:pPr>
              <w:spacing w:line="276" w:lineRule="auto"/>
              <w:jc w:val="both"/>
              <w:rPr>
                <w:rFonts w:ascii="Arial" w:hAnsi="Arial" w:cs="Arial"/>
                <w:sz w:val="18"/>
                <w:szCs w:val="18"/>
              </w:rPr>
            </w:pPr>
            <w:r w:rsidRPr="00884C61">
              <w:rPr>
                <w:rFonts w:ascii="Arial" w:hAnsi="Arial" w:cs="Arial"/>
                <w:sz w:val="18"/>
                <w:szCs w:val="18"/>
              </w:rPr>
              <w:t xml:space="preserve">For any OTC product that the PBAC considered may be removed from the PBS, the PBAC was requested to provide advice to the Minister under </w:t>
            </w:r>
            <w:proofErr w:type="gramStart"/>
            <w:r w:rsidRPr="00884C61">
              <w:rPr>
                <w:rFonts w:ascii="Arial" w:hAnsi="Arial" w:cs="Arial"/>
                <w:sz w:val="18"/>
                <w:szCs w:val="18"/>
              </w:rPr>
              <w:t>s101(</w:t>
            </w:r>
            <w:proofErr w:type="gramEnd"/>
            <w:r w:rsidRPr="00884C61">
              <w:rPr>
                <w:rFonts w:ascii="Arial" w:hAnsi="Arial" w:cs="Arial"/>
                <w:sz w:val="18"/>
                <w:szCs w:val="18"/>
              </w:rPr>
              <w:t xml:space="preserve">4AAB) of the </w:t>
            </w:r>
            <w:r w:rsidRPr="00884C61">
              <w:rPr>
                <w:rFonts w:ascii="Arial" w:hAnsi="Arial" w:cs="Arial"/>
                <w:i/>
                <w:iCs/>
                <w:sz w:val="18"/>
                <w:szCs w:val="18"/>
              </w:rPr>
              <w:t>National Health Act 1953</w:t>
            </w:r>
            <w:r w:rsidRPr="00884C61">
              <w:rPr>
                <w:rFonts w:ascii="Arial" w:hAnsi="Arial" w:cs="Arial"/>
                <w:sz w:val="18"/>
                <w:szCs w:val="18"/>
              </w:rPr>
              <w:t xml:space="preserve"> (Act) in relation to the proposed revocation of the declaration that this is a drug to which Part VII of the Act applies.</w:t>
            </w:r>
          </w:p>
          <w:p w:rsidR="008C5E57" w:rsidRDefault="008C5E57" w:rsidP="00257C10">
            <w:pPr>
              <w:spacing w:line="276" w:lineRule="auto"/>
              <w:jc w:val="both"/>
              <w:rPr>
                <w:rFonts w:ascii="Arial" w:hAnsi="Arial" w:cs="Arial"/>
                <w:sz w:val="18"/>
                <w:szCs w:val="18"/>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7BA5" w:rsidRPr="00A27BA5" w:rsidRDefault="00A27BA5" w:rsidP="00A27BA5">
            <w:pPr>
              <w:spacing w:line="276" w:lineRule="auto"/>
              <w:jc w:val="both"/>
              <w:rPr>
                <w:rFonts w:ascii="Arial" w:hAnsi="Arial" w:cs="Arial"/>
                <w:sz w:val="18"/>
                <w:szCs w:val="18"/>
              </w:rPr>
            </w:pPr>
            <w:r w:rsidRPr="00A27BA5">
              <w:rPr>
                <w:rFonts w:ascii="Arial" w:hAnsi="Arial" w:cs="Arial"/>
                <w:sz w:val="18"/>
                <w:szCs w:val="18"/>
              </w:rPr>
              <w:t xml:space="preserve">The following principles were </w:t>
            </w:r>
            <w:r w:rsidR="00023CA1">
              <w:rPr>
                <w:rFonts w:ascii="Arial" w:hAnsi="Arial" w:cs="Arial"/>
                <w:sz w:val="18"/>
                <w:szCs w:val="18"/>
              </w:rPr>
              <w:t xml:space="preserve">considered to be appropriate by the PBAC and were </w:t>
            </w:r>
            <w:r w:rsidRPr="00A27BA5">
              <w:rPr>
                <w:rFonts w:ascii="Arial" w:hAnsi="Arial" w:cs="Arial"/>
                <w:sz w:val="18"/>
                <w:szCs w:val="18"/>
              </w:rPr>
              <w:t>applied in identifying drugs to be proposed for delisting:</w:t>
            </w:r>
          </w:p>
          <w:p w:rsidR="00A27BA5" w:rsidRPr="00A27BA5" w:rsidRDefault="00A27BA5" w:rsidP="00A27BA5">
            <w:pPr>
              <w:pStyle w:val="ListParagraph"/>
              <w:numPr>
                <w:ilvl w:val="0"/>
                <w:numId w:val="6"/>
              </w:numPr>
              <w:spacing w:line="276" w:lineRule="auto"/>
              <w:jc w:val="both"/>
              <w:rPr>
                <w:rFonts w:ascii="Arial" w:hAnsi="Arial" w:cs="Arial"/>
                <w:sz w:val="18"/>
                <w:szCs w:val="18"/>
              </w:rPr>
            </w:pPr>
            <w:r w:rsidRPr="00A27BA5">
              <w:rPr>
                <w:rFonts w:ascii="Arial" w:hAnsi="Arial" w:cs="Arial"/>
                <w:sz w:val="18"/>
                <w:szCs w:val="18"/>
              </w:rPr>
              <w:t>Schedule 2 or 3 OTC medicine;</w:t>
            </w:r>
          </w:p>
          <w:p w:rsidR="00A27BA5" w:rsidRPr="00A27BA5" w:rsidRDefault="00A27BA5" w:rsidP="00A27BA5">
            <w:pPr>
              <w:pStyle w:val="ListParagraph"/>
              <w:numPr>
                <w:ilvl w:val="0"/>
                <w:numId w:val="6"/>
              </w:numPr>
              <w:spacing w:line="276" w:lineRule="auto"/>
              <w:jc w:val="both"/>
              <w:rPr>
                <w:rFonts w:ascii="Arial" w:hAnsi="Arial" w:cs="Arial"/>
                <w:sz w:val="18"/>
                <w:szCs w:val="18"/>
              </w:rPr>
            </w:pPr>
            <w:r w:rsidRPr="00A27BA5">
              <w:rPr>
                <w:rFonts w:ascii="Arial" w:hAnsi="Arial" w:cs="Arial"/>
                <w:sz w:val="18"/>
                <w:szCs w:val="18"/>
              </w:rPr>
              <w:t>Low ex-manufacturer price, where access is unlikely to change appreciably in the absence of PBS subsidy;</w:t>
            </w:r>
          </w:p>
          <w:p w:rsidR="00A27BA5" w:rsidRPr="00A27BA5" w:rsidRDefault="00A27BA5" w:rsidP="00A27BA5">
            <w:pPr>
              <w:pStyle w:val="ListParagraph"/>
              <w:numPr>
                <w:ilvl w:val="0"/>
                <w:numId w:val="6"/>
              </w:numPr>
              <w:spacing w:line="276" w:lineRule="auto"/>
              <w:jc w:val="both"/>
              <w:rPr>
                <w:rFonts w:ascii="Arial" w:hAnsi="Arial" w:cs="Arial"/>
                <w:sz w:val="18"/>
                <w:szCs w:val="18"/>
              </w:rPr>
            </w:pPr>
            <w:r w:rsidRPr="00A27BA5">
              <w:rPr>
                <w:rFonts w:ascii="Arial" w:hAnsi="Arial" w:cs="Arial"/>
                <w:sz w:val="18"/>
                <w:szCs w:val="18"/>
              </w:rPr>
              <w:t>Products unlikely to be highly reliant on specialist prescribing and management;</w:t>
            </w:r>
          </w:p>
          <w:p w:rsidR="00A27BA5" w:rsidRPr="00A27BA5" w:rsidRDefault="00A27BA5" w:rsidP="00A27BA5">
            <w:pPr>
              <w:pStyle w:val="ListParagraph"/>
              <w:numPr>
                <w:ilvl w:val="0"/>
                <w:numId w:val="6"/>
              </w:numPr>
              <w:spacing w:line="276" w:lineRule="auto"/>
              <w:jc w:val="both"/>
              <w:rPr>
                <w:rFonts w:ascii="Arial" w:hAnsi="Arial" w:cs="Arial"/>
                <w:sz w:val="18"/>
                <w:szCs w:val="18"/>
              </w:rPr>
            </w:pPr>
            <w:r w:rsidRPr="00A27BA5">
              <w:rPr>
                <w:rFonts w:ascii="Arial" w:hAnsi="Arial" w:cs="Arial"/>
                <w:sz w:val="18"/>
                <w:szCs w:val="18"/>
              </w:rPr>
              <w:t>Products where the PBAC has previously considered that the evidence for the current arrangements for subsidy is not overwhelming (e.g. blood glucose test strips).</w:t>
            </w:r>
          </w:p>
          <w:p w:rsidR="00A27BA5" w:rsidRDefault="00A27BA5" w:rsidP="00A27BA5">
            <w:pPr>
              <w:spacing w:line="276" w:lineRule="auto"/>
              <w:ind w:left="720"/>
              <w:jc w:val="both"/>
              <w:rPr>
                <w:rFonts w:ascii="Arial" w:hAnsi="Arial" w:cs="Arial"/>
                <w:sz w:val="18"/>
                <w:szCs w:val="18"/>
              </w:rPr>
            </w:pPr>
          </w:p>
          <w:p w:rsidR="00A27BA5" w:rsidRPr="00A27BA5" w:rsidRDefault="00A27BA5" w:rsidP="00A27BA5">
            <w:pPr>
              <w:spacing w:line="276" w:lineRule="auto"/>
              <w:jc w:val="both"/>
              <w:rPr>
                <w:rFonts w:ascii="Arial" w:hAnsi="Arial" w:cs="Arial"/>
                <w:sz w:val="18"/>
                <w:szCs w:val="18"/>
              </w:rPr>
            </w:pPr>
            <w:r w:rsidRPr="00A27BA5">
              <w:rPr>
                <w:rFonts w:ascii="Arial" w:hAnsi="Arial" w:cs="Arial"/>
                <w:sz w:val="18"/>
                <w:szCs w:val="18"/>
              </w:rPr>
              <w:t xml:space="preserve">The following principles were </w:t>
            </w:r>
            <w:r w:rsidR="00023CA1">
              <w:rPr>
                <w:rFonts w:ascii="Arial" w:hAnsi="Arial" w:cs="Arial"/>
                <w:sz w:val="18"/>
                <w:szCs w:val="18"/>
              </w:rPr>
              <w:t xml:space="preserve">considered to be appropriate by the PBAC and were </w:t>
            </w:r>
            <w:r w:rsidRPr="00A27BA5">
              <w:rPr>
                <w:rFonts w:ascii="Arial" w:hAnsi="Arial" w:cs="Arial"/>
                <w:sz w:val="18"/>
                <w:szCs w:val="18"/>
              </w:rPr>
              <w:t>applied in identifying drugs that may be considered for retention on the PBS:</w:t>
            </w:r>
          </w:p>
          <w:p w:rsidR="00A27BA5" w:rsidRPr="00A27BA5" w:rsidRDefault="00A27BA5" w:rsidP="00A27BA5">
            <w:pPr>
              <w:numPr>
                <w:ilvl w:val="0"/>
                <w:numId w:val="5"/>
              </w:numPr>
              <w:spacing w:line="276" w:lineRule="auto"/>
              <w:jc w:val="both"/>
              <w:rPr>
                <w:rFonts w:ascii="Arial" w:hAnsi="Arial" w:cs="Arial"/>
                <w:sz w:val="18"/>
                <w:szCs w:val="18"/>
              </w:rPr>
            </w:pPr>
            <w:r w:rsidRPr="00A27BA5">
              <w:rPr>
                <w:rFonts w:ascii="Arial" w:hAnsi="Arial" w:cs="Arial"/>
                <w:sz w:val="18"/>
                <w:szCs w:val="18"/>
              </w:rPr>
              <w:t>High ex-manufacturer price, likely to prevent access to patients in the absence of PBS subsidy;</w:t>
            </w:r>
          </w:p>
          <w:p w:rsidR="00A27BA5" w:rsidRPr="00A27BA5" w:rsidRDefault="00A27BA5" w:rsidP="00A27BA5">
            <w:pPr>
              <w:numPr>
                <w:ilvl w:val="0"/>
                <w:numId w:val="5"/>
              </w:numPr>
              <w:spacing w:line="276" w:lineRule="auto"/>
              <w:jc w:val="both"/>
              <w:rPr>
                <w:rFonts w:ascii="Arial" w:hAnsi="Arial" w:cs="Arial"/>
                <w:sz w:val="18"/>
                <w:szCs w:val="18"/>
              </w:rPr>
            </w:pPr>
            <w:r w:rsidRPr="00A27BA5">
              <w:rPr>
                <w:rFonts w:ascii="Arial" w:hAnsi="Arial" w:cs="Arial"/>
                <w:sz w:val="18"/>
                <w:szCs w:val="18"/>
              </w:rPr>
              <w:t>Drugs for urgent or emergency situations, where the fewest possible barriers to access should be maintained;</w:t>
            </w:r>
          </w:p>
          <w:p w:rsidR="00A27BA5" w:rsidRPr="00A27BA5" w:rsidRDefault="00A27BA5" w:rsidP="00A27BA5">
            <w:pPr>
              <w:numPr>
                <w:ilvl w:val="0"/>
                <w:numId w:val="5"/>
              </w:numPr>
              <w:spacing w:line="276" w:lineRule="auto"/>
              <w:jc w:val="both"/>
              <w:rPr>
                <w:rFonts w:ascii="Arial" w:hAnsi="Arial" w:cs="Arial"/>
                <w:sz w:val="18"/>
                <w:szCs w:val="18"/>
              </w:rPr>
            </w:pPr>
            <w:r w:rsidRPr="00A27BA5">
              <w:rPr>
                <w:rFonts w:ascii="Arial" w:hAnsi="Arial" w:cs="Arial"/>
                <w:sz w:val="18"/>
                <w:szCs w:val="18"/>
              </w:rPr>
              <w:t xml:space="preserve">Products that are considered OTC only because they are not Scheduled medicines, but are unlikely to be purchased OTC; </w:t>
            </w:r>
          </w:p>
          <w:p w:rsidR="00A27BA5" w:rsidRPr="00A27BA5" w:rsidRDefault="00A27BA5" w:rsidP="00A27BA5">
            <w:pPr>
              <w:numPr>
                <w:ilvl w:val="0"/>
                <w:numId w:val="5"/>
              </w:numPr>
              <w:spacing w:line="276" w:lineRule="auto"/>
              <w:jc w:val="both"/>
              <w:rPr>
                <w:rFonts w:ascii="Arial" w:hAnsi="Arial" w:cs="Arial"/>
                <w:sz w:val="18"/>
                <w:szCs w:val="18"/>
              </w:rPr>
            </w:pPr>
            <w:r w:rsidRPr="00A27BA5">
              <w:rPr>
                <w:rFonts w:ascii="Arial" w:hAnsi="Arial" w:cs="Arial"/>
                <w:sz w:val="18"/>
                <w:szCs w:val="18"/>
              </w:rPr>
              <w:t>Drugs listed on the Palliative Care Schedule or with listings pertaining to Aboriginal or Torres Strait Islander patients.</w:t>
            </w:r>
          </w:p>
          <w:p w:rsidR="00A27BA5" w:rsidRDefault="00A27BA5" w:rsidP="00A27BA5">
            <w:pPr>
              <w:spacing w:line="276" w:lineRule="auto"/>
              <w:jc w:val="both"/>
              <w:rPr>
                <w:rFonts w:ascii="Arial" w:hAnsi="Arial" w:cs="Arial"/>
                <w:sz w:val="18"/>
                <w:szCs w:val="18"/>
              </w:rPr>
            </w:pPr>
          </w:p>
          <w:p w:rsidR="00A27BA5" w:rsidRPr="00A27BA5" w:rsidRDefault="00A27BA5" w:rsidP="00A27BA5">
            <w:pPr>
              <w:spacing w:line="276" w:lineRule="auto"/>
              <w:jc w:val="both"/>
              <w:rPr>
                <w:rFonts w:ascii="Arial" w:hAnsi="Arial" w:cs="Arial"/>
                <w:sz w:val="18"/>
                <w:szCs w:val="18"/>
              </w:rPr>
            </w:pPr>
            <w:r w:rsidRPr="00A27BA5">
              <w:rPr>
                <w:rFonts w:ascii="Arial" w:hAnsi="Arial" w:cs="Arial"/>
                <w:sz w:val="18"/>
                <w:szCs w:val="18"/>
              </w:rPr>
              <w:t>The PBAC considered that these criteria should be used to assess future OTC submissions seeking PBS listing.</w:t>
            </w:r>
          </w:p>
          <w:p w:rsidR="008C5E57" w:rsidRDefault="008C5E57" w:rsidP="00257C10">
            <w:pPr>
              <w:spacing w:line="276" w:lineRule="auto"/>
              <w:jc w:val="both"/>
              <w:rPr>
                <w:rFonts w:ascii="Arial" w:hAnsi="Arial" w:cs="Arial"/>
                <w:sz w:val="18"/>
                <w:szCs w:val="18"/>
              </w:rPr>
            </w:pPr>
          </w:p>
          <w:p w:rsidR="00020CA7" w:rsidRPr="00020CA7" w:rsidRDefault="00020CA7" w:rsidP="00020CA7">
            <w:pPr>
              <w:spacing w:line="276" w:lineRule="auto"/>
              <w:jc w:val="both"/>
              <w:rPr>
                <w:rFonts w:ascii="Arial" w:hAnsi="Arial" w:cs="Arial"/>
                <w:sz w:val="18"/>
                <w:szCs w:val="18"/>
              </w:rPr>
            </w:pPr>
            <w:r w:rsidRPr="00020CA7">
              <w:rPr>
                <w:rFonts w:ascii="Arial" w:hAnsi="Arial" w:cs="Arial"/>
                <w:sz w:val="18"/>
                <w:szCs w:val="18"/>
              </w:rPr>
              <w:t>The PBAC advised that the following categories of PBS listed OTC drugs were essential and should be retained on the PBS:</w:t>
            </w:r>
          </w:p>
          <w:p w:rsidR="00020CA7" w:rsidRPr="00020CA7" w:rsidRDefault="00020CA7" w:rsidP="00020CA7">
            <w:pPr>
              <w:pStyle w:val="ListParagraph"/>
              <w:numPr>
                <w:ilvl w:val="0"/>
                <w:numId w:val="9"/>
              </w:numPr>
              <w:spacing w:line="276" w:lineRule="auto"/>
              <w:jc w:val="both"/>
              <w:rPr>
                <w:rFonts w:ascii="Arial" w:hAnsi="Arial" w:cs="Arial"/>
                <w:sz w:val="18"/>
                <w:szCs w:val="18"/>
              </w:rPr>
            </w:pPr>
            <w:r w:rsidRPr="00020CA7">
              <w:rPr>
                <w:rFonts w:ascii="Arial" w:hAnsi="Arial" w:cs="Arial"/>
                <w:sz w:val="18"/>
                <w:szCs w:val="18"/>
              </w:rPr>
              <w:t xml:space="preserve">Drugs for emergency situations </w:t>
            </w:r>
            <w:r>
              <w:rPr>
                <w:rFonts w:ascii="Arial" w:hAnsi="Arial" w:cs="Arial"/>
                <w:sz w:val="18"/>
                <w:szCs w:val="18"/>
              </w:rPr>
              <w:t xml:space="preserve">- </w:t>
            </w:r>
            <w:r w:rsidRPr="00020CA7">
              <w:rPr>
                <w:rFonts w:ascii="Arial" w:hAnsi="Arial" w:cs="Arial"/>
                <w:sz w:val="18"/>
                <w:szCs w:val="18"/>
              </w:rPr>
              <w:t>the PBAC considered that the importance of unhindered access to these products required their retention on the PBS</w:t>
            </w:r>
          </w:p>
          <w:p w:rsidR="00020CA7" w:rsidRPr="00020CA7" w:rsidRDefault="00020CA7" w:rsidP="00020CA7">
            <w:pPr>
              <w:numPr>
                <w:ilvl w:val="1"/>
                <w:numId w:val="7"/>
              </w:numPr>
              <w:spacing w:line="276" w:lineRule="auto"/>
              <w:jc w:val="both"/>
              <w:rPr>
                <w:rFonts w:ascii="Arial" w:hAnsi="Arial" w:cs="Arial"/>
                <w:sz w:val="18"/>
                <w:szCs w:val="18"/>
              </w:rPr>
            </w:pPr>
            <w:r w:rsidRPr="00020CA7">
              <w:rPr>
                <w:rFonts w:ascii="Arial" w:hAnsi="Arial" w:cs="Arial"/>
                <w:sz w:val="18"/>
                <w:szCs w:val="18"/>
              </w:rPr>
              <w:t>Adrenaline</w:t>
            </w:r>
          </w:p>
          <w:p w:rsidR="00020CA7" w:rsidRPr="00020CA7" w:rsidRDefault="00020CA7" w:rsidP="00020CA7">
            <w:pPr>
              <w:numPr>
                <w:ilvl w:val="1"/>
                <w:numId w:val="7"/>
              </w:numPr>
              <w:spacing w:line="276" w:lineRule="auto"/>
              <w:jc w:val="both"/>
              <w:rPr>
                <w:rFonts w:ascii="Arial" w:hAnsi="Arial" w:cs="Arial"/>
                <w:sz w:val="18"/>
                <w:szCs w:val="18"/>
              </w:rPr>
            </w:pPr>
            <w:r w:rsidRPr="00020CA7">
              <w:rPr>
                <w:rFonts w:ascii="Arial" w:hAnsi="Arial" w:cs="Arial"/>
                <w:sz w:val="18"/>
                <w:szCs w:val="18"/>
              </w:rPr>
              <w:t>Glucagon</w:t>
            </w:r>
          </w:p>
          <w:p w:rsidR="00020CA7" w:rsidRPr="00020CA7" w:rsidRDefault="00020CA7" w:rsidP="00020CA7">
            <w:pPr>
              <w:numPr>
                <w:ilvl w:val="1"/>
                <w:numId w:val="7"/>
              </w:numPr>
              <w:spacing w:line="276" w:lineRule="auto"/>
              <w:jc w:val="both"/>
              <w:rPr>
                <w:rFonts w:ascii="Arial" w:hAnsi="Arial" w:cs="Arial"/>
                <w:sz w:val="18"/>
                <w:szCs w:val="18"/>
              </w:rPr>
            </w:pPr>
            <w:r w:rsidRPr="00020CA7">
              <w:rPr>
                <w:rFonts w:ascii="Arial" w:hAnsi="Arial" w:cs="Arial"/>
                <w:sz w:val="18"/>
                <w:szCs w:val="18"/>
              </w:rPr>
              <w:t>Glyceryl Trinitrate</w:t>
            </w:r>
          </w:p>
          <w:p w:rsidR="00020CA7" w:rsidRPr="00020CA7" w:rsidRDefault="00020CA7" w:rsidP="00020CA7">
            <w:pPr>
              <w:numPr>
                <w:ilvl w:val="1"/>
                <w:numId w:val="7"/>
              </w:numPr>
              <w:spacing w:line="276" w:lineRule="auto"/>
              <w:jc w:val="both"/>
              <w:rPr>
                <w:rFonts w:ascii="Arial" w:hAnsi="Arial" w:cs="Arial"/>
                <w:sz w:val="18"/>
                <w:szCs w:val="18"/>
              </w:rPr>
            </w:pPr>
            <w:proofErr w:type="spellStart"/>
            <w:r w:rsidRPr="00020CA7">
              <w:rPr>
                <w:rFonts w:ascii="Arial" w:hAnsi="Arial" w:cs="Arial"/>
                <w:sz w:val="18"/>
                <w:szCs w:val="18"/>
              </w:rPr>
              <w:t>Isosorbide</w:t>
            </w:r>
            <w:proofErr w:type="spellEnd"/>
            <w:r w:rsidRPr="00020CA7">
              <w:rPr>
                <w:rFonts w:ascii="Arial" w:hAnsi="Arial" w:cs="Arial"/>
                <w:sz w:val="18"/>
                <w:szCs w:val="18"/>
              </w:rPr>
              <w:t xml:space="preserve"> </w:t>
            </w:r>
            <w:proofErr w:type="spellStart"/>
            <w:r w:rsidRPr="00020CA7">
              <w:rPr>
                <w:rFonts w:ascii="Arial" w:hAnsi="Arial" w:cs="Arial"/>
                <w:sz w:val="18"/>
                <w:szCs w:val="18"/>
              </w:rPr>
              <w:t>Dinitrate</w:t>
            </w:r>
            <w:proofErr w:type="spellEnd"/>
          </w:p>
          <w:p w:rsidR="00020CA7" w:rsidRPr="00020CA7" w:rsidRDefault="00020CA7" w:rsidP="00020CA7">
            <w:pPr>
              <w:numPr>
                <w:ilvl w:val="1"/>
                <w:numId w:val="7"/>
              </w:numPr>
              <w:spacing w:line="276" w:lineRule="auto"/>
              <w:jc w:val="both"/>
              <w:rPr>
                <w:rFonts w:ascii="Arial" w:hAnsi="Arial" w:cs="Arial"/>
                <w:sz w:val="18"/>
                <w:szCs w:val="18"/>
              </w:rPr>
            </w:pPr>
            <w:r w:rsidRPr="00020CA7">
              <w:rPr>
                <w:rFonts w:ascii="Arial" w:hAnsi="Arial" w:cs="Arial"/>
                <w:sz w:val="18"/>
                <w:szCs w:val="18"/>
              </w:rPr>
              <w:t>Salbutamol</w:t>
            </w:r>
          </w:p>
          <w:p w:rsidR="00020CA7" w:rsidRPr="00020CA7" w:rsidRDefault="00020CA7" w:rsidP="00020CA7">
            <w:pPr>
              <w:numPr>
                <w:ilvl w:val="1"/>
                <w:numId w:val="7"/>
              </w:numPr>
              <w:spacing w:line="276" w:lineRule="auto"/>
              <w:jc w:val="both"/>
              <w:rPr>
                <w:rFonts w:ascii="Arial" w:hAnsi="Arial" w:cs="Arial"/>
                <w:sz w:val="18"/>
                <w:szCs w:val="18"/>
              </w:rPr>
            </w:pPr>
            <w:r w:rsidRPr="00020CA7">
              <w:rPr>
                <w:rFonts w:ascii="Arial" w:hAnsi="Arial" w:cs="Arial"/>
                <w:sz w:val="18"/>
                <w:szCs w:val="18"/>
              </w:rPr>
              <w:t>Theophylline</w:t>
            </w:r>
          </w:p>
          <w:p w:rsidR="00020CA7" w:rsidRPr="00020CA7" w:rsidRDefault="00020CA7" w:rsidP="00020CA7">
            <w:pPr>
              <w:numPr>
                <w:ilvl w:val="1"/>
                <w:numId w:val="7"/>
              </w:numPr>
              <w:spacing w:line="276" w:lineRule="auto"/>
              <w:jc w:val="both"/>
              <w:rPr>
                <w:rFonts w:ascii="Arial" w:hAnsi="Arial" w:cs="Arial"/>
                <w:sz w:val="18"/>
                <w:szCs w:val="18"/>
              </w:rPr>
            </w:pPr>
            <w:proofErr w:type="spellStart"/>
            <w:r w:rsidRPr="00020CA7">
              <w:rPr>
                <w:rFonts w:ascii="Arial" w:hAnsi="Arial" w:cs="Arial"/>
                <w:sz w:val="18"/>
                <w:szCs w:val="18"/>
              </w:rPr>
              <w:lastRenderedPageBreak/>
              <w:t>Terbutaline</w:t>
            </w:r>
            <w:proofErr w:type="spellEnd"/>
          </w:p>
          <w:p w:rsidR="00020CA7" w:rsidRPr="00020CA7" w:rsidRDefault="00020CA7" w:rsidP="00020CA7">
            <w:pPr>
              <w:spacing w:line="276" w:lineRule="auto"/>
              <w:jc w:val="both"/>
              <w:rPr>
                <w:rFonts w:ascii="Arial" w:hAnsi="Arial" w:cs="Arial"/>
                <w:sz w:val="18"/>
                <w:szCs w:val="18"/>
              </w:rPr>
            </w:pPr>
          </w:p>
          <w:p w:rsidR="00020CA7" w:rsidRDefault="00020CA7" w:rsidP="00020CA7">
            <w:pPr>
              <w:pStyle w:val="ListParagraph"/>
              <w:numPr>
                <w:ilvl w:val="0"/>
                <w:numId w:val="9"/>
              </w:numPr>
              <w:spacing w:line="276" w:lineRule="auto"/>
              <w:jc w:val="both"/>
              <w:rPr>
                <w:rFonts w:ascii="Arial" w:hAnsi="Arial" w:cs="Arial"/>
                <w:sz w:val="18"/>
                <w:szCs w:val="18"/>
              </w:rPr>
            </w:pPr>
            <w:r w:rsidRPr="00020CA7">
              <w:rPr>
                <w:rFonts w:ascii="Arial" w:hAnsi="Arial" w:cs="Arial"/>
                <w:sz w:val="18"/>
                <w:szCs w:val="18"/>
              </w:rPr>
              <w:t xml:space="preserve">Nicotine Replacement Therapy </w:t>
            </w:r>
          </w:p>
          <w:p w:rsidR="00020CA7" w:rsidRDefault="00020CA7" w:rsidP="00020CA7">
            <w:pPr>
              <w:pStyle w:val="ListParagraph"/>
              <w:numPr>
                <w:ilvl w:val="0"/>
                <w:numId w:val="9"/>
              </w:numPr>
              <w:spacing w:line="276" w:lineRule="auto"/>
              <w:jc w:val="both"/>
              <w:rPr>
                <w:rFonts w:ascii="Arial" w:hAnsi="Arial" w:cs="Arial"/>
                <w:sz w:val="18"/>
                <w:szCs w:val="18"/>
              </w:rPr>
            </w:pPr>
            <w:r w:rsidRPr="00020CA7">
              <w:rPr>
                <w:rFonts w:ascii="Arial" w:hAnsi="Arial" w:cs="Arial"/>
                <w:sz w:val="18"/>
                <w:szCs w:val="18"/>
              </w:rPr>
              <w:t xml:space="preserve">Listings on the Palliative Care Schedule - </w:t>
            </w:r>
            <w:r>
              <w:rPr>
                <w:rFonts w:ascii="Arial" w:hAnsi="Arial" w:cs="Arial"/>
                <w:sz w:val="18"/>
                <w:szCs w:val="18"/>
              </w:rPr>
              <w:t>w</w:t>
            </w:r>
            <w:r w:rsidRPr="00020CA7">
              <w:rPr>
                <w:rFonts w:ascii="Arial" w:hAnsi="Arial" w:cs="Arial"/>
                <w:sz w:val="18"/>
                <w:szCs w:val="18"/>
              </w:rPr>
              <w:t>here products listed in the Palliative Care Schedule also having a dual listing in the General Schedule, the PBAC recommended retaining only the Palliative Care listing</w:t>
            </w:r>
          </w:p>
          <w:p w:rsidR="00020CA7" w:rsidRDefault="00020CA7" w:rsidP="00020CA7">
            <w:pPr>
              <w:pStyle w:val="ListParagraph"/>
              <w:numPr>
                <w:ilvl w:val="0"/>
                <w:numId w:val="9"/>
              </w:numPr>
              <w:spacing w:line="276" w:lineRule="auto"/>
              <w:jc w:val="both"/>
              <w:rPr>
                <w:rFonts w:ascii="Arial" w:hAnsi="Arial" w:cs="Arial"/>
                <w:sz w:val="18"/>
                <w:szCs w:val="18"/>
              </w:rPr>
            </w:pPr>
            <w:r w:rsidRPr="00020CA7">
              <w:rPr>
                <w:rFonts w:ascii="Arial" w:hAnsi="Arial" w:cs="Arial"/>
                <w:sz w:val="18"/>
                <w:szCs w:val="18"/>
              </w:rPr>
              <w:t xml:space="preserve">Nutritional products - these products are used to manage conditions such as </w:t>
            </w:r>
            <w:proofErr w:type="spellStart"/>
            <w:r w:rsidRPr="00020CA7">
              <w:rPr>
                <w:rFonts w:ascii="Arial" w:hAnsi="Arial" w:cs="Arial"/>
                <w:sz w:val="18"/>
                <w:szCs w:val="18"/>
              </w:rPr>
              <w:t>tyrosinamia</w:t>
            </w:r>
            <w:proofErr w:type="spellEnd"/>
            <w:r w:rsidRPr="00020CA7">
              <w:rPr>
                <w:rFonts w:ascii="Arial" w:hAnsi="Arial" w:cs="Arial"/>
                <w:sz w:val="18"/>
                <w:szCs w:val="18"/>
              </w:rPr>
              <w:t xml:space="preserve">, </w:t>
            </w:r>
            <w:proofErr w:type="spellStart"/>
            <w:r w:rsidRPr="00020CA7">
              <w:rPr>
                <w:rFonts w:ascii="Arial" w:hAnsi="Arial" w:cs="Arial"/>
                <w:sz w:val="18"/>
                <w:szCs w:val="18"/>
              </w:rPr>
              <w:t>glutaric</w:t>
            </w:r>
            <w:proofErr w:type="spellEnd"/>
            <w:r w:rsidRPr="00020CA7">
              <w:rPr>
                <w:rFonts w:ascii="Arial" w:hAnsi="Arial" w:cs="Arial"/>
                <w:sz w:val="18"/>
                <w:szCs w:val="18"/>
              </w:rPr>
              <w:t xml:space="preserve"> aciduria type 1 and </w:t>
            </w:r>
            <w:proofErr w:type="spellStart"/>
            <w:r w:rsidRPr="00020CA7">
              <w:rPr>
                <w:rFonts w:ascii="Arial" w:hAnsi="Arial" w:cs="Arial"/>
                <w:sz w:val="18"/>
                <w:szCs w:val="18"/>
              </w:rPr>
              <w:t>methylmalonic</w:t>
            </w:r>
            <w:proofErr w:type="spellEnd"/>
            <w:r w:rsidRPr="00020CA7">
              <w:rPr>
                <w:rFonts w:ascii="Arial" w:hAnsi="Arial" w:cs="Arial"/>
                <w:sz w:val="18"/>
                <w:szCs w:val="18"/>
              </w:rPr>
              <w:t xml:space="preserve"> </w:t>
            </w:r>
            <w:proofErr w:type="spellStart"/>
            <w:r w:rsidRPr="00020CA7">
              <w:rPr>
                <w:rFonts w:ascii="Arial" w:hAnsi="Arial" w:cs="Arial"/>
                <w:sz w:val="18"/>
                <w:szCs w:val="18"/>
              </w:rPr>
              <w:t>acidaemia</w:t>
            </w:r>
            <w:proofErr w:type="spellEnd"/>
            <w:r w:rsidRPr="00020CA7">
              <w:rPr>
                <w:rFonts w:ascii="Arial" w:hAnsi="Arial" w:cs="Arial"/>
                <w:sz w:val="18"/>
                <w:szCs w:val="18"/>
              </w:rPr>
              <w:t xml:space="preserve">.    The PBAC noted that the ex-manufacturer price for these formulae can be in excess of $3,000 for a one month supply, and considered that delisting would effectively make them unavailable for many Australian patients.  </w:t>
            </w:r>
          </w:p>
          <w:p w:rsidR="00020CA7" w:rsidRDefault="00020CA7" w:rsidP="00020CA7">
            <w:pPr>
              <w:pStyle w:val="ListParagraph"/>
              <w:numPr>
                <w:ilvl w:val="0"/>
                <w:numId w:val="9"/>
              </w:numPr>
              <w:spacing w:line="276" w:lineRule="auto"/>
              <w:jc w:val="both"/>
              <w:rPr>
                <w:rFonts w:ascii="Arial" w:hAnsi="Arial" w:cs="Arial"/>
                <w:sz w:val="18"/>
                <w:szCs w:val="18"/>
              </w:rPr>
            </w:pPr>
            <w:r w:rsidRPr="00020CA7">
              <w:rPr>
                <w:rFonts w:ascii="Arial" w:hAnsi="Arial" w:cs="Arial"/>
                <w:sz w:val="18"/>
                <w:szCs w:val="18"/>
              </w:rPr>
              <w:t xml:space="preserve">OTC listings for patients of Aboriginal or Torres Strait Islander (ATSI) background </w:t>
            </w:r>
          </w:p>
          <w:p w:rsidR="00020CA7" w:rsidRPr="00020CA7" w:rsidRDefault="00020CA7" w:rsidP="00020CA7">
            <w:pPr>
              <w:pStyle w:val="ListParagraph"/>
              <w:numPr>
                <w:ilvl w:val="0"/>
                <w:numId w:val="9"/>
              </w:numPr>
              <w:spacing w:line="276" w:lineRule="auto"/>
              <w:jc w:val="both"/>
              <w:rPr>
                <w:rFonts w:ascii="Arial" w:hAnsi="Arial" w:cs="Arial"/>
                <w:sz w:val="18"/>
                <w:szCs w:val="18"/>
              </w:rPr>
            </w:pPr>
            <w:r w:rsidRPr="00020CA7">
              <w:rPr>
                <w:rFonts w:ascii="Arial" w:hAnsi="Arial" w:cs="Arial"/>
                <w:sz w:val="18"/>
                <w:szCs w:val="18"/>
              </w:rPr>
              <w:t xml:space="preserve">PBS listed products intended for IV delivery: </w:t>
            </w:r>
          </w:p>
          <w:p w:rsidR="00020CA7" w:rsidRPr="00020CA7" w:rsidRDefault="00020CA7" w:rsidP="00020CA7">
            <w:pPr>
              <w:numPr>
                <w:ilvl w:val="0"/>
                <w:numId w:val="8"/>
              </w:numPr>
              <w:spacing w:line="276" w:lineRule="auto"/>
              <w:jc w:val="both"/>
              <w:rPr>
                <w:rFonts w:ascii="Arial" w:hAnsi="Arial" w:cs="Arial"/>
                <w:sz w:val="18"/>
                <w:szCs w:val="18"/>
              </w:rPr>
            </w:pPr>
            <w:r w:rsidRPr="00020CA7">
              <w:rPr>
                <w:rFonts w:ascii="Arial" w:hAnsi="Arial" w:cs="Arial"/>
                <w:sz w:val="18"/>
                <w:szCs w:val="18"/>
              </w:rPr>
              <w:t>Electrolyte replacement, solution</w:t>
            </w:r>
          </w:p>
          <w:p w:rsidR="00020CA7" w:rsidRPr="00020CA7" w:rsidRDefault="00020CA7" w:rsidP="00020CA7">
            <w:pPr>
              <w:numPr>
                <w:ilvl w:val="0"/>
                <w:numId w:val="8"/>
              </w:numPr>
              <w:spacing w:line="276" w:lineRule="auto"/>
              <w:jc w:val="both"/>
              <w:rPr>
                <w:rFonts w:ascii="Arial" w:hAnsi="Arial" w:cs="Arial"/>
                <w:sz w:val="18"/>
                <w:szCs w:val="18"/>
              </w:rPr>
            </w:pPr>
            <w:r w:rsidRPr="00020CA7">
              <w:rPr>
                <w:rFonts w:ascii="Arial" w:hAnsi="Arial" w:cs="Arial"/>
                <w:sz w:val="18"/>
                <w:szCs w:val="18"/>
              </w:rPr>
              <w:t>Glucose</w:t>
            </w:r>
          </w:p>
          <w:p w:rsidR="00020CA7" w:rsidRPr="00020CA7" w:rsidRDefault="00020CA7" w:rsidP="00020CA7">
            <w:pPr>
              <w:numPr>
                <w:ilvl w:val="0"/>
                <w:numId w:val="8"/>
              </w:numPr>
              <w:spacing w:line="276" w:lineRule="auto"/>
              <w:jc w:val="both"/>
              <w:rPr>
                <w:rFonts w:ascii="Arial" w:hAnsi="Arial" w:cs="Arial"/>
                <w:sz w:val="18"/>
                <w:szCs w:val="18"/>
              </w:rPr>
            </w:pPr>
            <w:proofErr w:type="spellStart"/>
            <w:r w:rsidRPr="00020CA7">
              <w:rPr>
                <w:rFonts w:ascii="Arial" w:hAnsi="Arial" w:cs="Arial"/>
                <w:sz w:val="18"/>
                <w:szCs w:val="18"/>
              </w:rPr>
              <w:t>Gelatin</w:t>
            </w:r>
            <w:proofErr w:type="spellEnd"/>
            <w:r w:rsidRPr="00020CA7">
              <w:rPr>
                <w:rFonts w:ascii="Arial" w:hAnsi="Arial" w:cs="Arial"/>
                <w:sz w:val="18"/>
                <w:szCs w:val="18"/>
              </w:rPr>
              <w:t xml:space="preserve"> – </w:t>
            </w:r>
            <w:proofErr w:type="spellStart"/>
            <w:r w:rsidRPr="00020CA7">
              <w:rPr>
                <w:rFonts w:ascii="Arial" w:hAnsi="Arial" w:cs="Arial"/>
                <w:sz w:val="18"/>
                <w:szCs w:val="18"/>
              </w:rPr>
              <w:t>succinylated</w:t>
            </w:r>
            <w:proofErr w:type="spellEnd"/>
          </w:p>
          <w:p w:rsidR="00020CA7" w:rsidRPr="00020CA7" w:rsidRDefault="00020CA7" w:rsidP="00020CA7">
            <w:pPr>
              <w:numPr>
                <w:ilvl w:val="0"/>
                <w:numId w:val="8"/>
              </w:numPr>
              <w:spacing w:line="276" w:lineRule="auto"/>
              <w:jc w:val="both"/>
              <w:rPr>
                <w:rFonts w:ascii="Arial" w:hAnsi="Arial" w:cs="Arial"/>
                <w:sz w:val="18"/>
                <w:szCs w:val="18"/>
              </w:rPr>
            </w:pPr>
            <w:r w:rsidRPr="00020CA7">
              <w:rPr>
                <w:rFonts w:ascii="Arial" w:hAnsi="Arial" w:cs="Arial"/>
                <w:sz w:val="18"/>
                <w:szCs w:val="18"/>
              </w:rPr>
              <w:t>Hydroxyethyl starch 130/0.4</w:t>
            </w:r>
          </w:p>
          <w:p w:rsidR="00020CA7" w:rsidRPr="00020CA7" w:rsidRDefault="00020CA7" w:rsidP="00020CA7">
            <w:pPr>
              <w:numPr>
                <w:ilvl w:val="0"/>
                <w:numId w:val="8"/>
              </w:numPr>
              <w:spacing w:line="276" w:lineRule="auto"/>
              <w:jc w:val="both"/>
              <w:rPr>
                <w:rFonts w:ascii="Arial" w:hAnsi="Arial" w:cs="Arial"/>
                <w:sz w:val="18"/>
                <w:szCs w:val="18"/>
              </w:rPr>
            </w:pPr>
            <w:r w:rsidRPr="00020CA7">
              <w:rPr>
                <w:rFonts w:ascii="Arial" w:hAnsi="Arial" w:cs="Arial"/>
                <w:sz w:val="18"/>
                <w:szCs w:val="18"/>
              </w:rPr>
              <w:t>Sodium chloride</w:t>
            </w:r>
          </w:p>
          <w:p w:rsidR="00020CA7" w:rsidRPr="00020CA7" w:rsidRDefault="00020CA7" w:rsidP="00020CA7">
            <w:pPr>
              <w:numPr>
                <w:ilvl w:val="0"/>
                <w:numId w:val="8"/>
              </w:numPr>
              <w:spacing w:line="276" w:lineRule="auto"/>
              <w:jc w:val="both"/>
              <w:rPr>
                <w:rFonts w:ascii="Arial" w:hAnsi="Arial" w:cs="Arial"/>
                <w:sz w:val="18"/>
                <w:szCs w:val="18"/>
              </w:rPr>
            </w:pPr>
            <w:r w:rsidRPr="00020CA7">
              <w:rPr>
                <w:rFonts w:ascii="Arial" w:hAnsi="Arial" w:cs="Arial"/>
                <w:sz w:val="18"/>
                <w:szCs w:val="18"/>
              </w:rPr>
              <w:t>Sodium chloride with glucose</w:t>
            </w:r>
          </w:p>
          <w:p w:rsidR="00020CA7" w:rsidRPr="00020CA7" w:rsidRDefault="00020CA7" w:rsidP="00020CA7">
            <w:pPr>
              <w:numPr>
                <w:ilvl w:val="0"/>
                <w:numId w:val="8"/>
              </w:numPr>
              <w:spacing w:line="276" w:lineRule="auto"/>
              <w:jc w:val="both"/>
              <w:rPr>
                <w:rFonts w:ascii="Arial" w:hAnsi="Arial" w:cs="Arial"/>
                <w:sz w:val="18"/>
                <w:szCs w:val="18"/>
              </w:rPr>
            </w:pPr>
            <w:r w:rsidRPr="00020CA7">
              <w:rPr>
                <w:rFonts w:ascii="Arial" w:hAnsi="Arial" w:cs="Arial"/>
                <w:sz w:val="18"/>
                <w:szCs w:val="18"/>
              </w:rPr>
              <w:t>Sodium lactate compound</w:t>
            </w:r>
          </w:p>
          <w:p w:rsidR="00020CA7" w:rsidRPr="00020CA7" w:rsidRDefault="00020CA7" w:rsidP="00020CA7">
            <w:pPr>
              <w:pStyle w:val="ListParagraph"/>
              <w:numPr>
                <w:ilvl w:val="0"/>
                <w:numId w:val="10"/>
              </w:numPr>
              <w:spacing w:line="276" w:lineRule="auto"/>
              <w:jc w:val="both"/>
              <w:rPr>
                <w:rFonts w:ascii="Arial" w:hAnsi="Arial" w:cs="Arial"/>
                <w:sz w:val="18"/>
                <w:szCs w:val="18"/>
              </w:rPr>
            </w:pPr>
            <w:r w:rsidRPr="00020CA7">
              <w:rPr>
                <w:rFonts w:ascii="Arial" w:hAnsi="Arial" w:cs="Arial"/>
                <w:sz w:val="18"/>
                <w:szCs w:val="18"/>
              </w:rPr>
              <w:t xml:space="preserve">Folic Acid 0.5mg – The PBAC recommended retaining </w:t>
            </w:r>
            <w:bookmarkStart w:id="0" w:name="_GoBack"/>
            <w:bookmarkEnd w:id="0"/>
            <w:r w:rsidRPr="00020CA7">
              <w:rPr>
                <w:rFonts w:ascii="Arial" w:hAnsi="Arial" w:cs="Arial"/>
                <w:sz w:val="18"/>
                <w:szCs w:val="18"/>
              </w:rPr>
              <w:t xml:space="preserve">folic acid 0.5mg as a Restricted Benefit listing for Aboriginal or Torres Strait Islander patients. </w:t>
            </w:r>
          </w:p>
          <w:p w:rsidR="00020CA7" w:rsidRPr="00020CA7" w:rsidRDefault="00020CA7" w:rsidP="00020CA7">
            <w:pPr>
              <w:spacing w:line="276" w:lineRule="auto"/>
              <w:jc w:val="both"/>
              <w:rPr>
                <w:rFonts w:ascii="Arial" w:hAnsi="Arial" w:cs="Arial"/>
                <w:sz w:val="18"/>
                <w:szCs w:val="18"/>
              </w:rPr>
            </w:pPr>
          </w:p>
          <w:p w:rsidR="00020CA7" w:rsidRPr="00020CA7" w:rsidRDefault="00020CA7" w:rsidP="00020CA7">
            <w:pPr>
              <w:spacing w:line="276" w:lineRule="auto"/>
              <w:jc w:val="both"/>
              <w:rPr>
                <w:rFonts w:ascii="Arial" w:hAnsi="Arial" w:cs="Arial"/>
                <w:sz w:val="18"/>
                <w:szCs w:val="18"/>
                <w:u w:val="single"/>
              </w:rPr>
            </w:pPr>
            <w:r w:rsidRPr="00020CA7">
              <w:rPr>
                <w:rFonts w:ascii="Arial" w:hAnsi="Arial" w:cs="Arial"/>
                <w:sz w:val="18"/>
                <w:szCs w:val="18"/>
                <w:u w:val="single"/>
              </w:rPr>
              <w:t>Recommendations to retain products on the PBS due to high cost</w:t>
            </w:r>
          </w:p>
          <w:p w:rsidR="00020CA7" w:rsidRPr="00020CA7" w:rsidRDefault="00020CA7" w:rsidP="00020CA7">
            <w:pPr>
              <w:spacing w:line="276" w:lineRule="auto"/>
              <w:jc w:val="both"/>
              <w:rPr>
                <w:rFonts w:ascii="Arial" w:hAnsi="Arial" w:cs="Arial"/>
                <w:sz w:val="18"/>
                <w:szCs w:val="18"/>
              </w:rPr>
            </w:pPr>
          </w:p>
          <w:p w:rsidR="00020CA7" w:rsidRPr="00020CA7" w:rsidRDefault="00020CA7" w:rsidP="00020CA7">
            <w:pPr>
              <w:spacing w:line="276" w:lineRule="auto"/>
              <w:jc w:val="both"/>
              <w:rPr>
                <w:rFonts w:ascii="Arial" w:hAnsi="Arial" w:cs="Arial"/>
                <w:sz w:val="18"/>
                <w:szCs w:val="18"/>
              </w:rPr>
            </w:pPr>
            <w:r w:rsidRPr="00020CA7">
              <w:rPr>
                <w:rFonts w:ascii="Arial" w:hAnsi="Arial" w:cs="Arial"/>
                <w:sz w:val="18"/>
                <w:szCs w:val="18"/>
              </w:rPr>
              <w:t xml:space="preserve">The PBAC advised that where the ex-manufacturer price of an OTC product is over the PBS Concessional co-payment, it should remain on the PBS.  The PBAC considered that this approach would retain access to products that, without PBS subsidy, would be unaffordable for many patients.   </w:t>
            </w:r>
          </w:p>
          <w:p w:rsidR="00020CA7" w:rsidRPr="00020CA7" w:rsidRDefault="00020CA7" w:rsidP="00020CA7">
            <w:pPr>
              <w:spacing w:line="276" w:lineRule="auto"/>
              <w:jc w:val="both"/>
              <w:rPr>
                <w:rFonts w:ascii="Arial" w:hAnsi="Arial" w:cs="Arial"/>
                <w:sz w:val="18"/>
                <w:szCs w:val="18"/>
              </w:rPr>
            </w:pPr>
          </w:p>
          <w:p w:rsidR="00020CA7" w:rsidRPr="00020CA7" w:rsidRDefault="00020CA7" w:rsidP="00020CA7">
            <w:pPr>
              <w:spacing w:line="276" w:lineRule="auto"/>
              <w:jc w:val="both"/>
              <w:rPr>
                <w:rFonts w:ascii="Arial" w:hAnsi="Arial" w:cs="Arial"/>
                <w:sz w:val="18"/>
                <w:szCs w:val="18"/>
                <w:u w:val="single"/>
              </w:rPr>
            </w:pPr>
            <w:r w:rsidRPr="00020CA7">
              <w:rPr>
                <w:rFonts w:ascii="Arial" w:hAnsi="Arial" w:cs="Arial"/>
                <w:sz w:val="18"/>
                <w:szCs w:val="18"/>
                <w:u w:val="single"/>
              </w:rPr>
              <w:t>Recommendations to delist OTC products from the PBS</w:t>
            </w:r>
          </w:p>
          <w:p w:rsidR="00020CA7" w:rsidRPr="00020CA7" w:rsidRDefault="00020CA7" w:rsidP="00020CA7">
            <w:pPr>
              <w:spacing w:line="276" w:lineRule="auto"/>
              <w:jc w:val="both"/>
              <w:rPr>
                <w:rFonts w:ascii="Arial" w:hAnsi="Arial" w:cs="Arial"/>
                <w:sz w:val="18"/>
                <w:szCs w:val="18"/>
              </w:rPr>
            </w:pPr>
          </w:p>
          <w:p w:rsidR="00020CA7" w:rsidRPr="00020CA7" w:rsidRDefault="00020CA7" w:rsidP="00020CA7">
            <w:pPr>
              <w:spacing w:line="276" w:lineRule="auto"/>
              <w:jc w:val="both"/>
              <w:rPr>
                <w:rFonts w:ascii="Arial" w:hAnsi="Arial" w:cs="Arial"/>
                <w:sz w:val="18"/>
                <w:szCs w:val="18"/>
              </w:rPr>
            </w:pPr>
            <w:r w:rsidRPr="00020CA7">
              <w:rPr>
                <w:rFonts w:ascii="Arial" w:hAnsi="Arial" w:cs="Arial"/>
                <w:sz w:val="18"/>
                <w:szCs w:val="18"/>
              </w:rPr>
              <w:t>The PBAC recommended that products with an ex-manufacturer price below the PBS Concessional co-payment should be delisted from the PBS.  The PBAC considered that access to these products would be unaffected by the removal of PBS subsidy.</w:t>
            </w:r>
          </w:p>
          <w:p w:rsidR="00020CA7" w:rsidRPr="00020CA7" w:rsidRDefault="00020CA7" w:rsidP="00020CA7">
            <w:pPr>
              <w:spacing w:line="276" w:lineRule="auto"/>
              <w:jc w:val="both"/>
              <w:rPr>
                <w:rFonts w:ascii="Arial" w:hAnsi="Arial" w:cs="Arial"/>
                <w:sz w:val="18"/>
                <w:szCs w:val="18"/>
              </w:rPr>
            </w:pPr>
          </w:p>
          <w:p w:rsidR="00020CA7" w:rsidRPr="00020CA7" w:rsidRDefault="00020CA7" w:rsidP="00020CA7">
            <w:pPr>
              <w:spacing w:line="276" w:lineRule="auto"/>
              <w:jc w:val="both"/>
              <w:rPr>
                <w:rFonts w:ascii="Arial" w:hAnsi="Arial" w:cs="Arial"/>
                <w:sz w:val="18"/>
                <w:szCs w:val="18"/>
              </w:rPr>
            </w:pPr>
            <w:r w:rsidRPr="00020CA7">
              <w:rPr>
                <w:rFonts w:ascii="Arial" w:hAnsi="Arial" w:cs="Arial"/>
                <w:sz w:val="18"/>
                <w:szCs w:val="18"/>
              </w:rPr>
              <w:t xml:space="preserve">With regard to blood glucose test strips, although these products are priced above the PBS </w:t>
            </w:r>
            <w:r w:rsidRPr="00020CA7">
              <w:rPr>
                <w:rFonts w:ascii="Arial" w:hAnsi="Arial" w:cs="Arial"/>
                <w:sz w:val="18"/>
                <w:szCs w:val="18"/>
              </w:rPr>
              <w:lastRenderedPageBreak/>
              <w:t>Concessional co-payment, the PBAC noted that in the event of delisting from the PBS they will remain available via the National Diabetes Supply Scheme (NDSS).  The PBAC therefore recommended delisting of blood glucose test strips from the PBS.</w:t>
            </w:r>
          </w:p>
          <w:p w:rsidR="00020CA7" w:rsidRPr="00020CA7" w:rsidRDefault="00020CA7" w:rsidP="00020CA7">
            <w:pPr>
              <w:spacing w:line="276" w:lineRule="auto"/>
              <w:jc w:val="both"/>
              <w:rPr>
                <w:rFonts w:ascii="Arial" w:hAnsi="Arial" w:cs="Arial"/>
                <w:sz w:val="18"/>
                <w:szCs w:val="18"/>
              </w:rPr>
            </w:pPr>
          </w:p>
          <w:p w:rsidR="00020CA7" w:rsidRPr="00020CA7" w:rsidRDefault="00020CA7" w:rsidP="00020CA7">
            <w:pPr>
              <w:spacing w:line="276" w:lineRule="auto"/>
              <w:jc w:val="both"/>
              <w:rPr>
                <w:rFonts w:ascii="Arial" w:hAnsi="Arial" w:cs="Arial"/>
                <w:sz w:val="18"/>
                <w:szCs w:val="18"/>
                <w:u w:val="single"/>
              </w:rPr>
            </w:pPr>
            <w:r w:rsidRPr="00020CA7">
              <w:rPr>
                <w:rFonts w:ascii="Arial" w:hAnsi="Arial" w:cs="Arial"/>
                <w:sz w:val="18"/>
                <w:szCs w:val="18"/>
                <w:u w:val="single"/>
              </w:rPr>
              <w:t>Deferral of recommendation to delist OTC products from the PBS</w:t>
            </w:r>
          </w:p>
          <w:p w:rsidR="00020CA7" w:rsidRPr="00020CA7" w:rsidRDefault="00020CA7" w:rsidP="00020CA7">
            <w:pPr>
              <w:spacing w:line="276" w:lineRule="auto"/>
              <w:jc w:val="both"/>
              <w:rPr>
                <w:rFonts w:ascii="Arial" w:hAnsi="Arial" w:cs="Arial"/>
                <w:sz w:val="18"/>
                <w:szCs w:val="18"/>
                <w:u w:val="single"/>
              </w:rPr>
            </w:pPr>
          </w:p>
          <w:p w:rsidR="00020CA7" w:rsidRPr="00020CA7" w:rsidRDefault="00020CA7" w:rsidP="00BE400A">
            <w:pPr>
              <w:spacing w:line="276" w:lineRule="auto"/>
              <w:jc w:val="both"/>
              <w:rPr>
                <w:rFonts w:ascii="Arial" w:hAnsi="Arial" w:cs="Arial"/>
                <w:b/>
                <w:sz w:val="18"/>
                <w:szCs w:val="18"/>
                <w:u w:val="single"/>
              </w:rPr>
            </w:pPr>
            <w:r w:rsidRPr="00020CA7">
              <w:rPr>
                <w:rFonts w:ascii="Arial" w:hAnsi="Arial" w:cs="Arial"/>
                <w:sz w:val="18"/>
                <w:szCs w:val="18"/>
              </w:rPr>
              <w:t>The PBAC noted that multiple-dose bottles of ocular lubricants are priced below the PBS Concessional co-payment and are not considered to be essential medicines, and considered they would therefore be appropriate for delisting.  However, the PBAC noted that delisting of multiple dose bottles could drive utilisation towards single-use presentations of the same lubricants (which are priced above the PBS co-payment).  The PBAC deferred recommending delisting of ocular lubricants to allow the Department to negotiate consistent pricing for the unit-dose and multiple-dose presentations of these products</w:t>
            </w:r>
          </w:p>
          <w:p w:rsidR="00020CA7" w:rsidRDefault="00020CA7" w:rsidP="00257C10">
            <w:pPr>
              <w:spacing w:line="276" w:lineRule="auto"/>
              <w:jc w:val="both"/>
              <w:rPr>
                <w:rFonts w:ascii="Arial" w:hAnsi="Arial" w:cs="Arial"/>
                <w:sz w:val="18"/>
                <w:szCs w:val="18"/>
              </w:rPr>
            </w:pPr>
          </w:p>
          <w:p w:rsidR="00020CA7" w:rsidRDefault="00020CA7" w:rsidP="00257C10">
            <w:pPr>
              <w:spacing w:line="276" w:lineRule="auto"/>
              <w:jc w:val="both"/>
              <w:rPr>
                <w:rFonts w:ascii="Arial" w:hAnsi="Arial" w:cs="Arial"/>
                <w:sz w:val="18"/>
                <w:szCs w:val="18"/>
              </w:rPr>
            </w:pPr>
          </w:p>
          <w:p w:rsidR="00020CA7" w:rsidRDefault="00020CA7" w:rsidP="00257C10">
            <w:pPr>
              <w:spacing w:line="276" w:lineRule="auto"/>
              <w:jc w:val="both"/>
              <w:rPr>
                <w:rFonts w:ascii="Arial" w:hAnsi="Arial" w:cs="Arial"/>
                <w:sz w:val="18"/>
                <w:szCs w:val="18"/>
              </w:rPr>
            </w:pPr>
          </w:p>
          <w:p w:rsidR="00020CA7" w:rsidRDefault="00020CA7" w:rsidP="00257C10">
            <w:pPr>
              <w:spacing w:line="276" w:lineRule="auto"/>
              <w:jc w:val="both"/>
              <w:rPr>
                <w:rFonts w:ascii="Arial" w:hAnsi="Arial" w:cs="Arial"/>
                <w:sz w:val="18"/>
                <w:szCs w:val="18"/>
              </w:rPr>
            </w:pPr>
          </w:p>
          <w:p w:rsidR="00020CA7" w:rsidRDefault="00020CA7" w:rsidP="00257C10">
            <w:pPr>
              <w:spacing w:line="276" w:lineRule="auto"/>
              <w:jc w:val="both"/>
              <w:rPr>
                <w:rFonts w:ascii="Arial" w:hAnsi="Arial" w:cs="Arial"/>
                <w:sz w:val="18"/>
                <w:szCs w:val="18"/>
              </w:rPr>
            </w:pPr>
          </w:p>
        </w:tc>
      </w:tr>
    </w:tbl>
    <w:p w:rsidR="008C5E57" w:rsidRDefault="008C5E57"/>
    <w:sectPr w:rsidR="008C5E57" w:rsidSect="00A27BA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2C0A"/>
    <w:multiLevelType w:val="hybridMultilevel"/>
    <w:tmpl w:val="6EC61F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23C7447C"/>
    <w:multiLevelType w:val="hybridMultilevel"/>
    <w:tmpl w:val="F56A780E"/>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nsid w:val="26746508"/>
    <w:multiLevelType w:val="hybridMultilevel"/>
    <w:tmpl w:val="718C7B88"/>
    <w:lvl w:ilvl="0" w:tplc="0DBC61CE">
      <w:start w:val="1"/>
      <w:numFmt w:val="lowerLetter"/>
      <w:lvlText w:val="(%1)"/>
      <w:lvlJc w:val="left"/>
      <w:pPr>
        <w:ind w:left="428" w:hanging="360"/>
      </w:pPr>
      <w:rPr>
        <w:rFonts w:hint="default"/>
      </w:rPr>
    </w:lvl>
    <w:lvl w:ilvl="1" w:tplc="0C090019" w:tentative="1">
      <w:start w:val="1"/>
      <w:numFmt w:val="lowerLetter"/>
      <w:lvlText w:val="%2."/>
      <w:lvlJc w:val="left"/>
      <w:pPr>
        <w:ind w:left="1148" w:hanging="360"/>
      </w:pPr>
    </w:lvl>
    <w:lvl w:ilvl="2" w:tplc="0C09001B" w:tentative="1">
      <w:start w:val="1"/>
      <w:numFmt w:val="lowerRoman"/>
      <w:lvlText w:val="%3."/>
      <w:lvlJc w:val="right"/>
      <w:pPr>
        <w:ind w:left="1868" w:hanging="180"/>
      </w:pPr>
    </w:lvl>
    <w:lvl w:ilvl="3" w:tplc="0C09000F" w:tentative="1">
      <w:start w:val="1"/>
      <w:numFmt w:val="decimal"/>
      <w:lvlText w:val="%4."/>
      <w:lvlJc w:val="left"/>
      <w:pPr>
        <w:ind w:left="2588" w:hanging="360"/>
      </w:pPr>
    </w:lvl>
    <w:lvl w:ilvl="4" w:tplc="0C090019" w:tentative="1">
      <w:start w:val="1"/>
      <w:numFmt w:val="lowerLetter"/>
      <w:lvlText w:val="%5."/>
      <w:lvlJc w:val="left"/>
      <w:pPr>
        <w:ind w:left="3308" w:hanging="360"/>
      </w:pPr>
    </w:lvl>
    <w:lvl w:ilvl="5" w:tplc="0C09001B" w:tentative="1">
      <w:start w:val="1"/>
      <w:numFmt w:val="lowerRoman"/>
      <w:lvlText w:val="%6."/>
      <w:lvlJc w:val="right"/>
      <w:pPr>
        <w:ind w:left="4028" w:hanging="180"/>
      </w:pPr>
    </w:lvl>
    <w:lvl w:ilvl="6" w:tplc="0C09000F" w:tentative="1">
      <w:start w:val="1"/>
      <w:numFmt w:val="decimal"/>
      <w:lvlText w:val="%7."/>
      <w:lvlJc w:val="left"/>
      <w:pPr>
        <w:ind w:left="4748" w:hanging="360"/>
      </w:pPr>
    </w:lvl>
    <w:lvl w:ilvl="7" w:tplc="0C090019" w:tentative="1">
      <w:start w:val="1"/>
      <w:numFmt w:val="lowerLetter"/>
      <w:lvlText w:val="%8."/>
      <w:lvlJc w:val="left"/>
      <w:pPr>
        <w:ind w:left="5468" w:hanging="360"/>
      </w:pPr>
    </w:lvl>
    <w:lvl w:ilvl="8" w:tplc="0C09001B" w:tentative="1">
      <w:start w:val="1"/>
      <w:numFmt w:val="lowerRoman"/>
      <w:lvlText w:val="%9."/>
      <w:lvlJc w:val="right"/>
      <w:pPr>
        <w:ind w:left="6188" w:hanging="180"/>
      </w:pPr>
    </w:lvl>
  </w:abstractNum>
  <w:abstractNum w:abstractNumId="3">
    <w:nsid w:val="33AA3A39"/>
    <w:multiLevelType w:val="hybridMultilevel"/>
    <w:tmpl w:val="32D0C94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360D524A"/>
    <w:multiLevelType w:val="hybridMultilevel"/>
    <w:tmpl w:val="4FCA47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39B63210"/>
    <w:multiLevelType w:val="hybridMultilevel"/>
    <w:tmpl w:val="81B683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E1033BD"/>
    <w:multiLevelType w:val="hybridMultilevel"/>
    <w:tmpl w:val="3AA40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53E0030"/>
    <w:multiLevelType w:val="multilevel"/>
    <w:tmpl w:val="003C7FBA"/>
    <w:lvl w:ilvl="0">
      <w:start w:val="1"/>
      <w:numFmt w:val="bullet"/>
      <w:lvlText w:val=""/>
      <w:lvlJc w:val="left"/>
      <w:pPr>
        <w:ind w:left="720" w:hanging="720"/>
      </w:pPr>
      <w:rPr>
        <w:rFonts w:ascii="Symbol" w:hAnsi="Symbol"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784D033C"/>
    <w:multiLevelType w:val="multilevel"/>
    <w:tmpl w:val="96BC1D1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7B6638F2"/>
    <w:multiLevelType w:val="hybridMultilevel"/>
    <w:tmpl w:val="9692EA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8"/>
  </w:num>
  <w:num w:numId="3">
    <w:abstractNumId w:val="4"/>
  </w:num>
  <w:num w:numId="4">
    <w:abstractNumId w:val="7"/>
  </w:num>
  <w:num w:numId="5">
    <w:abstractNumId w:val="0"/>
  </w:num>
  <w:num w:numId="6">
    <w:abstractNumId w:val="9"/>
  </w:num>
  <w:num w:numId="7">
    <w:abstractNumId w:val="1"/>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E57"/>
    <w:rsid w:val="00020CA7"/>
    <w:rsid w:val="00023CA1"/>
    <w:rsid w:val="00196969"/>
    <w:rsid w:val="004670BC"/>
    <w:rsid w:val="004817BB"/>
    <w:rsid w:val="007F4E20"/>
    <w:rsid w:val="008344C4"/>
    <w:rsid w:val="00884C61"/>
    <w:rsid w:val="008C5E57"/>
    <w:rsid w:val="00A27BA5"/>
    <w:rsid w:val="00BE400A"/>
    <w:rsid w:val="00E801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E57"/>
    <w:pPr>
      <w:spacing w:after="0" w:line="240" w:lineRule="auto"/>
    </w:pPr>
    <w:rPr>
      <w:rFonts w:eastAsia="Times New Roman" w:cs="Times New Roman"/>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BA5"/>
    <w:pPr>
      <w:ind w:left="720"/>
      <w:contextualSpacing/>
    </w:pPr>
  </w:style>
  <w:style w:type="character" w:styleId="CommentReference">
    <w:name w:val="annotation reference"/>
    <w:basedOn w:val="DefaultParagraphFont"/>
    <w:uiPriority w:val="99"/>
    <w:semiHidden/>
    <w:unhideWhenUsed/>
    <w:rsid w:val="00BE400A"/>
    <w:rPr>
      <w:sz w:val="16"/>
      <w:szCs w:val="16"/>
    </w:rPr>
  </w:style>
  <w:style w:type="paragraph" w:styleId="CommentText">
    <w:name w:val="annotation text"/>
    <w:basedOn w:val="Normal"/>
    <w:link w:val="CommentTextChar"/>
    <w:uiPriority w:val="99"/>
    <w:semiHidden/>
    <w:unhideWhenUsed/>
    <w:rsid w:val="00BE400A"/>
    <w:rPr>
      <w:sz w:val="20"/>
      <w:szCs w:val="20"/>
    </w:rPr>
  </w:style>
  <w:style w:type="character" w:customStyle="1" w:styleId="CommentTextChar">
    <w:name w:val="Comment Text Char"/>
    <w:basedOn w:val="DefaultParagraphFont"/>
    <w:link w:val="CommentText"/>
    <w:uiPriority w:val="99"/>
    <w:semiHidden/>
    <w:rsid w:val="00BE400A"/>
    <w:rPr>
      <w:rFonts w:eastAsia="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E400A"/>
    <w:rPr>
      <w:b/>
      <w:bCs/>
    </w:rPr>
  </w:style>
  <w:style w:type="character" w:customStyle="1" w:styleId="CommentSubjectChar">
    <w:name w:val="Comment Subject Char"/>
    <w:basedOn w:val="CommentTextChar"/>
    <w:link w:val="CommentSubject"/>
    <w:uiPriority w:val="99"/>
    <w:semiHidden/>
    <w:rsid w:val="00BE400A"/>
    <w:rPr>
      <w:rFonts w:eastAsia="Times New Roman" w:cs="Times New Roman"/>
      <w:b/>
      <w:bCs/>
      <w:sz w:val="20"/>
      <w:szCs w:val="20"/>
      <w:lang w:eastAsia="en-AU"/>
    </w:rPr>
  </w:style>
  <w:style w:type="paragraph" w:styleId="BalloonText">
    <w:name w:val="Balloon Text"/>
    <w:basedOn w:val="Normal"/>
    <w:link w:val="BalloonTextChar"/>
    <w:uiPriority w:val="99"/>
    <w:semiHidden/>
    <w:unhideWhenUsed/>
    <w:rsid w:val="00BE400A"/>
    <w:rPr>
      <w:rFonts w:ascii="Tahoma" w:hAnsi="Tahoma" w:cs="Tahoma"/>
      <w:sz w:val="16"/>
      <w:szCs w:val="16"/>
    </w:rPr>
  </w:style>
  <w:style w:type="character" w:customStyle="1" w:styleId="BalloonTextChar">
    <w:name w:val="Balloon Text Char"/>
    <w:basedOn w:val="DefaultParagraphFont"/>
    <w:link w:val="BalloonText"/>
    <w:uiPriority w:val="99"/>
    <w:semiHidden/>
    <w:rsid w:val="00BE400A"/>
    <w:rPr>
      <w:rFonts w:ascii="Tahoma" w:eastAsia="Times New Roman"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E57"/>
    <w:pPr>
      <w:spacing w:after="0" w:line="240" w:lineRule="auto"/>
    </w:pPr>
    <w:rPr>
      <w:rFonts w:eastAsia="Times New Roman" w:cs="Times New Roman"/>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BA5"/>
    <w:pPr>
      <w:ind w:left="720"/>
      <w:contextualSpacing/>
    </w:pPr>
  </w:style>
  <w:style w:type="character" w:styleId="CommentReference">
    <w:name w:val="annotation reference"/>
    <w:basedOn w:val="DefaultParagraphFont"/>
    <w:uiPriority w:val="99"/>
    <w:semiHidden/>
    <w:unhideWhenUsed/>
    <w:rsid w:val="00BE400A"/>
    <w:rPr>
      <w:sz w:val="16"/>
      <w:szCs w:val="16"/>
    </w:rPr>
  </w:style>
  <w:style w:type="paragraph" w:styleId="CommentText">
    <w:name w:val="annotation text"/>
    <w:basedOn w:val="Normal"/>
    <w:link w:val="CommentTextChar"/>
    <w:uiPriority w:val="99"/>
    <w:semiHidden/>
    <w:unhideWhenUsed/>
    <w:rsid w:val="00BE400A"/>
    <w:rPr>
      <w:sz w:val="20"/>
      <w:szCs w:val="20"/>
    </w:rPr>
  </w:style>
  <w:style w:type="character" w:customStyle="1" w:styleId="CommentTextChar">
    <w:name w:val="Comment Text Char"/>
    <w:basedOn w:val="DefaultParagraphFont"/>
    <w:link w:val="CommentText"/>
    <w:uiPriority w:val="99"/>
    <w:semiHidden/>
    <w:rsid w:val="00BE400A"/>
    <w:rPr>
      <w:rFonts w:eastAsia="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E400A"/>
    <w:rPr>
      <w:b/>
      <w:bCs/>
    </w:rPr>
  </w:style>
  <w:style w:type="character" w:customStyle="1" w:styleId="CommentSubjectChar">
    <w:name w:val="Comment Subject Char"/>
    <w:basedOn w:val="CommentTextChar"/>
    <w:link w:val="CommentSubject"/>
    <w:uiPriority w:val="99"/>
    <w:semiHidden/>
    <w:rsid w:val="00BE400A"/>
    <w:rPr>
      <w:rFonts w:eastAsia="Times New Roman" w:cs="Times New Roman"/>
      <w:b/>
      <w:bCs/>
      <w:sz w:val="20"/>
      <w:szCs w:val="20"/>
      <w:lang w:eastAsia="en-AU"/>
    </w:rPr>
  </w:style>
  <w:style w:type="paragraph" w:styleId="BalloonText">
    <w:name w:val="Balloon Text"/>
    <w:basedOn w:val="Normal"/>
    <w:link w:val="BalloonTextChar"/>
    <w:uiPriority w:val="99"/>
    <w:semiHidden/>
    <w:unhideWhenUsed/>
    <w:rsid w:val="00BE400A"/>
    <w:rPr>
      <w:rFonts w:ascii="Tahoma" w:hAnsi="Tahoma" w:cs="Tahoma"/>
      <w:sz w:val="16"/>
      <w:szCs w:val="16"/>
    </w:rPr>
  </w:style>
  <w:style w:type="character" w:customStyle="1" w:styleId="BalloonTextChar">
    <w:name w:val="Balloon Text Char"/>
    <w:basedOn w:val="DefaultParagraphFont"/>
    <w:link w:val="BalloonText"/>
    <w:uiPriority w:val="99"/>
    <w:semiHidden/>
    <w:rsid w:val="00BE400A"/>
    <w:rPr>
      <w:rFonts w:ascii="Tahoma" w:eastAsia="Times New Roman"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3</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5151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O'Toole Gregory I</dc:creator>
  <cp:lastModifiedBy>O'Toole Gregory I</cp:lastModifiedBy>
  <cp:revision>8</cp:revision>
  <dcterms:created xsi:type="dcterms:W3CDTF">2015-05-06T10:14:00Z</dcterms:created>
  <dcterms:modified xsi:type="dcterms:W3CDTF">2015-05-18T06:24:00Z</dcterms:modified>
</cp:coreProperties>
</file>