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November 2014 PBAC Outcomes - Subsequent decision not to recommend"/>
      </w:tblPr>
      <w:tblGrid>
        <w:gridCol w:w="2127"/>
        <w:gridCol w:w="2126"/>
        <w:gridCol w:w="2126"/>
        <w:gridCol w:w="3827"/>
        <w:gridCol w:w="5245"/>
      </w:tblGrid>
      <w:tr w:rsidR="0010394D" w:rsidRPr="00CA293C" w:rsidTr="000805C6">
        <w:trPr>
          <w:tblHeader/>
        </w:trPr>
        <w:tc>
          <w:tcPr>
            <w:tcW w:w="2127" w:type="dxa"/>
          </w:tcPr>
          <w:p w:rsidR="0010394D"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DRUG NAME, FORM(S), STRENGTH(S), SPONSOR, TYPE OF SUBMISSION</w:t>
            </w:r>
          </w:p>
        </w:tc>
        <w:tc>
          <w:tcPr>
            <w:tcW w:w="2126" w:type="dxa"/>
          </w:tcPr>
          <w:p w:rsidR="001047FA"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TGA INDICATION</w:t>
            </w:r>
          </w:p>
          <w:p w:rsidR="0010394D" w:rsidRPr="0010394D" w:rsidRDefault="0010394D" w:rsidP="001047FA">
            <w:pPr>
              <w:pStyle w:val="Header"/>
              <w:spacing w:after="240"/>
              <w:contextualSpacing/>
              <w:jc w:val="center"/>
              <w:rPr>
                <w:rFonts w:ascii="Arial" w:hAnsi="Arial" w:cs="Arial"/>
                <w:b/>
                <w:snapToGrid w:val="0"/>
                <w:sz w:val="20"/>
                <w:lang w:eastAsia="en-US"/>
              </w:rPr>
            </w:pPr>
          </w:p>
        </w:tc>
        <w:tc>
          <w:tcPr>
            <w:tcW w:w="2126" w:type="dxa"/>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CURRENT PBS LISTING</w:t>
            </w:r>
            <w:bookmarkStart w:id="0" w:name="_GoBack"/>
            <w:bookmarkEnd w:id="0"/>
          </w:p>
        </w:tc>
        <w:tc>
          <w:tcPr>
            <w:tcW w:w="3827" w:type="dxa"/>
            <w:shd w:val="clear" w:color="auto" w:fill="auto"/>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5245" w:type="dxa"/>
          </w:tcPr>
          <w:p w:rsidR="0010394D" w:rsidRPr="001047FA" w:rsidRDefault="0010394D" w:rsidP="001047FA">
            <w:pPr>
              <w:pStyle w:val="Header"/>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sidR="001047FA">
              <w:rPr>
                <w:rFonts w:ascii="Arial" w:hAnsi="Arial" w:cs="Arial"/>
                <w:b/>
                <w:snapToGrid w:val="0"/>
                <w:sz w:val="20"/>
                <w:lang w:eastAsia="en-US"/>
              </w:rPr>
              <w:t>OUTCOME</w:t>
            </w:r>
          </w:p>
        </w:tc>
      </w:tr>
      <w:tr w:rsidR="00613975" w:rsidRPr="009B735A" w:rsidTr="000805C6">
        <w:trPr>
          <w:trHeight w:val="435"/>
        </w:trPr>
        <w:tc>
          <w:tcPr>
            <w:tcW w:w="2127" w:type="dxa"/>
            <w:vMerge w:val="restart"/>
          </w:tcPr>
          <w:p w:rsidR="00613975" w:rsidRPr="00CA0C65" w:rsidRDefault="00613975" w:rsidP="00CA0C65">
            <w:pPr>
              <w:contextualSpacing/>
              <w:rPr>
                <w:rFonts w:ascii="Arial" w:hAnsi="Arial" w:cs="Arial"/>
                <w:b/>
                <w:sz w:val="20"/>
              </w:rPr>
            </w:pPr>
            <w:r w:rsidRPr="00CA0C65">
              <w:rPr>
                <w:rFonts w:ascii="Arial" w:hAnsi="Arial" w:cs="Arial"/>
                <w:b/>
                <w:sz w:val="20"/>
              </w:rPr>
              <w:t>ALEMTUZUMAB</w:t>
            </w:r>
          </w:p>
          <w:p w:rsidR="00613975" w:rsidRPr="00CA0C65" w:rsidRDefault="00613975" w:rsidP="00CA0C65">
            <w:pPr>
              <w:contextualSpacing/>
              <w:rPr>
                <w:rFonts w:ascii="Arial" w:hAnsi="Arial" w:cs="Arial"/>
                <w:sz w:val="20"/>
              </w:rPr>
            </w:pPr>
            <w:r w:rsidRPr="00CA0C65">
              <w:rPr>
                <w:rFonts w:ascii="Arial" w:hAnsi="Arial" w:cs="Arial"/>
                <w:sz w:val="20"/>
              </w:rPr>
              <w:t xml:space="preserve">10 mg/mL injection, 1 x 2 mL vial, </w:t>
            </w:r>
          </w:p>
          <w:p w:rsidR="00613975" w:rsidRPr="00CA0C65" w:rsidRDefault="00613975" w:rsidP="00CA0C65">
            <w:pPr>
              <w:contextualSpacing/>
              <w:rPr>
                <w:rFonts w:ascii="Arial" w:hAnsi="Arial" w:cs="Arial"/>
                <w:sz w:val="20"/>
              </w:rPr>
            </w:pPr>
          </w:p>
          <w:p w:rsidR="00613975" w:rsidRPr="00CA0C65" w:rsidRDefault="00613975" w:rsidP="00CA0C65">
            <w:pPr>
              <w:contextualSpacing/>
              <w:rPr>
                <w:rFonts w:ascii="Arial" w:hAnsi="Arial" w:cs="Arial"/>
                <w:sz w:val="20"/>
              </w:rPr>
            </w:pPr>
            <w:proofErr w:type="spellStart"/>
            <w:r w:rsidRPr="00CA0C65">
              <w:rPr>
                <w:rFonts w:ascii="Arial" w:hAnsi="Arial" w:cs="Arial"/>
                <w:sz w:val="20"/>
              </w:rPr>
              <w:t>Lemtrada</w:t>
            </w:r>
            <w:proofErr w:type="spellEnd"/>
            <w:r w:rsidRPr="00CA0C65">
              <w:rPr>
                <w:rFonts w:ascii="Arial" w:hAnsi="Arial" w:cs="Arial"/>
                <w:sz w:val="20"/>
              </w:rPr>
              <w:t>®</w:t>
            </w:r>
          </w:p>
          <w:p w:rsidR="00613975" w:rsidRPr="00CA0C65" w:rsidRDefault="00613975" w:rsidP="00CA0C65">
            <w:pPr>
              <w:contextualSpacing/>
              <w:rPr>
                <w:rFonts w:ascii="Arial" w:hAnsi="Arial" w:cs="Arial"/>
                <w:sz w:val="20"/>
              </w:rPr>
            </w:pPr>
          </w:p>
          <w:p w:rsidR="00613975" w:rsidRPr="00CA0C65" w:rsidRDefault="00613975" w:rsidP="00CA0C65">
            <w:pPr>
              <w:contextualSpacing/>
              <w:rPr>
                <w:rFonts w:ascii="Arial" w:hAnsi="Arial" w:cs="Arial"/>
                <w:sz w:val="20"/>
              </w:rPr>
            </w:pPr>
            <w:r w:rsidRPr="00CA0C65">
              <w:rPr>
                <w:rFonts w:ascii="Arial" w:hAnsi="Arial" w:cs="Arial"/>
                <w:sz w:val="20"/>
              </w:rPr>
              <w:t xml:space="preserve">Genzyme (A </w:t>
            </w:r>
            <w:proofErr w:type="spellStart"/>
            <w:r w:rsidRPr="00CA0C65">
              <w:rPr>
                <w:rFonts w:ascii="Arial" w:hAnsi="Arial" w:cs="Arial"/>
                <w:sz w:val="20"/>
              </w:rPr>
              <w:t>Sanofi</w:t>
            </w:r>
            <w:proofErr w:type="spellEnd"/>
            <w:r w:rsidRPr="00CA0C65">
              <w:rPr>
                <w:rFonts w:ascii="Arial" w:hAnsi="Arial" w:cs="Arial"/>
                <w:sz w:val="20"/>
              </w:rPr>
              <w:t xml:space="preserve"> company) Pty Ltd</w:t>
            </w:r>
          </w:p>
          <w:p w:rsidR="00613975" w:rsidRPr="00CA0C65" w:rsidRDefault="00613975" w:rsidP="00CA0C65">
            <w:pPr>
              <w:contextualSpacing/>
              <w:rPr>
                <w:rFonts w:ascii="Arial" w:hAnsi="Arial" w:cs="Arial"/>
                <w:sz w:val="20"/>
              </w:rPr>
            </w:pPr>
          </w:p>
          <w:p w:rsidR="00613975" w:rsidRPr="00CA0C65" w:rsidRDefault="00613975" w:rsidP="00CA0C65">
            <w:pPr>
              <w:contextualSpacing/>
              <w:rPr>
                <w:rFonts w:ascii="Arial" w:hAnsi="Arial" w:cs="Arial"/>
                <w:sz w:val="20"/>
              </w:rPr>
            </w:pPr>
            <w:r w:rsidRPr="00CA0C65">
              <w:rPr>
                <w:rFonts w:ascii="Arial" w:hAnsi="Arial" w:cs="Arial"/>
                <w:sz w:val="20"/>
              </w:rPr>
              <w:t>Change to recommended listing</w:t>
            </w:r>
          </w:p>
          <w:p w:rsidR="00613975" w:rsidRPr="00CA0C65" w:rsidRDefault="00613975" w:rsidP="00CA0C65">
            <w:pPr>
              <w:contextualSpacing/>
              <w:rPr>
                <w:rFonts w:ascii="Arial" w:hAnsi="Arial" w:cs="Arial"/>
                <w:sz w:val="20"/>
              </w:rPr>
            </w:pPr>
          </w:p>
          <w:p w:rsidR="00613975" w:rsidRPr="00CA0C65" w:rsidRDefault="00613975" w:rsidP="00CA0C65">
            <w:pPr>
              <w:contextualSpacing/>
              <w:rPr>
                <w:rFonts w:ascii="Arial" w:hAnsi="Arial" w:cs="Arial"/>
                <w:sz w:val="20"/>
                <w:highlight w:val="yellow"/>
              </w:rPr>
            </w:pPr>
            <w:r w:rsidRPr="00CA0C65">
              <w:rPr>
                <w:rFonts w:ascii="Arial" w:hAnsi="Arial" w:cs="Arial"/>
                <w:sz w:val="20"/>
              </w:rPr>
              <w:t>(Minor submission)</w:t>
            </w:r>
          </w:p>
        </w:tc>
        <w:tc>
          <w:tcPr>
            <w:tcW w:w="2126" w:type="dxa"/>
            <w:vMerge w:val="restart"/>
          </w:tcPr>
          <w:p w:rsidR="00613975" w:rsidRPr="00CA0C65" w:rsidRDefault="00613975" w:rsidP="008B0E22">
            <w:pPr>
              <w:rPr>
                <w:rFonts w:ascii="Arial" w:hAnsi="Arial" w:cs="Arial"/>
                <w:sz w:val="20"/>
                <w:highlight w:val="yellow"/>
              </w:rPr>
            </w:pPr>
            <w:r w:rsidRPr="00CA0C65">
              <w:rPr>
                <w:rFonts w:ascii="Arial" w:hAnsi="Arial" w:cs="Arial"/>
                <w:sz w:val="20"/>
              </w:rPr>
              <w:t>Treatment of relapsing forms of multiple sclerosis (MS) for patients with active disease defined by clinical or imaging features</w:t>
            </w:r>
            <w:r w:rsidR="008B0E22">
              <w:rPr>
                <w:rFonts w:ascii="Arial" w:hAnsi="Arial" w:cs="Arial"/>
                <w:sz w:val="20"/>
              </w:rPr>
              <w:t xml:space="preserve"> </w:t>
            </w:r>
            <w:r w:rsidRPr="00CA0C65">
              <w:rPr>
                <w:rFonts w:ascii="Arial" w:hAnsi="Arial" w:cs="Arial"/>
                <w:sz w:val="20"/>
              </w:rPr>
              <w:t>to slow the accumulation of physical disability and reduce the frequency of clinical relapses.</w:t>
            </w:r>
          </w:p>
        </w:tc>
        <w:tc>
          <w:tcPr>
            <w:tcW w:w="2126" w:type="dxa"/>
            <w:vMerge w:val="restart"/>
          </w:tcPr>
          <w:p w:rsidR="00613975" w:rsidRPr="00CA0C65" w:rsidRDefault="00613975" w:rsidP="00CA0C65">
            <w:pPr>
              <w:pStyle w:val="NormalWeb"/>
              <w:shd w:val="clear" w:color="auto" w:fill="FFFFFF"/>
              <w:spacing w:before="0" w:beforeAutospacing="0" w:after="0" w:afterAutospacing="0"/>
              <w:rPr>
                <w:rFonts w:ascii="Arial" w:hAnsi="Arial" w:cs="Arial"/>
                <w:strike/>
                <w:snapToGrid w:val="0"/>
                <w:sz w:val="20"/>
                <w:szCs w:val="20"/>
              </w:rPr>
            </w:pPr>
            <w:r w:rsidRPr="00CA0C65">
              <w:rPr>
                <w:rFonts w:ascii="Arial" w:hAnsi="Arial" w:cs="Arial"/>
                <w:sz w:val="20"/>
                <w:szCs w:val="20"/>
              </w:rPr>
              <w:t>Not currently PBS listed</w:t>
            </w:r>
          </w:p>
          <w:p w:rsidR="00613975" w:rsidRPr="00CA0C65" w:rsidRDefault="00613975" w:rsidP="00CA0C65">
            <w:pPr>
              <w:rPr>
                <w:rFonts w:ascii="Arial" w:hAnsi="Arial" w:cs="Arial"/>
                <w:b/>
                <w:sz w:val="20"/>
              </w:rPr>
            </w:pPr>
          </w:p>
          <w:p w:rsidR="00613975" w:rsidRPr="00C9315F" w:rsidRDefault="0056006F" w:rsidP="00CA0C65">
            <w:pPr>
              <w:rPr>
                <w:rFonts w:ascii="Arial" w:hAnsi="Arial" w:cs="Arial"/>
                <w:sz w:val="20"/>
                <w:highlight w:val="yellow"/>
              </w:rPr>
            </w:pPr>
            <w:r>
              <w:rPr>
                <w:rFonts w:ascii="Arial" w:hAnsi="Arial" w:cs="Arial"/>
                <w:sz w:val="20"/>
              </w:rPr>
              <w:t>At</w:t>
            </w:r>
            <w:r w:rsidR="00C9315F">
              <w:rPr>
                <w:rFonts w:ascii="Arial" w:hAnsi="Arial" w:cs="Arial"/>
                <w:sz w:val="20"/>
              </w:rPr>
              <w:t xml:space="preserve"> the July 2014 PBAC meeting, </w:t>
            </w:r>
            <w:proofErr w:type="spellStart"/>
            <w:r w:rsidR="00C9315F">
              <w:rPr>
                <w:rFonts w:ascii="Arial" w:hAnsi="Arial" w:cs="Arial"/>
                <w:sz w:val="20"/>
              </w:rPr>
              <w:t>alemtuzumab</w:t>
            </w:r>
            <w:proofErr w:type="spellEnd"/>
            <w:r w:rsidR="00C9315F">
              <w:rPr>
                <w:rFonts w:ascii="Arial" w:hAnsi="Arial" w:cs="Arial"/>
                <w:sz w:val="20"/>
              </w:rPr>
              <w:t xml:space="preserve"> was recommended for the t</w:t>
            </w:r>
            <w:r w:rsidR="00613975" w:rsidRPr="00C9315F">
              <w:rPr>
                <w:rFonts w:ascii="Arial" w:hAnsi="Arial" w:cs="Arial"/>
                <w:sz w:val="20"/>
              </w:rPr>
              <w:t xml:space="preserve">reatment of relapsing-remitting multiple sclerosis </w:t>
            </w:r>
          </w:p>
          <w:p w:rsidR="00613975" w:rsidRPr="00CA0C65" w:rsidRDefault="00613975" w:rsidP="00CA0C65">
            <w:pPr>
              <w:rPr>
                <w:rFonts w:ascii="Arial" w:hAnsi="Arial" w:cs="Arial"/>
                <w:sz w:val="20"/>
                <w:highlight w:val="yellow"/>
              </w:rPr>
            </w:pPr>
          </w:p>
        </w:tc>
        <w:tc>
          <w:tcPr>
            <w:tcW w:w="3827" w:type="dxa"/>
          </w:tcPr>
          <w:p w:rsidR="00613975" w:rsidRDefault="00C9315F" w:rsidP="00CA0C65">
            <w:pPr>
              <w:keepLines/>
              <w:rPr>
                <w:rFonts w:ascii="Arial" w:hAnsi="Arial" w:cs="Arial"/>
                <w:sz w:val="20"/>
              </w:rPr>
            </w:pPr>
            <w:r>
              <w:rPr>
                <w:rFonts w:ascii="Arial" w:hAnsi="Arial" w:cs="Arial"/>
                <w:sz w:val="20"/>
              </w:rPr>
              <w:t>Re-submissio</w:t>
            </w:r>
            <w:r w:rsidR="008B0E22">
              <w:rPr>
                <w:rFonts w:ascii="Arial" w:hAnsi="Arial" w:cs="Arial"/>
                <w:sz w:val="20"/>
              </w:rPr>
              <w:t>n</w:t>
            </w:r>
            <w:r>
              <w:rPr>
                <w:rFonts w:ascii="Arial" w:hAnsi="Arial" w:cs="Arial"/>
                <w:sz w:val="20"/>
              </w:rPr>
              <w:t xml:space="preserve"> to a</w:t>
            </w:r>
            <w:r w:rsidR="00613975" w:rsidRPr="00CA0C65">
              <w:rPr>
                <w:rFonts w:ascii="Arial" w:hAnsi="Arial" w:cs="Arial"/>
                <w:sz w:val="20"/>
              </w:rPr>
              <w:t xml:space="preserve">mend the July 2014 PBAC recommendation to list </w:t>
            </w:r>
            <w:proofErr w:type="spellStart"/>
            <w:r w:rsidR="00613975" w:rsidRPr="00CA0C65">
              <w:rPr>
                <w:rFonts w:ascii="Arial" w:hAnsi="Arial" w:cs="Arial"/>
                <w:sz w:val="20"/>
              </w:rPr>
              <w:t>alemtuzumab</w:t>
            </w:r>
            <w:proofErr w:type="spellEnd"/>
            <w:r w:rsidR="00613975" w:rsidRPr="00CA0C65">
              <w:rPr>
                <w:rFonts w:ascii="Arial" w:hAnsi="Arial" w:cs="Arial"/>
                <w:sz w:val="20"/>
              </w:rPr>
              <w:t xml:space="preserve"> on a cost-minimisation basis with </w:t>
            </w:r>
            <w:proofErr w:type="spellStart"/>
            <w:r w:rsidR="00613975" w:rsidRPr="00CA0C65">
              <w:rPr>
                <w:rFonts w:ascii="Arial" w:hAnsi="Arial" w:cs="Arial"/>
                <w:sz w:val="20"/>
              </w:rPr>
              <w:t>natalizumab</w:t>
            </w:r>
            <w:proofErr w:type="spellEnd"/>
            <w:r w:rsidR="00613975" w:rsidRPr="00CA0C65">
              <w:rPr>
                <w:rFonts w:ascii="Arial" w:hAnsi="Arial" w:cs="Arial"/>
                <w:sz w:val="20"/>
              </w:rPr>
              <w:t xml:space="preserve"> and </w:t>
            </w:r>
            <w:proofErr w:type="spellStart"/>
            <w:r w:rsidR="00613975" w:rsidRPr="00CA0C65">
              <w:rPr>
                <w:rFonts w:ascii="Arial" w:hAnsi="Arial" w:cs="Arial"/>
                <w:sz w:val="20"/>
              </w:rPr>
              <w:t>fingolimod</w:t>
            </w:r>
            <w:proofErr w:type="spellEnd"/>
            <w:r w:rsidR="00613975" w:rsidRPr="00CA0C65">
              <w:rPr>
                <w:rFonts w:ascii="Arial" w:hAnsi="Arial" w:cs="Arial"/>
                <w:sz w:val="20"/>
              </w:rPr>
              <w:t xml:space="preserve"> with regards t</w:t>
            </w:r>
            <w:r w:rsidR="004874F1">
              <w:rPr>
                <w:rFonts w:ascii="Arial" w:hAnsi="Arial" w:cs="Arial"/>
                <w:sz w:val="20"/>
              </w:rPr>
              <w:t>o the claimed dosing durability, at a higher price than recommended by the PBAC in July 2014.</w:t>
            </w:r>
          </w:p>
          <w:p w:rsidR="00CA0C65" w:rsidRPr="00CA0C65" w:rsidRDefault="00CA0C65" w:rsidP="00CA0C65">
            <w:pPr>
              <w:keepLines/>
              <w:rPr>
                <w:rFonts w:ascii="Arial" w:hAnsi="Arial" w:cs="Arial"/>
                <w:sz w:val="20"/>
              </w:rPr>
            </w:pPr>
          </w:p>
        </w:tc>
        <w:tc>
          <w:tcPr>
            <w:tcW w:w="5245" w:type="dxa"/>
          </w:tcPr>
          <w:p w:rsidR="00613975" w:rsidRPr="00CA0C65" w:rsidRDefault="00613975" w:rsidP="00C9315F">
            <w:pPr>
              <w:rPr>
                <w:rFonts w:ascii="Arial" w:hAnsi="Arial" w:cs="Arial"/>
                <w:sz w:val="20"/>
                <w:highlight w:val="yellow"/>
              </w:rPr>
            </w:pPr>
            <w:r w:rsidRPr="00CA0C65">
              <w:rPr>
                <w:rFonts w:ascii="Arial" w:hAnsi="Arial" w:cs="Arial"/>
                <w:sz w:val="20"/>
              </w:rPr>
              <w:t>The PBAC re</w:t>
            </w:r>
            <w:r w:rsidR="00C9315F">
              <w:rPr>
                <w:rFonts w:ascii="Arial" w:hAnsi="Arial" w:cs="Arial"/>
                <w:sz w:val="20"/>
              </w:rPr>
              <w:t>affirm</w:t>
            </w:r>
            <w:r w:rsidRPr="00CA0C65">
              <w:rPr>
                <w:rFonts w:ascii="Arial" w:hAnsi="Arial" w:cs="Arial"/>
                <w:sz w:val="20"/>
              </w:rPr>
              <w:t xml:space="preserve">ed its previous recommendation for the Authority Required Section 100 (Highly Specialised Drugs Program) listing of </w:t>
            </w:r>
            <w:proofErr w:type="spellStart"/>
            <w:r w:rsidRPr="00CA0C65">
              <w:rPr>
                <w:rFonts w:ascii="Arial" w:hAnsi="Arial" w:cs="Arial"/>
                <w:sz w:val="20"/>
              </w:rPr>
              <w:t>alemtuzumab</w:t>
            </w:r>
            <w:proofErr w:type="spellEnd"/>
            <w:r w:rsidRPr="00CA0C65">
              <w:rPr>
                <w:rFonts w:ascii="Arial" w:hAnsi="Arial" w:cs="Arial"/>
                <w:sz w:val="20"/>
              </w:rPr>
              <w:t xml:space="preserve"> for the treatment of relapsing-remitting multiple sclerosis. </w:t>
            </w:r>
          </w:p>
        </w:tc>
      </w:tr>
      <w:tr w:rsidR="00613975" w:rsidRPr="009B735A" w:rsidTr="000805C6">
        <w:trPr>
          <w:trHeight w:val="433"/>
        </w:trPr>
        <w:tc>
          <w:tcPr>
            <w:tcW w:w="2127"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3827" w:type="dxa"/>
          </w:tcPr>
          <w:p w:rsidR="00613975" w:rsidRPr="00CA0C65" w:rsidRDefault="00613975" w:rsidP="000805C6">
            <w:pPr>
              <w:pStyle w:val="ListBullet"/>
            </w:pPr>
            <w:r w:rsidRPr="00CA0C65">
              <w:t xml:space="preserve">Comparator:  </w:t>
            </w:r>
          </w:p>
          <w:p w:rsidR="00613975" w:rsidRPr="00CA0C65" w:rsidRDefault="00613975" w:rsidP="000805C6">
            <w:pPr>
              <w:pStyle w:val="ListBullet"/>
            </w:pPr>
            <w:proofErr w:type="spellStart"/>
            <w:r w:rsidRPr="00CA0C65">
              <w:t>fingolimod</w:t>
            </w:r>
            <w:proofErr w:type="spellEnd"/>
            <w:r w:rsidRPr="00CA0C65">
              <w:t xml:space="preserve"> and </w:t>
            </w:r>
            <w:proofErr w:type="spellStart"/>
            <w:r w:rsidRPr="00CA0C65">
              <w:t>natalizumab</w:t>
            </w:r>
            <w:proofErr w:type="spellEnd"/>
          </w:p>
        </w:tc>
        <w:tc>
          <w:tcPr>
            <w:tcW w:w="5245" w:type="dxa"/>
          </w:tcPr>
          <w:p w:rsidR="00613975" w:rsidRDefault="00613975" w:rsidP="00CA0C65">
            <w:pPr>
              <w:rPr>
                <w:rFonts w:ascii="Arial" w:hAnsi="Arial" w:cs="Arial"/>
                <w:sz w:val="20"/>
              </w:rPr>
            </w:pPr>
            <w:r w:rsidRPr="00CA0C65">
              <w:rPr>
                <w:rFonts w:ascii="Arial" w:hAnsi="Arial" w:cs="Arial"/>
                <w:sz w:val="20"/>
              </w:rPr>
              <w:t>Accepted, as previously accepted with the recommendation for listing by the PBAC at the July 2014 meeting.</w:t>
            </w:r>
          </w:p>
          <w:p w:rsidR="00CA0C65" w:rsidRPr="00CA0C65" w:rsidRDefault="00CA0C65" w:rsidP="00CA0C65">
            <w:pPr>
              <w:rPr>
                <w:rFonts w:ascii="Arial" w:hAnsi="Arial" w:cs="Arial"/>
                <w:sz w:val="20"/>
                <w:highlight w:val="yellow"/>
              </w:rPr>
            </w:pPr>
          </w:p>
        </w:tc>
      </w:tr>
      <w:tr w:rsidR="00613975" w:rsidRPr="009B735A" w:rsidTr="000805C6">
        <w:trPr>
          <w:trHeight w:val="433"/>
        </w:trPr>
        <w:tc>
          <w:tcPr>
            <w:tcW w:w="2127"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3827" w:type="dxa"/>
          </w:tcPr>
          <w:p w:rsidR="00613975" w:rsidRPr="00CA0C65" w:rsidRDefault="00613975" w:rsidP="000805C6">
            <w:pPr>
              <w:pStyle w:val="ListBullet"/>
            </w:pPr>
            <w:r w:rsidRPr="00CA0C65">
              <w:t xml:space="preserve">Clinical claim:  </w:t>
            </w:r>
          </w:p>
          <w:p w:rsidR="00613975" w:rsidRPr="00CA0C65" w:rsidRDefault="00613975" w:rsidP="000805C6">
            <w:pPr>
              <w:pStyle w:val="ListBullet"/>
            </w:pPr>
            <w:proofErr w:type="spellStart"/>
            <w:r w:rsidRPr="00CA0C65">
              <w:t>Alemtuzumab</w:t>
            </w:r>
            <w:proofErr w:type="spellEnd"/>
            <w:r w:rsidRPr="00CA0C65">
              <w:t xml:space="preserve"> was non-inferior to both </w:t>
            </w:r>
            <w:proofErr w:type="spellStart"/>
            <w:r w:rsidRPr="00CA0C65">
              <w:t>natalizumab</w:t>
            </w:r>
            <w:proofErr w:type="spellEnd"/>
            <w:r w:rsidRPr="00CA0C65">
              <w:t xml:space="preserve"> and </w:t>
            </w:r>
            <w:proofErr w:type="spellStart"/>
            <w:r w:rsidRPr="00CA0C65">
              <w:t>fingolimod</w:t>
            </w:r>
            <w:proofErr w:type="spellEnd"/>
            <w:r w:rsidRPr="00CA0C65">
              <w:t xml:space="preserve"> in terms of comparative effectiveness</w:t>
            </w:r>
          </w:p>
          <w:p w:rsidR="00613975" w:rsidRPr="00CA0C65" w:rsidRDefault="00613975" w:rsidP="000805C6">
            <w:pPr>
              <w:pStyle w:val="ListBullet"/>
            </w:pPr>
          </w:p>
        </w:tc>
        <w:tc>
          <w:tcPr>
            <w:tcW w:w="5245" w:type="dxa"/>
          </w:tcPr>
          <w:p w:rsidR="00CA0C65" w:rsidRPr="00CA0C65" w:rsidRDefault="00613975" w:rsidP="00670168">
            <w:pPr>
              <w:rPr>
                <w:rFonts w:ascii="Arial" w:hAnsi="Arial" w:cs="Arial"/>
                <w:sz w:val="20"/>
                <w:highlight w:val="yellow"/>
              </w:rPr>
            </w:pPr>
            <w:r w:rsidRPr="00CA0C65">
              <w:rPr>
                <w:rFonts w:ascii="Arial" w:hAnsi="Arial" w:cs="Arial"/>
                <w:sz w:val="20"/>
              </w:rPr>
              <w:t xml:space="preserve">Accepted, as previously accepted with the recommendation for listing by the PBAC at the July 2014 meeting. </w:t>
            </w:r>
          </w:p>
        </w:tc>
      </w:tr>
      <w:tr w:rsidR="00613975" w:rsidRPr="009B735A" w:rsidTr="000805C6">
        <w:trPr>
          <w:trHeight w:val="433"/>
        </w:trPr>
        <w:tc>
          <w:tcPr>
            <w:tcW w:w="2127"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3827" w:type="dxa"/>
          </w:tcPr>
          <w:p w:rsidR="00613975" w:rsidRPr="00CA0C65" w:rsidRDefault="00613975" w:rsidP="000805C6">
            <w:pPr>
              <w:pStyle w:val="ListBullet"/>
            </w:pPr>
            <w:r w:rsidRPr="00CA0C65">
              <w:t>Economic claim:</w:t>
            </w:r>
          </w:p>
          <w:p w:rsidR="00613975" w:rsidRPr="00CA0C65" w:rsidRDefault="00613975" w:rsidP="000805C6">
            <w:pPr>
              <w:pStyle w:val="ListBullet"/>
            </w:pPr>
            <w:r w:rsidRPr="00CA0C65">
              <w:t xml:space="preserve">Cost-minimisation analysis based on </w:t>
            </w:r>
            <w:r w:rsidR="002A1CF2">
              <w:t>a longer duration</w:t>
            </w:r>
            <w:r w:rsidRPr="00CA0C65">
              <w:t xml:space="preserve"> of treatment with </w:t>
            </w:r>
            <w:proofErr w:type="spellStart"/>
            <w:r w:rsidRPr="00CA0C65">
              <w:t>fingolimod</w:t>
            </w:r>
            <w:proofErr w:type="spellEnd"/>
            <w:r w:rsidRPr="00CA0C65">
              <w:t xml:space="preserve"> and </w:t>
            </w:r>
            <w:proofErr w:type="spellStart"/>
            <w:r w:rsidRPr="00CA0C65">
              <w:t>natalizumab</w:t>
            </w:r>
            <w:proofErr w:type="spellEnd"/>
            <w:r w:rsidR="002A1CF2">
              <w:t xml:space="preserve"> than </w:t>
            </w:r>
            <w:r w:rsidR="004074CD">
              <w:t>recommended by the PBAC</w:t>
            </w:r>
            <w:r w:rsidR="002A1CF2">
              <w:t xml:space="preserve"> in </w:t>
            </w:r>
            <w:r w:rsidR="004074CD">
              <w:t>July 2014</w:t>
            </w:r>
            <w:r w:rsidRPr="00CA0C65">
              <w:t xml:space="preserve">. </w:t>
            </w:r>
          </w:p>
          <w:p w:rsidR="00613975" w:rsidRPr="00CA0C65" w:rsidRDefault="00613975" w:rsidP="000805C6">
            <w:pPr>
              <w:pStyle w:val="ListBullet"/>
            </w:pPr>
          </w:p>
        </w:tc>
        <w:tc>
          <w:tcPr>
            <w:tcW w:w="5245" w:type="dxa"/>
          </w:tcPr>
          <w:p w:rsidR="00613975" w:rsidRPr="00CA0C65" w:rsidRDefault="00613975" w:rsidP="002A1CF2">
            <w:pPr>
              <w:pStyle w:val="ListParagraph"/>
              <w:ind w:left="0"/>
              <w:rPr>
                <w:rFonts w:ascii="Arial" w:hAnsi="Arial" w:cs="Arial"/>
                <w:sz w:val="20"/>
                <w:szCs w:val="20"/>
                <w:highlight w:val="yellow"/>
              </w:rPr>
            </w:pPr>
            <w:r w:rsidRPr="00CA0C65">
              <w:rPr>
                <w:rFonts w:ascii="Arial" w:hAnsi="Arial" w:cs="Arial"/>
                <w:sz w:val="20"/>
                <w:szCs w:val="20"/>
              </w:rPr>
              <w:t>Not accepted. The PBAC reiterated it</w:t>
            </w:r>
            <w:r w:rsidR="00C9315F">
              <w:rPr>
                <w:rFonts w:ascii="Arial" w:hAnsi="Arial" w:cs="Arial"/>
                <w:sz w:val="20"/>
                <w:szCs w:val="20"/>
              </w:rPr>
              <w:t>s</w:t>
            </w:r>
            <w:r w:rsidR="002A1CF2">
              <w:rPr>
                <w:rFonts w:ascii="Arial" w:hAnsi="Arial" w:cs="Arial"/>
                <w:sz w:val="20"/>
                <w:szCs w:val="20"/>
              </w:rPr>
              <w:t xml:space="preserve"> July 2014 recommendation, and noted that no new data were presented in the submission to justify revising the dosing durability compared to the comparators.</w:t>
            </w:r>
          </w:p>
        </w:tc>
      </w:tr>
      <w:tr w:rsidR="00613975" w:rsidRPr="009B735A" w:rsidTr="000805C6">
        <w:trPr>
          <w:trHeight w:val="433"/>
        </w:trPr>
        <w:tc>
          <w:tcPr>
            <w:tcW w:w="2127"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2126" w:type="dxa"/>
            <w:vMerge/>
          </w:tcPr>
          <w:p w:rsidR="00613975" w:rsidRPr="00CA0C65" w:rsidRDefault="00613975" w:rsidP="00CA0C65">
            <w:pPr>
              <w:rPr>
                <w:rFonts w:ascii="Arial" w:hAnsi="Arial" w:cs="Arial"/>
                <w:sz w:val="20"/>
              </w:rPr>
            </w:pPr>
          </w:p>
        </w:tc>
        <w:tc>
          <w:tcPr>
            <w:tcW w:w="3827" w:type="dxa"/>
          </w:tcPr>
          <w:p w:rsidR="00613975" w:rsidRPr="000805C6" w:rsidRDefault="00613975" w:rsidP="000805C6">
            <w:pPr>
              <w:pStyle w:val="ListBullet"/>
            </w:pPr>
            <w:r w:rsidRPr="000805C6">
              <w:t>Sponsor’s comments:</w:t>
            </w:r>
          </w:p>
          <w:p w:rsidR="00613975" w:rsidRPr="00CA0C65" w:rsidRDefault="00613975" w:rsidP="000805C6">
            <w:pPr>
              <w:pStyle w:val="ListBullet"/>
            </w:pPr>
          </w:p>
        </w:tc>
        <w:tc>
          <w:tcPr>
            <w:tcW w:w="5245" w:type="dxa"/>
          </w:tcPr>
          <w:p w:rsidR="00613975" w:rsidRDefault="00347546" w:rsidP="00CA0C65">
            <w:pPr>
              <w:rPr>
                <w:rFonts w:ascii="Arial" w:hAnsi="Arial" w:cs="Arial"/>
                <w:sz w:val="20"/>
              </w:rPr>
            </w:pPr>
            <w:proofErr w:type="spellStart"/>
            <w:r w:rsidRPr="00347546">
              <w:rPr>
                <w:rFonts w:ascii="Arial" w:hAnsi="Arial" w:cs="Arial"/>
                <w:sz w:val="20"/>
              </w:rPr>
              <w:t>Sanofi</w:t>
            </w:r>
            <w:proofErr w:type="spellEnd"/>
            <w:r w:rsidRPr="00347546">
              <w:rPr>
                <w:rFonts w:ascii="Arial" w:hAnsi="Arial" w:cs="Arial"/>
                <w:sz w:val="20"/>
              </w:rPr>
              <w:t xml:space="preserve"> is working with the Department towards achieving the PBS listing of </w:t>
            </w:r>
            <w:proofErr w:type="spellStart"/>
            <w:r w:rsidRPr="00347546">
              <w:rPr>
                <w:rFonts w:ascii="Arial" w:hAnsi="Arial" w:cs="Arial"/>
                <w:sz w:val="20"/>
              </w:rPr>
              <w:t>Lemtrada</w:t>
            </w:r>
            <w:proofErr w:type="spellEnd"/>
            <w:r w:rsidRPr="00347546">
              <w:rPr>
                <w:rFonts w:ascii="Arial" w:hAnsi="Arial" w:cs="Arial"/>
                <w:sz w:val="20"/>
              </w:rPr>
              <w:t xml:space="preserve"> for patients with relapsing-remitting multiple </w:t>
            </w:r>
            <w:proofErr w:type="spellStart"/>
            <w:r w:rsidRPr="00347546">
              <w:rPr>
                <w:rFonts w:ascii="Arial" w:hAnsi="Arial" w:cs="Arial"/>
                <w:sz w:val="20"/>
              </w:rPr>
              <w:t>scleroisis</w:t>
            </w:r>
            <w:proofErr w:type="spellEnd"/>
            <w:r w:rsidRPr="00347546">
              <w:rPr>
                <w:rFonts w:ascii="Arial" w:hAnsi="Arial" w:cs="Arial"/>
                <w:sz w:val="20"/>
              </w:rPr>
              <w:t>.</w:t>
            </w:r>
          </w:p>
          <w:p w:rsidR="0098248A" w:rsidRPr="00CA0C65" w:rsidRDefault="0098248A" w:rsidP="00CA0C65">
            <w:pPr>
              <w:rPr>
                <w:rFonts w:ascii="Arial" w:hAnsi="Arial" w:cs="Arial"/>
                <w:sz w:val="20"/>
                <w:highlight w:val="yellow"/>
              </w:rPr>
            </w:pPr>
          </w:p>
        </w:tc>
      </w:tr>
      <w:tr w:rsidR="00A02424" w:rsidRPr="00CA293C" w:rsidTr="000805C6">
        <w:trPr>
          <w:trHeight w:val="435"/>
        </w:trPr>
        <w:tc>
          <w:tcPr>
            <w:tcW w:w="2127" w:type="dxa"/>
            <w:vMerge w:val="restart"/>
          </w:tcPr>
          <w:p w:rsidR="00A02424" w:rsidRPr="00CA0C65" w:rsidRDefault="00A02424" w:rsidP="00CA0C65">
            <w:pPr>
              <w:contextualSpacing/>
              <w:rPr>
                <w:rFonts w:ascii="Arial" w:hAnsi="Arial" w:cs="Arial"/>
                <w:b/>
                <w:sz w:val="20"/>
              </w:rPr>
            </w:pPr>
            <w:r>
              <w:br w:type="page"/>
            </w:r>
            <w:r w:rsidRPr="00CA0C65">
              <w:rPr>
                <w:rFonts w:ascii="Arial" w:hAnsi="Arial" w:cs="Arial"/>
                <w:b/>
                <w:sz w:val="20"/>
              </w:rPr>
              <w:t>TALIGLUCERASE ALFA</w:t>
            </w:r>
          </w:p>
          <w:p w:rsidR="00A02424" w:rsidRPr="00CA0C65" w:rsidRDefault="00A02424" w:rsidP="00CA0C65">
            <w:pPr>
              <w:contextualSpacing/>
              <w:rPr>
                <w:rFonts w:ascii="Arial" w:hAnsi="Arial" w:cs="Arial"/>
                <w:sz w:val="20"/>
              </w:rPr>
            </w:pPr>
            <w:r w:rsidRPr="00CA0C65">
              <w:rPr>
                <w:rFonts w:ascii="Arial" w:hAnsi="Arial" w:cs="Arial"/>
                <w:sz w:val="20"/>
              </w:rPr>
              <w:t>200 units injection, 1 vial</w:t>
            </w:r>
          </w:p>
          <w:p w:rsidR="00A02424" w:rsidRPr="00CA0C65" w:rsidRDefault="00A02424" w:rsidP="00CA0C65">
            <w:pPr>
              <w:contextualSpacing/>
              <w:rPr>
                <w:rFonts w:ascii="Arial" w:hAnsi="Arial" w:cs="Arial"/>
                <w:sz w:val="20"/>
              </w:rPr>
            </w:pPr>
            <w:r w:rsidRPr="00CA0C65">
              <w:rPr>
                <w:rFonts w:ascii="Arial" w:hAnsi="Arial" w:cs="Arial"/>
                <w:sz w:val="20"/>
              </w:rPr>
              <w:t xml:space="preserve"> </w:t>
            </w:r>
          </w:p>
          <w:p w:rsidR="00A02424" w:rsidRPr="00CA0C65" w:rsidRDefault="00A02424" w:rsidP="00CA0C65">
            <w:pPr>
              <w:contextualSpacing/>
              <w:rPr>
                <w:rFonts w:ascii="Arial" w:hAnsi="Arial" w:cs="Arial"/>
                <w:sz w:val="20"/>
              </w:rPr>
            </w:pPr>
            <w:proofErr w:type="spellStart"/>
            <w:r w:rsidRPr="00CA0C65">
              <w:rPr>
                <w:rFonts w:ascii="Arial" w:hAnsi="Arial" w:cs="Arial"/>
                <w:sz w:val="20"/>
              </w:rPr>
              <w:t>Elelyso</w:t>
            </w:r>
            <w:proofErr w:type="spellEnd"/>
            <w:r w:rsidRPr="00CA0C65">
              <w:rPr>
                <w:rFonts w:ascii="Arial" w:hAnsi="Arial" w:cs="Arial"/>
                <w:sz w:val="20"/>
              </w:rPr>
              <w:t>®</w:t>
            </w:r>
          </w:p>
          <w:p w:rsidR="00A02424" w:rsidRPr="00CA0C65" w:rsidRDefault="00A02424" w:rsidP="00CA0C65">
            <w:pPr>
              <w:contextualSpacing/>
              <w:rPr>
                <w:rFonts w:ascii="Arial" w:hAnsi="Arial" w:cs="Arial"/>
                <w:sz w:val="20"/>
              </w:rPr>
            </w:pPr>
          </w:p>
          <w:p w:rsidR="00A02424" w:rsidRPr="00CA0C65" w:rsidRDefault="00A02424" w:rsidP="00CA0C65">
            <w:pPr>
              <w:contextualSpacing/>
              <w:rPr>
                <w:rFonts w:ascii="Arial" w:hAnsi="Arial" w:cs="Arial"/>
                <w:sz w:val="20"/>
              </w:rPr>
            </w:pPr>
            <w:r w:rsidRPr="00CA0C65">
              <w:rPr>
                <w:rFonts w:ascii="Arial" w:hAnsi="Arial" w:cs="Arial"/>
                <w:sz w:val="20"/>
              </w:rPr>
              <w:t>Pfizer Australia Pty Ltd</w:t>
            </w:r>
          </w:p>
          <w:p w:rsidR="00A02424" w:rsidRPr="00CA0C65" w:rsidRDefault="00A02424" w:rsidP="00CA0C65">
            <w:pPr>
              <w:contextualSpacing/>
              <w:rPr>
                <w:rFonts w:ascii="Arial" w:hAnsi="Arial" w:cs="Arial"/>
                <w:sz w:val="20"/>
              </w:rPr>
            </w:pPr>
          </w:p>
          <w:p w:rsidR="00A02424" w:rsidRPr="00CA0C65" w:rsidRDefault="00A02424" w:rsidP="00CA0C65">
            <w:pPr>
              <w:contextualSpacing/>
              <w:rPr>
                <w:rFonts w:ascii="Arial" w:hAnsi="Arial" w:cs="Arial"/>
                <w:sz w:val="20"/>
              </w:rPr>
            </w:pPr>
            <w:r w:rsidRPr="00CA0C65">
              <w:rPr>
                <w:rFonts w:ascii="Arial" w:hAnsi="Arial" w:cs="Arial"/>
                <w:sz w:val="20"/>
              </w:rPr>
              <w:t>New listing</w:t>
            </w:r>
          </w:p>
          <w:p w:rsidR="00A02424" w:rsidRPr="00CA0C65" w:rsidRDefault="00A02424" w:rsidP="00CA0C65">
            <w:pPr>
              <w:contextualSpacing/>
              <w:rPr>
                <w:rFonts w:ascii="Arial" w:hAnsi="Arial" w:cs="Arial"/>
                <w:sz w:val="20"/>
              </w:rPr>
            </w:pPr>
          </w:p>
          <w:p w:rsidR="00A02424" w:rsidRPr="00CA0C65" w:rsidRDefault="00A02424" w:rsidP="00CA0C65">
            <w:pPr>
              <w:contextualSpacing/>
              <w:rPr>
                <w:rFonts w:ascii="Arial" w:hAnsi="Arial" w:cs="Arial"/>
                <w:sz w:val="20"/>
                <w:highlight w:val="yellow"/>
              </w:rPr>
            </w:pPr>
            <w:r w:rsidRPr="00CA0C65">
              <w:rPr>
                <w:rFonts w:ascii="Arial" w:hAnsi="Arial" w:cs="Arial"/>
                <w:sz w:val="20"/>
              </w:rPr>
              <w:t>(Major submission)</w:t>
            </w:r>
          </w:p>
        </w:tc>
        <w:tc>
          <w:tcPr>
            <w:tcW w:w="2126" w:type="dxa"/>
            <w:vMerge w:val="restart"/>
          </w:tcPr>
          <w:p w:rsidR="00A02424" w:rsidRPr="00CA0C65" w:rsidRDefault="00A02424" w:rsidP="00CA0C65">
            <w:pPr>
              <w:rPr>
                <w:rFonts w:ascii="Arial" w:hAnsi="Arial" w:cs="Arial"/>
                <w:sz w:val="20"/>
                <w:highlight w:val="yellow"/>
              </w:rPr>
            </w:pPr>
            <w:r w:rsidRPr="00CA0C65">
              <w:rPr>
                <w:rFonts w:ascii="Arial" w:hAnsi="Arial" w:cs="Arial"/>
                <w:sz w:val="20"/>
              </w:rPr>
              <w:lastRenderedPageBreak/>
              <w:t xml:space="preserve">Long-term enzyme replacement therapy for adult and paediatric patients with a confirmed diagnosis of Type 1 </w:t>
            </w:r>
            <w:proofErr w:type="spellStart"/>
            <w:r w:rsidRPr="00CA0C65">
              <w:rPr>
                <w:rFonts w:ascii="Arial" w:hAnsi="Arial" w:cs="Arial"/>
                <w:sz w:val="20"/>
              </w:rPr>
              <w:lastRenderedPageBreak/>
              <w:t>Gaucher</w:t>
            </w:r>
            <w:proofErr w:type="spellEnd"/>
            <w:r w:rsidRPr="00CA0C65">
              <w:rPr>
                <w:rFonts w:ascii="Arial" w:hAnsi="Arial" w:cs="Arial"/>
                <w:sz w:val="20"/>
              </w:rPr>
              <w:t xml:space="preserve"> disease associated with at least one of the following: splenomegaly, hepatomegaly, anaemia, </w:t>
            </w:r>
            <w:proofErr w:type="spellStart"/>
            <w:r w:rsidRPr="00CA0C65">
              <w:rPr>
                <w:rFonts w:ascii="Arial" w:hAnsi="Arial" w:cs="Arial"/>
                <w:sz w:val="20"/>
              </w:rPr>
              <w:t>thrombocytopaenia</w:t>
            </w:r>
            <w:proofErr w:type="spellEnd"/>
            <w:r w:rsidRPr="00CA0C65">
              <w:rPr>
                <w:rFonts w:ascii="Arial" w:hAnsi="Arial" w:cs="Arial"/>
                <w:sz w:val="20"/>
              </w:rPr>
              <w:t>.</w:t>
            </w:r>
          </w:p>
        </w:tc>
        <w:tc>
          <w:tcPr>
            <w:tcW w:w="2126" w:type="dxa"/>
            <w:vMerge w:val="restart"/>
          </w:tcPr>
          <w:p w:rsidR="00A02424" w:rsidRPr="00CA0C65" w:rsidRDefault="00A02424" w:rsidP="00CA0C65">
            <w:pPr>
              <w:pStyle w:val="NormalWeb"/>
              <w:shd w:val="clear" w:color="auto" w:fill="FFFFFF"/>
              <w:spacing w:before="0" w:beforeAutospacing="0" w:after="0" w:afterAutospacing="0"/>
              <w:rPr>
                <w:rFonts w:ascii="Arial" w:hAnsi="Arial" w:cs="Arial"/>
                <w:strike/>
                <w:snapToGrid w:val="0"/>
                <w:sz w:val="20"/>
                <w:szCs w:val="20"/>
              </w:rPr>
            </w:pPr>
            <w:r w:rsidRPr="00CA0C65">
              <w:rPr>
                <w:rFonts w:ascii="Arial" w:hAnsi="Arial" w:cs="Arial"/>
                <w:sz w:val="20"/>
                <w:szCs w:val="20"/>
              </w:rPr>
              <w:lastRenderedPageBreak/>
              <w:t>Not currently PBS listed</w:t>
            </w:r>
          </w:p>
        </w:tc>
        <w:tc>
          <w:tcPr>
            <w:tcW w:w="3827" w:type="dxa"/>
          </w:tcPr>
          <w:p w:rsidR="00A02424" w:rsidRPr="00CA0C65" w:rsidRDefault="00A02424" w:rsidP="00CA0C65">
            <w:pPr>
              <w:keepLines/>
              <w:rPr>
                <w:rFonts w:ascii="Arial" w:hAnsi="Arial" w:cs="Arial"/>
                <w:sz w:val="20"/>
              </w:rPr>
            </w:pPr>
            <w:r w:rsidRPr="00CA0C65">
              <w:rPr>
                <w:rFonts w:ascii="Arial" w:hAnsi="Arial" w:cs="Arial"/>
                <w:sz w:val="20"/>
              </w:rPr>
              <w:t xml:space="preserve">Section 100 (Highly Specialised Drugs Program) listing for type 1 </w:t>
            </w:r>
            <w:proofErr w:type="spellStart"/>
            <w:r w:rsidRPr="00CA0C65">
              <w:rPr>
                <w:rFonts w:ascii="Arial" w:hAnsi="Arial" w:cs="Arial"/>
                <w:sz w:val="20"/>
              </w:rPr>
              <w:t>Gaucher</w:t>
            </w:r>
            <w:proofErr w:type="spellEnd"/>
            <w:r w:rsidRPr="00CA0C65">
              <w:rPr>
                <w:rFonts w:ascii="Arial" w:hAnsi="Arial" w:cs="Arial"/>
                <w:sz w:val="20"/>
              </w:rPr>
              <w:t xml:space="preserve"> disease</w:t>
            </w:r>
          </w:p>
        </w:tc>
        <w:tc>
          <w:tcPr>
            <w:tcW w:w="5245" w:type="dxa"/>
          </w:tcPr>
          <w:p w:rsidR="00A02424" w:rsidRDefault="00A02424" w:rsidP="002743B5">
            <w:pPr>
              <w:rPr>
                <w:rFonts w:ascii="Arial" w:hAnsi="Arial" w:cs="Arial"/>
                <w:sz w:val="20"/>
              </w:rPr>
            </w:pPr>
            <w:r w:rsidRPr="00CA0C65">
              <w:rPr>
                <w:rFonts w:ascii="Arial" w:hAnsi="Arial" w:cs="Arial"/>
                <w:sz w:val="20"/>
              </w:rPr>
              <w:t xml:space="preserve">The PBAC rejected the submission to list </w:t>
            </w:r>
            <w:proofErr w:type="spellStart"/>
            <w:r w:rsidRPr="00CA0C65">
              <w:rPr>
                <w:rFonts w:ascii="Arial" w:hAnsi="Arial" w:cs="Arial"/>
                <w:sz w:val="20"/>
              </w:rPr>
              <w:t>taliglucerase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on the PBS on the basis that </w:t>
            </w:r>
            <w:r>
              <w:rPr>
                <w:rFonts w:ascii="Arial" w:hAnsi="Arial" w:cs="Arial"/>
                <w:sz w:val="20"/>
              </w:rPr>
              <w:t>a</w:t>
            </w:r>
            <w:r w:rsidRPr="00CA0C65">
              <w:rPr>
                <w:rFonts w:ascii="Arial" w:hAnsi="Arial" w:cs="Arial"/>
                <w:sz w:val="20"/>
              </w:rPr>
              <w:t xml:space="preserve">lthough the PBAC accepted that </w:t>
            </w:r>
            <w:proofErr w:type="spellStart"/>
            <w:r w:rsidRPr="00CA0C65">
              <w:rPr>
                <w:rFonts w:ascii="Arial" w:hAnsi="Arial" w:cs="Arial"/>
                <w:sz w:val="20"/>
              </w:rPr>
              <w:t>taliglucerase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provides a clinical benefit to patients, the clinical claim that </w:t>
            </w:r>
            <w:proofErr w:type="spellStart"/>
            <w:r w:rsidRPr="00CA0C65">
              <w:rPr>
                <w:rFonts w:ascii="Arial" w:hAnsi="Arial" w:cs="Arial"/>
                <w:sz w:val="20"/>
              </w:rPr>
              <w:t>taliglucerase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provides equivalent health outcomes to </w:t>
            </w:r>
            <w:proofErr w:type="spellStart"/>
            <w:r w:rsidRPr="00CA0C65">
              <w:rPr>
                <w:rFonts w:ascii="Arial" w:hAnsi="Arial" w:cs="Arial"/>
                <w:sz w:val="20"/>
              </w:rPr>
              <w:t>imiglucerase</w:t>
            </w:r>
            <w:proofErr w:type="spellEnd"/>
            <w:r w:rsidRPr="00CA0C65">
              <w:rPr>
                <w:rFonts w:ascii="Arial" w:hAnsi="Arial" w:cs="Arial"/>
                <w:sz w:val="20"/>
              </w:rPr>
              <w:t xml:space="preserve"> and </w:t>
            </w:r>
            <w:proofErr w:type="spellStart"/>
            <w:r w:rsidRPr="00CA0C65">
              <w:rPr>
                <w:rFonts w:ascii="Arial" w:hAnsi="Arial" w:cs="Arial"/>
                <w:sz w:val="20"/>
              </w:rPr>
              <w:t>velaglucerase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was </w:t>
            </w:r>
            <w:r>
              <w:rPr>
                <w:rFonts w:ascii="Arial" w:hAnsi="Arial" w:cs="Arial"/>
                <w:sz w:val="20"/>
              </w:rPr>
              <w:t>weakened by the</w:t>
            </w:r>
            <w:r w:rsidRPr="00CA0C65">
              <w:rPr>
                <w:rFonts w:ascii="Arial" w:hAnsi="Arial" w:cs="Arial"/>
                <w:sz w:val="20"/>
              </w:rPr>
              <w:t xml:space="preserve"> </w:t>
            </w:r>
            <w:r>
              <w:rPr>
                <w:rFonts w:ascii="Arial" w:hAnsi="Arial" w:cs="Arial"/>
                <w:sz w:val="20"/>
              </w:rPr>
              <w:t xml:space="preserve">limited </w:t>
            </w:r>
            <w:r w:rsidRPr="00CA0C65">
              <w:rPr>
                <w:rFonts w:ascii="Arial" w:hAnsi="Arial" w:cs="Arial"/>
                <w:sz w:val="20"/>
              </w:rPr>
              <w:lastRenderedPageBreak/>
              <w:t xml:space="preserve">comparability of the results between the trials.  </w:t>
            </w:r>
          </w:p>
          <w:p w:rsidR="00A02424" w:rsidRPr="00CA0C65" w:rsidRDefault="00A02424" w:rsidP="002743B5">
            <w:pPr>
              <w:rPr>
                <w:rFonts w:ascii="Arial" w:hAnsi="Arial" w:cs="Arial"/>
                <w:sz w:val="20"/>
                <w:highlight w:val="yellow"/>
              </w:rPr>
            </w:pPr>
          </w:p>
        </w:tc>
      </w:tr>
      <w:tr w:rsidR="00A02424" w:rsidRPr="00CA293C" w:rsidTr="000805C6">
        <w:trPr>
          <w:trHeight w:val="433"/>
        </w:trPr>
        <w:tc>
          <w:tcPr>
            <w:tcW w:w="2127" w:type="dxa"/>
            <w:vMerge/>
          </w:tcPr>
          <w:p w:rsidR="00A02424" w:rsidRPr="00CA0C65" w:rsidRDefault="00A02424" w:rsidP="00CA0C65">
            <w:pPr>
              <w:rPr>
                <w:rFonts w:ascii="Arial" w:hAnsi="Arial" w:cs="Arial"/>
                <w:sz w:val="20"/>
              </w:rPr>
            </w:pPr>
          </w:p>
        </w:tc>
        <w:tc>
          <w:tcPr>
            <w:tcW w:w="2126" w:type="dxa"/>
            <w:vMerge/>
          </w:tcPr>
          <w:p w:rsidR="00A02424" w:rsidRPr="00CA0C65" w:rsidRDefault="00A02424" w:rsidP="00CA0C65">
            <w:pPr>
              <w:rPr>
                <w:rFonts w:ascii="Arial" w:hAnsi="Arial" w:cs="Arial"/>
                <w:sz w:val="20"/>
              </w:rPr>
            </w:pPr>
          </w:p>
        </w:tc>
        <w:tc>
          <w:tcPr>
            <w:tcW w:w="2126" w:type="dxa"/>
            <w:vMerge/>
          </w:tcPr>
          <w:p w:rsidR="00A02424" w:rsidRPr="00CA0C65" w:rsidRDefault="00A02424" w:rsidP="00CA0C65">
            <w:pPr>
              <w:rPr>
                <w:rFonts w:ascii="Arial" w:hAnsi="Arial" w:cs="Arial"/>
                <w:sz w:val="20"/>
              </w:rPr>
            </w:pPr>
          </w:p>
        </w:tc>
        <w:tc>
          <w:tcPr>
            <w:tcW w:w="3827" w:type="dxa"/>
          </w:tcPr>
          <w:p w:rsidR="00A02424" w:rsidRPr="00CA0C65" w:rsidRDefault="00A02424" w:rsidP="000805C6">
            <w:pPr>
              <w:pStyle w:val="ListBullet"/>
            </w:pPr>
            <w:r w:rsidRPr="00CA0C65">
              <w:t xml:space="preserve">Comparator:  </w:t>
            </w:r>
          </w:p>
          <w:p w:rsidR="00A02424" w:rsidRPr="00CA0C65" w:rsidRDefault="00A02424" w:rsidP="000805C6">
            <w:pPr>
              <w:pStyle w:val="ListBullet"/>
            </w:pPr>
            <w:proofErr w:type="spellStart"/>
            <w:r w:rsidRPr="00CA0C65">
              <w:t>Imiglucerase</w:t>
            </w:r>
            <w:proofErr w:type="spellEnd"/>
            <w:r w:rsidRPr="00CA0C65">
              <w:t xml:space="preserve"> and </w:t>
            </w:r>
            <w:proofErr w:type="spellStart"/>
            <w:r w:rsidRPr="00CA0C65">
              <w:t>velaglucerase</w:t>
            </w:r>
            <w:proofErr w:type="spellEnd"/>
            <w:r w:rsidRPr="00CA0C65">
              <w:t xml:space="preserve"> </w:t>
            </w:r>
            <w:proofErr w:type="spellStart"/>
            <w:r w:rsidRPr="00CA0C65">
              <w:t>alfa</w:t>
            </w:r>
            <w:proofErr w:type="spellEnd"/>
            <w:r w:rsidRPr="00CA0C65">
              <w:t>.</w:t>
            </w:r>
          </w:p>
        </w:tc>
        <w:tc>
          <w:tcPr>
            <w:tcW w:w="5245" w:type="dxa"/>
          </w:tcPr>
          <w:p w:rsidR="00A02424" w:rsidRPr="00CA0C65" w:rsidRDefault="00A02424" w:rsidP="002743B5">
            <w:pPr>
              <w:rPr>
                <w:rFonts w:ascii="Arial" w:hAnsi="Arial" w:cs="Arial"/>
                <w:sz w:val="20"/>
              </w:rPr>
            </w:pPr>
            <w:r w:rsidRPr="00CA0C65">
              <w:rPr>
                <w:rFonts w:ascii="Arial" w:hAnsi="Arial" w:cs="Arial"/>
                <w:sz w:val="20"/>
              </w:rPr>
              <w:t xml:space="preserve">The PBAC recognised that </w:t>
            </w:r>
            <w:proofErr w:type="spellStart"/>
            <w:r w:rsidRPr="00CA0C65">
              <w:rPr>
                <w:rFonts w:ascii="Arial" w:hAnsi="Arial" w:cs="Arial"/>
                <w:sz w:val="20"/>
              </w:rPr>
              <w:t>imiglucerase</w:t>
            </w:r>
            <w:proofErr w:type="spellEnd"/>
            <w:r w:rsidRPr="00CA0C65">
              <w:rPr>
                <w:rFonts w:ascii="Arial" w:hAnsi="Arial" w:cs="Arial"/>
                <w:sz w:val="20"/>
              </w:rPr>
              <w:t xml:space="preserve"> and </w:t>
            </w:r>
            <w:proofErr w:type="spellStart"/>
            <w:r w:rsidRPr="00CA0C65">
              <w:rPr>
                <w:rFonts w:ascii="Arial" w:hAnsi="Arial" w:cs="Arial"/>
                <w:sz w:val="20"/>
              </w:rPr>
              <w:t>velaglucerase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are not listed on the PBS and have not been considered to be cost-effective for listing on the PBS but agreed that these two treatments were the appropriate comparators.</w:t>
            </w:r>
          </w:p>
          <w:p w:rsidR="00A02424" w:rsidRPr="00CA0C65" w:rsidRDefault="00A02424" w:rsidP="002743B5">
            <w:pPr>
              <w:rPr>
                <w:rFonts w:ascii="Arial" w:hAnsi="Arial" w:cs="Arial"/>
                <w:sz w:val="20"/>
              </w:rPr>
            </w:pPr>
            <w:r w:rsidRPr="00CA0C65">
              <w:rPr>
                <w:rFonts w:ascii="Arial" w:hAnsi="Arial" w:cs="Arial"/>
                <w:sz w:val="20"/>
              </w:rPr>
              <w:t xml:space="preserve"> </w:t>
            </w:r>
          </w:p>
        </w:tc>
      </w:tr>
      <w:tr w:rsidR="00A02424" w:rsidRPr="00CA293C" w:rsidTr="000805C6">
        <w:trPr>
          <w:trHeight w:val="433"/>
        </w:trPr>
        <w:tc>
          <w:tcPr>
            <w:tcW w:w="2127" w:type="dxa"/>
            <w:vMerge/>
          </w:tcPr>
          <w:p w:rsidR="00A02424" w:rsidRPr="00CA0C65" w:rsidRDefault="00A02424" w:rsidP="00CA0C65">
            <w:pPr>
              <w:rPr>
                <w:rFonts w:ascii="Arial" w:hAnsi="Arial" w:cs="Arial"/>
                <w:sz w:val="20"/>
              </w:rPr>
            </w:pPr>
          </w:p>
        </w:tc>
        <w:tc>
          <w:tcPr>
            <w:tcW w:w="2126" w:type="dxa"/>
            <w:vMerge/>
          </w:tcPr>
          <w:p w:rsidR="00A02424" w:rsidRPr="00CA0C65" w:rsidRDefault="00A02424" w:rsidP="00CA0C65">
            <w:pPr>
              <w:rPr>
                <w:rFonts w:ascii="Arial" w:hAnsi="Arial" w:cs="Arial"/>
                <w:sz w:val="20"/>
              </w:rPr>
            </w:pPr>
          </w:p>
        </w:tc>
        <w:tc>
          <w:tcPr>
            <w:tcW w:w="2126" w:type="dxa"/>
            <w:vMerge/>
          </w:tcPr>
          <w:p w:rsidR="00A02424" w:rsidRPr="00CA0C65" w:rsidRDefault="00A02424" w:rsidP="00CA0C65">
            <w:pPr>
              <w:rPr>
                <w:rFonts w:ascii="Arial" w:hAnsi="Arial" w:cs="Arial"/>
                <w:sz w:val="20"/>
              </w:rPr>
            </w:pPr>
          </w:p>
        </w:tc>
        <w:tc>
          <w:tcPr>
            <w:tcW w:w="3827" w:type="dxa"/>
          </w:tcPr>
          <w:p w:rsidR="00A02424" w:rsidRPr="00CA0C65" w:rsidRDefault="00A02424" w:rsidP="000805C6">
            <w:pPr>
              <w:pStyle w:val="ListBullet"/>
            </w:pPr>
            <w:r w:rsidRPr="00CA0C65">
              <w:t xml:space="preserve">Clinical claim:  </w:t>
            </w:r>
          </w:p>
          <w:p w:rsidR="00A02424" w:rsidRPr="00CA0C65" w:rsidRDefault="00A02424" w:rsidP="000805C6">
            <w:pPr>
              <w:pStyle w:val="ListBullet"/>
            </w:pPr>
            <w:r w:rsidRPr="00CA0C65">
              <w:t xml:space="preserve">The resubmission claimed that </w:t>
            </w:r>
            <w:proofErr w:type="spellStart"/>
            <w:r w:rsidRPr="00CA0C65">
              <w:t>taliglucerase</w:t>
            </w:r>
            <w:proofErr w:type="spellEnd"/>
            <w:r w:rsidRPr="00CA0C65">
              <w:t xml:space="preserve"> </w:t>
            </w:r>
            <w:proofErr w:type="spellStart"/>
            <w:r w:rsidRPr="00CA0C65">
              <w:t>alfa</w:t>
            </w:r>
            <w:proofErr w:type="spellEnd"/>
            <w:r w:rsidRPr="00CA0C65">
              <w:t xml:space="preserve"> achieves similar efficacy outcomes to </w:t>
            </w:r>
            <w:proofErr w:type="spellStart"/>
            <w:r w:rsidRPr="00CA0C65">
              <w:t>imiglucerase</w:t>
            </w:r>
            <w:proofErr w:type="spellEnd"/>
            <w:r w:rsidRPr="00CA0C65">
              <w:t xml:space="preserve"> and </w:t>
            </w:r>
            <w:proofErr w:type="spellStart"/>
            <w:r w:rsidRPr="00CA0C65">
              <w:t>velaglucerase</w:t>
            </w:r>
            <w:proofErr w:type="spellEnd"/>
            <w:r w:rsidRPr="00CA0C65">
              <w:t xml:space="preserve"> with a non-inferior safety and tolerability profile.</w:t>
            </w:r>
          </w:p>
          <w:p w:rsidR="00A02424" w:rsidRPr="00CA0C65" w:rsidRDefault="00A02424" w:rsidP="000805C6">
            <w:pPr>
              <w:pStyle w:val="ListBullet"/>
            </w:pPr>
          </w:p>
        </w:tc>
        <w:tc>
          <w:tcPr>
            <w:tcW w:w="5245" w:type="dxa"/>
          </w:tcPr>
          <w:p w:rsidR="00A02424" w:rsidRPr="00CA0C65" w:rsidRDefault="00A02424" w:rsidP="002743B5">
            <w:pPr>
              <w:rPr>
                <w:rFonts w:ascii="Arial" w:hAnsi="Arial" w:cs="Arial"/>
                <w:sz w:val="20"/>
              </w:rPr>
            </w:pPr>
            <w:r w:rsidRPr="00CA0C65">
              <w:rPr>
                <w:rFonts w:ascii="Arial" w:hAnsi="Arial" w:cs="Arial"/>
                <w:sz w:val="20"/>
              </w:rPr>
              <w:t xml:space="preserve">Differences in baseline values, outcome measurements and methods of measurement of organ volume in the clinical trial data limited the comparability of results between the trials and made it difficult to </w:t>
            </w:r>
            <w:r>
              <w:rPr>
                <w:rFonts w:ascii="Arial" w:hAnsi="Arial" w:cs="Arial"/>
                <w:sz w:val="20"/>
              </w:rPr>
              <w:t xml:space="preserve">conclusively </w:t>
            </w:r>
            <w:r w:rsidRPr="00CA0C65">
              <w:rPr>
                <w:rFonts w:ascii="Arial" w:hAnsi="Arial" w:cs="Arial"/>
                <w:sz w:val="20"/>
              </w:rPr>
              <w:t xml:space="preserve">determine whether </w:t>
            </w:r>
            <w:proofErr w:type="spellStart"/>
            <w:r w:rsidRPr="00CA0C65">
              <w:rPr>
                <w:rFonts w:ascii="Arial" w:hAnsi="Arial" w:cs="Arial"/>
                <w:sz w:val="20"/>
              </w:rPr>
              <w:t>taliglucerase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is non-inferior to </w:t>
            </w:r>
            <w:proofErr w:type="spellStart"/>
            <w:r w:rsidRPr="00CA0C65">
              <w:rPr>
                <w:rFonts w:ascii="Arial" w:hAnsi="Arial" w:cs="Arial"/>
                <w:sz w:val="20"/>
              </w:rPr>
              <w:t>imiglucerase</w:t>
            </w:r>
            <w:proofErr w:type="spellEnd"/>
            <w:r w:rsidRPr="00CA0C65">
              <w:rPr>
                <w:rFonts w:ascii="Arial" w:hAnsi="Arial" w:cs="Arial"/>
                <w:sz w:val="20"/>
              </w:rPr>
              <w:t xml:space="preserve"> and </w:t>
            </w:r>
            <w:proofErr w:type="spellStart"/>
            <w:r w:rsidRPr="00CA0C65">
              <w:rPr>
                <w:rFonts w:ascii="Arial" w:hAnsi="Arial" w:cs="Arial"/>
                <w:sz w:val="20"/>
              </w:rPr>
              <w:t>velaglucerase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w:t>
            </w:r>
            <w:r>
              <w:rPr>
                <w:rFonts w:ascii="Arial" w:hAnsi="Arial" w:cs="Arial"/>
                <w:sz w:val="20"/>
              </w:rPr>
              <w:t>As t</w:t>
            </w:r>
            <w:r w:rsidRPr="00CA0C65">
              <w:rPr>
                <w:rFonts w:ascii="Arial" w:hAnsi="Arial" w:cs="Arial"/>
                <w:sz w:val="20"/>
              </w:rPr>
              <w:t xml:space="preserve">here were insufficient data available to allow a formal comparison of safety profiles of </w:t>
            </w:r>
            <w:proofErr w:type="spellStart"/>
            <w:r w:rsidRPr="00CA0C65">
              <w:rPr>
                <w:rFonts w:ascii="Arial" w:hAnsi="Arial" w:cs="Arial"/>
                <w:sz w:val="20"/>
              </w:rPr>
              <w:t>taliglucerase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w:t>
            </w:r>
            <w:proofErr w:type="spellStart"/>
            <w:r w:rsidRPr="00CA0C65">
              <w:rPr>
                <w:rFonts w:ascii="Arial" w:hAnsi="Arial" w:cs="Arial"/>
                <w:sz w:val="20"/>
              </w:rPr>
              <w:t>imiglucerase</w:t>
            </w:r>
            <w:proofErr w:type="spellEnd"/>
            <w:r w:rsidRPr="00CA0C65">
              <w:rPr>
                <w:rFonts w:ascii="Arial" w:hAnsi="Arial" w:cs="Arial"/>
                <w:sz w:val="20"/>
              </w:rPr>
              <w:t xml:space="preserve"> and </w:t>
            </w:r>
            <w:proofErr w:type="spellStart"/>
            <w:r w:rsidRPr="00CA0C65">
              <w:rPr>
                <w:rFonts w:ascii="Arial" w:hAnsi="Arial" w:cs="Arial"/>
                <w:sz w:val="20"/>
              </w:rPr>
              <w:t>velaglucerase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the PBAC could not </w:t>
            </w:r>
            <w:r>
              <w:rPr>
                <w:rFonts w:ascii="Arial" w:hAnsi="Arial" w:cs="Arial"/>
                <w:sz w:val="20"/>
              </w:rPr>
              <w:t>as</w:t>
            </w:r>
            <w:r w:rsidRPr="00CA0C65">
              <w:rPr>
                <w:rFonts w:ascii="Arial" w:hAnsi="Arial" w:cs="Arial"/>
                <w:sz w:val="20"/>
              </w:rPr>
              <w:t xml:space="preserve">certain that </w:t>
            </w:r>
            <w:proofErr w:type="spellStart"/>
            <w:r w:rsidRPr="00CA0C65">
              <w:rPr>
                <w:rFonts w:ascii="Arial" w:hAnsi="Arial" w:cs="Arial"/>
                <w:sz w:val="20"/>
              </w:rPr>
              <w:t>taliglucerase</w:t>
            </w:r>
            <w:proofErr w:type="spellEnd"/>
            <w:r w:rsidRPr="00CA0C65">
              <w:rPr>
                <w:rFonts w:ascii="Arial" w:hAnsi="Arial" w:cs="Arial"/>
                <w:sz w:val="20"/>
              </w:rPr>
              <w:t xml:space="preserve"> </w:t>
            </w:r>
            <w:proofErr w:type="spellStart"/>
            <w:r w:rsidRPr="00CA0C65">
              <w:rPr>
                <w:rFonts w:ascii="Arial" w:hAnsi="Arial" w:cs="Arial"/>
                <w:sz w:val="20"/>
              </w:rPr>
              <w:t>alfa</w:t>
            </w:r>
            <w:proofErr w:type="spellEnd"/>
            <w:r w:rsidRPr="00CA0C65">
              <w:rPr>
                <w:rFonts w:ascii="Arial" w:hAnsi="Arial" w:cs="Arial"/>
                <w:sz w:val="20"/>
              </w:rPr>
              <w:t xml:space="preserve"> has a non-inferior safety profile compared to the other two treatments.</w:t>
            </w:r>
          </w:p>
          <w:p w:rsidR="00A02424" w:rsidRPr="00CA0C65" w:rsidRDefault="00A02424" w:rsidP="002743B5">
            <w:pPr>
              <w:rPr>
                <w:rFonts w:ascii="Arial" w:hAnsi="Arial" w:cs="Arial"/>
                <w:sz w:val="20"/>
              </w:rPr>
            </w:pPr>
          </w:p>
        </w:tc>
      </w:tr>
      <w:tr w:rsidR="00A02424" w:rsidRPr="00CA293C" w:rsidTr="000805C6">
        <w:trPr>
          <w:trHeight w:val="433"/>
        </w:trPr>
        <w:tc>
          <w:tcPr>
            <w:tcW w:w="2127" w:type="dxa"/>
            <w:vMerge/>
          </w:tcPr>
          <w:p w:rsidR="00A02424" w:rsidRPr="00CA0C65" w:rsidRDefault="00A02424" w:rsidP="00CA0C65">
            <w:pPr>
              <w:rPr>
                <w:rFonts w:ascii="Arial" w:hAnsi="Arial" w:cs="Arial"/>
                <w:sz w:val="20"/>
              </w:rPr>
            </w:pPr>
          </w:p>
        </w:tc>
        <w:tc>
          <w:tcPr>
            <w:tcW w:w="2126" w:type="dxa"/>
            <w:vMerge/>
          </w:tcPr>
          <w:p w:rsidR="00A02424" w:rsidRPr="00CA0C65" w:rsidRDefault="00A02424" w:rsidP="00CA0C65">
            <w:pPr>
              <w:rPr>
                <w:rFonts w:ascii="Arial" w:hAnsi="Arial" w:cs="Arial"/>
                <w:sz w:val="20"/>
              </w:rPr>
            </w:pPr>
          </w:p>
        </w:tc>
        <w:tc>
          <w:tcPr>
            <w:tcW w:w="2126" w:type="dxa"/>
            <w:vMerge/>
          </w:tcPr>
          <w:p w:rsidR="00A02424" w:rsidRPr="00CA0C65" w:rsidRDefault="00A02424" w:rsidP="00CA0C65">
            <w:pPr>
              <w:rPr>
                <w:rFonts w:ascii="Arial" w:hAnsi="Arial" w:cs="Arial"/>
                <w:sz w:val="20"/>
              </w:rPr>
            </w:pPr>
          </w:p>
        </w:tc>
        <w:tc>
          <w:tcPr>
            <w:tcW w:w="3827" w:type="dxa"/>
          </w:tcPr>
          <w:p w:rsidR="00A02424" w:rsidRPr="00CA0C65" w:rsidRDefault="00A02424" w:rsidP="000805C6">
            <w:pPr>
              <w:pStyle w:val="ListBullet"/>
            </w:pPr>
            <w:r w:rsidRPr="00CA0C65">
              <w:t>Economic claim:</w:t>
            </w:r>
          </w:p>
          <w:p w:rsidR="00A02424" w:rsidRDefault="00A02424" w:rsidP="000805C6">
            <w:pPr>
              <w:pStyle w:val="ListBullet"/>
            </w:pPr>
            <w:r w:rsidRPr="00CA0C65">
              <w:t xml:space="preserve">Cost-minimisation analysis against </w:t>
            </w:r>
            <w:proofErr w:type="spellStart"/>
            <w:r w:rsidRPr="00CA0C65">
              <w:t>imiglucerase</w:t>
            </w:r>
            <w:proofErr w:type="spellEnd"/>
            <w:r w:rsidRPr="00CA0C65">
              <w:t xml:space="preserve"> and </w:t>
            </w:r>
            <w:proofErr w:type="spellStart"/>
            <w:r w:rsidRPr="00CA0C65">
              <w:t>velaglucerase</w:t>
            </w:r>
            <w:proofErr w:type="spellEnd"/>
            <w:r w:rsidRPr="00CA0C65">
              <w:t xml:space="preserve"> </w:t>
            </w:r>
            <w:proofErr w:type="spellStart"/>
            <w:r w:rsidRPr="00CA0C65">
              <w:t>alfa</w:t>
            </w:r>
            <w:proofErr w:type="spellEnd"/>
            <w:r w:rsidRPr="00CA0C65">
              <w:t>.</w:t>
            </w:r>
          </w:p>
          <w:p w:rsidR="000805C6" w:rsidRPr="00CA0C65" w:rsidRDefault="000805C6" w:rsidP="000805C6">
            <w:pPr>
              <w:pStyle w:val="ListBullet"/>
            </w:pPr>
          </w:p>
        </w:tc>
        <w:tc>
          <w:tcPr>
            <w:tcW w:w="5245" w:type="dxa"/>
          </w:tcPr>
          <w:p w:rsidR="00A02424" w:rsidRPr="00CA0C65" w:rsidRDefault="00A02424" w:rsidP="002743B5">
            <w:pPr>
              <w:rPr>
                <w:rFonts w:ascii="Arial" w:hAnsi="Arial" w:cs="Arial"/>
                <w:sz w:val="20"/>
              </w:rPr>
            </w:pPr>
            <w:r w:rsidRPr="00CA0C65">
              <w:rPr>
                <w:rFonts w:ascii="Arial" w:hAnsi="Arial" w:cs="Arial"/>
                <w:sz w:val="20"/>
              </w:rPr>
              <w:t xml:space="preserve">Not accepted.  </w:t>
            </w:r>
          </w:p>
        </w:tc>
      </w:tr>
      <w:tr w:rsidR="00613975" w:rsidRPr="00CA293C" w:rsidTr="000805C6">
        <w:trPr>
          <w:trHeight w:val="433"/>
        </w:trPr>
        <w:tc>
          <w:tcPr>
            <w:tcW w:w="2127" w:type="dxa"/>
            <w:vMerge/>
          </w:tcPr>
          <w:p w:rsidR="00613975" w:rsidRPr="00CA0C65" w:rsidRDefault="00613975" w:rsidP="00947987">
            <w:pPr>
              <w:rPr>
                <w:rFonts w:ascii="Arial" w:hAnsi="Arial" w:cs="Arial"/>
                <w:sz w:val="20"/>
              </w:rPr>
            </w:pPr>
          </w:p>
        </w:tc>
        <w:tc>
          <w:tcPr>
            <w:tcW w:w="2126" w:type="dxa"/>
            <w:vMerge/>
          </w:tcPr>
          <w:p w:rsidR="00613975" w:rsidRPr="00CA0C65" w:rsidRDefault="00613975" w:rsidP="00947987">
            <w:pPr>
              <w:rPr>
                <w:rFonts w:ascii="Arial" w:hAnsi="Arial" w:cs="Arial"/>
                <w:sz w:val="20"/>
              </w:rPr>
            </w:pPr>
          </w:p>
        </w:tc>
        <w:tc>
          <w:tcPr>
            <w:tcW w:w="2126" w:type="dxa"/>
            <w:vMerge/>
          </w:tcPr>
          <w:p w:rsidR="00613975" w:rsidRPr="00CA0C65" w:rsidRDefault="00613975" w:rsidP="00947987">
            <w:pPr>
              <w:rPr>
                <w:rFonts w:ascii="Arial" w:hAnsi="Arial" w:cs="Arial"/>
                <w:sz w:val="20"/>
              </w:rPr>
            </w:pPr>
          </w:p>
        </w:tc>
        <w:tc>
          <w:tcPr>
            <w:tcW w:w="3827" w:type="dxa"/>
          </w:tcPr>
          <w:p w:rsidR="00613975" w:rsidRPr="00CA0C65" w:rsidRDefault="00613975" w:rsidP="000805C6">
            <w:pPr>
              <w:pStyle w:val="ListBullet"/>
            </w:pPr>
            <w:r w:rsidRPr="00CA0C65">
              <w:t>Sponsor’s comments:</w:t>
            </w:r>
          </w:p>
          <w:p w:rsidR="00613975" w:rsidRPr="00CA0C65" w:rsidRDefault="00613975" w:rsidP="000805C6">
            <w:pPr>
              <w:pStyle w:val="ListBullet"/>
            </w:pPr>
          </w:p>
        </w:tc>
        <w:tc>
          <w:tcPr>
            <w:tcW w:w="5245" w:type="dxa"/>
          </w:tcPr>
          <w:p w:rsidR="00613975" w:rsidRDefault="004D08BF" w:rsidP="00223C4D">
            <w:pPr>
              <w:rPr>
                <w:rFonts w:ascii="Arial" w:hAnsi="Arial" w:cs="Arial"/>
                <w:sz w:val="20"/>
              </w:rPr>
            </w:pPr>
            <w:r w:rsidRPr="004D08BF">
              <w:rPr>
                <w:rFonts w:ascii="Arial" w:hAnsi="Arial" w:cs="Arial"/>
                <w:sz w:val="20"/>
              </w:rPr>
              <w:t>The sponsor had no comment.</w:t>
            </w:r>
          </w:p>
          <w:p w:rsidR="004D08BF" w:rsidRPr="004D08BF" w:rsidRDefault="004D08BF" w:rsidP="00223C4D">
            <w:pPr>
              <w:rPr>
                <w:rFonts w:ascii="Arial" w:hAnsi="Arial" w:cs="Arial"/>
                <w:sz w:val="20"/>
              </w:rPr>
            </w:pPr>
          </w:p>
        </w:tc>
      </w:tr>
    </w:tbl>
    <w:p w:rsidR="0078027D" w:rsidRPr="0010394D" w:rsidRDefault="0078027D" w:rsidP="002A7FDE">
      <w:pPr>
        <w:pStyle w:val="Title"/>
        <w:jc w:val="left"/>
      </w:pPr>
    </w:p>
    <w:sectPr w:rsidR="0078027D" w:rsidRPr="0010394D" w:rsidSect="000805C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F7" w:rsidRDefault="003335F7">
      <w:r>
        <w:separator/>
      </w:r>
    </w:p>
  </w:endnote>
  <w:endnote w:type="continuationSeparator" w:id="0">
    <w:p w:rsidR="003335F7" w:rsidRDefault="0033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04" w:rsidRDefault="00F45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E7E49">
      <w:rPr>
        <w:rFonts w:ascii="Arial" w:hAnsi="Arial" w:cs="Arial"/>
        <w:noProof/>
        <w:sz w:val="22"/>
      </w:rPr>
      <w:t>2</w:t>
    </w:r>
    <w:r w:rsidRPr="000805C6">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0E7E49">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F7" w:rsidRDefault="003335F7">
      <w:r>
        <w:separator/>
      </w:r>
    </w:p>
  </w:footnote>
  <w:footnote w:type="continuationSeparator" w:id="0">
    <w:p w:rsidR="003335F7" w:rsidRDefault="00333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04" w:rsidRDefault="00F45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Header"/>
      <w:jc w:val="center"/>
      <w:rPr>
        <w:rFonts w:ascii="Arial" w:hAnsi="Arial" w:cs="Arial"/>
        <w:b/>
        <w:sz w:val="20"/>
      </w:rPr>
    </w:pPr>
    <w:r w:rsidRPr="004C071C">
      <w:rPr>
        <w:rFonts w:ascii="Arial" w:hAnsi="Arial" w:cs="Arial"/>
        <w:b/>
        <w:sz w:val="20"/>
      </w:rPr>
      <w:t>N</w:t>
    </w:r>
    <w:r>
      <w:rPr>
        <w:rFonts w:ascii="Arial" w:hAnsi="Arial" w:cs="Arial"/>
        <w:b/>
        <w:sz w:val="20"/>
      </w:rPr>
      <w:t>OVEMBER 2014 PBAC OUTCOMES – SUBSEQUENT</w:t>
    </w:r>
    <w:r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613975" w:rsidP="00F45804">
    <w:pPr>
      <w:pStyle w:val="Heading1"/>
      <w:jc w:val="center"/>
    </w:pPr>
    <w:r w:rsidRPr="004C071C">
      <w:t>N</w:t>
    </w:r>
    <w:r w:rsidR="000805C6">
      <w:t>OVEMBER 2014 PBAC OUTCOMES – SUBSEQUENT</w:t>
    </w:r>
    <w:r w:rsidRPr="004C071C">
      <w:t xml:space="preserve"> DECISION</w:t>
    </w:r>
    <w:r w:rsidR="00B10521" w:rsidRPr="004C071C">
      <w:t>S</w:t>
    </w:r>
    <w:r w:rsidRPr="004C071C">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0">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8"/>
  </w:num>
  <w:num w:numId="4">
    <w:abstractNumId w:val="7"/>
  </w:num>
  <w:num w:numId="5">
    <w:abstractNumId w:val="2"/>
  </w:num>
  <w:num w:numId="6">
    <w:abstractNumId w:val="10"/>
  </w:num>
  <w:num w:numId="7">
    <w:abstractNumId w:val="5"/>
  </w:num>
  <w:num w:numId="8">
    <w:abstractNumId w:val="3"/>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634"/>
    <w:rsid w:val="00024F1C"/>
    <w:rsid w:val="00030555"/>
    <w:rsid w:val="00031E49"/>
    <w:rsid w:val="00046D30"/>
    <w:rsid w:val="000632B7"/>
    <w:rsid w:val="00063F01"/>
    <w:rsid w:val="000703F3"/>
    <w:rsid w:val="000805C6"/>
    <w:rsid w:val="0009305C"/>
    <w:rsid w:val="000B4313"/>
    <w:rsid w:val="000B6738"/>
    <w:rsid w:val="000D1304"/>
    <w:rsid w:val="000D3717"/>
    <w:rsid w:val="000E406F"/>
    <w:rsid w:val="000E52C4"/>
    <w:rsid w:val="000E7E49"/>
    <w:rsid w:val="0010394D"/>
    <w:rsid w:val="001047FA"/>
    <w:rsid w:val="00120488"/>
    <w:rsid w:val="00144E78"/>
    <w:rsid w:val="00170906"/>
    <w:rsid w:val="00173068"/>
    <w:rsid w:val="001810B2"/>
    <w:rsid w:val="001C0908"/>
    <w:rsid w:val="001D38D0"/>
    <w:rsid w:val="001F5344"/>
    <w:rsid w:val="002007BA"/>
    <w:rsid w:val="00204DB4"/>
    <w:rsid w:val="002075FB"/>
    <w:rsid w:val="00220228"/>
    <w:rsid w:val="00220C3F"/>
    <w:rsid w:val="00223C4D"/>
    <w:rsid w:val="00237031"/>
    <w:rsid w:val="00241E9E"/>
    <w:rsid w:val="002440EA"/>
    <w:rsid w:val="002460D4"/>
    <w:rsid w:val="00255313"/>
    <w:rsid w:val="00256ACE"/>
    <w:rsid w:val="002743B5"/>
    <w:rsid w:val="002861D6"/>
    <w:rsid w:val="00287BC5"/>
    <w:rsid w:val="002A1CF2"/>
    <w:rsid w:val="002A42C5"/>
    <w:rsid w:val="002A46E6"/>
    <w:rsid w:val="002A5152"/>
    <w:rsid w:val="002A7FDE"/>
    <w:rsid w:val="002E5B33"/>
    <w:rsid w:val="002F0F71"/>
    <w:rsid w:val="002F5086"/>
    <w:rsid w:val="002F62A6"/>
    <w:rsid w:val="00302B1F"/>
    <w:rsid w:val="00303527"/>
    <w:rsid w:val="00305656"/>
    <w:rsid w:val="00312E87"/>
    <w:rsid w:val="00320F76"/>
    <w:rsid w:val="00322CA5"/>
    <w:rsid w:val="003335F7"/>
    <w:rsid w:val="00337EC3"/>
    <w:rsid w:val="00347546"/>
    <w:rsid w:val="00367CA3"/>
    <w:rsid w:val="0039594A"/>
    <w:rsid w:val="0039641E"/>
    <w:rsid w:val="003B6CFA"/>
    <w:rsid w:val="003C3492"/>
    <w:rsid w:val="003E2DEC"/>
    <w:rsid w:val="003E3C69"/>
    <w:rsid w:val="003E5ACC"/>
    <w:rsid w:val="003F12A1"/>
    <w:rsid w:val="003F7763"/>
    <w:rsid w:val="004074CD"/>
    <w:rsid w:val="00416C9D"/>
    <w:rsid w:val="0043706A"/>
    <w:rsid w:val="00446F57"/>
    <w:rsid w:val="0044777F"/>
    <w:rsid w:val="00467522"/>
    <w:rsid w:val="00475539"/>
    <w:rsid w:val="00477C5E"/>
    <w:rsid w:val="004874F1"/>
    <w:rsid w:val="0049673E"/>
    <w:rsid w:val="004968F4"/>
    <w:rsid w:val="004A7506"/>
    <w:rsid w:val="004A76AD"/>
    <w:rsid w:val="004C071C"/>
    <w:rsid w:val="004C0A09"/>
    <w:rsid w:val="004C3700"/>
    <w:rsid w:val="004D08BF"/>
    <w:rsid w:val="004D2DFC"/>
    <w:rsid w:val="004E4BB3"/>
    <w:rsid w:val="004E58AE"/>
    <w:rsid w:val="004E61E5"/>
    <w:rsid w:val="004E7F92"/>
    <w:rsid w:val="004F22AF"/>
    <w:rsid w:val="004F53A2"/>
    <w:rsid w:val="005060C3"/>
    <w:rsid w:val="005156A1"/>
    <w:rsid w:val="00524927"/>
    <w:rsid w:val="005334F6"/>
    <w:rsid w:val="00533EC6"/>
    <w:rsid w:val="00551121"/>
    <w:rsid w:val="00556A91"/>
    <w:rsid w:val="0056006F"/>
    <w:rsid w:val="00565922"/>
    <w:rsid w:val="00575B97"/>
    <w:rsid w:val="00583A1F"/>
    <w:rsid w:val="00591511"/>
    <w:rsid w:val="005A4700"/>
    <w:rsid w:val="005B1359"/>
    <w:rsid w:val="005C51C0"/>
    <w:rsid w:val="005C529C"/>
    <w:rsid w:val="005C583B"/>
    <w:rsid w:val="005D0350"/>
    <w:rsid w:val="00606B1D"/>
    <w:rsid w:val="00613975"/>
    <w:rsid w:val="0062060A"/>
    <w:rsid w:val="006227C5"/>
    <w:rsid w:val="00636B27"/>
    <w:rsid w:val="006378CF"/>
    <w:rsid w:val="00655D5C"/>
    <w:rsid w:val="00670168"/>
    <w:rsid w:val="00674FEC"/>
    <w:rsid w:val="00680915"/>
    <w:rsid w:val="00695D28"/>
    <w:rsid w:val="006A4BE8"/>
    <w:rsid w:val="006C196C"/>
    <w:rsid w:val="006C1CD8"/>
    <w:rsid w:val="006E0C7B"/>
    <w:rsid w:val="006F3F91"/>
    <w:rsid w:val="006F40D1"/>
    <w:rsid w:val="00704ABF"/>
    <w:rsid w:val="00704E74"/>
    <w:rsid w:val="00720097"/>
    <w:rsid w:val="00735D52"/>
    <w:rsid w:val="00743998"/>
    <w:rsid w:val="00751128"/>
    <w:rsid w:val="0075364D"/>
    <w:rsid w:val="007572F6"/>
    <w:rsid w:val="007605AB"/>
    <w:rsid w:val="0076473F"/>
    <w:rsid w:val="00770B47"/>
    <w:rsid w:val="0078027D"/>
    <w:rsid w:val="00784382"/>
    <w:rsid w:val="0079164A"/>
    <w:rsid w:val="007A29FA"/>
    <w:rsid w:val="007A361E"/>
    <w:rsid w:val="007C0EDE"/>
    <w:rsid w:val="007D085A"/>
    <w:rsid w:val="0080031A"/>
    <w:rsid w:val="0080046E"/>
    <w:rsid w:val="008068F2"/>
    <w:rsid w:val="00815D6B"/>
    <w:rsid w:val="0081702A"/>
    <w:rsid w:val="00821E75"/>
    <w:rsid w:val="00826000"/>
    <w:rsid w:val="00842F8C"/>
    <w:rsid w:val="00850073"/>
    <w:rsid w:val="0086299E"/>
    <w:rsid w:val="0086603E"/>
    <w:rsid w:val="008A5929"/>
    <w:rsid w:val="008B0E22"/>
    <w:rsid w:val="008B7160"/>
    <w:rsid w:val="008C185A"/>
    <w:rsid w:val="008C6E23"/>
    <w:rsid w:val="008D676E"/>
    <w:rsid w:val="008D72BA"/>
    <w:rsid w:val="008E0965"/>
    <w:rsid w:val="009044AF"/>
    <w:rsid w:val="009224BE"/>
    <w:rsid w:val="00924932"/>
    <w:rsid w:val="00934AD5"/>
    <w:rsid w:val="00947987"/>
    <w:rsid w:val="00957F9F"/>
    <w:rsid w:val="00972B1B"/>
    <w:rsid w:val="0098248A"/>
    <w:rsid w:val="00991AFC"/>
    <w:rsid w:val="009B2F04"/>
    <w:rsid w:val="009B6E95"/>
    <w:rsid w:val="009B735A"/>
    <w:rsid w:val="009B7CBE"/>
    <w:rsid w:val="009C73A4"/>
    <w:rsid w:val="009C7FD0"/>
    <w:rsid w:val="009D1D30"/>
    <w:rsid w:val="009E299C"/>
    <w:rsid w:val="009E6539"/>
    <w:rsid w:val="009F0ED6"/>
    <w:rsid w:val="009F42BE"/>
    <w:rsid w:val="009F5E7E"/>
    <w:rsid w:val="00A02424"/>
    <w:rsid w:val="00A07C14"/>
    <w:rsid w:val="00A26805"/>
    <w:rsid w:val="00A42D88"/>
    <w:rsid w:val="00A55002"/>
    <w:rsid w:val="00A56ED7"/>
    <w:rsid w:val="00A62091"/>
    <w:rsid w:val="00A62D7E"/>
    <w:rsid w:val="00A706C5"/>
    <w:rsid w:val="00A74BD3"/>
    <w:rsid w:val="00A90F44"/>
    <w:rsid w:val="00A913CA"/>
    <w:rsid w:val="00AD3357"/>
    <w:rsid w:val="00AE346B"/>
    <w:rsid w:val="00AE3F52"/>
    <w:rsid w:val="00AF4A3C"/>
    <w:rsid w:val="00B10521"/>
    <w:rsid w:val="00B26FF7"/>
    <w:rsid w:val="00B43E46"/>
    <w:rsid w:val="00B44CA8"/>
    <w:rsid w:val="00B77A97"/>
    <w:rsid w:val="00B80FE3"/>
    <w:rsid w:val="00BC0474"/>
    <w:rsid w:val="00BC1FB7"/>
    <w:rsid w:val="00BC55C3"/>
    <w:rsid w:val="00BD6EBF"/>
    <w:rsid w:val="00BE58B8"/>
    <w:rsid w:val="00BE7D88"/>
    <w:rsid w:val="00C110F0"/>
    <w:rsid w:val="00C2561B"/>
    <w:rsid w:val="00C26A1C"/>
    <w:rsid w:val="00C333D1"/>
    <w:rsid w:val="00C355A7"/>
    <w:rsid w:val="00C4326C"/>
    <w:rsid w:val="00C44762"/>
    <w:rsid w:val="00C464A5"/>
    <w:rsid w:val="00C9315F"/>
    <w:rsid w:val="00C9450F"/>
    <w:rsid w:val="00C94D2C"/>
    <w:rsid w:val="00CA0C65"/>
    <w:rsid w:val="00CA2B5C"/>
    <w:rsid w:val="00CD3345"/>
    <w:rsid w:val="00CE3D26"/>
    <w:rsid w:val="00D06895"/>
    <w:rsid w:val="00D230A2"/>
    <w:rsid w:val="00D3127D"/>
    <w:rsid w:val="00D5330C"/>
    <w:rsid w:val="00D641C2"/>
    <w:rsid w:val="00D65DDC"/>
    <w:rsid w:val="00D85166"/>
    <w:rsid w:val="00D905C6"/>
    <w:rsid w:val="00DB0BAD"/>
    <w:rsid w:val="00DB3394"/>
    <w:rsid w:val="00DB589E"/>
    <w:rsid w:val="00DB63C7"/>
    <w:rsid w:val="00DD5B1D"/>
    <w:rsid w:val="00DD66E2"/>
    <w:rsid w:val="00DE6421"/>
    <w:rsid w:val="00DE6C5F"/>
    <w:rsid w:val="00DF703C"/>
    <w:rsid w:val="00E16367"/>
    <w:rsid w:val="00E224FF"/>
    <w:rsid w:val="00E239BA"/>
    <w:rsid w:val="00E331E0"/>
    <w:rsid w:val="00E47E9A"/>
    <w:rsid w:val="00E508BC"/>
    <w:rsid w:val="00E60ACD"/>
    <w:rsid w:val="00E7686D"/>
    <w:rsid w:val="00E77EAA"/>
    <w:rsid w:val="00E86609"/>
    <w:rsid w:val="00EA02A3"/>
    <w:rsid w:val="00EA6994"/>
    <w:rsid w:val="00EE1E65"/>
    <w:rsid w:val="00EE5442"/>
    <w:rsid w:val="00EF026E"/>
    <w:rsid w:val="00F20487"/>
    <w:rsid w:val="00F215D2"/>
    <w:rsid w:val="00F23F38"/>
    <w:rsid w:val="00F25545"/>
    <w:rsid w:val="00F40665"/>
    <w:rsid w:val="00F43732"/>
    <w:rsid w:val="00F45804"/>
    <w:rsid w:val="00F52E0A"/>
    <w:rsid w:val="00F72B54"/>
    <w:rsid w:val="00F75206"/>
    <w:rsid w:val="00F82673"/>
    <w:rsid w:val="00F83FA8"/>
    <w:rsid w:val="00F924D9"/>
    <w:rsid w:val="00FC4900"/>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2014-12-17T23:43:00Z</dcterms:created>
  <dcterms:modified xsi:type="dcterms:W3CDTF">2014-12-17T23:44:00Z</dcterms:modified>
</cp:coreProperties>
</file>