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Description w:val="November 2014 PBAC Meeting - Positive Recommendations"/>
      </w:tblPr>
      <w:tblGrid>
        <w:gridCol w:w="3118"/>
        <w:gridCol w:w="2262"/>
        <w:gridCol w:w="2987"/>
        <w:gridCol w:w="7192"/>
      </w:tblGrid>
      <w:tr w:rsidR="00FE54F6" w:rsidRPr="00FE04A4" w:rsidTr="00CB2D1B">
        <w:trPr>
          <w:cantSplit/>
          <w:tblHeader/>
        </w:trPr>
        <w:tc>
          <w:tcPr>
            <w:tcW w:w="3118" w:type="dxa"/>
            <w:tcMar>
              <w:top w:w="28" w:type="dxa"/>
              <w:bottom w:w="28" w:type="dxa"/>
            </w:tcMar>
          </w:tcPr>
          <w:p w:rsidR="00FE54F6" w:rsidRPr="00FE04A4" w:rsidRDefault="00477DE8" w:rsidP="002E307D">
            <w:pPr>
              <w:widowControl w:val="0"/>
              <w:jc w:val="center"/>
              <w:rPr>
                <w:rFonts w:ascii="Arial" w:hAnsi="Arial" w:cs="Arial"/>
                <w:b/>
              </w:rPr>
            </w:pPr>
            <w:r w:rsidRPr="00FE04A4">
              <w:rPr>
                <w:rFonts w:ascii="Arial" w:hAnsi="Arial" w:cs="Arial"/>
                <w:b/>
              </w:rPr>
              <w:t xml:space="preserve">DRUG, </w:t>
            </w:r>
            <w:r w:rsidR="00FE54F6" w:rsidRPr="00FE04A4">
              <w:rPr>
                <w:rFonts w:ascii="Arial" w:hAnsi="Arial" w:cs="Arial"/>
                <w:b/>
              </w:rPr>
              <w:t>SPONSOR</w:t>
            </w:r>
            <w:r w:rsidRPr="00FE04A4">
              <w:rPr>
                <w:rFonts w:ascii="Arial" w:hAnsi="Arial" w:cs="Arial"/>
                <w:b/>
              </w:rPr>
              <w:t>, TYPE OF SUBMISSION</w:t>
            </w:r>
          </w:p>
          <w:p w:rsidR="00FE54F6" w:rsidRPr="00FE04A4" w:rsidRDefault="00FE54F6" w:rsidP="002E307D">
            <w:pPr>
              <w:widowControl w:val="0"/>
              <w:jc w:val="center"/>
              <w:rPr>
                <w:rFonts w:ascii="Arial" w:hAnsi="Arial" w:cs="Arial"/>
                <w:snapToGrid w:val="0"/>
                <w:lang w:eastAsia="en-US"/>
              </w:rPr>
            </w:pPr>
          </w:p>
          <w:p w:rsidR="00FE54F6" w:rsidRPr="00FE04A4" w:rsidRDefault="00FE54F6" w:rsidP="002E307D">
            <w:pPr>
              <w:widowControl w:val="0"/>
              <w:jc w:val="center"/>
              <w:rPr>
                <w:rFonts w:ascii="Arial" w:hAnsi="Arial" w:cs="Arial"/>
                <w:b/>
              </w:rPr>
            </w:pPr>
          </w:p>
        </w:tc>
        <w:tc>
          <w:tcPr>
            <w:tcW w:w="2262" w:type="dxa"/>
            <w:tcMar>
              <w:top w:w="28" w:type="dxa"/>
              <w:bottom w:w="28" w:type="dxa"/>
            </w:tcMar>
          </w:tcPr>
          <w:p w:rsidR="00FE54F6" w:rsidRPr="00FE04A4" w:rsidRDefault="00FE54F6" w:rsidP="00263F7F">
            <w:pPr>
              <w:widowControl w:val="0"/>
              <w:jc w:val="center"/>
              <w:rPr>
                <w:rFonts w:ascii="Arial" w:hAnsi="Arial" w:cs="Arial"/>
                <w:b/>
                <w:snapToGrid w:val="0"/>
                <w:lang w:eastAsia="en-US"/>
              </w:rPr>
            </w:pPr>
            <w:r w:rsidRPr="00FE04A4">
              <w:rPr>
                <w:rFonts w:ascii="Arial" w:hAnsi="Arial" w:cs="Arial"/>
                <w:b/>
                <w:snapToGrid w:val="0"/>
                <w:lang w:eastAsia="en-US"/>
              </w:rPr>
              <w:t>DRUG TYPE OR USE</w:t>
            </w:r>
          </w:p>
          <w:p w:rsidR="00FE54F6" w:rsidRPr="00FE04A4" w:rsidRDefault="00FE54F6" w:rsidP="00263F7F">
            <w:pPr>
              <w:widowControl w:val="0"/>
              <w:jc w:val="center"/>
              <w:rPr>
                <w:rFonts w:ascii="Arial" w:hAnsi="Arial" w:cs="Arial"/>
                <w:b/>
                <w:i/>
                <w:snapToGrid w:val="0"/>
                <w:lang w:eastAsia="en-US"/>
              </w:rPr>
            </w:pPr>
          </w:p>
        </w:tc>
        <w:tc>
          <w:tcPr>
            <w:tcW w:w="2987" w:type="dxa"/>
            <w:tcMar>
              <w:top w:w="28" w:type="dxa"/>
              <w:bottom w:w="28" w:type="dxa"/>
            </w:tcMar>
          </w:tcPr>
          <w:p w:rsidR="00FE54F6" w:rsidRPr="00FE04A4" w:rsidRDefault="00FE54F6" w:rsidP="00263F7F">
            <w:pPr>
              <w:widowControl w:val="0"/>
              <w:jc w:val="center"/>
              <w:rPr>
                <w:rFonts w:ascii="Arial" w:hAnsi="Arial" w:cs="Arial"/>
                <w:i/>
                <w:snapToGrid w:val="0"/>
                <w:lang w:eastAsia="en-US"/>
              </w:rPr>
            </w:pPr>
            <w:r w:rsidRPr="00FE04A4">
              <w:rPr>
                <w:rFonts w:ascii="Arial" w:hAnsi="Arial" w:cs="Arial"/>
                <w:b/>
                <w:snapToGrid w:val="0"/>
                <w:lang w:eastAsia="en-US"/>
              </w:rPr>
              <w:t>LISTING REQUESTED BY SPONSOR</w:t>
            </w:r>
            <w:r w:rsidR="00012FB9">
              <w:rPr>
                <w:rFonts w:ascii="Arial" w:hAnsi="Arial" w:cs="Arial"/>
                <w:b/>
                <w:snapToGrid w:val="0"/>
                <w:lang w:eastAsia="en-US"/>
              </w:rPr>
              <w:t xml:space="preserve"> / PURPOSE OF SUBMISSION</w:t>
            </w:r>
          </w:p>
          <w:p w:rsidR="00FE54F6" w:rsidRPr="00FE04A4" w:rsidRDefault="00FE54F6" w:rsidP="00263F7F">
            <w:pPr>
              <w:widowControl w:val="0"/>
              <w:rPr>
                <w:rFonts w:ascii="Arial" w:hAnsi="Arial" w:cs="Arial"/>
                <w:b/>
                <w:snapToGrid w:val="0"/>
                <w:lang w:eastAsia="en-US"/>
              </w:rPr>
            </w:pPr>
          </w:p>
        </w:tc>
        <w:tc>
          <w:tcPr>
            <w:tcW w:w="7192" w:type="dxa"/>
          </w:tcPr>
          <w:p w:rsidR="00FE54F6" w:rsidRPr="00FE04A4" w:rsidRDefault="00FE54F6" w:rsidP="002F1CF8">
            <w:pPr>
              <w:widowControl w:val="0"/>
              <w:jc w:val="center"/>
              <w:rPr>
                <w:rFonts w:ascii="Arial" w:hAnsi="Arial" w:cs="Arial"/>
                <w:b/>
                <w:snapToGrid w:val="0"/>
                <w:lang w:eastAsia="en-US"/>
              </w:rPr>
            </w:pPr>
            <w:r w:rsidRPr="00FE04A4">
              <w:rPr>
                <w:rFonts w:ascii="Arial" w:hAnsi="Arial" w:cs="Arial"/>
                <w:b/>
                <w:snapToGrid w:val="0"/>
                <w:lang w:eastAsia="en-US"/>
              </w:rPr>
              <w:t xml:space="preserve">PBAC </w:t>
            </w:r>
            <w:r w:rsidR="002F1CF8">
              <w:rPr>
                <w:rFonts w:ascii="Arial" w:hAnsi="Arial" w:cs="Arial"/>
                <w:b/>
                <w:snapToGrid w:val="0"/>
                <w:lang w:eastAsia="en-US"/>
              </w:rPr>
              <w:t>OUTCOME</w:t>
            </w:r>
          </w:p>
        </w:tc>
      </w:tr>
      <w:tr w:rsidR="00466A77"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466A77" w:rsidRPr="005F5B5B" w:rsidRDefault="00466A77" w:rsidP="00F271AB">
            <w:pPr>
              <w:rPr>
                <w:rFonts w:ascii="Arial" w:hAnsi="Arial" w:cs="Arial"/>
                <w:b/>
              </w:rPr>
            </w:pPr>
            <w:r w:rsidRPr="005F5B5B">
              <w:rPr>
                <w:rFonts w:ascii="Arial" w:hAnsi="Arial" w:cs="Arial"/>
                <w:b/>
              </w:rPr>
              <w:t>ADALIMUMAB</w:t>
            </w:r>
          </w:p>
          <w:p w:rsidR="00466A77" w:rsidRPr="009147E0" w:rsidRDefault="00466A77" w:rsidP="00F271AB">
            <w:pPr>
              <w:rPr>
                <w:rFonts w:ascii="Arial" w:hAnsi="Arial" w:cs="Arial"/>
              </w:rPr>
            </w:pPr>
            <w:r w:rsidRPr="009147E0">
              <w:rPr>
                <w:rFonts w:ascii="Arial" w:hAnsi="Arial" w:cs="Arial"/>
              </w:rPr>
              <w:t>20 mg/0.4 mL injection, 2 x 0.4 mL syringes</w:t>
            </w:r>
          </w:p>
          <w:p w:rsidR="00466A77" w:rsidRPr="009147E0" w:rsidRDefault="00466A77" w:rsidP="00F271AB">
            <w:pPr>
              <w:rPr>
                <w:rFonts w:ascii="Arial" w:hAnsi="Arial" w:cs="Arial"/>
              </w:rPr>
            </w:pPr>
            <w:r w:rsidRPr="009147E0">
              <w:rPr>
                <w:rFonts w:ascii="Arial" w:hAnsi="Arial" w:cs="Arial"/>
              </w:rPr>
              <w:t>40 mg/0.8 mL injection, 2 x 0.8 mL cartridges</w:t>
            </w:r>
          </w:p>
          <w:p w:rsidR="00466A77" w:rsidRPr="009147E0" w:rsidRDefault="00466A77" w:rsidP="00F271AB">
            <w:pPr>
              <w:rPr>
                <w:rFonts w:ascii="Arial" w:hAnsi="Arial" w:cs="Arial"/>
              </w:rPr>
            </w:pPr>
            <w:r w:rsidRPr="009147E0">
              <w:rPr>
                <w:rFonts w:ascii="Arial" w:hAnsi="Arial" w:cs="Arial"/>
              </w:rPr>
              <w:t>40 mg/0.8 mL injection, 2 x 0.8 mL syringes</w:t>
            </w:r>
          </w:p>
          <w:p w:rsidR="00466A77" w:rsidRPr="009147E0" w:rsidRDefault="00466A77" w:rsidP="00F271AB">
            <w:pPr>
              <w:rPr>
                <w:rFonts w:ascii="Arial" w:hAnsi="Arial" w:cs="Arial"/>
              </w:rPr>
            </w:pPr>
            <w:r w:rsidRPr="009147E0">
              <w:rPr>
                <w:rFonts w:ascii="Arial" w:hAnsi="Arial" w:cs="Arial"/>
              </w:rPr>
              <w:t>40 mg/0.8 mL injection, 6 x 0.8 mL cartridges</w:t>
            </w:r>
          </w:p>
          <w:p w:rsidR="00466A77" w:rsidRPr="009147E0" w:rsidRDefault="00466A77" w:rsidP="00F271AB">
            <w:pPr>
              <w:rPr>
                <w:rFonts w:ascii="Arial" w:hAnsi="Arial" w:cs="Arial"/>
              </w:rPr>
            </w:pPr>
            <w:r w:rsidRPr="009147E0">
              <w:rPr>
                <w:rFonts w:ascii="Arial" w:hAnsi="Arial" w:cs="Arial"/>
              </w:rPr>
              <w:t>40 mg/0.8 mL injection, 6 x 0.8 mL syringes</w:t>
            </w:r>
          </w:p>
          <w:p w:rsidR="00466A77" w:rsidRPr="009147E0" w:rsidRDefault="00466A77" w:rsidP="00F271AB">
            <w:pPr>
              <w:rPr>
                <w:rFonts w:ascii="Arial" w:hAnsi="Arial" w:cs="Arial"/>
              </w:rPr>
            </w:pPr>
            <w:r w:rsidRPr="009147E0">
              <w:rPr>
                <w:rFonts w:ascii="Arial" w:hAnsi="Arial" w:cs="Arial"/>
              </w:rPr>
              <w:t> </w:t>
            </w:r>
          </w:p>
          <w:p w:rsidR="00466A77" w:rsidRPr="009147E0" w:rsidRDefault="00466A77" w:rsidP="00F271AB">
            <w:pPr>
              <w:rPr>
                <w:rFonts w:ascii="Arial" w:hAnsi="Arial" w:cs="Arial"/>
              </w:rPr>
            </w:pPr>
            <w:r w:rsidRPr="009147E0">
              <w:rPr>
                <w:rFonts w:ascii="Arial" w:hAnsi="Arial" w:cs="Arial"/>
              </w:rPr>
              <w:t>Humira®</w:t>
            </w:r>
          </w:p>
          <w:p w:rsidR="00466A77" w:rsidRPr="009147E0" w:rsidRDefault="00466A77" w:rsidP="00F271AB">
            <w:pPr>
              <w:rPr>
                <w:rFonts w:ascii="Arial" w:hAnsi="Arial" w:cs="Arial"/>
              </w:rPr>
            </w:pPr>
            <w:r w:rsidRPr="009147E0">
              <w:rPr>
                <w:rFonts w:ascii="Arial" w:hAnsi="Arial" w:cs="Arial"/>
              </w:rPr>
              <w:t> </w:t>
            </w:r>
          </w:p>
          <w:p w:rsidR="00466A77" w:rsidRPr="009147E0" w:rsidRDefault="00466A77" w:rsidP="00F271AB">
            <w:pPr>
              <w:rPr>
                <w:rFonts w:ascii="Arial" w:hAnsi="Arial" w:cs="Arial"/>
              </w:rPr>
            </w:pPr>
            <w:r w:rsidRPr="009147E0">
              <w:rPr>
                <w:rFonts w:ascii="Arial" w:hAnsi="Arial" w:cs="Arial"/>
              </w:rPr>
              <w:t>AbbVie Pty Ltd</w:t>
            </w:r>
          </w:p>
          <w:p w:rsidR="00466A77" w:rsidRPr="009147E0" w:rsidRDefault="00466A77" w:rsidP="00F271AB">
            <w:pPr>
              <w:rPr>
                <w:rFonts w:ascii="Arial" w:hAnsi="Arial" w:cs="Arial"/>
              </w:rPr>
            </w:pPr>
          </w:p>
          <w:p w:rsidR="00466A77" w:rsidRPr="009147E0" w:rsidRDefault="00466A77" w:rsidP="00F271AB">
            <w:pPr>
              <w:rPr>
                <w:rFonts w:ascii="Arial" w:hAnsi="Arial" w:cs="Arial"/>
              </w:rPr>
            </w:pPr>
            <w:r w:rsidRPr="009147E0">
              <w:rPr>
                <w:rFonts w:ascii="Arial" w:hAnsi="Arial" w:cs="Arial"/>
              </w:rPr>
              <w:t>Change to listing</w:t>
            </w:r>
          </w:p>
          <w:p w:rsidR="00466A77" w:rsidRPr="009147E0" w:rsidRDefault="00466A77" w:rsidP="00F271AB">
            <w:pPr>
              <w:rPr>
                <w:rFonts w:ascii="Arial" w:hAnsi="Arial" w:cs="Arial"/>
              </w:rPr>
            </w:pPr>
          </w:p>
          <w:p w:rsidR="00466A77" w:rsidRPr="009147E0" w:rsidRDefault="00466A77" w:rsidP="00F271AB">
            <w:pPr>
              <w:rPr>
                <w:rFonts w:ascii="Arial" w:hAnsi="Arial" w:cs="Arial"/>
              </w:rPr>
            </w:pPr>
            <w:r w:rsidRPr="009147E0">
              <w:rPr>
                <w:rFonts w:ascii="Arial" w:hAnsi="Arial" w:cs="Arial"/>
              </w:rPr>
              <w:t>(Major submission)</w:t>
            </w:r>
          </w:p>
          <w:p w:rsidR="00466A77" w:rsidRPr="009147E0" w:rsidRDefault="00466A77" w:rsidP="00F271AB">
            <w:pPr>
              <w:rPr>
                <w:rFonts w:ascii="Arial" w:hAnsi="Arial" w:cs="Arial"/>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466A77" w:rsidRPr="009147E0" w:rsidRDefault="002F1CF8" w:rsidP="00263F7F">
            <w:pPr>
              <w:rPr>
                <w:rFonts w:ascii="Arial" w:hAnsi="Arial" w:cs="Arial"/>
              </w:rPr>
            </w:pPr>
            <w:r>
              <w:rPr>
                <w:rFonts w:ascii="Arial" w:hAnsi="Arial" w:cs="Arial"/>
              </w:rPr>
              <w:t xml:space="preserve">Paediatric Crohn </w:t>
            </w:r>
            <w:r w:rsidR="00466A77" w:rsidRPr="009147E0">
              <w:rPr>
                <w:rFonts w:ascii="Arial" w:hAnsi="Arial" w:cs="Arial"/>
              </w:rPr>
              <w:t>Disease</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466A77" w:rsidRPr="009147E0" w:rsidRDefault="00466A77" w:rsidP="00263F7F">
            <w:pPr>
              <w:rPr>
                <w:rFonts w:ascii="Arial" w:hAnsi="Arial" w:cs="Arial"/>
              </w:rPr>
            </w:pPr>
            <w:r w:rsidRPr="009147E0">
              <w:rPr>
                <w:rFonts w:ascii="Arial" w:hAnsi="Arial" w:cs="Arial"/>
              </w:rPr>
              <w:t>Authority Required listing for the treatment of paediatric Crohn disease in patients who meet certain criteria.</w:t>
            </w:r>
          </w:p>
        </w:tc>
        <w:tc>
          <w:tcPr>
            <w:tcW w:w="7192" w:type="dxa"/>
            <w:tcBorders>
              <w:top w:val="single" w:sz="4" w:space="0" w:color="auto"/>
              <w:left w:val="single" w:sz="4" w:space="0" w:color="auto"/>
              <w:bottom w:val="single" w:sz="4" w:space="0" w:color="auto"/>
              <w:right w:val="single" w:sz="4" w:space="0" w:color="auto"/>
            </w:tcBorders>
          </w:tcPr>
          <w:p w:rsidR="00466A77" w:rsidRPr="009147E0" w:rsidRDefault="00466A77" w:rsidP="00F271AB">
            <w:pPr>
              <w:rPr>
                <w:rFonts w:ascii="Arial" w:hAnsi="Arial" w:cs="Arial"/>
              </w:rPr>
            </w:pPr>
            <w:r w:rsidRPr="009147E0">
              <w:rPr>
                <w:rFonts w:ascii="Arial" w:hAnsi="Arial" w:cs="Arial"/>
              </w:rPr>
              <w:t>The PBAC recommended extending the current Section 85 listing of adalimumab to include listing for the treatm</w:t>
            </w:r>
            <w:r w:rsidR="002F1CF8">
              <w:rPr>
                <w:rFonts w:ascii="Arial" w:hAnsi="Arial" w:cs="Arial"/>
              </w:rPr>
              <w:t>ent of severe refractory Crohn</w:t>
            </w:r>
            <w:r w:rsidRPr="009147E0">
              <w:rPr>
                <w:rFonts w:ascii="Arial" w:hAnsi="Arial" w:cs="Arial"/>
              </w:rPr>
              <w:t xml:space="preserve"> disease in paediatric patients aged 6 to 17 years.  The PBAC recommended an Authority required (written-only) restriction for both initial and continuing treatment. </w:t>
            </w:r>
          </w:p>
          <w:p w:rsidR="00466A77" w:rsidRPr="009147E0" w:rsidRDefault="00466A77" w:rsidP="00F271AB">
            <w:pPr>
              <w:rPr>
                <w:rFonts w:ascii="Arial" w:hAnsi="Arial" w:cs="Arial"/>
              </w:rPr>
            </w:pPr>
          </w:p>
          <w:p w:rsidR="00466A77" w:rsidRPr="009147E0" w:rsidRDefault="00466A77" w:rsidP="00F271AB">
            <w:pPr>
              <w:rPr>
                <w:rFonts w:ascii="Arial" w:hAnsi="Arial" w:cs="Arial"/>
              </w:rPr>
            </w:pPr>
            <w:r w:rsidRPr="009147E0">
              <w:rPr>
                <w:rFonts w:ascii="Arial" w:hAnsi="Arial" w:cs="Arial"/>
              </w:rPr>
              <w:t>The PBAC recommended the listing of adalimumab on a cost-minimisation basis with infliximab.  The PBAC considered the equi-effective doses are:</w:t>
            </w:r>
          </w:p>
          <w:p w:rsidR="00466A77" w:rsidRPr="009147E0" w:rsidRDefault="00466A77" w:rsidP="009D3D0D">
            <w:pPr>
              <w:widowControl w:val="0"/>
              <w:numPr>
                <w:ilvl w:val="0"/>
                <w:numId w:val="26"/>
              </w:numPr>
              <w:ind w:left="138" w:hanging="138"/>
              <w:contextualSpacing/>
              <w:jc w:val="both"/>
              <w:rPr>
                <w:rFonts w:ascii="Arial" w:hAnsi="Arial" w:cs="Arial"/>
              </w:rPr>
            </w:pPr>
            <w:r w:rsidRPr="009147E0">
              <w:rPr>
                <w:rFonts w:ascii="Arial" w:hAnsi="Arial" w:cs="Arial"/>
              </w:rPr>
              <w:t>adalimumab – patients weighing less than 40 kg: 80 mg at week 0, 40 mg at week 2, then 20 mg every other week thereafter; patients weighing more than or equal to 40 kg: 160 mg at week 0, 80 mg at week 2, then 40 mg every other week thereafter; and</w:t>
            </w:r>
          </w:p>
          <w:p w:rsidR="00466A77" w:rsidRPr="009147E0" w:rsidRDefault="00466A77" w:rsidP="009D3D0D">
            <w:pPr>
              <w:widowControl w:val="0"/>
              <w:numPr>
                <w:ilvl w:val="0"/>
                <w:numId w:val="26"/>
              </w:numPr>
              <w:ind w:left="138" w:hanging="138"/>
              <w:rPr>
                <w:rFonts w:ascii="Arial" w:hAnsi="Arial" w:cs="Arial"/>
              </w:rPr>
            </w:pPr>
            <w:r w:rsidRPr="009147E0">
              <w:rPr>
                <w:rFonts w:ascii="Arial" w:hAnsi="Arial" w:cs="Arial"/>
              </w:rPr>
              <w:t>infliximab – 5 mg/kg at weeks 0, 2, 6 and every 8 weeks thereafter.</w:t>
            </w:r>
          </w:p>
        </w:tc>
      </w:tr>
      <w:tr w:rsidR="003549D1" w:rsidRPr="009147E0" w:rsidTr="00CB2D1B">
        <w:trPr>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549D1" w:rsidRPr="005F5B5B" w:rsidRDefault="003549D1" w:rsidP="003549D1">
            <w:pPr>
              <w:rPr>
                <w:rFonts w:ascii="Arial" w:hAnsi="Arial" w:cs="Arial"/>
                <w:b/>
              </w:rPr>
            </w:pPr>
            <w:r w:rsidRPr="005F5B5B">
              <w:rPr>
                <w:rFonts w:ascii="Arial" w:hAnsi="Arial" w:cs="Arial"/>
                <w:b/>
              </w:rPr>
              <w:t>AFLIBERCEPT</w:t>
            </w:r>
          </w:p>
          <w:p w:rsidR="003549D1" w:rsidRPr="009147E0" w:rsidRDefault="003549D1" w:rsidP="003549D1">
            <w:pPr>
              <w:rPr>
                <w:rFonts w:ascii="Arial" w:hAnsi="Arial" w:cs="Arial"/>
              </w:rPr>
            </w:pPr>
            <w:r w:rsidRPr="009147E0">
              <w:rPr>
                <w:rFonts w:ascii="Arial" w:hAnsi="Arial" w:cs="Arial"/>
              </w:rPr>
              <w:t>4 mg/0.1 mL injection, 1 x 0.1 mL vial</w:t>
            </w:r>
          </w:p>
          <w:p w:rsidR="003549D1" w:rsidRPr="009147E0" w:rsidRDefault="003549D1" w:rsidP="003549D1">
            <w:pPr>
              <w:rPr>
                <w:rFonts w:ascii="Arial" w:hAnsi="Arial" w:cs="Arial"/>
              </w:rPr>
            </w:pPr>
            <w:r w:rsidRPr="009147E0">
              <w:rPr>
                <w:rFonts w:ascii="Arial" w:hAnsi="Arial" w:cs="Arial"/>
              </w:rPr>
              <w:t>4 mg/0.1 mL injection, 1 x 0.90 mL syringe</w:t>
            </w:r>
          </w:p>
          <w:p w:rsidR="00EA7144" w:rsidRPr="009147E0" w:rsidRDefault="00EA7144"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Eylea®</w:t>
            </w:r>
          </w:p>
          <w:p w:rsidR="00EA7144" w:rsidRPr="009147E0" w:rsidRDefault="00EA7144"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Bayer Australia Ltd</w:t>
            </w:r>
          </w:p>
          <w:p w:rsidR="00EA7144" w:rsidRPr="009147E0" w:rsidRDefault="00EA7144"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Change to listing</w:t>
            </w:r>
          </w:p>
          <w:p w:rsidR="00EA7144" w:rsidRPr="009147E0" w:rsidRDefault="00EA7144"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(Major submission)</w:t>
            </w:r>
          </w:p>
          <w:p w:rsidR="003549D1" w:rsidRPr="009147E0" w:rsidRDefault="003549D1" w:rsidP="003549D1">
            <w:pPr>
              <w:rPr>
                <w:rFonts w:ascii="Arial" w:hAnsi="Arial" w:cs="Arial"/>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549D1" w:rsidRPr="009147E0" w:rsidRDefault="003549D1" w:rsidP="00263F7F">
            <w:pPr>
              <w:rPr>
                <w:rFonts w:ascii="Arial" w:hAnsi="Arial" w:cs="Arial"/>
              </w:rPr>
            </w:pPr>
            <w:r w:rsidRPr="009147E0">
              <w:rPr>
                <w:rFonts w:ascii="Arial" w:hAnsi="Arial" w:cs="Arial"/>
              </w:rPr>
              <w:t>Diabetic Macular Oedema</w:t>
            </w:r>
          </w:p>
          <w:p w:rsidR="003549D1" w:rsidRPr="009147E0" w:rsidRDefault="003549D1" w:rsidP="00263F7F">
            <w:pPr>
              <w:rPr>
                <w:rFonts w:ascii="Arial" w:hAnsi="Arial" w:cs="Arial"/>
              </w:rPr>
            </w:pP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549D1" w:rsidRPr="009147E0" w:rsidRDefault="003549D1" w:rsidP="00263F7F">
            <w:pPr>
              <w:rPr>
                <w:rFonts w:ascii="Arial" w:hAnsi="Arial" w:cs="Arial"/>
              </w:rPr>
            </w:pPr>
            <w:r w:rsidRPr="009147E0">
              <w:rPr>
                <w:rFonts w:ascii="Arial" w:hAnsi="Arial" w:cs="Arial"/>
              </w:rPr>
              <w:t>Authority Required listing for the treatment of diabetic macular oedema.</w:t>
            </w:r>
          </w:p>
          <w:p w:rsidR="003549D1" w:rsidRPr="009147E0" w:rsidRDefault="003549D1" w:rsidP="00263F7F">
            <w:pPr>
              <w:rPr>
                <w:rFonts w:ascii="Arial" w:hAnsi="Arial" w:cs="Arial"/>
              </w:rPr>
            </w:pPr>
          </w:p>
        </w:tc>
        <w:tc>
          <w:tcPr>
            <w:tcW w:w="7192" w:type="dxa"/>
            <w:tcBorders>
              <w:top w:val="single" w:sz="4" w:space="0" w:color="auto"/>
              <w:left w:val="single" w:sz="4" w:space="0" w:color="auto"/>
              <w:bottom w:val="single" w:sz="4" w:space="0" w:color="auto"/>
              <w:right w:val="single" w:sz="4" w:space="0" w:color="auto"/>
            </w:tcBorders>
          </w:tcPr>
          <w:p w:rsidR="003549D1" w:rsidRPr="009147E0" w:rsidRDefault="003549D1" w:rsidP="003549D1">
            <w:pPr>
              <w:rPr>
                <w:rFonts w:ascii="Arial" w:hAnsi="Arial" w:cs="Arial"/>
              </w:rPr>
            </w:pPr>
            <w:r w:rsidRPr="009147E0">
              <w:rPr>
                <w:rFonts w:ascii="Arial" w:hAnsi="Arial" w:cs="Arial"/>
              </w:rPr>
              <w:t>The PBAC recommended extending the listing of aflibercept as Section 85 Authority</w:t>
            </w:r>
            <w:r w:rsidR="002F1CF8">
              <w:rPr>
                <w:rFonts w:ascii="Arial" w:hAnsi="Arial" w:cs="Arial"/>
              </w:rPr>
              <w:t xml:space="preserve"> R</w:t>
            </w:r>
            <w:r w:rsidRPr="009147E0">
              <w:rPr>
                <w:rFonts w:ascii="Arial" w:hAnsi="Arial" w:cs="Arial"/>
              </w:rPr>
              <w:t xml:space="preserve">equired benefit to include treatment of a patient with visual impairment due to diabetic macular oedema.  The PBAC considered that </w:t>
            </w:r>
            <w:r w:rsidR="002F1CF8">
              <w:rPr>
                <w:rFonts w:ascii="Arial" w:hAnsi="Arial" w:cs="Arial"/>
              </w:rPr>
              <w:t>A</w:t>
            </w:r>
            <w:r w:rsidRPr="009147E0">
              <w:rPr>
                <w:rFonts w:ascii="Arial" w:hAnsi="Arial" w:cs="Arial"/>
              </w:rPr>
              <w:t xml:space="preserve">uthority applications through the PBS and Specialised Drugs Branch of the Department of Human Services would be appropriate for aflibercept, similar to administrative arrangements for ranibizumab and aflibercept in </w:t>
            </w:r>
            <w:r w:rsidR="002F1CF8" w:rsidRPr="002F1CF8">
              <w:rPr>
                <w:rFonts w:ascii="Arial" w:hAnsi="Arial" w:cs="Arial"/>
              </w:rPr>
              <w:t xml:space="preserve">age-related macular degeneration </w:t>
            </w:r>
            <w:r w:rsidR="002F1CF8">
              <w:rPr>
                <w:rFonts w:ascii="Arial" w:hAnsi="Arial" w:cs="Arial"/>
              </w:rPr>
              <w:t>(</w:t>
            </w:r>
            <w:r w:rsidRPr="009147E0">
              <w:rPr>
                <w:rFonts w:ascii="Arial" w:hAnsi="Arial" w:cs="Arial"/>
              </w:rPr>
              <w:t>AMD</w:t>
            </w:r>
            <w:r w:rsidR="002F1CF8">
              <w:rPr>
                <w:rFonts w:ascii="Arial" w:hAnsi="Arial" w:cs="Arial"/>
              </w:rPr>
              <w:t>)</w:t>
            </w:r>
            <w:r w:rsidRPr="009147E0">
              <w:rPr>
                <w:rFonts w:ascii="Arial" w:hAnsi="Arial" w:cs="Arial"/>
              </w:rPr>
              <w:t>.</w:t>
            </w:r>
          </w:p>
          <w:p w:rsidR="003549D1" w:rsidRPr="009147E0" w:rsidRDefault="003549D1"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The PBAC recommended the listing of aflibercept on a cost-minimisation basis with ranibizumab.  The PBAC determined that the equi-effective doses are aflibercept 2 mg injection</w:t>
            </w:r>
            <w:r w:rsidR="002F1CF8">
              <w:rPr>
                <w:rFonts w:ascii="Arial" w:hAnsi="Arial" w:cs="Arial"/>
              </w:rPr>
              <w:t xml:space="preserve"> : 0.5 mg ranibizumab injection.</w:t>
            </w:r>
          </w:p>
          <w:p w:rsidR="003549D1" w:rsidRPr="009147E0" w:rsidRDefault="003549D1"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The PBAC also considered aflibercept to be non-inferior to bevacizumab in terms of effectiveness and safety, at equi-effective dose</w:t>
            </w:r>
            <w:r w:rsidR="002F1CF8">
              <w:rPr>
                <w:rFonts w:ascii="Arial" w:hAnsi="Arial" w:cs="Arial"/>
              </w:rPr>
              <w:t>s of aflibercept 2 mg injection</w:t>
            </w:r>
            <w:r w:rsidRPr="009147E0">
              <w:rPr>
                <w:rFonts w:ascii="Arial" w:hAnsi="Arial" w:cs="Arial"/>
              </w:rPr>
              <w:t xml:space="preserve">: 1.5 mg bevacizumab injection. The PBAC noted the bevacizumab equi-effective dose for this submission is different with the submission for aflibercept for central retinal vein occlusion (CRVO) also considered on the </w:t>
            </w:r>
            <w:r w:rsidRPr="009147E0">
              <w:rPr>
                <w:rFonts w:ascii="Arial" w:hAnsi="Arial" w:cs="Arial"/>
              </w:rPr>
              <w:lastRenderedPageBreak/>
              <w:t>Novem</w:t>
            </w:r>
            <w:r w:rsidR="002F1CF8">
              <w:rPr>
                <w:rFonts w:ascii="Arial" w:hAnsi="Arial" w:cs="Arial"/>
              </w:rPr>
              <w:t>ber 2014 agenda</w:t>
            </w:r>
            <w:r w:rsidRPr="009147E0">
              <w:rPr>
                <w:rFonts w:ascii="Arial" w:hAnsi="Arial" w:cs="Arial"/>
              </w:rPr>
              <w:t>.  The PBAC considered that this was due to the different trial data available for bevacizumab for each indication</w:t>
            </w:r>
            <w:r w:rsidR="002F1CF8">
              <w:rPr>
                <w:rFonts w:ascii="Arial" w:hAnsi="Arial" w:cs="Arial"/>
              </w:rPr>
              <w:t>.</w:t>
            </w:r>
          </w:p>
          <w:p w:rsidR="003549D1" w:rsidRPr="009147E0" w:rsidRDefault="003549D1"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On the basis of direct evidence presented by the submission, for patients treated with aflibercept there would be:</w:t>
            </w:r>
          </w:p>
          <w:p w:rsidR="003549D1" w:rsidRPr="009147E0" w:rsidRDefault="003549D1" w:rsidP="003549D1">
            <w:pPr>
              <w:widowControl w:val="0"/>
              <w:numPr>
                <w:ilvl w:val="0"/>
                <w:numId w:val="23"/>
              </w:numPr>
              <w:autoSpaceDE w:val="0"/>
              <w:autoSpaceDN w:val="0"/>
              <w:adjustRightInd w:val="0"/>
              <w:ind w:left="142" w:hanging="142"/>
              <w:contextualSpacing/>
              <w:jc w:val="both"/>
              <w:rPr>
                <w:rFonts w:ascii="Arial" w:hAnsi="Arial" w:cs="Arial"/>
              </w:rPr>
            </w:pPr>
            <w:r w:rsidRPr="009147E0">
              <w:rPr>
                <w:rFonts w:ascii="Arial" w:hAnsi="Arial" w:cs="Arial"/>
              </w:rPr>
              <w:t xml:space="preserve">approximately a 10.01 letter gain in </w:t>
            </w:r>
            <w:r w:rsidR="00137C49">
              <w:rPr>
                <w:rFonts w:ascii="Arial" w:hAnsi="Arial" w:cs="Arial"/>
              </w:rPr>
              <w:t>best corrected visual acuity (</w:t>
            </w:r>
            <w:r w:rsidRPr="009147E0">
              <w:rPr>
                <w:rFonts w:ascii="Arial" w:hAnsi="Arial" w:cs="Arial"/>
              </w:rPr>
              <w:t>BCVA</w:t>
            </w:r>
            <w:r w:rsidR="00137C49">
              <w:rPr>
                <w:rFonts w:ascii="Arial" w:hAnsi="Arial" w:cs="Arial"/>
              </w:rPr>
              <w:t>)</w:t>
            </w:r>
            <w:r w:rsidRPr="009147E0">
              <w:rPr>
                <w:rFonts w:ascii="Arial" w:hAnsi="Arial" w:cs="Arial"/>
              </w:rPr>
              <w:t xml:space="preserve"> for aflibercept when compared to laser photocoagulation over a 12 month duration of follow-up</w:t>
            </w:r>
            <w:r w:rsidR="002F1CF8">
              <w:rPr>
                <w:rFonts w:ascii="Arial" w:hAnsi="Arial" w:cs="Arial"/>
              </w:rPr>
              <w:t>.</w:t>
            </w:r>
          </w:p>
          <w:p w:rsidR="003549D1" w:rsidRPr="009147E0" w:rsidRDefault="003549D1"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On the basis of the indirect comparison of aflibercept w</w:t>
            </w:r>
            <w:r w:rsidR="002F1CF8">
              <w:rPr>
                <w:rFonts w:ascii="Arial" w:hAnsi="Arial" w:cs="Arial"/>
              </w:rPr>
              <w:t>ith ranibizumab, there would be:</w:t>
            </w:r>
          </w:p>
          <w:p w:rsidR="003549D1" w:rsidRPr="009147E0" w:rsidRDefault="003549D1" w:rsidP="003549D1">
            <w:pPr>
              <w:widowControl w:val="0"/>
              <w:numPr>
                <w:ilvl w:val="0"/>
                <w:numId w:val="23"/>
              </w:numPr>
              <w:autoSpaceDE w:val="0"/>
              <w:autoSpaceDN w:val="0"/>
              <w:adjustRightInd w:val="0"/>
              <w:ind w:left="142" w:hanging="142"/>
              <w:contextualSpacing/>
              <w:jc w:val="both"/>
              <w:rPr>
                <w:rFonts w:ascii="Arial" w:hAnsi="Arial" w:cs="Arial"/>
              </w:rPr>
            </w:pPr>
            <w:r w:rsidRPr="009147E0">
              <w:rPr>
                <w:rFonts w:ascii="Arial" w:hAnsi="Arial" w:cs="Arial"/>
              </w:rPr>
              <w:t>approximately a 4.81 letter gain in BCVA for aflibercept when compared to ranibizumab over a 12 month duration of follow-up. However, this difference may be an artefact of the difference in trial populations and does not represent a clinically significant improvement in vision-related quality of life.</w:t>
            </w:r>
          </w:p>
          <w:p w:rsidR="003549D1" w:rsidRPr="009147E0" w:rsidRDefault="003549D1"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On the basis of the indirect comparison presented, the frequency of adverse effects over 12 months appears to be similar for patients treated with either aflibercept or ranibizumab.</w:t>
            </w:r>
          </w:p>
          <w:p w:rsidR="003549D1" w:rsidRPr="009147E0" w:rsidRDefault="003549D1" w:rsidP="003549D1">
            <w:pPr>
              <w:rPr>
                <w:rFonts w:ascii="Arial" w:hAnsi="Arial" w:cs="Arial"/>
              </w:rPr>
            </w:pPr>
          </w:p>
          <w:p w:rsidR="003549D1" w:rsidRPr="009147E0" w:rsidRDefault="003549D1" w:rsidP="003549D1">
            <w:pPr>
              <w:rPr>
                <w:rFonts w:ascii="Arial" w:hAnsi="Arial" w:cs="Arial"/>
              </w:rPr>
            </w:pPr>
            <w:r w:rsidRPr="009147E0">
              <w:rPr>
                <w:rFonts w:ascii="Arial" w:hAnsi="Arial" w:cs="Arial"/>
              </w:rPr>
              <w:t>On the basis of the information provided, there appears to be no difference in benefits and harms between aflibercept in comparison to bevacizumab.</w:t>
            </w:r>
          </w:p>
          <w:p w:rsidR="003549D1" w:rsidRPr="009147E0" w:rsidRDefault="003549D1" w:rsidP="003549D1">
            <w:pPr>
              <w:rPr>
                <w:rFonts w:ascii="Arial" w:hAnsi="Arial" w:cs="Arial"/>
              </w:rPr>
            </w:pPr>
          </w:p>
        </w:tc>
      </w:tr>
      <w:tr w:rsidR="00300D34" w:rsidRPr="009147E0" w:rsidTr="00CB2D1B">
        <w:trPr>
          <w:cantSplit/>
          <w:trHeight w:val="430"/>
        </w:trPr>
        <w:tc>
          <w:tcPr>
            <w:tcW w:w="3118" w:type="dxa"/>
            <w:tcBorders>
              <w:top w:val="single" w:sz="4" w:space="0" w:color="auto"/>
              <w:left w:val="single" w:sz="4" w:space="0" w:color="auto"/>
              <w:bottom w:val="single" w:sz="4" w:space="0" w:color="auto"/>
              <w:right w:val="single" w:sz="4" w:space="0" w:color="auto"/>
            </w:tcBorders>
            <w:tcMar>
              <w:top w:w="28" w:type="dxa"/>
              <w:bottom w:w="28" w:type="dxa"/>
            </w:tcMar>
          </w:tcPr>
          <w:p w:rsidR="00300D34" w:rsidRPr="005F5B5B" w:rsidRDefault="00300D34" w:rsidP="00300D34">
            <w:pPr>
              <w:rPr>
                <w:rFonts w:ascii="Arial" w:hAnsi="Arial" w:cs="Arial"/>
                <w:b/>
              </w:rPr>
            </w:pPr>
            <w:r w:rsidRPr="005F5B5B">
              <w:rPr>
                <w:rFonts w:ascii="Arial" w:hAnsi="Arial" w:cs="Arial"/>
                <w:b/>
              </w:rPr>
              <w:lastRenderedPageBreak/>
              <w:t>AFLIBERCEPT</w:t>
            </w:r>
          </w:p>
          <w:p w:rsidR="00300D34" w:rsidRPr="009147E0" w:rsidRDefault="00300D34" w:rsidP="00300D34">
            <w:pPr>
              <w:rPr>
                <w:rFonts w:ascii="Arial" w:hAnsi="Arial" w:cs="Arial"/>
              </w:rPr>
            </w:pPr>
            <w:r w:rsidRPr="009147E0">
              <w:rPr>
                <w:rFonts w:ascii="Arial" w:hAnsi="Arial" w:cs="Arial"/>
              </w:rPr>
              <w:t>4 mg/0.1 mL injection, 1 x 0.1 mL vial</w:t>
            </w:r>
          </w:p>
          <w:p w:rsidR="00300D34" w:rsidRPr="009147E0" w:rsidRDefault="00300D34" w:rsidP="00300D34">
            <w:pPr>
              <w:rPr>
                <w:rFonts w:ascii="Arial" w:hAnsi="Arial" w:cs="Arial"/>
              </w:rPr>
            </w:pPr>
            <w:r w:rsidRPr="009147E0">
              <w:rPr>
                <w:rFonts w:ascii="Arial" w:hAnsi="Arial" w:cs="Arial"/>
              </w:rPr>
              <w:t>4 mg/0.1 mL injection, 1 x 0.90 mL syringe</w:t>
            </w:r>
          </w:p>
          <w:p w:rsidR="00EA7144" w:rsidRPr="009147E0" w:rsidRDefault="00EA7144" w:rsidP="00300D34">
            <w:pPr>
              <w:rPr>
                <w:rFonts w:ascii="Arial" w:hAnsi="Arial" w:cs="Arial"/>
              </w:rPr>
            </w:pPr>
          </w:p>
          <w:p w:rsidR="00300D34" w:rsidRPr="009147E0" w:rsidRDefault="00300D34" w:rsidP="00300D34">
            <w:pPr>
              <w:rPr>
                <w:rFonts w:ascii="Arial" w:hAnsi="Arial" w:cs="Arial"/>
                <w:vertAlign w:val="superscript"/>
              </w:rPr>
            </w:pPr>
            <w:r w:rsidRPr="009147E0">
              <w:rPr>
                <w:rFonts w:ascii="Arial" w:hAnsi="Arial" w:cs="Arial"/>
              </w:rPr>
              <w:t>Eylea</w:t>
            </w:r>
            <w:r w:rsidRPr="009147E0">
              <w:rPr>
                <w:rFonts w:ascii="Arial" w:hAnsi="Arial" w:cs="Arial"/>
                <w:vertAlign w:val="superscript"/>
              </w:rPr>
              <w:t>®</w:t>
            </w:r>
          </w:p>
          <w:p w:rsidR="00EA7144" w:rsidRPr="009147E0" w:rsidRDefault="00EA7144" w:rsidP="00300D34">
            <w:pPr>
              <w:rPr>
                <w:rFonts w:ascii="Arial" w:hAnsi="Arial" w:cs="Arial"/>
              </w:rPr>
            </w:pPr>
          </w:p>
          <w:p w:rsidR="00300D34" w:rsidRPr="009147E0" w:rsidRDefault="00300D34" w:rsidP="00300D34">
            <w:pPr>
              <w:rPr>
                <w:rFonts w:ascii="Arial" w:hAnsi="Arial" w:cs="Arial"/>
              </w:rPr>
            </w:pPr>
            <w:r w:rsidRPr="009147E0">
              <w:rPr>
                <w:rFonts w:ascii="Arial" w:hAnsi="Arial" w:cs="Arial"/>
              </w:rPr>
              <w:t>Bayer Australia Ltd</w:t>
            </w:r>
          </w:p>
          <w:p w:rsidR="00300D34" w:rsidRPr="009147E0" w:rsidRDefault="00300D34" w:rsidP="00F271AB">
            <w:pPr>
              <w:rPr>
                <w:rFonts w:ascii="Arial" w:hAnsi="Arial" w:cs="Arial"/>
              </w:rPr>
            </w:pPr>
          </w:p>
          <w:p w:rsidR="00300D34" w:rsidRPr="009147E0" w:rsidRDefault="00300D34" w:rsidP="00300D34">
            <w:pPr>
              <w:rPr>
                <w:rFonts w:ascii="Arial" w:hAnsi="Arial" w:cs="Arial"/>
              </w:rPr>
            </w:pPr>
            <w:r w:rsidRPr="009147E0">
              <w:rPr>
                <w:rFonts w:ascii="Arial" w:hAnsi="Arial" w:cs="Arial"/>
              </w:rPr>
              <w:t>Change to listing</w:t>
            </w:r>
          </w:p>
          <w:p w:rsidR="00EA7144" w:rsidRPr="009147E0" w:rsidRDefault="00EA7144" w:rsidP="00300D34">
            <w:pPr>
              <w:rPr>
                <w:rFonts w:ascii="Arial" w:hAnsi="Arial" w:cs="Arial"/>
              </w:rPr>
            </w:pPr>
          </w:p>
          <w:p w:rsidR="00300D34" w:rsidRPr="009147E0" w:rsidRDefault="00300D34" w:rsidP="00300D34">
            <w:pPr>
              <w:rPr>
                <w:rFonts w:ascii="Arial" w:hAnsi="Arial" w:cs="Arial"/>
              </w:rPr>
            </w:pPr>
            <w:r w:rsidRPr="009147E0">
              <w:rPr>
                <w:rFonts w:ascii="Arial" w:hAnsi="Arial" w:cs="Arial"/>
              </w:rPr>
              <w:t>(Major submission)</w:t>
            </w:r>
          </w:p>
          <w:p w:rsidR="00300D34" w:rsidRPr="009147E0" w:rsidRDefault="00300D34" w:rsidP="00F271AB">
            <w:pPr>
              <w:rPr>
                <w:rFonts w:ascii="Arial" w:hAnsi="Arial" w:cs="Arial"/>
              </w:rPr>
            </w:pPr>
          </w:p>
        </w:tc>
        <w:tc>
          <w:tcPr>
            <w:tcW w:w="2262" w:type="dxa"/>
            <w:tcBorders>
              <w:top w:val="single" w:sz="4" w:space="0" w:color="auto"/>
              <w:left w:val="single" w:sz="4" w:space="0" w:color="auto"/>
              <w:bottom w:val="single" w:sz="4" w:space="0" w:color="auto"/>
              <w:right w:val="single" w:sz="4" w:space="0" w:color="auto"/>
            </w:tcBorders>
            <w:tcMar>
              <w:top w:w="28" w:type="dxa"/>
              <w:bottom w:w="28" w:type="dxa"/>
            </w:tcMar>
          </w:tcPr>
          <w:p w:rsidR="00300D34" w:rsidRPr="009147E0" w:rsidRDefault="00300D34" w:rsidP="00263F7F">
            <w:pPr>
              <w:rPr>
                <w:rFonts w:ascii="Arial" w:hAnsi="Arial" w:cs="Arial"/>
              </w:rPr>
            </w:pPr>
            <w:r w:rsidRPr="009147E0">
              <w:rPr>
                <w:rFonts w:ascii="Arial" w:hAnsi="Arial" w:cs="Arial"/>
              </w:rPr>
              <w:t>Macular Oedema secondary to central retinal vein occlusion</w:t>
            </w:r>
          </w:p>
        </w:tc>
        <w:tc>
          <w:tcPr>
            <w:tcW w:w="2987" w:type="dxa"/>
            <w:tcBorders>
              <w:top w:val="single" w:sz="4" w:space="0" w:color="auto"/>
              <w:left w:val="single" w:sz="4" w:space="0" w:color="auto"/>
              <w:bottom w:val="single" w:sz="4" w:space="0" w:color="auto"/>
              <w:right w:val="single" w:sz="4" w:space="0" w:color="auto"/>
            </w:tcBorders>
            <w:tcMar>
              <w:top w:w="28" w:type="dxa"/>
              <w:bottom w:w="28" w:type="dxa"/>
            </w:tcMar>
          </w:tcPr>
          <w:p w:rsidR="00300D34" w:rsidRPr="009147E0" w:rsidRDefault="00300D34" w:rsidP="00263F7F">
            <w:pPr>
              <w:rPr>
                <w:rFonts w:ascii="Arial" w:hAnsi="Arial" w:cs="Arial"/>
              </w:rPr>
            </w:pPr>
            <w:r w:rsidRPr="009147E0">
              <w:rPr>
                <w:rFonts w:ascii="Arial" w:hAnsi="Arial" w:cs="Arial"/>
              </w:rPr>
              <w:t>Authority Required listing for the treatment of central retinal vein oc</w:t>
            </w:r>
            <w:bookmarkStart w:id="0" w:name="_GoBack"/>
            <w:bookmarkEnd w:id="0"/>
            <w:r w:rsidRPr="009147E0">
              <w:rPr>
                <w:rFonts w:ascii="Arial" w:hAnsi="Arial" w:cs="Arial"/>
              </w:rPr>
              <w:t>clusion.</w:t>
            </w:r>
          </w:p>
        </w:tc>
        <w:tc>
          <w:tcPr>
            <w:tcW w:w="7192" w:type="dxa"/>
            <w:tcBorders>
              <w:top w:val="single" w:sz="4" w:space="0" w:color="auto"/>
              <w:left w:val="single" w:sz="4" w:space="0" w:color="auto"/>
              <w:bottom w:val="single" w:sz="4" w:space="0" w:color="auto"/>
              <w:right w:val="single" w:sz="4" w:space="0" w:color="auto"/>
            </w:tcBorders>
          </w:tcPr>
          <w:p w:rsidR="00300D34" w:rsidRPr="009147E0" w:rsidRDefault="00300D34" w:rsidP="00DC7AD9">
            <w:pPr>
              <w:jc w:val="both"/>
              <w:rPr>
                <w:rFonts w:ascii="Arial" w:hAnsi="Arial" w:cs="Arial"/>
                <w:bCs/>
              </w:rPr>
            </w:pPr>
            <w:r w:rsidRPr="009147E0">
              <w:rPr>
                <w:rFonts w:ascii="Arial" w:hAnsi="Arial" w:cs="Arial"/>
                <w:bCs/>
              </w:rPr>
              <w:t>The PBAC recommended extending the listing of aflibercept as Section 85 Authority required benefit to include treatment</w:t>
            </w:r>
            <w:r w:rsidRPr="009147E0">
              <w:rPr>
                <w:rFonts w:ascii="Arial" w:hAnsi="Arial" w:cs="Arial"/>
              </w:rPr>
              <w:t xml:space="preserve"> of a patient with macular oedema due to central retinal vein occlusion (CRVO).  The PBAC considered that authority applications through the PBS and Specialised Drugs Branch of the Department of Human Services would be appropriate for aflibercept, similar to administrative arrangements for ranibizumab and aflibercept in </w:t>
            </w:r>
            <w:r w:rsidR="005F5B5B" w:rsidRPr="002F1CF8">
              <w:rPr>
                <w:rFonts w:ascii="Arial" w:hAnsi="Arial" w:cs="Arial"/>
              </w:rPr>
              <w:t>age-related macular degeneration</w:t>
            </w:r>
            <w:r w:rsidR="005F5B5B" w:rsidRPr="009147E0">
              <w:rPr>
                <w:rFonts w:ascii="Arial" w:hAnsi="Arial" w:cs="Arial"/>
              </w:rPr>
              <w:t xml:space="preserve"> </w:t>
            </w:r>
            <w:r w:rsidR="005F5B5B">
              <w:rPr>
                <w:rFonts w:ascii="Arial" w:hAnsi="Arial" w:cs="Arial"/>
              </w:rPr>
              <w:t>(</w:t>
            </w:r>
            <w:r w:rsidRPr="009147E0">
              <w:rPr>
                <w:rFonts w:ascii="Arial" w:hAnsi="Arial" w:cs="Arial"/>
              </w:rPr>
              <w:t>AMD</w:t>
            </w:r>
            <w:r w:rsidR="005F5B5B">
              <w:rPr>
                <w:rFonts w:ascii="Arial" w:hAnsi="Arial" w:cs="Arial"/>
              </w:rPr>
              <w:t>)</w:t>
            </w:r>
            <w:r w:rsidRPr="009147E0">
              <w:rPr>
                <w:rFonts w:ascii="Arial" w:hAnsi="Arial" w:cs="Arial"/>
              </w:rPr>
              <w:t>.</w:t>
            </w:r>
          </w:p>
          <w:p w:rsidR="00300D34" w:rsidRPr="009147E0" w:rsidRDefault="00300D34" w:rsidP="00DC7AD9">
            <w:pPr>
              <w:jc w:val="both"/>
              <w:rPr>
                <w:rFonts w:ascii="Arial" w:hAnsi="Arial" w:cs="Arial"/>
                <w:bCs/>
              </w:rPr>
            </w:pPr>
          </w:p>
          <w:p w:rsidR="00300D34" w:rsidRPr="009147E0" w:rsidRDefault="00300D34" w:rsidP="00DC7AD9">
            <w:pPr>
              <w:jc w:val="both"/>
              <w:rPr>
                <w:rFonts w:ascii="Arial" w:hAnsi="Arial" w:cs="Arial"/>
                <w:bCs/>
              </w:rPr>
            </w:pPr>
            <w:r w:rsidRPr="009147E0">
              <w:rPr>
                <w:rFonts w:ascii="Arial" w:hAnsi="Arial" w:cs="Arial"/>
                <w:bCs/>
              </w:rPr>
              <w:t>The PBAC recommended the listing of aflibercept on a cost-minimi</w:t>
            </w:r>
            <w:r w:rsidR="009D3D0D">
              <w:rPr>
                <w:rFonts w:ascii="Arial" w:hAnsi="Arial" w:cs="Arial"/>
                <w:bCs/>
              </w:rPr>
              <w:t xml:space="preserve">sation basis with ranibizumab. </w:t>
            </w:r>
            <w:r w:rsidRPr="009147E0">
              <w:rPr>
                <w:rFonts w:ascii="Arial" w:hAnsi="Arial" w:cs="Arial"/>
                <w:bCs/>
              </w:rPr>
              <w:t>The PBAC determined that the equi-effective doses are aflibercept</w:t>
            </w:r>
            <w:r w:rsidR="002F1CF8">
              <w:rPr>
                <w:rFonts w:ascii="Arial" w:hAnsi="Arial" w:cs="Arial"/>
                <w:bCs/>
              </w:rPr>
              <w:t xml:space="preserve"> 2 mg injection</w:t>
            </w:r>
            <w:r w:rsidRPr="009147E0">
              <w:rPr>
                <w:rFonts w:ascii="Arial" w:hAnsi="Arial" w:cs="Arial"/>
                <w:bCs/>
              </w:rPr>
              <w:t xml:space="preserve"> : 0.5 mg ranibizumab injection.</w:t>
            </w:r>
          </w:p>
          <w:p w:rsidR="00300D34" w:rsidRPr="009147E0" w:rsidRDefault="00300D34" w:rsidP="00DC7AD9">
            <w:pPr>
              <w:jc w:val="both"/>
              <w:rPr>
                <w:rFonts w:ascii="Arial" w:hAnsi="Arial" w:cs="Arial"/>
                <w:bCs/>
              </w:rPr>
            </w:pPr>
          </w:p>
          <w:p w:rsidR="00300D34" w:rsidRPr="009147E0" w:rsidRDefault="00300D34" w:rsidP="00DC7AD9">
            <w:pPr>
              <w:jc w:val="both"/>
              <w:rPr>
                <w:rFonts w:ascii="Arial" w:hAnsi="Arial" w:cs="Arial"/>
                <w:bCs/>
              </w:rPr>
            </w:pPr>
            <w:r w:rsidRPr="009147E0">
              <w:rPr>
                <w:rFonts w:ascii="Arial" w:hAnsi="Arial" w:cs="Arial"/>
                <w:bCs/>
              </w:rPr>
              <w:t>The PBAC also considered aflibercept to be non-inferior to bevacizumab in terms of effectiveness and safety, at equi-effective doses of aflibercept 2 mg injection : 1.25 mg bevacizumab injection.</w:t>
            </w:r>
            <w:r w:rsidRPr="009147E0">
              <w:rPr>
                <w:rFonts w:ascii="Arial" w:hAnsi="Arial" w:cs="Arial"/>
              </w:rPr>
              <w:t xml:space="preserve"> The PBAC noted the bevacizumab equi-effective dose for this submission is different with the submission for aflibercept for diabetic macular oedema (DME) also consider</w:t>
            </w:r>
            <w:r w:rsidR="005F5B5B">
              <w:rPr>
                <w:rFonts w:ascii="Arial" w:hAnsi="Arial" w:cs="Arial"/>
              </w:rPr>
              <w:t>ed on the November 2014 agenda</w:t>
            </w:r>
            <w:r w:rsidRPr="009147E0">
              <w:rPr>
                <w:rFonts w:ascii="Arial" w:hAnsi="Arial" w:cs="Arial"/>
              </w:rPr>
              <w:t>. The PBAC considered that this was due to the different trial data available for b</w:t>
            </w:r>
            <w:r w:rsidR="00EA7C1F">
              <w:rPr>
                <w:rFonts w:ascii="Arial" w:hAnsi="Arial" w:cs="Arial"/>
              </w:rPr>
              <w:t>evacizumab for each indication.</w:t>
            </w:r>
          </w:p>
          <w:p w:rsidR="00300D34" w:rsidRPr="009147E0" w:rsidRDefault="00300D34" w:rsidP="00DC7AD9">
            <w:pPr>
              <w:jc w:val="both"/>
              <w:rPr>
                <w:rFonts w:ascii="Arial" w:hAnsi="Arial" w:cs="Arial"/>
                <w:b/>
                <w:bCs/>
              </w:rPr>
            </w:pPr>
          </w:p>
          <w:p w:rsidR="00300D34" w:rsidRDefault="00300D34" w:rsidP="00DC7AD9">
            <w:pPr>
              <w:jc w:val="both"/>
              <w:rPr>
                <w:rFonts w:ascii="Arial" w:hAnsi="Arial" w:cs="Arial"/>
              </w:rPr>
            </w:pPr>
            <w:r w:rsidRPr="009147E0">
              <w:rPr>
                <w:rFonts w:ascii="Arial" w:hAnsi="Arial" w:cs="Arial"/>
              </w:rPr>
              <w:t>On the basis of the indirect evidence using sham injection as the common reference, there appears to be no difference in benefits and harms between aflibercept in comparison to ranibizumab or bevacizumab.</w:t>
            </w:r>
          </w:p>
          <w:p w:rsidR="005F5B5B" w:rsidRPr="009147E0" w:rsidRDefault="005F5B5B" w:rsidP="00DC7AD9">
            <w:pPr>
              <w:jc w:val="both"/>
              <w:rPr>
                <w:rFonts w:ascii="Arial" w:hAnsi="Arial" w:cs="Arial"/>
              </w:rPr>
            </w:pPr>
          </w:p>
        </w:tc>
      </w:tr>
      <w:tr w:rsidR="00DA0AD6" w:rsidRPr="009147E0" w:rsidTr="00CB2D1B">
        <w:trPr>
          <w:cantSplit/>
          <w:trHeight w:val="430"/>
        </w:trPr>
        <w:tc>
          <w:tcPr>
            <w:tcW w:w="3118" w:type="dxa"/>
            <w:tcMar>
              <w:top w:w="28" w:type="dxa"/>
              <w:bottom w:w="28" w:type="dxa"/>
            </w:tcMar>
          </w:tcPr>
          <w:p w:rsidR="00DA0AD6" w:rsidRPr="005F5B5B" w:rsidRDefault="00DA0AD6" w:rsidP="004B6AC9">
            <w:pPr>
              <w:rPr>
                <w:rFonts w:ascii="Arial" w:hAnsi="Arial" w:cs="Arial"/>
                <w:b/>
              </w:rPr>
            </w:pPr>
            <w:r w:rsidRPr="005F5B5B">
              <w:rPr>
                <w:rFonts w:ascii="Arial" w:hAnsi="Arial" w:cs="Arial"/>
                <w:b/>
              </w:rPr>
              <w:t>ANAKINRA</w:t>
            </w:r>
          </w:p>
          <w:p w:rsidR="00DA0AD6" w:rsidRPr="009147E0" w:rsidRDefault="00DA0AD6" w:rsidP="004B6AC9">
            <w:pPr>
              <w:rPr>
                <w:rFonts w:ascii="Arial" w:hAnsi="Arial" w:cs="Arial"/>
              </w:rPr>
            </w:pPr>
            <w:r w:rsidRPr="009147E0">
              <w:rPr>
                <w:rFonts w:ascii="Arial" w:hAnsi="Arial" w:cs="Arial"/>
              </w:rPr>
              <w:t>100 mg/0.67 mL, 28 x 0.67 mL syringes</w:t>
            </w:r>
          </w:p>
          <w:p w:rsidR="00DA0AD6" w:rsidRPr="009147E0" w:rsidRDefault="00DA0AD6" w:rsidP="004B6AC9">
            <w:pPr>
              <w:rPr>
                <w:rFonts w:ascii="Arial" w:hAnsi="Arial" w:cs="Arial"/>
              </w:rPr>
            </w:pPr>
          </w:p>
          <w:p w:rsidR="00DA0AD6" w:rsidRPr="009147E0" w:rsidRDefault="00DA0AD6" w:rsidP="004B6AC9">
            <w:pPr>
              <w:rPr>
                <w:rFonts w:ascii="Arial" w:hAnsi="Arial" w:cs="Arial"/>
              </w:rPr>
            </w:pPr>
            <w:r w:rsidRPr="009147E0">
              <w:rPr>
                <w:rFonts w:ascii="Arial" w:hAnsi="Arial" w:cs="Arial"/>
              </w:rPr>
              <w:t>Kineret®</w:t>
            </w:r>
          </w:p>
          <w:p w:rsidR="00DA0AD6" w:rsidRPr="009147E0" w:rsidRDefault="00DA0AD6" w:rsidP="004B6AC9">
            <w:pPr>
              <w:rPr>
                <w:rFonts w:ascii="Arial" w:hAnsi="Arial" w:cs="Arial"/>
              </w:rPr>
            </w:pPr>
          </w:p>
          <w:p w:rsidR="00DA0AD6" w:rsidRPr="009147E0" w:rsidRDefault="00DA0AD6" w:rsidP="004B6AC9">
            <w:pPr>
              <w:rPr>
                <w:rFonts w:ascii="Arial" w:hAnsi="Arial" w:cs="Arial"/>
              </w:rPr>
            </w:pPr>
            <w:r w:rsidRPr="009147E0">
              <w:rPr>
                <w:rFonts w:ascii="Arial" w:hAnsi="Arial" w:cs="Arial"/>
              </w:rPr>
              <w:t>A.Menarini Australia Pty Ltd</w:t>
            </w:r>
          </w:p>
          <w:p w:rsidR="00DA0AD6" w:rsidRPr="009147E0" w:rsidRDefault="00DA0AD6" w:rsidP="004B6AC9">
            <w:pPr>
              <w:rPr>
                <w:rFonts w:ascii="Arial" w:hAnsi="Arial" w:cs="Arial"/>
              </w:rPr>
            </w:pPr>
          </w:p>
          <w:p w:rsidR="00DA0AD6" w:rsidRPr="009147E0" w:rsidRDefault="00DA0AD6" w:rsidP="004B6AC9">
            <w:pPr>
              <w:rPr>
                <w:rFonts w:ascii="Arial" w:hAnsi="Arial" w:cs="Arial"/>
              </w:rPr>
            </w:pPr>
            <w:r w:rsidRPr="009147E0">
              <w:rPr>
                <w:rFonts w:ascii="Arial" w:hAnsi="Arial" w:cs="Arial"/>
              </w:rPr>
              <w:t>New listing</w:t>
            </w:r>
          </w:p>
          <w:p w:rsidR="00DA0AD6" w:rsidRPr="009147E0" w:rsidRDefault="00DA0AD6" w:rsidP="004B6AC9">
            <w:pPr>
              <w:rPr>
                <w:rFonts w:ascii="Arial" w:hAnsi="Arial" w:cs="Arial"/>
              </w:rPr>
            </w:pPr>
          </w:p>
          <w:p w:rsidR="00DA0AD6" w:rsidRPr="009147E0" w:rsidRDefault="00DA0AD6" w:rsidP="004B6AC9">
            <w:pPr>
              <w:rPr>
                <w:rFonts w:ascii="Arial" w:hAnsi="Arial" w:cs="Arial"/>
              </w:rPr>
            </w:pPr>
            <w:r w:rsidRPr="009147E0">
              <w:rPr>
                <w:rFonts w:ascii="Arial" w:hAnsi="Arial" w:cs="Arial"/>
              </w:rPr>
              <w:t>(Major submission)</w:t>
            </w:r>
          </w:p>
          <w:p w:rsidR="00DA0AD6" w:rsidRPr="009147E0" w:rsidRDefault="00DA0AD6" w:rsidP="004B6AC9">
            <w:pPr>
              <w:rPr>
                <w:rFonts w:ascii="Arial" w:hAnsi="Arial" w:cs="Arial"/>
              </w:rPr>
            </w:pPr>
          </w:p>
        </w:tc>
        <w:tc>
          <w:tcPr>
            <w:tcW w:w="2262" w:type="dxa"/>
            <w:tcMar>
              <w:top w:w="28" w:type="dxa"/>
              <w:bottom w:w="28" w:type="dxa"/>
            </w:tcMar>
          </w:tcPr>
          <w:p w:rsidR="00DA0AD6" w:rsidRPr="009147E0" w:rsidRDefault="00DA0AD6" w:rsidP="00263F7F">
            <w:pPr>
              <w:rPr>
                <w:rFonts w:ascii="Arial" w:hAnsi="Arial" w:cs="Arial"/>
              </w:rPr>
            </w:pPr>
            <w:r w:rsidRPr="009147E0">
              <w:rPr>
                <w:rFonts w:ascii="Arial" w:hAnsi="Arial" w:cs="Arial"/>
              </w:rPr>
              <w:t>Cryopyrin Associated Periodic Syndromes</w:t>
            </w:r>
          </w:p>
          <w:p w:rsidR="00DA0AD6" w:rsidRPr="009147E0" w:rsidRDefault="00DA0AD6" w:rsidP="00263F7F">
            <w:pPr>
              <w:rPr>
                <w:rFonts w:ascii="Arial" w:hAnsi="Arial" w:cs="Arial"/>
              </w:rPr>
            </w:pPr>
          </w:p>
        </w:tc>
        <w:tc>
          <w:tcPr>
            <w:tcW w:w="2987" w:type="dxa"/>
            <w:tcMar>
              <w:top w:w="28" w:type="dxa"/>
              <w:bottom w:w="28" w:type="dxa"/>
            </w:tcMar>
          </w:tcPr>
          <w:p w:rsidR="00DA0AD6" w:rsidRPr="009147E0" w:rsidRDefault="00DA0AD6" w:rsidP="00263F7F">
            <w:pPr>
              <w:rPr>
                <w:rFonts w:ascii="Arial" w:hAnsi="Arial" w:cs="Arial"/>
              </w:rPr>
            </w:pPr>
            <w:r w:rsidRPr="009147E0">
              <w:rPr>
                <w:rFonts w:ascii="Arial" w:hAnsi="Arial" w:cs="Arial"/>
              </w:rPr>
              <w:t>Section 100 Authority Required listing for the treatment of cryopyrin-associated periodic syndromes.</w:t>
            </w:r>
          </w:p>
          <w:p w:rsidR="00DA0AD6" w:rsidRPr="009147E0" w:rsidRDefault="00DA0AD6" w:rsidP="00263F7F">
            <w:pPr>
              <w:rPr>
                <w:rFonts w:ascii="Arial" w:hAnsi="Arial" w:cs="Arial"/>
              </w:rPr>
            </w:pPr>
          </w:p>
        </w:tc>
        <w:tc>
          <w:tcPr>
            <w:tcW w:w="7192" w:type="dxa"/>
          </w:tcPr>
          <w:p w:rsidR="00DA0AD6" w:rsidRPr="009147E0" w:rsidRDefault="00DA0AD6" w:rsidP="004B6AC9">
            <w:pPr>
              <w:rPr>
                <w:rFonts w:ascii="Arial" w:hAnsi="Arial" w:cs="Arial"/>
              </w:rPr>
            </w:pPr>
            <w:r w:rsidRPr="009147E0">
              <w:rPr>
                <w:rFonts w:ascii="Arial" w:hAnsi="Arial" w:cs="Arial"/>
              </w:rPr>
              <w:t xml:space="preserve">The PBAC recommended the listing of anakinra for the treatment of moderate to severe cryopyrin-associated periodic syndromes (CAPS) under the Section 100 Highly Specialised Drugs </w:t>
            </w:r>
            <w:r w:rsidR="001B4293">
              <w:rPr>
                <w:rFonts w:ascii="Arial" w:hAnsi="Arial" w:cs="Arial"/>
              </w:rPr>
              <w:t xml:space="preserve">Program </w:t>
            </w:r>
            <w:r w:rsidR="005F5B5B" w:rsidRPr="009147E0">
              <w:rPr>
                <w:rFonts w:ascii="Arial" w:hAnsi="Arial" w:cs="Arial"/>
              </w:rPr>
              <w:t>(HSD</w:t>
            </w:r>
            <w:r w:rsidR="001B4293">
              <w:rPr>
                <w:rFonts w:ascii="Arial" w:hAnsi="Arial" w:cs="Arial"/>
              </w:rPr>
              <w:t>P</w:t>
            </w:r>
            <w:r w:rsidR="005F5B5B" w:rsidRPr="009147E0">
              <w:rPr>
                <w:rFonts w:ascii="Arial" w:hAnsi="Arial" w:cs="Arial"/>
              </w:rPr>
              <w:t>)</w:t>
            </w:r>
            <w:r w:rsidR="005F5B5B">
              <w:rPr>
                <w:rFonts w:ascii="Arial" w:hAnsi="Arial" w:cs="Arial"/>
              </w:rPr>
              <w:t xml:space="preserve"> </w:t>
            </w:r>
            <w:r w:rsidRPr="009147E0">
              <w:rPr>
                <w:rFonts w:ascii="Arial" w:hAnsi="Arial" w:cs="Arial"/>
              </w:rPr>
              <w:t xml:space="preserve">on the basis of acceptable cost-effectiveness compared to best supportive care. </w:t>
            </w:r>
          </w:p>
          <w:p w:rsidR="00DA0AD6" w:rsidRPr="009147E0" w:rsidRDefault="00DA0AD6" w:rsidP="004B6AC9">
            <w:pPr>
              <w:rPr>
                <w:rFonts w:ascii="Arial" w:hAnsi="Arial" w:cs="Arial"/>
              </w:rPr>
            </w:pPr>
          </w:p>
          <w:p w:rsidR="00DA0AD6" w:rsidRDefault="001C2014" w:rsidP="004B6AC9">
            <w:pPr>
              <w:rPr>
                <w:rFonts w:ascii="Arial" w:hAnsi="Arial" w:cs="Arial"/>
              </w:rPr>
            </w:pPr>
            <w:r w:rsidRPr="001C2014">
              <w:rPr>
                <w:rFonts w:ascii="Arial" w:hAnsi="Arial" w:cs="Arial"/>
              </w:rPr>
              <w:t>The PBAC noted that CAPS is a rare condition for which anakinra had been designated by the TGA as an orphan drug for the CAPS indication and that there are currently no drugs listed on the PBS for the specific treatment of CAPS. The consumer comments received in support of anakinra reflected this gap in treatment and the PBAC acknowledged these comments.</w:t>
            </w:r>
          </w:p>
          <w:p w:rsidR="00F163F8" w:rsidRPr="009147E0" w:rsidRDefault="00F163F8" w:rsidP="004B6AC9">
            <w:pPr>
              <w:rPr>
                <w:rFonts w:ascii="Arial" w:hAnsi="Arial" w:cs="Arial"/>
              </w:rPr>
            </w:pPr>
          </w:p>
        </w:tc>
      </w:tr>
      <w:tr w:rsidR="003A4D00" w:rsidRPr="009147E0" w:rsidTr="00CB2D1B">
        <w:trPr>
          <w:cantSplit/>
          <w:trHeight w:val="430"/>
        </w:trPr>
        <w:tc>
          <w:tcPr>
            <w:tcW w:w="3118" w:type="dxa"/>
            <w:tcMar>
              <w:top w:w="28" w:type="dxa"/>
              <w:bottom w:w="28" w:type="dxa"/>
            </w:tcMar>
          </w:tcPr>
          <w:p w:rsidR="003A4D00" w:rsidRDefault="003A4D00" w:rsidP="004B6AC9">
            <w:pPr>
              <w:rPr>
                <w:rFonts w:ascii="Arial" w:hAnsi="Arial" w:cs="Arial"/>
                <w:b/>
              </w:rPr>
            </w:pPr>
            <w:r>
              <w:rPr>
                <w:rFonts w:ascii="Arial" w:hAnsi="Arial" w:cs="Arial"/>
                <w:b/>
              </w:rPr>
              <w:lastRenderedPageBreak/>
              <w:t xml:space="preserve">ANTI-CANCER DRUGS, </w:t>
            </w:r>
          </w:p>
          <w:p w:rsidR="003A4D00" w:rsidRDefault="003A4D00" w:rsidP="004B6AC9">
            <w:pPr>
              <w:rPr>
                <w:rFonts w:ascii="Arial" w:hAnsi="Arial" w:cs="Arial"/>
                <w:b/>
              </w:rPr>
            </w:pPr>
          </w:p>
          <w:p w:rsidR="003A4D00" w:rsidRPr="00E11C10" w:rsidRDefault="003A4D00" w:rsidP="003A4D00">
            <w:pPr>
              <w:rPr>
                <w:rFonts w:ascii="Arial" w:hAnsi="Arial" w:cs="Arial"/>
              </w:rPr>
            </w:pPr>
            <w:r w:rsidRPr="00E11C10">
              <w:rPr>
                <w:rFonts w:ascii="Arial" w:hAnsi="Arial" w:cs="Arial"/>
              </w:rPr>
              <w:t>CAPECITABI</w:t>
            </w:r>
            <w:r w:rsidRPr="003A4D00">
              <w:rPr>
                <w:rFonts w:ascii="Arial" w:hAnsi="Arial" w:cs="Arial"/>
              </w:rPr>
              <w:t>INE, tablets, 150 mg and 500 mg</w:t>
            </w:r>
            <w:r w:rsidRPr="00E11C10">
              <w:rPr>
                <w:rFonts w:ascii="Arial" w:hAnsi="Arial" w:cs="Arial"/>
              </w:rPr>
              <w:t xml:space="preserve"> </w:t>
            </w:r>
          </w:p>
          <w:p w:rsidR="003A4D00" w:rsidRPr="00E11C10" w:rsidRDefault="003A4D00" w:rsidP="003A4D00">
            <w:pPr>
              <w:rPr>
                <w:rFonts w:ascii="Arial" w:hAnsi="Arial" w:cs="Arial"/>
              </w:rPr>
            </w:pPr>
          </w:p>
          <w:p w:rsidR="003A4D00" w:rsidRDefault="003A4D00" w:rsidP="003A4D00">
            <w:pPr>
              <w:rPr>
                <w:rFonts w:ascii="Arial" w:hAnsi="Arial" w:cs="Arial"/>
              </w:rPr>
            </w:pPr>
            <w:r w:rsidRPr="00E11C10">
              <w:rPr>
                <w:rFonts w:ascii="Arial" w:hAnsi="Arial" w:cs="Arial"/>
              </w:rPr>
              <w:t xml:space="preserve">MEGESTROL, tablet, 160 mg </w:t>
            </w:r>
          </w:p>
          <w:p w:rsidR="00EA7C1F" w:rsidRPr="00E11C10" w:rsidRDefault="00EA7C1F" w:rsidP="003A4D00">
            <w:pPr>
              <w:rPr>
                <w:rFonts w:ascii="Arial" w:hAnsi="Arial" w:cs="Arial"/>
              </w:rPr>
            </w:pPr>
          </w:p>
          <w:p w:rsidR="003A4D00" w:rsidRPr="00E11C10" w:rsidRDefault="003A4D00" w:rsidP="003A4D00">
            <w:pPr>
              <w:rPr>
                <w:rFonts w:ascii="Arial" w:hAnsi="Arial" w:cs="Arial"/>
              </w:rPr>
            </w:pPr>
            <w:r w:rsidRPr="003A4D00">
              <w:rPr>
                <w:rFonts w:ascii="Arial" w:hAnsi="Arial" w:cs="Arial"/>
              </w:rPr>
              <w:t>TOREMIFENE, tablet, 60 mg</w:t>
            </w:r>
            <w:r w:rsidRPr="00E11C10">
              <w:rPr>
                <w:rFonts w:ascii="Arial" w:hAnsi="Arial" w:cs="Arial"/>
              </w:rPr>
              <w:t xml:space="preserve"> </w:t>
            </w:r>
          </w:p>
          <w:p w:rsidR="003A4D00" w:rsidRPr="00E11C10" w:rsidRDefault="003A4D00" w:rsidP="003A4D00">
            <w:pPr>
              <w:rPr>
                <w:rFonts w:ascii="Arial" w:hAnsi="Arial" w:cs="Arial"/>
              </w:rPr>
            </w:pPr>
          </w:p>
          <w:p w:rsidR="003A4D00" w:rsidRDefault="003A4D00" w:rsidP="003A4D00">
            <w:pPr>
              <w:rPr>
                <w:rFonts w:ascii="Arial" w:hAnsi="Arial" w:cs="Arial"/>
              </w:rPr>
            </w:pPr>
            <w:r w:rsidRPr="00E11C10">
              <w:rPr>
                <w:rFonts w:ascii="Arial" w:hAnsi="Arial" w:cs="Arial"/>
              </w:rPr>
              <w:t>VINORELBINE, vials for injection, 10 mg/mL injection, 1 x 1 mL vial and 50 mg</w:t>
            </w:r>
            <w:r w:rsidRPr="003A4D00">
              <w:rPr>
                <w:rFonts w:ascii="Arial" w:hAnsi="Arial" w:cs="Arial"/>
              </w:rPr>
              <w:t xml:space="preserve">/5 mL </w:t>
            </w:r>
            <w:r w:rsidRPr="00E11C10">
              <w:rPr>
                <w:rFonts w:ascii="Arial" w:hAnsi="Arial" w:cs="Arial"/>
              </w:rPr>
              <w:t>injection, 1 x 5 mL vial,</w:t>
            </w:r>
          </w:p>
          <w:p w:rsidR="003A4D00" w:rsidRDefault="003A4D00" w:rsidP="003A4D00">
            <w:pPr>
              <w:rPr>
                <w:rFonts w:ascii="Arial" w:hAnsi="Arial" w:cs="Arial"/>
              </w:rPr>
            </w:pPr>
          </w:p>
          <w:p w:rsidR="003A4D00" w:rsidRDefault="003A4D00" w:rsidP="003A4D00">
            <w:pPr>
              <w:rPr>
                <w:rFonts w:ascii="Arial" w:hAnsi="Arial" w:cs="Arial"/>
              </w:rPr>
            </w:pPr>
            <w:r>
              <w:rPr>
                <w:rFonts w:ascii="Arial" w:hAnsi="Arial" w:cs="Arial"/>
              </w:rPr>
              <w:t>The Medical Oncology Group of Australia on behalf of various sponsors</w:t>
            </w:r>
          </w:p>
          <w:p w:rsidR="003A4D00" w:rsidRDefault="003A4D00" w:rsidP="003A4D00">
            <w:pPr>
              <w:rPr>
                <w:rFonts w:ascii="Arial" w:hAnsi="Arial" w:cs="Arial"/>
              </w:rPr>
            </w:pPr>
          </w:p>
          <w:p w:rsidR="003A4D00" w:rsidRPr="00E11C10" w:rsidRDefault="003A4D00" w:rsidP="003A4D00">
            <w:pPr>
              <w:rPr>
                <w:rFonts w:ascii="Arial" w:hAnsi="Arial" w:cs="Arial"/>
              </w:rPr>
            </w:pPr>
            <w:r>
              <w:rPr>
                <w:rFonts w:ascii="Arial" w:hAnsi="Arial" w:cs="Arial"/>
              </w:rPr>
              <w:t>Change to listing</w:t>
            </w:r>
          </w:p>
          <w:p w:rsidR="003A4D00" w:rsidRDefault="003A4D00" w:rsidP="004B6AC9">
            <w:pPr>
              <w:rPr>
                <w:rFonts w:ascii="Arial" w:hAnsi="Arial" w:cs="Arial"/>
                <w:b/>
              </w:rPr>
            </w:pPr>
          </w:p>
          <w:p w:rsidR="003A4D00" w:rsidRDefault="003A4D00" w:rsidP="004B6AC9">
            <w:pPr>
              <w:rPr>
                <w:rFonts w:ascii="Arial" w:hAnsi="Arial" w:cs="Arial"/>
              </w:rPr>
            </w:pPr>
            <w:r w:rsidRPr="00E11C10">
              <w:rPr>
                <w:rFonts w:ascii="Arial" w:hAnsi="Arial" w:cs="Arial"/>
              </w:rPr>
              <w:t>(Correspondence)</w:t>
            </w:r>
          </w:p>
          <w:p w:rsidR="003A4D00" w:rsidRPr="00E11C10" w:rsidRDefault="003A4D00" w:rsidP="004B6AC9">
            <w:pPr>
              <w:rPr>
                <w:rFonts w:ascii="Arial" w:hAnsi="Arial" w:cs="Arial"/>
              </w:rPr>
            </w:pPr>
          </w:p>
        </w:tc>
        <w:tc>
          <w:tcPr>
            <w:tcW w:w="2262" w:type="dxa"/>
            <w:tcMar>
              <w:top w:w="28" w:type="dxa"/>
              <w:bottom w:w="28" w:type="dxa"/>
            </w:tcMar>
          </w:tcPr>
          <w:p w:rsidR="003A4D00" w:rsidRPr="009147E0" w:rsidRDefault="003A4D00" w:rsidP="00263F7F">
            <w:pPr>
              <w:rPr>
                <w:rFonts w:ascii="Arial" w:hAnsi="Arial" w:cs="Arial"/>
              </w:rPr>
            </w:pPr>
            <w:r>
              <w:rPr>
                <w:rFonts w:ascii="Arial" w:hAnsi="Arial" w:cs="Arial"/>
              </w:rPr>
              <w:t>Cancer</w:t>
            </w:r>
          </w:p>
        </w:tc>
        <w:tc>
          <w:tcPr>
            <w:tcW w:w="2987" w:type="dxa"/>
            <w:tcMar>
              <w:top w:w="28" w:type="dxa"/>
              <w:bottom w:w="28" w:type="dxa"/>
            </w:tcMar>
          </w:tcPr>
          <w:p w:rsidR="003A4D00" w:rsidRPr="009147E0" w:rsidRDefault="003A4D00" w:rsidP="00263F7F">
            <w:pPr>
              <w:rPr>
                <w:rFonts w:ascii="Arial" w:hAnsi="Arial" w:cs="Arial"/>
              </w:rPr>
            </w:pPr>
            <w:r w:rsidRPr="003A4D00">
              <w:rPr>
                <w:rFonts w:ascii="Arial" w:hAnsi="Arial" w:cs="Arial"/>
              </w:rPr>
              <w:t>The Medical Onc</w:t>
            </w:r>
            <w:r>
              <w:rPr>
                <w:rFonts w:ascii="Arial" w:hAnsi="Arial" w:cs="Arial"/>
              </w:rPr>
              <w:t xml:space="preserve">ology Group of Australia </w:t>
            </w:r>
            <w:r w:rsidRPr="003A4D00">
              <w:rPr>
                <w:rFonts w:ascii="Arial" w:hAnsi="Arial" w:cs="Arial"/>
              </w:rPr>
              <w:t>sought to have the drugs capecitabine, megestrol, toremifene and vinorelbine (injection presentation only) made available as unrestricted pharmaceutical benefits</w:t>
            </w:r>
            <w:r>
              <w:rPr>
                <w:rFonts w:ascii="Arial" w:hAnsi="Arial" w:cs="Arial"/>
              </w:rPr>
              <w:t>.</w:t>
            </w:r>
          </w:p>
        </w:tc>
        <w:tc>
          <w:tcPr>
            <w:tcW w:w="7192" w:type="dxa"/>
          </w:tcPr>
          <w:p w:rsidR="003A4D00" w:rsidRPr="009147E0" w:rsidRDefault="00F311C3" w:rsidP="004B6AC9">
            <w:pPr>
              <w:rPr>
                <w:rFonts w:ascii="Arial" w:hAnsi="Arial" w:cs="Arial"/>
              </w:rPr>
            </w:pPr>
            <w:r w:rsidRPr="00F311C3">
              <w:rPr>
                <w:rFonts w:ascii="Arial" w:hAnsi="Arial" w:cs="Arial"/>
              </w:rPr>
              <w:t>The PBAC had no objections to these four drugs becoming unrestricted benefits on the PBS.</w:t>
            </w:r>
          </w:p>
        </w:tc>
      </w:tr>
      <w:tr w:rsidR="003A4D00" w:rsidRPr="009147E0" w:rsidTr="00CB2D1B">
        <w:trPr>
          <w:cantSplit/>
          <w:trHeight w:val="430"/>
        </w:trPr>
        <w:tc>
          <w:tcPr>
            <w:tcW w:w="3118" w:type="dxa"/>
            <w:tcMar>
              <w:top w:w="28" w:type="dxa"/>
              <w:bottom w:w="28" w:type="dxa"/>
            </w:tcMar>
          </w:tcPr>
          <w:p w:rsidR="00E11C10" w:rsidRPr="00E11C10" w:rsidRDefault="00E11C10" w:rsidP="003A4D00">
            <w:pPr>
              <w:rPr>
                <w:rFonts w:ascii="Arial" w:hAnsi="Arial" w:cs="Arial"/>
                <w:b/>
              </w:rPr>
            </w:pPr>
            <w:r w:rsidRPr="00E11C10">
              <w:rPr>
                <w:rFonts w:ascii="Arial" w:hAnsi="Arial" w:cs="Arial"/>
                <w:b/>
              </w:rPr>
              <w:lastRenderedPageBreak/>
              <w:t>ANTI-CANCER DRUGS,</w:t>
            </w:r>
          </w:p>
          <w:p w:rsidR="00E11C10" w:rsidRDefault="00E11C10" w:rsidP="003A4D00">
            <w:pPr>
              <w:rPr>
                <w:rFonts w:ascii="Arial" w:hAnsi="Arial" w:cs="Arial"/>
              </w:rPr>
            </w:pPr>
          </w:p>
          <w:p w:rsidR="003A4D00" w:rsidRPr="00E11C10" w:rsidRDefault="003A4D00" w:rsidP="003A4D00">
            <w:pPr>
              <w:rPr>
                <w:rFonts w:ascii="Arial" w:hAnsi="Arial" w:cs="Arial"/>
              </w:rPr>
            </w:pPr>
            <w:r w:rsidRPr="003A4D00">
              <w:rPr>
                <w:rFonts w:ascii="Arial" w:hAnsi="Arial" w:cs="Arial"/>
              </w:rPr>
              <w:t>ANASTROZOLE, tablet, 1 mg,</w:t>
            </w:r>
          </w:p>
          <w:p w:rsidR="003A4D00" w:rsidRPr="00E11C10" w:rsidRDefault="003A4D00" w:rsidP="003A4D00">
            <w:pPr>
              <w:rPr>
                <w:rFonts w:ascii="Arial" w:hAnsi="Arial" w:cs="Arial"/>
              </w:rPr>
            </w:pPr>
          </w:p>
          <w:p w:rsidR="003A4D00" w:rsidRPr="00E11C10" w:rsidRDefault="003A4D00" w:rsidP="003A4D00">
            <w:pPr>
              <w:rPr>
                <w:rFonts w:ascii="Arial" w:hAnsi="Arial" w:cs="Arial"/>
              </w:rPr>
            </w:pPr>
            <w:r w:rsidRPr="00E11C10">
              <w:rPr>
                <w:rFonts w:ascii="Arial" w:hAnsi="Arial" w:cs="Arial"/>
              </w:rPr>
              <w:t>EVER</w:t>
            </w:r>
            <w:r w:rsidRPr="003A4D00">
              <w:rPr>
                <w:rFonts w:ascii="Arial" w:hAnsi="Arial" w:cs="Arial"/>
              </w:rPr>
              <w:t>OLIMUS, tablets, 5 mg and 10 mg</w:t>
            </w:r>
          </w:p>
          <w:p w:rsidR="003A4D00" w:rsidRPr="00E11C10" w:rsidRDefault="003A4D00" w:rsidP="003A4D00">
            <w:pPr>
              <w:rPr>
                <w:rFonts w:ascii="Arial" w:hAnsi="Arial" w:cs="Arial"/>
              </w:rPr>
            </w:pPr>
            <w:r w:rsidRPr="00E11C10">
              <w:rPr>
                <w:rFonts w:ascii="Arial" w:hAnsi="Arial" w:cs="Arial"/>
              </w:rPr>
              <w:t xml:space="preserve"> </w:t>
            </w:r>
          </w:p>
          <w:p w:rsidR="003A4D00" w:rsidRPr="00E11C10" w:rsidRDefault="003A4D00" w:rsidP="003A4D00">
            <w:pPr>
              <w:rPr>
                <w:rFonts w:ascii="Arial" w:hAnsi="Arial" w:cs="Arial"/>
              </w:rPr>
            </w:pPr>
            <w:r w:rsidRPr="003A4D00">
              <w:rPr>
                <w:rFonts w:ascii="Arial" w:hAnsi="Arial" w:cs="Arial"/>
              </w:rPr>
              <w:t>EXEMESTANE, tablet, 25 mg</w:t>
            </w:r>
            <w:r w:rsidRPr="00E11C10">
              <w:rPr>
                <w:rFonts w:ascii="Arial" w:hAnsi="Arial" w:cs="Arial"/>
              </w:rPr>
              <w:t xml:space="preserve"> </w:t>
            </w:r>
          </w:p>
          <w:p w:rsidR="003A4D00" w:rsidRPr="00E11C10" w:rsidRDefault="003A4D00" w:rsidP="003A4D00">
            <w:pPr>
              <w:rPr>
                <w:rFonts w:ascii="Arial" w:hAnsi="Arial" w:cs="Arial"/>
              </w:rPr>
            </w:pPr>
          </w:p>
          <w:p w:rsidR="003A4D00" w:rsidRPr="00E11C10" w:rsidRDefault="003A4D00" w:rsidP="003A4D00">
            <w:pPr>
              <w:rPr>
                <w:rFonts w:ascii="Arial" w:hAnsi="Arial" w:cs="Arial"/>
              </w:rPr>
            </w:pPr>
            <w:r w:rsidRPr="003A4D00">
              <w:rPr>
                <w:rFonts w:ascii="Arial" w:hAnsi="Arial" w:cs="Arial"/>
              </w:rPr>
              <w:t>GOSERELIN, implant, 3.6 mg</w:t>
            </w:r>
          </w:p>
          <w:p w:rsidR="003A4D00" w:rsidRPr="00E11C10" w:rsidRDefault="003A4D00" w:rsidP="003A4D00">
            <w:pPr>
              <w:rPr>
                <w:rFonts w:ascii="Arial" w:hAnsi="Arial" w:cs="Arial"/>
              </w:rPr>
            </w:pPr>
          </w:p>
          <w:p w:rsidR="003A4D00" w:rsidRDefault="003A4D00" w:rsidP="003A4D00">
            <w:pPr>
              <w:rPr>
                <w:rFonts w:ascii="Arial" w:hAnsi="Arial" w:cs="Arial"/>
              </w:rPr>
            </w:pPr>
            <w:r w:rsidRPr="003A4D00">
              <w:rPr>
                <w:rFonts w:ascii="Arial" w:hAnsi="Arial" w:cs="Arial"/>
              </w:rPr>
              <w:t>LETROZOLE, tablet, 2.5 mg</w:t>
            </w:r>
          </w:p>
          <w:p w:rsidR="00E11C10" w:rsidRDefault="00E11C10" w:rsidP="003A4D00">
            <w:pPr>
              <w:rPr>
                <w:rFonts w:ascii="Arial" w:hAnsi="Arial" w:cs="Arial"/>
              </w:rPr>
            </w:pPr>
          </w:p>
          <w:p w:rsidR="003A4D00" w:rsidRDefault="003A4D00" w:rsidP="003A4D00">
            <w:pPr>
              <w:rPr>
                <w:rFonts w:ascii="Arial" w:hAnsi="Arial" w:cs="Arial"/>
              </w:rPr>
            </w:pPr>
            <w:r>
              <w:rPr>
                <w:rFonts w:ascii="Arial" w:hAnsi="Arial" w:cs="Arial"/>
              </w:rPr>
              <w:t xml:space="preserve">The Medical Oncology Group of Australia on behalf of </w:t>
            </w:r>
            <w:r w:rsidRPr="00E11C10">
              <w:rPr>
                <w:rFonts w:ascii="Arial" w:hAnsi="Arial" w:cs="Arial"/>
              </w:rPr>
              <w:t>various sponsors</w:t>
            </w:r>
          </w:p>
          <w:p w:rsidR="003A4D00" w:rsidRDefault="003A4D00" w:rsidP="003A4D00">
            <w:pPr>
              <w:rPr>
                <w:rFonts w:ascii="Arial" w:hAnsi="Arial" w:cs="Arial"/>
              </w:rPr>
            </w:pPr>
          </w:p>
          <w:p w:rsidR="003A4D00" w:rsidRDefault="003A4D00" w:rsidP="003A4D00">
            <w:pPr>
              <w:rPr>
                <w:rFonts w:ascii="Arial" w:hAnsi="Arial" w:cs="Arial"/>
              </w:rPr>
            </w:pPr>
            <w:r>
              <w:rPr>
                <w:rFonts w:ascii="Arial" w:hAnsi="Arial" w:cs="Arial"/>
              </w:rPr>
              <w:t>Change to listing</w:t>
            </w:r>
          </w:p>
          <w:p w:rsidR="003A4D00" w:rsidRDefault="003A4D00" w:rsidP="003A4D00">
            <w:pPr>
              <w:rPr>
                <w:rFonts w:ascii="Arial" w:hAnsi="Arial" w:cs="Arial"/>
              </w:rPr>
            </w:pPr>
          </w:p>
          <w:p w:rsidR="003A4D00" w:rsidRDefault="003A4D00" w:rsidP="003A4D00">
            <w:pPr>
              <w:rPr>
                <w:rFonts w:ascii="Arial" w:hAnsi="Arial" w:cs="Arial"/>
              </w:rPr>
            </w:pPr>
            <w:r>
              <w:rPr>
                <w:rFonts w:ascii="Arial" w:hAnsi="Arial" w:cs="Arial"/>
              </w:rPr>
              <w:t>(Correspondence)</w:t>
            </w:r>
          </w:p>
          <w:p w:rsidR="003A4D00" w:rsidRPr="005F5B5B" w:rsidRDefault="003A4D00" w:rsidP="003A4D00">
            <w:pPr>
              <w:rPr>
                <w:rFonts w:ascii="Arial" w:hAnsi="Arial" w:cs="Arial"/>
                <w:b/>
              </w:rPr>
            </w:pPr>
          </w:p>
        </w:tc>
        <w:tc>
          <w:tcPr>
            <w:tcW w:w="2262" w:type="dxa"/>
            <w:tcMar>
              <w:top w:w="28" w:type="dxa"/>
              <w:bottom w:w="28" w:type="dxa"/>
            </w:tcMar>
          </w:tcPr>
          <w:p w:rsidR="003A4D00" w:rsidRPr="009147E0" w:rsidRDefault="003A4D00" w:rsidP="00263F7F">
            <w:pPr>
              <w:rPr>
                <w:rFonts w:ascii="Arial" w:hAnsi="Arial" w:cs="Arial"/>
              </w:rPr>
            </w:pPr>
            <w:r>
              <w:rPr>
                <w:rFonts w:ascii="Arial" w:hAnsi="Arial" w:cs="Arial"/>
              </w:rPr>
              <w:t>Cancer</w:t>
            </w:r>
          </w:p>
        </w:tc>
        <w:tc>
          <w:tcPr>
            <w:tcW w:w="2987" w:type="dxa"/>
            <w:tcMar>
              <w:top w:w="28" w:type="dxa"/>
              <w:bottom w:w="28" w:type="dxa"/>
            </w:tcMar>
          </w:tcPr>
          <w:p w:rsidR="003A4D00" w:rsidRPr="009147E0" w:rsidRDefault="003A4D00" w:rsidP="003A4D00">
            <w:pPr>
              <w:rPr>
                <w:rFonts w:ascii="Arial" w:hAnsi="Arial" w:cs="Arial"/>
              </w:rPr>
            </w:pPr>
            <w:r w:rsidRPr="003A4D00">
              <w:rPr>
                <w:rFonts w:ascii="Arial" w:hAnsi="Arial" w:cs="Arial"/>
              </w:rPr>
              <w:t>The Medical Oncology Group of Australia sought to have the drugs anastrozole, everolimus, exemestane, goserelin and letrozole made available to males with breast cancer</w:t>
            </w:r>
          </w:p>
        </w:tc>
        <w:tc>
          <w:tcPr>
            <w:tcW w:w="7192" w:type="dxa"/>
          </w:tcPr>
          <w:p w:rsidR="003A4D00" w:rsidRPr="009147E0" w:rsidRDefault="00F311C3" w:rsidP="004B6AC9">
            <w:pPr>
              <w:rPr>
                <w:rFonts w:ascii="Arial" w:hAnsi="Arial" w:cs="Arial"/>
              </w:rPr>
            </w:pPr>
            <w:r w:rsidRPr="00F311C3">
              <w:rPr>
                <w:rFonts w:ascii="Arial" w:hAnsi="Arial" w:cs="Arial"/>
              </w:rPr>
              <w:t>The PBAC recommended amending the restrictions for these five drugs and their breast cancer indications in such a way that male patients are not precluded from access to subsidy.</w:t>
            </w:r>
          </w:p>
        </w:tc>
      </w:tr>
      <w:tr w:rsidR="003A0BC7" w:rsidRPr="009147E0" w:rsidTr="00CB2D1B">
        <w:trPr>
          <w:cantSplit/>
          <w:trHeight w:val="430"/>
        </w:trPr>
        <w:tc>
          <w:tcPr>
            <w:tcW w:w="3118" w:type="dxa"/>
            <w:tcMar>
              <w:top w:w="28" w:type="dxa"/>
              <w:bottom w:w="28" w:type="dxa"/>
            </w:tcMar>
          </w:tcPr>
          <w:p w:rsidR="003A0BC7" w:rsidRPr="005F5B5B" w:rsidRDefault="003A0BC7" w:rsidP="003A0BC7">
            <w:pPr>
              <w:rPr>
                <w:rFonts w:ascii="Arial" w:hAnsi="Arial" w:cs="Arial"/>
                <w:b/>
              </w:rPr>
            </w:pPr>
            <w:r w:rsidRPr="005F5B5B">
              <w:rPr>
                <w:rFonts w:ascii="Arial" w:hAnsi="Arial" w:cs="Arial"/>
                <w:b/>
              </w:rPr>
              <w:t>APOMORPHINE HYDROCHLORIDE</w:t>
            </w:r>
          </w:p>
          <w:p w:rsidR="003A0BC7" w:rsidRPr="009147E0" w:rsidRDefault="003A0BC7" w:rsidP="003A0BC7">
            <w:pPr>
              <w:rPr>
                <w:rFonts w:ascii="Arial" w:hAnsi="Arial" w:cs="Arial"/>
              </w:rPr>
            </w:pPr>
            <w:r w:rsidRPr="009147E0">
              <w:rPr>
                <w:rFonts w:ascii="Arial" w:hAnsi="Arial" w:cs="Arial"/>
              </w:rPr>
              <w:t>10 mg /1 mL injection: 5 x 1 mL ampoules,</w:t>
            </w:r>
          </w:p>
          <w:p w:rsidR="003A0BC7" w:rsidRPr="009147E0" w:rsidRDefault="003A0BC7" w:rsidP="003A0BC7">
            <w:pPr>
              <w:rPr>
                <w:rFonts w:ascii="Arial" w:hAnsi="Arial" w:cs="Arial"/>
              </w:rPr>
            </w:pPr>
          </w:p>
          <w:p w:rsidR="003A0BC7" w:rsidRPr="009147E0" w:rsidRDefault="003A0BC7" w:rsidP="003A0BC7">
            <w:pPr>
              <w:rPr>
                <w:rFonts w:ascii="Arial" w:hAnsi="Arial" w:cs="Arial"/>
              </w:rPr>
            </w:pPr>
            <w:r w:rsidRPr="009147E0">
              <w:rPr>
                <w:rFonts w:ascii="Arial" w:hAnsi="Arial" w:cs="Arial"/>
              </w:rPr>
              <w:t>Apomine®</w:t>
            </w:r>
          </w:p>
          <w:p w:rsidR="003A0BC7" w:rsidRPr="009147E0" w:rsidRDefault="003A0BC7" w:rsidP="003A0BC7">
            <w:pPr>
              <w:rPr>
                <w:rFonts w:ascii="Arial" w:hAnsi="Arial" w:cs="Arial"/>
              </w:rPr>
            </w:pPr>
          </w:p>
          <w:p w:rsidR="003A0BC7" w:rsidRPr="009147E0" w:rsidRDefault="003A0BC7" w:rsidP="003A0BC7">
            <w:pPr>
              <w:rPr>
                <w:rFonts w:ascii="Arial" w:hAnsi="Arial" w:cs="Arial"/>
              </w:rPr>
            </w:pPr>
            <w:r w:rsidRPr="009147E0">
              <w:rPr>
                <w:rFonts w:ascii="Arial" w:hAnsi="Arial" w:cs="Arial"/>
              </w:rPr>
              <w:t>Hospira Pty Ltd</w:t>
            </w:r>
          </w:p>
          <w:p w:rsidR="003A0BC7" w:rsidRPr="009147E0" w:rsidRDefault="003A0BC7" w:rsidP="004B6AC9">
            <w:pPr>
              <w:rPr>
                <w:rFonts w:ascii="Arial" w:hAnsi="Arial" w:cs="Arial"/>
              </w:rPr>
            </w:pPr>
          </w:p>
          <w:p w:rsidR="003A0BC7" w:rsidRPr="009147E0" w:rsidRDefault="003A0BC7" w:rsidP="003A0BC7">
            <w:pPr>
              <w:rPr>
                <w:rFonts w:ascii="Arial" w:hAnsi="Arial" w:cs="Arial"/>
              </w:rPr>
            </w:pPr>
            <w:r w:rsidRPr="009147E0">
              <w:rPr>
                <w:rFonts w:ascii="Arial" w:hAnsi="Arial" w:cs="Arial"/>
              </w:rPr>
              <w:t>New listing</w:t>
            </w:r>
          </w:p>
          <w:p w:rsidR="003A0BC7" w:rsidRPr="009147E0" w:rsidRDefault="003A0BC7" w:rsidP="003A0BC7">
            <w:pPr>
              <w:rPr>
                <w:rFonts w:ascii="Arial" w:hAnsi="Arial" w:cs="Arial"/>
              </w:rPr>
            </w:pPr>
          </w:p>
          <w:p w:rsidR="003A0BC7" w:rsidRPr="009147E0" w:rsidRDefault="003A0BC7" w:rsidP="003A0BC7">
            <w:pPr>
              <w:rPr>
                <w:rFonts w:ascii="Arial" w:hAnsi="Arial" w:cs="Arial"/>
              </w:rPr>
            </w:pPr>
            <w:r w:rsidRPr="009147E0">
              <w:rPr>
                <w:rFonts w:ascii="Arial" w:hAnsi="Arial" w:cs="Arial"/>
              </w:rPr>
              <w:t>(Minor submission)</w:t>
            </w:r>
          </w:p>
          <w:p w:rsidR="003A0BC7" w:rsidRPr="009147E0" w:rsidRDefault="003A0BC7" w:rsidP="004B6AC9">
            <w:pPr>
              <w:rPr>
                <w:rFonts w:ascii="Arial" w:hAnsi="Arial" w:cs="Arial"/>
              </w:rPr>
            </w:pPr>
          </w:p>
        </w:tc>
        <w:tc>
          <w:tcPr>
            <w:tcW w:w="2262" w:type="dxa"/>
            <w:tcMar>
              <w:top w:w="28" w:type="dxa"/>
              <w:bottom w:w="28" w:type="dxa"/>
            </w:tcMar>
          </w:tcPr>
          <w:p w:rsidR="003A0BC7" w:rsidRPr="009147E0" w:rsidRDefault="003A0BC7" w:rsidP="00263F7F">
            <w:pPr>
              <w:rPr>
                <w:rFonts w:ascii="Arial" w:hAnsi="Arial" w:cs="Arial"/>
              </w:rPr>
            </w:pPr>
            <w:r w:rsidRPr="009147E0">
              <w:rPr>
                <w:rFonts w:ascii="Arial" w:hAnsi="Arial" w:cs="Arial"/>
              </w:rPr>
              <w:t>Parkinson disease</w:t>
            </w:r>
          </w:p>
        </w:tc>
        <w:tc>
          <w:tcPr>
            <w:tcW w:w="2987" w:type="dxa"/>
            <w:tcMar>
              <w:top w:w="28" w:type="dxa"/>
              <w:bottom w:w="28" w:type="dxa"/>
            </w:tcMar>
          </w:tcPr>
          <w:p w:rsidR="003A0BC7" w:rsidRPr="009147E0" w:rsidRDefault="003A0BC7" w:rsidP="00263F7F">
            <w:pPr>
              <w:rPr>
                <w:rFonts w:ascii="Arial" w:hAnsi="Arial" w:cs="Arial"/>
              </w:rPr>
            </w:pPr>
            <w:r w:rsidRPr="009147E0">
              <w:rPr>
                <w:rFonts w:ascii="Arial" w:hAnsi="Arial" w:cs="Arial"/>
              </w:rPr>
              <w:t>Section 100 Authority Required listing of a lower strength for the management of advanced Parkinson disease.</w:t>
            </w:r>
          </w:p>
          <w:p w:rsidR="003A0BC7" w:rsidRPr="009147E0" w:rsidRDefault="003A0BC7" w:rsidP="00263F7F">
            <w:pPr>
              <w:rPr>
                <w:rFonts w:ascii="Arial" w:hAnsi="Arial" w:cs="Arial"/>
              </w:rPr>
            </w:pPr>
          </w:p>
        </w:tc>
        <w:tc>
          <w:tcPr>
            <w:tcW w:w="7192" w:type="dxa"/>
          </w:tcPr>
          <w:p w:rsidR="003A0BC7" w:rsidRPr="009147E0" w:rsidRDefault="003A0BC7" w:rsidP="004B6AC9">
            <w:pPr>
              <w:rPr>
                <w:rFonts w:ascii="Arial" w:hAnsi="Arial" w:cs="Arial"/>
              </w:rPr>
            </w:pPr>
            <w:r w:rsidRPr="009147E0">
              <w:rPr>
                <w:rFonts w:ascii="Arial" w:hAnsi="Arial" w:cs="Arial"/>
              </w:rPr>
              <w:t xml:space="preserve">The PBAC recommended listing under the same conditions as the existing listing for the 20 mg in 2 mL presentation. </w:t>
            </w:r>
          </w:p>
        </w:tc>
      </w:tr>
      <w:tr w:rsidR="002413C0" w:rsidRPr="009147E0" w:rsidTr="00CB2D1B">
        <w:trPr>
          <w:cantSplit/>
          <w:trHeight w:val="430"/>
        </w:trPr>
        <w:tc>
          <w:tcPr>
            <w:tcW w:w="3118" w:type="dxa"/>
            <w:tcMar>
              <w:top w:w="28" w:type="dxa"/>
              <w:bottom w:w="28" w:type="dxa"/>
            </w:tcMar>
          </w:tcPr>
          <w:p w:rsidR="005F5B5B" w:rsidRPr="005F5B5B" w:rsidRDefault="005F5B5B" w:rsidP="002413C0">
            <w:pPr>
              <w:rPr>
                <w:rFonts w:ascii="Arial" w:hAnsi="Arial" w:cs="Arial"/>
                <w:b/>
              </w:rPr>
            </w:pPr>
            <w:r w:rsidRPr="005F5B5B">
              <w:rPr>
                <w:rFonts w:ascii="Arial" w:hAnsi="Arial" w:cs="Arial"/>
                <w:b/>
              </w:rPr>
              <w:lastRenderedPageBreak/>
              <w:t>AXITINIB</w:t>
            </w:r>
          </w:p>
          <w:p w:rsidR="002413C0" w:rsidRPr="009147E0" w:rsidRDefault="002413C0" w:rsidP="002413C0">
            <w:pPr>
              <w:rPr>
                <w:rFonts w:ascii="Arial" w:hAnsi="Arial" w:cs="Arial"/>
              </w:rPr>
            </w:pPr>
            <w:r w:rsidRPr="009147E0">
              <w:rPr>
                <w:rFonts w:ascii="Arial" w:hAnsi="Arial" w:cs="Arial"/>
              </w:rPr>
              <w:t xml:space="preserve">tablets, 1 mg &amp; 5 mg, </w:t>
            </w:r>
          </w:p>
          <w:p w:rsidR="002413C0" w:rsidRPr="009147E0" w:rsidRDefault="002413C0" w:rsidP="002413C0">
            <w:pPr>
              <w:rPr>
                <w:rFonts w:ascii="Arial" w:hAnsi="Arial" w:cs="Arial"/>
              </w:rPr>
            </w:pPr>
          </w:p>
          <w:p w:rsidR="002413C0" w:rsidRPr="009147E0" w:rsidRDefault="002413C0" w:rsidP="002413C0">
            <w:pPr>
              <w:rPr>
                <w:rFonts w:ascii="Arial" w:hAnsi="Arial" w:cs="Arial"/>
              </w:rPr>
            </w:pPr>
            <w:r w:rsidRPr="009147E0">
              <w:rPr>
                <w:rFonts w:ascii="Arial" w:hAnsi="Arial" w:cs="Arial"/>
              </w:rPr>
              <w:t>Inlyta®</w:t>
            </w:r>
          </w:p>
          <w:p w:rsidR="002413C0" w:rsidRPr="009147E0" w:rsidRDefault="002413C0" w:rsidP="002413C0">
            <w:pPr>
              <w:rPr>
                <w:rFonts w:ascii="Arial" w:hAnsi="Arial" w:cs="Arial"/>
              </w:rPr>
            </w:pPr>
          </w:p>
          <w:p w:rsidR="002413C0" w:rsidRPr="009147E0" w:rsidRDefault="002413C0" w:rsidP="002413C0">
            <w:pPr>
              <w:rPr>
                <w:rFonts w:ascii="Arial" w:hAnsi="Arial" w:cs="Arial"/>
              </w:rPr>
            </w:pPr>
            <w:r w:rsidRPr="009147E0">
              <w:rPr>
                <w:rFonts w:ascii="Arial" w:hAnsi="Arial" w:cs="Arial"/>
              </w:rPr>
              <w:t>Pfizer Australia Pty Ltd</w:t>
            </w:r>
          </w:p>
          <w:p w:rsidR="002413C0" w:rsidRPr="009147E0" w:rsidRDefault="002413C0" w:rsidP="002413C0">
            <w:pPr>
              <w:rPr>
                <w:rFonts w:ascii="Arial" w:hAnsi="Arial" w:cs="Arial"/>
              </w:rPr>
            </w:pPr>
          </w:p>
          <w:p w:rsidR="002413C0" w:rsidRPr="009147E0" w:rsidRDefault="002413C0" w:rsidP="002413C0">
            <w:pPr>
              <w:rPr>
                <w:rFonts w:ascii="Arial" w:hAnsi="Arial" w:cs="Arial"/>
              </w:rPr>
            </w:pPr>
            <w:r w:rsidRPr="009147E0">
              <w:rPr>
                <w:rFonts w:ascii="Arial" w:hAnsi="Arial" w:cs="Arial"/>
              </w:rPr>
              <w:t>New listing</w:t>
            </w:r>
          </w:p>
          <w:p w:rsidR="002413C0" w:rsidRPr="009147E0" w:rsidRDefault="002413C0" w:rsidP="002413C0">
            <w:pPr>
              <w:rPr>
                <w:rFonts w:ascii="Arial" w:hAnsi="Arial" w:cs="Arial"/>
              </w:rPr>
            </w:pPr>
          </w:p>
          <w:p w:rsidR="002413C0" w:rsidRPr="009147E0" w:rsidRDefault="002413C0" w:rsidP="002413C0">
            <w:pPr>
              <w:rPr>
                <w:rFonts w:ascii="Arial" w:hAnsi="Arial" w:cs="Arial"/>
              </w:rPr>
            </w:pPr>
            <w:r w:rsidRPr="009147E0">
              <w:rPr>
                <w:rFonts w:ascii="Arial" w:hAnsi="Arial" w:cs="Arial"/>
              </w:rPr>
              <w:t>(Major submission)</w:t>
            </w:r>
          </w:p>
          <w:p w:rsidR="002413C0" w:rsidRPr="009147E0" w:rsidRDefault="002413C0" w:rsidP="002413C0">
            <w:pPr>
              <w:rPr>
                <w:rFonts w:ascii="Arial" w:hAnsi="Arial" w:cs="Arial"/>
              </w:rPr>
            </w:pPr>
          </w:p>
        </w:tc>
        <w:tc>
          <w:tcPr>
            <w:tcW w:w="2262" w:type="dxa"/>
            <w:tcMar>
              <w:top w:w="28" w:type="dxa"/>
              <w:bottom w:w="28" w:type="dxa"/>
            </w:tcMar>
          </w:tcPr>
          <w:p w:rsidR="002413C0" w:rsidRPr="009147E0" w:rsidRDefault="002413C0" w:rsidP="00263F7F">
            <w:pPr>
              <w:pStyle w:val="ListParagraph"/>
              <w:ind w:left="0"/>
              <w:rPr>
                <w:rFonts w:ascii="Arial" w:hAnsi="Arial" w:cs="Arial"/>
                <w:sz w:val="20"/>
                <w:szCs w:val="20"/>
              </w:rPr>
            </w:pPr>
            <w:r w:rsidRPr="009147E0">
              <w:rPr>
                <w:rFonts w:ascii="Arial" w:hAnsi="Arial" w:cs="Arial"/>
                <w:sz w:val="20"/>
                <w:szCs w:val="20"/>
              </w:rPr>
              <w:t>Renal cell carcinoma</w:t>
            </w:r>
          </w:p>
        </w:tc>
        <w:tc>
          <w:tcPr>
            <w:tcW w:w="2987" w:type="dxa"/>
            <w:tcMar>
              <w:top w:w="28" w:type="dxa"/>
              <w:bottom w:w="28" w:type="dxa"/>
            </w:tcMar>
          </w:tcPr>
          <w:p w:rsidR="00716DC4" w:rsidRPr="009147E0" w:rsidRDefault="00716DC4" w:rsidP="00263F7F">
            <w:pPr>
              <w:rPr>
                <w:rFonts w:ascii="Arial" w:hAnsi="Arial" w:cs="Arial"/>
              </w:rPr>
            </w:pPr>
            <w:r w:rsidRPr="009147E0">
              <w:rPr>
                <w:rFonts w:ascii="Arial" w:hAnsi="Arial" w:cs="Arial"/>
              </w:rPr>
              <w:t>Authority Required listing for the treatment of Stage IV clear cell variant renal cell carcinoma in patients meeting certain criteria.</w:t>
            </w:r>
          </w:p>
        </w:tc>
        <w:tc>
          <w:tcPr>
            <w:tcW w:w="7192" w:type="dxa"/>
          </w:tcPr>
          <w:p w:rsidR="002413C0" w:rsidRPr="009147E0" w:rsidRDefault="002413C0" w:rsidP="002413C0">
            <w:pPr>
              <w:jc w:val="both"/>
              <w:rPr>
                <w:rFonts w:ascii="Arial" w:hAnsi="Arial" w:cs="Arial"/>
              </w:rPr>
            </w:pPr>
            <w:r w:rsidRPr="009147E0">
              <w:rPr>
                <w:rFonts w:ascii="Arial" w:hAnsi="Arial" w:cs="Arial"/>
              </w:rPr>
              <w:t xml:space="preserve">The PBAC recommended listing axitinib as an Authority Required benefit for the treatment of Stage IV clear cell variant </w:t>
            </w:r>
            <w:r w:rsidR="005F5B5B">
              <w:rPr>
                <w:rFonts w:ascii="Arial" w:hAnsi="Arial" w:cs="Arial"/>
              </w:rPr>
              <w:t>renal cell carcinoma (</w:t>
            </w:r>
            <w:r w:rsidRPr="009147E0">
              <w:rPr>
                <w:rFonts w:ascii="Arial" w:hAnsi="Arial" w:cs="Arial"/>
              </w:rPr>
              <w:t>RCC</w:t>
            </w:r>
            <w:r w:rsidR="005F5B5B">
              <w:rPr>
                <w:rFonts w:ascii="Arial" w:hAnsi="Arial" w:cs="Arial"/>
              </w:rPr>
              <w:t>)</w:t>
            </w:r>
            <w:r w:rsidRPr="009147E0">
              <w:rPr>
                <w:rFonts w:ascii="Arial" w:hAnsi="Arial" w:cs="Arial"/>
              </w:rPr>
              <w:t xml:space="preserve"> in a patient with a WHO performance status of 2 or less, after failure of prior PBS-subsidised first-line treatment for this condition, on a cost-minimisation basis with everolimus. The equi-effective doses are axitinib 5 mg twice daily and everolimus 10 mg once daily. </w:t>
            </w:r>
          </w:p>
          <w:p w:rsidR="002413C0" w:rsidRPr="009147E0" w:rsidRDefault="002413C0" w:rsidP="002413C0">
            <w:pPr>
              <w:jc w:val="both"/>
              <w:rPr>
                <w:rFonts w:ascii="Arial" w:hAnsi="Arial" w:cs="Arial"/>
              </w:rPr>
            </w:pPr>
          </w:p>
          <w:p w:rsidR="002413C0" w:rsidRDefault="002356F5" w:rsidP="002413C0">
            <w:pPr>
              <w:jc w:val="both"/>
              <w:rPr>
                <w:rFonts w:ascii="Arial" w:hAnsi="Arial" w:cs="Arial"/>
              </w:rPr>
            </w:pPr>
            <w:r w:rsidRPr="002356F5">
              <w:rPr>
                <w:rFonts w:ascii="Arial" w:hAnsi="Arial" w:cs="Arial"/>
              </w:rPr>
              <w:t xml:space="preserve">The PBAC acknowledged the clinical need for having an alternative option for second line therapy in the treatment of RCC as conveyed by the </w:t>
            </w:r>
            <w:r>
              <w:rPr>
                <w:rFonts w:ascii="Arial" w:hAnsi="Arial" w:cs="Arial"/>
              </w:rPr>
              <w:t>European Society for Medical Oncology (</w:t>
            </w:r>
            <w:r w:rsidRPr="002356F5">
              <w:rPr>
                <w:rFonts w:ascii="Arial" w:hAnsi="Arial" w:cs="Arial"/>
              </w:rPr>
              <w:t>ESMO</w:t>
            </w:r>
            <w:r>
              <w:rPr>
                <w:rFonts w:ascii="Arial" w:hAnsi="Arial" w:cs="Arial"/>
              </w:rPr>
              <w:t>)</w:t>
            </w:r>
            <w:r w:rsidRPr="002356F5">
              <w:rPr>
                <w:rFonts w:ascii="Arial" w:hAnsi="Arial" w:cs="Arial"/>
              </w:rPr>
              <w:t xml:space="preserve"> clinical practice guidelines and in the sentiment expressed in the consumer comments. The PBAC noted in particular that various consumer comments appeared to convey an unrealistic expectation that axitinib would offer a curative treatment option and was concerned that this expectation was not in accord with the results of t</w:t>
            </w:r>
            <w:r w:rsidR="00710751">
              <w:rPr>
                <w:rFonts w:ascii="Arial" w:hAnsi="Arial" w:cs="Arial"/>
              </w:rPr>
              <w:t>he clinical evidence presented.</w:t>
            </w:r>
            <w:r w:rsidRPr="002356F5">
              <w:rPr>
                <w:rFonts w:ascii="Arial" w:hAnsi="Arial" w:cs="Arial"/>
              </w:rPr>
              <w:t xml:space="preserve"> </w:t>
            </w:r>
            <w:r w:rsidR="00710751" w:rsidRPr="00710751">
              <w:rPr>
                <w:rFonts w:ascii="Arial" w:hAnsi="Arial" w:cs="Arial"/>
              </w:rPr>
              <w:t>The PBAC observed that the reported PFS for patients treated with axitinib was 4.8 months compared with 4.6 months for everolimus in the naïve side by side comparison.</w:t>
            </w:r>
          </w:p>
          <w:p w:rsidR="00F163F8" w:rsidRPr="009147E0" w:rsidRDefault="00F163F8" w:rsidP="002413C0">
            <w:pPr>
              <w:jc w:val="both"/>
              <w:rPr>
                <w:rFonts w:ascii="Arial" w:hAnsi="Arial" w:cs="Arial"/>
              </w:rPr>
            </w:pPr>
          </w:p>
        </w:tc>
      </w:tr>
      <w:tr w:rsidR="00FE54F6" w:rsidRPr="009147E0" w:rsidTr="00CB2D1B">
        <w:trPr>
          <w:cantSplit/>
          <w:trHeight w:val="430"/>
        </w:trPr>
        <w:tc>
          <w:tcPr>
            <w:tcW w:w="3118" w:type="dxa"/>
            <w:tcMar>
              <w:top w:w="28" w:type="dxa"/>
              <w:bottom w:w="28" w:type="dxa"/>
            </w:tcMar>
          </w:tcPr>
          <w:p w:rsidR="00FE04A4" w:rsidRPr="005F5B5B" w:rsidRDefault="00FE04A4" w:rsidP="00313625">
            <w:pPr>
              <w:rPr>
                <w:rFonts w:ascii="Arial" w:hAnsi="Arial" w:cs="Arial"/>
                <w:b/>
              </w:rPr>
            </w:pPr>
            <w:r w:rsidRPr="005F5B5B">
              <w:rPr>
                <w:rFonts w:ascii="Arial" w:hAnsi="Arial" w:cs="Arial"/>
                <w:b/>
              </w:rPr>
              <w:t>BUPRENORPHINE + NALOXONE</w:t>
            </w:r>
          </w:p>
          <w:p w:rsidR="001D764B" w:rsidRPr="009147E0" w:rsidRDefault="001D764B" w:rsidP="00313625">
            <w:pPr>
              <w:rPr>
                <w:rFonts w:ascii="Arial" w:hAnsi="Arial" w:cs="Arial"/>
              </w:rPr>
            </w:pPr>
            <w:r w:rsidRPr="009147E0">
              <w:rPr>
                <w:rFonts w:ascii="Arial" w:hAnsi="Arial" w:cs="Arial"/>
              </w:rPr>
              <w:t>4mg/1mg film: sublingual, 12mg/3mg film: sublingual,</w:t>
            </w:r>
          </w:p>
          <w:p w:rsidR="001D764B" w:rsidRPr="009147E0" w:rsidRDefault="001D764B" w:rsidP="00313625">
            <w:pPr>
              <w:rPr>
                <w:rFonts w:ascii="Arial" w:hAnsi="Arial" w:cs="Arial"/>
              </w:rPr>
            </w:pPr>
          </w:p>
          <w:p w:rsidR="001D764B" w:rsidRPr="009147E0" w:rsidRDefault="001D764B" w:rsidP="00313625">
            <w:pPr>
              <w:rPr>
                <w:rFonts w:ascii="Arial" w:hAnsi="Arial" w:cs="Arial"/>
              </w:rPr>
            </w:pPr>
            <w:r w:rsidRPr="009147E0">
              <w:rPr>
                <w:rFonts w:ascii="Arial" w:hAnsi="Arial" w:cs="Arial"/>
              </w:rPr>
              <w:t>Suboxone</w:t>
            </w:r>
            <w:r w:rsidRPr="009147E0">
              <w:rPr>
                <w:rFonts w:ascii="Arial" w:hAnsi="Arial" w:cs="Arial"/>
                <w:vertAlign w:val="superscript"/>
              </w:rPr>
              <w:t>®</w:t>
            </w:r>
            <w:r w:rsidRPr="009147E0">
              <w:rPr>
                <w:rFonts w:ascii="Arial" w:hAnsi="Arial" w:cs="Arial"/>
              </w:rPr>
              <w:t xml:space="preserve"> sublingual film,</w:t>
            </w:r>
          </w:p>
          <w:p w:rsidR="001D764B" w:rsidRPr="009147E0" w:rsidRDefault="001D764B" w:rsidP="00313625">
            <w:pPr>
              <w:rPr>
                <w:rFonts w:ascii="Arial" w:hAnsi="Arial" w:cs="Arial"/>
              </w:rPr>
            </w:pPr>
          </w:p>
          <w:p w:rsidR="00FE54F6" w:rsidRPr="009147E0" w:rsidRDefault="001D764B" w:rsidP="00313625">
            <w:pPr>
              <w:rPr>
                <w:rFonts w:ascii="Arial" w:hAnsi="Arial" w:cs="Arial"/>
              </w:rPr>
            </w:pPr>
            <w:r w:rsidRPr="009147E0">
              <w:rPr>
                <w:rFonts w:ascii="Arial" w:hAnsi="Arial" w:cs="Arial"/>
              </w:rPr>
              <w:t>Reckitt Benckiser Pty Ltd.</w:t>
            </w:r>
          </w:p>
          <w:p w:rsidR="001D764B" w:rsidRPr="009147E0" w:rsidRDefault="001D764B" w:rsidP="00313625">
            <w:pPr>
              <w:rPr>
                <w:rFonts w:ascii="Arial" w:hAnsi="Arial" w:cs="Arial"/>
              </w:rPr>
            </w:pPr>
          </w:p>
          <w:p w:rsidR="006C0601" w:rsidRPr="009147E0" w:rsidRDefault="006C0601" w:rsidP="00313625">
            <w:pPr>
              <w:rPr>
                <w:rFonts w:ascii="Arial" w:hAnsi="Arial" w:cs="Arial"/>
              </w:rPr>
            </w:pPr>
            <w:r w:rsidRPr="009147E0">
              <w:rPr>
                <w:rFonts w:ascii="Arial" w:hAnsi="Arial" w:cs="Arial"/>
              </w:rPr>
              <w:t>New listing</w:t>
            </w:r>
          </w:p>
          <w:p w:rsidR="006C0601" w:rsidRPr="009147E0" w:rsidRDefault="006C0601" w:rsidP="00313625">
            <w:pPr>
              <w:rPr>
                <w:rFonts w:ascii="Arial" w:hAnsi="Arial" w:cs="Arial"/>
              </w:rPr>
            </w:pPr>
          </w:p>
          <w:p w:rsidR="001D764B" w:rsidRDefault="001D764B" w:rsidP="00313625">
            <w:pPr>
              <w:rPr>
                <w:rFonts w:ascii="Arial" w:hAnsi="Arial" w:cs="Arial"/>
              </w:rPr>
            </w:pPr>
            <w:r w:rsidRPr="009147E0">
              <w:rPr>
                <w:rFonts w:ascii="Arial" w:hAnsi="Arial" w:cs="Arial"/>
              </w:rPr>
              <w:t>(Minor submission)</w:t>
            </w:r>
          </w:p>
          <w:p w:rsidR="005F5B5B" w:rsidRPr="009147E0" w:rsidRDefault="005F5B5B" w:rsidP="00313625">
            <w:pPr>
              <w:rPr>
                <w:rStyle w:val="st"/>
                <w:rFonts w:ascii="Arial" w:hAnsi="Arial" w:cs="Arial"/>
              </w:rPr>
            </w:pPr>
          </w:p>
        </w:tc>
        <w:tc>
          <w:tcPr>
            <w:tcW w:w="2262" w:type="dxa"/>
            <w:tcMar>
              <w:top w:w="28" w:type="dxa"/>
              <w:bottom w:w="28" w:type="dxa"/>
            </w:tcMar>
          </w:tcPr>
          <w:p w:rsidR="00FE54F6" w:rsidRPr="009147E0" w:rsidRDefault="001D764B" w:rsidP="00263F7F">
            <w:pPr>
              <w:pStyle w:val="ListParagraph"/>
              <w:ind w:left="0"/>
              <w:rPr>
                <w:rFonts w:ascii="Arial" w:hAnsi="Arial" w:cs="Arial"/>
                <w:sz w:val="20"/>
                <w:szCs w:val="20"/>
              </w:rPr>
            </w:pPr>
            <w:r w:rsidRPr="009147E0">
              <w:rPr>
                <w:rFonts w:ascii="Arial" w:hAnsi="Arial" w:cs="Arial"/>
                <w:sz w:val="20"/>
                <w:szCs w:val="20"/>
              </w:rPr>
              <w:t>Opiate dependence</w:t>
            </w:r>
          </w:p>
        </w:tc>
        <w:tc>
          <w:tcPr>
            <w:tcW w:w="2987" w:type="dxa"/>
            <w:tcMar>
              <w:top w:w="28" w:type="dxa"/>
              <w:bottom w:w="28" w:type="dxa"/>
            </w:tcMar>
          </w:tcPr>
          <w:p w:rsidR="00FE54F6" w:rsidRPr="009147E0" w:rsidRDefault="00716DC4" w:rsidP="00263F7F">
            <w:pPr>
              <w:pStyle w:val="ListParagraph"/>
              <w:ind w:left="0"/>
              <w:rPr>
                <w:rFonts w:ascii="Arial" w:hAnsi="Arial" w:cs="Arial"/>
                <w:b/>
                <w:sz w:val="20"/>
                <w:szCs w:val="20"/>
              </w:rPr>
            </w:pPr>
            <w:r w:rsidRPr="009147E0">
              <w:rPr>
                <w:rFonts w:ascii="Arial" w:hAnsi="Arial" w:cs="Arial"/>
                <w:sz w:val="20"/>
                <w:szCs w:val="20"/>
              </w:rPr>
              <w:t>Section 100 (Opiate Dependence Treatment Program) listing of two new strengths of buprenorphine + naloxone sublingual film.</w:t>
            </w:r>
          </w:p>
        </w:tc>
        <w:tc>
          <w:tcPr>
            <w:tcW w:w="7192" w:type="dxa"/>
          </w:tcPr>
          <w:p w:rsidR="00FE54F6" w:rsidRPr="009147E0" w:rsidRDefault="001D764B" w:rsidP="005F5B5B">
            <w:pPr>
              <w:jc w:val="both"/>
              <w:rPr>
                <w:rFonts w:ascii="Arial" w:hAnsi="Arial" w:cs="Arial"/>
              </w:rPr>
            </w:pPr>
            <w:r w:rsidRPr="009147E0">
              <w:rPr>
                <w:rFonts w:ascii="Arial" w:hAnsi="Arial" w:cs="Arial"/>
              </w:rPr>
              <w:t>The PBAC recommended the listing of two additional strengths of buprenorphine</w:t>
            </w:r>
            <w:r w:rsidR="005F5B5B">
              <w:rPr>
                <w:rFonts w:ascii="Arial" w:hAnsi="Arial" w:cs="Arial"/>
              </w:rPr>
              <w:t xml:space="preserve"> + </w:t>
            </w:r>
            <w:r w:rsidRPr="009147E0">
              <w:rPr>
                <w:rFonts w:ascii="Arial" w:hAnsi="Arial" w:cs="Arial"/>
              </w:rPr>
              <w:t xml:space="preserve">naloxone (12mg/3mg and 4mg/1mg) on the basis that it provides benefits to both patients and prescribers in relation to the quality use of medicines, namely, that there is a shorter administration time and potential for a decreased risk of diversion, while improving flexibility of dose titration. </w:t>
            </w:r>
          </w:p>
        </w:tc>
      </w:tr>
      <w:tr w:rsidR="000812EE" w:rsidRPr="009147E0" w:rsidTr="00CB2D1B">
        <w:trPr>
          <w:cantSplit/>
          <w:trHeight w:val="430"/>
        </w:trPr>
        <w:tc>
          <w:tcPr>
            <w:tcW w:w="3118" w:type="dxa"/>
            <w:tcMar>
              <w:top w:w="28" w:type="dxa"/>
              <w:bottom w:w="28" w:type="dxa"/>
            </w:tcMar>
          </w:tcPr>
          <w:p w:rsidR="005F5B5B" w:rsidRPr="005F5B5B" w:rsidRDefault="005F5B5B" w:rsidP="00FE04A4">
            <w:pPr>
              <w:rPr>
                <w:rFonts w:ascii="Arial" w:hAnsi="Arial" w:cs="Arial"/>
                <w:b/>
              </w:rPr>
            </w:pPr>
            <w:r w:rsidRPr="005F5B5B">
              <w:rPr>
                <w:rFonts w:ascii="Arial" w:hAnsi="Arial" w:cs="Arial"/>
                <w:b/>
              </w:rPr>
              <w:lastRenderedPageBreak/>
              <w:t>CERTOLIZUMAB PEGOL</w:t>
            </w:r>
          </w:p>
          <w:p w:rsidR="000812EE" w:rsidRPr="009147E0" w:rsidRDefault="000812EE" w:rsidP="00FE04A4">
            <w:pPr>
              <w:rPr>
                <w:rFonts w:ascii="Arial" w:hAnsi="Arial" w:cs="Arial"/>
              </w:rPr>
            </w:pPr>
            <w:r w:rsidRPr="009147E0">
              <w:rPr>
                <w:rFonts w:ascii="Arial" w:hAnsi="Arial" w:cs="Arial"/>
              </w:rPr>
              <w:t xml:space="preserve">200 mg/ml injection, 2 x 1 ml syringes </w:t>
            </w:r>
          </w:p>
          <w:p w:rsidR="000812EE" w:rsidRPr="009147E0" w:rsidRDefault="000812EE" w:rsidP="00FE04A4">
            <w:pPr>
              <w:rPr>
                <w:rFonts w:ascii="Arial" w:hAnsi="Arial" w:cs="Arial"/>
              </w:rPr>
            </w:pPr>
          </w:p>
          <w:p w:rsidR="000812EE" w:rsidRPr="009147E0" w:rsidRDefault="000812EE" w:rsidP="00FE04A4">
            <w:pPr>
              <w:rPr>
                <w:rFonts w:ascii="Arial" w:hAnsi="Arial" w:cs="Arial"/>
              </w:rPr>
            </w:pPr>
            <w:r w:rsidRPr="009147E0">
              <w:rPr>
                <w:rFonts w:ascii="Arial" w:hAnsi="Arial" w:cs="Arial"/>
              </w:rPr>
              <w:t xml:space="preserve">Cimzia® </w:t>
            </w:r>
          </w:p>
          <w:p w:rsidR="000812EE" w:rsidRPr="009147E0" w:rsidRDefault="000812EE" w:rsidP="00FE04A4">
            <w:pPr>
              <w:rPr>
                <w:rFonts w:ascii="Arial" w:hAnsi="Arial" w:cs="Arial"/>
              </w:rPr>
            </w:pPr>
          </w:p>
          <w:p w:rsidR="000812EE" w:rsidRPr="009147E0" w:rsidRDefault="000812EE" w:rsidP="00FE04A4">
            <w:pPr>
              <w:rPr>
                <w:rFonts w:ascii="Arial" w:hAnsi="Arial" w:cs="Arial"/>
              </w:rPr>
            </w:pPr>
            <w:r w:rsidRPr="009147E0">
              <w:rPr>
                <w:rFonts w:ascii="Arial" w:hAnsi="Arial" w:cs="Arial"/>
              </w:rPr>
              <w:t>UCB Australia Pty Ltd</w:t>
            </w:r>
          </w:p>
          <w:p w:rsidR="000812EE" w:rsidRPr="009147E0" w:rsidRDefault="000812EE" w:rsidP="00FE04A4">
            <w:pPr>
              <w:rPr>
                <w:rFonts w:ascii="Arial" w:hAnsi="Arial" w:cs="Arial"/>
              </w:rPr>
            </w:pPr>
          </w:p>
          <w:p w:rsidR="000812EE" w:rsidRPr="009147E0" w:rsidRDefault="000812EE" w:rsidP="00FE04A4">
            <w:pPr>
              <w:rPr>
                <w:rFonts w:ascii="Arial" w:hAnsi="Arial" w:cs="Arial"/>
              </w:rPr>
            </w:pPr>
            <w:r w:rsidRPr="009147E0">
              <w:rPr>
                <w:rFonts w:ascii="Arial" w:hAnsi="Arial" w:cs="Arial"/>
              </w:rPr>
              <w:t>Change to listing</w:t>
            </w:r>
          </w:p>
          <w:p w:rsidR="000812EE" w:rsidRPr="009147E0" w:rsidRDefault="000812EE" w:rsidP="00FE04A4">
            <w:pPr>
              <w:rPr>
                <w:rFonts w:ascii="Arial" w:hAnsi="Arial" w:cs="Arial"/>
              </w:rPr>
            </w:pPr>
          </w:p>
          <w:p w:rsidR="000812EE" w:rsidRDefault="000812EE" w:rsidP="00FE04A4">
            <w:pPr>
              <w:rPr>
                <w:rFonts w:ascii="Arial" w:hAnsi="Arial" w:cs="Arial"/>
              </w:rPr>
            </w:pPr>
            <w:r w:rsidRPr="009147E0">
              <w:rPr>
                <w:rFonts w:ascii="Arial" w:hAnsi="Arial" w:cs="Arial"/>
              </w:rPr>
              <w:t>(Major submission)</w:t>
            </w:r>
          </w:p>
          <w:p w:rsidR="005F5B5B" w:rsidRPr="009147E0" w:rsidRDefault="005F5B5B" w:rsidP="00FE04A4">
            <w:pPr>
              <w:rPr>
                <w:rFonts w:ascii="Arial" w:hAnsi="Arial" w:cs="Arial"/>
              </w:rPr>
            </w:pPr>
          </w:p>
        </w:tc>
        <w:tc>
          <w:tcPr>
            <w:tcW w:w="2262" w:type="dxa"/>
            <w:tcMar>
              <w:top w:w="28" w:type="dxa"/>
              <w:bottom w:w="28" w:type="dxa"/>
            </w:tcMar>
          </w:tcPr>
          <w:p w:rsidR="000812EE" w:rsidRPr="009147E0" w:rsidRDefault="000812EE" w:rsidP="00263F7F">
            <w:pPr>
              <w:rPr>
                <w:rFonts w:ascii="Arial" w:hAnsi="Arial" w:cs="Arial"/>
              </w:rPr>
            </w:pPr>
            <w:r w:rsidRPr="009147E0">
              <w:rPr>
                <w:rFonts w:ascii="Arial" w:hAnsi="Arial" w:cs="Arial"/>
              </w:rPr>
              <w:t>Psoriatic arthritis</w:t>
            </w:r>
          </w:p>
        </w:tc>
        <w:tc>
          <w:tcPr>
            <w:tcW w:w="2987" w:type="dxa"/>
            <w:tcMar>
              <w:top w:w="28" w:type="dxa"/>
              <w:bottom w:w="28" w:type="dxa"/>
            </w:tcMar>
          </w:tcPr>
          <w:p w:rsidR="000812EE" w:rsidRPr="009147E0" w:rsidRDefault="00716DC4" w:rsidP="00263F7F">
            <w:pPr>
              <w:rPr>
                <w:rFonts w:ascii="Arial" w:hAnsi="Arial" w:cs="Arial"/>
              </w:rPr>
            </w:pPr>
            <w:r w:rsidRPr="009147E0">
              <w:rPr>
                <w:rFonts w:ascii="Arial" w:hAnsi="Arial" w:cs="Arial"/>
              </w:rPr>
              <w:t>Authority Required listing for the treatment of patients with severe active psoriatic arthritis who meet certain criteria.</w:t>
            </w:r>
          </w:p>
        </w:tc>
        <w:tc>
          <w:tcPr>
            <w:tcW w:w="7192" w:type="dxa"/>
          </w:tcPr>
          <w:p w:rsidR="000812EE" w:rsidRPr="009147E0" w:rsidRDefault="000812EE" w:rsidP="00FE04A4">
            <w:pPr>
              <w:rPr>
                <w:rFonts w:ascii="Arial" w:hAnsi="Arial" w:cs="Arial"/>
              </w:rPr>
            </w:pPr>
            <w:r w:rsidRPr="009147E0">
              <w:rPr>
                <w:rFonts w:ascii="Arial" w:hAnsi="Arial" w:cs="Arial"/>
              </w:rPr>
              <w:t xml:space="preserve">The PBAC recommended an Authority Required benefit listing of certolizumab </w:t>
            </w:r>
            <w:r w:rsidR="005F5B5B">
              <w:rPr>
                <w:rFonts w:ascii="Arial" w:hAnsi="Arial" w:cs="Arial"/>
              </w:rPr>
              <w:t xml:space="preserve">pegol </w:t>
            </w:r>
            <w:r w:rsidRPr="009147E0">
              <w:rPr>
                <w:rFonts w:ascii="Arial" w:hAnsi="Arial" w:cs="Arial"/>
              </w:rPr>
              <w:t>(CZP) for the treatment of psoriatic arthritis on the cost-minimisation basis with adalimumab (ADA), at the sponsor’s proposed price. The equi-effective doses are CZP 400mg at weeks 0, 2, 4 followed by 200mg every 2 wee</w:t>
            </w:r>
            <w:r w:rsidR="005F5B5B">
              <w:rPr>
                <w:rFonts w:ascii="Arial" w:hAnsi="Arial" w:cs="Arial"/>
              </w:rPr>
              <w:t>ks or 400mg every 4 weeks equal to</w:t>
            </w:r>
            <w:r w:rsidRPr="009147E0">
              <w:rPr>
                <w:rFonts w:ascii="Arial" w:hAnsi="Arial" w:cs="Arial"/>
              </w:rPr>
              <w:t xml:space="preserve"> ADA 40mg every 2 weeks.</w:t>
            </w:r>
          </w:p>
        </w:tc>
      </w:tr>
      <w:tr w:rsidR="003D70C4" w:rsidRPr="009147E0" w:rsidTr="00CB2D1B">
        <w:trPr>
          <w:cantSplit/>
          <w:trHeight w:val="430"/>
        </w:trPr>
        <w:tc>
          <w:tcPr>
            <w:tcW w:w="3118" w:type="dxa"/>
            <w:tcMar>
              <w:top w:w="28" w:type="dxa"/>
              <w:bottom w:w="28" w:type="dxa"/>
            </w:tcMar>
          </w:tcPr>
          <w:p w:rsidR="003D70C4" w:rsidRPr="005F5B5B" w:rsidRDefault="003D70C4" w:rsidP="003D70C4">
            <w:pPr>
              <w:rPr>
                <w:rFonts w:ascii="Arial" w:hAnsi="Arial" w:cs="Arial"/>
                <w:b/>
              </w:rPr>
            </w:pPr>
            <w:r w:rsidRPr="005F5B5B">
              <w:rPr>
                <w:rFonts w:ascii="Arial" w:hAnsi="Arial" w:cs="Arial"/>
                <w:b/>
              </w:rPr>
              <w:t>CETUXIMAB</w:t>
            </w:r>
          </w:p>
          <w:p w:rsidR="003D70C4" w:rsidRPr="009147E0" w:rsidRDefault="003D70C4" w:rsidP="003D70C4">
            <w:pPr>
              <w:rPr>
                <w:rFonts w:ascii="Arial" w:hAnsi="Arial" w:cs="Arial"/>
              </w:rPr>
            </w:pPr>
            <w:r w:rsidRPr="009147E0">
              <w:rPr>
                <w:rFonts w:ascii="Arial" w:hAnsi="Arial" w:cs="Arial"/>
              </w:rPr>
              <w:t>100 mg/20 mL injection, 1 x 20 mL vial</w:t>
            </w:r>
          </w:p>
          <w:p w:rsidR="003D70C4" w:rsidRPr="009147E0" w:rsidRDefault="003D70C4" w:rsidP="003D70C4">
            <w:pPr>
              <w:rPr>
                <w:rFonts w:ascii="Arial" w:hAnsi="Arial" w:cs="Arial"/>
              </w:rPr>
            </w:pPr>
            <w:r w:rsidRPr="009147E0">
              <w:rPr>
                <w:rFonts w:ascii="Arial" w:hAnsi="Arial" w:cs="Arial"/>
              </w:rPr>
              <w:t>500 mg/100 mL injection, 1 x 100 mL vial</w:t>
            </w:r>
          </w:p>
          <w:p w:rsidR="003D70C4" w:rsidRPr="009147E0" w:rsidRDefault="003D70C4" w:rsidP="003D70C4">
            <w:pPr>
              <w:rPr>
                <w:rFonts w:ascii="Arial" w:hAnsi="Arial" w:cs="Arial"/>
              </w:rPr>
            </w:pPr>
            <w:r w:rsidRPr="009147E0">
              <w:rPr>
                <w:rFonts w:ascii="Arial" w:hAnsi="Arial" w:cs="Arial"/>
              </w:rPr>
              <w:t> </w:t>
            </w:r>
          </w:p>
          <w:p w:rsidR="003D70C4" w:rsidRPr="009147E0" w:rsidRDefault="003D70C4" w:rsidP="003D70C4">
            <w:pPr>
              <w:rPr>
                <w:rFonts w:ascii="Arial" w:hAnsi="Arial" w:cs="Arial"/>
              </w:rPr>
            </w:pPr>
            <w:r w:rsidRPr="009147E0">
              <w:rPr>
                <w:rFonts w:ascii="Arial" w:hAnsi="Arial" w:cs="Arial"/>
              </w:rPr>
              <w:t>Erbitux</w:t>
            </w:r>
            <w:r w:rsidRPr="009147E0">
              <w:rPr>
                <w:rFonts w:ascii="Arial" w:hAnsi="Arial" w:cs="Arial"/>
                <w:vertAlign w:val="superscript"/>
              </w:rPr>
              <w:t>®</w:t>
            </w:r>
          </w:p>
          <w:p w:rsidR="003D70C4" w:rsidRPr="009147E0" w:rsidRDefault="003D70C4" w:rsidP="003D70C4">
            <w:pPr>
              <w:rPr>
                <w:rFonts w:ascii="Arial" w:hAnsi="Arial" w:cs="Arial"/>
              </w:rPr>
            </w:pPr>
            <w:r w:rsidRPr="009147E0">
              <w:rPr>
                <w:rFonts w:ascii="Arial" w:hAnsi="Arial" w:cs="Arial"/>
              </w:rPr>
              <w:t> </w:t>
            </w:r>
          </w:p>
          <w:p w:rsidR="003D70C4" w:rsidRPr="009147E0" w:rsidRDefault="003D70C4" w:rsidP="003D70C4">
            <w:pPr>
              <w:rPr>
                <w:rFonts w:ascii="Arial" w:hAnsi="Arial" w:cs="Arial"/>
              </w:rPr>
            </w:pPr>
            <w:r w:rsidRPr="009147E0">
              <w:rPr>
                <w:rFonts w:ascii="Arial" w:hAnsi="Arial" w:cs="Arial"/>
              </w:rPr>
              <w:t>Merck Serono Australia Pty Ltd</w:t>
            </w:r>
          </w:p>
          <w:p w:rsidR="003D70C4" w:rsidRPr="009147E0" w:rsidRDefault="003D70C4" w:rsidP="003D70C4">
            <w:pPr>
              <w:rPr>
                <w:rFonts w:ascii="Arial" w:hAnsi="Arial" w:cs="Arial"/>
              </w:rPr>
            </w:pPr>
          </w:p>
          <w:p w:rsidR="003D70C4" w:rsidRPr="009147E0" w:rsidRDefault="003D70C4" w:rsidP="003D70C4">
            <w:pPr>
              <w:rPr>
                <w:rFonts w:ascii="Arial" w:hAnsi="Arial" w:cs="Arial"/>
              </w:rPr>
            </w:pPr>
            <w:r w:rsidRPr="009147E0">
              <w:rPr>
                <w:rFonts w:ascii="Arial" w:hAnsi="Arial" w:cs="Arial"/>
              </w:rPr>
              <w:t>Change to listing</w:t>
            </w:r>
          </w:p>
          <w:p w:rsidR="003D70C4" w:rsidRPr="009147E0" w:rsidRDefault="003D70C4" w:rsidP="003D70C4">
            <w:pPr>
              <w:rPr>
                <w:rFonts w:ascii="Arial" w:hAnsi="Arial" w:cs="Arial"/>
              </w:rPr>
            </w:pPr>
          </w:p>
          <w:p w:rsidR="003D70C4" w:rsidRPr="009147E0" w:rsidRDefault="003D70C4" w:rsidP="003D70C4">
            <w:pPr>
              <w:rPr>
                <w:rFonts w:ascii="Arial" w:hAnsi="Arial" w:cs="Arial"/>
              </w:rPr>
            </w:pPr>
            <w:r w:rsidRPr="009147E0">
              <w:rPr>
                <w:rFonts w:ascii="Arial" w:hAnsi="Arial" w:cs="Arial"/>
              </w:rPr>
              <w:t>(Major submission)</w:t>
            </w:r>
          </w:p>
          <w:p w:rsidR="003D70C4" w:rsidRPr="009147E0" w:rsidRDefault="003D70C4" w:rsidP="00FE04A4">
            <w:pPr>
              <w:rPr>
                <w:rFonts w:ascii="Arial" w:hAnsi="Arial" w:cs="Arial"/>
              </w:rPr>
            </w:pPr>
          </w:p>
        </w:tc>
        <w:tc>
          <w:tcPr>
            <w:tcW w:w="2262" w:type="dxa"/>
            <w:tcMar>
              <w:top w:w="28" w:type="dxa"/>
              <w:bottom w:w="28" w:type="dxa"/>
            </w:tcMar>
          </w:tcPr>
          <w:p w:rsidR="003D70C4" w:rsidRPr="009147E0" w:rsidRDefault="003D70C4" w:rsidP="00263F7F">
            <w:pPr>
              <w:rPr>
                <w:rFonts w:ascii="Arial" w:hAnsi="Arial" w:cs="Arial"/>
              </w:rPr>
            </w:pPr>
            <w:r w:rsidRPr="009147E0">
              <w:rPr>
                <w:rFonts w:ascii="Arial" w:hAnsi="Arial" w:cs="Arial"/>
              </w:rPr>
              <w:t>Colorectal cancer</w:t>
            </w:r>
          </w:p>
          <w:p w:rsidR="003D70C4" w:rsidRPr="009147E0" w:rsidRDefault="003D70C4" w:rsidP="00263F7F">
            <w:pPr>
              <w:rPr>
                <w:rFonts w:ascii="Arial" w:hAnsi="Arial" w:cs="Arial"/>
              </w:rPr>
            </w:pPr>
          </w:p>
        </w:tc>
        <w:tc>
          <w:tcPr>
            <w:tcW w:w="2987" w:type="dxa"/>
            <w:tcMar>
              <w:top w:w="28" w:type="dxa"/>
              <w:bottom w:w="28" w:type="dxa"/>
            </w:tcMar>
          </w:tcPr>
          <w:p w:rsidR="003D70C4" w:rsidRPr="009147E0" w:rsidRDefault="003D70C4" w:rsidP="00263F7F">
            <w:pPr>
              <w:rPr>
                <w:rFonts w:ascii="Arial" w:hAnsi="Arial" w:cs="Arial"/>
              </w:rPr>
            </w:pPr>
            <w:r w:rsidRPr="009147E0">
              <w:rPr>
                <w:rFonts w:ascii="Arial" w:hAnsi="Arial" w:cs="Arial"/>
              </w:rPr>
              <w:t>Section 100 (Efficient Funding of Chemotherapy) Authority Required (STREAMLINED) listing for the first line treatment of metastatic colorectal cancer in patients who meet certain criteria.</w:t>
            </w:r>
          </w:p>
        </w:tc>
        <w:tc>
          <w:tcPr>
            <w:tcW w:w="7192" w:type="dxa"/>
          </w:tcPr>
          <w:p w:rsidR="003D70C4" w:rsidRDefault="003D70C4" w:rsidP="00FE04A4">
            <w:pPr>
              <w:rPr>
                <w:rFonts w:ascii="Arial" w:hAnsi="Arial" w:cs="Arial"/>
              </w:rPr>
            </w:pPr>
            <w:r w:rsidRPr="009147E0">
              <w:rPr>
                <w:rFonts w:ascii="Arial" w:hAnsi="Arial" w:cs="Arial"/>
              </w:rPr>
              <w:t>The PBAC recommended extending cetuximab’s existing listing to include first-line treatment of metastatic colorectal cancer on a cost-minimisation basis compared with bevacizumab. The equi-effective doses are cetuximab 8,356</w:t>
            </w:r>
            <w:r w:rsidR="005F5B5B">
              <w:rPr>
                <w:rFonts w:ascii="Arial" w:hAnsi="Arial" w:cs="Arial"/>
              </w:rPr>
              <w:t xml:space="preserve"> </w:t>
            </w:r>
            <w:r w:rsidRPr="009147E0">
              <w:rPr>
                <w:rFonts w:ascii="Arial" w:hAnsi="Arial" w:cs="Arial"/>
              </w:rPr>
              <w:t>mg and bevacizumab 4,229</w:t>
            </w:r>
            <w:r w:rsidR="005F5B5B">
              <w:rPr>
                <w:rFonts w:ascii="Arial" w:hAnsi="Arial" w:cs="Arial"/>
              </w:rPr>
              <w:t xml:space="preserve"> </w:t>
            </w:r>
            <w:r w:rsidRPr="009147E0">
              <w:rPr>
                <w:rFonts w:ascii="Arial" w:hAnsi="Arial" w:cs="Arial"/>
              </w:rPr>
              <w:t>mg. The availability of first-line cetuximab in the PBS would increase choices of first-line treatment for patients with a RAS wild type status.</w:t>
            </w:r>
          </w:p>
          <w:p w:rsidR="00BE6C24" w:rsidRDefault="00BE6C24" w:rsidP="00FE04A4">
            <w:pPr>
              <w:rPr>
                <w:rFonts w:ascii="Arial" w:hAnsi="Arial" w:cs="Arial"/>
              </w:rPr>
            </w:pPr>
          </w:p>
          <w:p w:rsidR="00BE6C24" w:rsidRDefault="00BE6C24" w:rsidP="00FE04A4">
            <w:pPr>
              <w:rPr>
                <w:rFonts w:ascii="Arial" w:hAnsi="Arial" w:cs="Arial"/>
              </w:rPr>
            </w:pPr>
            <w:r w:rsidRPr="00BE6C24">
              <w:rPr>
                <w:rFonts w:ascii="Arial" w:hAnsi="Arial" w:cs="Arial"/>
              </w:rPr>
              <w:t>The PBAC recalled that the amendment of cetuximab later-line restriction from KRAS WT to RAS WT status was recommended at its July 2014 meeting when recommendation for the equivalent amendment of panitumumab PBS restriction was made.</w:t>
            </w:r>
          </w:p>
          <w:p w:rsidR="00BE6C24" w:rsidRDefault="00BE6C24" w:rsidP="00FE04A4">
            <w:pPr>
              <w:rPr>
                <w:rFonts w:ascii="Arial" w:hAnsi="Arial" w:cs="Arial"/>
              </w:rPr>
            </w:pPr>
          </w:p>
          <w:p w:rsidR="00BE6C24" w:rsidRDefault="00BE6C24" w:rsidP="00FE04A4">
            <w:pPr>
              <w:rPr>
                <w:rFonts w:ascii="Arial" w:hAnsi="Arial" w:cs="Arial"/>
              </w:rPr>
            </w:pPr>
            <w:r w:rsidRPr="00BE6C24">
              <w:rPr>
                <w:rFonts w:ascii="Arial" w:hAnsi="Arial" w:cs="Arial"/>
              </w:rPr>
              <w:t>The PBAC considered that the requested restriction should 1) include a note stating “Patient must not switch chemotherapy partners whilst maintaining an anti-EGFR antibody backbone in the face of progressive disease” in order to help prevent cetuximab being used beyond disease progression; 2) amend WHO performance status to be 1 or less; 3) limit use to a course of cetuximab for mCRC once in a life time (and allow a switch to panitumumab during a course only according to the arrangements already in place for PBS subsidy of later-line therapy); 4) indicate anti-EGFR antibody and anti-VEGF antibody cannot be used at the same time.</w:t>
            </w:r>
          </w:p>
          <w:p w:rsidR="00F163F8" w:rsidRPr="009147E0" w:rsidRDefault="00F163F8" w:rsidP="00FE04A4">
            <w:pPr>
              <w:rPr>
                <w:rFonts w:ascii="Arial" w:hAnsi="Arial" w:cs="Arial"/>
              </w:rPr>
            </w:pPr>
          </w:p>
        </w:tc>
      </w:tr>
      <w:tr w:rsidR="00FE54F6" w:rsidRPr="009147E0" w:rsidTr="00CB2D1B">
        <w:trPr>
          <w:cantSplit/>
          <w:trHeight w:val="430"/>
        </w:trPr>
        <w:tc>
          <w:tcPr>
            <w:tcW w:w="3118" w:type="dxa"/>
            <w:tcMar>
              <w:top w:w="28" w:type="dxa"/>
              <w:bottom w:w="28" w:type="dxa"/>
            </w:tcMar>
          </w:tcPr>
          <w:p w:rsidR="00FE04A4" w:rsidRPr="005F5B5B" w:rsidRDefault="00FE04A4" w:rsidP="00FE04A4">
            <w:pPr>
              <w:rPr>
                <w:rFonts w:ascii="Arial" w:hAnsi="Arial" w:cs="Arial"/>
                <w:b/>
              </w:rPr>
            </w:pPr>
            <w:r w:rsidRPr="005F5B5B">
              <w:rPr>
                <w:rFonts w:ascii="Arial" w:hAnsi="Arial" w:cs="Arial"/>
                <w:b/>
              </w:rPr>
              <w:lastRenderedPageBreak/>
              <w:t>COAL TAR PREPARED</w:t>
            </w:r>
          </w:p>
          <w:p w:rsidR="00FE04A4" w:rsidRPr="009147E0" w:rsidRDefault="005F5B5B" w:rsidP="00FE04A4">
            <w:pPr>
              <w:rPr>
                <w:rFonts w:ascii="Arial" w:hAnsi="Arial" w:cs="Arial"/>
              </w:rPr>
            </w:pPr>
            <w:r w:rsidRPr="009147E0">
              <w:rPr>
                <w:rFonts w:ascii="Arial" w:hAnsi="Arial" w:cs="Arial"/>
              </w:rPr>
              <w:t xml:space="preserve">foam aerosol, </w:t>
            </w:r>
            <w:r w:rsidR="00FE04A4" w:rsidRPr="009147E0">
              <w:rPr>
                <w:rFonts w:ascii="Arial" w:hAnsi="Arial" w:cs="Arial"/>
              </w:rPr>
              <w:t>2% (20 mg/g), 100 g,</w:t>
            </w:r>
          </w:p>
          <w:p w:rsidR="00FE04A4" w:rsidRPr="009147E0" w:rsidRDefault="00FE04A4" w:rsidP="00FE04A4">
            <w:pPr>
              <w:rPr>
                <w:rFonts w:ascii="Arial" w:hAnsi="Arial" w:cs="Arial"/>
              </w:rPr>
            </w:pPr>
          </w:p>
          <w:p w:rsidR="00FE04A4" w:rsidRPr="009147E0" w:rsidRDefault="00FE04A4" w:rsidP="00FE04A4">
            <w:pPr>
              <w:rPr>
                <w:rFonts w:ascii="Arial" w:hAnsi="Arial" w:cs="Arial"/>
              </w:rPr>
            </w:pPr>
            <w:r w:rsidRPr="009147E0">
              <w:rPr>
                <w:rFonts w:ascii="Arial" w:hAnsi="Arial" w:cs="Arial"/>
              </w:rPr>
              <w:t>Scytera® Foam</w:t>
            </w:r>
          </w:p>
          <w:p w:rsidR="00FE04A4" w:rsidRPr="009147E0" w:rsidRDefault="00FE04A4" w:rsidP="00FE04A4">
            <w:pPr>
              <w:rPr>
                <w:rFonts w:ascii="Arial" w:hAnsi="Arial" w:cs="Arial"/>
              </w:rPr>
            </w:pPr>
          </w:p>
          <w:p w:rsidR="00FE54F6" w:rsidRPr="009147E0" w:rsidRDefault="00FE04A4" w:rsidP="00FE04A4">
            <w:pPr>
              <w:rPr>
                <w:rFonts w:ascii="Arial" w:hAnsi="Arial" w:cs="Arial"/>
              </w:rPr>
            </w:pPr>
            <w:r w:rsidRPr="009147E0">
              <w:rPr>
                <w:rFonts w:ascii="Arial" w:hAnsi="Arial" w:cs="Arial"/>
              </w:rPr>
              <w:t>Dr Reddy’s Laboratories Australia Pty Ltd</w:t>
            </w:r>
          </w:p>
          <w:p w:rsidR="009B00E1" w:rsidRPr="009147E0" w:rsidRDefault="009B00E1" w:rsidP="00FE04A4">
            <w:pPr>
              <w:rPr>
                <w:rFonts w:ascii="Arial" w:hAnsi="Arial" w:cs="Arial"/>
              </w:rPr>
            </w:pPr>
          </w:p>
          <w:p w:rsidR="009B00E1" w:rsidRPr="009147E0" w:rsidRDefault="009B00E1" w:rsidP="00FE04A4">
            <w:pPr>
              <w:rPr>
                <w:rFonts w:ascii="Arial" w:hAnsi="Arial" w:cs="Arial"/>
              </w:rPr>
            </w:pPr>
            <w:r w:rsidRPr="009147E0">
              <w:rPr>
                <w:rFonts w:ascii="Arial" w:hAnsi="Arial" w:cs="Arial"/>
              </w:rPr>
              <w:t>New Listing</w:t>
            </w:r>
          </w:p>
          <w:p w:rsidR="00FE04A4" w:rsidRPr="009147E0" w:rsidRDefault="00FE04A4" w:rsidP="00FE04A4">
            <w:pPr>
              <w:rPr>
                <w:rFonts w:ascii="Arial" w:hAnsi="Arial" w:cs="Arial"/>
              </w:rPr>
            </w:pPr>
          </w:p>
          <w:p w:rsidR="00FE04A4" w:rsidRDefault="00FE04A4" w:rsidP="00FE04A4">
            <w:pPr>
              <w:rPr>
                <w:rFonts w:ascii="Arial" w:hAnsi="Arial" w:cs="Arial"/>
              </w:rPr>
            </w:pPr>
            <w:r w:rsidRPr="009147E0">
              <w:rPr>
                <w:rFonts w:ascii="Arial" w:hAnsi="Arial" w:cs="Arial"/>
              </w:rPr>
              <w:t>(Minor submission)</w:t>
            </w:r>
          </w:p>
          <w:p w:rsidR="005F5B5B" w:rsidRPr="009147E0" w:rsidRDefault="005F5B5B" w:rsidP="00FE04A4">
            <w:pPr>
              <w:rPr>
                <w:rFonts w:ascii="Arial" w:hAnsi="Arial" w:cs="Arial"/>
              </w:rPr>
            </w:pPr>
          </w:p>
        </w:tc>
        <w:tc>
          <w:tcPr>
            <w:tcW w:w="2262" w:type="dxa"/>
            <w:tcMar>
              <w:top w:w="28" w:type="dxa"/>
              <w:bottom w:w="28" w:type="dxa"/>
            </w:tcMar>
          </w:tcPr>
          <w:p w:rsidR="00FE54F6" w:rsidRPr="009147E0" w:rsidRDefault="00FE04A4" w:rsidP="00263F7F">
            <w:pPr>
              <w:rPr>
                <w:rFonts w:ascii="Arial" w:hAnsi="Arial" w:cs="Arial"/>
              </w:rPr>
            </w:pPr>
            <w:r w:rsidRPr="009147E0">
              <w:rPr>
                <w:rFonts w:ascii="Arial" w:hAnsi="Arial" w:cs="Arial"/>
              </w:rPr>
              <w:t>Psoriasis</w:t>
            </w:r>
          </w:p>
        </w:tc>
        <w:tc>
          <w:tcPr>
            <w:tcW w:w="2987" w:type="dxa"/>
            <w:tcMar>
              <w:top w:w="28" w:type="dxa"/>
              <w:bottom w:w="28" w:type="dxa"/>
            </w:tcMar>
          </w:tcPr>
          <w:p w:rsidR="00FE54F6" w:rsidRPr="009147E0" w:rsidRDefault="00FE04A4" w:rsidP="00263F7F">
            <w:pPr>
              <w:rPr>
                <w:rFonts w:ascii="Arial" w:hAnsi="Arial" w:cs="Arial"/>
              </w:rPr>
            </w:pPr>
            <w:r w:rsidRPr="009147E0">
              <w:rPr>
                <w:rFonts w:ascii="Arial" w:hAnsi="Arial" w:cs="Arial"/>
              </w:rPr>
              <w:t>Unrestricted benefit listing.</w:t>
            </w:r>
          </w:p>
        </w:tc>
        <w:tc>
          <w:tcPr>
            <w:tcW w:w="7192" w:type="dxa"/>
          </w:tcPr>
          <w:p w:rsidR="00FE54F6" w:rsidRPr="009147E0" w:rsidRDefault="00FE04A4" w:rsidP="00FE04A4">
            <w:pPr>
              <w:rPr>
                <w:rFonts w:ascii="Arial" w:hAnsi="Arial" w:cs="Arial"/>
              </w:rPr>
            </w:pPr>
            <w:r w:rsidRPr="009147E0">
              <w:rPr>
                <w:rFonts w:ascii="Arial" w:hAnsi="Arial" w:cs="Arial"/>
              </w:rPr>
              <w:t>The PBAC recommended the listing of coal tar prepared 2% foam as an unrestricted benefit for the treatment of psoriasis based on the equi-effectiveness of 1 g of Scytera® (coal tar prepared 2% 10 mg/g foam, 100 g.) to 1 mL of Exorex™(coal tar prepared 1% 10 mg/g lotion, 100 mL.).</w:t>
            </w:r>
          </w:p>
        </w:tc>
      </w:tr>
      <w:tr w:rsidR="00D17F7B" w:rsidRPr="009147E0" w:rsidTr="00CB2D1B">
        <w:trPr>
          <w:trHeight w:val="430"/>
        </w:trPr>
        <w:tc>
          <w:tcPr>
            <w:tcW w:w="3118" w:type="dxa"/>
            <w:tcMar>
              <w:top w:w="28" w:type="dxa"/>
              <w:bottom w:w="28" w:type="dxa"/>
            </w:tcMar>
          </w:tcPr>
          <w:p w:rsidR="00D17F7B" w:rsidRPr="009147E0" w:rsidRDefault="00D17F7B" w:rsidP="00D17F7B">
            <w:pPr>
              <w:jc w:val="both"/>
              <w:rPr>
                <w:rFonts w:ascii="Arial" w:hAnsi="Arial" w:cs="Arial"/>
              </w:rPr>
            </w:pPr>
            <w:r w:rsidRPr="005F5B5B">
              <w:rPr>
                <w:rFonts w:ascii="Arial" w:hAnsi="Arial" w:cs="Arial"/>
                <w:b/>
              </w:rPr>
              <w:t>CRIZOTINIB</w:t>
            </w:r>
          </w:p>
          <w:p w:rsidR="00D17F7B" w:rsidRPr="009147E0" w:rsidRDefault="00D17F7B" w:rsidP="00D17F7B">
            <w:pPr>
              <w:jc w:val="both"/>
              <w:rPr>
                <w:rFonts w:ascii="Arial" w:hAnsi="Arial" w:cs="Arial"/>
              </w:rPr>
            </w:pPr>
            <w:r w:rsidRPr="009147E0">
              <w:rPr>
                <w:rFonts w:ascii="Arial" w:hAnsi="Arial" w:cs="Arial"/>
              </w:rPr>
              <w:t>capsules, 200 mg and 250 mg,</w:t>
            </w:r>
          </w:p>
          <w:p w:rsidR="00D17F7B" w:rsidRPr="009147E0" w:rsidRDefault="00D17F7B" w:rsidP="00D17F7B">
            <w:pPr>
              <w:jc w:val="both"/>
              <w:rPr>
                <w:rFonts w:ascii="Arial" w:hAnsi="Arial" w:cs="Arial"/>
              </w:rPr>
            </w:pPr>
            <w:r w:rsidRPr="009147E0">
              <w:rPr>
                <w:rFonts w:ascii="Arial" w:hAnsi="Arial" w:cs="Arial"/>
              </w:rPr>
              <w:t> </w:t>
            </w:r>
          </w:p>
          <w:p w:rsidR="00D17F7B" w:rsidRPr="009147E0" w:rsidRDefault="00D17F7B" w:rsidP="00D17F7B">
            <w:pPr>
              <w:jc w:val="both"/>
              <w:rPr>
                <w:rFonts w:ascii="Arial" w:hAnsi="Arial" w:cs="Arial"/>
              </w:rPr>
            </w:pPr>
            <w:r w:rsidRPr="009147E0">
              <w:rPr>
                <w:rFonts w:ascii="Arial" w:hAnsi="Arial" w:cs="Arial"/>
              </w:rPr>
              <w:t>Xalkori®</w:t>
            </w:r>
          </w:p>
          <w:p w:rsidR="00D17F7B" w:rsidRPr="009147E0" w:rsidRDefault="00D17F7B" w:rsidP="00D17F7B">
            <w:pPr>
              <w:jc w:val="both"/>
              <w:rPr>
                <w:rFonts w:ascii="Arial" w:hAnsi="Arial" w:cs="Arial"/>
              </w:rPr>
            </w:pPr>
            <w:r w:rsidRPr="009147E0">
              <w:rPr>
                <w:rFonts w:ascii="Arial" w:hAnsi="Arial" w:cs="Arial"/>
              </w:rPr>
              <w:t> </w:t>
            </w:r>
          </w:p>
          <w:p w:rsidR="00D17F7B" w:rsidRPr="009147E0" w:rsidRDefault="00D17F7B" w:rsidP="00D17F7B">
            <w:pPr>
              <w:jc w:val="both"/>
              <w:rPr>
                <w:rFonts w:ascii="Arial" w:hAnsi="Arial" w:cs="Arial"/>
              </w:rPr>
            </w:pPr>
            <w:r w:rsidRPr="009147E0">
              <w:rPr>
                <w:rFonts w:ascii="Arial" w:hAnsi="Arial" w:cs="Arial"/>
              </w:rPr>
              <w:t>Pfizer Australia Pty Ltd</w:t>
            </w:r>
          </w:p>
          <w:p w:rsidR="00EA7144" w:rsidRPr="009147E0" w:rsidRDefault="00EA7144" w:rsidP="00D17F7B">
            <w:pPr>
              <w:jc w:val="both"/>
              <w:rPr>
                <w:rFonts w:ascii="Arial" w:hAnsi="Arial" w:cs="Arial"/>
              </w:rPr>
            </w:pPr>
          </w:p>
          <w:p w:rsidR="00D17F7B" w:rsidRPr="009147E0" w:rsidRDefault="00D17F7B" w:rsidP="00D17F7B">
            <w:pPr>
              <w:jc w:val="both"/>
              <w:rPr>
                <w:rFonts w:ascii="Arial" w:hAnsi="Arial" w:cs="Arial"/>
              </w:rPr>
            </w:pPr>
            <w:r w:rsidRPr="009147E0">
              <w:rPr>
                <w:rFonts w:ascii="Arial" w:hAnsi="Arial" w:cs="Arial"/>
              </w:rPr>
              <w:t>New listing</w:t>
            </w:r>
          </w:p>
          <w:p w:rsidR="00EA7144" w:rsidRPr="009147E0" w:rsidRDefault="00EA7144" w:rsidP="00D17F7B">
            <w:pPr>
              <w:jc w:val="both"/>
              <w:rPr>
                <w:rFonts w:ascii="Arial" w:hAnsi="Arial" w:cs="Arial"/>
              </w:rPr>
            </w:pPr>
          </w:p>
          <w:p w:rsidR="00D17F7B" w:rsidRPr="009147E0" w:rsidRDefault="00D17F7B" w:rsidP="00D17F7B">
            <w:pPr>
              <w:jc w:val="both"/>
              <w:rPr>
                <w:rFonts w:ascii="Arial" w:hAnsi="Arial" w:cs="Arial"/>
              </w:rPr>
            </w:pPr>
            <w:r w:rsidRPr="009147E0">
              <w:rPr>
                <w:rFonts w:ascii="Arial" w:hAnsi="Arial" w:cs="Arial"/>
              </w:rPr>
              <w:t>(Minor submission)</w:t>
            </w:r>
          </w:p>
          <w:p w:rsidR="00D17F7B" w:rsidRPr="009147E0" w:rsidRDefault="00D17F7B" w:rsidP="00D17F7B">
            <w:pPr>
              <w:jc w:val="both"/>
              <w:rPr>
                <w:rFonts w:ascii="Arial" w:hAnsi="Arial" w:cs="Arial"/>
              </w:rPr>
            </w:pPr>
          </w:p>
        </w:tc>
        <w:tc>
          <w:tcPr>
            <w:tcW w:w="2262" w:type="dxa"/>
            <w:tcMar>
              <w:top w:w="28" w:type="dxa"/>
              <w:bottom w:w="28" w:type="dxa"/>
            </w:tcMar>
          </w:tcPr>
          <w:p w:rsidR="00D17F7B" w:rsidRPr="009147E0" w:rsidRDefault="00D17F7B" w:rsidP="00263F7F">
            <w:pPr>
              <w:rPr>
                <w:rFonts w:ascii="Arial" w:hAnsi="Arial" w:cs="Arial"/>
              </w:rPr>
            </w:pPr>
            <w:r w:rsidRPr="009147E0">
              <w:rPr>
                <w:rFonts w:ascii="Arial" w:hAnsi="Arial" w:cs="Arial"/>
              </w:rPr>
              <w:t>Non-small cell lung cancer</w:t>
            </w:r>
          </w:p>
          <w:p w:rsidR="00D17F7B" w:rsidRPr="009147E0" w:rsidRDefault="00D17F7B" w:rsidP="00263F7F">
            <w:pPr>
              <w:rPr>
                <w:rFonts w:ascii="Arial" w:hAnsi="Arial" w:cs="Arial"/>
              </w:rPr>
            </w:pPr>
          </w:p>
        </w:tc>
        <w:tc>
          <w:tcPr>
            <w:tcW w:w="2987" w:type="dxa"/>
            <w:tcMar>
              <w:top w:w="28" w:type="dxa"/>
              <w:bottom w:w="28" w:type="dxa"/>
            </w:tcMar>
          </w:tcPr>
          <w:p w:rsidR="00D17F7B" w:rsidRPr="009147E0" w:rsidRDefault="00D17F7B" w:rsidP="00263F7F">
            <w:pPr>
              <w:rPr>
                <w:rFonts w:ascii="Arial" w:hAnsi="Arial" w:cs="Arial"/>
              </w:rPr>
            </w:pPr>
            <w:r w:rsidRPr="009147E0">
              <w:rPr>
                <w:rFonts w:ascii="Arial" w:hAnsi="Arial" w:cs="Arial"/>
              </w:rPr>
              <w:t xml:space="preserve">To address key issues raised in the March 2014 PBAC deferral of crizotinib for the treatment of anaplastic lymphoma kinase (ALK)-positive non-small cell lung cancer. </w:t>
            </w:r>
          </w:p>
          <w:p w:rsidR="00D17F7B" w:rsidRPr="009147E0" w:rsidRDefault="00D17F7B" w:rsidP="00263F7F">
            <w:pPr>
              <w:rPr>
                <w:rFonts w:ascii="Arial" w:hAnsi="Arial" w:cs="Arial"/>
              </w:rPr>
            </w:pPr>
          </w:p>
        </w:tc>
        <w:tc>
          <w:tcPr>
            <w:tcW w:w="7192" w:type="dxa"/>
          </w:tcPr>
          <w:p w:rsidR="00D17F7B" w:rsidRDefault="00D17F7B" w:rsidP="00D17F7B">
            <w:pPr>
              <w:jc w:val="both"/>
              <w:rPr>
                <w:rFonts w:ascii="Arial" w:hAnsi="Arial" w:cs="Arial"/>
              </w:rPr>
            </w:pPr>
            <w:r w:rsidRPr="009147E0">
              <w:rPr>
                <w:rFonts w:ascii="Arial" w:hAnsi="Arial" w:cs="Arial"/>
              </w:rPr>
              <w:t>The PBAC recommended the Authority Required listing of crizotinib for the treatment of locally advanced or metastatic non-small cell lung cancer patients with an anaplastic lymphoma kinase (</w:t>
            </w:r>
            <w:r w:rsidRPr="005F5B5B">
              <w:rPr>
                <w:rFonts w:ascii="Arial" w:hAnsi="Arial" w:cs="Arial"/>
              </w:rPr>
              <w:t>ALK</w:t>
            </w:r>
            <w:r w:rsidRPr="009147E0">
              <w:rPr>
                <w:rFonts w:ascii="Arial" w:hAnsi="Arial" w:cs="Arial"/>
              </w:rPr>
              <w:t>) gene rearrangement in their tumour material, on the basis of</w:t>
            </w:r>
            <w:r w:rsidR="001E0212">
              <w:rPr>
                <w:rFonts w:ascii="Arial" w:hAnsi="Arial" w:cs="Arial"/>
              </w:rPr>
              <w:t xml:space="preserve"> acceptable</w:t>
            </w:r>
            <w:r w:rsidRPr="009147E0">
              <w:rPr>
                <w:rFonts w:ascii="Arial" w:hAnsi="Arial" w:cs="Arial"/>
              </w:rPr>
              <w:t xml:space="preserve"> cost-effectiveness over pemetrexed</w:t>
            </w:r>
            <w:r w:rsidR="001E0212">
              <w:rPr>
                <w:rFonts w:ascii="Arial" w:hAnsi="Arial" w:cs="Arial"/>
              </w:rPr>
              <w:t xml:space="preserve"> to be achieved in the context of a managed entry framework</w:t>
            </w:r>
            <w:r w:rsidRPr="009147E0">
              <w:rPr>
                <w:rFonts w:ascii="Arial" w:hAnsi="Arial" w:cs="Arial"/>
              </w:rPr>
              <w:t>. The PBAC noted that the incremental overall survival gain for crizotinib over pemetrexed is uncertain</w:t>
            </w:r>
            <w:r w:rsidR="001E0212">
              <w:rPr>
                <w:rFonts w:ascii="Arial" w:hAnsi="Arial" w:cs="Arial"/>
              </w:rPr>
              <w:t xml:space="preserve"> (overall survival gain of 3.1 – 3.5 months observed in the clinical trials versus 12 months as claimed by the submission)</w:t>
            </w:r>
            <w:r w:rsidRPr="009147E0">
              <w:rPr>
                <w:rFonts w:ascii="Arial" w:hAnsi="Arial" w:cs="Arial"/>
              </w:rPr>
              <w:t xml:space="preserve">. The PBAC recognised the clinical need for crizotinib being available for the treatment of patients with </w:t>
            </w:r>
            <w:r w:rsidRPr="005F5B5B">
              <w:rPr>
                <w:rFonts w:ascii="Arial" w:hAnsi="Arial" w:cs="Arial"/>
              </w:rPr>
              <w:t>ALK</w:t>
            </w:r>
            <w:r w:rsidRPr="009147E0">
              <w:rPr>
                <w:rFonts w:ascii="Arial" w:hAnsi="Arial" w:cs="Arial"/>
              </w:rPr>
              <w:t>-positive locally advanced or metastatic non-small cell lung cancer.</w:t>
            </w:r>
          </w:p>
          <w:p w:rsidR="001E0212" w:rsidRDefault="001E0212" w:rsidP="00D17F7B">
            <w:pPr>
              <w:jc w:val="both"/>
              <w:rPr>
                <w:rFonts w:ascii="Arial" w:hAnsi="Arial" w:cs="Arial"/>
              </w:rPr>
            </w:pPr>
          </w:p>
          <w:p w:rsidR="001E0212" w:rsidRPr="001E0212" w:rsidRDefault="001E0212" w:rsidP="009D3D0D">
            <w:pPr>
              <w:numPr>
                <w:ilvl w:val="0"/>
                <w:numId w:val="27"/>
              </w:numPr>
              <w:ind w:left="138" w:hanging="141"/>
              <w:jc w:val="both"/>
              <w:rPr>
                <w:rFonts w:ascii="Arial" w:hAnsi="Arial" w:cs="Arial"/>
              </w:rPr>
            </w:pPr>
            <w:r w:rsidRPr="001E0212">
              <w:rPr>
                <w:rFonts w:ascii="Arial" w:hAnsi="Arial" w:cs="Arial"/>
              </w:rPr>
              <w:t xml:space="preserve">The initial entry price for the </w:t>
            </w:r>
            <w:r w:rsidR="009D3D0D">
              <w:rPr>
                <w:rFonts w:ascii="Arial" w:hAnsi="Arial" w:cs="Arial"/>
              </w:rPr>
              <w:t>managed entry scheme (</w:t>
            </w:r>
            <w:r w:rsidRPr="001E0212">
              <w:rPr>
                <w:rFonts w:ascii="Arial" w:hAnsi="Arial" w:cs="Arial"/>
              </w:rPr>
              <w:t>MES</w:t>
            </w:r>
            <w:r w:rsidR="009D3D0D">
              <w:rPr>
                <w:rFonts w:ascii="Arial" w:hAnsi="Arial" w:cs="Arial"/>
              </w:rPr>
              <w:t>)</w:t>
            </w:r>
            <w:r w:rsidRPr="001E0212">
              <w:rPr>
                <w:rFonts w:ascii="Arial" w:hAnsi="Arial" w:cs="Arial"/>
              </w:rPr>
              <w:t xml:space="preserve"> would be as requested</w:t>
            </w:r>
            <w:r>
              <w:rPr>
                <w:rFonts w:ascii="Arial" w:hAnsi="Arial" w:cs="Arial"/>
              </w:rPr>
              <w:t xml:space="preserve"> by the submission</w:t>
            </w:r>
            <w:r w:rsidRPr="001E0212">
              <w:rPr>
                <w:rFonts w:ascii="Arial" w:hAnsi="Arial" w:cs="Arial"/>
              </w:rPr>
              <w:t>. The MES framework would include a mechanism for payment of a rebate with interest to the Commonwealth should crizotinib fail to deliver on its claimed benefits. On submission of new information as outlined below, there would be no option for an increase in price of crizotinib, as the higher price would already have been paid since entry onto the PBS.</w:t>
            </w:r>
          </w:p>
          <w:p w:rsidR="001E0212" w:rsidRPr="001E0212" w:rsidRDefault="001E0212" w:rsidP="009D3D0D">
            <w:pPr>
              <w:numPr>
                <w:ilvl w:val="0"/>
                <w:numId w:val="27"/>
              </w:numPr>
              <w:ind w:left="138" w:hanging="141"/>
              <w:jc w:val="both"/>
              <w:rPr>
                <w:rFonts w:ascii="Arial" w:hAnsi="Arial" w:cs="Arial"/>
              </w:rPr>
            </w:pPr>
            <w:r w:rsidRPr="001E0212">
              <w:rPr>
                <w:rFonts w:ascii="Arial" w:hAnsi="Arial" w:cs="Arial"/>
              </w:rPr>
              <w:t>The possible outcomes following consideration of the new information in the MES would be that either:</w:t>
            </w:r>
          </w:p>
          <w:p w:rsidR="001E0212" w:rsidRPr="001E0212" w:rsidRDefault="001E0212" w:rsidP="009D3D0D">
            <w:pPr>
              <w:numPr>
                <w:ilvl w:val="0"/>
                <w:numId w:val="29"/>
              </w:numPr>
              <w:jc w:val="both"/>
              <w:rPr>
                <w:rFonts w:ascii="Arial" w:hAnsi="Arial" w:cs="Arial"/>
              </w:rPr>
            </w:pPr>
            <w:r w:rsidRPr="001E0212">
              <w:rPr>
                <w:rFonts w:ascii="Arial" w:hAnsi="Arial" w:cs="Arial"/>
              </w:rPr>
              <w:t>the price of crizotinib would reduce; or</w:t>
            </w:r>
          </w:p>
          <w:p w:rsidR="001E0212" w:rsidRPr="001E0212" w:rsidRDefault="001E0212" w:rsidP="009D3D0D">
            <w:pPr>
              <w:numPr>
                <w:ilvl w:val="0"/>
                <w:numId w:val="29"/>
              </w:numPr>
              <w:jc w:val="both"/>
              <w:rPr>
                <w:rFonts w:ascii="Arial" w:hAnsi="Arial" w:cs="Arial"/>
              </w:rPr>
            </w:pPr>
            <w:r w:rsidRPr="001E0212">
              <w:rPr>
                <w:rFonts w:ascii="Arial" w:hAnsi="Arial" w:cs="Arial"/>
              </w:rPr>
              <w:t>the price of crizotinib would be maintained.</w:t>
            </w:r>
          </w:p>
          <w:p w:rsidR="001E0212" w:rsidRPr="001E0212" w:rsidRDefault="001E0212" w:rsidP="009D3D0D">
            <w:pPr>
              <w:numPr>
                <w:ilvl w:val="0"/>
                <w:numId w:val="27"/>
              </w:numPr>
              <w:ind w:left="138" w:hanging="141"/>
              <w:jc w:val="both"/>
              <w:rPr>
                <w:rFonts w:ascii="Arial" w:hAnsi="Arial" w:cs="Arial"/>
              </w:rPr>
            </w:pPr>
            <w:r w:rsidRPr="001E0212">
              <w:rPr>
                <w:rFonts w:ascii="Arial" w:hAnsi="Arial" w:cs="Arial"/>
              </w:rPr>
              <w:t xml:space="preserve">The Commonwealth would bear the upfront risk associated with the uncertain clinical benefit. Accordingly, should this modelled extent of benefit not be </w:t>
            </w:r>
            <w:r w:rsidRPr="001E0212">
              <w:rPr>
                <w:rFonts w:ascii="Arial" w:hAnsi="Arial" w:cs="Arial"/>
              </w:rPr>
              <w:lastRenderedPageBreak/>
              <w:t>realised with reference to the information outlined below, then the sponsor would rebate the Commonwealth to the effect of:</w:t>
            </w:r>
          </w:p>
          <w:p w:rsidR="001E0212" w:rsidRPr="001E0212" w:rsidRDefault="001E0212" w:rsidP="005C5E5D">
            <w:pPr>
              <w:numPr>
                <w:ilvl w:val="0"/>
                <w:numId w:val="30"/>
              </w:numPr>
              <w:ind w:left="564" w:hanging="204"/>
              <w:jc w:val="both"/>
              <w:rPr>
                <w:rFonts w:ascii="Arial" w:hAnsi="Arial" w:cs="Arial"/>
              </w:rPr>
            </w:pPr>
            <w:r w:rsidRPr="001E0212">
              <w:rPr>
                <w:rFonts w:ascii="Arial" w:hAnsi="Arial" w:cs="Arial"/>
              </w:rPr>
              <w:t>the ensuing price reduction required to meet the same ICER with reduced clinical benefits, multiplied by;</w:t>
            </w:r>
          </w:p>
          <w:p w:rsidR="001E0212" w:rsidRPr="001E0212" w:rsidRDefault="001E0212" w:rsidP="005C5E5D">
            <w:pPr>
              <w:numPr>
                <w:ilvl w:val="0"/>
                <w:numId w:val="30"/>
              </w:numPr>
              <w:ind w:left="564" w:hanging="204"/>
              <w:jc w:val="both"/>
              <w:rPr>
                <w:rFonts w:ascii="Arial" w:hAnsi="Arial" w:cs="Arial"/>
              </w:rPr>
            </w:pPr>
            <w:r w:rsidRPr="001E0212">
              <w:rPr>
                <w:rFonts w:ascii="Arial" w:hAnsi="Arial" w:cs="Arial"/>
              </w:rPr>
              <w:t>the number of PBS-dispensed prescriptions of crizotinib between the date of listing and the date of implementation of the price reduction, and after applying;</w:t>
            </w:r>
          </w:p>
          <w:p w:rsidR="001E0212" w:rsidRPr="001E0212" w:rsidRDefault="001E0212" w:rsidP="005C5E5D">
            <w:pPr>
              <w:numPr>
                <w:ilvl w:val="0"/>
                <w:numId w:val="30"/>
              </w:numPr>
              <w:ind w:left="564" w:hanging="204"/>
              <w:jc w:val="both"/>
              <w:rPr>
                <w:rFonts w:ascii="Arial" w:hAnsi="Arial" w:cs="Arial"/>
              </w:rPr>
            </w:pPr>
            <w:r w:rsidRPr="001E0212">
              <w:rPr>
                <w:rFonts w:ascii="Arial" w:hAnsi="Arial" w:cs="Arial"/>
              </w:rPr>
              <w:t>an interest rate deemed appropriate by the Commonwealth.</w:t>
            </w:r>
          </w:p>
          <w:p w:rsidR="001E0212" w:rsidRDefault="001E0212" w:rsidP="009D3D0D">
            <w:pPr>
              <w:numPr>
                <w:ilvl w:val="0"/>
                <w:numId w:val="27"/>
              </w:numPr>
              <w:ind w:left="138" w:hanging="141"/>
              <w:jc w:val="both"/>
              <w:rPr>
                <w:rFonts w:ascii="Arial" w:hAnsi="Arial" w:cs="Arial"/>
              </w:rPr>
            </w:pPr>
            <w:r w:rsidRPr="001E0212">
              <w:rPr>
                <w:rFonts w:ascii="Arial" w:hAnsi="Arial" w:cs="Arial"/>
              </w:rPr>
              <w:t>The new information requested is the proportion of the first 50 consecutive patients to start therapy with crizotinib after any PBS listing begins (i.e. excluding patients who are continuing therapy with crizotinib already started before any PBS listing begins) who are alive 365 days after starting therapy with crizotinib.</w:t>
            </w:r>
          </w:p>
          <w:p w:rsidR="001E0212" w:rsidRPr="001E0212" w:rsidRDefault="001E0212" w:rsidP="009D3D0D">
            <w:pPr>
              <w:numPr>
                <w:ilvl w:val="0"/>
                <w:numId w:val="27"/>
              </w:numPr>
              <w:ind w:left="138" w:hanging="141"/>
              <w:jc w:val="both"/>
              <w:rPr>
                <w:rFonts w:ascii="Arial" w:hAnsi="Arial" w:cs="Arial"/>
              </w:rPr>
            </w:pPr>
            <w:r w:rsidRPr="001E0212">
              <w:rPr>
                <w:rFonts w:ascii="Arial" w:hAnsi="Arial" w:cs="Arial"/>
              </w:rPr>
              <w:t>This result would be provided as soon as possible after the 50th consecutive patient has been followed for 365 days. This sample size was proposed on the expectation that, with the estimated number of incident patients, it would take approximately two years to generate the data.</w:t>
            </w:r>
          </w:p>
          <w:p w:rsidR="001E0212" w:rsidRPr="009147E0" w:rsidRDefault="001E0212" w:rsidP="009D3D0D">
            <w:pPr>
              <w:numPr>
                <w:ilvl w:val="0"/>
                <w:numId w:val="27"/>
              </w:numPr>
              <w:ind w:left="138" w:hanging="141"/>
              <w:jc w:val="both"/>
              <w:rPr>
                <w:rFonts w:ascii="Arial" w:hAnsi="Arial" w:cs="Arial"/>
              </w:rPr>
            </w:pPr>
            <w:r w:rsidRPr="001E0212">
              <w:rPr>
                <w:rFonts w:ascii="Arial" w:hAnsi="Arial" w:cs="Arial"/>
              </w:rPr>
              <w:t xml:space="preserve">To address the greater uncertainty of the overall survival following pemetrexed being underestimated by the model, there would be a 1% increase in the modelled proportion of pemetrexed patients who are alive at day 365 for every 1% that the observed PBS result is below the </w:t>
            </w:r>
            <w:r>
              <w:rPr>
                <w:rFonts w:ascii="Arial" w:hAnsi="Arial" w:cs="Arial"/>
              </w:rPr>
              <w:t xml:space="preserve">trial </w:t>
            </w:r>
            <w:r w:rsidRPr="001E0212">
              <w:rPr>
                <w:rFonts w:ascii="Arial" w:hAnsi="Arial" w:cs="Arial"/>
              </w:rPr>
              <w:t>estimate. This uncertainty is primarily due to the cross-over to crizotinib in the pemetrexed arm of the trial following a progression event.</w:t>
            </w:r>
          </w:p>
          <w:p w:rsidR="00D17F7B" w:rsidRPr="009147E0" w:rsidRDefault="00D17F7B" w:rsidP="00FE04A4">
            <w:pPr>
              <w:rPr>
                <w:rFonts w:ascii="Arial" w:hAnsi="Arial" w:cs="Arial"/>
              </w:rPr>
            </w:pPr>
          </w:p>
        </w:tc>
      </w:tr>
      <w:tr w:rsidR="00FE54F6" w:rsidRPr="009147E0" w:rsidTr="00CB2D1B">
        <w:trPr>
          <w:cantSplit/>
          <w:trHeight w:val="430"/>
        </w:trPr>
        <w:tc>
          <w:tcPr>
            <w:tcW w:w="3118" w:type="dxa"/>
            <w:shd w:val="clear" w:color="auto" w:fill="auto"/>
            <w:tcMar>
              <w:top w:w="28" w:type="dxa"/>
              <w:bottom w:w="28" w:type="dxa"/>
            </w:tcMar>
          </w:tcPr>
          <w:p w:rsidR="009B00E1" w:rsidRPr="005F5B5B" w:rsidRDefault="009B00E1" w:rsidP="009B00E1">
            <w:pPr>
              <w:widowControl w:val="0"/>
              <w:rPr>
                <w:rFonts w:ascii="Arial" w:hAnsi="Arial" w:cs="Arial"/>
                <w:b/>
              </w:rPr>
            </w:pPr>
            <w:r w:rsidRPr="005F5B5B">
              <w:rPr>
                <w:rFonts w:ascii="Arial" w:hAnsi="Arial" w:cs="Arial"/>
                <w:b/>
              </w:rPr>
              <w:lastRenderedPageBreak/>
              <w:t>DAPAGLIFLOZIN</w:t>
            </w:r>
          </w:p>
          <w:p w:rsidR="009B00E1" w:rsidRPr="009147E0" w:rsidRDefault="009B00E1" w:rsidP="009B00E1">
            <w:pPr>
              <w:widowControl w:val="0"/>
              <w:rPr>
                <w:rFonts w:ascii="Arial" w:hAnsi="Arial" w:cs="Arial"/>
              </w:rPr>
            </w:pPr>
            <w:r w:rsidRPr="009147E0">
              <w:rPr>
                <w:rFonts w:ascii="Arial" w:hAnsi="Arial" w:cs="Arial"/>
              </w:rPr>
              <w:t>10 mg tablet, 28</w:t>
            </w:r>
          </w:p>
          <w:p w:rsidR="009B00E1" w:rsidRPr="009147E0" w:rsidRDefault="009B00E1" w:rsidP="009B00E1">
            <w:pPr>
              <w:widowControl w:val="0"/>
              <w:rPr>
                <w:rFonts w:ascii="Arial" w:hAnsi="Arial" w:cs="Arial"/>
              </w:rPr>
            </w:pPr>
          </w:p>
          <w:p w:rsidR="009B00E1" w:rsidRPr="009147E0" w:rsidRDefault="009B00E1" w:rsidP="009B00E1">
            <w:pPr>
              <w:widowControl w:val="0"/>
              <w:rPr>
                <w:rFonts w:ascii="Arial" w:hAnsi="Arial" w:cs="Arial"/>
              </w:rPr>
            </w:pPr>
            <w:r w:rsidRPr="009147E0">
              <w:rPr>
                <w:rFonts w:ascii="Arial" w:hAnsi="Arial" w:cs="Arial"/>
              </w:rPr>
              <w:t>Forxiga®</w:t>
            </w:r>
          </w:p>
          <w:p w:rsidR="009B00E1" w:rsidRPr="009147E0" w:rsidRDefault="009B00E1" w:rsidP="009B00E1">
            <w:pPr>
              <w:widowControl w:val="0"/>
              <w:rPr>
                <w:rFonts w:ascii="Arial" w:hAnsi="Arial" w:cs="Arial"/>
              </w:rPr>
            </w:pPr>
          </w:p>
          <w:p w:rsidR="00F83ACF" w:rsidRPr="009147E0" w:rsidRDefault="009B00E1" w:rsidP="009B00E1">
            <w:pPr>
              <w:widowControl w:val="0"/>
              <w:rPr>
                <w:rFonts w:ascii="Arial" w:hAnsi="Arial" w:cs="Arial"/>
              </w:rPr>
            </w:pPr>
            <w:r w:rsidRPr="009147E0">
              <w:rPr>
                <w:rFonts w:ascii="Arial" w:hAnsi="Arial" w:cs="Arial"/>
              </w:rPr>
              <w:t>AstraZeneca Pty Ltd</w:t>
            </w:r>
          </w:p>
          <w:p w:rsidR="009B00E1" w:rsidRPr="009147E0" w:rsidRDefault="009B00E1" w:rsidP="009B00E1">
            <w:pPr>
              <w:widowControl w:val="0"/>
              <w:rPr>
                <w:rFonts w:ascii="Arial" w:hAnsi="Arial" w:cs="Arial"/>
              </w:rPr>
            </w:pPr>
          </w:p>
          <w:p w:rsidR="009B00E1" w:rsidRPr="009147E0" w:rsidRDefault="009B00E1" w:rsidP="009B00E1">
            <w:pPr>
              <w:widowControl w:val="0"/>
              <w:rPr>
                <w:rFonts w:ascii="Arial" w:hAnsi="Arial" w:cs="Arial"/>
              </w:rPr>
            </w:pPr>
            <w:r w:rsidRPr="009147E0">
              <w:rPr>
                <w:rFonts w:ascii="Arial" w:hAnsi="Arial" w:cs="Arial"/>
              </w:rPr>
              <w:t>Change to listing</w:t>
            </w:r>
          </w:p>
          <w:p w:rsidR="009B00E1" w:rsidRPr="009147E0" w:rsidRDefault="009B00E1" w:rsidP="009B00E1">
            <w:pPr>
              <w:widowControl w:val="0"/>
              <w:rPr>
                <w:rFonts w:ascii="Arial" w:hAnsi="Arial" w:cs="Arial"/>
              </w:rPr>
            </w:pPr>
          </w:p>
          <w:p w:rsidR="009B00E1" w:rsidRDefault="009B00E1" w:rsidP="009B00E1">
            <w:pPr>
              <w:widowControl w:val="0"/>
              <w:rPr>
                <w:rFonts w:ascii="Arial" w:hAnsi="Arial" w:cs="Arial"/>
              </w:rPr>
            </w:pPr>
            <w:r w:rsidRPr="009147E0">
              <w:rPr>
                <w:rFonts w:ascii="Arial" w:hAnsi="Arial" w:cs="Arial"/>
              </w:rPr>
              <w:t>(Major submission)</w:t>
            </w:r>
          </w:p>
          <w:p w:rsidR="001E0212" w:rsidRPr="009147E0" w:rsidRDefault="001E0212" w:rsidP="009B00E1">
            <w:pPr>
              <w:widowControl w:val="0"/>
              <w:rPr>
                <w:rFonts w:ascii="Arial" w:hAnsi="Arial" w:cs="Arial"/>
              </w:rPr>
            </w:pPr>
          </w:p>
        </w:tc>
        <w:tc>
          <w:tcPr>
            <w:tcW w:w="2262" w:type="dxa"/>
            <w:shd w:val="clear" w:color="auto" w:fill="auto"/>
            <w:tcMar>
              <w:top w:w="28" w:type="dxa"/>
              <w:bottom w:w="28" w:type="dxa"/>
            </w:tcMar>
          </w:tcPr>
          <w:p w:rsidR="00FE54F6" w:rsidRPr="009147E0" w:rsidRDefault="009B00E1" w:rsidP="00263F7F">
            <w:pPr>
              <w:rPr>
                <w:rFonts w:ascii="Arial" w:hAnsi="Arial" w:cs="Arial"/>
              </w:rPr>
            </w:pPr>
            <w:r w:rsidRPr="009147E0">
              <w:rPr>
                <w:rFonts w:ascii="Arial" w:hAnsi="Arial" w:cs="Arial"/>
              </w:rPr>
              <w:t>Diabetes mellitus type 2</w:t>
            </w:r>
          </w:p>
        </w:tc>
        <w:tc>
          <w:tcPr>
            <w:tcW w:w="2987" w:type="dxa"/>
            <w:shd w:val="clear" w:color="auto" w:fill="auto"/>
            <w:tcMar>
              <w:top w:w="28" w:type="dxa"/>
              <w:bottom w:w="28" w:type="dxa"/>
            </w:tcMar>
          </w:tcPr>
          <w:p w:rsidR="00FE54F6" w:rsidRPr="009147E0" w:rsidRDefault="009B00E1" w:rsidP="00263F7F">
            <w:pPr>
              <w:widowControl w:val="0"/>
              <w:rPr>
                <w:rFonts w:ascii="Arial" w:hAnsi="Arial" w:cs="Arial"/>
              </w:rPr>
            </w:pPr>
            <w:r w:rsidRPr="009147E0">
              <w:rPr>
                <w:rFonts w:ascii="Arial" w:hAnsi="Arial" w:cs="Arial"/>
              </w:rPr>
              <w:t>Extend the current Authority Required listing to include the treatment of diabetes mellitus type 2, in combination with insulin, in patients who meet certain criteria.</w:t>
            </w:r>
          </w:p>
        </w:tc>
        <w:tc>
          <w:tcPr>
            <w:tcW w:w="7192" w:type="dxa"/>
          </w:tcPr>
          <w:p w:rsidR="005F5B5B" w:rsidRPr="009147E0" w:rsidRDefault="009B00E1" w:rsidP="00AD4939">
            <w:pPr>
              <w:widowControl w:val="0"/>
              <w:jc w:val="both"/>
              <w:rPr>
                <w:rFonts w:ascii="Arial" w:hAnsi="Arial" w:cs="Arial"/>
              </w:rPr>
            </w:pPr>
            <w:r w:rsidRPr="009147E0">
              <w:rPr>
                <w:rFonts w:ascii="Arial" w:hAnsi="Arial" w:cs="Arial"/>
              </w:rPr>
              <w:t>The PBAC recommended the listing of dapagliflozin 10 mg tablets for the treatment of type 2 diabetes in combination with insulin. The recommendation was formed on the basis of a cost-minimisation and cost analysis to up-titrated insulin</w:t>
            </w:r>
            <w:r w:rsidR="005F5B5B">
              <w:rPr>
                <w:rFonts w:ascii="Arial" w:hAnsi="Arial" w:cs="Arial"/>
              </w:rPr>
              <w:t>.</w:t>
            </w:r>
          </w:p>
        </w:tc>
      </w:tr>
      <w:tr w:rsidR="005813F0" w:rsidRPr="009147E0" w:rsidTr="00CB2D1B">
        <w:trPr>
          <w:cantSplit/>
          <w:trHeight w:val="430"/>
        </w:trPr>
        <w:tc>
          <w:tcPr>
            <w:tcW w:w="3118" w:type="dxa"/>
            <w:shd w:val="clear" w:color="auto" w:fill="auto"/>
            <w:tcMar>
              <w:top w:w="28" w:type="dxa"/>
              <w:bottom w:w="28" w:type="dxa"/>
            </w:tcMar>
          </w:tcPr>
          <w:p w:rsidR="005813F0" w:rsidRPr="001B4293" w:rsidRDefault="005813F0" w:rsidP="005813F0">
            <w:pPr>
              <w:pStyle w:val="NormalWeb"/>
              <w:spacing w:before="0" w:beforeAutospacing="0" w:after="0" w:afterAutospacing="0"/>
              <w:rPr>
                <w:rFonts w:ascii="Arial" w:hAnsi="Arial" w:cs="Arial"/>
                <w:b/>
                <w:color w:val="222222"/>
                <w:sz w:val="20"/>
                <w:szCs w:val="20"/>
              </w:rPr>
            </w:pPr>
            <w:r w:rsidRPr="001B4293">
              <w:rPr>
                <w:rFonts w:ascii="Arial" w:hAnsi="Arial" w:cs="Arial"/>
                <w:b/>
                <w:color w:val="222222"/>
                <w:sz w:val="20"/>
                <w:szCs w:val="20"/>
              </w:rPr>
              <w:lastRenderedPageBreak/>
              <w:t>DIPHTHERIA  + TETANUS + ACELLULAR PERTUSSIS (dTPa) VACCINE</w:t>
            </w:r>
          </w:p>
          <w:p w:rsidR="005813F0" w:rsidRPr="009147E0" w:rsidRDefault="005813F0" w:rsidP="005813F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5813F0" w:rsidRPr="009147E0" w:rsidRDefault="005813F0" w:rsidP="005813F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Infanrix</w:t>
            </w:r>
            <w:r w:rsidRPr="009147E0">
              <w:rPr>
                <w:rFonts w:ascii="Arial" w:hAnsi="Arial" w:cs="Arial"/>
                <w:color w:val="222222"/>
                <w:sz w:val="20"/>
                <w:szCs w:val="20"/>
                <w:bdr w:val="none" w:sz="0" w:space="0" w:color="auto" w:frame="1"/>
                <w:vertAlign w:val="superscript"/>
              </w:rPr>
              <w:t>®</w:t>
            </w:r>
          </w:p>
          <w:p w:rsidR="005813F0" w:rsidRPr="009147E0" w:rsidRDefault="005813F0" w:rsidP="005813F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5813F0" w:rsidRPr="009147E0" w:rsidRDefault="005813F0" w:rsidP="005813F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GlaxoSmithKline Australia Pty Ltd</w:t>
            </w:r>
          </w:p>
          <w:p w:rsidR="005813F0" w:rsidRPr="009147E0" w:rsidRDefault="005813F0" w:rsidP="005813F0">
            <w:pPr>
              <w:pStyle w:val="NormalWeb"/>
              <w:spacing w:before="0" w:beforeAutospacing="0" w:after="0" w:afterAutospacing="0"/>
              <w:rPr>
                <w:rFonts w:ascii="Arial" w:hAnsi="Arial" w:cs="Arial"/>
                <w:color w:val="222222"/>
                <w:sz w:val="20"/>
                <w:szCs w:val="20"/>
              </w:rPr>
            </w:pPr>
          </w:p>
          <w:p w:rsidR="005813F0" w:rsidRPr="009147E0" w:rsidRDefault="005813F0" w:rsidP="005813F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Change to listing</w:t>
            </w:r>
          </w:p>
          <w:p w:rsidR="00EA7144" w:rsidRPr="009147E0" w:rsidRDefault="00EA7144" w:rsidP="005813F0">
            <w:pPr>
              <w:pStyle w:val="NormalWeb"/>
              <w:spacing w:before="0" w:beforeAutospacing="0" w:after="0" w:afterAutospacing="0"/>
              <w:rPr>
                <w:rFonts w:ascii="Arial" w:hAnsi="Arial" w:cs="Arial"/>
                <w:color w:val="222222"/>
                <w:sz w:val="20"/>
                <w:szCs w:val="20"/>
              </w:rPr>
            </w:pPr>
          </w:p>
          <w:p w:rsidR="005813F0" w:rsidRPr="009147E0" w:rsidRDefault="005813F0" w:rsidP="005813F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(Major submission)</w:t>
            </w:r>
          </w:p>
          <w:p w:rsidR="005813F0" w:rsidRPr="009147E0" w:rsidRDefault="005813F0" w:rsidP="009B00E1">
            <w:pPr>
              <w:widowControl w:val="0"/>
              <w:rPr>
                <w:rFonts w:ascii="Arial" w:hAnsi="Arial" w:cs="Arial"/>
              </w:rPr>
            </w:pPr>
          </w:p>
        </w:tc>
        <w:tc>
          <w:tcPr>
            <w:tcW w:w="2262" w:type="dxa"/>
            <w:shd w:val="clear" w:color="auto" w:fill="auto"/>
            <w:tcMar>
              <w:top w:w="28" w:type="dxa"/>
              <w:bottom w:w="28" w:type="dxa"/>
            </w:tcMar>
          </w:tcPr>
          <w:p w:rsidR="005813F0" w:rsidRPr="009147E0" w:rsidRDefault="005813F0" w:rsidP="00263F7F">
            <w:pPr>
              <w:rPr>
                <w:rFonts w:ascii="Arial" w:hAnsi="Arial" w:cs="Arial"/>
              </w:rPr>
            </w:pPr>
            <w:r w:rsidRPr="009147E0">
              <w:rPr>
                <w:rFonts w:ascii="Arial" w:hAnsi="Arial" w:cs="Arial"/>
              </w:rPr>
              <w:t>Immunisation against pertussis</w:t>
            </w:r>
          </w:p>
        </w:tc>
        <w:tc>
          <w:tcPr>
            <w:tcW w:w="2987" w:type="dxa"/>
            <w:shd w:val="clear" w:color="auto" w:fill="auto"/>
            <w:tcMar>
              <w:top w:w="28" w:type="dxa"/>
              <w:bottom w:w="28" w:type="dxa"/>
            </w:tcMar>
          </w:tcPr>
          <w:p w:rsidR="005813F0" w:rsidRPr="009147E0" w:rsidRDefault="00AD08BD" w:rsidP="00263F7F">
            <w:pPr>
              <w:rPr>
                <w:rFonts w:ascii="Arial" w:hAnsi="Arial" w:cs="Arial"/>
              </w:rPr>
            </w:pPr>
            <w:r w:rsidRPr="009147E0">
              <w:rPr>
                <w:rFonts w:ascii="Arial" w:hAnsi="Arial" w:cs="Arial"/>
              </w:rPr>
              <w:t>Inclusion of an additional booster dose of DTPa on the National Immunisation Program (NIP) at 18 months of age.</w:t>
            </w:r>
          </w:p>
        </w:tc>
        <w:tc>
          <w:tcPr>
            <w:tcW w:w="7192" w:type="dxa"/>
          </w:tcPr>
          <w:p w:rsidR="005813F0" w:rsidRPr="009147E0" w:rsidRDefault="005813F0" w:rsidP="005813F0">
            <w:pPr>
              <w:rPr>
                <w:rFonts w:ascii="Arial" w:hAnsi="Arial" w:cs="Arial"/>
              </w:rPr>
            </w:pPr>
            <w:r w:rsidRPr="009147E0">
              <w:rPr>
                <w:rFonts w:ascii="Arial" w:hAnsi="Arial" w:cs="Arial"/>
              </w:rPr>
              <w:t>The PBAC recommended including an 18-month booster dose of the combined diphtheria, tetanus and acellular pertussis (DTPa) vaccine on the National Immunisation Program (NIP) for the prevention of pertussis on the basis of cost</w:t>
            </w:r>
            <w:r w:rsidRPr="009147E0">
              <w:rPr>
                <w:rFonts w:ascii="Arial" w:hAnsi="Arial" w:cs="Arial"/>
              </w:rPr>
              <w:noBreakHyphen/>
              <w:t xml:space="preserve">effectiveness compared with the current schedule without the booster. The PBAC agreed with the Australian Technical </w:t>
            </w:r>
            <w:r w:rsidR="001B4293">
              <w:rPr>
                <w:rFonts w:ascii="Arial" w:hAnsi="Arial" w:cs="Arial"/>
              </w:rPr>
              <w:t xml:space="preserve">Advisory Group on Immunisation </w:t>
            </w:r>
            <w:r w:rsidRPr="009147E0">
              <w:rPr>
                <w:rFonts w:ascii="Arial" w:hAnsi="Arial" w:cs="Arial"/>
              </w:rPr>
              <w:t>(ATAGI) that there is a public health need to improve suboptimal control of pertussis.</w:t>
            </w:r>
          </w:p>
          <w:p w:rsidR="005813F0" w:rsidRPr="009147E0" w:rsidRDefault="005813F0" w:rsidP="005813F0">
            <w:pPr>
              <w:rPr>
                <w:rFonts w:ascii="Arial" w:hAnsi="Arial" w:cs="Arial"/>
              </w:rPr>
            </w:pPr>
          </w:p>
          <w:p w:rsidR="005813F0" w:rsidRPr="009147E0" w:rsidRDefault="005813F0" w:rsidP="005813F0">
            <w:pPr>
              <w:rPr>
                <w:rFonts w:ascii="Arial" w:hAnsi="Arial" w:cs="Arial"/>
              </w:rPr>
            </w:pPr>
            <w:r w:rsidRPr="009147E0">
              <w:rPr>
                <w:rFonts w:ascii="Arial" w:hAnsi="Arial" w:cs="Arial"/>
              </w:rPr>
              <w:t xml:space="preserve">On the basis of a dynamic transmission model of the whole Australian population, for every 100,000 persons vaccinated, if the 18-month DTPa booster vaccination is included in the immunisation schedule in comparison to ‘no booster’ (the current schedule) per year: </w:t>
            </w:r>
          </w:p>
          <w:p w:rsidR="005813F0" w:rsidRPr="009147E0" w:rsidRDefault="005813F0" w:rsidP="005813F0">
            <w:pPr>
              <w:pStyle w:val="ListParagraph"/>
              <w:numPr>
                <w:ilvl w:val="0"/>
                <w:numId w:val="23"/>
              </w:numPr>
              <w:ind w:left="567" w:hanging="283"/>
              <w:jc w:val="both"/>
              <w:rPr>
                <w:rFonts w:ascii="Arial" w:hAnsi="Arial" w:cs="Arial"/>
                <w:sz w:val="20"/>
                <w:szCs w:val="20"/>
              </w:rPr>
            </w:pPr>
            <w:r w:rsidRPr="009147E0">
              <w:rPr>
                <w:rFonts w:ascii="Arial" w:hAnsi="Arial" w:cs="Arial"/>
                <w:sz w:val="20"/>
                <w:szCs w:val="20"/>
              </w:rPr>
              <w:t>Approximately 262 fewer persons would have a non-notified case of pertussis.</w:t>
            </w:r>
          </w:p>
          <w:p w:rsidR="005813F0" w:rsidRPr="009147E0" w:rsidRDefault="005813F0" w:rsidP="005813F0">
            <w:pPr>
              <w:pStyle w:val="ListParagraph"/>
              <w:numPr>
                <w:ilvl w:val="0"/>
                <w:numId w:val="23"/>
              </w:numPr>
              <w:ind w:left="567" w:hanging="283"/>
              <w:jc w:val="both"/>
              <w:rPr>
                <w:rFonts w:ascii="Arial" w:hAnsi="Arial" w:cs="Arial"/>
                <w:sz w:val="20"/>
                <w:szCs w:val="20"/>
              </w:rPr>
            </w:pPr>
            <w:r w:rsidRPr="009147E0">
              <w:rPr>
                <w:rFonts w:ascii="Arial" w:hAnsi="Arial" w:cs="Arial"/>
                <w:sz w:val="20"/>
                <w:szCs w:val="20"/>
              </w:rPr>
              <w:t xml:space="preserve">Approximately 7 fewer persons would have a notified case of pertussis. </w:t>
            </w:r>
          </w:p>
          <w:p w:rsidR="005813F0" w:rsidRPr="009147E0" w:rsidRDefault="005813F0" w:rsidP="005813F0">
            <w:pPr>
              <w:pStyle w:val="ListParagraph"/>
              <w:numPr>
                <w:ilvl w:val="0"/>
                <w:numId w:val="23"/>
              </w:numPr>
              <w:ind w:left="567" w:hanging="283"/>
              <w:jc w:val="both"/>
              <w:rPr>
                <w:rFonts w:ascii="Arial" w:hAnsi="Arial" w:cs="Arial"/>
                <w:sz w:val="20"/>
                <w:szCs w:val="20"/>
              </w:rPr>
            </w:pPr>
            <w:r w:rsidRPr="009147E0">
              <w:rPr>
                <w:rFonts w:ascii="Arial" w:hAnsi="Arial" w:cs="Arial"/>
                <w:sz w:val="20"/>
                <w:szCs w:val="20"/>
              </w:rPr>
              <w:t xml:space="preserve">Approximately 0.4 fewer persons would be hospitalised due to pertussis. </w:t>
            </w:r>
          </w:p>
          <w:p w:rsidR="005813F0" w:rsidRPr="009147E0" w:rsidRDefault="005813F0" w:rsidP="009B00E1">
            <w:pPr>
              <w:widowControl w:val="0"/>
              <w:jc w:val="both"/>
              <w:rPr>
                <w:rFonts w:ascii="Arial" w:hAnsi="Arial" w:cs="Arial"/>
              </w:rPr>
            </w:pPr>
          </w:p>
        </w:tc>
      </w:tr>
      <w:tr w:rsidR="00260361" w:rsidRPr="009147E0" w:rsidTr="00CB2D1B">
        <w:trPr>
          <w:cantSplit/>
          <w:trHeight w:val="430"/>
        </w:trPr>
        <w:tc>
          <w:tcPr>
            <w:tcW w:w="3118" w:type="dxa"/>
            <w:shd w:val="clear" w:color="auto" w:fill="auto"/>
            <w:tcMar>
              <w:top w:w="28" w:type="dxa"/>
              <w:bottom w:w="28" w:type="dxa"/>
            </w:tcMar>
          </w:tcPr>
          <w:p w:rsidR="00260361" w:rsidRPr="001B4293" w:rsidRDefault="00260361" w:rsidP="00260361">
            <w:pPr>
              <w:widowControl w:val="0"/>
              <w:rPr>
                <w:rFonts w:ascii="Arial" w:hAnsi="Arial" w:cs="Arial"/>
                <w:b/>
              </w:rPr>
            </w:pPr>
            <w:r w:rsidRPr="001B4293">
              <w:rPr>
                <w:rFonts w:ascii="Arial" w:hAnsi="Arial" w:cs="Arial"/>
                <w:b/>
              </w:rPr>
              <w:t>DOLUTEGRAVIR + ABACAVIR + LAMIVUDINE</w:t>
            </w:r>
          </w:p>
          <w:p w:rsidR="00260361" w:rsidRPr="009147E0" w:rsidRDefault="00260361" w:rsidP="00260361">
            <w:pPr>
              <w:widowControl w:val="0"/>
              <w:rPr>
                <w:rFonts w:ascii="Arial" w:hAnsi="Arial" w:cs="Arial"/>
              </w:rPr>
            </w:pPr>
            <w:r w:rsidRPr="009147E0">
              <w:rPr>
                <w:rFonts w:ascii="Arial" w:hAnsi="Arial" w:cs="Arial"/>
              </w:rPr>
              <w:t>dolutegravir 50 mg + abacavir 600 mg + lamivudine 300 mg tablet, 30</w:t>
            </w:r>
          </w:p>
          <w:p w:rsidR="00260361" w:rsidRPr="009147E0" w:rsidRDefault="00260361" w:rsidP="00260361">
            <w:pPr>
              <w:widowControl w:val="0"/>
              <w:rPr>
                <w:rFonts w:ascii="Arial" w:hAnsi="Arial" w:cs="Arial"/>
              </w:rPr>
            </w:pPr>
            <w:r w:rsidRPr="009147E0">
              <w:rPr>
                <w:rFonts w:ascii="Arial" w:hAnsi="Arial" w:cs="Arial"/>
              </w:rPr>
              <w:t> </w:t>
            </w:r>
          </w:p>
          <w:p w:rsidR="00260361" w:rsidRPr="009147E0" w:rsidRDefault="00260361" w:rsidP="00260361">
            <w:pPr>
              <w:widowControl w:val="0"/>
              <w:rPr>
                <w:rFonts w:ascii="Arial" w:hAnsi="Arial" w:cs="Arial"/>
              </w:rPr>
            </w:pPr>
            <w:r w:rsidRPr="009147E0">
              <w:rPr>
                <w:rFonts w:ascii="Arial" w:hAnsi="Arial" w:cs="Arial"/>
              </w:rPr>
              <w:t>Triumeq</w:t>
            </w:r>
            <w:r w:rsidRPr="009147E0">
              <w:rPr>
                <w:rFonts w:ascii="Arial" w:hAnsi="Arial" w:cs="Arial"/>
                <w:vertAlign w:val="superscript"/>
              </w:rPr>
              <w:t>®</w:t>
            </w:r>
          </w:p>
          <w:p w:rsidR="00260361" w:rsidRPr="009147E0" w:rsidRDefault="00260361" w:rsidP="00260361">
            <w:pPr>
              <w:widowControl w:val="0"/>
              <w:rPr>
                <w:rFonts w:ascii="Arial" w:hAnsi="Arial" w:cs="Arial"/>
              </w:rPr>
            </w:pPr>
            <w:r w:rsidRPr="009147E0">
              <w:rPr>
                <w:rFonts w:ascii="Arial" w:hAnsi="Arial" w:cs="Arial"/>
              </w:rPr>
              <w:t> </w:t>
            </w:r>
          </w:p>
          <w:p w:rsidR="00260361" w:rsidRPr="009147E0" w:rsidRDefault="00260361" w:rsidP="00260361">
            <w:pPr>
              <w:widowControl w:val="0"/>
              <w:rPr>
                <w:rFonts w:ascii="Arial" w:hAnsi="Arial" w:cs="Arial"/>
              </w:rPr>
            </w:pPr>
            <w:r w:rsidRPr="009147E0">
              <w:rPr>
                <w:rFonts w:ascii="Arial" w:hAnsi="Arial" w:cs="Arial"/>
              </w:rPr>
              <w:t>ViiV Healthcare Pty Ltd</w:t>
            </w:r>
          </w:p>
          <w:p w:rsidR="00260361" w:rsidRPr="009147E0" w:rsidRDefault="00260361" w:rsidP="009B00E1">
            <w:pPr>
              <w:widowControl w:val="0"/>
              <w:rPr>
                <w:rFonts w:ascii="Arial" w:hAnsi="Arial" w:cs="Arial"/>
              </w:rPr>
            </w:pPr>
          </w:p>
          <w:p w:rsidR="00260361" w:rsidRPr="009147E0" w:rsidRDefault="00260361" w:rsidP="00260361">
            <w:pPr>
              <w:widowControl w:val="0"/>
              <w:rPr>
                <w:rFonts w:ascii="Arial" w:hAnsi="Arial" w:cs="Arial"/>
              </w:rPr>
            </w:pPr>
            <w:r w:rsidRPr="009147E0">
              <w:rPr>
                <w:rFonts w:ascii="Arial" w:hAnsi="Arial" w:cs="Arial"/>
              </w:rPr>
              <w:t>New listing</w:t>
            </w:r>
          </w:p>
          <w:p w:rsidR="00260361" w:rsidRPr="009147E0" w:rsidRDefault="00260361" w:rsidP="00260361">
            <w:pPr>
              <w:widowControl w:val="0"/>
              <w:rPr>
                <w:rFonts w:ascii="Arial" w:hAnsi="Arial" w:cs="Arial"/>
              </w:rPr>
            </w:pPr>
          </w:p>
          <w:p w:rsidR="00260361" w:rsidRPr="009147E0" w:rsidRDefault="00260361" w:rsidP="00260361">
            <w:pPr>
              <w:widowControl w:val="0"/>
              <w:rPr>
                <w:rFonts w:ascii="Arial" w:hAnsi="Arial" w:cs="Arial"/>
              </w:rPr>
            </w:pPr>
            <w:r w:rsidRPr="009147E0">
              <w:rPr>
                <w:rFonts w:ascii="Arial" w:hAnsi="Arial" w:cs="Arial"/>
              </w:rPr>
              <w:t>(Major submission)</w:t>
            </w:r>
          </w:p>
          <w:p w:rsidR="00260361" w:rsidRPr="009147E0" w:rsidRDefault="00260361" w:rsidP="009B00E1">
            <w:pPr>
              <w:widowControl w:val="0"/>
              <w:rPr>
                <w:rFonts w:ascii="Arial" w:hAnsi="Arial" w:cs="Arial"/>
              </w:rPr>
            </w:pPr>
          </w:p>
        </w:tc>
        <w:tc>
          <w:tcPr>
            <w:tcW w:w="2262" w:type="dxa"/>
            <w:shd w:val="clear" w:color="auto" w:fill="auto"/>
            <w:tcMar>
              <w:top w:w="28" w:type="dxa"/>
              <w:bottom w:w="28" w:type="dxa"/>
            </w:tcMar>
          </w:tcPr>
          <w:p w:rsidR="00260361" w:rsidRPr="009147E0" w:rsidRDefault="00260361" w:rsidP="00263F7F">
            <w:pPr>
              <w:rPr>
                <w:rFonts w:ascii="Arial" w:hAnsi="Arial" w:cs="Arial"/>
              </w:rPr>
            </w:pPr>
            <w:r w:rsidRPr="009147E0">
              <w:rPr>
                <w:rFonts w:ascii="Arial" w:hAnsi="Arial" w:cs="Arial"/>
              </w:rPr>
              <w:t>HIV Infection</w:t>
            </w:r>
          </w:p>
        </w:tc>
        <w:tc>
          <w:tcPr>
            <w:tcW w:w="2987" w:type="dxa"/>
            <w:shd w:val="clear" w:color="auto" w:fill="auto"/>
            <w:tcMar>
              <w:top w:w="28" w:type="dxa"/>
              <w:bottom w:w="28" w:type="dxa"/>
            </w:tcMar>
          </w:tcPr>
          <w:p w:rsidR="00260361" w:rsidRPr="009147E0" w:rsidRDefault="00260361" w:rsidP="00263F7F">
            <w:pPr>
              <w:widowControl w:val="0"/>
              <w:rPr>
                <w:rFonts w:ascii="Arial" w:hAnsi="Arial" w:cs="Arial"/>
              </w:rPr>
            </w:pPr>
            <w:r w:rsidRPr="009147E0">
              <w:rPr>
                <w:rFonts w:ascii="Arial" w:hAnsi="Arial" w:cs="Arial"/>
              </w:rPr>
              <w:t>Section 100 Authority Required listing for the treatment</w:t>
            </w:r>
            <w:r w:rsidR="00AD08BD" w:rsidRPr="009147E0">
              <w:rPr>
                <w:rFonts w:ascii="Arial" w:hAnsi="Arial" w:cs="Arial"/>
              </w:rPr>
              <w:t xml:space="preserve"> of</w:t>
            </w:r>
            <w:r w:rsidRPr="009147E0">
              <w:rPr>
                <w:rFonts w:ascii="Arial" w:hAnsi="Arial" w:cs="Arial"/>
              </w:rPr>
              <w:t xml:space="preserve"> HIV infection in patients meeting certain criteria.</w:t>
            </w:r>
          </w:p>
        </w:tc>
        <w:tc>
          <w:tcPr>
            <w:tcW w:w="7192" w:type="dxa"/>
          </w:tcPr>
          <w:p w:rsidR="00260361" w:rsidRPr="009147E0" w:rsidRDefault="00260361" w:rsidP="00260361">
            <w:pPr>
              <w:widowControl w:val="0"/>
              <w:jc w:val="both"/>
              <w:rPr>
                <w:rFonts w:ascii="Arial" w:hAnsi="Arial" w:cs="Arial"/>
                <w:bCs/>
                <w:lang w:val="en-GB"/>
              </w:rPr>
            </w:pPr>
            <w:r w:rsidRPr="009147E0">
              <w:rPr>
                <w:rFonts w:ascii="Arial" w:hAnsi="Arial" w:cs="Arial"/>
                <w:bCs/>
                <w:lang w:val="en-GB"/>
              </w:rPr>
              <w:t>The PBAC recommended Section 100 (Highly Specialised Drugs Program) listing of dolutegavir+lamivudine+abacavir (Triumeq FDC). The PBAC recommended the special arrangements under the Highly Specialised Drugs Program, Priva</w:t>
            </w:r>
            <w:r w:rsidR="001B4293">
              <w:rPr>
                <w:rFonts w:ascii="Arial" w:hAnsi="Arial" w:cs="Arial"/>
                <w:bCs/>
                <w:lang w:val="en-GB"/>
              </w:rPr>
              <w:t xml:space="preserve">te Hospital Authority Required </w:t>
            </w:r>
            <w:r w:rsidRPr="009147E0">
              <w:rPr>
                <w:rFonts w:ascii="Arial" w:hAnsi="Arial" w:cs="Arial"/>
                <w:bCs/>
                <w:lang w:val="en-GB"/>
              </w:rPr>
              <w:t xml:space="preserve">and Public Hospital Authority Required (STREAMLINED). </w:t>
            </w:r>
          </w:p>
          <w:p w:rsidR="00260361" w:rsidRPr="009147E0" w:rsidRDefault="00260361" w:rsidP="00260361">
            <w:pPr>
              <w:widowControl w:val="0"/>
              <w:jc w:val="both"/>
              <w:rPr>
                <w:rFonts w:ascii="Arial" w:hAnsi="Arial" w:cs="Arial"/>
                <w:bCs/>
                <w:lang w:val="en-GB"/>
              </w:rPr>
            </w:pPr>
          </w:p>
          <w:p w:rsidR="00260361" w:rsidRPr="008F629F" w:rsidRDefault="00260361" w:rsidP="008F629F">
            <w:pPr>
              <w:widowControl w:val="0"/>
              <w:jc w:val="both"/>
              <w:rPr>
                <w:rFonts w:ascii="Arial" w:hAnsi="Arial" w:cs="Arial"/>
                <w:bCs/>
                <w:lang w:val="en-GB"/>
              </w:rPr>
            </w:pPr>
            <w:r w:rsidRPr="009147E0">
              <w:rPr>
                <w:rFonts w:ascii="Arial" w:hAnsi="Arial" w:cs="Arial"/>
                <w:bCs/>
                <w:lang w:val="en-GB"/>
              </w:rPr>
              <w:t xml:space="preserve">The PBAC recommended the listing of Triumeq on </w:t>
            </w:r>
            <w:r w:rsidR="001B4293">
              <w:rPr>
                <w:rFonts w:ascii="Arial" w:hAnsi="Arial" w:cs="Arial"/>
                <w:bCs/>
                <w:lang w:val="en-GB"/>
              </w:rPr>
              <w:t xml:space="preserve">a cost-minimisation basis with </w:t>
            </w:r>
            <w:r w:rsidRPr="009147E0">
              <w:rPr>
                <w:rFonts w:ascii="Arial" w:hAnsi="Arial" w:cs="Arial"/>
                <w:bCs/>
                <w:lang w:val="en-GB"/>
              </w:rPr>
              <w:t>emtricitabine+tenofovir+efavirenz (Atripla FDC</w:t>
            </w:r>
            <w:r w:rsidR="001B4293">
              <w:rPr>
                <w:rFonts w:ascii="Arial" w:hAnsi="Arial" w:cs="Arial"/>
                <w:bCs/>
                <w:lang w:val="en-GB"/>
              </w:rPr>
              <w:t>)</w:t>
            </w:r>
            <w:r w:rsidRPr="009147E0">
              <w:rPr>
                <w:rFonts w:ascii="Arial" w:hAnsi="Arial" w:cs="Arial"/>
                <w:bCs/>
                <w:lang w:val="en-GB"/>
              </w:rPr>
              <w:t xml:space="preserve"> for the treatment of patients with HIV. The equi-effective doses are dolutegravir 50</w:t>
            </w:r>
            <w:r w:rsidR="001B4293">
              <w:rPr>
                <w:rFonts w:ascii="Arial" w:hAnsi="Arial" w:cs="Arial"/>
                <w:bCs/>
                <w:lang w:val="en-GB"/>
              </w:rPr>
              <w:t xml:space="preserve"> </w:t>
            </w:r>
            <w:r w:rsidRPr="009147E0">
              <w:rPr>
                <w:rFonts w:ascii="Arial" w:hAnsi="Arial" w:cs="Arial"/>
                <w:bCs/>
                <w:lang w:val="en-GB"/>
              </w:rPr>
              <w:t>mg + abacavir 600</w:t>
            </w:r>
            <w:r w:rsidR="001B4293">
              <w:rPr>
                <w:rFonts w:ascii="Arial" w:hAnsi="Arial" w:cs="Arial"/>
                <w:bCs/>
                <w:lang w:val="en-GB"/>
              </w:rPr>
              <w:t xml:space="preserve"> </w:t>
            </w:r>
            <w:r w:rsidRPr="009147E0">
              <w:rPr>
                <w:rFonts w:ascii="Arial" w:hAnsi="Arial" w:cs="Arial"/>
                <w:bCs/>
                <w:lang w:val="en-GB"/>
              </w:rPr>
              <w:t>mg + lamivudine 300</w:t>
            </w:r>
            <w:r w:rsidR="001B4293">
              <w:rPr>
                <w:rFonts w:ascii="Arial" w:hAnsi="Arial" w:cs="Arial"/>
                <w:bCs/>
                <w:lang w:val="en-GB"/>
              </w:rPr>
              <w:t xml:space="preserve"> </w:t>
            </w:r>
            <w:r w:rsidRPr="009147E0">
              <w:rPr>
                <w:rFonts w:ascii="Arial" w:hAnsi="Arial" w:cs="Arial"/>
                <w:bCs/>
                <w:lang w:val="en-GB"/>
              </w:rPr>
              <w:t>mg from one Triumeq tablet is equal to tenofovir disoproxil fumarate 300 mg with emtricitabine 200 mg and efavirenz 600 mg from one Atripla tablet.</w:t>
            </w:r>
          </w:p>
        </w:tc>
      </w:tr>
      <w:tr w:rsidR="004E4D96" w:rsidRPr="009147E0" w:rsidTr="00CB2D1B">
        <w:trPr>
          <w:cantSplit/>
          <w:trHeight w:val="430"/>
        </w:trPr>
        <w:tc>
          <w:tcPr>
            <w:tcW w:w="3118" w:type="dxa"/>
            <w:shd w:val="clear" w:color="auto" w:fill="auto"/>
            <w:tcMar>
              <w:top w:w="28" w:type="dxa"/>
              <w:bottom w:w="28" w:type="dxa"/>
            </w:tcMar>
          </w:tcPr>
          <w:p w:rsidR="004E4D96" w:rsidRPr="001B4293" w:rsidRDefault="004E4D96" w:rsidP="004E4D96">
            <w:pPr>
              <w:pStyle w:val="NormalWeb"/>
              <w:spacing w:before="0" w:beforeAutospacing="0" w:after="0" w:afterAutospacing="0"/>
              <w:rPr>
                <w:rFonts w:ascii="Arial" w:hAnsi="Arial" w:cs="Arial"/>
                <w:b/>
                <w:color w:val="222222"/>
                <w:sz w:val="20"/>
                <w:szCs w:val="20"/>
              </w:rPr>
            </w:pPr>
            <w:r w:rsidRPr="001B4293">
              <w:rPr>
                <w:rFonts w:ascii="Arial" w:hAnsi="Arial" w:cs="Arial"/>
                <w:b/>
                <w:color w:val="222222"/>
                <w:sz w:val="20"/>
                <w:szCs w:val="20"/>
              </w:rPr>
              <w:lastRenderedPageBreak/>
              <w:t>ENOXAPARIN SODIUM</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20 mg/0.2 mL injection, 10 x 0.2 mL pre-filled syringes</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40 mg/0.4 mL injection, 10 x 0.4 mL pre-filled syringes</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60 mg/0.6 mL injection, 10 x 0.6 mL pre-filled syringes</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80 mg/0.8 mL injection, 10 x 0.8 mL pre-filled syringes</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100 mg/1 mL injection, 10 x 1 mL pre-filled syringes</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Clexane Safety-Lock</w:t>
            </w:r>
            <w:r w:rsidRPr="009147E0">
              <w:rPr>
                <w:rFonts w:ascii="Arial" w:hAnsi="Arial" w:cs="Arial"/>
                <w:color w:val="222222"/>
                <w:sz w:val="20"/>
                <w:szCs w:val="20"/>
                <w:bdr w:val="none" w:sz="0" w:space="0" w:color="auto" w:frame="1"/>
                <w:vertAlign w:val="superscript"/>
              </w:rPr>
              <w:t>®</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Sanofi-Aventis Australia Pty Ltd.</w:t>
            </w:r>
          </w:p>
          <w:p w:rsidR="00EA7144" w:rsidRPr="009147E0" w:rsidRDefault="00EA7144"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New listing</w:t>
            </w:r>
          </w:p>
          <w:p w:rsidR="00EA7144" w:rsidRPr="009147E0" w:rsidRDefault="00EA7144"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(Minor submission)</w:t>
            </w:r>
          </w:p>
          <w:p w:rsidR="004E4D96" w:rsidRPr="009147E0" w:rsidRDefault="004E4D96" w:rsidP="00260361">
            <w:pPr>
              <w:widowControl w:val="0"/>
              <w:rPr>
                <w:rFonts w:ascii="Arial" w:hAnsi="Arial" w:cs="Arial"/>
              </w:rPr>
            </w:pPr>
          </w:p>
        </w:tc>
        <w:tc>
          <w:tcPr>
            <w:tcW w:w="2262" w:type="dxa"/>
            <w:shd w:val="clear" w:color="auto" w:fill="auto"/>
            <w:tcMar>
              <w:top w:w="28" w:type="dxa"/>
              <w:bottom w:w="28" w:type="dxa"/>
            </w:tcMar>
          </w:tcPr>
          <w:p w:rsidR="004E4D96" w:rsidRPr="009147E0" w:rsidRDefault="004E4D96" w:rsidP="00263F7F">
            <w:pPr>
              <w:rPr>
                <w:rFonts w:ascii="Arial" w:hAnsi="Arial" w:cs="Arial"/>
              </w:rPr>
            </w:pPr>
            <w:r w:rsidRPr="009147E0">
              <w:rPr>
                <w:rFonts w:ascii="Arial" w:hAnsi="Arial" w:cs="Arial"/>
              </w:rPr>
              <w:t>Prevention of blood clots</w:t>
            </w:r>
          </w:p>
        </w:tc>
        <w:tc>
          <w:tcPr>
            <w:tcW w:w="2987" w:type="dxa"/>
            <w:shd w:val="clear" w:color="auto" w:fill="auto"/>
            <w:tcMar>
              <w:top w:w="28" w:type="dxa"/>
              <w:bottom w:w="28" w:type="dxa"/>
            </w:tcMar>
          </w:tcPr>
          <w:p w:rsidR="004E4D96" w:rsidRPr="009147E0" w:rsidRDefault="004E4D96" w:rsidP="00263F7F">
            <w:pPr>
              <w:widowControl w:val="0"/>
              <w:rPr>
                <w:rFonts w:ascii="Arial" w:hAnsi="Arial" w:cs="Arial"/>
              </w:rPr>
            </w:pPr>
            <w:r w:rsidRPr="009147E0">
              <w:rPr>
                <w:rFonts w:ascii="Arial" w:hAnsi="Arial" w:cs="Arial"/>
              </w:rPr>
              <w:t xml:space="preserve">To request listing of a new </w:t>
            </w:r>
            <w:r w:rsidR="008078AC" w:rsidRPr="009147E0">
              <w:rPr>
                <w:rFonts w:ascii="Arial" w:hAnsi="Arial" w:cs="Arial"/>
              </w:rPr>
              <w:t>presentation of safety-lock pre</w:t>
            </w:r>
            <w:r w:rsidR="008078AC" w:rsidRPr="009147E0">
              <w:rPr>
                <w:rFonts w:ascii="Arial" w:hAnsi="Arial" w:cs="Arial"/>
              </w:rPr>
              <w:noBreakHyphen/>
            </w:r>
            <w:r w:rsidRPr="009147E0">
              <w:rPr>
                <w:rFonts w:ascii="Arial" w:hAnsi="Arial" w:cs="Arial"/>
              </w:rPr>
              <w:t>filled syringes on the PBS</w:t>
            </w:r>
          </w:p>
        </w:tc>
        <w:tc>
          <w:tcPr>
            <w:tcW w:w="7192" w:type="dxa"/>
          </w:tcPr>
          <w:p w:rsidR="004E4D96" w:rsidRDefault="008078AC" w:rsidP="00260361">
            <w:pPr>
              <w:widowControl w:val="0"/>
              <w:jc w:val="both"/>
              <w:rPr>
                <w:rFonts w:ascii="Arial" w:hAnsi="Arial" w:cs="Arial"/>
              </w:rPr>
            </w:pPr>
            <w:r w:rsidRPr="009147E0">
              <w:rPr>
                <w:rFonts w:ascii="Arial" w:hAnsi="Arial" w:cs="Arial"/>
              </w:rPr>
              <w:t>The PBAC recommend listing on the PBS</w:t>
            </w:r>
            <w:r w:rsidR="008F629F">
              <w:rPr>
                <w:rFonts w:ascii="Arial" w:hAnsi="Arial" w:cs="Arial"/>
              </w:rPr>
              <w:t xml:space="preserve"> on the basis that the new formulation is equivalent to the currently PBS-listed enoxaparin </w:t>
            </w:r>
            <w:r w:rsidR="008F629F" w:rsidRPr="008F629F">
              <w:rPr>
                <w:rFonts w:ascii="Arial" w:hAnsi="Arial" w:cs="Arial"/>
              </w:rPr>
              <w:t>(Clexane®) for all available strengths and indications.</w:t>
            </w:r>
          </w:p>
          <w:p w:rsidR="008F629F" w:rsidRDefault="008F629F" w:rsidP="00260361">
            <w:pPr>
              <w:widowControl w:val="0"/>
              <w:jc w:val="both"/>
              <w:rPr>
                <w:rFonts w:ascii="Arial" w:hAnsi="Arial" w:cs="Arial"/>
              </w:rPr>
            </w:pPr>
          </w:p>
          <w:p w:rsidR="008F629F" w:rsidRPr="009147E0" w:rsidRDefault="008F629F" w:rsidP="00260361">
            <w:pPr>
              <w:widowControl w:val="0"/>
              <w:jc w:val="both"/>
              <w:rPr>
                <w:rFonts w:ascii="Arial" w:hAnsi="Arial" w:cs="Arial"/>
                <w:bCs/>
                <w:lang w:val="en-GB"/>
              </w:rPr>
            </w:pPr>
            <w:r w:rsidRPr="008F629F">
              <w:rPr>
                <w:rFonts w:ascii="Arial" w:hAnsi="Arial" w:cs="Arial"/>
                <w:bCs/>
                <w:lang w:val="en-GB"/>
              </w:rPr>
              <w:t>The PBAC recommended enoxaparin (Clexane Safety-Lock®) and enoxaparin (Clexane®) should be considered equivalent for the purposes of substitution.</w:t>
            </w:r>
          </w:p>
        </w:tc>
      </w:tr>
      <w:tr w:rsidR="003C1B40" w:rsidRPr="009147E0" w:rsidTr="00CB2D1B">
        <w:trPr>
          <w:cantSplit/>
          <w:trHeight w:val="430"/>
        </w:trPr>
        <w:tc>
          <w:tcPr>
            <w:tcW w:w="3118" w:type="dxa"/>
            <w:shd w:val="clear" w:color="auto" w:fill="auto"/>
            <w:tcMar>
              <w:top w:w="28" w:type="dxa"/>
              <w:bottom w:w="28" w:type="dxa"/>
            </w:tcMar>
          </w:tcPr>
          <w:p w:rsidR="003C1B40" w:rsidRPr="001B4293" w:rsidRDefault="003C1B40" w:rsidP="003C1B40">
            <w:pPr>
              <w:pStyle w:val="NormalWeb"/>
              <w:spacing w:before="0" w:beforeAutospacing="0" w:after="0" w:afterAutospacing="0"/>
              <w:rPr>
                <w:rFonts w:ascii="Arial" w:hAnsi="Arial" w:cs="Arial"/>
                <w:b/>
                <w:color w:val="222222"/>
                <w:sz w:val="20"/>
                <w:szCs w:val="20"/>
              </w:rPr>
            </w:pPr>
            <w:r w:rsidRPr="001B4293">
              <w:rPr>
                <w:rFonts w:ascii="Arial" w:hAnsi="Arial" w:cs="Arial"/>
                <w:b/>
                <w:color w:val="222222"/>
                <w:sz w:val="20"/>
                <w:szCs w:val="20"/>
              </w:rPr>
              <w:lastRenderedPageBreak/>
              <w:t>EZETIMIBE+ATORVASTATIN</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ezetimibe 10 mg + atorvastatin 10 mg tablet, 30</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ezetimibe 10 mg + atorvastatin 20 mg tablet, 30</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ezetimibe 10 mg + atorvastatin 40 mg tablet, 30</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ezetimibe 10 mg + atorvastatin 80 mg tablet, 30</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Atozet®</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Merck Sharp and Dohme (Australia) Pty Ltd</w:t>
            </w:r>
          </w:p>
          <w:p w:rsidR="003C1B40" w:rsidRPr="009147E0" w:rsidRDefault="003C1B40" w:rsidP="003C1B40">
            <w:pPr>
              <w:pStyle w:val="NormalWeb"/>
              <w:spacing w:before="0" w:beforeAutospacing="0" w:after="0" w:afterAutospacing="0"/>
              <w:rPr>
                <w:rFonts w:ascii="Arial" w:hAnsi="Arial" w:cs="Arial"/>
                <w:color w:val="222222"/>
                <w:sz w:val="20"/>
                <w:szCs w:val="20"/>
              </w:rPr>
            </w:pP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New listing</w:t>
            </w:r>
          </w:p>
          <w:p w:rsidR="00EA7144" w:rsidRPr="009147E0" w:rsidRDefault="00EA7144" w:rsidP="003C1B40">
            <w:pPr>
              <w:pStyle w:val="NormalWeb"/>
              <w:spacing w:before="0" w:beforeAutospacing="0" w:after="0" w:afterAutospacing="0"/>
              <w:rPr>
                <w:rFonts w:ascii="Arial" w:hAnsi="Arial" w:cs="Arial"/>
                <w:color w:val="222222"/>
                <w:sz w:val="20"/>
                <w:szCs w:val="20"/>
              </w:rPr>
            </w:pPr>
          </w:p>
          <w:p w:rsidR="003C1B40" w:rsidRPr="009147E0" w:rsidRDefault="003C1B40" w:rsidP="003C1B40">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(Major submission)</w:t>
            </w:r>
          </w:p>
          <w:p w:rsidR="003C1B40" w:rsidRPr="009147E0" w:rsidRDefault="003C1B40" w:rsidP="003C1B40">
            <w:pPr>
              <w:pStyle w:val="NormalWeb"/>
              <w:spacing w:before="0" w:beforeAutospacing="0" w:after="0" w:afterAutospacing="0"/>
              <w:rPr>
                <w:rFonts w:ascii="Arial" w:hAnsi="Arial" w:cs="Arial"/>
                <w:color w:val="222222"/>
                <w:sz w:val="20"/>
                <w:szCs w:val="20"/>
              </w:rPr>
            </w:pPr>
          </w:p>
        </w:tc>
        <w:tc>
          <w:tcPr>
            <w:tcW w:w="2262" w:type="dxa"/>
            <w:shd w:val="clear" w:color="auto" w:fill="auto"/>
            <w:tcMar>
              <w:top w:w="28" w:type="dxa"/>
              <w:bottom w:w="28" w:type="dxa"/>
            </w:tcMar>
          </w:tcPr>
          <w:p w:rsidR="003C1B40" w:rsidRPr="009147E0" w:rsidRDefault="003C1B40" w:rsidP="00263F7F">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Hypercholesterolaemia</w:t>
            </w:r>
          </w:p>
        </w:tc>
        <w:tc>
          <w:tcPr>
            <w:tcW w:w="2987" w:type="dxa"/>
            <w:shd w:val="clear" w:color="auto" w:fill="auto"/>
            <w:tcMar>
              <w:top w:w="28" w:type="dxa"/>
              <w:bottom w:w="28" w:type="dxa"/>
            </w:tcMar>
          </w:tcPr>
          <w:p w:rsidR="003C1B40" w:rsidRPr="009147E0" w:rsidRDefault="003C1B40" w:rsidP="00263F7F">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Authority Required (STREAMLINED) listing for the treatment of hypercholesterolaemia in patients who meet certain criteria.</w:t>
            </w:r>
          </w:p>
        </w:tc>
        <w:tc>
          <w:tcPr>
            <w:tcW w:w="7192" w:type="dxa"/>
          </w:tcPr>
          <w:p w:rsidR="003C1B40" w:rsidRPr="009147E0" w:rsidRDefault="003C1B40" w:rsidP="00260361">
            <w:pPr>
              <w:widowControl w:val="0"/>
              <w:jc w:val="both"/>
              <w:rPr>
                <w:rFonts w:ascii="Arial" w:hAnsi="Arial" w:cs="Arial"/>
              </w:rPr>
            </w:pPr>
            <w:r w:rsidRPr="009147E0">
              <w:rPr>
                <w:rFonts w:ascii="Arial" w:hAnsi="Arial" w:cs="Arial"/>
              </w:rPr>
              <w:t>The PBAC recommended listing the fixed dose combination tablets for the same Authority Required (STREAMLINED) listings as applying to the existing composite packs, on a cost-minimisation basis with the individual components taken concomitantly. It was noted that the fixed dose combination tablets would replace the composite packs.</w:t>
            </w:r>
          </w:p>
        </w:tc>
      </w:tr>
      <w:tr w:rsidR="004E4D96" w:rsidRPr="009147E0" w:rsidTr="00CB2D1B">
        <w:trPr>
          <w:cantSplit/>
          <w:trHeight w:val="430"/>
        </w:trPr>
        <w:tc>
          <w:tcPr>
            <w:tcW w:w="3118" w:type="dxa"/>
            <w:shd w:val="clear" w:color="auto" w:fill="auto"/>
            <w:tcMar>
              <w:top w:w="28" w:type="dxa"/>
              <w:bottom w:w="28" w:type="dxa"/>
            </w:tcMar>
          </w:tcPr>
          <w:p w:rsidR="004E4D96" w:rsidRPr="001B4293" w:rsidRDefault="004E4D96" w:rsidP="004E4D96">
            <w:pPr>
              <w:pStyle w:val="NormalWeb"/>
              <w:spacing w:before="0" w:beforeAutospacing="0" w:after="0" w:afterAutospacing="0"/>
              <w:rPr>
                <w:rFonts w:ascii="Arial" w:hAnsi="Arial" w:cs="Arial"/>
                <w:b/>
                <w:color w:val="222222"/>
                <w:sz w:val="20"/>
                <w:szCs w:val="20"/>
              </w:rPr>
            </w:pPr>
            <w:r w:rsidRPr="001B4293">
              <w:rPr>
                <w:rFonts w:ascii="Arial" w:hAnsi="Arial" w:cs="Arial"/>
                <w:b/>
                <w:color w:val="222222"/>
                <w:sz w:val="20"/>
                <w:szCs w:val="20"/>
              </w:rPr>
              <w:t>GLUCOSE INDICATOR BLOOD</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glucose indicator blood strip: diagnostic, 100</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4E4D96"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Dario</w:t>
            </w:r>
            <w:r w:rsidRPr="009147E0">
              <w:rPr>
                <w:rFonts w:ascii="Arial" w:hAnsi="Arial" w:cs="Arial"/>
                <w:color w:val="222222"/>
                <w:sz w:val="20"/>
                <w:szCs w:val="20"/>
                <w:bdr w:val="none" w:sz="0" w:space="0" w:color="auto" w:frame="1"/>
                <w:vertAlign w:val="superscript"/>
              </w:rPr>
              <w:t>®</w:t>
            </w:r>
            <w:r w:rsidRPr="009147E0">
              <w:rPr>
                <w:rStyle w:val="apple-converted-space"/>
                <w:rFonts w:ascii="Arial" w:hAnsi="Arial" w:cs="Arial"/>
                <w:color w:val="222222"/>
                <w:sz w:val="20"/>
                <w:szCs w:val="20"/>
              </w:rPr>
              <w:t> </w:t>
            </w:r>
            <w:r w:rsidR="00EA7C1F">
              <w:rPr>
                <w:rFonts w:ascii="Arial" w:hAnsi="Arial" w:cs="Arial"/>
                <w:color w:val="222222"/>
                <w:sz w:val="20"/>
                <w:szCs w:val="20"/>
              </w:rPr>
              <w:t>Blood Glucose Test Strip</w:t>
            </w:r>
          </w:p>
          <w:p w:rsidR="00EA7C1F" w:rsidRPr="009147E0" w:rsidRDefault="00EA7C1F"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uHealth Australia Pty Ltd</w:t>
            </w:r>
          </w:p>
          <w:p w:rsidR="004E4D96" w:rsidRPr="009147E0" w:rsidRDefault="004E4D96"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New listing</w:t>
            </w:r>
          </w:p>
          <w:p w:rsidR="00EA7144" w:rsidRPr="009147E0" w:rsidRDefault="00EA7144"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(Minor submission)</w:t>
            </w:r>
          </w:p>
          <w:p w:rsidR="004E4D96" w:rsidRPr="009147E0" w:rsidRDefault="004E4D96" w:rsidP="00260361">
            <w:pPr>
              <w:widowControl w:val="0"/>
              <w:rPr>
                <w:rFonts w:ascii="Arial" w:hAnsi="Arial" w:cs="Arial"/>
                <w:highlight w:val="yellow"/>
              </w:rPr>
            </w:pPr>
          </w:p>
        </w:tc>
        <w:tc>
          <w:tcPr>
            <w:tcW w:w="2262" w:type="dxa"/>
            <w:shd w:val="clear" w:color="auto" w:fill="auto"/>
            <w:tcMar>
              <w:top w:w="28" w:type="dxa"/>
              <w:bottom w:w="28" w:type="dxa"/>
            </w:tcMar>
          </w:tcPr>
          <w:p w:rsidR="004E4D96" w:rsidRPr="009147E0" w:rsidRDefault="001B4293" w:rsidP="00263F7F">
            <w:pPr>
              <w:tabs>
                <w:tab w:val="right" w:pos="1902"/>
              </w:tabs>
              <w:rPr>
                <w:rFonts w:ascii="Arial" w:hAnsi="Arial" w:cs="Arial"/>
              </w:rPr>
            </w:pPr>
            <w:r>
              <w:rPr>
                <w:rFonts w:ascii="Arial" w:hAnsi="Arial" w:cs="Arial"/>
              </w:rPr>
              <w:t>Diabetes</w:t>
            </w:r>
          </w:p>
        </w:tc>
        <w:tc>
          <w:tcPr>
            <w:tcW w:w="2987" w:type="dxa"/>
            <w:shd w:val="clear" w:color="auto" w:fill="auto"/>
            <w:tcMar>
              <w:top w:w="28" w:type="dxa"/>
              <w:bottom w:w="28" w:type="dxa"/>
            </w:tcMar>
          </w:tcPr>
          <w:p w:rsidR="004E4D96" w:rsidRPr="009147E0" w:rsidRDefault="004E4D96" w:rsidP="00263F7F">
            <w:pPr>
              <w:widowControl w:val="0"/>
              <w:rPr>
                <w:rFonts w:ascii="Arial" w:hAnsi="Arial" w:cs="Arial"/>
              </w:rPr>
            </w:pPr>
            <w:r w:rsidRPr="009147E0">
              <w:rPr>
                <w:rFonts w:ascii="Arial" w:hAnsi="Arial" w:cs="Arial"/>
              </w:rPr>
              <w:t>Unrestricted benefit listing and restricted benefit listing for blood glucose monitoring.</w:t>
            </w:r>
          </w:p>
        </w:tc>
        <w:tc>
          <w:tcPr>
            <w:tcW w:w="7192" w:type="dxa"/>
          </w:tcPr>
          <w:p w:rsidR="004E4D96" w:rsidRPr="009147E0" w:rsidRDefault="004E4D96" w:rsidP="00260361">
            <w:pPr>
              <w:widowControl w:val="0"/>
              <w:jc w:val="both"/>
              <w:rPr>
                <w:rFonts w:ascii="Arial" w:hAnsi="Arial" w:cs="Arial"/>
                <w:bCs/>
                <w:lang w:val="en-GB"/>
              </w:rPr>
            </w:pPr>
            <w:r w:rsidRPr="009147E0">
              <w:rPr>
                <w:rFonts w:ascii="Arial" w:hAnsi="Arial" w:cs="Arial"/>
              </w:rPr>
              <w:t>The PBAC recommend listing under the same conditions as currently listed PBS</w:t>
            </w:r>
            <w:r w:rsidRPr="009147E0">
              <w:rPr>
                <w:rFonts w:ascii="Arial" w:hAnsi="Arial" w:cs="Arial"/>
              </w:rPr>
              <w:noBreakHyphen/>
              <w:t>listed blood glucose test strips.</w:t>
            </w:r>
          </w:p>
        </w:tc>
      </w:tr>
      <w:tr w:rsidR="004E4D96" w:rsidRPr="009147E0" w:rsidTr="00CB2D1B">
        <w:trPr>
          <w:cantSplit/>
          <w:trHeight w:val="430"/>
        </w:trPr>
        <w:tc>
          <w:tcPr>
            <w:tcW w:w="3118" w:type="dxa"/>
            <w:shd w:val="clear" w:color="auto" w:fill="auto"/>
            <w:tcMar>
              <w:top w:w="28" w:type="dxa"/>
              <w:bottom w:w="28" w:type="dxa"/>
            </w:tcMar>
          </w:tcPr>
          <w:p w:rsidR="004E4D96" w:rsidRPr="001B4293" w:rsidRDefault="004E4D96" w:rsidP="004E4D96">
            <w:pPr>
              <w:pStyle w:val="NormalWeb"/>
              <w:spacing w:before="0" w:beforeAutospacing="0" w:after="0" w:afterAutospacing="0"/>
              <w:rPr>
                <w:rFonts w:ascii="Arial" w:hAnsi="Arial" w:cs="Arial"/>
                <w:b/>
                <w:color w:val="222222"/>
                <w:sz w:val="20"/>
                <w:szCs w:val="20"/>
              </w:rPr>
            </w:pPr>
            <w:r w:rsidRPr="001B4293">
              <w:rPr>
                <w:rFonts w:ascii="Arial" w:hAnsi="Arial" w:cs="Arial"/>
                <w:b/>
                <w:color w:val="222222"/>
                <w:sz w:val="20"/>
                <w:szCs w:val="20"/>
              </w:rPr>
              <w:lastRenderedPageBreak/>
              <w:t>GLUCOSE INDICATOR BLOOD</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glucose indicator blood strip: diagnostic, 50 and 100</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4E4D96"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GluNeo</w:t>
            </w:r>
            <w:r w:rsidRPr="009147E0">
              <w:rPr>
                <w:rFonts w:ascii="Arial" w:hAnsi="Arial" w:cs="Arial"/>
                <w:color w:val="222222"/>
                <w:sz w:val="20"/>
                <w:szCs w:val="20"/>
                <w:bdr w:val="none" w:sz="0" w:space="0" w:color="auto" w:frame="1"/>
                <w:vertAlign w:val="superscript"/>
              </w:rPr>
              <w:t>®</w:t>
            </w:r>
            <w:r w:rsidRPr="009147E0">
              <w:rPr>
                <w:rStyle w:val="apple-converted-space"/>
                <w:rFonts w:ascii="Arial" w:hAnsi="Arial" w:cs="Arial"/>
                <w:color w:val="222222"/>
                <w:sz w:val="20"/>
                <w:szCs w:val="20"/>
              </w:rPr>
              <w:t> </w:t>
            </w:r>
            <w:r w:rsidR="00EA7C1F">
              <w:rPr>
                <w:rFonts w:ascii="Arial" w:hAnsi="Arial" w:cs="Arial"/>
                <w:color w:val="222222"/>
                <w:sz w:val="20"/>
                <w:szCs w:val="20"/>
              </w:rPr>
              <w:t>Blood Glucose Test Strip</w:t>
            </w:r>
          </w:p>
          <w:p w:rsidR="00EA7C1F" w:rsidRPr="009147E0" w:rsidRDefault="00EA7C1F"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Infopia Australia Pty Ltd</w:t>
            </w:r>
          </w:p>
          <w:p w:rsidR="004E4D96" w:rsidRPr="009147E0" w:rsidRDefault="004E4D96"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New listing</w:t>
            </w:r>
          </w:p>
          <w:p w:rsidR="00EA7144" w:rsidRPr="009147E0" w:rsidRDefault="00EA7144"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(Minor submission)</w:t>
            </w:r>
          </w:p>
          <w:p w:rsidR="004E4D96" w:rsidRPr="009147E0" w:rsidRDefault="004E4D96" w:rsidP="004E4D96">
            <w:pPr>
              <w:pStyle w:val="NormalWeb"/>
              <w:spacing w:before="0" w:beforeAutospacing="0" w:after="0" w:afterAutospacing="0"/>
              <w:rPr>
                <w:rFonts w:ascii="Arial" w:hAnsi="Arial" w:cs="Arial"/>
                <w:color w:val="222222"/>
                <w:sz w:val="20"/>
                <w:szCs w:val="20"/>
                <w:highlight w:val="yellow"/>
              </w:rPr>
            </w:pPr>
          </w:p>
        </w:tc>
        <w:tc>
          <w:tcPr>
            <w:tcW w:w="2262" w:type="dxa"/>
            <w:shd w:val="clear" w:color="auto" w:fill="auto"/>
            <w:tcMar>
              <w:top w:w="28" w:type="dxa"/>
              <w:bottom w:w="28" w:type="dxa"/>
            </w:tcMar>
          </w:tcPr>
          <w:p w:rsidR="004E4D96" w:rsidRPr="009147E0" w:rsidRDefault="001B4293" w:rsidP="00263F7F">
            <w:pPr>
              <w:tabs>
                <w:tab w:val="right" w:pos="1902"/>
              </w:tabs>
              <w:rPr>
                <w:rFonts w:ascii="Arial" w:hAnsi="Arial" w:cs="Arial"/>
              </w:rPr>
            </w:pPr>
            <w:r>
              <w:rPr>
                <w:rFonts w:ascii="Arial" w:hAnsi="Arial" w:cs="Arial"/>
              </w:rPr>
              <w:t>Diabetes</w:t>
            </w:r>
          </w:p>
        </w:tc>
        <w:tc>
          <w:tcPr>
            <w:tcW w:w="2987" w:type="dxa"/>
            <w:shd w:val="clear" w:color="auto" w:fill="auto"/>
            <w:tcMar>
              <w:top w:w="28" w:type="dxa"/>
              <w:bottom w:w="28" w:type="dxa"/>
            </w:tcMar>
          </w:tcPr>
          <w:p w:rsidR="004E4D96" w:rsidRPr="009147E0" w:rsidRDefault="004E4D96" w:rsidP="00263F7F">
            <w:pPr>
              <w:widowControl w:val="0"/>
              <w:rPr>
                <w:rFonts w:ascii="Arial" w:hAnsi="Arial" w:cs="Arial"/>
              </w:rPr>
            </w:pPr>
            <w:r w:rsidRPr="009147E0">
              <w:rPr>
                <w:rFonts w:ascii="Arial" w:hAnsi="Arial" w:cs="Arial"/>
              </w:rPr>
              <w:t>Unrestricted benefit listing and restricted benefit listing for blood glucose monitoring.</w:t>
            </w:r>
          </w:p>
        </w:tc>
        <w:tc>
          <w:tcPr>
            <w:tcW w:w="7192" w:type="dxa"/>
          </w:tcPr>
          <w:p w:rsidR="004E4D96" w:rsidRPr="009147E0" w:rsidRDefault="004E4D96" w:rsidP="00A6000D">
            <w:pPr>
              <w:widowControl w:val="0"/>
              <w:jc w:val="both"/>
              <w:rPr>
                <w:rFonts w:ascii="Arial" w:hAnsi="Arial" w:cs="Arial"/>
                <w:bCs/>
                <w:lang w:val="en-GB"/>
              </w:rPr>
            </w:pPr>
            <w:r w:rsidRPr="009147E0">
              <w:rPr>
                <w:rFonts w:ascii="Arial" w:hAnsi="Arial" w:cs="Arial"/>
              </w:rPr>
              <w:t>The PBAC recommend listing under the same conditions as currently listed PBS</w:t>
            </w:r>
            <w:r w:rsidRPr="009147E0">
              <w:rPr>
                <w:rFonts w:ascii="Arial" w:hAnsi="Arial" w:cs="Arial"/>
              </w:rPr>
              <w:noBreakHyphen/>
              <w:t>listed blood glucose test strips.</w:t>
            </w:r>
          </w:p>
        </w:tc>
      </w:tr>
      <w:tr w:rsidR="004E4D96" w:rsidRPr="009147E0" w:rsidTr="00CB2D1B">
        <w:trPr>
          <w:cantSplit/>
          <w:trHeight w:val="430"/>
        </w:trPr>
        <w:tc>
          <w:tcPr>
            <w:tcW w:w="3118" w:type="dxa"/>
            <w:shd w:val="clear" w:color="auto" w:fill="auto"/>
            <w:tcMar>
              <w:top w:w="28" w:type="dxa"/>
              <w:bottom w:w="28" w:type="dxa"/>
            </w:tcMar>
          </w:tcPr>
          <w:p w:rsidR="004E4D96" w:rsidRPr="001B4293" w:rsidRDefault="004E4D96" w:rsidP="004E4D96">
            <w:pPr>
              <w:pStyle w:val="NormalWeb"/>
              <w:spacing w:before="0" w:beforeAutospacing="0" w:after="0" w:afterAutospacing="0"/>
              <w:rPr>
                <w:rFonts w:ascii="Arial" w:hAnsi="Arial" w:cs="Arial"/>
                <w:b/>
                <w:color w:val="222222"/>
                <w:sz w:val="20"/>
                <w:szCs w:val="20"/>
              </w:rPr>
            </w:pPr>
            <w:r w:rsidRPr="001B4293">
              <w:rPr>
                <w:rFonts w:ascii="Arial" w:hAnsi="Arial" w:cs="Arial"/>
                <w:b/>
                <w:color w:val="222222"/>
                <w:sz w:val="20"/>
                <w:szCs w:val="20"/>
              </w:rPr>
              <w:t>GLUCOSE INDICATOR BLOOD</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glucose indicator blood strip: diagnostic, 50 and 100</w:t>
            </w: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 </w:t>
            </w:r>
          </w:p>
          <w:p w:rsidR="004E4D96"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Healthpro</w:t>
            </w:r>
            <w:r w:rsidRPr="009147E0">
              <w:rPr>
                <w:rFonts w:ascii="Arial" w:hAnsi="Arial" w:cs="Arial"/>
                <w:color w:val="222222"/>
                <w:sz w:val="20"/>
                <w:szCs w:val="20"/>
                <w:bdr w:val="none" w:sz="0" w:space="0" w:color="auto" w:frame="1"/>
                <w:vertAlign w:val="superscript"/>
              </w:rPr>
              <w:t>®</w:t>
            </w:r>
            <w:r w:rsidRPr="009147E0">
              <w:rPr>
                <w:rStyle w:val="apple-converted-space"/>
                <w:rFonts w:ascii="Arial" w:hAnsi="Arial" w:cs="Arial"/>
                <w:color w:val="222222"/>
                <w:sz w:val="20"/>
                <w:szCs w:val="20"/>
              </w:rPr>
              <w:t> </w:t>
            </w:r>
            <w:r w:rsidRPr="009147E0">
              <w:rPr>
                <w:rFonts w:ascii="Arial" w:hAnsi="Arial" w:cs="Arial"/>
                <w:color w:val="222222"/>
                <w:sz w:val="20"/>
                <w:szCs w:val="20"/>
              </w:rPr>
              <w:t xml:space="preserve">Blood Glucose </w:t>
            </w:r>
            <w:r w:rsidR="00EA7C1F">
              <w:rPr>
                <w:rFonts w:ascii="Arial" w:hAnsi="Arial" w:cs="Arial"/>
                <w:color w:val="222222"/>
                <w:sz w:val="20"/>
                <w:szCs w:val="20"/>
              </w:rPr>
              <w:t>Test Strip</w:t>
            </w:r>
          </w:p>
          <w:p w:rsidR="00EA7C1F" w:rsidRPr="009147E0" w:rsidRDefault="00EA7C1F"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Infopia Australia Pty Ltd</w:t>
            </w:r>
          </w:p>
          <w:p w:rsidR="004E4D96" w:rsidRPr="009147E0" w:rsidRDefault="004E4D96"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New listing</w:t>
            </w:r>
          </w:p>
          <w:p w:rsidR="00EA7144" w:rsidRPr="009147E0" w:rsidRDefault="00EA7144" w:rsidP="004E4D96">
            <w:pPr>
              <w:pStyle w:val="NormalWeb"/>
              <w:spacing w:before="0" w:beforeAutospacing="0" w:after="0" w:afterAutospacing="0"/>
              <w:rPr>
                <w:rFonts w:ascii="Arial" w:hAnsi="Arial" w:cs="Arial"/>
                <w:color w:val="222222"/>
                <w:sz w:val="20"/>
                <w:szCs w:val="20"/>
              </w:rPr>
            </w:pPr>
          </w:p>
          <w:p w:rsidR="004E4D96" w:rsidRPr="009147E0" w:rsidRDefault="004E4D96" w:rsidP="004E4D96">
            <w:pPr>
              <w:pStyle w:val="NormalWeb"/>
              <w:spacing w:before="0" w:beforeAutospacing="0" w:after="0" w:afterAutospacing="0"/>
              <w:rPr>
                <w:rFonts w:ascii="Arial" w:hAnsi="Arial" w:cs="Arial"/>
                <w:color w:val="222222"/>
                <w:sz w:val="20"/>
                <w:szCs w:val="20"/>
              </w:rPr>
            </w:pPr>
            <w:r w:rsidRPr="009147E0">
              <w:rPr>
                <w:rFonts w:ascii="Arial" w:hAnsi="Arial" w:cs="Arial"/>
                <w:color w:val="222222"/>
                <w:sz w:val="20"/>
                <w:szCs w:val="20"/>
              </w:rPr>
              <w:t>(Minor submission)</w:t>
            </w:r>
          </w:p>
          <w:p w:rsidR="004E4D96" w:rsidRPr="009147E0" w:rsidRDefault="004E4D96" w:rsidP="004E4D96">
            <w:pPr>
              <w:pStyle w:val="NormalWeb"/>
              <w:spacing w:before="0" w:beforeAutospacing="0" w:after="0" w:afterAutospacing="0"/>
              <w:rPr>
                <w:rFonts w:ascii="Arial" w:hAnsi="Arial" w:cs="Arial"/>
                <w:color w:val="222222"/>
                <w:sz w:val="20"/>
                <w:szCs w:val="20"/>
                <w:highlight w:val="yellow"/>
              </w:rPr>
            </w:pPr>
          </w:p>
        </w:tc>
        <w:tc>
          <w:tcPr>
            <w:tcW w:w="2262" w:type="dxa"/>
            <w:shd w:val="clear" w:color="auto" w:fill="auto"/>
            <w:tcMar>
              <w:top w:w="28" w:type="dxa"/>
              <w:bottom w:w="28" w:type="dxa"/>
            </w:tcMar>
          </w:tcPr>
          <w:p w:rsidR="004E4D96" w:rsidRPr="009147E0" w:rsidRDefault="001B4293" w:rsidP="00263F7F">
            <w:pPr>
              <w:tabs>
                <w:tab w:val="right" w:pos="1902"/>
              </w:tabs>
              <w:rPr>
                <w:rFonts w:ascii="Arial" w:hAnsi="Arial" w:cs="Arial"/>
              </w:rPr>
            </w:pPr>
            <w:r>
              <w:rPr>
                <w:rFonts w:ascii="Arial" w:hAnsi="Arial" w:cs="Arial"/>
              </w:rPr>
              <w:t>Diabetes</w:t>
            </w:r>
          </w:p>
        </w:tc>
        <w:tc>
          <w:tcPr>
            <w:tcW w:w="2987" w:type="dxa"/>
            <w:shd w:val="clear" w:color="auto" w:fill="auto"/>
            <w:tcMar>
              <w:top w:w="28" w:type="dxa"/>
              <w:bottom w:w="28" w:type="dxa"/>
            </w:tcMar>
          </w:tcPr>
          <w:p w:rsidR="004E4D96" w:rsidRPr="009147E0" w:rsidRDefault="004E4D96" w:rsidP="00263F7F">
            <w:pPr>
              <w:widowControl w:val="0"/>
              <w:rPr>
                <w:rFonts w:ascii="Arial" w:hAnsi="Arial" w:cs="Arial"/>
              </w:rPr>
            </w:pPr>
            <w:r w:rsidRPr="009147E0">
              <w:rPr>
                <w:rFonts w:ascii="Arial" w:hAnsi="Arial" w:cs="Arial"/>
              </w:rPr>
              <w:t>Unrestricted benefit listing and restricted benefit listing for blood glucose monitoring.</w:t>
            </w:r>
          </w:p>
        </w:tc>
        <w:tc>
          <w:tcPr>
            <w:tcW w:w="7192" w:type="dxa"/>
          </w:tcPr>
          <w:p w:rsidR="004E4D96" w:rsidRPr="009147E0" w:rsidRDefault="004E4D96" w:rsidP="00A6000D">
            <w:pPr>
              <w:widowControl w:val="0"/>
              <w:jc w:val="both"/>
              <w:rPr>
                <w:rFonts w:ascii="Arial" w:hAnsi="Arial" w:cs="Arial"/>
                <w:bCs/>
                <w:lang w:val="en-GB"/>
              </w:rPr>
            </w:pPr>
            <w:r w:rsidRPr="009147E0">
              <w:rPr>
                <w:rFonts w:ascii="Arial" w:hAnsi="Arial" w:cs="Arial"/>
              </w:rPr>
              <w:t>The PBAC recommend listing under the same conditions as currently listed PBS</w:t>
            </w:r>
            <w:r w:rsidRPr="009147E0">
              <w:rPr>
                <w:rFonts w:ascii="Arial" w:hAnsi="Arial" w:cs="Arial"/>
              </w:rPr>
              <w:noBreakHyphen/>
              <w:t>listed blood glucose test strips.</w:t>
            </w:r>
          </w:p>
        </w:tc>
      </w:tr>
      <w:tr w:rsidR="00543122" w:rsidRPr="009147E0" w:rsidTr="00CB2D1B">
        <w:trPr>
          <w:cantSplit/>
          <w:trHeight w:val="430"/>
        </w:trPr>
        <w:tc>
          <w:tcPr>
            <w:tcW w:w="3118" w:type="dxa"/>
            <w:shd w:val="clear" w:color="auto" w:fill="auto"/>
            <w:tcMar>
              <w:top w:w="28" w:type="dxa"/>
              <w:bottom w:w="28" w:type="dxa"/>
            </w:tcMar>
          </w:tcPr>
          <w:p w:rsidR="00543122" w:rsidRDefault="00543122" w:rsidP="001B4293">
            <w:pPr>
              <w:pStyle w:val="NormalWeb"/>
              <w:spacing w:before="0" w:beforeAutospacing="0" w:after="0" w:afterAutospacing="0"/>
              <w:rPr>
                <w:rFonts w:ascii="Arial" w:hAnsi="Arial" w:cs="Arial"/>
                <w:b/>
                <w:color w:val="222222"/>
                <w:sz w:val="20"/>
                <w:szCs w:val="20"/>
              </w:rPr>
            </w:pPr>
            <w:r w:rsidRPr="001B4293">
              <w:rPr>
                <w:rFonts w:ascii="Arial" w:hAnsi="Arial" w:cs="Arial"/>
                <w:b/>
                <w:color w:val="222222"/>
                <w:sz w:val="20"/>
                <w:szCs w:val="20"/>
              </w:rPr>
              <w:lastRenderedPageBreak/>
              <w:t>IRON CHELATING AGENTS</w:t>
            </w:r>
          </w:p>
          <w:p w:rsidR="001B4293" w:rsidRPr="001B4293" w:rsidRDefault="001B4293" w:rsidP="001B4293">
            <w:pPr>
              <w:pStyle w:val="NormalWeb"/>
              <w:spacing w:before="0" w:beforeAutospacing="0" w:after="0" w:afterAutospacing="0"/>
              <w:rPr>
                <w:rFonts w:ascii="Arial" w:hAnsi="Arial" w:cs="Arial"/>
                <w:b/>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sidRPr="001B4293">
              <w:rPr>
                <w:rFonts w:ascii="Arial" w:hAnsi="Arial" w:cs="Arial"/>
                <w:b/>
                <w:color w:val="222222"/>
                <w:sz w:val="20"/>
                <w:szCs w:val="20"/>
              </w:rPr>
              <w:t>DEFERASIROX</w:t>
            </w:r>
            <w:r w:rsidRPr="00543122">
              <w:rPr>
                <w:rFonts w:ascii="Arial" w:hAnsi="Arial" w:cs="Arial"/>
                <w:color w:val="222222"/>
                <w:sz w:val="20"/>
                <w:szCs w:val="20"/>
              </w:rPr>
              <w:t xml:space="preserve">, tablets, 125 mg, 250 mg, 500 mg </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Pr>
                <w:rFonts w:ascii="Arial" w:hAnsi="Arial" w:cs="Arial"/>
                <w:color w:val="222222"/>
                <w:sz w:val="20"/>
                <w:szCs w:val="20"/>
              </w:rPr>
              <w:t>Exjade®</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sidRPr="00543122">
              <w:rPr>
                <w:rFonts w:ascii="Arial" w:hAnsi="Arial" w:cs="Arial"/>
                <w:color w:val="222222"/>
                <w:sz w:val="20"/>
                <w:szCs w:val="20"/>
              </w:rPr>
              <w:t>Novartis Ph</w:t>
            </w:r>
            <w:r>
              <w:rPr>
                <w:rFonts w:ascii="Arial" w:hAnsi="Arial" w:cs="Arial"/>
                <w:color w:val="222222"/>
                <w:sz w:val="20"/>
                <w:szCs w:val="20"/>
              </w:rPr>
              <w:t>armaceuticals Australia Pty Ltd</w:t>
            </w:r>
            <w:r w:rsidRPr="00543122">
              <w:rPr>
                <w:rFonts w:ascii="Arial" w:hAnsi="Arial" w:cs="Arial"/>
                <w:color w:val="222222"/>
                <w:sz w:val="20"/>
                <w:szCs w:val="20"/>
              </w:rPr>
              <w:t xml:space="preserve"> </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sidRPr="001B4293">
              <w:rPr>
                <w:rFonts w:ascii="Arial" w:hAnsi="Arial" w:cs="Arial"/>
                <w:b/>
                <w:color w:val="222222"/>
                <w:sz w:val="20"/>
                <w:szCs w:val="20"/>
              </w:rPr>
              <w:t>DEFERIPRONE</w:t>
            </w:r>
            <w:r w:rsidRPr="00543122">
              <w:rPr>
                <w:rFonts w:ascii="Arial" w:hAnsi="Arial" w:cs="Arial"/>
                <w:color w:val="222222"/>
                <w:sz w:val="20"/>
                <w:szCs w:val="20"/>
              </w:rPr>
              <w:t xml:space="preserve">, oral liquid, 100 </w:t>
            </w:r>
            <w:r>
              <w:rPr>
                <w:rFonts w:ascii="Arial" w:hAnsi="Arial" w:cs="Arial"/>
                <w:color w:val="222222"/>
                <w:sz w:val="20"/>
                <w:szCs w:val="20"/>
              </w:rPr>
              <w:t>mg/mL, 250  mL, tablet, 500 mg</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Pr>
                <w:rFonts w:ascii="Arial" w:hAnsi="Arial" w:cs="Arial"/>
                <w:color w:val="222222"/>
                <w:sz w:val="20"/>
                <w:szCs w:val="20"/>
              </w:rPr>
              <w:t>Ferriprox®</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sidRPr="00543122">
              <w:rPr>
                <w:rFonts w:ascii="Arial" w:hAnsi="Arial" w:cs="Arial"/>
                <w:color w:val="222222"/>
                <w:sz w:val="20"/>
                <w:szCs w:val="20"/>
              </w:rPr>
              <w:t xml:space="preserve">Orphan Australia Pty Ltd, </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sidRPr="001B4293">
              <w:rPr>
                <w:rFonts w:ascii="Arial" w:hAnsi="Arial" w:cs="Arial"/>
                <w:b/>
                <w:color w:val="222222"/>
                <w:sz w:val="20"/>
                <w:szCs w:val="20"/>
              </w:rPr>
              <w:t>DESFERRIOXAMINE</w:t>
            </w:r>
            <w:r w:rsidRPr="00543122">
              <w:rPr>
                <w:rFonts w:ascii="Arial" w:hAnsi="Arial" w:cs="Arial"/>
                <w:color w:val="222222"/>
                <w:sz w:val="20"/>
                <w:szCs w:val="20"/>
              </w:rPr>
              <w:t>, injections, 2 g vial and 500 mg vials</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sidRPr="00543122">
              <w:rPr>
                <w:rFonts w:ascii="Arial" w:hAnsi="Arial" w:cs="Arial"/>
                <w:color w:val="222222"/>
                <w:sz w:val="20"/>
                <w:szCs w:val="20"/>
              </w:rPr>
              <w:t>Desferal®</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Pr>
                <w:rFonts w:ascii="Arial" w:hAnsi="Arial" w:cs="Arial"/>
                <w:color w:val="222222"/>
                <w:sz w:val="20"/>
                <w:szCs w:val="20"/>
              </w:rPr>
              <w:t>Novartis Pharmaceuticals</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B0E7B">
            <w:pPr>
              <w:pStyle w:val="NormalWeb"/>
              <w:spacing w:before="0" w:beforeAutospacing="0" w:after="0" w:afterAutospacing="0"/>
              <w:rPr>
                <w:rFonts w:ascii="Arial" w:hAnsi="Arial" w:cs="Arial"/>
                <w:color w:val="222222"/>
                <w:sz w:val="20"/>
                <w:szCs w:val="20"/>
              </w:rPr>
            </w:pPr>
            <w:r w:rsidRPr="00543122">
              <w:rPr>
                <w:rFonts w:ascii="Arial" w:hAnsi="Arial" w:cs="Arial"/>
                <w:color w:val="222222"/>
                <w:sz w:val="20"/>
                <w:szCs w:val="20"/>
              </w:rPr>
              <w:t>Hospira brand product</w:t>
            </w:r>
          </w:p>
          <w:p w:rsidR="00543122" w:rsidRDefault="00543122" w:rsidP="005B0E7B">
            <w:pPr>
              <w:pStyle w:val="NormalWeb"/>
              <w:spacing w:before="0" w:beforeAutospacing="0" w:after="0" w:afterAutospacing="0"/>
              <w:rPr>
                <w:rFonts w:ascii="Arial" w:hAnsi="Arial" w:cs="Arial"/>
                <w:color w:val="222222"/>
                <w:sz w:val="20"/>
                <w:szCs w:val="20"/>
              </w:rPr>
            </w:pPr>
          </w:p>
          <w:p w:rsidR="00543122" w:rsidRDefault="00543122" w:rsidP="00543122">
            <w:pPr>
              <w:pStyle w:val="NormalWeb"/>
              <w:spacing w:before="0" w:beforeAutospacing="0" w:after="0" w:afterAutospacing="0"/>
              <w:rPr>
                <w:rFonts w:ascii="Arial" w:hAnsi="Arial" w:cs="Arial"/>
                <w:color w:val="222222"/>
                <w:sz w:val="20"/>
                <w:szCs w:val="20"/>
              </w:rPr>
            </w:pPr>
            <w:r w:rsidRPr="00543122">
              <w:rPr>
                <w:rFonts w:ascii="Arial" w:hAnsi="Arial" w:cs="Arial"/>
                <w:color w:val="222222"/>
                <w:sz w:val="20"/>
                <w:szCs w:val="20"/>
              </w:rPr>
              <w:t>Hospira Pty Ltd</w:t>
            </w:r>
          </w:p>
          <w:p w:rsidR="00263F7F" w:rsidRDefault="00263F7F" w:rsidP="00543122">
            <w:pPr>
              <w:pStyle w:val="NormalWeb"/>
              <w:spacing w:before="0" w:beforeAutospacing="0" w:after="0" w:afterAutospacing="0"/>
              <w:rPr>
                <w:rFonts w:ascii="Arial" w:hAnsi="Arial" w:cs="Arial"/>
                <w:color w:val="222222"/>
                <w:sz w:val="20"/>
                <w:szCs w:val="20"/>
              </w:rPr>
            </w:pPr>
          </w:p>
          <w:p w:rsidR="00263F7F" w:rsidRDefault="00263F7F" w:rsidP="00543122">
            <w:pPr>
              <w:pStyle w:val="NormalWeb"/>
              <w:spacing w:before="0" w:beforeAutospacing="0" w:after="0" w:afterAutospacing="0"/>
              <w:rPr>
                <w:rFonts w:ascii="Arial" w:hAnsi="Arial" w:cs="Arial"/>
                <w:color w:val="222222"/>
                <w:sz w:val="20"/>
                <w:szCs w:val="20"/>
              </w:rPr>
            </w:pPr>
            <w:r>
              <w:rPr>
                <w:rFonts w:ascii="Arial" w:hAnsi="Arial" w:cs="Arial"/>
                <w:color w:val="222222"/>
                <w:sz w:val="20"/>
                <w:szCs w:val="20"/>
              </w:rPr>
              <w:t>(Review)</w:t>
            </w:r>
          </w:p>
          <w:p w:rsidR="00F163F8" w:rsidRPr="009147E0" w:rsidRDefault="00F163F8" w:rsidP="00543122">
            <w:pPr>
              <w:pStyle w:val="NormalWeb"/>
              <w:spacing w:before="0" w:beforeAutospacing="0" w:after="0" w:afterAutospacing="0"/>
              <w:rPr>
                <w:rFonts w:ascii="Arial" w:hAnsi="Arial" w:cs="Arial"/>
                <w:color w:val="222222"/>
                <w:sz w:val="20"/>
                <w:szCs w:val="20"/>
              </w:rPr>
            </w:pPr>
          </w:p>
        </w:tc>
        <w:tc>
          <w:tcPr>
            <w:tcW w:w="2262" w:type="dxa"/>
            <w:shd w:val="clear" w:color="auto" w:fill="auto"/>
            <w:tcMar>
              <w:top w:w="28" w:type="dxa"/>
              <w:bottom w:w="28" w:type="dxa"/>
            </w:tcMar>
          </w:tcPr>
          <w:p w:rsidR="00543122" w:rsidRPr="009147E0" w:rsidRDefault="00543122" w:rsidP="00263F7F">
            <w:pPr>
              <w:tabs>
                <w:tab w:val="right" w:pos="1902"/>
              </w:tabs>
              <w:rPr>
                <w:rFonts w:ascii="Arial" w:hAnsi="Arial" w:cs="Arial"/>
              </w:rPr>
            </w:pPr>
            <w:r>
              <w:rPr>
                <w:rFonts w:ascii="Arial" w:hAnsi="Arial" w:cs="Arial"/>
              </w:rPr>
              <w:t>Iron chelating agents</w:t>
            </w:r>
          </w:p>
        </w:tc>
        <w:tc>
          <w:tcPr>
            <w:tcW w:w="2987" w:type="dxa"/>
            <w:shd w:val="clear" w:color="auto" w:fill="auto"/>
            <w:tcMar>
              <w:top w:w="28" w:type="dxa"/>
              <w:bottom w:w="28" w:type="dxa"/>
            </w:tcMar>
          </w:tcPr>
          <w:p w:rsidR="00543122" w:rsidRPr="009147E0" w:rsidRDefault="00543122" w:rsidP="00263F7F">
            <w:pPr>
              <w:widowControl w:val="0"/>
              <w:rPr>
                <w:rFonts w:ascii="Arial" w:hAnsi="Arial" w:cs="Arial"/>
              </w:rPr>
            </w:pPr>
            <w:r w:rsidRPr="00543122">
              <w:rPr>
                <w:rFonts w:ascii="Arial" w:hAnsi="Arial" w:cs="Arial"/>
              </w:rPr>
              <w:t>To consider if further review of the iron chelating agents is required.</w:t>
            </w:r>
            <w:r>
              <w:rPr>
                <w:rFonts w:ascii="Arial" w:hAnsi="Arial" w:cs="Arial"/>
              </w:rPr>
              <w:t xml:space="preserve"> </w:t>
            </w:r>
            <w:r w:rsidRPr="00543122">
              <w:rPr>
                <w:rFonts w:ascii="Arial" w:hAnsi="Arial" w:cs="Arial"/>
              </w:rPr>
              <w:t>Following the update given to the PBAC at its March 2014 meeting on the results of the DUSC analysis on iron chelating agents in February 2014, the PBAC requested further information to inform this decision.</w:t>
            </w:r>
          </w:p>
        </w:tc>
        <w:tc>
          <w:tcPr>
            <w:tcW w:w="7192" w:type="dxa"/>
          </w:tcPr>
          <w:p w:rsidR="00EA7C1F" w:rsidRDefault="00543122" w:rsidP="005B0E7B">
            <w:pPr>
              <w:widowControl w:val="0"/>
              <w:jc w:val="both"/>
              <w:rPr>
                <w:rFonts w:ascii="Arial" w:hAnsi="Arial" w:cs="Arial"/>
              </w:rPr>
            </w:pPr>
            <w:r w:rsidRPr="00543122">
              <w:rPr>
                <w:rFonts w:ascii="Arial" w:hAnsi="Arial" w:cs="Arial"/>
              </w:rPr>
              <w:t>The PBAC considered the findings of the DUSC review of iron chelating agents, noting that the use of deferasirox, in particular 500 mg deferasirox, is much higher than that estimated at the time of PBS listing.  The PBAC agreed with the DUSC that a considerable proportion of the PBS utilisation of deferasirox is likely to be for myelodysplastic syndromes (MDS) and that the cost effectiveness of de</w:t>
            </w:r>
            <w:r w:rsidR="00EA7C1F">
              <w:rPr>
                <w:rFonts w:ascii="Arial" w:hAnsi="Arial" w:cs="Arial"/>
              </w:rPr>
              <w:t>ferasirox in MDS is not known.</w:t>
            </w:r>
          </w:p>
          <w:p w:rsidR="00EA7C1F" w:rsidRPr="00543122" w:rsidRDefault="00EA7C1F" w:rsidP="005B0E7B">
            <w:pPr>
              <w:widowControl w:val="0"/>
              <w:jc w:val="both"/>
              <w:rPr>
                <w:rFonts w:ascii="Arial" w:hAnsi="Arial" w:cs="Arial"/>
              </w:rPr>
            </w:pPr>
          </w:p>
          <w:p w:rsidR="00543122" w:rsidRPr="00543122" w:rsidRDefault="00543122" w:rsidP="005B0E7B">
            <w:pPr>
              <w:widowControl w:val="0"/>
              <w:jc w:val="both"/>
              <w:rPr>
                <w:rFonts w:ascii="Arial" w:hAnsi="Arial" w:cs="Arial"/>
              </w:rPr>
            </w:pPr>
            <w:r w:rsidRPr="00543122">
              <w:rPr>
                <w:rFonts w:ascii="Arial" w:hAnsi="Arial" w:cs="Arial"/>
              </w:rPr>
              <w:t>The PBAC recommended that the PBS restriction for deferasirox be amended to be restricted to the treatment of chronic iron overload in patients with non-malignant disorders of erythropoiesis.  The PBAC also requested that clinical advice be sought on the use of iron chelating agents, in particular deferasirox, in MDS and other malignant haematological diseases associated with chronic transfusions from relevant professional bodies.</w:t>
            </w:r>
          </w:p>
          <w:p w:rsidR="00543122" w:rsidRPr="00543122" w:rsidRDefault="00543122" w:rsidP="005B0E7B">
            <w:pPr>
              <w:widowControl w:val="0"/>
              <w:jc w:val="both"/>
              <w:rPr>
                <w:rFonts w:ascii="Arial" w:hAnsi="Arial" w:cs="Arial"/>
              </w:rPr>
            </w:pPr>
          </w:p>
          <w:p w:rsidR="00543122" w:rsidRPr="009147E0" w:rsidRDefault="00543122" w:rsidP="00543122">
            <w:pPr>
              <w:widowControl w:val="0"/>
              <w:jc w:val="both"/>
              <w:rPr>
                <w:rFonts w:ascii="Arial" w:hAnsi="Arial" w:cs="Arial"/>
              </w:rPr>
            </w:pPr>
            <w:r w:rsidRPr="00543122">
              <w:rPr>
                <w:rFonts w:ascii="Arial" w:hAnsi="Arial" w:cs="Arial"/>
              </w:rPr>
              <w:t>The PBAC noted that the sponsor may submit an application to the PBAC to extend the listing of deferasirox to include MDS and other malignant haematological diseases associated with chronic transfusions with evidence to support the clinical efficacy and safety and cost effectiveness in this indication.</w:t>
            </w:r>
          </w:p>
        </w:tc>
      </w:tr>
      <w:tr w:rsidR="00543122" w:rsidRPr="009147E0" w:rsidTr="00CB2D1B">
        <w:trPr>
          <w:cantSplit/>
          <w:trHeight w:val="430"/>
        </w:trPr>
        <w:tc>
          <w:tcPr>
            <w:tcW w:w="3118" w:type="dxa"/>
            <w:shd w:val="clear" w:color="auto" w:fill="auto"/>
            <w:tcMar>
              <w:top w:w="28" w:type="dxa"/>
              <w:bottom w:w="28" w:type="dxa"/>
            </w:tcMar>
          </w:tcPr>
          <w:p w:rsidR="00543122" w:rsidRPr="00263F7F" w:rsidRDefault="00263F7F" w:rsidP="009B00E1">
            <w:pPr>
              <w:widowControl w:val="0"/>
              <w:rPr>
                <w:rFonts w:ascii="Arial" w:hAnsi="Arial" w:cs="Arial"/>
                <w:b/>
              </w:rPr>
            </w:pPr>
            <w:r>
              <w:rPr>
                <w:rFonts w:ascii="Arial" w:hAnsi="Arial" w:cs="Arial"/>
                <w:b/>
              </w:rPr>
              <w:lastRenderedPageBreak/>
              <w:t>IRON SUCROSE</w:t>
            </w:r>
          </w:p>
          <w:p w:rsidR="00543122" w:rsidRPr="009147E0" w:rsidRDefault="00543122" w:rsidP="009B00E1">
            <w:pPr>
              <w:widowControl w:val="0"/>
              <w:rPr>
                <w:rFonts w:ascii="Arial" w:hAnsi="Arial" w:cs="Arial"/>
              </w:rPr>
            </w:pPr>
            <w:r w:rsidRPr="009147E0">
              <w:rPr>
                <w:rFonts w:ascii="Arial" w:hAnsi="Arial" w:cs="Arial"/>
              </w:rPr>
              <w:t xml:space="preserve">iron (as sucrose) 100 mg/5 mL injection, 5 x 5 mL ampoules, </w:t>
            </w:r>
          </w:p>
          <w:p w:rsidR="00543122" w:rsidRPr="009147E0" w:rsidRDefault="00543122" w:rsidP="009B00E1">
            <w:pPr>
              <w:widowControl w:val="0"/>
              <w:rPr>
                <w:rFonts w:ascii="Arial" w:hAnsi="Arial" w:cs="Arial"/>
              </w:rPr>
            </w:pPr>
          </w:p>
          <w:p w:rsidR="00543122" w:rsidRPr="009147E0" w:rsidRDefault="00543122" w:rsidP="009B00E1">
            <w:pPr>
              <w:widowControl w:val="0"/>
              <w:rPr>
                <w:rFonts w:ascii="Arial" w:hAnsi="Arial" w:cs="Arial"/>
              </w:rPr>
            </w:pPr>
            <w:r w:rsidRPr="009147E0">
              <w:rPr>
                <w:rFonts w:ascii="Arial" w:hAnsi="Arial" w:cs="Arial"/>
              </w:rPr>
              <w:t>Venofer®</w:t>
            </w:r>
          </w:p>
          <w:p w:rsidR="00543122" w:rsidRPr="009147E0" w:rsidRDefault="00543122" w:rsidP="009B00E1">
            <w:pPr>
              <w:widowControl w:val="0"/>
              <w:rPr>
                <w:rFonts w:ascii="Arial" w:hAnsi="Arial" w:cs="Arial"/>
              </w:rPr>
            </w:pPr>
          </w:p>
          <w:p w:rsidR="00543122" w:rsidRPr="009147E0" w:rsidRDefault="00543122" w:rsidP="009B00E1">
            <w:pPr>
              <w:widowControl w:val="0"/>
              <w:rPr>
                <w:rFonts w:ascii="Arial" w:hAnsi="Arial" w:cs="Arial"/>
              </w:rPr>
            </w:pPr>
            <w:r w:rsidRPr="009147E0">
              <w:rPr>
                <w:rFonts w:ascii="Arial" w:hAnsi="Arial" w:cs="Arial"/>
              </w:rPr>
              <w:t>Aspen Pharmacare Australia Pty Ltd</w:t>
            </w:r>
          </w:p>
          <w:p w:rsidR="00543122" w:rsidRPr="009147E0" w:rsidRDefault="00543122" w:rsidP="009B00E1">
            <w:pPr>
              <w:widowControl w:val="0"/>
              <w:rPr>
                <w:rFonts w:ascii="Arial" w:hAnsi="Arial" w:cs="Arial"/>
              </w:rPr>
            </w:pPr>
          </w:p>
          <w:p w:rsidR="00543122" w:rsidRPr="009147E0" w:rsidRDefault="00543122" w:rsidP="009B00E1">
            <w:pPr>
              <w:widowControl w:val="0"/>
              <w:rPr>
                <w:rFonts w:ascii="Arial" w:hAnsi="Arial" w:cs="Arial"/>
              </w:rPr>
            </w:pPr>
            <w:r w:rsidRPr="009147E0">
              <w:rPr>
                <w:rFonts w:ascii="Arial" w:hAnsi="Arial" w:cs="Arial"/>
              </w:rPr>
              <w:t xml:space="preserve">Change to listing </w:t>
            </w:r>
          </w:p>
          <w:p w:rsidR="00543122" w:rsidRPr="009147E0" w:rsidRDefault="00543122" w:rsidP="009B00E1">
            <w:pPr>
              <w:widowControl w:val="0"/>
              <w:rPr>
                <w:rFonts w:ascii="Arial" w:hAnsi="Arial" w:cs="Arial"/>
              </w:rPr>
            </w:pPr>
          </w:p>
          <w:p w:rsidR="00543122" w:rsidRDefault="00543122" w:rsidP="009B00E1">
            <w:pPr>
              <w:widowControl w:val="0"/>
              <w:rPr>
                <w:rFonts w:ascii="Arial" w:hAnsi="Arial" w:cs="Arial"/>
              </w:rPr>
            </w:pPr>
            <w:r w:rsidRPr="009147E0">
              <w:rPr>
                <w:rFonts w:ascii="Arial" w:hAnsi="Arial" w:cs="Arial"/>
              </w:rPr>
              <w:t>(Minor submission)</w:t>
            </w:r>
          </w:p>
          <w:p w:rsidR="00263F7F" w:rsidRPr="009147E0" w:rsidRDefault="00263F7F" w:rsidP="009B00E1">
            <w:pPr>
              <w:widowControl w:val="0"/>
              <w:rPr>
                <w:rFonts w:ascii="Arial" w:hAnsi="Arial" w:cs="Arial"/>
              </w:rPr>
            </w:pPr>
          </w:p>
        </w:tc>
        <w:tc>
          <w:tcPr>
            <w:tcW w:w="2262" w:type="dxa"/>
            <w:shd w:val="clear" w:color="auto" w:fill="auto"/>
            <w:tcMar>
              <w:top w:w="28" w:type="dxa"/>
              <w:bottom w:w="28" w:type="dxa"/>
            </w:tcMar>
          </w:tcPr>
          <w:p w:rsidR="00543122" w:rsidRPr="009147E0" w:rsidRDefault="00543122" w:rsidP="00263F7F">
            <w:pPr>
              <w:rPr>
                <w:rFonts w:ascii="Arial" w:hAnsi="Arial" w:cs="Arial"/>
              </w:rPr>
            </w:pPr>
            <w:r w:rsidRPr="009147E0">
              <w:rPr>
                <w:rFonts w:ascii="Arial" w:hAnsi="Arial" w:cs="Arial"/>
              </w:rPr>
              <w:t>Iron deficiency anaemia</w:t>
            </w:r>
          </w:p>
        </w:tc>
        <w:tc>
          <w:tcPr>
            <w:tcW w:w="2987" w:type="dxa"/>
            <w:shd w:val="clear" w:color="auto" w:fill="auto"/>
            <w:tcMar>
              <w:top w:w="28" w:type="dxa"/>
              <w:bottom w:w="28" w:type="dxa"/>
            </w:tcMar>
          </w:tcPr>
          <w:p w:rsidR="002F1FB6" w:rsidRPr="009147E0" w:rsidRDefault="002F1FB6" w:rsidP="00263F7F">
            <w:pPr>
              <w:widowControl w:val="0"/>
              <w:rPr>
                <w:rFonts w:ascii="Arial" w:hAnsi="Arial" w:cs="Arial"/>
              </w:rPr>
            </w:pPr>
            <w:r w:rsidRPr="002F1FB6">
              <w:rPr>
                <w:rFonts w:ascii="Arial" w:hAnsi="Arial" w:cs="Arial"/>
              </w:rPr>
              <w:t>To amend the current Authority required listing to be consistent with the current restriction for iron polymaltose</w:t>
            </w:r>
            <w:r>
              <w:rPr>
                <w:rFonts w:ascii="Arial" w:hAnsi="Arial" w:cs="Arial"/>
              </w:rPr>
              <w:t>.</w:t>
            </w:r>
          </w:p>
        </w:tc>
        <w:tc>
          <w:tcPr>
            <w:tcW w:w="7192" w:type="dxa"/>
          </w:tcPr>
          <w:p w:rsidR="00543122" w:rsidRPr="009147E0" w:rsidRDefault="00543122" w:rsidP="009B00E1">
            <w:pPr>
              <w:widowControl w:val="0"/>
              <w:jc w:val="both"/>
              <w:rPr>
                <w:rFonts w:ascii="Arial" w:hAnsi="Arial" w:cs="Arial"/>
              </w:rPr>
            </w:pPr>
            <w:r w:rsidRPr="009147E0">
              <w:rPr>
                <w:rFonts w:ascii="Arial" w:hAnsi="Arial" w:cs="Arial"/>
              </w:rPr>
              <w:t>The PBAC recommended amending the current listing of iron sucrose to be identical to iron polymaltose, on a cost minimisation basis with iron polymaltose. The PBAC considered that iron sucrose and iron polymaltose are equi-effective on a per mg elemental iron basis.</w:t>
            </w:r>
          </w:p>
        </w:tc>
      </w:tr>
      <w:tr w:rsidR="00543122" w:rsidRPr="009147E0" w:rsidTr="00CB2D1B">
        <w:trPr>
          <w:cantSplit/>
          <w:trHeight w:val="430"/>
        </w:trPr>
        <w:tc>
          <w:tcPr>
            <w:tcW w:w="3118" w:type="dxa"/>
            <w:shd w:val="clear" w:color="auto" w:fill="auto"/>
            <w:tcMar>
              <w:top w:w="28" w:type="dxa"/>
              <w:bottom w:w="28" w:type="dxa"/>
            </w:tcMar>
          </w:tcPr>
          <w:p w:rsidR="00543122" w:rsidRPr="009147E0" w:rsidRDefault="00543122" w:rsidP="002731A4">
            <w:pPr>
              <w:widowControl w:val="0"/>
              <w:jc w:val="both"/>
              <w:rPr>
                <w:rFonts w:ascii="Arial" w:hAnsi="Arial" w:cs="Arial"/>
              </w:rPr>
            </w:pPr>
            <w:r w:rsidRPr="00263F7F">
              <w:rPr>
                <w:rFonts w:ascii="Arial" w:hAnsi="Arial" w:cs="Arial"/>
                <w:b/>
              </w:rPr>
              <w:t>IVACAFTOR</w:t>
            </w:r>
          </w:p>
          <w:p w:rsidR="00543122" w:rsidRPr="009147E0" w:rsidRDefault="00543122" w:rsidP="002731A4">
            <w:pPr>
              <w:widowControl w:val="0"/>
              <w:jc w:val="both"/>
              <w:rPr>
                <w:rFonts w:ascii="Arial" w:hAnsi="Arial" w:cs="Arial"/>
              </w:rPr>
            </w:pPr>
            <w:r w:rsidRPr="009147E0">
              <w:rPr>
                <w:rFonts w:ascii="Arial" w:hAnsi="Arial" w:cs="Arial"/>
              </w:rPr>
              <w:t>tablet, 150 mg,</w:t>
            </w:r>
          </w:p>
          <w:p w:rsidR="00543122" w:rsidRPr="009147E0" w:rsidRDefault="00543122" w:rsidP="002731A4">
            <w:pPr>
              <w:widowControl w:val="0"/>
              <w:jc w:val="both"/>
              <w:rPr>
                <w:rFonts w:ascii="Arial" w:hAnsi="Arial" w:cs="Arial"/>
              </w:rPr>
            </w:pPr>
          </w:p>
          <w:p w:rsidR="00543122" w:rsidRPr="009147E0" w:rsidRDefault="00543122" w:rsidP="002731A4">
            <w:pPr>
              <w:widowControl w:val="0"/>
              <w:jc w:val="both"/>
              <w:rPr>
                <w:rFonts w:ascii="Arial" w:hAnsi="Arial" w:cs="Arial"/>
              </w:rPr>
            </w:pPr>
            <w:r w:rsidRPr="009147E0">
              <w:rPr>
                <w:rFonts w:ascii="Arial" w:hAnsi="Arial" w:cs="Arial"/>
              </w:rPr>
              <w:t>Kalydeco®</w:t>
            </w:r>
          </w:p>
          <w:p w:rsidR="00543122" w:rsidRPr="009147E0" w:rsidRDefault="00543122" w:rsidP="002731A4">
            <w:pPr>
              <w:widowControl w:val="0"/>
              <w:jc w:val="both"/>
              <w:rPr>
                <w:rFonts w:ascii="Arial" w:hAnsi="Arial" w:cs="Arial"/>
              </w:rPr>
            </w:pPr>
          </w:p>
          <w:p w:rsidR="00543122" w:rsidRPr="009147E0" w:rsidRDefault="00543122" w:rsidP="00263F7F">
            <w:pPr>
              <w:widowControl w:val="0"/>
              <w:rPr>
                <w:rFonts w:ascii="Arial" w:hAnsi="Arial" w:cs="Arial"/>
              </w:rPr>
            </w:pPr>
            <w:r w:rsidRPr="009147E0">
              <w:rPr>
                <w:rFonts w:ascii="Arial" w:hAnsi="Arial" w:cs="Arial"/>
              </w:rPr>
              <w:t>Vertex Pharmaceuticals (Australia) Pty Ltd</w:t>
            </w:r>
          </w:p>
          <w:p w:rsidR="00543122" w:rsidRPr="009147E0" w:rsidRDefault="00543122" w:rsidP="002731A4">
            <w:pPr>
              <w:widowControl w:val="0"/>
              <w:jc w:val="both"/>
              <w:rPr>
                <w:rFonts w:ascii="Arial" w:hAnsi="Arial" w:cs="Arial"/>
              </w:rPr>
            </w:pPr>
          </w:p>
          <w:p w:rsidR="00543122" w:rsidRPr="009147E0" w:rsidRDefault="00543122" w:rsidP="002731A4">
            <w:pPr>
              <w:widowControl w:val="0"/>
              <w:jc w:val="both"/>
              <w:rPr>
                <w:rFonts w:ascii="Arial" w:hAnsi="Arial" w:cs="Arial"/>
              </w:rPr>
            </w:pPr>
            <w:r w:rsidRPr="009147E0">
              <w:rPr>
                <w:rFonts w:ascii="Arial" w:hAnsi="Arial" w:cs="Arial"/>
              </w:rPr>
              <w:t>Change to recommended listing</w:t>
            </w:r>
          </w:p>
          <w:p w:rsidR="00543122" w:rsidRPr="009147E0" w:rsidRDefault="00543122" w:rsidP="002731A4">
            <w:pPr>
              <w:widowControl w:val="0"/>
              <w:jc w:val="both"/>
              <w:rPr>
                <w:rFonts w:ascii="Arial" w:hAnsi="Arial" w:cs="Arial"/>
              </w:rPr>
            </w:pPr>
          </w:p>
          <w:p w:rsidR="00543122" w:rsidRPr="009147E0" w:rsidRDefault="00543122" w:rsidP="002731A4">
            <w:pPr>
              <w:widowControl w:val="0"/>
              <w:jc w:val="both"/>
              <w:rPr>
                <w:rFonts w:ascii="Arial" w:hAnsi="Arial" w:cs="Arial"/>
              </w:rPr>
            </w:pPr>
            <w:r w:rsidRPr="009147E0">
              <w:rPr>
                <w:rFonts w:ascii="Arial" w:hAnsi="Arial" w:cs="Arial"/>
              </w:rPr>
              <w:t>(Minor submission)</w:t>
            </w:r>
          </w:p>
          <w:p w:rsidR="00543122" w:rsidRPr="009147E0" w:rsidRDefault="00543122" w:rsidP="009B00E1">
            <w:pPr>
              <w:widowControl w:val="0"/>
              <w:rPr>
                <w:rFonts w:ascii="Arial" w:hAnsi="Arial" w:cs="Arial"/>
              </w:rPr>
            </w:pPr>
          </w:p>
        </w:tc>
        <w:tc>
          <w:tcPr>
            <w:tcW w:w="2262" w:type="dxa"/>
            <w:shd w:val="clear" w:color="auto" w:fill="auto"/>
            <w:tcMar>
              <w:top w:w="28" w:type="dxa"/>
              <w:bottom w:w="28" w:type="dxa"/>
            </w:tcMar>
          </w:tcPr>
          <w:p w:rsidR="00543122" w:rsidRPr="009147E0" w:rsidRDefault="00543122" w:rsidP="00263F7F">
            <w:pPr>
              <w:rPr>
                <w:rFonts w:ascii="Arial" w:hAnsi="Arial" w:cs="Arial"/>
              </w:rPr>
            </w:pPr>
            <w:r w:rsidRPr="009147E0">
              <w:rPr>
                <w:rFonts w:ascii="Arial" w:hAnsi="Arial" w:cs="Arial"/>
              </w:rPr>
              <w:t xml:space="preserve">Cystic </w:t>
            </w:r>
            <w:r w:rsidR="00263F7F">
              <w:rPr>
                <w:rFonts w:ascii="Arial" w:hAnsi="Arial" w:cs="Arial"/>
              </w:rPr>
              <w:t>f</w:t>
            </w:r>
            <w:r w:rsidRPr="009147E0">
              <w:rPr>
                <w:rFonts w:ascii="Arial" w:hAnsi="Arial" w:cs="Arial"/>
              </w:rPr>
              <w:t>ibrosis</w:t>
            </w:r>
          </w:p>
        </w:tc>
        <w:tc>
          <w:tcPr>
            <w:tcW w:w="2987" w:type="dxa"/>
            <w:shd w:val="clear" w:color="auto" w:fill="auto"/>
            <w:tcMar>
              <w:top w:w="28" w:type="dxa"/>
              <w:bottom w:w="28" w:type="dxa"/>
            </w:tcMar>
          </w:tcPr>
          <w:p w:rsidR="00543122" w:rsidRDefault="00543122" w:rsidP="00263F7F">
            <w:pPr>
              <w:widowControl w:val="0"/>
              <w:rPr>
                <w:rFonts w:ascii="Arial" w:hAnsi="Arial" w:cs="Arial"/>
              </w:rPr>
            </w:pPr>
            <w:r w:rsidRPr="009147E0">
              <w:rPr>
                <w:rFonts w:ascii="Arial" w:hAnsi="Arial" w:cs="Arial"/>
              </w:rPr>
              <w:t>To request an extension of the PBAC’s previous recommendation for the PBS listing of ivacaftor as a Section 100 (Highly Specialised Drugs Program) benefit for the treatment of cystic fibrosis (CF) in patients aged six years and older who have a G551D mutation in the cystic fibrosis transmembrane conductance regulator (CFTR) gene to include other gating (class III) mutation in the CFTR gene.</w:t>
            </w:r>
          </w:p>
          <w:p w:rsidR="00263F7F" w:rsidRPr="009147E0" w:rsidRDefault="00263F7F" w:rsidP="00263F7F">
            <w:pPr>
              <w:widowControl w:val="0"/>
              <w:rPr>
                <w:rFonts w:ascii="Arial" w:hAnsi="Arial" w:cs="Arial"/>
              </w:rPr>
            </w:pPr>
          </w:p>
        </w:tc>
        <w:tc>
          <w:tcPr>
            <w:tcW w:w="7192" w:type="dxa"/>
          </w:tcPr>
          <w:p w:rsidR="00543122" w:rsidRPr="009147E0" w:rsidRDefault="00543122" w:rsidP="009B00E1">
            <w:pPr>
              <w:widowControl w:val="0"/>
              <w:jc w:val="both"/>
              <w:rPr>
                <w:rFonts w:ascii="Arial" w:hAnsi="Arial" w:cs="Arial"/>
              </w:rPr>
            </w:pPr>
            <w:r w:rsidRPr="009147E0">
              <w:rPr>
                <w:rFonts w:ascii="Arial" w:hAnsi="Arial" w:cs="Arial"/>
              </w:rPr>
              <w:t xml:space="preserve">The PBAC recommended to extend the PBAC’s previous recommendation for the PBS listing of ivacaftor as a Section 100 (Highly Specialised Drugs Program) benefit for the treatment of cystic fibrosis (CF) in patients aged six years and older who have a G551D mutation in the cystic fibrosis transmembrane conductance regulator (CFTR) gene to include other gating (class III) mutation in the CFTR gene.  </w:t>
            </w:r>
          </w:p>
        </w:tc>
      </w:tr>
      <w:tr w:rsidR="00543122" w:rsidRPr="009147E0" w:rsidTr="00CB2D1B">
        <w:trPr>
          <w:cantSplit/>
          <w:trHeight w:val="430"/>
        </w:trPr>
        <w:tc>
          <w:tcPr>
            <w:tcW w:w="3118" w:type="dxa"/>
            <w:shd w:val="clear" w:color="auto" w:fill="auto"/>
            <w:tcMar>
              <w:top w:w="28" w:type="dxa"/>
              <w:bottom w:w="28" w:type="dxa"/>
            </w:tcMar>
          </w:tcPr>
          <w:p w:rsidR="00543122" w:rsidRPr="00263F7F" w:rsidRDefault="00543122" w:rsidP="00BB6187">
            <w:pPr>
              <w:widowControl w:val="0"/>
              <w:jc w:val="both"/>
              <w:rPr>
                <w:rFonts w:ascii="Arial" w:hAnsi="Arial" w:cs="Arial"/>
                <w:b/>
              </w:rPr>
            </w:pPr>
            <w:r w:rsidRPr="00263F7F">
              <w:rPr>
                <w:rFonts w:ascii="Arial" w:hAnsi="Arial" w:cs="Arial"/>
                <w:b/>
              </w:rPr>
              <w:lastRenderedPageBreak/>
              <w:t>LEUPRORELIN</w:t>
            </w:r>
          </w:p>
          <w:p w:rsidR="00543122" w:rsidRPr="009147E0" w:rsidRDefault="00543122" w:rsidP="00BB6187">
            <w:pPr>
              <w:widowControl w:val="0"/>
              <w:jc w:val="both"/>
              <w:rPr>
                <w:rFonts w:ascii="Arial" w:hAnsi="Arial" w:cs="Arial"/>
              </w:rPr>
            </w:pPr>
            <w:r w:rsidRPr="009147E0">
              <w:rPr>
                <w:rFonts w:ascii="Arial" w:hAnsi="Arial" w:cs="Arial"/>
              </w:rPr>
              <w:t>30 mg injection: modified release [1 x 30 mg syringe] (&amp;) inert substance diluent [1 x 2 mL syringe], 1 pack</w:t>
            </w:r>
          </w:p>
          <w:p w:rsidR="00543122" w:rsidRPr="009147E0" w:rsidRDefault="00543122" w:rsidP="00BB6187">
            <w:pPr>
              <w:widowControl w:val="0"/>
              <w:jc w:val="both"/>
              <w:rPr>
                <w:rFonts w:ascii="Arial" w:hAnsi="Arial" w:cs="Arial"/>
              </w:rPr>
            </w:pPr>
          </w:p>
          <w:p w:rsidR="00543122" w:rsidRPr="009147E0" w:rsidRDefault="00543122" w:rsidP="00BB6187">
            <w:pPr>
              <w:widowControl w:val="0"/>
              <w:jc w:val="both"/>
              <w:rPr>
                <w:rFonts w:ascii="Arial" w:hAnsi="Arial" w:cs="Arial"/>
              </w:rPr>
            </w:pPr>
            <w:r w:rsidRPr="009147E0">
              <w:rPr>
                <w:rFonts w:ascii="Arial" w:hAnsi="Arial" w:cs="Arial"/>
              </w:rPr>
              <w:t>Lucrin Depot PDS®</w:t>
            </w:r>
          </w:p>
          <w:p w:rsidR="00543122" w:rsidRPr="009147E0" w:rsidRDefault="00543122" w:rsidP="00BB6187">
            <w:pPr>
              <w:widowControl w:val="0"/>
              <w:jc w:val="both"/>
              <w:rPr>
                <w:rFonts w:ascii="Arial" w:hAnsi="Arial" w:cs="Arial"/>
              </w:rPr>
            </w:pPr>
          </w:p>
          <w:p w:rsidR="00543122" w:rsidRPr="009147E0" w:rsidRDefault="00543122" w:rsidP="00BB6187">
            <w:pPr>
              <w:widowControl w:val="0"/>
              <w:jc w:val="both"/>
              <w:rPr>
                <w:rFonts w:ascii="Arial" w:hAnsi="Arial" w:cs="Arial"/>
              </w:rPr>
            </w:pPr>
            <w:r w:rsidRPr="009147E0">
              <w:rPr>
                <w:rFonts w:ascii="Arial" w:hAnsi="Arial" w:cs="Arial"/>
              </w:rPr>
              <w:t>AbbVie Pty Ltd</w:t>
            </w:r>
          </w:p>
          <w:p w:rsidR="00543122" w:rsidRPr="009147E0" w:rsidRDefault="00543122" w:rsidP="00BB6187">
            <w:pPr>
              <w:widowControl w:val="0"/>
              <w:jc w:val="both"/>
              <w:rPr>
                <w:rFonts w:ascii="Arial" w:hAnsi="Arial" w:cs="Arial"/>
              </w:rPr>
            </w:pPr>
          </w:p>
          <w:p w:rsidR="00543122" w:rsidRPr="009147E0" w:rsidRDefault="00543122" w:rsidP="00BB6187">
            <w:pPr>
              <w:widowControl w:val="0"/>
              <w:jc w:val="both"/>
              <w:rPr>
                <w:rFonts w:ascii="Arial" w:hAnsi="Arial" w:cs="Arial"/>
              </w:rPr>
            </w:pPr>
            <w:r w:rsidRPr="009147E0">
              <w:rPr>
                <w:rFonts w:ascii="Arial" w:hAnsi="Arial" w:cs="Arial"/>
              </w:rPr>
              <w:t>Change to listing</w:t>
            </w:r>
          </w:p>
          <w:p w:rsidR="00543122" w:rsidRPr="009147E0" w:rsidRDefault="00543122" w:rsidP="00BB6187">
            <w:pPr>
              <w:widowControl w:val="0"/>
              <w:jc w:val="both"/>
              <w:rPr>
                <w:rFonts w:ascii="Arial" w:hAnsi="Arial" w:cs="Arial"/>
              </w:rPr>
            </w:pPr>
          </w:p>
          <w:p w:rsidR="00543122" w:rsidRPr="009147E0" w:rsidRDefault="00543122" w:rsidP="00BB6187">
            <w:pPr>
              <w:widowControl w:val="0"/>
              <w:jc w:val="both"/>
              <w:rPr>
                <w:rFonts w:ascii="Arial" w:hAnsi="Arial" w:cs="Arial"/>
              </w:rPr>
            </w:pPr>
            <w:r w:rsidRPr="009147E0">
              <w:rPr>
                <w:rFonts w:ascii="Arial" w:hAnsi="Arial" w:cs="Arial"/>
              </w:rPr>
              <w:t>(Major submission)</w:t>
            </w:r>
          </w:p>
          <w:p w:rsidR="00543122" w:rsidRPr="009147E0" w:rsidRDefault="00543122" w:rsidP="002731A4">
            <w:pPr>
              <w:widowControl w:val="0"/>
              <w:jc w:val="both"/>
              <w:rPr>
                <w:rFonts w:ascii="Arial" w:hAnsi="Arial" w:cs="Arial"/>
              </w:rPr>
            </w:pPr>
          </w:p>
        </w:tc>
        <w:tc>
          <w:tcPr>
            <w:tcW w:w="2262" w:type="dxa"/>
            <w:shd w:val="clear" w:color="auto" w:fill="auto"/>
            <w:tcMar>
              <w:top w:w="28" w:type="dxa"/>
              <w:bottom w:w="28" w:type="dxa"/>
            </w:tcMar>
          </w:tcPr>
          <w:p w:rsidR="00543122" w:rsidRPr="009147E0" w:rsidRDefault="00543122" w:rsidP="00263F7F">
            <w:pPr>
              <w:rPr>
                <w:rFonts w:ascii="Arial" w:hAnsi="Arial" w:cs="Arial"/>
              </w:rPr>
            </w:pPr>
            <w:r w:rsidRPr="009147E0">
              <w:rPr>
                <w:rFonts w:ascii="Arial" w:hAnsi="Arial" w:cs="Arial"/>
              </w:rPr>
              <w:t xml:space="preserve">Central </w:t>
            </w:r>
            <w:r w:rsidR="00263F7F">
              <w:rPr>
                <w:rFonts w:ascii="Arial" w:hAnsi="Arial" w:cs="Arial"/>
              </w:rPr>
              <w:t>p</w:t>
            </w:r>
            <w:r w:rsidRPr="009147E0">
              <w:rPr>
                <w:rFonts w:ascii="Arial" w:hAnsi="Arial" w:cs="Arial"/>
              </w:rPr>
              <w:t xml:space="preserve">recocious </w:t>
            </w:r>
            <w:r w:rsidR="00263F7F">
              <w:rPr>
                <w:rFonts w:ascii="Arial" w:hAnsi="Arial" w:cs="Arial"/>
              </w:rPr>
              <w:t>p</w:t>
            </w:r>
            <w:r w:rsidRPr="009147E0">
              <w:rPr>
                <w:rFonts w:ascii="Arial" w:hAnsi="Arial" w:cs="Arial"/>
              </w:rPr>
              <w:t>uberty</w:t>
            </w:r>
          </w:p>
        </w:tc>
        <w:tc>
          <w:tcPr>
            <w:tcW w:w="2987" w:type="dxa"/>
            <w:shd w:val="clear" w:color="auto" w:fill="auto"/>
            <w:tcMar>
              <w:top w:w="28" w:type="dxa"/>
              <w:bottom w:w="28" w:type="dxa"/>
            </w:tcMar>
          </w:tcPr>
          <w:p w:rsidR="00543122" w:rsidRPr="009147E0" w:rsidRDefault="00543122" w:rsidP="00263F7F">
            <w:pPr>
              <w:widowControl w:val="0"/>
              <w:rPr>
                <w:rFonts w:ascii="Arial" w:hAnsi="Arial" w:cs="Arial"/>
              </w:rPr>
            </w:pPr>
            <w:r w:rsidRPr="009147E0">
              <w:rPr>
                <w:rFonts w:ascii="Arial" w:hAnsi="Arial" w:cs="Arial"/>
              </w:rPr>
              <w:t>Extend the current Authority Required (STREAMLINED) listing to include the treatment of central precocious puberty.</w:t>
            </w:r>
          </w:p>
        </w:tc>
        <w:tc>
          <w:tcPr>
            <w:tcW w:w="7192" w:type="dxa"/>
          </w:tcPr>
          <w:p w:rsidR="00543122" w:rsidRPr="009147E0" w:rsidRDefault="00543122" w:rsidP="009B00E1">
            <w:pPr>
              <w:widowControl w:val="0"/>
              <w:jc w:val="both"/>
              <w:rPr>
                <w:rFonts w:ascii="Arial" w:hAnsi="Arial" w:cs="Arial"/>
              </w:rPr>
            </w:pPr>
            <w:r w:rsidRPr="009147E0">
              <w:rPr>
                <w:rFonts w:ascii="Arial" w:hAnsi="Arial" w:cs="Arial"/>
              </w:rPr>
              <w:t xml:space="preserve">The PBAC recommended the listing of leuprorelin for the treatment of children with central precocious puberty (CPP). This is currently widely used in clinical practice with PBS listing providing improved patient access to treatment. On the basis of evidence provided in the submission, for every 100 patients treated, approximately 95 patients would have levels of peak stimulated luteinising hormone suppressed to less than 4mIU/mL, a level which is considered a relevant surrogate treatment outcome. The PBAC considered suppression of the physical signs of puberty to be a more patient relevant outcome. For every 100 female patients treated with leuprorelin, approximately 71 would have suppression of puberty, while for every 100 male patients treated, approximately 20 would have suppression of puberty.   </w:t>
            </w:r>
          </w:p>
        </w:tc>
      </w:tr>
      <w:tr w:rsidR="00543122" w:rsidRPr="009147E0" w:rsidTr="00CB2D1B">
        <w:trPr>
          <w:cantSplit/>
          <w:trHeight w:val="430"/>
        </w:trPr>
        <w:tc>
          <w:tcPr>
            <w:tcW w:w="3118" w:type="dxa"/>
            <w:tcMar>
              <w:top w:w="28" w:type="dxa"/>
              <w:bottom w:w="28" w:type="dxa"/>
            </w:tcMar>
          </w:tcPr>
          <w:p w:rsidR="00263F7F" w:rsidRDefault="00543122" w:rsidP="006A217F">
            <w:pPr>
              <w:rPr>
                <w:rStyle w:val="st"/>
                <w:rFonts w:ascii="Arial" w:hAnsi="Arial" w:cs="Arial"/>
              </w:rPr>
            </w:pPr>
            <w:r w:rsidRPr="00263F7F">
              <w:rPr>
                <w:rStyle w:val="st"/>
                <w:rFonts w:ascii="Arial" w:hAnsi="Arial" w:cs="Arial"/>
                <w:b/>
              </w:rPr>
              <w:t>MERCAPTOPURINE</w:t>
            </w:r>
          </w:p>
          <w:p w:rsidR="00543122" w:rsidRPr="009147E0" w:rsidRDefault="00543122" w:rsidP="006A217F">
            <w:pPr>
              <w:rPr>
                <w:rStyle w:val="st"/>
                <w:rFonts w:ascii="Arial" w:hAnsi="Arial" w:cs="Arial"/>
              </w:rPr>
            </w:pPr>
            <w:r w:rsidRPr="009147E0">
              <w:rPr>
                <w:rStyle w:val="st"/>
                <w:rFonts w:ascii="Arial" w:hAnsi="Arial" w:cs="Arial"/>
              </w:rPr>
              <w:t>oral suspension 20 mg/mL, 100 mL</w:t>
            </w:r>
          </w:p>
          <w:p w:rsidR="00543122" w:rsidRPr="009147E0" w:rsidRDefault="00543122" w:rsidP="006A217F">
            <w:pPr>
              <w:rPr>
                <w:rStyle w:val="st"/>
                <w:rFonts w:ascii="Arial" w:hAnsi="Arial" w:cs="Arial"/>
              </w:rPr>
            </w:pPr>
          </w:p>
          <w:p w:rsidR="00543122" w:rsidRPr="009147E0" w:rsidRDefault="00543122" w:rsidP="006A217F">
            <w:pPr>
              <w:rPr>
                <w:rStyle w:val="st"/>
                <w:rFonts w:ascii="Arial" w:hAnsi="Arial" w:cs="Arial"/>
              </w:rPr>
            </w:pPr>
            <w:r w:rsidRPr="009147E0">
              <w:rPr>
                <w:rStyle w:val="st"/>
                <w:rFonts w:ascii="Arial" w:hAnsi="Arial" w:cs="Arial"/>
              </w:rPr>
              <w:t>Allmercap®</w:t>
            </w:r>
          </w:p>
          <w:p w:rsidR="00543122" w:rsidRPr="009147E0" w:rsidRDefault="00543122" w:rsidP="006A217F">
            <w:pPr>
              <w:rPr>
                <w:rStyle w:val="st"/>
                <w:rFonts w:ascii="Arial" w:hAnsi="Arial" w:cs="Arial"/>
              </w:rPr>
            </w:pPr>
          </w:p>
          <w:p w:rsidR="00543122" w:rsidRPr="009147E0" w:rsidRDefault="00543122" w:rsidP="006A217F">
            <w:pPr>
              <w:rPr>
                <w:rStyle w:val="st"/>
                <w:rFonts w:ascii="Arial" w:hAnsi="Arial" w:cs="Arial"/>
              </w:rPr>
            </w:pPr>
            <w:r w:rsidRPr="009147E0">
              <w:rPr>
                <w:rStyle w:val="st"/>
                <w:rFonts w:ascii="Arial" w:hAnsi="Arial" w:cs="Arial"/>
              </w:rPr>
              <w:t>Link Healthcare Pty Ltd</w:t>
            </w:r>
          </w:p>
          <w:p w:rsidR="00543122" w:rsidRPr="009147E0" w:rsidRDefault="00543122" w:rsidP="006A217F">
            <w:pPr>
              <w:rPr>
                <w:rStyle w:val="st"/>
                <w:rFonts w:ascii="Arial" w:hAnsi="Arial" w:cs="Arial"/>
              </w:rPr>
            </w:pPr>
          </w:p>
          <w:p w:rsidR="00543122" w:rsidRPr="009147E0" w:rsidRDefault="00543122" w:rsidP="006A217F">
            <w:pPr>
              <w:rPr>
                <w:rStyle w:val="st"/>
                <w:rFonts w:ascii="Arial" w:hAnsi="Arial" w:cs="Arial"/>
              </w:rPr>
            </w:pPr>
            <w:r w:rsidRPr="009147E0">
              <w:rPr>
                <w:rStyle w:val="st"/>
                <w:rFonts w:ascii="Arial" w:hAnsi="Arial" w:cs="Arial"/>
              </w:rPr>
              <w:t>New listing</w:t>
            </w:r>
          </w:p>
          <w:p w:rsidR="00543122" w:rsidRPr="009147E0" w:rsidRDefault="00543122" w:rsidP="006A217F">
            <w:pPr>
              <w:rPr>
                <w:rStyle w:val="st"/>
                <w:rFonts w:ascii="Arial" w:hAnsi="Arial" w:cs="Arial"/>
              </w:rPr>
            </w:pPr>
          </w:p>
          <w:p w:rsidR="00543122" w:rsidRPr="009147E0" w:rsidRDefault="00543122" w:rsidP="006A217F">
            <w:pPr>
              <w:rPr>
                <w:rStyle w:val="st"/>
                <w:rFonts w:ascii="Arial" w:hAnsi="Arial" w:cs="Arial"/>
              </w:rPr>
            </w:pPr>
            <w:r w:rsidRPr="009147E0">
              <w:rPr>
                <w:rStyle w:val="st"/>
                <w:rFonts w:ascii="Arial" w:hAnsi="Arial" w:cs="Arial"/>
              </w:rPr>
              <w:t>(Minor submission)</w:t>
            </w:r>
          </w:p>
          <w:p w:rsidR="00543122" w:rsidRPr="009147E0" w:rsidRDefault="00543122" w:rsidP="006A217F">
            <w:pPr>
              <w:rPr>
                <w:rStyle w:val="st"/>
                <w:rFonts w:ascii="Arial" w:hAnsi="Arial" w:cs="Arial"/>
              </w:rPr>
            </w:pPr>
          </w:p>
        </w:tc>
        <w:tc>
          <w:tcPr>
            <w:tcW w:w="2262" w:type="dxa"/>
            <w:tcMar>
              <w:top w:w="28" w:type="dxa"/>
              <w:bottom w:w="28" w:type="dxa"/>
            </w:tcMar>
          </w:tcPr>
          <w:p w:rsidR="00543122" w:rsidRPr="009147E0" w:rsidRDefault="00543122" w:rsidP="00263F7F">
            <w:pPr>
              <w:rPr>
                <w:rFonts w:ascii="Arial" w:hAnsi="Arial" w:cs="Arial"/>
              </w:rPr>
            </w:pPr>
            <w:r w:rsidRPr="009147E0">
              <w:rPr>
                <w:rStyle w:val="st"/>
                <w:rFonts w:ascii="Arial" w:hAnsi="Arial" w:cs="Arial"/>
              </w:rPr>
              <w:t>Acute lymphoblastic leukaemia</w:t>
            </w:r>
          </w:p>
        </w:tc>
        <w:tc>
          <w:tcPr>
            <w:tcW w:w="2987" w:type="dxa"/>
            <w:tcMar>
              <w:top w:w="28" w:type="dxa"/>
              <w:bottom w:w="28" w:type="dxa"/>
            </w:tcMar>
          </w:tcPr>
          <w:p w:rsidR="00543122" w:rsidRPr="009147E0" w:rsidRDefault="00543122" w:rsidP="00263F7F">
            <w:pPr>
              <w:pStyle w:val="Header"/>
              <w:widowControl w:val="0"/>
              <w:tabs>
                <w:tab w:val="clear" w:pos="4153"/>
                <w:tab w:val="clear" w:pos="8306"/>
              </w:tabs>
              <w:rPr>
                <w:rFonts w:ascii="Arial" w:hAnsi="Arial" w:cs="Arial"/>
              </w:rPr>
            </w:pPr>
            <w:r w:rsidRPr="009147E0">
              <w:rPr>
                <w:rStyle w:val="st"/>
                <w:rFonts w:ascii="Arial" w:hAnsi="Arial" w:cs="Arial"/>
              </w:rPr>
              <w:t xml:space="preserve">Authority Required listing for the treatment of acute lymphoblastic leukaemia in paediatric patients when the tablet form is unsuitable. </w:t>
            </w:r>
          </w:p>
        </w:tc>
        <w:tc>
          <w:tcPr>
            <w:tcW w:w="7192" w:type="dxa"/>
          </w:tcPr>
          <w:p w:rsidR="00543122" w:rsidRPr="009147E0" w:rsidRDefault="00543122" w:rsidP="004C4C62">
            <w:pPr>
              <w:pStyle w:val="Header"/>
              <w:widowControl w:val="0"/>
              <w:tabs>
                <w:tab w:val="clear" w:pos="4153"/>
                <w:tab w:val="clear" w:pos="8306"/>
              </w:tabs>
              <w:jc w:val="both"/>
              <w:rPr>
                <w:rFonts w:ascii="Arial" w:hAnsi="Arial" w:cs="Arial"/>
                <w:snapToGrid w:val="0"/>
                <w:lang w:eastAsia="en-US"/>
              </w:rPr>
            </w:pPr>
            <w:r w:rsidRPr="009147E0">
              <w:rPr>
                <w:rStyle w:val="st"/>
                <w:rFonts w:ascii="Arial" w:hAnsi="Arial" w:cs="Arial"/>
              </w:rPr>
              <w:t>The PBAC recommended listing mercaptopurine oral suspension as an Authority Required (Streamlined) benefit for the treatment of acute lymphoblastic leukaemia in paediatric patients in whom a solid dose form of this drug is unsuitable, on the basis of a clinical need existing for this particular dose form.</w:t>
            </w:r>
          </w:p>
        </w:tc>
      </w:tr>
      <w:tr w:rsidR="00543122" w:rsidRPr="009147E0" w:rsidTr="00CB2D1B">
        <w:trPr>
          <w:cantSplit/>
          <w:trHeight w:val="430"/>
        </w:trPr>
        <w:tc>
          <w:tcPr>
            <w:tcW w:w="3118" w:type="dxa"/>
            <w:shd w:val="clear" w:color="auto" w:fill="auto"/>
            <w:tcMar>
              <w:top w:w="28" w:type="dxa"/>
              <w:bottom w:w="28" w:type="dxa"/>
            </w:tcMar>
          </w:tcPr>
          <w:p w:rsidR="00543122" w:rsidRPr="00263F7F" w:rsidRDefault="00543122" w:rsidP="00B528DA">
            <w:pPr>
              <w:rPr>
                <w:rFonts w:ascii="Arial" w:hAnsi="Arial" w:cs="Arial"/>
                <w:b/>
              </w:rPr>
            </w:pPr>
            <w:r w:rsidRPr="00263F7F">
              <w:rPr>
                <w:rFonts w:ascii="Arial" w:hAnsi="Arial" w:cs="Arial"/>
                <w:b/>
              </w:rPr>
              <w:lastRenderedPageBreak/>
              <w:t>MESALAZINE</w:t>
            </w:r>
          </w:p>
          <w:p w:rsidR="00543122" w:rsidRPr="009147E0" w:rsidRDefault="00543122" w:rsidP="00B528DA">
            <w:pPr>
              <w:rPr>
                <w:rFonts w:ascii="Arial" w:hAnsi="Arial" w:cs="Arial"/>
              </w:rPr>
            </w:pPr>
            <w:r w:rsidRPr="009147E0">
              <w:rPr>
                <w:rFonts w:ascii="Arial" w:hAnsi="Arial" w:cs="Arial"/>
              </w:rPr>
              <w:t>4 g granules: modified release, 30 x 4 sachets,</w:t>
            </w:r>
          </w:p>
          <w:p w:rsidR="00543122" w:rsidRPr="009147E0" w:rsidRDefault="00543122" w:rsidP="00B528DA">
            <w:pPr>
              <w:rPr>
                <w:rFonts w:ascii="Arial" w:hAnsi="Arial" w:cs="Arial"/>
              </w:rPr>
            </w:pPr>
            <w:r w:rsidRPr="009147E0">
              <w:rPr>
                <w:rFonts w:ascii="Arial" w:hAnsi="Arial" w:cs="Arial"/>
              </w:rPr>
              <w:t> </w:t>
            </w:r>
          </w:p>
          <w:p w:rsidR="00543122" w:rsidRPr="009147E0" w:rsidRDefault="00543122" w:rsidP="00B528DA">
            <w:pPr>
              <w:rPr>
                <w:rFonts w:ascii="Arial" w:hAnsi="Arial" w:cs="Arial"/>
              </w:rPr>
            </w:pPr>
            <w:r w:rsidRPr="009147E0">
              <w:rPr>
                <w:rFonts w:ascii="Arial" w:hAnsi="Arial" w:cs="Arial"/>
              </w:rPr>
              <w:t>Pentasa</w:t>
            </w:r>
            <w:r w:rsidRPr="009147E0">
              <w:rPr>
                <w:rFonts w:ascii="Arial" w:hAnsi="Arial" w:cs="Arial"/>
                <w:vertAlign w:val="superscript"/>
              </w:rPr>
              <w:t>®</w:t>
            </w:r>
          </w:p>
          <w:p w:rsidR="00543122" w:rsidRPr="009147E0" w:rsidRDefault="00543122" w:rsidP="00B528DA">
            <w:pPr>
              <w:rPr>
                <w:rFonts w:ascii="Arial" w:hAnsi="Arial" w:cs="Arial"/>
              </w:rPr>
            </w:pPr>
            <w:r w:rsidRPr="009147E0">
              <w:rPr>
                <w:rFonts w:ascii="Arial" w:hAnsi="Arial" w:cs="Arial"/>
              </w:rPr>
              <w:t> </w:t>
            </w:r>
          </w:p>
          <w:p w:rsidR="00543122" w:rsidRPr="009147E0" w:rsidRDefault="00543122" w:rsidP="00B528DA">
            <w:pPr>
              <w:rPr>
                <w:rFonts w:ascii="Arial" w:hAnsi="Arial" w:cs="Arial"/>
              </w:rPr>
            </w:pPr>
            <w:r w:rsidRPr="009147E0">
              <w:rPr>
                <w:rFonts w:ascii="Arial" w:hAnsi="Arial" w:cs="Arial"/>
              </w:rPr>
              <w:t>Ferring Pharmaceuticals Pty Ltd</w:t>
            </w:r>
          </w:p>
          <w:p w:rsidR="00543122" w:rsidRPr="009147E0" w:rsidRDefault="00543122" w:rsidP="00CE5510">
            <w:pPr>
              <w:rPr>
                <w:rFonts w:ascii="Arial" w:hAnsi="Arial" w:cs="Arial"/>
              </w:rPr>
            </w:pPr>
          </w:p>
          <w:p w:rsidR="00543122" w:rsidRPr="009147E0" w:rsidRDefault="00543122" w:rsidP="00B528DA">
            <w:pPr>
              <w:rPr>
                <w:rFonts w:ascii="Arial" w:hAnsi="Arial" w:cs="Arial"/>
              </w:rPr>
            </w:pPr>
            <w:r w:rsidRPr="009147E0">
              <w:rPr>
                <w:rFonts w:ascii="Arial" w:hAnsi="Arial" w:cs="Arial"/>
              </w:rPr>
              <w:t>New listing</w:t>
            </w:r>
          </w:p>
          <w:p w:rsidR="00543122" w:rsidRPr="009147E0" w:rsidRDefault="00543122" w:rsidP="00B528DA">
            <w:pPr>
              <w:rPr>
                <w:rFonts w:ascii="Arial" w:hAnsi="Arial" w:cs="Arial"/>
              </w:rPr>
            </w:pPr>
          </w:p>
          <w:p w:rsidR="00543122" w:rsidRPr="009147E0" w:rsidRDefault="00543122" w:rsidP="00B528DA">
            <w:pPr>
              <w:rPr>
                <w:rFonts w:ascii="Arial" w:hAnsi="Arial" w:cs="Arial"/>
              </w:rPr>
            </w:pPr>
            <w:r w:rsidRPr="009147E0">
              <w:rPr>
                <w:rFonts w:ascii="Arial" w:hAnsi="Arial" w:cs="Arial"/>
              </w:rPr>
              <w:t>(Minor submission)</w:t>
            </w:r>
          </w:p>
          <w:p w:rsidR="00543122" w:rsidRPr="009147E0" w:rsidRDefault="00543122" w:rsidP="00CE5510">
            <w:pPr>
              <w:rPr>
                <w:rFonts w:ascii="Arial" w:hAnsi="Arial" w:cs="Arial"/>
              </w:rPr>
            </w:pPr>
          </w:p>
        </w:tc>
        <w:tc>
          <w:tcPr>
            <w:tcW w:w="2262" w:type="dxa"/>
            <w:shd w:val="clear" w:color="auto" w:fill="auto"/>
            <w:tcMar>
              <w:top w:w="28" w:type="dxa"/>
              <w:bottom w:w="28" w:type="dxa"/>
            </w:tcMar>
          </w:tcPr>
          <w:p w:rsidR="00543122" w:rsidRPr="009147E0" w:rsidRDefault="00543122" w:rsidP="00263F7F">
            <w:pPr>
              <w:rPr>
                <w:rFonts w:ascii="Arial" w:hAnsi="Arial" w:cs="Arial"/>
              </w:rPr>
            </w:pPr>
            <w:r w:rsidRPr="009147E0">
              <w:rPr>
                <w:rFonts w:ascii="Arial" w:hAnsi="Arial" w:cs="Arial"/>
              </w:rPr>
              <w:t xml:space="preserve">Inflammatory bowel disease (Crohn disease and </w:t>
            </w:r>
            <w:r w:rsidR="00263F7F">
              <w:rPr>
                <w:rFonts w:ascii="Arial" w:hAnsi="Arial" w:cs="Arial"/>
              </w:rPr>
              <w:t>u</w:t>
            </w:r>
            <w:r w:rsidRPr="009147E0">
              <w:rPr>
                <w:rFonts w:ascii="Arial" w:hAnsi="Arial" w:cs="Arial"/>
              </w:rPr>
              <w:t>lcerative colitis)</w:t>
            </w:r>
          </w:p>
          <w:p w:rsidR="00543122" w:rsidRPr="009147E0" w:rsidRDefault="00543122" w:rsidP="00263F7F">
            <w:pPr>
              <w:widowControl w:val="0"/>
              <w:spacing w:line="216" w:lineRule="auto"/>
              <w:rPr>
                <w:rFonts w:ascii="Arial" w:hAnsi="Arial" w:cs="Arial"/>
              </w:rPr>
            </w:pPr>
          </w:p>
        </w:tc>
        <w:tc>
          <w:tcPr>
            <w:tcW w:w="2987" w:type="dxa"/>
            <w:shd w:val="clear" w:color="auto" w:fill="auto"/>
            <w:tcMar>
              <w:top w:w="28" w:type="dxa"/>
              <w:bottom w:w="28" w:type="dxa"/>
            </w:tcMar>
          </w:tcPr>
          <w:p w:rsidR="00543122" w:rsidRPr="009147E0" w:rsidRDefault="00543122" w:rsidP="00263F7F">
            <w:pPr>
              <w:rPr>
                <w:rFonts w:ascii="Arial" w:hAnsi="Arial" w:cs="Arial"/>
              </w:rPr>
            </w:pPr>
            <w:r w:rsidRPr="009147E0">
              <w:rPr>
                <w:rFonts w:ascii="Arial" w:hAnsi="Arial" w:cs="Arial"/>
              </w:rPr>
              <w:t>Authority Required (STREAMLINED) listing of a new strength for the treatment of Crohn disease and ulcerative colitis.</w:t>
            </w:r>
          </w:p>
          <w:p w:rsidR="00543122" w:rsidRPr="009147E0" w:rsidRDefault="00543122" w:rsidP="00263F7F">
            <w:pPr>
              <w:spacing w:before="100" w:beforeAutospacing="1" w:after="100" w:afterAutospacing="1"/>
              <w:rPr>
                <w:rFonts w:ascii="Arial" w:hAnsi="Arial" w:cs="Arial"/>
              </w:rPr>
            </w:pPr>
          </w:p>
        </w:tc>
        <w:tc>
          <w:tcPr>
            <w:tcW w:w="7192" w:type="dxa"/>
          </w:tcPr>
          <w:p w:rsidR="00543122" w:rsidRPr="009147E0" w:rsidRDefault="00543122" w:rsidP="00B528DA">
            <w:pPr>
              <w:jc w:val="both"/>
              <w:rPr>
                <w:rFonts w:ascii="Arial" w:hAnsi="Arial" w:cs="Arial"/>
              </w:rPr>
            </w:pPr>
            <w:r w:rsidRPr="009147E0">
              <w:rPr>
                <w:rFonts w:ascii="Arial" w:hAnsi="Arial" w:cs="Arial"/>
              </w:rPr>
              <w:t xml:space="preserve">The PBAC recommended the listing of mesalazine 4 g granules as an Authority </w:t>
            </w:r>
            <w:r w:rsidR="00263F7F">
              <w:rPr>
                <w:rFonts w:ascii="Arial" w:hAnsi="Arial" w:cs="Arial"/>
              </w:rPr>
              <w:t>R</w:t>
            </w:r>
            <w:r w:rsidRPr="009147E0">
              <w:rPr>
                <w:rFonts w:ascii="Arial" w:hAnsi="Arial" w:cs="Arial"/>
              </w:rPr>
              <w:t>equired (Streamlined) benefit for the treatment of ulcerative colitis on a cost-minimisation basis with mesalazine 2 g granules (modified release), 60 x 2 g sachets.</w:t>
            </w:r>
          </w:p>
          <w:p w:rsidR="00543122" w:rsidRPr="009147E0" w:rsidRDefault="00543122" w:rsidP="00B528DA">
            <w:pPr>
              <w:jc w:val="both"/>
              <w:rPr>
                <w:rFonts w:ascii="Arial" w:hAnsi="Arial" w:cs="Arial"/>
              </w:rPr>
            </w:pPr>
          </w:p>
          <w:p w:rsidR="00543122" w:rsidRPr="009147E0" w:rsidRDefault="00543122" w:rsidP="00B528DA">
            <w:pPr>
              <w:jc w:val="both"/>
              <w:rPr>
                <w:rFonts w:ascii="Arial" w:hAnsi="Arial" w:cs="Arial"/>
              </w:rPr>
            </w:pPr>
            <w:r w:rsidRPr="009147E0">
              <w:rPr>
                <w:rFonts w:ascii="Arial" w:hAnsi="Arial" w:cs="Arial"/>
              </w:rPr>
              <w:t xml:space="preserve">The PBAC noted that the submission requested mesalazine 4 g granules to be listed for both ulcerative colitis and Crohn disease indications despite the updated Product Information recommending that a daily dose of 4 g be </w:t>
            </w:r>
            <w:r w:rsidR="00263F7F">
              <w:rPr>
                <w:rFonts w:ascii="Arial" w:hAnsi="Arial" w:cs="Arial"/>
              </w:rPr>
              <w:t>divided for patients with Crohn</w:t>
            </w:r>
            <w:r w:rsidRPr="009147E0">
              <w:rPr>
                <w:rFonts w:ascii="Arial" w:hAnsi="Arial" w:cs="Arial"/>
              </w:rPr>
              <w:t xml:space="preserve"> disease, but not necessarily for patients with ulcerative colitis. On this basis, the PBAC recommended listing the new 4 g presentation for ulcerative colitis only.  </w:t>
            </w:r>
          </w:p>
          <w:p w:rsidR="00543122" w:rsidRPr="009147E0" w:rsidRDefault="00543122" w:rsidP="004C4C62">
            <w:pPr>
              <w:jc w:val="both"/>
              <w:rPr>
                <w:rFonts w:ascii="Arial" w:hAnsi="Arial" w:cs="Arial"/>
              </w:rPr>
            </w:pPr>
          </w:p>
        </w:tc>
      </w:tr>
      <w:tr w:rsidR="00543122" w:rsidRPr="009147E0" w:rsidTr="00CB2D1B">
        <w:trPr>
          <w:cantSplit/>
          <w:trHeight w:val="430"/>
        </w:trPr>
        <w:tc>
          <w:tcPr>
            <w:tcW w:w="3118" w:type="dxa"/>
            <w:shd w:val="clear" w:color="auto" w:fill="auto"/>
            <w:tcMar>
              <w:top w:w="28" w:type="dxa"/>
              <w:bottom w:w="28" w:type="dxa"/>
            </w:tcMar>
          </w:tcPr>
          <w:p w:rsidR="00543122" w:rsidRPr="00263F7F" w:rsidRDefault="00543122" w:rsidP="00B528DA">
            <w:pPr>
              <w:rPr>
                <w:rFonts w:ascii="Arial" w:hAnsi="Arial" w:cs="Arial"/>
                <w:b/>
              </w:rPr>
            </w:pPr>
            <w:r w:rsidRPr="00263F7F">
              <w:rPr>
                <w:rFonts w:ascii="Arial" w:hAnsi="Arial" w:cs="Arial"/>
                <w:b/>
              </w:rPr>
              <w:t>MESALAZINE</w:t>
            </w:r>
          </w:p>
          <w:p w:rsidR="00543122" w:rsidRPr="009147E0" w:rsidRDefault="00543122" w:rsidP="00B528DA">
            <w:pPr>
              <w:rPr>
                <w:rFonts w:ascii="Arial" w:hAnsi="Arial" w:cs="Arial"/>
              </w:rPr>
            </w:pPr>
            <w:r w:rsidRPr="009147E0">
              <w:rPr>
                <w:rFonts w:ascii="Arial" w:hAnsi="Arial" w:cs="Arial"/>
              </w:rPr>
              <w:t>3 g granules: modified release, 30 sachets,</w:t>
            </w:r>
          </w:p>
          <w:p w:rsidR="00543122" w:rsidRPr="009147E0" w:rsidRDefault="00543122" w:rsidP="00B528DA">
            <w:pPr>
              <w:rPr>
                <w:rFonts w:ascii="Arial" w:hAnsi="Arial" w:cs="Arial"/>
              </w:rPr>
            </w:pPr>
            <w:r w:rsidRPr="009147E0">
              <w:rPr>
                <w:rFonts w:ascii="Arial" w:hAnsi="Arial" w:cs="Arial"/>
              </w:rPr>
              <w:t> </w:t>
            </w:r>
          </w:p>
          <w:p w:rsidR="00543122" w:rsidRPr="009147E0" w:rsidRDefault="00543122" w:rsidP="00B528DA">
            <w:pPr>
              <w:rPr>
                <w:rFonts w:ascii="Arial" w:hAnsi="Arial" w:cs="Arial"/>
              </w:rPr>
            </w:pPr>
            <w:r w:rsidRPr="009147E0">
              <w:rPr>
                <w:rFonts w:ascii="Arial" w:hAnsi="Arial" w:cs="Arial"/>
              </w:rPr>
              <w:t>Salofalk</w:t>
            </w:r>
            <w:r w:rsidRPr="009147E0">
              <w:rPr>
                <w:rFonts w:ascii="Arial" w:hAnsi="Arial" w:cs="Arial"/>
                <w:vertAlign w:val="superscript"/>
              </w:rPr>
              <w:t>®</w:t>
            </w:r>
          </w:p>
          <w:p w:rsidR="00543122" w:rsidRPr="009147E0" w:rsidRDefault="00543122" w:rsidP="00B528DA">
            <w:pPr>
              <w:rPr>
                <w:rFonts w:ascii="Arial" w:hAnsi="Arial" w:cs="Arial"/>
              </w:rPr>
            </w:pPr>
            <w:r w:rsidRPr="009147E0">
              <w:rPr>
                <w:rFonts w:ascii="Arial" w:hAnsi="Arial" w:cs="Arial"/>
              </w:rPr>
              <w:t> </w:t>
            </w:r>
          </w:p>
          <w:p w:rsidR="00543122" w:rsidRPr="009147E0" w:rsidRDefault="00543122" w:rsidP="00B528DA">
            <w:pPr>
              <w:rPr>
                <w:rFonts w:ascii="Arial" w:hAnsi="Arial" w:cs="Arial"/>
              </w:rPr>
            </w:pPr>
            <w:r w:rsidRPr="009147E0">
              <w:rPr>
                <w:rFonts w:ascii="Arial" w:hAnsi="Arial" w:cs="Arial"/>
              </w:rPr>
              <w:t>Aspen Australia Pty Ltd</w:t>
            </w:r>
          </w:p>
          <w:p w:rsidR="00543122" w:rsidRPr="009147E0" w:rsidRDefault="00543122" w:rsidP="00D52146">
            <w:pPr>
              <w:rPr>
                <w:rFonts w:ascii="Arial" w:hAnsi="Arial" w:cs="Arial"/>
              </w:rPr>
            </w:pPr>
          </w:p>
          <w:p w:rsidR="00543122" w:rsidRPr="009147E0" w:rsidRDefault="00543122" w:rsidP="00B528DA">
            <w:pPr>
              <w:rPr>
                <w:rFonts w:ascii="Arial" w:hAnsi="Arial" w:cs="Arial"/>
              </w:rPr>
            </w:pPr>
            <w:r w:rsidRPr="009147E0">
              <w:rPr>
                <w:rFonts w:ascii="Arial" w:hAnsi="Arial" w:cs="Arial"/>
              </w:rPr>
              <w:t>New listing</w:t>
            </w:r>
          </w:p>
          <w:p w:rsidR="00543122" w:rsidRPr="009147E0" w:rsidRDefault="00543122" w:rsidP="00B528DA">
            <w:pPr>
              <w:rPr>
                <w:rFonts w:ascii="Arial" w:hAnsi="Arial" w:cs="Arial"/>
              </w:rPr>
            </w:pPr>
          </w:p>
          <w:p w:rsidR="00543122" w:rsidRPr="009147E0" w:rsidRDefault="00543122" w:rsidP="00B528DA">
            <w:pPr>
              <w:rPr>
                <w:rFonts w:ascii="Arial" w:hAnsi="Arial" w:cs="Arial"/>
              </w:rPr>
            </w:pPr>
            <w:r w:rsidRPr="009147E0">
              <w:rPr>
                <w:rFonts w:ascii="Arial" w:hAnsi="Arial" w:cs="Arial"/>
              </w:rPr>
              <w:t>(Minor submission)</w:t>
            </w:r>
          </w:p>
          <w:p w:rsidR="00543122" w:rsidRPr="009147E0" w:rsidRDefault="00543122" w:rsidP="00D52146">
            <w:pPr>
              <w:rPr>
                <w:rFonts w:ascii="Arial" w:hAnsi="Arial" w:cs="Arial"/>
              </w:rPr>
            </w:pPr>
          </w:p>
        </w:tc>
        <w:tc>
          <w:tcPr>
            <w:tcW w:w="2262" w:type="dxa"/>
            <w:shd w:val="clear" w:color="auto" w:fill="auto"/>
            <w:tcMar>
              <w:top w:w="28" w:type="dxa"/>
              <w:bottom w:w="28" w:type="dxa"/>
            </w:tcMar>
          </w:tcPr>
          <w:p w:rsidR="00543122" w:rsidRPr="009147E0" w:rsidRDefault="00543122" w:rsidP="00263F7F">
            <w:pPr>
              <w:widowControl w:val="0"/>
              <w:rPr>
                <w:rFonts w:ascii="Arial" w:hAnsi="Arial" w:cs="Arial"/>
              </w:rPr>
            </w:pPr>
            <w:r w:rsidRPr="009147E0">
              <w:rPr>
                <w:rFonts w:ascii="Arial" w:hAnsi="Arial" w:cs="Arial"/>
              </w:rPr>
              <w:t>Ulcerative colitis</w:t>
            </w:r>
          </w:p>
          <w:p w:rsidR="00543122" w:rsidRPr="009147E0" w:rsidRDefault="00543122" w:rsidP="00263F7F">
            <w:pPr>
              <w:widowControl w:val="0"/>
              <w:rPr>
                <w:rFonts w:ascii="Arial" w:hAnsi="Arial" w:cs="Arial"/>
              </w:rPr>
            </w:pPr>
          </w:p>
        </w:tc>
        <w:tc>
          <w:tcPr>
            <w:tcW w:w="2987" w:type="dxa"/>
            <w:shd w:val="clear" w:color="auto" w:fill="auto"/>
            <w:tcMar>
              <w:top w:w="28" w:type="dxa"/>
              <w:bottom w:w="28" w:type="dxa"/>
            </w:tcMar>
          </w:tcPr>
          <w:p w:rsidR="00543122" w:rsidRPr="009147E0" w:rsidRDefault="00543122" w:rsidP="00263F7F">
            <w:pPr>
              <w:rPr>
                <w:rFonts w:ascii="Arial" w:hAnsi="Arial" w:cs="Arial"/>
              </w:rPr>
            </w:pPr>
            <w:r w:rsidRPr="009147E0">
              <w:rPr>
                <w:rFonts w:ascii="Arial" w:hAnsi="Arial" w:cs="Arial"/>
              </w:rPr>
              <w:t xml:space="preserve">Authority Required (STREAMLINED) listing of a new strength for the treatment of ulcerative colitis where hypersensitivity to sulfonamides exists or where intolerance to sulfasalazine exists. </w:t>
            </w:r>
          </w:p>
          <w:p w:rsidR="00543122" w:rsidRPr="009147E0" w:rsidRDefault="00543122" w:rsidP="00263F7F">
            <w:pPr>
              <w:spacing w:before="100" w:beforeAutospacing="1" w:after="100" w:afterAutospacing="1"/>
              <w:rPr>
                <w:rFonts w:ascii="Arial" w:hAnsi="Arial" w:cs="Arial"/>
              </w:rPr>
            </w:pPr>
          </w:p>
        </w:tc>
        <w:tc>
          <w:tcPr>
            <w:tcW w:w="7192" w:type="dxa"/>
          </w:tcPr>
          <w:p w:rsidR="00543122" w:rsidRPr="009147E0" w:rsidRDefault="00543122" w:rsidP="00307C42">
            <w:pPr>
              <w:jc w:val="both"/>
              <w:rPr>
                <w:rFonts w:ascii="Arial" w:hAnsi="Arial" w:cs="Arial"/>
              </w:rPr>
            </w:pPr>
            <w:r w:rsidRPr="009147E0">
              <w:rPr>
                <w:rFonts w:ascii="Arial" w:hAnsi="Arial" w:cs="Arial"/>
              </w:rPr>
              <w:t xml:space="preserve">The PBAC recommended the listing of mesalazine 3 g granules as an Authority </w:t>
            </w:r>
            <w:r w:rsidR="00263F7F">
              <w:rPr>
                <w:rFonts w:ascii="Arial" w:hAnsi="Arial" w:cs="Arial"/>
              </w:rPr>
              <w:t>R</w:t>
            </w:r>
            <w:r w:rsidRPr="009147E0">
              <w:rPr>
                <w:rFonts w:ascii="Arial" w:hAnsi="Arial" w:cs="Arial"/>
              </w:rPr>
              <w:t>equired (Streamlined) benefit for the treatment of ulcerative colitis where hypersensitivity to sulphonamides exists or where intolerance to sulfasalazine exists, on a cost-minimisation basis with the 1.5 g granules of Salofalk.</w:t>
            </w:r>
          </w:p>
          <w:p w:rsidR="00543122" w:rsidRPr="009147E0" w:rsidRDefault="00543122" w:rsidP="00307C42">
            <w:pPr>
              <w:jc w:val="both"/>
              <w:rPr>
                <w:rFonts w:ascii="Arial" w:hAnsi="Arial" w:cs="Arial"/>
              </w:rPr>
            </w:pPr>
          </w:p>
          <w:p w:rsidR="00543122" w:rsidRPr="009147E0" w:rsidRDefault="00543122" w:rsidP="00307C42">
            <w:pPr>
              <w:jc w:val="both"/>
              <w:rPr>
                <w:rFonts w:ascii="Arial" w:hAnsi="Arial" w:cs="Arial"/>
              </w:rPr>
            </w:pPr>
            <w:r w:rsidRPr="009147E0">
              <w:rPr>
                <w:rFonts w:ascii="Arial" w:hAnsi="Arial" w:cs="Arial"/>
              </w:rPr>
              <w:t>The PBAC considered that patients requiring a mesalazine once daily dose of 3 g would be likely to be those already prescribed the 1.5 g sachets and therefore, if the new 3 g sachets (30 sachets) were equivalently priced to the 1.5 g sachets (60 sachets), there would be minimal net financial implications of listing the new 3 g sachets.</w:t>
            </w:r>
          </w:p>
          <w:p w:rsidR="00543122" w:rsidRPr="009147E0" w:rsidRDefault="00543122" w:rsidP="004C4C62">
            <w:pPr>
              <w:jc w:val="both"/>
              <w:rPr>
                <w:rFonts w:ascii="Arial" w:hAnsi="Arial" w:cs="Arial"/>
              </w:rPr>
            </w:pPr>
          </w:p>
        </w:tc>
      </w:tr>
      <w:tr w:rsidR="00184373" w:rsidRPr="009147E0" w:rsidTr="00CB2D1B">
        <w:trPr>
          <w:cantSplit/>
          <w:trHeight w:val="430"/>
        </w:trPr>
        <w:tc>
          <w:tcPr>
            <w:tcW w:w="3118" w:type="dxa"/>
            <w:shd w:val="clear" w:color="auto" w:fill="auto"/>
            <w:tcMar>
              <w:top w:w="28" w:type="dxa"/>
              <w:bottom w:w="28" w:type="dxa"/>
            </w:tcMar>
          </w:tcPr>
          <w:p w:rsidR="00184373" w:rsidRDefault="00184373" w:rsidP="00F83585">
            <w:pPr>
              <w:rPr>
                <w:rFonts w:ascii="Arial" w:hAnsi="Arial" w:cs="Arial"/>
              </w:rPr>
            </w:pPr>
            <w:r>
              <w:rPr>
                <w:rFonts w:ascii="Arial" w:hAnsi="Arial" w:cs="Arial"/>
                <w:b/>
              </w:rPr>
              <w:t>OCULAR LUBRICANTS</w:t>
            </w:r>
          </w:p>
          <w:p w:rsidR="00184373" w:rsidRDefault="00184373" w:rsidP="00F83585">
            <w:pPr>
              <w:rPr>
                <w:rFonts w:ascii="Arial" w:hAnsi="Arial" w:cs="Arial"/>
              </w:rPr>
            </w:pPr>
          </w:p>
          <w:p w:rsidR="00184373" w:rsidRDefault="00184373" w:rsidP="00B528DA">
            <w:pPr>
              <w:rPr>
                <w:rFonts w:ascii="Arial" w:hAnsi="Arial" w:cs="Arial"/>
              </w:rPr>
            </w:pPr>
            <w:r>
              <w:rPr>
                <w:rFonts w:ascii="Arial" w:hAnsi="Arial" w:cs="Arial"/>
              </w:rPr>
              <w:t>Various</w:t>
            </w:r>
            <w:r w:rsidR="00F575D1">
              <w:rPr>
                <w:rFonts w:ascii="Arial" w:hAnsi="Arial" w:cs="Arial"/>
              </w:rPr>
              <w:t xml:space="preserve"> products</w:t>
            </w:r>
          </w:p>
          <w:p w:rsidR="00F575D1" w:rsidRDefault="00F575D1" w:rsidP="00B528DA">
            <w:pPr>
              <w:rPr>
                <w:rFonts w:ascii="Arial" w:hAnsi="Arial" w:cs="Arial"/>
              </w:rPr>
            </w:pPr>
          </w:p>
          <w:p w:rsidR="00F575D1" w:rsidRDefault="00F575D1" w:rsidP="00B528DA">
            <w:pPr>
              <w:rPr>
                <w:rFonts w:ascii="Arial" w:hAnsi="Arial" w:cs="Arial"/>
              </w:rPr>
            </w:pPr>
            <w:r>
              <w:rPr>
                <w:rFonts w:ascii="Arial" w:hAnsi="Arial" w:cs="Arial"/>
              </w:rPr>
              <w:t>Various sponsors</w:t>
            </w:r>
          </w:p>
          <w:p w:rsidR="00F575D1" w:rsidRDefault="00F575D1" w:rsidP="00B528DA">
            <w:pPr>
              <w:rPr>
                <w:rFonts w:ascii="Arial" w:hAnsi="Arial" w:cs="Arial"/>
              </w:rPr>
            </w:pPr>
          </w:p>
          <w:p w:rsidR="00F575D1" w:rsidRPr="00184373" w:rsidRDefault="00F575D1" w:rsidP="00B528DA">
            <w:pPr>
              <w:rPr>
                <w:rFonts w:ascii="Arial" w:hAnsi="Arial" w:cs="Arial"/>
              </w:rPr>
            </w:pPr>
            <w:r>
              <w:rPr>
                <w:rFonts w:ascii="Arial" w:hAnsi="Arial" w:cs="Arial"/>
              </w:rPr>
              <w:t>(Review)</w:t>
            </w:r>
          </w:p>
        </w:tc>
        <w:tc>
          <w:tcPr>
            <w:tcW w:w="2262" w:type="dxa"/>
            <w:shd w:val="clear" w:color="auto" w:fill="auto"/>
            <w:tcMar>
              <w:top w:w="28" w:type="dxa"/>
              <w:bottom w:w="28" w:type="dxa"/>
            </w:tcMar>
          </w:tcPr>
          <w:p w:rsidR="00184373" w:rsidRPr="009147E0" w:rsidRDefault="00184373" w:rsidP="00263F7F">
            <w:pPr>
              <w:widowControl w:val="0"/>
              <w:rPr>
                <w:rFonts w:ascii="Arial" w:hAnsi="Arial" w:cs="Arial"/>
              </w:rPr>
            </w:pPr>
            <w:r>
              <w:rPr>
                <w:rFonts w:ascii="Arial" w:hAnsi="Arial" w:cs="Arial"/>
              </w:rPr>
              <w:t>Ocular lubricants</w:t>
            </w:r>
          </w:p>
        </w:tc>
        <w:tc>
          <w:tcPr>
            <w:tcW w:w="2987" w:type="dxa"/>
            <w:shd w:val="clear" w:color="auto" w:fill="auto"/>
            <w:tcMar>
              <w:top w:w="28" w:type="dxa"/>
              <w:bottom w:w="28" w:type="dxa"/>
            </w:tcMar>
          </w:tcPr>
          <w:p w:rsidR="00184373" w:rsidRPr="009147E0" w:rsidRDefault="00184373" w:rsidP="00263F7F">
            <w:pPr>
              <w:rPr>
                <w:rFonts w:ascii="Arial" w:hAnsi="Arial" w:cs="Arial"/>
              </w:rPr>
            </w:pPr>
            <w:r w:rsidRPr="00184373">
              <w:rPr>
                <w:rFonts w:ascii="Arial" w:hAnsi="Arial" w:cs="Arial"/>
              </w:rPr>
              <w:t>To consider the findings of the DUSC utilisation analysis of ocular lubricants and consider if the current pricing of ocular lubricants is appropriate.</w:t>
            </w:r>
          </w:p>
        </w:tc>
        <w:tc>
          <w:tcPr>
            <w:tcW w:w="7192" w:type="dxa"/>
          </w:tcPr>
          <w:p w:rsidR="00184373" w:rsidRPr="00184373" w:rsidRDefault="00184373" w:rsidP="00F83585">
            <w:pPr>
              <w:jc w:val="both"/>
              <w:rPr>
                <w:rFonts w:ascii="Arial" w:hAnsi="Arial" w:cs="Arial"/>
              </w:rPr>
            </w:pPr>
            <w:r w:rsidRPr="00184373">
              <w:rPr>
                <w:rFonts w:ascii="Arial" w:hAnsi="Arial" w:cs="Arial"/>
              </w:rPr>
              <w:t>The PBAC recommended that all ocular lubricants should be considered equivalent for pricing purposes.  The PBAC noted that this recommendation includes ocular lubricants that contain a preservative, those that are preservative free, multi-dose products and single dose unit products.</w:t>
            </w:r>
          </w:p>
          <w:p w:rsidR="00184373" w:rsidRPr="00184373" w:rsidRDefault="00184373" w:rsidP="00F83585">
            <w:pPr>
              <w:jc w:val="both"/>
              <w:rPr>
                <w:rFonts w:ascii="Arial" w:hAnsi="Arial" w:cs="Arial"/>
              </w:rPr>
            </w:pPr>
          </w:p>
          <w:p w:rsidR="00184373" w:rsidRPr="00184373" w:rsidRDefault="00184373" w:rsidP="00F83585">
            <w:pPr>
              <w:jc w:val="both"/>
              <w:rPr>
                <w:rFonts w:ascii="Arial" w:hAnsi="Arial" w:cs="Arial"/>
              </w:rPr>
            </w:pPr>
            <w:r w:rsidRPr="00184373">
              <w:rPr>
                <w:rFonts w:ascii="Arial" w:hAnsi="Arial" w:cs="Arial"/>
              </w:rPr>
              <w:t>The PBAC considered that no evidence was presented to conclude any difference in patient outcomes between the various ocular lubricants.</w:t>
            </w:r>
          </w:p>
          <w:p w:rsidR="00184373" w:rsidRPr="00184373" w:rsidRDefault="00184373" w:rsidP="00F83585">
            <w:pPr>
              <w:jc w:val="both"/>
              <w:rPr>
                <w:rFonts w:ascii="Arial" w:hAnsi="Arial" w:cs="Arial"/>
              </w:rPr>
            </w:pPr>
          </w:p>
          <w:p w:rsidR="00184373" w:rsidRDefault="00184373" w:rsidP="00184373">
            <w:pPr>
              <w:jc w:val="both"/>
              <w:rPr>
                <w:rFonts w:ascii="Arial" w:hAnsi="Arial" w:cs="Arial"/>
              </w:rPr>
            </w:pPr>
            <w:r w:rsidRPr="00184373">
              <w:rPr>
                <w:rFonts w:ascii="Arial" w:hAnsi="Arial" w:cs="Arial"/>
              </w:rPr>
              <w:t>The PBAC noted that any submission to the PBAC requesting a price advantage should provide evidence to support any claimed superior patient outcome.</w:t>
            </w:r>
          </w:p>
          <w:p w:rsidR="00F163F8" w:rsidRPr="009147E0" w:rsidRDefault="00F163F8" w:rsidP="00184373">
            <w:pPr>
              <w:jc w:val="both"/>
              <w:rPr>
                <w:rFonts w:ascii="Arial" w:hAnsi="Arial" w:cs="Arial"/>
              </w:rPr>
            </w:pPr>
          </w:p>
        </w:tc>
      </w:tr>
      <w:tr w:rsidR="00184373" w:rsidRPr="009147E0" w:rsidTr="00CB2D1B">
        <w:trPr>
          <w:cantSplit/>
          <w:trHeight w:val="430"/>
        </w:trPr>
        <w:tc>
          <w:tcPr>
            <w:tcW w:w="3118" w:type="dxa"/>
            <w:shd w:val="clear" w:color="auto" w:fill="auto"/>
            <w:tcMar>
              <w:top w:w="28" w:type="dxa"/>
              <w:bottom w:w="28" w:type="dxa"/>
            </w:tcMar>
          </w:tcPr>
          <w:p w:rsidR="00184373" w:rsidRPr="00263F7F" w:rsidRDefault="00184373" w:rsidP="009E0D31">
            <w:pPr>
              <w:widowControl w:val="0"/>
              <w:jc w:val="both"/>
              <w:rPr>
                <w:rFonts w:ascii="Arial" w:hAnsi="Arial" w:cs="Arial"/>
                <w:b/>
              </w:rPr>
            </w:pPr>
            <w:r w:rsidRPr="00263F7F">
              <w:rPr>
                <w:rFonts w:ascii="Arial" w:hAnsi="Arial" w:cs="Arial"/>
                <w:b/>
              </w:rPr>
              <w:lastRenderedPageBreak/>
              <w:t>OFATUMUMAB</w:t>
            </w:r>
          </w:p>
          <w:p w:rsidR="00184373" w:rsidRPr="009147E0" w:rsidRDefault="00184373" w:rsidP="009E0D31">
            <w:pPr>
              <w:widowControl w:val="0"/>
              <w:jc w:val="both"/>
              <w:rPr>
                <w:rFonts w:ascii="Arial" w:hAnsi="Arial" w:cs="Arial"/>
              </w:rPr>
            </w:pPr>
            <w:r w:rsidRPr="009147E0">
              <w:rPr>
                <w:rFonts w:ascii="Arial" w:hAnsi="Arial" w:cs="Arial"/>
              </w:rPr>
              <w:t>100 mg/5 mL injection, 5 mL vial</w:t>
            </w:r>
          </w:p>
          <w:p w:rsidR="00184373" w:rsidRPr="009147E0" w:rsidRDefault="00184373" w:rsidP="009E0D31">
            <w:pPr>
              <w:widowControl w:val="0"/>
              <w:jc w:val="both"/>
              <w:rPr>
                <w:rFonts w:ascii="Arial" w:hAnsi="Arial" w:cs="Arial"/>
              </w:rPr>
            </w:pPr>
            <w:r w:rsidRPr="009147E0">
              <w:rPr>
                <w:rFonts w:ascii="Arial" w:hAnsi="Arial" w:cs="Arial"/>
              </w:rPr>
              <w:t xml:space="preserve">1 g/50 mL injection, 50 mL vial </w:t>
            </w:r>
          </w:p>
          <w:p w:rsidR="00184373" w:rsidRPr="009147E0" w:rsidRDefault="00184373" w:rsidP="009E0D31">
            <w:pPr>
              <w:widowControl w:val="0"/>
              <w:jc w:val="both"/>
              <w:rPr>
                <w:rFonts w:ascii="Arial" w:hAnsi="Arial" w:cs="Arial"/>
              </w:rPr>
            </w:pPr>
          </w:p>
          <w:p w:rsidR="00184373" w:rsidRPr="009147E0" w:rsidRDefault="00184373" w:rsidP="009E0D31">
            <w:pPr>
              <w:widowControl w:val="0"/>
              <w:jc w:val="both"/>
              <w:rPr>
                <w:rFonts w:ascii="Arial" w:hAnsi="Arial" w:cs="Arial"/>
              </w:rPr>
            </w:pPr>
            <w:r w:rsidRPr="009147E0">
              <w:rPr>
                <w:rFonts w:ascii="Arial" w:hAnsi="Arial" w:cs="Arial"/>
              </w:rPr>
              <w:t>Arzerra®</w:t>
            </w:r>
          </w:p>
          <w:p w:rsidR="00184373" w:rsidRPr="009147E0" w:rsidRDefault="00184373" w:rsidP="009E0D31">
            <w:pPr>
              <w:widowControl w:val="0"/>
              <w:jc w:val="both"/>
              <w:rPr>
                <w:rFonts w:ascii="Arial" w:hAnsi="Arial" w:cs="Arial"/>
              </w:rPr>
            </w:pPr>
          </w:p>
          <w:p w:rsidR="00184373" w:rsidRPr="009147E0" w:rsidRDefault="00184373" w:rsidP="009E0D31">
            <w:pPr>
              <w:widowControl w:val="0"/>
              <w:jc w:val="both"/>
              <w:rPr>
                <w:rFonts w:ascii="Arial" w:hAnsi="Arial" w:cs="Arial"/>
              </w:rPr>
            </w:pPr>
            <w:r w:rsidRPr="009147E0">
              <w:rPr>
                <w:rFonts w:ascii="Arial" w:hAnsi="Arial" w:cs="Arial"/>
              </w:rPr>
              <w:t>GlaxoSmithKline Australia Pty Ltd</w:t>
            </w:r>
          </w:p>
          <w:p w:rsidR="00184373" w:rsidRPr="009147E0" w:rsidRDefault="00184373" w:rsidP="009E0D31">
            <w:pPr>
              <w:widowControl w:val="0"/>
              <w:jc w:val="both"/>
              <w:rPr>
                <w:rFonts w:ascii="Arial" w:hAnsi="Arial" w:cs="Arial"/>
              </w:rPr>
            </w:pPr>
          </w:p>
          <w:p w:rsidR="00184373" w:rsidRPr="009147E0" w:rsidRDefault="00184373" w:rsidP="009E0D31">
            <w:pPr>
              <w:widowControl w:val="0"/>
              <w:jc w:val="both"/>
              <w:rPr>
                <w:rFonts w:ascii="Arial" w:hAnsi="Arial" w:cs="Arial"/>
              </w:rPr>
            </w:pPr>
            <w:r w:rsidRPr="009147E0">
              <w:rPr>
                <w:rFonts w:ascii="Arial" w:hAnsi="Arial" w:cs="Arial"/>
              </w:rPr>
              <w:t>New Listing</w:t>
            </w:r>
          </w:p>
          <w:p w:rsidR="00184373" w:rsidRPr="009147E0" w:rsidRDefault="00184373" w:rsidP="009E0D31">
            <w:pPr>
              <w:widowControl w:val="0"/>
              <w:jc w:val="both"/>
              <w:rPr>
                <w:rFonts w:ascii="Arial" w:hAnsi="Arial" w:cs="Arial"/>
              </w:rPr>
            </w:pPr>
          </w:p>
          <w:p w:rsidR="00184373" w:rsidRPr="009147E0" w:rsidRDefault="00184373" w:rsidP="009E0D31">
            <w:pPr>
              <w:widowControl w:val="0"/>
              <w:jc w:val="both"/>
              <w:rPr>
                <w:rFonts w:ascii="Arial" w:hAnsi="Arial" w:cs="Arial"/>
              </w:rPr>
            </w:pPr>
            <w:r w:rsidRPr="009147E0">
              <w:rPr>
                <w:rFonts w:ascii="Arial" w:hAnsi="Arial" w:cs="Arial"/>
              </w:rPr>
              <w:t>(Major submission)</w:t>
            </w:r>
          </w:p>
          <w:p w:rsidR="00184373" w:rsidRPr="009147E0" w:rsidRDefault="00184373" w:rsidP="009E0D31">
            <w:pPr>
              <w:widowControl w:val="0"/>
              <w:jc w:val="both"/>
              <w:rPr>
                <w:rFonts w:ascii="Arial" w:hAnsi="Arial" w:cs="Arial"/>
              </w:rPr>
            </w:pPr>
          </w:p>
        </w:tc>
        <w:tc>
          <w:tcPr>
            <w:tcW w:w="2262" w:type="dxa"/>
            <w:shd w:val="clear" w:color="auto" w:fill="auto"/>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 xml:space="preserve">Chronic </w:t>
            </w:r>
            <w:r>
              <w:rPr>
                <w:rFonts w:ascii="Arial" w:hAnsi="Arial" w:cs="Arial"/>
              </w:rPr>
              <w:t>l</w:t>
            </w:r>
            <w:r w:rsidRPr="009147E0">
              <w:rPr>
                <w:rFonts w:ascii="Arial" w:hAnsi="Arial" w:cs="Arial"/>
              </w:rPr>
              <w:t xml:space="preserve">ymphocytic </w:t>
            </w:r>
            <w:r>
              <w:rPr>
                <w:rFonts w:ascii="Arial" w:hAnsi="Arial" w:cs="Arial"/>
              </w:rPr>
              <w:t>l</w:t>
            </w:r>
            <w:r w:rsidRPr="009147E0">
              <w:rPr>
                <w:rFonts w:ascii="Arial" w:hAnsi="Arial" w:cs="Arial"/>
              </w:rPr>
              <w:t>eukaemia</w:t>
            </w:r>
          </w:p>
        </w:tc>
        <w:tc>
          <w:tcPr>
            <w:tcW w:w="2987" w:type="dxa"/>
            <w:shd w:val="clear" w:color="auto" w:fill="auto"/>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Section 100 (Efficient Funding of Chemotherapy) Authority Required (STREAMLINED) listing for the treatment of patients with chronic lymphocytic leukaemia who meet certain criteria.</w:t>
            </w:r>
          </w:p>
        </w:tc>
        <w:tc>
          <w:tcPr>
            <w:tcW w:w="7192" w:type="dxa"/>
          </w:tcPr>
          <w:p w:rsidR="00184373" w:rsidRPr="009147E0" w:rsidRDefault="00184373" w:rsidP="009E0D31">
            <w:pPr>
              <w:widowControl w:val="0"/>
              <w:jc w:val="both"/>
              <w:rPr>
                <w:rFonts w:ascii="Arial" w:hAnsi="Arial" w:cs="Arial"/>
              </w:rPr>
            </w:pPr>
            <w:r w:rsidRPr="009147E0">
              <w:rPr>
                <w:rFonts w:ascii="Arial" w:hAnsi="Arial" w:cs="Arial"/>
              </w:rPr>
              <w:t>The PBAC recommended the listing of ofatumumab for the treatment of chronic lymphocytic leukaemia (CLL), on the basis of a cost-minimisation with rituximab.</w:t>
            </w:r>
          </w:p>
          <w:p w:rsidR="00184373" w:rsidRPr="009147E0" w:rsidRDefault="00184373" w:rsidP="009E0D31">
            <w:pPr>
              <w:widowControl w:val="0"/>
              <w:jc w:val="both"/>
              <w:rPr>
                <w:rFonts w:ascii="Arial" w:hAnsi="Arial" w:cs="Arial"/>
              </w:rPr>
            </w:pPr>
          </w:p>
          <w:p w:rsidR="00184373" w:rsidRPr="009147E0" w:rsidRDefault="00184373" w:rsidP="009E0D31">
            <w:pPr>
              <w:widowControl w:val="0"/>
              <w:jc w:val="both"/>
              <w:rPr>
                <w:rFonts w:ascii="Arial" w:hAnsi="Arial" w:cs="Arial"/>
              </w:rPr>
            </w:pPr>
            <w:r w:rsidRPr="009147E0">
              <w:rPr>
                <w:rFonts w:ascii="Arial" w:hAnsi="Arial" w:cs="Arial"/>
              </w:rPr>
              <w:t>Based on an indirect comparison using chlorambucil as the common comparator, ofatumumab + chlorambucil is unlikely to be superior to rituximab + chlorambucil in the treatment of previously untreated patients with CLL. The PBAC considered both ofatumumab and rituximab significantly prolong PFS when combined with chlorambucil in first line treatment of CLL, and both have an acceptable toxicity profile when combined with chlorambucil in patients unsuitable for fludarabine-based therapy. In the absence of direct trial data between ofatumumab and rituximab and given the high clinical need in the patient group, the PBAC accepted this evidence as adequate to support non-inferiority to rituximab.</w:t>
            </w:r>
          </w:p>
          <w:p w:rsidR="00184373" w:rsidRPr="009147E0" w:rsidRDefault="00184373" w:rsidP="009E0D31">
            <w:pPr>
              <w:widowControl w:val="0"/>
              <w:jc w:val="both"/>
              <w:rPr>
                <w:rFonts w:ascii="Arial" w:hAnsi="Arial" w:cs="Arial"/>
              </w:rPr>
            </w:pPr>
          </w:p>
          <w:p w:rsidR="00184373" w:rsidRDefault="008F629F" w:rsidP="009E0D31">
            <w:pPr>
              <w:widowControl w:val="0"/>
              <w:jc w:val="both"/>
              <w:rPr>
                <w:rFonts w:ascii="Arial" w:hAnsi="Arial" w:cs="Arial"/>
              </w:rPr>
            </w:pPr>
            <w:r w:rsidRPr="008F629F">
              <w:rPr>
                <w:rFonts w:ascii="Arial" w:hAnsi="Arial" w:cs="Arial"/>
              </w:rPr>
              <w:t>The Committee agreed that dose equivalence of ofatumumab to rituximab is to be defined based on per course of treatment and calculated based on the surface area of an average patient. From the Product Information, rituximab is administered intravenously at a dose of 375 mg/m2 of body surface area on day 1 of cycle 1 and 500 mg /m2 on day 1 of cycles 2-6.</w:t>
            </w:r>
          </w:p>
          <w:p w:rsidR="00F163F8" w:rsidRPr="009147E0" w:rsidRDefault="00F163F8" w:rsidP="009E0D31">
            <w:pPr>
              <w:widowControl w:val="0"/>
              <w:jc w:val="both"/>
              <w:rPr>
                <w:rFonts w:ascii="Arial" w:hAnsi="Arial" w:cs="Arial"/>
              </w:rPr>
            </w:pPr>
          </w:p>
        </w:tc>
      </w:tr>
      <w:tr w:rsidR="00184373" w:rsidRPr="009147E0" w:rsidTr="00CB2D1B">
        <w:trPr>
          <w:cantSplit/>
          <w:trHeight w:val="430"/>
        </w:trPr>
        <w:tc>
          <w:tcPr>
            <w:tcW w:w="3118" w:type="dxa"/>
            <w:shd w:val="clear" w:color="auto" w:fill="auto"/>
            <w:tcMar>
              <w:top w:w="28" w:type="dxa"/>
              <w:bottom w:w="28" w:type="dxa"/>
            </w:tcMar>
          </w:tcPr>
          <w:p w:rsidR="00184373" w:rsidRPr="009147E0" w:rsidRDefault="00184373" w:rsidP="004147E1">
            <w:pPr>
              <w:widowControl w:val="0"/>
              <w:rPr>
                <w:rFonts w:ascii="Arial" w:hAnsi="Arial" w:cs="Arial"/>
              </w:rPr>
            </w:pPr>
            <w:r w:rsidRPr="00263F7F">
              <w:rPr>
                <w:rFonts w:ascii="Arial" w:hAnsi="Arial" w:cs="Arial"/>
                <w:b/>
              </w:rPr>
              <w:t>OMALIZUMAB</w:t>
            </w:r>
          </w:p>
          <w:p w:rsidR="00184373" w:rsidRPr="009147E0" w:rsidRDefault="00184373" w:rsidP="004147E1">
            <w:pPr>
              <w:widowControl w:val="0"/>
              <w:rPr>
                <w:rFonts w:ascii="Arial" w:hAnsi="Arial" w:cs="Arial"/>
              </w:rPr>
            </w:pPr>
            <w:r w:rsidRPr="009147E0">
              <w:rPr>
                <w:rFonts w:ascii="Arial" w:hAnsi="Arial" w:cs="Arial"/>
              </w:rPr>
              <w:t>75 mg/0.5 mL injection, 1 x 0.5 mL syringe; 150 mg/mL injection, 1 x 1 mL syringe; 150 mg injection [1 x 150 mg vial] (&amp;) inert substance diluent [1 x 1.2 mL ampoule], 1 pack</w:t>
            </w:r>
          </w:p>
          <w:p w:rsidR="00184373" w:rsidRPr="009147E0" w:rsidRDefault="00184373" w:rsidP="004147E1">
            <w:pPr>
              <w:widowControl w:val="0"/>
              <w:rPr>
                <w:rFonts w:ascii="Arial" w:hAnsi="Arial" w:cs="Arial"/>
              </w:rPr>
            </w:pPr>
          </w:p>
          <w:p w:rsidR="00184373" w:rsidRPr="009147E0" w:rsidRDefault="00184373" w:rsidP="004147E1">
            <w:pPr>
              <w:widowControl w:val="0"/>
              <w:rPr>
                <w:rFonts w:ascii="Arial" w:hAnsi="Arial" w:cs="Arial"/>
              </w:rPr>
            </w:pPr>
            <w:r w:rsidRPr="009147E0">
              <w:rPr>
                <w:rFonts w:ascii="Arial" w:hAnsi="Arial" w:cs="Arial"/>
              </w:rPr>
              <w:t>Xolair®</w:t>
            </w:r>
          </w:p>
          <w:p w:rsidR="00184373" w:rsidRPr="009147E0" w:rsidRDefault="00184373" w:rsidP="004147E1">
            <w:pPr>
              <w:widowControl w:val="0"/>
              <w:rPr>
                <w:rFonts w:ascii="Arial" w:hAnsi="Arial" w:cs="Arial"/>
              </w:rPr>
            </w:pPr>
          </w:p>
          <w:p w:rsidR="00184373" w:rsidRPr="009147E0" w:rsidRDefault="00184373" w:rsidP="004147E1">
            <w:pPr>
              <w:widowControl w:val="0"/>
              <w:rPr>
                <w:rFonts w:ascii="Arial" w:hAnsi="Arial" w:cs="Arial"/>
              </w:rPr>
            </w:pPr>
            <w:r w:rsidRPr="009147E0">
              <w:rPr>
                <w:rFonts w:ascii="Arial" w:hAnsi="Arial" w:cs="Arial"/>
              </w:rPr>
              <w:t>Novartis Pharmaceuticals Australia Pty Ltd</w:t>
            </w:r>
          </w:p>
          <w:p w:rsidR="00184373" w:rsidRPr="009147E0" w:rsidRDefault="00184373" w:rsidP="004147E1">
            <w:pPr>
              <w:widowControl w:val="0"/>
              <w:rPr>
                <w:rFonts w:ascii="Arial" w:hAnsi="Arial" w:cs="Arial"/>
              </w:rPr>
            </w:pPr>
          </w:p>
          <w:p w:rsidR="00184373" w:rsidRPr="009147E0" w:rsidRDefault="00184373" w:rsidP="004147E1">
            <w:pPr>
              <w:widowControl w:val="0"/>
              <w:rPr>
                <w:rFonts w:ascii="Arial" w:hAnsi="Arial" w:cs="Arial"/>
              </w:rPr>
            </w:pPr>
            <w:r w:rsidRPr="009147E0">
              <w:rPr>
                <w:rFonts w:ascii="Arial" w:hAnsi="Arial" w:cs="Arial"/>
              </w:rPr>
              <w:t>(Minor submission)</w:t>
            </w:r>
          </w:p>
          <w:p w:rsidR="00184373" w:rsidRPr="009147E0" w:rsidRDefault="00184373" w:rsidP="00E97D20">
            <w:pPr>
              <w:widowControl w:val="0"/>
              <w:rPr>
                <w:rFonts w:ascii="Arial" w:hAnsi="Arial" w:cs="Arial"/>
              </w:rPr>
            </w:pPr>
          </w:p>
        </w:tc>
        <w:tc>
          <w:tcPr>
            <w:tcW w:w="2262" w:type="dxa"/>
            <w:shd w:val="clear" w:color="auto" w:fill="auto"/>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Severe allergic asthma</w:t>
            </w:r>
          </w:p>
        </w:tc>
        <w:tc>
          <w:tcPr>
            <w:tcW w:w="2987" w:type="dxa"/>
            <w:shd w:val="clear" w:color="auto" w:fill="auto"/>
            <w:tcMar>
              <w:top w:w="28" w:type="dxa"/>
              <w:bottom w:w="28" w:type="dxa"/>
            </w:tcMar>
          </w:tcPr>
          <w:p w:rsidR="00184373" w:rsidRPr="009147E0" w:rsidRDefault="00184373" w:rsidP="00263F7F">
            <w:pPr>
              <w:widowControl w:val="0"/>
              <w:spacing w:beforeAutospacing="1" w:afterAutospacing="1"/>
              <w:rPr>
                <w:rFonts w:ascii="Arial" w:hAnsi="Arial" w:cs="Arial"/>
              </w:rPr>
            </w:pPr>
            <w:r w:rsidRPr="009147E0">
              <w:rPr>
                <w:rFonts w:ascii="Arial" w:hAnsi="Arial" w:cs="Arial"/>
              </w:rPr>
              <w:t>To propose revision of PBS restrictions and implementation requirements for omalizumab for the treatment of severe allergic asthma.</w:t>
            </w:r>
          </w:p>
        </w:tc>
        <w:tc>
          <w:tcPr>
            <w:tcW w:w="7192" w:type="dxa"/>
          </w:tcPr>
          <w:p w:rsidR="00184373" w:rsidRPr="009147E0" w:rsidRDefault="00184373" w:rsidP="004147E1">
            <w:pPr>
              <w:widowControl w:val="0"/>
              <w:jc w:val="both"/>
              <w:rPr>
                <w:rFonts w:ascii="Arial" w:hAnsi="Arial" w:cs="Arial"/>
              </w:rPr>
            </w:pPr>
            <w:r w:rsidRPr="009147E0">
              <w:rPr>
                <w:rFonts w:ascii="Arial" w:hAnsi="Arial" w:cs="Arial"/>
              </w:rPr>
              <w:t xml:space="preserve">The PBAC recommended amending the restriction wording of omalizumab to align the definition of optimal asthma therapy, with regards to treatment with oral corticosteroids, with current clinical guidelines and to extend the period for assessment of response from 2 weeks to 4 weeks, as requested. </w:t>
            </w:r>
          </w:p>
          <w:p w:rsidR="00184373" w:rsidRPr="009147E0" w:rsidRDefault="00184373" w:rsidP="004147E1">
            <w:pPr>
              <w:widowControl w:val="0"/>
              <w:jc w:val="both"/>
              <w:rPr>
                <w:rFonts w:ascii="Arial" w:hAnsi="Arial" w:cs="Arial"/>
              </w:rPr>
            </w:pPr>
          </w:p>
          <w:p w:rsidR="00184373" w:rsidRPr="009147E0" w:rsidRDefault="00184373" w:rsidP="004147E1">
            <w:pPr>
              <w:widowControl w:val="0"/>
              <w:jc w:val="both"/>
              <w:rPr>
                <w:rFonts w:ascii="Arial" w:hAnsi="Arial" w:cs="Arial"/>
              </w:rPr>
            </w:pPr>
            <w:r w:rsidRPr="009147E0">
              <w:rPr>
                <w:rFonts w:ascii="Arial" w:hAnsi="Arial" w:cs="Arial"/>
              </w:rPr>
              <w:t>The PBAC noted that the remaining requested changes to the restriction for omalizumab would require formal evaluation</w:t>
            </w:r>
            <w:r w:rsidR="008F629F">
              <w:rPr>
                <w:rFonts w:ascii="Arial" w:hAnsi="Arial" w:cs="Arial"/>
              </w:rPr>
              <w:t xml:space="preserve"> of a major submission</w:t>
            </w:r>
            <w:r w:rsidRPr="009147E0">
              <w:rPr>
                <w:rFonts w:ascii="Arial" w:hAnsi="Arial" w:cs="Arial"/>
              </w:rPr>
              <w:t xml:space="preserve"> prior to consideration by PBAC.</w:t>
            </w:r>
          </w:p>
        </w:tc>
      </w:tr>
      <w:tr w:rsidR="00184373" w:rsidRPr="009147E0" w:rsidTr="00CB2D1B">
        <w:trPr>
          <w:cantSplit/>
          <w:trHeight w:val="430"/>
        </w:trPr>
        <w:tc>
          <w:tcPr>
            <w:tcW w:w="3118" w:type="dxa"/>
            <w:shd w:val="clear" w:color="auto" w:fill="auto"/>
            <w:tcMar>
              <w:top w:w="28" w:type="dxa"/>
              <w:bottom w:w="28" w:type="dxa"/>
            </w:tcMar>
          </w:tcPr>
          <w:p w:rsidR="00184373" w:rsidRPr="00263F7F" w:rsidRDefault="00184373" w:rsidP="00EB7657">
            <w:pPr>
              <w:widowControl w:val="0"/>
              <w:rPr>
                <w:rFonts w:ascii="Arial" w:hAnsi="Arial" w:cs="Arial"/>
                <w:b/>
              </w:rPr>
            </w:pPr>
            <w:r w:rsidRPr="00263F7F">
              <w:rPr>
                <w:rFonts w:ascii="Arial" w:hAnsi="Arial" w:cs="Arial"/>
                <w:b/>
              </w:rPr>
              <w:lastRenderedPageBreak/>
              <w:t>PEGINTERFERON BETA-1A</w:t>
            </w:r>
          </w:p>
          <w:p w:rsidR="00184373" w:rsidRPr="009147E0" w:rsidRDefault="00184373" w:rsidP="00EB7657">
            <w:pPr>
              <w:widowControl w:val="0"/>
              <w:rPr>
                <w:rFonts w:ascii="Arial" w:hAnsi="Arial" w:cs="Arial"/>
              </w:rPr>
            </w:pPr>
            <w:r w:rsidRPr="009147E0">
              <w:rPr>
                <w:rFonts w:ascii="Arial" w:hAnsi="Arial" w:cs="Arial"/>
              </w:rPr>
              <w:t>63 microgram/0.5 mL injection, 0.5 mL syringe + 94 microgram/0.5 mL injection, 0.5 mL syringe</w:t>
            </w:r>
          </w:p>
          <w:p w:rsidR="00184373" w:rsidRPr="009147E0" w:rsidRDefault="00184373" w:rsidP="00EB7657">
            <w:pPr>
              <w:widowControl w:val="0"/>
              <w:rPr>
                <w:rFonts w:ascii="Arial" w:hAnsi="Arial" w:cs="Arial"/>
              </w:rPr>
            </w:pPr>
            <w:r w:rsidRPr="009147E0">
              <w:rPr>
                <w:rFonts w:ascii="Arial" w:hAnsi="Arial" w:cs="Arial"/>
              </w:rPr>
              <w:t>63 microgram/0.5 mL injection, 0.5 mL injection device + 94 microgram/0.5 mL injection, 0.5 mL injection device</w:t>
            </w:r>
          </w:p>
          <w:p w:rsidR="00184373" w:rsidRPr="009147E0" w:rsidRDefault="00184373" w:rsidP="00EB7657">
            <w:pPr>
              <w:widowControl w:val="0"/>
              <w:rPr>
                <w:rFonts w:ascii="Arial" w:hAnsi="Arial" w:cs="Arial"/>
              </w:rPr>
            </w:pPr>
            <w:r w:rsidRPr="009147E0">
              <w:rPr>
                <w:rFonts w:ascii="Arial" w:hAnsi="Arial" w:cs="Arial"/>
              </w:rPr>
              <w:t>125 microgram/0.5 mL injection, 2 x 0.5 mL syringes</w:t>
            </w:r>
          </w:p>
          <w:p w:rsidR="00184373" w:rsidRPr="009147E0" w:rsidRDefault="00184373" w:rsidP="00EB7657">
            <w:pPr>
              <w:widowControl w:val="0"/>
              <w:rPr>
                <w:rFonts w:ascii="Arial" w:hAnsi="Arial" w:cs="Arial"/>
              </w:rPr>
            </w:pPr>
            <w:r w:rsidRPr="009147E0">
              <w:rPr>
                <w:rFonts w:ascii="Arial" w:hAnsi="Arial" w:cs="Arial"/>
              </w:rPr>
              <w:t>125 microgram/0.5 mL injection, 2 x 0.5 mL injection devices</w:t>
            </w:r>
          </w:p>
          <w:p w:rsidR="00184373" w:rsidRPr="009147E0" w:rsidRDefault="00184373" w:rsidP="00EB7657">
            <w:pPr>
              <w:widowControl w:val="0"/>
              <w:rPr>
                <w:rFonts w:ascii="Arial" w:hAnsi="Arial" w:cs="Arial"/>
              </w:rPr>
            </w:pPr>
            <w:r w:rsidRPr="009147E0">
              <w:rPr>
                <w:rFonts w:ascii="Arial" w:hAnsi="Arial" w:cs="Arial"/>
              </w:rPr>
              <w:t> </w:t>
            </w:r>
          </w:p>
          <w:p w:rsidR="00184373" w:rsidRPr="009147E0" w:rsidRDefault="00184373" w:rsidP="00EB7657">
            <w:pPr>
              <w:widowControl w:val="0"/>
              <w:rPr>
                <w:rFonts w:ascii="Arial" w:hAnsi="Arial" w:cs="Arial"/>
              </w:rPr>
            </w:pPr>
            <w:r w:rsidRPr="009147E0">
              <w:rPr>
                <w:rFonts w:ascii="Arial" w:hAnsi="Arial" w:cs="Arial"/>
              </w:rPr>
              <w:t>Plegridy®</w:t>
            </w:r>
          </w:p>
          <w:p w:rsidR="00184373" w:rsidRPr="009147E0" w:rsidRDefault="00184373" w:rsidP="00EB7657">
            <w:pPr>
              <w:widowControl w:val="0"/>
              <w:rPr>
                <w:rFonts w:ascii="Arial" w:hAnsi="Arial" w:cs="Arial"/>
              </w:rPr>
            </w:pPr>
            <w:r w:rsidRPr="009147E0">
              <w:rPr>
                <w:rFonts w:ascii="Arial" w:hAnsi="Arial" w:cs="Arial"/>
              </w:rPr>
              <w:t> </w:t>
            </w:r>
          </w:p>
          <w:p w:rsidR="00184373" w:rsidRPr="009147E0" w:rsidRDefault="00184373" w:rsidP="00EB7657">
            <w:pPr>
              <w:widowControl w:val="0"/>
              <w:rPr>
                <w:rFonts w:ascii="Arial" w:hAnsi="Arial" w:cs="Arial"/>
              </w:rPr>
            </w:pPr>
            <w:r w:rsidRPr="009147E0">
              <w:rPr>
                <w:rFonts w:ascii="Arial" w:hAnsi="Arial" w:cs="Arial"/>
              </w:rPr>
              <w:t>Biogen Idec Australia Pty Ltd</w:t>
            </w:r>
          </w:p>
          <w:p w:rsidR="00184373" w:rsidRPr="009147E0" w:rsidRDefault="00184373" w:rsidP="00EB7657">
            <w:pPr>
              <w:widowControl w:val="0"/>
              <w:rPr>
                <w:rFonts w:ascii="Arial" w:hAnsi="Arial" w:cs="Arial"/>
              </w:rPr>
            </w:pPr>
          </w:p>
          <w:p w:rsidR="00184373" w:rsidRPr="009147E0" w:rsidRDefault="00184373" w:rsidP="00EB7657">
            <w:pPr>
              <w:widowControl w:val="0"/>
              <w:rPr>
                <w:rFonts w:ascii="Arial" w:hAnsi="Arial" w:cs="Arial"/>
              </w:rPr>
            </w:pPr>
            <w:r w:rsidRPr="009147E0">
              <w:rPr>
                <w:rFonts w:ascii="Arial" w:hAnsi="Arial" w:cs="Arial"/>
              </w:rPr>
              <w:t>New Listing</w:t>
            </w:r>
          </w:p>
          <w:p w:rsidR="00184373" w:rsidRPr="009147E0" w:rsidRDefault="00184373" w:rsidP="00EB7657">
            <w:pPr>
              <w:widowControl w:val="0"/>
              <w:rPr>
                <w:rFonts w:ascii="Arial" w:hAnsi="Arial" w:cs="Arial"/>
              </w:rPr>
            </w:pPr>
          </w:p>
          <w:p w:rsidR="00184373" w:rsidRPr="009147E0" w:rsidRDefault="00184373" w:rsidP="00EB7657">
            <w:pPr>
              <w:widowControl w:val="0"/>
              <w:rPr>
                <w:rFonts w:ascii="Arial" w:hAnsi="Arial" w:cs="Arial"/>
              </w:rPr>
            </w:pPr>
            <w:r w:rsidRPr="009147E0">
              <w:rPr>
                <w:rFonts w:ascii="Arial" w:hAnsi="Arial" w:cs="Arial"/>
              </w:rPr>
              <w:t>(Major submission)</w:t>
            </w:r>
          </w:p>
          <w:p w:rsidR="00184373" w:rsidRPr="009147E0" w:rsidRDefault="00184373" w:rsidP="00EB7657">
            <w:pPr>
              <w:widowControl w:val="0"/>
              <w:rPr>
                <w:rFonts w:ascii="Arial" w:hAnsi="Arial" w:cs="Arial"/>
              </w:rPr>
            </w:pPr>
          </w:p>
        </w:tc>
        <w:tc>
          <w:tcPr>
            <w:tcW w:w="2262" w:type="dxa"/>
            <w:shd w:val="clear" w:color="auto" w:fill="auto"/>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Multiple sclerosis</w:t>
            </w:r>
          </w:p>
          <w:p w:rsidR="00184373" w:rsidRPr="009147E0" w:rsidRDefault="00184373" w:rsidP="00263F7F">
            <w:pPr>
              <w:widowControl w:val="0"/>
              <w:rPr>
                <w:rFonts w:ascii="Arial" w:hAnsi="Arial" w:cs="Arial"/>
              </w:rPr>
            </w:pPr>
          </w:p>
        </w:tc>
        <w:tc>
          <w:tcPr>
            <w:tcW w:w="2987" w:type="dxa"/>
            <w:shd w:val="clear" w:color="auto" w:fill="auto"/>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Authority Required (STREAMLINED) listing for the treatment of multiple sclerosis in patients who meet certain criteria.</w:t>
            </w:r>
          </w:p>
          <w:p w:rsidR="00184373" w:rsidRPr="009147E0" w:rsidRDefault="00184373" w:rsidP="00263F7F">
            <w:pPr>
              <w:widowControl w:val="0"/>
              <w:spacing w:beforeAutospacing="1" w:afterAutospacing="1"/>
              <w:rPr>
                <w:rFonts w:ascii="Arial" w:hAnsi="Arial" w:cs="Arial"/>
              </w:rPr>
            </w:pPr>
          </w:p>
        </w:tc>
        <w:tc>
          <w:tcPr>
            <w:tcW w:w="7192" w:type="dxa"/>
          </w:tcPr>
          <w:p w:rsidR="00184373" w:rsidRPr="009147E0" w:rsidRDefault="00184373" w:rsidP="00EB7657">
            <w:pPr>
              <w:widowControl w:val="0"/>
              <w:rPr>
                <w:rFonts w:ascii="Arial" w:hAnsi="Arial" w:cs="Arial"/>
              </w:rPr>
            </w:pPr>
            <w:r w:rsidRPr="009147E0">
              <w:rPr>
                <w:rFonts w:ascii="Arial" w:hAnsi="Arial" w:cs="Arial"/>
              </w:rPr>
              <w:t>The PBAC recommended the listing of peginterferon beta-1a as an Authority Required listing on a cost-minimisation basis compared with interferon beta-1a. The PBAC noted that the listing of peginterferon beta-1a would offer an alternative first line treatment for pati</w:t>
            </w:r>
            <w:r>
              <w:rPr>
                <w:rFonts w:ascii="Arial" w:hAnsi="Arial" w:cs="Arial"/>
              </w:rPr>
              <w:t>ents with remitting, relapsing multiple sclerosis</w:t>
            </w:r>
            <w:r w:rsidRPr="009147E0">
              <w:rPr>
                <w:rFonts w:ascii="Arial" w:hAnsi="Arial" w:cs="Arial"/>
              </w:rPr>
              <w:t>.</w:t>
            </w:r>
          </w:p>
          <w:p w:rsidR="00184373" w:rsidRDefault="00184373" w:rsidP="00EB7657">
            <w:pPr>
              <w:widowControl w:val="0"/>
              <w:spacing w:beforeAutospacing="1" w:afterAutospacing="1"/>
              <w:jc w:val="both"/>
              <w:rPr>
                <w:rFonts w:ascii="Arial" w:hAnsi="Arial" w:cs="Arial"/>
              </w:rPr>
            </w:pPr>
          </w:p>
          <w:p w:rsidR="008F629F" w:rsidRPr="009147E0" w:rsidRDefault="008F629F" w:rsidP="00EB7657">
            <w:pPr>
              <w:widowControl w:val="0"/>
              <w:spacing w:beforeAutospacing="1" w:afterAutospacing="1"/>
              <w:jc w:val="both"/>
              <w:rPr>
                <w:rFonts w:ascii="Arial" w:hAnsi="Arial" w:cs="Arial"/>
              </w:rPr>
            </w:pPr>
            <w:r w:rsidRPr="008F629F">
              <w:rPr>
                <w:rFonts w:ascii="Arial" w:hAnsi="Arial" w:cs="Arial"/>
              </w:rPr>
              <w:t>The PBAC agreed that the equi-effective doses from the trials were peginterferon beta-1a 125 µg fortnightly to interferon beta-1a IM 30 µg once a week or interferon beta-1a SC 44 µg  three times per week.</w:t>
            </w:r>
          </w:p>
        </w:tc>
      </w:tr>
      <w:tr w:rsidR="00184373" w:rsidRPr="009147E0" w:rsidTr="00CB2D1B">
        <w:trPr>
          <w:cantSplit/>
          <w:trHeight w:val="430"/>
        </w:trPr>
        <w:tc>
          <w:tcPr>
            <w:tcW w:w="3118" w:type="dxa"/>
            <w:shd w:val="clear" w:color="auto" w:fill="auto"/>
            <w:tcMar>
              <w:top w:w="28" w:type="dxa"/>
              <w:bottom w:w="28" w:type="dxa"/>
            </w:tcMar>
          </w:tcPr>
          <w:p w:rsidR="00184373" w:rsidRDefault="00184373" w:rsidP="00CD2D13">
            <w:pPr>
              <w:pStyle w:val="BodyText"/>
              <w:spacing w:after="0" w:line="240" w:lineRule="auto"/>
              <w:rPr>
                <w:rFonts w:cs="Arial"/>
                <w:b/>
                <w:szCs w:val="20"/>
              </w:rPr>
            </w:pPr>
            <w:r w:rsidRPr="00263F7F">
              <w:rPr>
                <w:rFonts w:cs="Arial"/>
                <w:b/>
                <w:szCs w:val="20"/>
              </w:rPr>
              <w:lastRenderedPageBreak/>
              <w:t>PERTUZUMAB</w:t>
            </w:r>
          </w:p>
          <w:p w:rsidR="00184373" w:rsidRPr="009147E0" w:rsidRDefault="00184373" w:rsidP="00CD2D13">
            <w:pPr>
              <w:pStyle w:val="BodyText"/>
              <w:spacing w:after="0" w:line="240" w:lineRule="auto"/>
              <w:rPr>
                <w:rFonts w:cs="Arial"/>
                <w:szCs w:val="20"/>
              </w:rPr>
            </w:pPr>
            <w:r w:rsidRPr="009147E0">
              <w:rPr>
                <w:rFonts w:cs="Arial"/>
                <w:szCs w:val="20"/>
              </w:rPr>
              <w:t xml:space="preserve">420 mg/14 mL injection, 1 x 14 mL vial; </w:t>
            </w:r>
          </w:p>
          <w:p w:rsidR="00184373" w:rsidRPr="009147E0" w:rsidRDefault="00184373" w:rsidP="00CD2D13">
            <w:pPr>
              <w:pStyle w:val="BodyText"/>
              <w:spacing w:after="0" w:line="240" w:lineRule="auto"/>
              <w:rPr>
                <w:rFonts w:cs="Arial"/>
                <w:szCs w:val="20"/>
              </w:rPr>
            </w:pPr>
          </w:p>
          <w:p w:rsidR="00184373" w:rsidRPr="009147E0" w:rsidRDefault="00184373" w:rsidP="00CD2D13">
            <w:pPr>
              <w:pStyle w:val="BodyText"/>
              <w:spacing w:after="0" w:line="240" w:lineRule="auto"/>
              <w:rPr>
                <w:rFonts w:cs="Arial"/>
                <w:szCs w:val="20"/>
              </w:rPr>
            </w:pPr>
            <w:r w:rsidRPr="009147E0">
              <w:rPr>
                <w:rFonts w:cs="Arial"/>
                <w:szCs w:val="20"/>
              </w:rPr>
              <w:t>Perjeta</w:t>
            </w:r>
            <w:r w:rsidRPr="009147E0">
              <w:rPr>
                <w:rFonts w:cs="Arial"/>
                <w:szCs w:val="20"/>
                <w:vertAlign w:val="superscript"/>
              </w:rPr>
              <w:t>®</w:t>
            </w:r>
            <w:r w:rsidRPr="009147E0">
              <w:rPr>
                <w:rFonts w:cs="Arial"/>
                <w:szCs w:val="20"/>
              </w:rPr>
              <w:t xml:space="preserve"> </w:t>
            </w:r>
          </w:p>
          <w:p w:rsidR="00184373" w:rsidRPr="009147E0" w:rsidRDefault="00184373" w:rsidP="00CD2D13">
            <w:pPr>
              <w:pStyle w:val="BodyText"/>
              <w:spacing w:after="0" w:line="240" w:lineRule="auto"/>
              <w:rPr>
                <w:rFonts w:cs="Arial"/>
                <w:szCs w:val="20"/>
              </w:rPr>
            </w:pPr>
          </w:p>
          <w:p w:rsidR="00184373" w:rsidRPr="009147E0" w:rsidRDefault="00184373" w:rsidP="00CD2D13">
            <w:pPr>
              <w:pStyle w:val="BodyText"/>
              <w:spacing w:after="0" w:line="240" w:lineRule="auto"/>
              <w:rPr>
                <w:rFonts w:cs="Arial"/>
                <w:szCs w:val="20"/>
              </w:rPr>
            </w:pPr>
            <w:r w:rsidRPr="009147E0">
              <w:rPr>
                <w:rFonts w:cs="Arial"/>
                <w:szCs w:val="20"/>
              </w:rPr>
              <w:t>Roche Products Pty Ltd.</w:t>
            </w:r>
          </w:p>
          <w:p w:rsidR="00184373" w:rsidRPr="009147E0" w:rsidRDefault="00184373" w:rsidP="00CD2D13">
            <w:pPr>
              <w:rPr>
                <w:rFonts w:ascii="Arial" w:hAnsi="Arial" w:cs="Arial"/>
              </w:rPr>
            </w:pPr>
          </w:p>
          <w:p w:rsidR="00184373" w:rsidRPr="009147E0" w:rsidRDefault="00184373" w:rsidP="00CD2D13">
            <w:pPr>
              <w:pStyle w:val="BodyText"/>
              <w:spacing w:after="0" w:line="240" w:lineRule="auto"/>
              <w:rPr>
                <w:rFonts w:cs="Arial"/>
                <w:szCs w:val="20"/>
              </w:rPr>
            </w:pPr>
            <w:r w:rsidRPr="009147E0">
              <w:rPr>
                <w:rFonts w:cs="Arial"/>
                <w:szCs w:val="20"/>
              </w:rPr>
              <w:t>New listing</w:t>
            </w:r>
          </w:p>
          <w:p w:rsidR="00184373" w:rsidRPr="009147E0" w:rsidRDefault="00184373" w:rsidP="00CD2D13">
            <w:pPr>
              <w:pStyle w:val="BodyText"/>
              <w:spacing w:after="0" w:line="240" w:lineRule="auto"/>
              <w:rPr>
                <w:rFonts w:cs="Arial"/>
                <w:szCs w:val="20"/>
              </w:rPr>
            </w:pPr>
          </w:p>
          <w:p w:rsidR="00184373" w:rsidRPr="009147E0" w:rsidRDefault="00184373" w:rsidP="00CD2D13">
            <w:pPr>
              <w:pStyle w:val="BodyText"/>
              <w:spacing w:after="0" w:line="240" w:lineRule="auto"/>
              <w:rPr>
                <w:rFonts w:cs="Arial"/>
                <w:szCs w:val="20"/>
              </w:rPr>
            </w:pPr>
            <w:r w:rsidRPr="009147E0">
              <w:rPr>
                <w:rFonts w:cs="Arial"/>
                <w:szCs w:val="20"/>
              </w:rPr>
              <w:t>(Major submission)</w:t>
            </w:r>
          </w:p>
          <w:p w:rsidR="00184373" w:rsidRPr="009147E0" w:rsidRDefault="00184373" w:rsidP="00CD2D13">
            <w:pPr>
              <w:pStyle w:val="BodyText"/>
              <w:spacing w:after="0" w:line="240" w:lineRule="auto"/>
              <w:rPr>
                <w:rFonts w:cs="Arial"/>
                <w:szCs w:val="20"/>
              </w:rPr>
            </w:pPr>
          </w:p>
        </w:tc>
        <w:tc>
          <w:tcPr>
            <w:tcW w:w="2262" w:type="dxa"/>
            <w:shd w:val="clear" w:color="auto" w:fill="auto"/>
            <w:tcMar>
              <w:top w:w="28" w:type="dxa"/>
              <w:bottom w:w="28" w:type="dxa"/>
            </w:tcMar>
          </w:tcPr>
          <w:p w:rsidR="00184373" w:rsidRPr="009147E0" w:rsidRDefault="00184373" w:rsidP="00263F7F">
            <w:pPr>
              <w:widowControl w:val="0"/>
              <w:rPr>
                <w:rFonts w:ascii="Arial" w:hAnsi="Arial" w:cs="Arial"/>
              </w:rPr>
            </w:pPr>
            <w:r>
              <w:rPr>
                <w:rFonts w:ascii="Arial" w:hAnsi="Arial" w:cs="Arial"/>
              </w:rPr>
              <w:t>HER2+</w:t>
            </w:r>
            <w:r w:rsidRPr="009147E0">
              <w:rPr>
                <w:rFonts w:ascii="Arial" w:hAnsi="Arial" w:cs="Arial"/>
              </w:rPr>
              <w:t>metastatic breast cancer</w:t>
            </w:r>
          </w:p>
        </w:tc>
        <w:tc>
          <w:tcPr>
            <w:tcW w:w="2987" w:type="dxa"/>
            <w:shd w:val="clear" w:color="auto" w:fill="auto"/>
            <w:tcMar>
              <w:top w:w="28" w:type="dxa"/>
              <w:bottom w:w="28" w:type="dxa"/>
            </w:tcMar>
          </w:tcPr>
          <w:p w:rsidR="00184373" w:rsidRPr="009147E0" w:rsidRDefault="00184373" w:rsidP="00263F7F">
            <w:pPr>
              <w:pStyle w:val="ListParagraph"/>
              <w:ind w:left="0"/>
              <w:rPr>
                <w:rFonts w:ascii="Arial" w:hAnsi="Arial" w:cs="Arial"/>
                <w:sz w:val="20"/>
                <w:szCs w:val="20"/>
              </w:rPr>
            </w:pPr>
            <w:r w:rsidRPr="009147E0">
              <w:rPr>
                <w:rFonts w:ascii="Arial" w:hAnsi="Arial" w:cs="Arial"/>
                <w:sz w:val="20"/>
                <w:szCs w:val="20"/>
              </w:rPr>
              <w:t>Section 100 listing for pertuzumab in combination with trastuzumab and docetaxel for treatment of a patient with HER2+ metastatic breast cancer who have not received prior anti-HER2 therapy or chemotherapy for their metastatic disease and have a performance status of 0 – 1.</w:t>
            </w:r>
          </w:p>
        </w:tc>
        <w:tc>
          <w:tcPr>
            <w:tcW w:w="7192" w:type="dxa"/>
          </w:tcPr>
          <w:p w:rsidR="00184373" w:rsidRPr="009147E0" w:rsidRDefault="00184373" w:rsidP="00CD2D13">
            <w:pPr>
              <w:rPr>
                <w:rFonts w:ascii="Arial" w:hAnsi="Arial" w:cs="Arial"/>
              </w:rPr>
            </w:pPr>
            <w:r w:rsidRPr="009147E0">
              <w:rPr>
                <w:rFonts w:ascii="Arial" w:hAnsi="Arial" w:cs="Arial"/>
              </w:rPr>
              <w:t>The PBAC recommended the listing of pertuzumab under Section 100 (</w:t>
            </w:r>
            <w:r w:rsidRPr="009147E0">
              <w:rPr>
                <w:rFonts w:ascii="Arial" w:hAnsi="Arial" w:cs="Arial"/>
                <w:color w:val="222222"/>
              </w:rPr>
              <w:t>Efficient Funding of Chemotherapy Drugs Program)</w:t>
            </w:r>
            <w:r w:rsidRPr="009147E0">
              <w:rPr>
                <w:rFonts w:ascii="Arial" w:hAnsi="Arial" w:cs="Arial"/>
              </w:rPr>
              <w:t xml:space="preserve"> for the treatment of HER2 positive metastatic breast cancer in combination with trastuzumab and a taxane in the first-line setting</w:t>
            </w:r>
            <w:r w:rsidR="007C7F3A">
              <w:rPr>
                <w:rFonts w:ascii="Arial" w:hAnsi="Arial" w:cs="Arial"/>
              </w:rPr>
              <w:t xml:space="preserve"> with one course of pertuzumab to be subsidised per patient lifetime</w:t>
            </w:r>
            <w:r w:rsidRPr="009147E0">
              <w:rPr>
                <w:rFonts w:ascii="Arial" w:hAnsi="Arial" w:cs="Arial"/>
              </w:rPr>
              <w:t xml:space="preserve">. The PBAC noted substantial clinical benefit of pertuzumab in combination with trastuzumab and docetaxel compared to trastuzumab and docetaxel alone in the CLEOPATRA trial, noting a 16-month gain in median overall survival and a 6-month gain in median progression free survival. </w:t>
            </w:r>
          </w:p>
          <w:p w:rsidR="00184373" w:rsidRDefault="00184373" w:rsidP="00CD2D13">
            <w:pPr>
              <w:rPr>
                <w:rFonts w:ascii="Arial" w:hAnsi="Arial" w:cs="Arial"/>
              </w:rPr>
            </w:pPr>
          </w:p>
          <w:p w:rsidR="007C7F3A" w:rsidRDefault="007C7F3A" w:rsidP="00CD2D13">
            <w:pPr>
              <w:rPr>
                <w:rFonts w:ascii="Arial" w:hAnsi="Arial" w:cs="Arial"/>
              </w:rPr>
            </w:pPr>
            <w:r w:rsidRPr="007C7F3A">
              <w:rPr>
                <w:rFonts w:ascii="Arial" w:hAnsi="Arial" w:cs="Arial"/>
              </w:rPr>
              <w:t>The PBAC noted the stakeholder meeting following the deferral of pertuzumab and TDM-1. The meeting clarified the clinician and patient view on current and future treatment of mBC in Australia.</w:t>
            </w:r>
          </w:p>
          <w:p w:rsidR="006B212D" w:rsidRDefault="006B212D" w:rsidP="00CD2D13">
            <w:pPr>
              <w:rPr>
                <w:rFonts w:ascii="Arial" w:hAnsi="Arial" w:cs="Arial"/>
              </w:rPr>
            </w:pPr>
          </w:p>
          <w:p w:rsidR="006B212D" w:rsidRDefault="006B212D" w:rsidP="00CD2D13">
            <w:pPr>
              <w:rPr>
                <w:rFonts w:ascii="Arial" w:hAnsi="Arial" w:cs="Arial"/>
              </w:rPr>
            </w:pPr>
            <w:r w:rsidRPr="00841542">
              <w:rPr>
                <w:rFonts w:ascii="Arial" w:hAnsi="Arial" w:cs="Arial"/>
              </w:rPr>
              <w:t>The PBAC noted that its recommended restrictions for both pertuzumab and trastuzumab are complex, with one course of pertuzumab to be subsidised per patient lifetime. It was noted that the restrictions should reflect current evidence and legitimise clinical practice by allowing use of trastuzumab beyond progression and a range of partner chemotherapy options, with the exception of nab-paclitaxel. The PBAC noted that the restrictions should ensure that patients currently accessing trastuzumab on the Herceptin program would continue to have access trastuzumab through the PBS. The finalised restrictions for trastuzumab and pertuzumab would also have flow-on consequences for the lapatinib restriction.</w:t>
            </w:r>
          </w:p>
          <w:p w:rsidR="007C7F3A" w:rsidRPr="009147E0" w:rsidRDefault="007C7F3A" w:rsidP="00CD2D13">
            <w:pPr>
              <w:rPr>
                <w:rFonts w:ascii="Arial" w:hAnsi="Arial" w:cs="Arial"/>
              </w:rPr>
            </w:pPr>
          </w:p>
        </w:tc>
      </w:tr>
      <w:tr w:rsidR="00184373" w:rsidRPr="009147E0" w:rsidTr="00CB2D1B">
        <w:trPr>
          <w:cantSplit/>
          <w:trHeight w:val="430"/>
        </w:trPr>
        <w:tc>
          <w:tcPr>
            <w:tcW w:w="3118" w:type="dxa"/>
            <w:shd w:val="clear" w:color="auto" w:fill="auto"/>
            <w:tcMar>
              <w:top w:w="28" w:type="dxa"/>
              <w:bottom w:w="28" w:type="dxa"/>
            </w:tcMar>
          </w:tcPr>
          <w:p w:rsidR="00184373" w:rsidRPr="009147E0" w:rsidRDefault="00184373" w:rsidP="00EB7657">
            <w:pPr>
              <w:widowControl w:val="0"/>
              <w:rPr>
                <w:rFonts w:ascii="Arial" w:hAnsi="Arial" w:cs="Arial"/>
              </w:rPr>
            </w:pPr>
            <w:r w:rsidRPr="00263F7F">
              <w:rPr>
                <w:rFonts w:ascii="Arial" w:hAnsi="Arial" w:cs="Arial"/>
                <w:b/>
              </w:rPr>
              <w:t>POMALIDOMIDE</w:t>
            </w:r>
          </w:p>
          <w:p w:rsidR="00184373" w:rsidRPr="009147E0" w:rsidRDefault="00184373" w:rsidP="00EB7657">
            <w:pPr>
              <w:widowControl w:val="0"/>
              <w:rPr>
                <w:rFonts w:ascii="Arial" w:hAnsi="Arial" w:cs="Arial"/>
              </w:rPr>
            </w:pPr>
            <w:r>
              <w:rPr>
                <w:rFonts w:ascii="Arial" w:hAnsi="Arial" w:cs="Arial"/>
              </w:rPr>
              <w:t>capsules, 3 mg and 4 mg;</w:t>
            </w:r>
          </w:p>
          <w:p w:rsidR="00184373" w:rsidRPr="009147E0" w:rsidRDefault="00184373" w:rsidP="00EB7657">
            <w:pPr>
              <w:widowControl w:val="0"/>
              <w:rPr>
                <w:rFonts w:ascii="Arial" w:hAnsi="Arial" w:cs="Arial"/>
              </w:rPr>
            </w:pPr>
            <w:r w:rsidRPr="009147E0">
              <w:rPr>
                <w:rFonts w:ascii="Arial" w:hAnsi="Arial" w:cs="Arial"/>
              </w:rPr>
              <w:t> </w:t>
            </w:r>
          </w:p>
          <w:p w:rsidR="00184373" w:rsidRPr="009147E0" w:rsidRDefault="00184373" w:rsidP="00EB7657">
            <w:pPr>
              <w:widowControl w:val="0"/>
              <w:rPr>
                <w:rFonts w:ascii="Arial" w:hAnsi="Arial" w:cs="Arial"/>
              </w:rPr>
            </w:pPr>
            <w:r w:rsidRPr="009147E0">
              <w:rPr>
                <w:rFonts w:ascii="Arial" w:hAnsi="Arial" w:cs="Arial"/>
              </w:rPr>
              <w:t>Pomalyst®</w:t>
            </w:r>
          </w:p>
          <w:p w:rsidR="00184373" w:rsidRPr="009147E0" w:rsidRDefault="00184373" w:rsidP="00EB7657">
            <w:pPr>
              <w:widowControl w:val="0"/>
              <w:rPr>
                <w:rFonts w:ascii="Arial" w:hAnsi="Arial" w:cs="Arial"/>
              </w:rPr>
            </w:pPr>
            <w:r w:rsidRPr="009147E0">
              <w:rPr>
                <w:rFonts w:ascii="Arial" w:hAnsi="Arial" w:cs="Arial"/>
              </w:rPr>
              <w:t> </w:t>
            </w:r>
          </w:p>
          <w:p w:rsidR="00184373" w:rsidRPr="009147E0" w:rsidRDefault="00184373" w:rsidP="00EB7657">
            <w:pPr>
              <w:widowControl w:val="0"/>
              <w:rPr>
                <w:rFonts w:ascii="Arial" w:hAnsi="Arial" w:cs="Arial"/>
              </w:rPr>
            </w:pPr>
            <w:r w:rsidRPr="009147E0">
              <w:rPr>
                <w:rFonts w:ascii="Arial" w:hAnsi="Arial" w:cs="Arial"/>
              </w:rPr>
              <w:t>Celgene Pty Ltd</w:t>
            </w:r>
          </w:p>
          <w:p w:rsidR="00184373" w:rsidRPr="009147E0" w:rsidRDefault="00184373" w:rsidP="00EB7657">
            <w:pPr>
              <w:widowControl w:val="0"/>
              <w:rPr>
                <w:rFonts w:ascii="Arial" w:hAnsi="Arial" w:cs="Arial"/>
              </w:rPr>
            </w:pPr>
          </w:p>
          <w:p w:rsidR="00184373" w:rsidRPr="009147E0" w:rsidRDefault="00184373" w:rsidP="00EB7657">
            <w:pPr>
              <w:widowControl w:val="0"/>
              <w:rPr>
                <w:rFonts w:ascii="Arial" w:hAnsi="Arial" w:cs="Arial"/>
              </w:rPr>
            </w:pPr>
            <w:r w:rsidRPr="009147E0">
              <w:rPr>
                <w:rFonts w:ascii="Arial" w:hAnsi="Arial" w:cs="Arial"/>
              </w:rPr>
              <w:t>New listing</w:t>
            </w:r>
          </w:p>
          <w:p w:rsidR="00184373" w:rsidRPr="009147E0" w:rsidRDefault="00184373" w:rsidP="00EB7657">
            <w:pPr>
              <w:widowControl w:val="0"/>
              <w:rPr>
                <w:rFonts w:ascii="Arial" w:hAnsi="Arial" w:cs="Arial"/>
              </w:rPr>
            </w:pPr>
          </w:p>
          <w:p w:rsidR="00184373" w:rsidRPr="009147E0" w:rsidRDefault="00184373" w:rsidP="00EB7657">
            <w:pPr>
              <w:widowControl w:val="0"/>
              <w:rPr>
                <w:rFonts w:ascii="Arial" w:hAnsi="Arial" w:cs="Arial"/>
              </w:rPr>
            </w:pPr>
            <w:r w:rsidRPr="009147E0">
              <w:rPr>
                <w:rFonts w:ascii="Arial" w:hAnsi="Arial" w:cs="Arial"/>
              </w:rPr>
              <w:t>(Minor submission)</w:t>
            </w:r>
          </w:p>
          <w:p w:rsidR="00184373" w:rsidRPr="009147E0" w:rsidRDefault="00184373" w:rsidP="00EB7657">
            <w:pPr>
              <w:widowControl w:val="0"/>
              <w:rPr>
                <w:rFonts w:ascii="Arial" w:hAnsi="Arial" w:cs="Arial"/>
              </w:rPr>
            </w:pPr>
          </w:p>
        </w:tc>
        <w:tc>
          <w:tcPr>
            <w:tcW w:w="2262" w:type="dxa"/>
            <w:shd w:val="clear" w:color="auto" w:fill="auto"/>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Myeloma</w:t>
            </w:r>
          </w:p>
          <w:p w:rsidR="00184373" w:rsidRPr="009147E0" w:rsidRDefault="00184373" w:rsidP="00263F7F">
            <w:pPr>
              <w:widowControl w:val="0"/>
              <w:rPr>
                <w:rFonts w:ascii="Arial" w:hAnsi="Arial" w:cs="Arial"/>
              </w:rPr>
            </w:pPr>
          </w:p>
        </w:tc>
        <w:tc>
          <w:tcPr>
            <w:tcW w:w="2987" w:type="dxa"/>
            <w:shd w:val="clear" w:color="auto" w:fill="auto"/>
            <w:tcMar>
              <w:top w:w="28" w:type="dxa"/>
              <w:bottom w:w="28" w:type="dxa"/>
            </w:tcMar>
          </w:tcPr>
          <w:p w:rsidR="00184373" w:rsidRPr="009147E0" w:rsidRDefault="00184373" w:rsidP="007048F1">
            <w:pPr>
              <w:widowControl w:val="0"/>
              <w:spacing w:beforeAutospacing="1" w:afterAutospacing="1"/>
              <w:rPr>
                <w:rFonts w:ascii="Arial" w:hAnsi="Arial" w:cs="Arial"/>
              </w:rPr>
            </w:pPr>
            <w:r w:rsidRPr="009147E0">
              <w:rPr>
                <w:rFonts w:ascii="Arial" w:hAnsi="Arial" w:cs="Arial"/>
              </w:rPr>
              <w:t>To propose a re-specified base case and revised inputs to the economic model following the July 2014 PBAC consideration for the treatment in combination with dexamethasone, of patients with relapsed and/or refractory multiple myeloma who have received and failed prior treatment with both lenali</w:t>
            </w:r>
            <w:r>
              <w:rPr>
                <w:rFonts w:ascii="Arial" w:hAnsi="Arial" w:cs="Arial"/>
              </w:rPr>
              <w:t>d</w:t>
            </w:r>
            <w:r w:rsidRPr="009147E0">
              <w:rPr>
                <w:rFonts w:ascii="Arial" w:hAnsi="Arial" w:cs="Arial"/>
              </w:rPr>
              <w:t>omide and bortezomib.</w:t>
            </w:r>
          </w:p>
        </w:tc>
        <w:tc>
          <w:tcPr>
            <w:tcW w:w="7192" w:type="dxa"/>
          </w:tcPr>
          <w:p w:rsidR="00184373" w:rsidRPr="009147E0" w:rsidRDefault="00184373" w:rsidP="00EB7657">
            <w:pPr>
              <w:widowControl w:val="0"/>
              <w:jc w:val="both"/>
              <w:rPr>
                <w:rFonts w:ascii="Arial" w:hAnsi="Arial" w:cs="Arial"/>
              </w:rPr>
            </w:pPr>
            <w:r w:rsidRPr="009147E0">
              <w:rPr>
                <w:rFonts w:ascii="Arial" w:hAnsi="Arial" w:cs="Arial"/>
              </w:rPr>
              <w:t>The PBAC recommended the listing of pomalidomide for the treatment of multiple myeloma under the Section 100 Highly Specialised Drugs Program (HSDP).</w:t>
            </w:r>
          </w:p>
          <w:p w:rsidR="00184373" w:rsidRPr="009147E0" w:rsidRDefault="00184373" w:rsidP="00EB7657">
            <w:pPr>
              <w:widowControl w:val="0"/>
              <w:jc w:val="both"/>
              <w:rPr>
                <w:rFonts w:ascii="Arial" w:hAnsi="Arial" w:cs="Arial"/>
              </w:rPr>
            </w:pPr>
          </w:p>
          <w:p w:rsidR="00184373" w:rsidRPr="009147E0" w:rsidRDefault="00184373" w:rsidP="00EB7657">
            <w:pPr>
              <w:widowControl w:val="0"/>
              <w:jc w:val="both"/>
              <w:rPr>
                <w:rFonts w:ascii="Arial" w:hAnsi="Arial" w:cs="Arial"/>
              </w:rPr>
            </w:pPr>
            <w:r w:rsidRPr="009147E0">
              <w:rPr>
                <w:rFonts w:ascii="Arial" w:hAnsi="Arial" w:cs="Arial"/>
              </w:rPr>
              <w:t xml:space="preserve">The PBAC reiterated its view from July 2014 that there may be a clinical place for the drug in patients who have failed bortezomib and lenalidomide. </w:t>
            </w:r>
          </w:p>
          <w:p w:rsidR="00184373" w:rsidRPr="009147E0" w:rsidRDefault="00184373" w:rsidP="00EB7657">
            <w:pPr>
              <w:widowControl w:val="0"/>
              <w:jc w:val="both"/>
              <w:rPr>
                <w:rFonts w:ascii="Arial" w:hAnsi="Arial" w:cs="Arial"/>
              </w:rPr>
            </w:pPr>
          </w:p>
          <w:p w:rsidR="00184373" w:rsidRPr="009147E0" w:rsidRDefault="00184373" w:rsidP="00EB7657">
            <w:pPr>
              <w:widowControl w:val="0"/>
              <w:jc w:val="both"/>
              <w:rPr>
                <w:rFonts w:ascii="Arial" w:hAnsi="Arial" w:cs="Arial"/>
              </w:rPr>
            </w:pPr>
            <w:r w:rsidRPr="009147E0">
              <w:rPr>
                <w:rFonts w:ascii="Arial" w:hAnsi="Arial" w:cs="Arial"/>
              </w:rPr>
              <w:t>The PBAC considered that pomalidomide was not acceptably cost-effective at the price proposed. The PBAC concluded that pomalidomide would be cost-effective at a reduced price that produces an ICER, derived from the base case, that is lower than what was presented in the resubmission.</w:t>
            </w:r>
          </w:p>
          <w:p w:rsidR="00184373" w:rsidRPr="009147E0" w:rsidRDefault="00184373" w:rsidP="00EB7657">
            <w:pPr>
              <w:widowControl w:val="0"/>
              <w:spacing w:beforeAutospacing="1" w:afterAutospacing="1"/>
              <w:jc w:val="both"/>
              <w:rPr>
                <w:rFonts w:ascii="Arial" w:hAnsi="Arial" w:cs="Arial"/>
              </w:rPr>
            </w:pPr>
          </w:p>
        </w:tc>
      </w:tr>
      <w:tr w:rsidR="00184373" w:rsidRPr="009147E0" w:rsidTr="00CB2D1B">
        <w:trPr>
          <w:cantSplit/>
          <w:trHeight w:val="430"/>
        </w:trPr>
        <w:tc>
          <w:tcPr>
            <w:tcW w:w="3118" w:type="dxa"/>
            <w:tcMar>
              <w:top w:w="28" w:type="dxa"/>
              <w:bottom w:w="28" w:type="dxa"/>
            </w:tcMar>
          </w:tcPr>
          <w:p w:rsidR="00184373" w:rsidRPr="007048F1" w:rsidRDefault="00184373" w:rsidP="00EB7657">
            <w:pPr>
              <w:rPr>
                <w:rStyle w:val="st"/>
                <w:rFonts w:ascii="Arial" w:hAnsi="Arial" w:cs="Arial"/>
                <w:b/>
              </w:rPr>
            </w:pPr>
            <w:r w:rsidRPr="007048F1">
              <w:rPr>
                <w:rStyle w:val="st"/>
                <w:rFonts w:ascii="Arial" w:hAnsi="Arial" w:cs="Arial"/>
                <w:b/>
              </w:rPr>
              <w:lastRenderedPageBreak/>
              <w:t>RANIBIZUMAB</w:t>
            </w:r>
          </w:p>
          <w:p w:rsidR="00184373" w:rsidRPr="009147E0" w:rsidRDefault="00184373" w:rsidP="00EB7657">
            <w:pPr>
              <w:rPr>
                <w:rStyle w:val="st"/>
                <w:rFonts w:ascii="Arial" w:hAnsi="Arial" w:cs="Arial"/>
              </w:rPr>
            </w:pPr>
            <w:r w:rsidRPr="009147E0">
              <w:rPr>
                <w:rStyle w:val="st"/>
                <w:rFonts w:ascii="Arial" w:hAnsi="Arial" w:cs="Arial"/>
              </w:rPr>
              <w:t>2.3 mg/0.23 mL, 1 x 0.23 mL vial,</w:t>
            </w:r>
          </w:p>
          <w:p w:rsidR="00184373" w:rsidRPr="009147E0" w:rsidRDefault="00184373" w:rsidP="00EB7657">
            <w:pPr>
              <w:rPr>
                <w:rStyle w:val="st"/>
                <w:rFonts w:ascii="Arial" w:hAnsi="Arial" w:cs="Arial"/>
              </w:rPr>
            </w:pPr>
            <w:r w:rsidRPr="009147E0">
              <w:rPr>
                <w:rStyle w:val="st"/>
                <w:rFonts w:ascii="Arial" w:hAnsi="Arial" w:cs="Arial"/>
              </w:rPr>
              <w:t>1.65 mg/0.165 mL, pre-filled syringe,</w:t>
            </w:r>
          </w:p>
          <w:p w:rsidR="00184373" w:rsidRPr="009147E0" w:rsidRDefault="00184373" w:rsidP="00EB7657">
            <w:pPr>
              <w:rPr>
                <w:rStyle w:val="st"/>
                <w:rFonts w:ascii="Arial" w:hAnsi="Arial" w:cs="Arial"/>
              </w:rPr>
            </w:pPr>
          </w:p>
          <w:p w:rsidR="00184373" w:rsidRPr="009147E0" w:rsidRDefault="00184373" w:rsidP="00EB7657">
            <w:pPr>
              <w:rPr>
                <w:rStyle w:val="st"/>
                <w:rFonts w:ascii="Arial" w:hAnsi="Arial" w:cs="Arial"/>
              </w:rPr>
            </w:pPr>
            <w:r w:rsidRPr="009147E0">
              <w:rPr>
                <w:rStyle w:val="st"/>
                <w:rFonts w:ascii="Arial" w:hAnsi="Arial" w:cs="Arial"/>
              </w:rPr>
              <w:t>Lucentis®</w:t>
            </w:r>
          </w:p>
          <w:p w:rsidR="00184373" w:rsidRPr="009147E0" w:rsidRDefault="00184373" w:rsidP="00EB7657">
            <w:pPr>
              <w:rPr>
                <w:rStyle w:val="st"/>
                <w:rFonts w:ascii="Arial" w:hAnsi="Arial" w:cs="Arial"/>
              </w:rPr>
            </w:pPr>
          </w:p>
          <w:p w:rsidR="00184373" w:rsidRPr="009147E0" w:rsidRDefault="00184373" w:rsidP="00EB7657">
            <w:pPr>
              <w:rPr>
                <w:rStyle w:val="st"/>
                <w:rFonts w:ascii="Arial" w:hAnsi="Arial" w:cs="Arial"/>
              </w:rPr>
            </w:pPr>
            <w:r w:rsidRPr="009147E0">
              <w:rPr>
                <w:rStyle w:val="st"/>
                <w:rFonts w:ascii="Arial" w:hAnsi="Arial" w:cs="Arial"/>
              </w:rPr>
              <w:t>Novartis Pharmaceuticals Australia Pty Ltd</w:t>
            </w:r>
          </w:p>
          <w:p w:rsidR="00184373" w:rsidRPr="009147E0" w:rsidRDefault="00184373" w:rsidP="00EB7657">
            <w:pPr>
              <w:rPr>
                <w:rStyle w:val="st"/>
                <w:rFonts w:ascii="Arial" w:hAnsi="Arial" w:cs="Arial"/>
              </w:rPr>
            </w:pPr>
          </w:p>
          <w:p w:rsidR="00184373" w:rsidRPr="009147E0" w:rsidRDefault="00184373" w:rsidP="00EB7657">
            <w:pPr>
              <w:rPr>
                <w:rStyle w:val="st"/>
                <w:rFonts w:ascii="Arial" w:hAnsi="Arial" w:cs="Arial"/>
              </w:rPr>
            </w:pPr>
            <w:r w:rsidRPr="009147E0">
              <w:rPr>
                <w:rStyle w:val="st"/>
                <w:rFonts w:ascii="Arial" w:hAnsi="Arial" w:cs="Arial"/>
              </w:rPr>
              <w:t>Change to listing</w:t>
            </w:r>
          </w:p>
          <w:p w:rsidR="00184373" w:rsidRPr="009147E0" w:rsidRDefault="00184373" w:rsidP="00EB7657">
            <w:pPr>
              <w:rPr>
                <w:rStyle w:val="st"/>
                <w:rFonts w:ascii="Arial" w:hAnsi="Arial" w:cs="Arial"/>
              </w:rPr>
            </w:pPr>
          </w:p>
          <w:p w:rsidR="00184373" w:rsidRPr="009147E0" w:rsidRDefault="00184373" w:rsidP="00EB7657">
            <w:pPr>
              <w:rPr>
                <w:rStyle w:val="st"/>
                <w:rFonts w:ascii="Arial" w:hAnsi="Arial" w:cs="Arial"/>
              </w:rPr>
            </w:pPr>
            <w:r w:rsidRPr="009147E0">
              <w:rPr>
                <w:rStyle w:val="st"/>
                <w:rFonts w:ascii="Arial" w:hAnsi="Arial" w:cs="Arial"/>
              </w:rPr>
              <w:t>(Minor submission)</w:t>
            </w:r>
          </w:p>
          <w:p w:rsidR="00184373" w:rsidRPr="009147E0" w:rsidRDefault="00184373" w:rsidP="00EB7657">
            <w:pPr>
              <w:rPr>
                <w:rStyle w:val="st"/>
                <w:rFonts w:ascii="Arial" w:hAnsi="Arial" w:cs="Arial"/>
              </w:rPr>
            </w:pPr>
          </w:p>
        </w:tc>
        <w:tc>
          <w:tcPr>
            <w:tcW w:w="2262" w:type="dxa"/>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Neovascular age-related macular degeneration</w:t>
            </w:r>
          </w:p>
        </w:tc>
        <w:tc>
          <w:tcPr>
            <w:tcW w:w="2987" w:type="dxa"/>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To request ranibizumab pre-filled syringe and vial presentations be “a” flagged.</w:t>
            </w:r>
          </w:p>
        </w:tc>
        <w:tc>
          <w:tcPr>
            <w:tcW w:w="7192" w:type="dxa"/>
          </w:tcPr>
          <w:p w:rsidR="00184373" w:rsidRPr="009147E0" w:rsidRDefault="00184373" w:rsidP="00EB7657">
            <w:pPr>
              <w:widowControl w:val="0"/>
              <w:jc w:val="both"/>
              <w:rPr>
                <w:rFonts w:ascii="Arial" w:hAnsi="Arial" w:cs="Arial"/>
              </w:rPr>
            </w:pPr>
            <w:r w:rsidRPr="009147E0">
              <w:rPr>
                <w:rFonts w:ascii="Arial" w:hAnsi="Arial" w:cs="Arial"/>
              </w:rPr>
              <w:t>The PBAC advised that ranibizumab 2.3 mg/0.23 mL solution for injection and ranibizumab 1.65 mg/0.165 mL pre-filled syringe for injection could be considered equivalent for the purposes of substitution at the point of dispensing.</w:t>
            </w:r>
          </w:p>
        </w:tc>
      </w:tr>
      <w:tr w:rsidR="00184373" w:rsidRPr="009147E0" w:rsidTr="00CB2D1B">
        <w:trPr>
          <w:cantSplit/>
          <w:trHeight w:val="430"/>
        </w:trPr>
        <w:tc>
          <w:tcPr>
            <w:tcW w:w="3118" w:type="dxa"/>
            <w:shd w:val="clear" w:color="auto" w:fill="auto"/>
            <w:tcMar>
              <w:top w:w="28" w:type="dxa"/>
              <w:bottom w:w="28" w:type="dxa"/>
            </w:tcMar>
          </w:tcPr>
          <w:p w:rsidR="00184373" w:rsidRPr="007048F1" w:rsidRDefault="00184373" w:rsidP="00EB7657">
            <w:pPr>
              <w:rPr>
                <w:rFonts w:ascii="Arial" w:hAnsi="Arial" w:cs="Arial"/>
                <w:b/>
              </w:rPr>
            </w:pPr>
            <w:r w:rsidRPr="007048F1">
              <w:rPr>
                <w:rFonts w:ascii="Arial" w:hAnsi="Arial" w:cs="Arial"/>
                <w:b/>
              </w:rPr>
              <w:t>RITUXIMAB</w:t>
            </w:r>
          </w:p>
          <w:p w:rsidR="00184373" w:rsidRPr="009147E0" w:rsidRDefault="00184373" w:rsidP="00EB7657">
            <w:pPr>
              <w:rPr>
                <w:rFonts w:ascii="Arial" w:hAnsi="Arial" w:cs="Arial"/>
              </w:rPr>
            </w:pPr>
            <w:r w:rsidRPr="009147E0">
              <w:rPr>
                <w:rFonts w:ascii="Arial" w:hAnsi="Arial" w:cs="Arial"/>
              </w:rPr>
              <w:t>1,400 mg/11.7 mL injection,</w:t>
            </w:r>
          </w:p>
          <w:p w:rsidR="00184373" w:rsidRPr="009147E0" w:rsidRDefault="00184373" w:rsidP="00EB7657">
            <w:pPr>
              <w:rPr>
                <w:rFonts w:ascii="Arial" w:hAnsi="Arial" w:cs="Arial"/>
              </w:rPr>
            </w:pPr>
          </w:p>
          <w:p w:rsidR="00184373" w:rsidRPr="009147E0" w:rsidRDefault="00184373" w:rsidP="00EB7657">
            <w:pPr>
              <w:rPr>
                <w:rFonts w:ascii="Arial" w:hAnsi="Arial" w:cs="Arial"/>
              </w:rPr>
            </w:pPr>
            <w:r w:rsidRPr="009147E0">
              <w:rPr>
                <w:rFonts w:ascii="Arial" w:hAnsi="Arial" w:cs="Arial"/>
              </w:rPr>
              <w:t xml:space="preserve">Mabthera® SC </w:t>
            </w:r>
          </w:p>
          <w:p w:rsidR="00184373" w:rsidRPr="009147E0" w:rsidRDefault="00184373" w:rsidP="00EB7657">
            <w:pPr>
              <w:rPr>
                <w:rFonts w:ascii="Arial" w:hAnsi="Arial" w:cs="Arial"/>
              </w:rPr>
            </w:pPr>
          </w:p>
          <w:p w:rsidR="00184373" w:rsidRPr="009147E0" w:rsidRDefault="00184373" w:rsidP="00EB7657">
            <w:pPr>
              <w:rPr>
                <w:rFonts w:ascii="Arial" w:hAnsi="Arial" w:cs="Arial"/>
              </w:rPr>
            </w:pPr>
            <w:r w:rsidRPr="009147E0">
              <w:rPr>
                <w:rFonts w:ascii="Arial" w:hAnsi="Arial" w:cs="Arial"/>
              </w:rPr>
              <w:t>Roche Products Pty Ltd</w:t>
            </w:r>
          </w:p>
          <w:p w:rsidR="00184373" w:rsidRPr="009147E0" w:rsidRDefault="00184373" w:rsidP="00EB7657">
            <w:pPr>
              <w:rPr>
                <w:rFonts w:ascii="Arial" w:hAnsi="Arial" w:cs="Arial"/>
              </w:rPr>
            </w:pPr>
          </w:p>
          <w:p w:rsidR="00184373" w:rsidRPr="009147E0" w:rsidRDefault="00184373" w:rsidP="00EB7657">
            <w:pPr>
              <w:rPr>
                <w:rFonts w:ascii="Arial" w:hAnsi="Arial" w:cs="Arial"/>
              </w:rPr>
            </w:pPr>
            <w:r w:rsidRPr="009147E0">
              <w:rPr>
                <w:rFonts w:ascii="Arial" w:hAnsi="Arial" w:cs="Arial"/>
              </w:rPr>
              <w:t>New listing</w:t>
            </w:r>
          </w:p>
          <w:p w:rsidR="00184373" w:rsidRPr="009147E0" w:rsidRDefault="00184373" w:rsidP="00EB7657">
            <w:pPr>
              <w:rPr>
                <w:rFonts w:ascii="Arial" w:hAnsi="Arial" w:cs="Arial"/>
              </w:rPr>
            </w:pPr>
          </w:p>
          <w:p w:rsidR="00184373" w:rsidRDefault="00184373" w:rsidP="00EB7657">
            <w:pPr>
              <w:rPr>
                <w:rFonts w:ascii="Arial" w:hAnsi="Arial" w:cs="Arial"/>
              </w:rPr>
            </w:pPr>
            <w:r w:rsidRPr="009147E0">
              <w:rPr>
                <w:rFonts w:ascii="Arial" w:hAnsi="Arial" w:cs="Arial"/>
              </w:rPr>
              <w:t>(Minor submission)</w:t>
            </w:r>
          </w:p>
          <w:p w:rsidR="00184373" w:rsidRPr="009147E0" w:rsidRDefault="00184373" w:rsidP="00EB7657">
            <w:pPr>
              <w:rPr>
                <w:rFonts w:ascii="Arial" w:hAnsi="Arial" w:cs="Arial"/>
              </w:rPr>
            </w:pPr>
          </w:p>
        </w:tc>
        <w:tc>
          <w:tcPr>
            <w:tcW w:w="2262" w:type="dxa"/>
            <w:shd w:val="clear" w:color="auto" w:fill="auto"/>
            <w:tcMar>
              <w:top w:w="28" w:type="dxa"/>
              <w:bottom w:w="28" w:type="dxa"/>
            </w:tcMar>
          </w:tcPr>
          <w:p w:rsidR="00184373" w:rsidRPr="009147E0" w:rsidRDefault="00184373" w:rsidP="00263F7F">
            <w:pPr>
              <w:rPr>
                <w:rFonts w:ascii="Arial" w:hAnsi="Arial" w:cs="Arial"/>
              </w:rPr>
            </w:pPr>
            <w:r w:rsidRPr="009147E0">
              <w:rPr>
                <w:rFonts w:ascii="Arial" w:hAnsi="Arial" w:cs="Arial"/>
              </w:rPr>
              <w:t>Non-Hodgkin’s lymphoma</w:t>
            </w:r>
          </w:p>
        </w:tc>
        <w:tc>
          <w:tcPr>
            <w:tcW w:w="2987" w:type="dxa"/>
            <w:shd w:val="clear" w:color="auto" w:fill="auto"/>
            <w:tcMar>
              <w:top w:w="28" w:type="dxa"/>
              <w:bottom w:w="28" w:type="dxa"/>
            </w:tcMar>
          </w:tcPr>
          <w:p w:rsidR="00184373" w:rsidRPr="009147E0" w:rsidRDefault="00184373" w:rsidP="00263F7F">
            <w:pPr>
              <w:rPr>
                <w:rFonts w:ascii="Arial" w:hAnsi="Arial" w:cs="Arial"/>
              </w:rPr>
            </w:pPr>
            <w:r w:rsidRPr="009147E0">
              <w:rPr>
                <w:rFonts w:ascii="Arial" w:hAnsi="Arial" w:cs="Arial"/>
              </w:rPr>
              <w:t>Authority Required listing of a new subcutaneously administered formulation of rituximab for patients with non-Hodgkin’s lymphoma.</w:t>
            </w:r>
          </w:p>
        </w:tc>
        <w:tc>
          <w:tcPr>
            <w:tcW w:w="7192" w:type="dxa"/>
          </w:tcPr>
          <w:p w:rsidR="00184373" w:rsidRPr="009147E0" w:rsidRDefault="00184373" w:rsidP="007048F1">
            <w:pPr>
              <w:rPr>
                <w:rFonts w:ascii="Arial" w:hAnsi="Arial" w:cs="Arial"/>
              </w:rPr>
            </w:pPr>
            <w:r w:rsidRPr="009147E0">
              <w:rPr>
                <w:rFonts w:ascii="Arial" w:hAnsi="Arial" w:cs="Arial"/>
              </w:rPr>
              <w:t>The PBAC recommended an Authority Required (STREAMLINE</w:t>
            </w:r>
            <w:r>
              <w:rPr>
                <w:rFonts w:ascii="Arial" w:hAnsi="Arial" w:cs="Arial"/>
              </w:rPr>
              <w:t>D</w:t>
            </w:r>
            <w:r w:rsidRPr="009147E0">
              <w:rPr>
                <w:rFonts w:ascii="Arial" w:hAnsi="Arial" w:cs="Arial"/>
              </w:rPr>
              <w:t xml:space="preserve">) listing of rituximab subcutaneous injection formulation for the treatment of </w:t>
            </w:r>
            <w:r>
              <w:rPr>
                <w:rFonts w:ascii="Arial" w:hAnsi="Arial" w:cs="Arial"/>
              </w:rPr>
              <w:t>n</w:t>
            </w:r>
            <w:r w:rsidRPr="009147E0">
              <w:rPr>
                <w:rFonts w:ascii="Arial" w:hAnsi="Arial" w:cs="Arial"/>
              </w:rPr>
              <w:t xml:space="preserve">on-Hodgkin’s </w:t>
            </w:r>
            <w:r>
              <w:rPr>
                <w:rFonts w:ascii="Arial" w:hAnsi="Arial" w:cs="Arial"/>
              </w:rPr>
              <w:t>l</w:t>
            </w:r>
            <w:r w:rsidRPr="009147E0">
              <w:rPr>
                <w:rFonts w:ascii="Arial" w:hAnsi="Arial" w:cs="Arial"/>
              </w:rPr>
              <w:t>ymphoma, on the basis of non-inferior effectiveness and safety compared with rituximab intravenous infusion formulation.</w:t>
            </w:r>
          </w:p>
        </w:tc>
      </w:tr>
      <w:tr w:rsidR="00184373" w:rsidRPr="009147E0" w:rsidTr="00CB2D1B">
        <w:trPr>
          <w:cantSplit/>
          <w:trHeight w:val="430"/>
        </w:trPr>
        <w:tc>
          <w:tcPr>
            <w:tcW w:w="3118" w:type="dxa"/>
            <w:shd w:val="clear" w:color="auto" w:fill="auto"/>
            <w:tcMar>
              <w:top w:w="28" w:type="dxa"/>
              <w:bottom w:w="28" w:type="dxa"/>
            </w:tcMar>
          </w:tcPr>
          <w:p w:rsidR="00184373" w:rsidRPr="007048F1" w:rsidRDefault="00184373" w:rsidP="00CD2D13">
            <w:pPr>
              <w:widowControl w:val="0"/>
              <w:rPr>
                <w:rFonts w:ascii="Arial" w:hAnsi="Arial" w:cs="Arial"/>
                <w:b/>
              </w:rPr>
            </w:pPr>
            <w:r w:rsidRPr="007048F1">
              <w:rPr>
                <w:rFonts w:ascii="Arial" w:hAnsi="Arial" w:cs="Arial"/>
                <w:b/>
              </w:rPr>
              <w:lastRenderedPageBreak/>
              <w:t>SALBUTAMOL</w:t>
            </w:r>
          </w:p>
          <w:p w:rsidR="00184373" w:rsidRPr="009147E0" w:rsidRDefault="00184373" w:rsidP="00CD2D13">
            <w:pPr>
              <w:widowControl w:val="0"/>
              <w:rPr>
                <w:rFonts w:ascii="Arial" w:hAnsi="Arial" w:cs="Arial"/>
              </w:rPr>
            </w:pPr>
            <w:r w:rsidRPr="009147E0">
              <w:rPr>
                <w:rFonts w:ascii="Arial" w:hAnsi="Arial" w:cs="Arial"/>
              </w:rPr>
              <w:t xml:space="preserve">200 microgram inhalation: powder for, 128 capsules, </w:t>
            </w:r>
          </w:p>
          <w:p w:rsidR="00184373" w:rsidRPr="009147E0" w:rsidRDefault="00184373" w:rsidP="00CD2D13">
            <w:pPr>
              <w:widowControl w:val="0"/>
              <w:rPr>
                <w:rFonts w:ascii="Arial" w:hAnsi="Arial" w:cs="Arial"/>
              </w:rPr>
            </w:pPr>
          </w:p>
          <w:p w:rsidR="00184373" w:rsidRPr="009147E0" w:rsidRDefault="00184373" w:rsidP="00CD2D13">
            <w:pPr>
              <w:widowControl w:val="0"/>
              <w:rPr>
                <w:rFonts w:ascii="Arial" w:hAnsi="Arial" w:cs="Arial"/>
              </w:rPr>
            </w:pPr>
            <w:r w:rsidRPr="009147E0">
              <w:rPr>
                <w:rFonts w:ascii="Arial" w:hAnsi="Arial" w:cs="Arial"/>
              </w:rPr>
              <w:t>Ventolin</w:t>
            </w:r>
            <w:r w:rsidRPr="009147E0">
              <w:rPr>
                <w:rFonts w:ascii="Arial" w:hAnsi="Arial" w:cs="Arial"/>
                <w:vertAlign w:val="superscript"/>
              </w:rPr>
              <w:t>®</w:t>
            </w:r>
            <w:r w:rsidRPr="009147E0">
              <w:rPr>
                <w:rFonts w:ascii="Arial" w:hAnsi="Arial" w:cs="Arial"/>
              </w:rPr>
              <w:t xml:space="preserve"> Rotacaps</w:t>
            </w:r>
            <w:r w:rsidRPr="009147E0">
              <w:rPr>
                <w:rFonts w:ascii="Arial" w:hAnsi="Arial" w:cs="Arial"/>
                <w:vertAlign w:val="superscript"/>
              </w:rPr>
              <w:t>®</w:t>
            </w:r>
            <w:r w:rsidRPr="009147E0">
              <w:rPr>
                <w:rFonts w:ascii="Arial" w:hAnsi="Arial" w:cs="Arial"/>
              </w:rPr>
              <w:t xml:space="preserve">, </w:t>
            </w:r>
          </w:p>
          <w:p w:rsidR="00184373" w:rsidRPr="009147E0" w:rsidRDefault="00184373" w:rsidP="00CD2D13">
            <w:pPr>
              <w:widowControl w:val="0"/>
              <w:rPr>
                <w:rFonts w:ascii="Arial" w:hAnsi="Arial" w:cs="Arial"/>
              </w:rPr>
            </w:pPr>
          </w:p>
          <w:p w:rsidR="00184373" w:rsidRPr="009147E0" w:rsidRDefault="00184373" w:rsidP="00CD2D13">
            <w:pPr>
              <w:widowControl w:val="0"/>
              <w:rPr>
                <w:rFonts w:ascii="Arial" w:hAnsi="Arial" w:cs="Arial"/>
              </w:rPr>
            </w:pPr>
            <w:r w:rsidRPr="009147E0">
              <w:rPr>
                <w:rFonts w:ascii="Arial" w:hAnsi="Arial" w:cs="Arial"/>
              </w:rPr>
              <w:t>GlaxoSmithKline Australia Pty Ltd</w:t>
            </w:r>
          </w:p>
          <w:p w:rsidR="00184373" w:rsidRPr="009147E0" w:rsidRDefault="00184373" w:rsidP="00CD2D13">
            <w:pPr>
              <w:widowControl w:val="0"/>
              <w:rPr>
                <w:rFonts w:ascii="Arial" w:hAnsi="Arial" w:cs="Arial"/>
              </w:rPr>
            </w:pPr>
          </w:p>
          <w:p w:rsidR="00184373" w:rsidRPr="009147E0" w:rsidRDefault="00184373" w:rsidP="00CD2D13">
            <w:pPr>
              <w:widowControl w:val="0"/>
              <w:rPr>
                <w:rFonts w:ascii="Arial" w:hAnsi="Arial" w:cs="Arial"/>
              </w:rPr>
            </w:pPr>
            <w:r w:rsidRPr="009147E0">
              <w:rPr>
                <w:rFonts w:ascii="Arial" w:hAnsi="Arial" w:cs="Arial"/>
              </w:rPr>
              <w:t>Change to listing</w:t>
            </w:r>
          </w:p>
          <w:p w:rsidR="00184373" w:rsidRPr="009147E0" w:rsidRDefault="00184373" w:rsidP="00CD2D13">
            <w:pPr>
              <w:widowControl w:val="0"/>
              <w:rPr>
                <w:rFonts w:ascii="Arial" w:hAnsi="Arial" w:cs="Arial"/>
              </w:rPr>
            </w:pPr>
          </w:p>
          <w:p w:rsidR="00184373" w:rsidRDefault="00184373" w:rsidP="00CD2D13">
            <w:pPr>
              <w:widowControl w:val="0"/>
              <w:rPr>
                <w:rFonts w:ascii="Arial" w:hAnsi="Arial" w:cs="Arial"/>
              </w:rPr>
            </w:pPr>
            <w:r w:rsidRPr="009147E0">
              <w:rPr>
                <w:rFonts w:ascii="Arial" w:hAnsi="Arial" w:cs="Arial"/>
              </w:rPr>
              <w:t>(Out-of-session)</w:t>
            </w:r>
          </w:p>
          <w:p w:rsidR="00184373" w:rsidRPr="009147E0" w:rsidRDefault="00184373" w:rsidP="00CD2D13">
            <w:pPr>
              <w:widowControl w:val="0"/>
              <w:rPr>
                <w:rFonts w:ascii="Arial" w:hAnsi="Arial" w:cs="Arial"/>
              </w:rPr>
            </w:pPr>
          </w:p>
        </w:tc>
        <w:tc>
          <w:tcPr>
            <w:tcW w:w="2262" w:type="dxa"/>
            <w:shd w:val="clear" w:color="auto" w:fill="auto"/>
            <w:tcMar>
              <w:top w:w="28" w:type="dxa"/>
              <w:bottom w:w="28" w:type="dxa"/>
            </w:tcMar>
          </w:tcPr>
          <w:p w:rsidR="00184373" w:rsidRPr="009147E0" w:rsidRDefault="00184373" w:rsidP="00263F7F">
            <w:pPr>
              <w:widowControl w:val="0"/>
              <w:rPr>
                <w:rFonts w:ascii="Arial" w:hAnsi="Arial" w:cs="Arial"/>
              </w:rPr>
            </w:pPr>
            <w:r w:rsidRPr="009147E0">
              <w:rPr>
                <w:rFonts w:ascii="Arial" w:hAnsi="Arial" w:cs="Arial"/>
              </w:rPr>
              <w:t>Asthma</w:t>
            </w:r>
          </w:p>
        </w:tc>
        <w:tc>
          <w:tcPr>
            <w:tcW w:w="2987" w:type="dxa"/>
            <w:shd w:val="clear" w:color="auto" w:fill="auto"/>
            <w:tcMar>
              <w:top w:w="28" w:type="dxa"/>
              <w:bottom w:w="28" w:type="dxa"/>
            </w:tcMar>
          </w:tcPr>
          <w:p w:rsidR="00184373" w:rsidRPr="009147E0" w:rsidRDefault="00184373" w:rsidP="00263F7F">
            <w:pPr>
              <w:rPr>
                <w:rFonts w:ascii="Arial" w:hAnsi="Arial" w:cs="Arial"/>
              </w:rPr>
            </w:pPr>
            <w:r w:rsidRPr="009147E0">
              <w:rPr>
                <w:rFonts w:ascii="Arial" w:hAnsi="Arial" w:cs="Arial"/>
              </w:rPr>
              <w:t>Amend maximum quantity and number of repeats to align with a new pack size.</w:t>
            </w:r>
          </w:p>
        </w:tc>
        <w:tc>
          <w:tcPr>
            <w:tcW w:w="7192" w:type="dxa"/>
          </w:tcPr>
          <w:p w:rsidR="00184373" w:rsidRPr="009147E0" w:rsidRDefault="00184373" w:rsidP="009147E0">
            <w:pPr>
              <w:rPr>
                <w:rFonts w:ascii="Arial" w:hAnsi="Arial" w:cs="Arial"/>
              </w:rPr>
            </w:pPr>
            <w:r w:rsidRPr="009147E0">
              <w:rPr>
                <w:rFonts w:ascii="Arial" w:hAnsi="Arial" w:cs="Arial"/>
              </w:rPr>
              <w:t xml:space="preserve">The PBAC recommended out-of-session an unrestricted benefit listing for Ventolin Rotacaps 200 microgram, 128 capsules, on a cost-minimisation basis with the currently listed pack of 100 capsules. The PBAC recommended that the maximum quantity of 200 units (2 packs) be amended to 256 units (2 packs), and, the number of repeats be amended from 5 repeats to 4 repeats. </w:t>
            </w:r>
          </w:p>
          <w:p w:rsidR="00184373" w:rsidRPr="009147E0" w:rsidRDefault="00184373" w:rsidP="00CD2D13">
            <w:pPr>
              <w:pStyle w:val="Header"/>
              <w:widowControl w:val="0"/>
              <w:tabs>
                <w:tab w:val="clear" w:pos="4153"/>
                <w:tab w:val="clear" w:pos="8306"/>
              </w:tabs>
              <w:jc w:val="both"/>
              <w:rPr>
                <w:rFonts w:ascii="Arial" w:hAnsi="Arial" w:cs="Arial"/>
                <w:snapToGrid w:val="0"/>
                <w:lang w:eastAsia="en-US"/>
              </w:rPr>
            </w:pPr>
          </w:p>
        </w:tc>
      </w:tr>
      <w:tr w:rsidR="00184373" w:rsidRPr="009147E0" w:rsidTr="00CB2D1B">
        <w:trPr>
          <w:cantSplit/>
          <w:trHeight w:val="430"/>
        </w:trPr>
        <w:tc>
          <w:tcPr>
            <w:tcW w:w="3118" w:type="dxa"/>
            <w:tcMar>
              <w:top w:w="28" w:type="dxa"/>
              <w:bottom w:w="28" w:type="dxa"/>
            </w:tcMar>
          </w:tcPr>
          <w:p w:rsidR="00184373" w:rsidRPr="009147E0" w:rsidRDefault="00184373" w:rsidP="007048F1">
            <w:pPr>
              <w:widowControl w:val="0"/>
              <w:rPr>
                <w:rFonts w:cs="Arial"/>
                <w:b/>
              </w:rPr>
            </w:pPr>
            <w:r w:rsidRPr="007048F1">
              <w:rPr>
                <w:rFonts w:ascii="Arial" w:hAnsi="Arial" w:cs="Arial"/>
                <w:b/>
              </w:rPr>
              <w:t>SORAFENIB</w:t>
            </w:r>
          </w:p>
          <w:p w:rsidR="00184373" w:rsidRPr="009147E0" w:rsidRDefault="00184373" w:rsidP="00EB7657">
            <w:pPr>
              <w:pStyle w:val="Heading1"/>
              <w:rPr>
                <w:rFonts w:cs="Arial"/>
                <w:b w:val="0"/>
              </w:rPr>
            </w:pPr>
            <w:r w:rsidRPr="009147E0">
              <w:rPr>
                <w:rFonts w:cs="Arial"/>
                <w:b w:val="0"/>
              </w:rPr>
              <w:t xml:space="preserve">tablet, 200 mg, </w:t>
            </w:r>
          </w:p>
          <w:p w:rsidR="00184373" w:rsidRPr="009147E0" w:rsidRDefault="00184373" w:rsidP="00EB7657">
            <w:pPr>
              <w:pStyle w:val="Heading1"/>
              <w:rPr>
                <w:rFonts w:cs="Arial"/>
                <w:b w:val="0"/>
              </w:rPr>
            </w:pPr>
          </w:p>
          <w:p w:rsidR="00184373" w:rsidRPr="009147E0" w:rsidRDefault="00184373" w:rsidP="00EB7657">
            <w:pPr>
              <w:pStyle w:val="Heading1"/>
              <w:rPr>
                <w:rFonts w:cs="Arial"/>
                <w:b w:val="0"/>
              </w:rPr>
            </w:pPr>
            <w:r w:rsidRPr="009147E0">
              <w:rPr>
                <w:rFonts w:cs="Arial"/>
                <w:b w:val="0"/>
              </w:rPr>
              <w:t>Nexavar®</w:t>
            </w:r>
          </w:p>
          <w:p w:rsidR="00184373" w:rsidRPr="009147E0" w:rsidRDefault="00184373" w:rsidP="00EB7657">
            <w:pPr>
              <w:pStyle w:val="Heading1"/>
              <w:rPr>
                <w:rFonts w:cs="Arial"/>
                <w:b w:val="0"/>
              </w:rPr>
            </w:pPr>
          </w:p>
          <w:p w:rsidR="00184373" w:rsidRPr="009147E0" w:rsidRDefault="00184373" w:rsidP="00EB7657">
            <w:pPr>
              <w:pStyle w:val="Heading1"/>
              <w:rPr>
                <w:rFonts w:cs="Arial"/>
                <w:b w:val="0"/>
              </w:rPr>
            </w:pPr>
            <w:r w:rsidRPr="009147E0">
              <w:rPr>
                <w:rFonts w:cs="Arial"/>
                <w:b w:val="0"/>
              </w:rPr>
              <w:t>Bayer Australia Ltd</w:t>
            </w:r>
          </w:p>
          <w:p w:rsidR="00184373" w:rsidRPr="009147E0" w:rsidRDefault="00184373" w:rsidP="00EB7657">
            <w:pPr>
              <w:rPr>
                <w:rFonts w:ascii="Arial" w:hAnsi="Arial" w:cs="Arial"/>
                <w:lang w:eastAsia="en-US"/>
              </w:rPr>
            </w:pPr>
          </w:p>
          <w:p w:rsidR="00184373" w:rsidRPr="009147E0" w:rsidRDefault="00184373" w:rsidP="00EB7657">
            <w:pPr>
              <w:rPr>
                <w:rFonts w:ascii="Arial" w:hAnsi="Arial" w:cs="Arial"/>
                <w:lang w:eastAsia="en-US"/>
              </w:rPr>
            </w:pPr>
            <w:r w:rsidRPr="009147E0">
              <w:rPr>
                <w:rFonts w:ascii="Arial" w:hAnsi="Arial" w:cs="Arial"/>
                <w:lang w:eastAsia="en-US"/>
              </w:rPr>
              <w:t>Change to listing</w:t>
            </w:r>
          </w:p>
          <w:p w:rsidR="00184373" w:rsidRPr="009147E0" w:rsidRDefault="00184373" w:rsidP="00EB7657">
            <w:pPr>
              <w:rPr>
                <w:rFonts w:ascii="Arial" w:hAnsi="Arial" w:cs="Arial"/>
                <w:lang w:eastAsia="en-US"/>
              </w:rPr>
            </w:pPr>
          </w:p>
          <w:p w:rsidR="00184373" w:rsidRDefault="00184373" w:rsidP="00EB7657">
            <w:pPr>
              <w:rPr>
                <w:rFonts w:ascii="Arial" w:hAnsi="Arial" w:cs="Arial"/>
                <w:lang w:eastAsia="en-US"/>
              </w:rPr>
            </w:pPr>
            <w:r w:rsidRPr="009147E0">
              <w:rPr>
                <w:rFonts w:ascii="Arial" w:hAnsi="Arial" w:cs="Arial"/>
                <w:lang w:eastAsia="en-US"/>
              </w:rPr>
              <w:t>(Minor submission)</w:t>
            </w:r>
          </w:p>
          <w:p w:rsidR="00F163F8" w:rsidRPr="009147E0" w:rsidRDefault="00F163F8" w:rsidP="00EB7657">
            <w:pPr>
              <w:rPr>
                <w:rFonts w:ascii="Arial" w:hAnsi="Arial" w:cs="Arial"/>
                <w:lang w:eastAsia="en-US"/>
              </w:rPr>
            </w:pPr>
          </w:p>
        </w:tc>
        <w:tc>
          <w:tcPr>
            <w:tcW w:w="2262" w:type="dxa"/>
            <w:tcMar>
              <w:top w:w="28" w:type="dxa"/>
              <w:bottom w:w="28" w:type="dxa"/>
            </w:tcMar>
          </w:tcPr>
          <w:p w:rsidR="00184373" w:rsidRPr="009147E0" w:rsidRDefault="00184373" w:rsidP="00263F7F">
            <w:pPr>
              <w:pStyle w:val="Heading1"/>
              <w:rPr>
                <w:rFonts w:cs="Arial"/>
                <w:b w:val="0"/>
              </w:rPr>
            </w:pPr>
            <w:r w:rsidRPr="009147E0">
              <w:rPr>
                <w:rFonts w:cs="Arial"/>
                <w:b w:val="0"/>
              </w:rPr>
              <w:t>Renal cell carcinoma</w:t>
            </w:r>
          </w:p>
        </w:tc>
        <w:tc>
          <w:tcPr>
            <w:tcW w:w="2987" w:type="dxa"/>
            <w:tcMar>
              <w:top w:w="28" w:type="dxa"/>
              <w:bottom w:w="28" w:type="dxa"/>
            </w:tcMar>
          </w:tcPr>
          <w:p w:rsidR="00184373" w:rsidRPr="009147E0" w:rsidRDefault="00184373" w:rsidP="00263F7F">
            <w:pPr>
              <w:rPr>
                <w:rFonts w:ascii="Arial" w:hAnsi="Arial" w:cs="Arial"/>
                <w:snapToGrid w:val="0"/>
                <w:lang w:eastAsia="en-US"/>
              </w:rPr>
            </w:pPr>
            <w:r w:rsidRPr="009147E0">
              <w:rPr>
                <w:rFonts w:ascii="Arial" w:hAnsi="Arial" w:cs="Arial"/>
                <w:snapToGrid w:val="0"/>
                <w:lang w:eastAsia="en-US"/>
              </w:rPr>
              <w:t xml:space="preserve">Extend the current Authority Required listing to include the treatment of stage IV clear cell variant renal cell carcinoma (advanced RCC) in patients who have failed first line treatment. </w:t>
            </w:r>
          </w:p>
          <w:p w:rsidR="00184373" w:rsidRPr="009147E0" w:rsidRDefault="00184373" w:rsidP="00263F7F">
            <w:pPr>
              <w:pStyle w:val="Heading1"/>
              <w:rPr>
                <w:rFonts w:cs="Arial"/>
                <w:b w:val="0"/>
              </w:rPr>
            </w:pPr>
          </w:p>
        </w:tc>
        <w:tc>
          <w:tcPr>
            <w:tcW w:w="7192" w:type="dxa"/>
          </w:tcPr>
          <w:p w:rsidR="00184373" w:rsidRPr="009147E0" w:rsidRDefault="00184373" w:rsidP="009147E0">
            <w:pPr>
              <w:rPr>
                <w:rFonts w:ascii="Arial" w:hAnsi="Arial" w:cs="Arial"/>
                <w:lang w:val="en-US"/>
              </w:rPr>
            </w:pPr>
            <w:r w:rsidRPr="009147E0">
              <w:rPr>
                <w:rFonts w:ascii="Arial" w:hAnsi="Arial" w:cs="Arial"/>
                <w:lang w:val="en-US"/>
              </w:rPr>
              <w:t xml:space="preserve">The PBAC recommended extending sorafenib’s existing listing to include second-line treatment of stage IV clear cell variant renal cell on a cost-minimisation basis against everolimus. The equi-effective doses are sorafenib 800 mg and everolimus 10 mg. The PBAC acknowledged the sentiment of a clinical need existing for further RCC treatment options to be made available to Australian patients conveyed through the consumer comments input process but cautioned against any expectations that existing drug therapies would provide a cure for RCC. </w:t>
            </w:r>
          </w:p>
          <w:p w:rsidR="00184373" w:rsidRPr="009147E0" w:rsidRDefault="00184373" w:rsidP="00EB7657">
            <w:pPr>
              <w:rPr>
                <w:rFonts w:ascii="Arial" w:hAnsi="Arial" w:cs="Arial"/>
              </w:rPr>
            </w:pPr>
          </w:p>
        </w:tc>
      </w:tr>
      <w:tr w:rsidR="00184373" w:rsidRPr="009147E0" w:rsidTr="00CB2D1B">
        <w:trPr>
          <w:trHeight w:val="430"/>
        </w:trPr>
        <w:tc>
          <w:tcPr>
            <w:tcW w:w="3118" w:type="dxa"/>
            <w:tcMar>
              <w:top w:w="28" w:type="dxa"/>
              <w:bottom w:w="28" w:type="dxa"/>
            </w:tcMar>
          </w:tcPr>
          <w:p w:rsidR="00184373" w:rsidRPr="007048F1" w:rsidRDefault="00184373" w:rsidP="007048F1">
            <w:pPr>
              <w:widowControl w:val="0"/>
              <w:rPr>
                <w:rFonts w:ascii="Arial" w:hAnsi="Arial" w:cs="Arial"/>
                <w:b/>
              </w:rPr>
            </w:pPr>
            <w:r w:rsidRPr="007048F1">
              <w:rPr>
                <w:rFonts w:ascii="Arial" w:hAnsi="Arial" w:cs="Arial"/>
                <w:b/>
              </w:rPr>
              <w:t>SUCROFERRIC OXYHYDROXIDE</w:t>
            </w:r>
          </w:p>
          <w:p w:rsidR="00184373" w:rsidRPr="009147E0" w:rsidRDefault="00184373" w:rsidP="00EB7657">
            <w:pPr>
              <w:pStyle w:val="Heading1"/>
              <w:rPr>
                <w:rFonts w:cs="Arial"/>
                <w:b w:val="0"/>
              </w:rPr>
            </w:pPr>
            <w:r w:rsidRPr="009147E0">
              <w:rPr>
                <w:rFonts w:cs="Arial"/>
                <w:b w:val="0"/>
              </w:rPr>
              <w:t xml:space="preserve">Iron (as sucroferric oxyhydroxide) 500 mg tablet: chewable, 90; </w:t>
            </w:r>
          </w:p>
          <w:p w:rsidR="00184373" w:rsidRPr="009147E0" w:rsidRDefault="00184373" w:rsidP="00EB7657">
            <w:pPr>
              <w:pStyle w:val="Heading1"/>
              <w:rPr>
                <w:rFonts w:cs="Arial"/>
                <w:b w:val="0"/>
              </w:rPr>
            </w:pPr>
          </w:p>
          <w:p w:rsidR="00184373" w:rsidRPr="009147E0" w:rsidRDefault="00184373" w:rsidP="00EB7657">
            <w:pPr>
              <w:pStyle w:val="Heading1"/>
              <w:rPr>
                <w:rFonts w:cs="Arial"/>
                <w:b w:val="0"/>
              </w:rPr>
            </w:pPr>
            <w:r>
              <w:rPr>
                <w:rFonts w:cs="Arial"/>
                <w:b w:val="0"/>
              </w:rPr>
              <w:t>Velphoro®</w:t>
            </w:r>
            <w:r w:rsidRPr="009147E0">
              <w:rPr>
                <w:rFonts w:cs="Arial"/>
                <w:b w:val="0"/>
              </w:rPr>
              <w:t xml:space="preserve"> </w:t>
            </w:r>
          </w:p>
          <w:p w:rsidR="00184373" w:rsidRPr="009147E0" w:rsidRDefault="00184373" w:rsidP="00EB7657">
            <w:pPr>
              <w:pStyle w:val="Heading1"/>
              <w:rPr>
                <w:rFonts w:cs="Arial"/>
                <w:b w:val="0"/>
              </w:rPr>
            </w:pPr>
          </w:p>
          <w:p w:rsidR="00184373" w:rsidRPr="009147E0" w:rsidRDefault="00184373" w:rsidP="00EB7657">
            <w:pPr>
              <w:pStyle w:val="Heading1"/>
              <w:rPr>
                <w:rFonts w:cs="Arial"/>
                <w:b w:val="0"/>
              </w:rPr>
            </w:pPr>
            <w:r w:rsidRPr="009147E0">
              <w:rPr>
                <w:rFonts w:cs="Arial"/>
                <w:b w:val="0"/>
              </w:rPr>
              <w:t>Vifor Pharma Pty Ltd.</w:t>
            </w:r>
          </w:p>
          <w:p w:rsidR="00184373" w:rsidRPr="009147E0" w:rsidRDefault="00184373" w:rsidP="00EB7657">
            <w:pPr>
              <w:rPr>
                <w:rStyle w:val="st"/>
                <w:rFonts w:ascii="Arial" w:hAnsi="Arial" w:cs="Arial"/>
              </w:rPr>
            </w:pPr>
          </w:p>
          <w:p w:rsidR="00184373" w:rsidRPr="009147E0" w:rsidRDefault="00184373" w:rsidP="00EB7657">
            <w:pPr>
              <w:rPr>
                <w:rStyle w:val="st"/>
                <w:rFonts w:ascii="Arial" w:hAnsi="Arial" w:cs="Arial"/>
              </w:rPr>
            </w:pPr>
            <w:r w:rsidRPr="009147E0">
              <w:rPr>
                <w:rStyle w:val="st"/>
                <w:rFonts w:ascii="Arial" w:hAnsi="Arial" w:cs="Arial"/>
              </w:rPr>
              <w:t>New listing</w:t>
            </w:r>
          </w:p>
          <w:p w:rsidR="00184373" w:rsidRPr="009147E0" w:rsidRDefault="00184373" w:rsidP="00EB7657">
            <w:pPr>
              <w:rPr>
                <w:rStyle w:val="st"/>
                <w:rFonts w:ascii="Arial" w:hAnsi="Arial" w:cs="Arial"/>
              </w:rPr>
            </w:pPr>
          </w:p>
          <w:p w:rsidR="00184373" w:rsidRDefault="00184373" w:rsidP="00EB7657">
            <w:pPr>
              <w:rPr>
                <w:rStyle w:val="st"/>
                <w:rFonts w:ascii="Arial" w:hAnsi="Arial" w:cs="Arial"/>
              </w:rPr>
            </w:pPr>
            <w:r w:rsidRPr="009147E0">
              <w:rPr>
                <w:rStyle w:val="st"/>
                <w:rFonts w:ascii="Arial" w:hAnsi="Arial" w:cs="Arial"/>
              </w:rPr>
              <w:t>(Major submission)</w:t>
            </w:r>
          </w:p>
          <w:p w:rsidR="00F163F8" w:rsidRPr="009147E0" w:rsidRDefault="00F163F8" w:rsidP="00EB7657">
            <w:pPr>
              <w:rPr>
                <w:rStyle w:val="st"/>
                <w:rFonts w:ascii="Arial" w:hAnsi="Arial" w:cs="Arial"/>
              </w:rPr>
            </w:pPr>
          </w:p>
        </w:tc>
        <w:tc>
          <w:tcPr>
            <w:tcW w:w="2262" w:type="dxa"/>
            <w:tcMar>
              <w:top w:w="28" w:type="dxa"/>
              <w:bottom w:w="28" w:type="dxa"/>
            </w:tcMar>
          </w:tcPr>
          <w:p w:rsidR="00184373" w:rsidRPr="009147E0" w:rsidRDefault="00184373" w:rsidP="00263F7F">
            <w:pPr>
              <w:pStyle w:val="Heading1"/>
              <w:rPr>
                <w:rFonts w:cs="Arial"/>
              </w:rPr>
            </w:pPr>
            <w:r w:rsidRPr="009147E0">
              <w:rPr>
                <w:rFonts w:cs="Arial"/>
                <w:b w:val="0"/>
              </w:rPr>
              <w:lastRenderedPageBreak/>
              <w:t>Hyperphosphataemia</w:t>
            </w:r>
          </w:p>
        </w:tc>
        <w:tc>
          <w:tcPr>
            <w:tcW w:w="2987" w:type="dxa"/>
            <w:tcMar>
              <w:top w:w="28" w:type="dxa"/>
              <w:bottom w:w="28" w:type="dxa"/>
            </w:tcMar>
          </w:tcPr>
          <w:p w:rsidR="00184373" w:rsidRPr="009147E0" w:rsidRDefault="00184373" w:rsidP="00263F7F">
            <w:pPr>
              <w:pStyle w:val="Heading1"/>
              <w:rPr>
                <w:rFonts w:cs="Arial"/>
                <w:b w:val="0"/>
              </w:rPr>
            </w:pPr>
            <w:r w:rsidRPr="009147E0">
              <w:rPr>
                <w:rFonts w:cs="Arial"/>
                <w:b w:val="0"/>
              </w:rPr>
              <w:t xml:space="preserve">General schedule listing (maintenance therapy) and Section 100 Authority Required </w:t>
            </w:r>
            <w:r>
              <w:rPr>
                <w:rFonts w:cs="Arial"/>
                <w:b w:val="0"/>
              </w:rPr>
              <w:t>(initiation of therapy) listing</w:t>
            </w:r>
            <w:r w:rsidRPr="009147E0">
              <w:rPr>
                <w:rFonts w:cs="Arial"/>
                <w:b w:val="0"/>
              </w:rPr>
              <w:t xml:space="preserve"> for the management of hyperphosphataemia in patients with chronic kidney disease who meet certain criteria.</w:t>
            </w:r>
          </w:p>
        </w:tc>
        <w:tc>
          <w:tcPr>
            <w:tcW w:w="7192" w:type="dxa"/>
          </w:tcPr>
          <w:p w:rsidR="00184373" w:rsidRPr="009147E0" w:rsidRDefault="00841542" w:rsidP="00841542">
            <w:pPr>
              <w:pStyle w:val="Heading1"/>
              <w:rPr>
                <w:rFonts w:cs="Arial"/>
              </w:rPr>
            </w:pPr>
            <w:r w:rsidRPr="00841542">
              <w:rPr>
                <w:rFonts w:cs="Arial"/>
                <w:b w:val="0"/>
              </w:rPr>
              <w:t>The PBAC recommended the listing of sucroferric oxyhydroxide under Section 100 and Section 85 for the treatment of hyperphosphataemia in patients with chronic kidney disease undergoing dialysis. The recommendation was made on a cost minimisation basis with sevelamer.  The equi-effective doses of sucroferric oxyhydroxide to sevelamer are estimated to be 1.8:7 (grams of iron per day), based on the maintenance doses from weeks 12-24 across the PA-CL-05A/PA-CL-05B trial phases.</w:t>
            </w:r>
          </w:p>
        </w:tc>
      </w:tr>
      <w:tr w:rsidR="00543122" w:rsidRPr="009147E0" w:rsidTr="00CB2D1B">
        <w:trPr>
          <w:trHeight w:val="430"/>
        </w:trPr>
        <w:tc>
          <w:tcPr>
            <w:tcW w:w="3118" w:type="dxa"/>
            <w:tcMar>
              <w:top w:w="28" w:type="dxa"/>
              <w:bottom w:w="28" w:type="dxa"/>
            </w:tcMar>
          </w:tcPr>
          <w:p w:rsidR="00543122" w:rsidRPr="007048F1" w:rsidRDefault="00543122" w:rsidP="007048F1">
            <w:pPr>
              <w:widowControl w:val="0"/>
              <w:rPr>
                <w:rFonts w:cs="Arial"/>
              </w:rPr>
            </w:pPr>
            <w:r w:rsidRPr="007048F1">
              <w:rPr>
                <w:rFonts w:ascii="Arial" w:hAnsi="Arial" w:cs="Arial"/>
                <w:b/>
              </w:rPr>
              <w:lastRenderedPageBreak/>
              <w:t>TRAMETINIB</w:t>
            </w:r>
          </w:p>
          <w:p w:rsidR="00543122" w:rsidRPr="009147E0" w:rsidRDefault="00543122" w:rsidP="00EB7657">
            <w:pPr>
              <w:pStyle w:val="Heading1"/>
              <w:rPr>
                <w:rFonts w:cs="Arial"/>
                <w:b w:val="0"/>
              </w:rPr>
            </w:pPr>
            <w:r w:rsidRPr="009147E0">
              <w:rPr>
                <w:rFonts w:cs="Arial"/>
                <w:b w:val="0"/>
              </w:rPr>
              <w:t>500 microgram tablet, 30</w:t>
            </w:r>
          </w:p>
          <w:p w:rsidR="00543122" w:rsidRPr="009147E0" w:rsidRDefault="00543122" w:rsidP="00EB7657">
            <w:pPr>
              <w:pStyle w:val="Heading1"/>
              <w:rPr>
                <w:rFonts w:cs="Arial"/>
                <w:b w:val="0"/>
              </w:rPr>
            </w:pPr>
          </w:p>
          <w:p w:rsidR="00543122" w:rsidRPr="009147E0" w:rsidRDefault="00543122" w:rsidP="00EB7657">
            <w:pPr>
              <w:pStyle w:val="Heading1"/>
              <w:rPr>
                <w:rFonts w:cs="Arial"/>
                <w:b w:val="0"/>
              </w:rPr>
            </w:pPr>
            <w:r w:rsidRPr="009147E0">
              <w:rPr>
                <w:rFonts w:cs="Arial"/>
                <w:b w:val="0"/>
              </w:rPr>
              <w:t>2 mg tablet, 30</w:t>
            </w:r>
          </w:p>
          <w:p w:rsidR="00543122" w:rsidRPr="009147E0" w:rsidRDefault="00543122" w:rsidP="00EB7657">
            <w:pPr>
              <w:pStyle w:val="Heading1"/>
              <w:rPr>
                <w:rFonts w:cs="Arial"/>
                <w:b w:val="0"/>
              </w:rPr>
            </w:pPr>
          </w:p>
          <w:p w:rsidR="00543122" w:rsidRPr="009147E0" w:rsidRDefault="00543122" w:rsidP="00EB7657">
            <w:pPr>
              <w:pStyle w:val="Heading1"/>
              <w:rPr>
                <w:rFonts w:cs="Arial"/>
                <w:b w:val="0"/>
              </w:rPr>
            </w:pPr>
            <w:r w:rsidRPr="009147E0">
              <w:rPr>
                <w:rFonts w:cs="Arial"/>
                <w:b w:val="0"/>
              </w:rPr>
              <w:t>Mekinist®</w:t>
            </w:r>
          </w:p>
          <w:p w:rsidR="00543122" w:rsidRPr="009147E0" w:rsidRDefault="00543122" w:rsidP="00EB7657">
            <w:pPr>
              <w:pStyle w:val="Heading1"/>
              <w:rPr>
                <w:rFonts w:cs="Arial"/>
                <w:b w:val="0"/>
              </w:rPr>
            </w:pPr>
          </w:p>
          <w:p w:rsidR="00543122" w:rsidRPr="009147E0" w:rsidRDefault="00543122" w:rsidP="00EB7657">
            <w:pPr>
              <w:pStyle w:val="Heading1"/>
              <w:rPr>
                <w:rFonts w:cs="Arial"/>
                <w:b w:val="0"/>
              </w:rPr>
            </w:pPr>
            <w:r w:rsidRPr="009147E0">
              <w:rPr>
                <w:rFonts w:cs="Arial"/>
                <w:b w:val="0"/>
              </w:rPr>
              <w:t>GlaxoSmithKline Australia Pty Ltd</w:t>
            </w:r>
          </w:p>
          <w:p w:rsidR="00543122" w:rsidRPr="009147E0" w:rsidRDefault="00543122" w:rsidP="00EB7657">
            <w:pPr>
              <w:pStyle w:val="Heading1"/>
              <w:rPr>
                <w:rFonts w:cs="Arial"/>
                <w:b w:val="0"/>
              </w:rPr>
            </w:pPr>
          </w:p>
          <w:p w:rsidR="00543122" w:rsidRPr="009147E0" w:rsidRDefault="00543122" w:rsidP="00EB7657">
            <w:pPr>
              <w:pStyle w:val="Heading1"/>
              <w:rPr>
                <w:rFonts w:cs="Arial"/>
                <w:b w:val="0"/>
              </w:rPr>
            </w:pPr>
            <w:r w:rsidRPr="009147E0">
              <w:rPr>
                <w:rFonts w:cs="Arial"/>
                <w:b w:val="0"/>
              </w:rPr>
              <w:t>New listing</w:t>
            </w:r>
          </w:p>
          <w:p w:rsidR="00543122" w:rsidRPr="009147E0" w:rsidRDefault="00543122" w:rsidP="00EB7657">
            <w:pPr>
              <w:pStyle w:val="Heading1"/>
              <w:rPr>
                <w:rFonts w:cs="Arial"/>
                <w:b w:val="0"/>
              </w:rPr>
            </w:pPr>
          </w:p>
          <w:p w:rsidR="00543122" w:rsidRPr="009147E0" w:rsidRDefault="00543122" w:rsidP="00EB7657">
            <w:pPr>
              <w:pStyle w:val="Heading1"/>
              <w:rPr>
                <w:rFonts w:cs="Arial"/>
              </w:rPr>
            </w:pPr>
            <w:r w:rsidRPr="009147E0">
              <w:rPr>
                <w:rFonts w:cs="Arial"/>
                <w:b w:val="0"/>
              </w:rPr>
              <w:t>(Major submission)</w:t>
            </w:r>
          </w:p>
        </w:tc>
        <w:tc>
          <w:tcPr>
            <w:tcW w:w="2262" w:type="dxa"/>
            <w:tcMar>
              <w:top w:w="28" w:type="dxa"/>
              <w:bottom w:w="28" w:type="dxa"/>
            </w:tcMar>
          </w:tcPr>
          <w:p w:rsidR="00543122" w:rsidRPr="009147E0" w:rsidRDefault="00543122" w:rsidP="00263F7F">
            <w:pPr>
              <w:pStyle w:val="Heading1"/>
              <w:rPr>
                <w:rFonts w:cs="Arial"/>
              </w:rPr>
            </w:pPr>
            <w:r w:rsidRPr="009147E0">
              <w:rPr>
                <w:rFonts w:cs="Arial"/>
                <w:b w:val="0"/>
              </w:rPr>
              <w:t>Melanoma</w:t>
            </w:r>
          </w:p>
        </w:tc>
        <w:tc>
          <w:tcPr>
            <w:tcW w:w="2987" w:type="dxa"/>
            <w:tcMar>
              <w:top w:w="28" w:type="dxa"/>
              <w:bottom w:w="28" w:type="dxa"/>
            </w:tcMar>
          </w:tcPr>
          <w:p w:rsidR="00543122" w:rsidRPr="009147E0" w:rsidRDefault="00543122" w:rsidP="00263F7F">
            <w:pPr>
              <w:pStyle w:val="ListParagraph"/>
              <w:widowControl w:val="0"/>
              <w:ind w:left="0"/>
              <w:rPr>
                <w:rFonts w:ascii="Arial" w:hAnsi="Arial" w:cs="Arial"/>
                <w:sz w:val="20"/>
                <w:szCs w:val="20"/>
              </w:rPr>
            </w:pPr>
            <w:r w:rsidRPr="009147E0">
              <w:rPr>
                <w:rFonts w:ascii="Arial" w:hAnsi="Arial" w:cs="Arial"/>
                <w:sz w:val="20"/>
                <w:szCs w:val="20"/>
              </w:rPr>
              <w:t>To provide further information to support a request for a managed entry scheme to allow the listing of trametinib as an Authority Required listing for the treatment of patients with melanoma who meet certain criteria.</w:t>
            </w:r>
          </w:p>
        </w:tc>
        <w:tc>
          <w:tcPr>
            <w:tcW w:w="7192" w:type="dxa"/>
          </w:tcPr>
          <w:p w:rsidR="00543122" w:rsidRPr="009147E0" w:rsidRDefault="00543122" w:rsidP="00EB7657">
            <w:pPr>
              <w:rPr>
                <w:rFonts w:ascii="Arial" w:hAnsi="Arial" w:cs="Arial"/>
              </w:rPr>
            </w:pPr>
            <w:r w:rsidRPr="009147E0">
              <w:rPr>
                <w:rFonts w:ascii="Arial" w:hAnsi="Arial" w:cs="Arial"/>
              </w:rPr>
              <w:t>The PBAC recommended an Authority required listing of trametinib, for use in combination with dabrafenib, for the treatment of advanced mali</w:t>
            </w:r>
            <w:r w:rsidR="00841542">
              <w:rPr>
                <w:rFonts w:ascii="Arial" w:hAnsi="Arial" w:cs="Arial"/>
              </w:rPr>
              <w:t>gnant melanoma on the basis of acceptable cost-effectiveness over dabrafenib alone, to be achieved in the context of a managed entry framework.</w:t>
            </w:r>
          </w:p>
          <w:p w:rsidR="00543122" w:rsidRPr="009147E0" w:rsidRDefault="00543122" w:rsidP="00EB7657">
            <w:pPr>
              <w:rPr>
                <w:rFonts w:ascii="Arial" w:hAnsi="Arial" w:cs="Arial"/>
              </w:rPr>
            </w:pPr>
          </w:p>
          <w:p w:rsidR="00543122" w:rsidRPr="009147E0" w:rsidRDefault="00543122" w:rsidP="00EB7657">
            <w:pPr>
              <w:rPr>
                <w:rFonts w:ascii="Arial" w:hAnsi="Arial" w:cs="Arial"/>
              </w:rPr>
            </w:pPr>
            <w:r w:rsidRPr="009147E0">
              <w:rPr>
                <w:rFonts w:ascii="Arial" w:hAnsi="Arial" w:cs="Arial"/>
              </w:rPr>
              <w:t>In making its recommendation, the PBAC considered that data from the clinical trials presented is reassuring, however the extent of benefit modelled from the BRF113220 trial appears overestimated compared with the results to date from the larger COMBI-V and COMBI-D trials. The sponsor has provided reassurances that more robust evidence will be forthcoming in the foreseeable future to better inform this modelling, and the PBAC has proposed a plan to review this evidence within two years, to make sure patients receiving medicines on the PBS are being treated according to the best available evidence and that the cost of the combination therapy remains justified in terms of acceptable cost-effectiveness. Should the modelled extent of benefits not be realised, the Committee has recommended measures to minimise risk of unjustified health care expenditure.</w:t>
            </w:r>
          </w:p>
          <w:p w:rsidR="00543122" w:rsidRDefault="00543122" w:rsidP="00841542">
            <w:pPr>
              <w:rPr>
                <w:rFonts w:ascii="Arial" w:hAnsi="Arial" w:cs="Arial"/>
              </w:rPr>
            </w:pPr>
          </w:p>
          <w:p w:rsidR="00841542" w:rsidRPr="00841542" w:rsidRDefault="00841542" w:rsidP="00841542">
            <w:pPr>
              <w:rPr>
                <w:rFonts w:ascii="Arial" w:hAnsi="Arial" w:cs="Arial"/>
              </w:rPr>
            </w:pPr>
            <w:r w:rsidRPr="00841542">
              <w:rPr>
                <w:rFonts w:ascii="Arial" w:hAnsi="Arial" w:cs="Arial"/>
              </w:rPr>
              <w:t>The PBAC considered that any MES for trametinib should be guided by the following conditions.</w:t>
            </w:r>
          </w:p>
          <w:p w:rsidR="00841542" w:rsidRDefault="00841542" w:rsidP="005C5E5D">
            <w:pPr>
              <w:numPr>
                <w:ilvl w:val="0"/>
                <w:numId w:val="31"/>
              </w:numPr>
              <w:ind w:left="138" w:hanging="138"/>
              <w:rPr>
                <w:rFonts w:ascii="Arial" w:hAnsi="Arial" w:cs="Arial"/>
              </w:rPr>
            </w:pPr>
            <w:r w:rsidRPr="00841542">
              <w:rPr>
                <w:rFonts w:ascii="Arial" w:hAnsi="Arial" w:cs="Arial"/>
              </w:rPr>
              <w:t xml:space="preserve">The initial price for the MES would be as requested </w:t>
            </w:r>
            <w:r>
              <w:rPr>
                <w:rFonts w:ascii="Arial" w:hAnsi="Arial" w:cs="Arial"/>
              </w:rPr>
              <w:t xml:space="preserve">in the submission. </w:t>
            </w:r>
            <w:r w:rsidRPr="00841542">
              <w:rPr>
                <w:rFonts w:ascii="Arial" w:hAnsi="Arial" w:cs="Arial"/>
              </w:rPr>
              <w:t xml:space="preserve">This is despite unresolved concerns that the ICER still favours trametinib. Instead of recommending trametinib at a price justified by the existing evidence (which would be lower), a rebate with interest would be put in place, thereby ensuring that the conditions of the MES framework are fulfilled.  On submission of modelling based on more conclusive evidence of cost-effectiveness from COMBI-D and COMBI-V, there would be no option for an increase in the price of trametinib, as the higher price is being paid at entry into the PBS.  </w:t>
            </w:r>
          </w:p>
          <w:p w:rsidR="00841542" w:rsidRPr="00841542" w:rsidRDefault="00841542" w:rsidP="005C5E5D">
            <w:pPr>
              <w:numPr>
                <w:ilvl w:val="0"/>
                <w:numId w:val="31"/>
              </w:numPr>
              <w:ind w:left="138" w:hanging="138"/>
              <w:rPr>
                <w:rFonts w:ascii="Arial" w:hAnsi="Arial" w:cs="Arial"/>
              </w:rPr>
            </w:pPr>
            <w:r w:rsidRPr="00841542">
              <w:rPr>
                <w:rFonts w:ascii="Arial" w:hAnsi="Arial" w:cs="Arial"/>
              </w:rPr>
              <w:t>The possible outcomes following the MES would be that either:</w:t>
            </w:r>
          </w:p>
          <w:p w:rsidR="00841542" w:rsidRPr="00841542" w:rsidRDefault="00841542" w:rsidP="005C5E5D">
            <w:pPr>
              <w:numPr>
                <w:ilvl w:val="0"/>
                <w:numId w:val="32"/>
              </w:numPr>
              <w:rPr>
                <w:rFonts w:ascii="Arial" w:hAnsi="Arial" w:cs="Arial"/>
              </w:rPr>
            </w:pPr>
            <w:r w:rsidRPr="00841542">
              <w:rPr>
                <w:rFonts w:ascii="Arial" w:hAnsi="Arial" w:cs="Arial"/>
              </w:rPr>
              <w:t>the price of trametinib (or dabrafenib) would reduce; or</w:t>
            </w:r>
          </w:p>
          <w:p w:rsidR="00841542" w:rsidRPr="00841542" w:rsidRDefault="00841542" w:rsidP="005C5E5D">
            <w:pPr>
              <w:numPr>
                <w:ilvl w:val="0"/>
                <w:numId w:val="32"/>
              </w:numPr>
              <w:rPr>
                <w:rFonts w:ascii="Arial" w:hAnsi="Arial" w:cs="Arial"/>
              </w:rPr>
            </w:pPr>
            <w:r w:rsidRPr="00841542">
              <w:rPr>
                <w:rFonts w:ascii="Arial" w:hAnsi="Arial" w:cs="Arial"/>
              </w:rPr>
              <w:t>the price of trametinib would be maintained.</w:t>
            </w:r>
          </w:p>
          <w:p w:rsidR="00841542" w:rsidRPr="00841542" w:rsidRDefault="00841542" w:rsidP="005C5E5D">
            <w:pPr>
              <w:numPr>
                <w:ilvl w:val="0"/>
                <w:numId w:val="31"/>
              </w:numPr>
              <w:ind w:left="138" w:hanging="138"/>
              <w:rPr>
                <w:rFonts w:ascii="Arial" w:hAnsi="Arial" w:cs="Arial"/>
              </w:rPr>
            </w:pPr>
            <w:r w:rsidRPr="00841542">
              <w:rPr>
                <w:rFonts w:ascii="Arial" w:hAnsi="Arial" w:cs="Arial"/>
              </w:rPr>
              <w:t xml:space="preserve">The arrangement proposed places the financial burden on the Commonwealth for the upfront risk associated with the uncertain clinical benefit of trametinib.  Accordingly, should the extent of benefit of trametinib </w:t>
            </w:r>
            <w:r w:rsidRPr="00841542">
              <w:rPr>
                <w:rFonts w:ascii="Arial" w:hAnsi="Arial" w:cs="Arial"/>
              </w:rPr>
              <w:lastRenderedPageBreak/>
              <w:t>modelled from trial BRF113220 fail to be realised in the final COMBI-D and COMBI-V results, then the sponsor would rebate the Commonwealth taking account of the following:</w:t>
            </w:r>
          </w:p>
          <w:p w:rsidR="00841542" w:rsidRPr="00841542" w:rsidRDefault="00841542" w:rsidP="005C5E5D">
            <w:pPr>
              <w:numPr>
                <w:ilvl w:val="0"/>
                <w:numId w:val="33"/>
              </w:numPr>
              <w:ind w:left="564" w:hanging="204"/>
              <w:rPr>
                <w:rFonts w:ascii="Arial" w:hAnsi="Arial" w:cs="Arial"/>
              </w:rPr>
            </w:pPr>
            <w:r w:rsidRPr="00841542">
              <w:rPr>
                <w:rFonts w:ascii="Arial" w:hAnsi="Arial" w:cs="Arial"/>
              </w:rPr>
              <w:t>the price reduction of trametinib would be calculated to maintain the current ICER with reduced clinical benefits</w:t>
            </w:r>
          </w:p>
          <w:p w:rsidR="00841542" w:rsidRPr="00841542" w:rsidRDefault="00841542" w:rsidP="005C5E5D">
            <w:pPr>
              <w:numPr>
                <w:ilvl w:val="0"/>
                <w:numId w:val="33"/>
              </w:numPr>
              <w:ind w:left="564" w:hanging="204"/>
              <w:rPr>
                <w:rFonts w:ascii="Arial" w:hAnsi="Arial" w:cs="Arial"/>
              </w:rPr>
            </w:pPr>
            <w:r w:rsidRPr="00841542">
              <w:rPr>
                <w:rFonts w:ascii="Arial" w:hAnsi="Arial" w:cs="Arial"/>
              </w:rPr>
              <w:t>the rebate would be calculated by multiplying this price reduction by the number of PBS-dispensed prescriptions of the combination between the date of listing and the date of implementation of the price reduction (relating to either dabrafenib or trametinib), after applying</w:t>
            </w:r>
          </w:p>
          <w:p w:rsidR="00841542" w:rsidRDefault="00841542" w:rsidP="005C5E5D">
            <w:pPr>
              <w:numPr>
                <w:ilvl w:val="0"/>
                <w:numId w:val="33"/>
              </w:numPr>
              <w:ind w:left="564" w:hanging="204"/>
              <w:rPr>
                <w:rFonts w:ascii="Arial" w:hAnsi="Arial" w:cs="Arial"/>
              </w:rPr>
            </w:pPr>
            <w:r w:rsidRPr="00841542">
              <w:rPr>
                <w:rFonts w:ascii="Arial" w:hAnsi="Arial" w:cs="Arial"/>
              </w:rPr>
              <w:t>an interest rate deemed appropriate by the Commonwealth.  The repayment would apply to dabrafenib + trametinib.</w:t>
            </w:r>
          </w:p>
          <w:p w:rsidR="00841542" w:rsidRPr="009147E0" w:rsidRDefault="00841542" w:rsidP="00841542">
            <w:pPr>
              <w:rPr>
                <w:rFonts w:ascii="Arial" w:hAnsi="Arial" w:cs="Arial"/>
              </w:rPr>
            </w:pPr>
          </w:p>
        </w:tc>
      </w:tr>
      <w:tr w:rsidR="00543122" w:rsidRPr="009147E0" w:rsidTr="00CB2D1B">
        <w:trPr>
          <w:cantSplit/>
          <w:trHeight w:val="430"/>
        </w:trPr>
        <w:tc>
          <w:tcPr>
            <w:tcW w:w="3118" w:type="dxa"/>
            <w:tcMar>
              <w:top w:w="28" w:type="dxa"/>
              <w:bottom w:w="28" w:type="dxa"/>
            </w:tcMar>
          </w:tcPr>
          <w:p w:rsidR="007048F1" w:rsidRDefault="00543122" w:rsidP="00EB7657">
            <w:pPr>
              <w:pStyle w:val="BodyText"/>
              <w:spacing w:after="0" w:line="240" w:lineRule="auto"/>
              <w:rPr>
                <w:rFonts w:cs="Arial"/>
                <w:szCs w:val="20"/>
              </w:rPr>
            </w:pPr>
            <w:r w:rsidRPr="007048F1">
              <w:rPr>
                <w:rFonts w:cs="Arial"/>
                <w:b/>
                <w:szCs w:val="20"/>
              </w:rPr>
              <w:lastRenderedPageBreak/>
              <w:t>TRASTUZUMAB</w:t>
            </w:r>
          </w:p>
          <w:p w:rsidR="00543122" w:rsidRPr="009147E0" w:rsidRDefault="00543122" w:rsidP="00EB7657">
            <w:pPr>
              <w:pStyle w:val="BodyText"/>
              <w:spacing w:after="0" w:line="240" w:lineRule="auto"/>
              <w:rPr>
                <w:rFonts w:cs="Arial"/>
                <w:szCs w:val="20"/>
              </w:rPr>
            </w:pPr>
            <w:r w:rsidRPr="009147E0">
              <w:rPr>
                <w:rFonts w:cs="Arial"/>
                <w:szCs w:val="20"/>
              </w:rPr>
              <w:t xml:space="preserve">150 mg injection, 1 × 150 mg vial, 60 mg injection, 1 × 60 mg vial; </w:t>
            </w:r>
          </w:p>
          <w:p w:rsidR="00543122" w:rsidRPr="009147E0" w:rsidRDefault="00543122" w:rsidP="00EB7657">
            <w:pPr>
              <w:pStyle w:val="BodyText"/>
              <w:spacing w:after="0" w:line="240" w:lineRule="auto"/>
              <w:rPr>
                <w:rFonts w:cs="Arial"/>
                <w:szCs w:val="20"/>
              </w:rPr>
            </w:pPr>
          </w:p>
          <w:p w:rsidR="00543122" w:rsidRPr="009147E0" w:rsidRDefault="00543122" w:rsidP="00EB7657">
            <w:pPr>
              <w:pStyle w:val="BodyText"/>
              <w:spacing w:after="0" w:line="240" w:lineRule="auto"/>
              <w:rPr>
                <w:rFonts w:cs="Arial"/>
                <w:szCs w:val="20"/>
              </w:rPr>
            </w:pPr>
            <w:r w:rsidRPr="009147E0">
              <w:rPr>
                <w:rFonts w:cs="Arial"/>
                <w:szCs w:val="20"/>
              </w:rPr>
              <w:t>Herceptin</w:t>
            </w:r>
            <w:r w:rsidRPr="009147E0">
              <w:rPr>
                <w:rFonts w:cs="Arial"/>
                <w:szCs w:val="20"/>
                <w:vertAlign w:val="superscript"/>
              </w:rPr>
              <w:t>®</w:t>
            </w:r>
            <w:r w:rsidRPr="009147E0">
              <w:rPr>
                <w:rFonts w:cs="Arial"/>
                <w:szCs w:val="20"/>
              </w:rPr>
              <w:t xml:space="preserve">, </w:t>
            </w:r>
          </w:p>
          <w:p w:rsidR="00543122" w:rsidRPr="009147E0" w:rsidRDefault="00543122" w:rsidP="00EB7657">
            <w:pPr>
              <w:pStyle w:val="BodyText"/>
              <w:spacing w:after="0" w:line="240" w:lineRule="auto"/>
              <w:rPr>
                <w:rFonts w:cs="Arial"/>
                <w:szCs w:val="20"/>
              </w:rPr>
            </w:pPr>
          </w:p>
          <w:p w:rsidR="00543122" w:rsidRPr="009147E0" w:rsidRDefault="00543122" w:rsidP="00EB7657">
            <w:pPr>
              <w:pStyle w:val="BodyText"/>
              <w:spacing w:after="0" w:line="240" w:lineRule="auto"/>
              <w:rPr>
                <w:rFonts w:cs="Arial"/>
                <w:szCs w:val="20"/>
              </w:rPr>
            </w:pPr>
            <w:r w:rsidRPr="009147E0">
              <w:rPr>
                <w:rFonts w:cs="Arial"/>
                <w:szCs w:val="20"/>
              </w:rPr>
              <w:t>Roche Products Pty Ltd.</w:t>
            </w:r>
          </w:p>
          <w:p w:rsidR="00543122" w:rsidRPr="009147E0" w:rsidRDefault="00543122" w:rsidP="00EB7657">
            <w:pPr>
              <w:pStyle w:val="Heading1"/>
              <w:rPr>
                <w:rFonts w:cs="Arial"/>
                <w:b w:val="0"/>
              </w:rPr>
            </w:pPr>
          </w:p>
          <w:p w:rsidR="00543122" w:rsidRPr="009147E0" w:rsidRDefault="00543122" w:rsidP="00EB7657">
            <w:pPr>
              <w:widowControl w:val="0"/>
              <w:jc w:val="both"/>
              <w:rPr>
                <w:rFonts w:ascii="Arial" w:hAnsi="Arial" w:cs="Arial"/>
              </w:rPr>
            </w:pPr>
            <w:r w:rsidRPr="009147E0">
              <w:rPr>
                <w:rFonts w:ascii="Arial" w:hAnsi="Arial" w:cs="Arial"/>
              </w:rPr>
              <w:t>Change to listing</w:t>
            </w:r>
          </w:p>
          <w:p w:rsidR="00543122" w:rsidRPr="009147E0" w:rsidRDefault="00543122" w:rsidP="00EB7657">
            <w:pPr>
              <w:widowControl w:val="0"/>
              <w:jc w:val="both"/>
              <w:rPr>
                <w:rFonts w:ascii="Arial" w:hAnsi="Arial" w:cs="Arial"/>
              </w:rPr>
            </w:pPr>
          </w:p>
          <w:p w:rsidR="00543122" w:rsidRPr="009147E0" w:rsidRDefault="00543122" w:rsidP="00EB7657">
            <w:pPr>
              <w:widowControl w:val="0"/>
              <w:jc w:val="both"/>
              <w:rPr>
                <w:rFonts w:ascii="Arial" w:hAnsi="Arial" w:cs="Arial"/>
              </w:rPr>
            </w:pPr>
            <w:r w:rsidRPr="009147E0">
              <w:rPr>
                <w:rFonts w:ascii="Arial" w:hAnsi="Arial" w:cs="Arial"/>
              </w:rPr>
              <w:t>(Major submission)</w:t>
            </w:r>
          </w:p>
          <w:p w:rsidR="00543122" w:rsidRPr="009147E0" w:rsidRDefault="00543122" w:rsidP="00EB7657">
            <w:pPr>
              <w:rPr>
                <w:rFonts w:ascii="Arial" w:hAnsi="Arial" w:cs="Arial"/>
                <w:lang w:eastAsia="en-US"/>
              </w:rPr>
            </w:pPr>
          </w:p>
          <w:p w:rsidR="00543122" w:rsidRPr="009147E0" w:rsidRDefault="00543122" w:rsidP="00EB7657">
            <w:pPr>
              <w:rPr>
                <w:rFonts w:ascii="Arial" w:hAnsi="Arial" w:cs="Arial"/>
                <w:lang w:eastAsia="en-US"/>
              </w:rPr>
            </w:pPr>
          </w:p>
        </w:tc>
        <w:tc>
          <w:tcPr>
            <w:tcW w:w="2262" w:type="dxa"/>
            <w:tcMar>
              <w:top w:w="28" w:type="dxa"/>
              <w:bottom w:w="28" w:type="dxa"/>
            </w:tcMar>
          </w:tcPr>
          <w:p w:rsidR="00543122" w:rsidRPr="009147E0" w:rsidRDefault="007048F1" w:rsidP="007048F1">
            <w:pPr>
              <w:pStyle w:val="Heading1"/>
              <w:rPr>
                <w:rFonts w:cs="Arial"/>
                <w:b w:val="0"/>
              </w:rPr>
            </w:pPr>
            <w:r>
              <w:rPr>
                <w:rFonts w:cs="Arial"/>
                <w:b w:val="0"/>
              </w:rPr>
              <w:t xml:space="preserve">HER2+ </w:t>
            </w:r>
            <w:r w:rsidR="00543122" w:rsidRPr="009147E0">
              <w:rPr>
                <w:rFonts w:cs="Arial"/>
                <w:b w:val="0"/>
              </w:rPr>
              <w:t>metastatic breast cancer</w:t>
            </w:r>
          </w:p>
        </w:tc>
        <w:tc>
          <w:tcPr>
            <w:tcW w:w="2987" w:type="dxa"/>
            <w:tcMar>
              <w:top w:w="28" w:type="dxa"/>
              <w:bottom w:w="28" w:type="dxa"/>
            </w:tcMar>
          </w:tcPr>
          <w:p w:rsidR="00543122" w:rsidRPr="009147E0" w:rsidRDefault="00543122" w:rsidP="00263F7F">
            <w:pPr>
              <w:pStyle w:val="ListParagraph"/>
              <w:ind w:left="0"/>
              <w:rPr>
                <w:rFonts w:ascii="Arial" w:hAnsi="Arial" w:cs="Arial"/>
                <w:sz w:val="20"/>
                <w:szCs w:val="20"/>
              </w:rPr>
            </w:pPr>
            <w:r w:rsidRPr="009147E0">
              <w:rPr>
                <w:rFonts w:ascii="Arial" w:hAnsi="Arial" w:cs="Arial"/>
                <w:sz w:val="20"/>
                <w:szCs w:val="20"/>
              </w:rPr>
              <w:t xml:space="preserve">Section 100 listing for trastuzumab for treatment of a patient with HER2+ metastatic breast cancer (MBC) who has not received prior anti-HER2 therapy or chemotherapy for metastatic disease. </w:t>
            </w:r>
          </w:p>
          <w:p w:rsidR="00543122" w:rsidRPr="009147E0" w:rsidRDefault="00543122" w:rsidP="00263F7F">
            <w:pPr>
              <w:rPr>
                <w:rFonts w:ascii="Arial" w:hAnsi="Arial" w:cs="Arial"/>
              </w:rPr>
            </w:pPr>
          </w:p>
          <w:p w:rsidR="00543122" w:rsidRDefault="00543122" w:rsidP="00263F7F">
            <w:pPr>
              <w:pStyle w:val="ListParagraph"/>
              <w:widowControl w:val="0"/>
              <w:ind w:left="0"/>
              <w:rPr>
                <w:rFonts w:ascii="Arial" w:hAnsi="Arial" w:cs="Arial"/>
                <w:sz w:val="20"/>
                <w:szCs w:val="20"/>
              </w:rPr>
            </w:pPr>
            <w:r w:rsidRPr="009147E0">
              <w:rPr>
                <w:rFonts w:ascii="Arial" w:hAnsi="Arial" w:cs="Arial"/>
                <w:sz w:val="20"/>
                <w:szCs w:val="20"/>
              </w:rPr>
              <w:t>Section 100 listing for trastuzumab for treatment of a patient with HER2+ metastatic breast cancer whose disease has progressed despite prior treatment with trastuzumab for metastatic disease.</w:t>
            </w:r>
          </w:p>
          <w:p w:rsidR="007048F1" w:rsidRPr="009147E0" w:rsidRDefault="007048F1" w:rsidP="00263F7F">
            <w:pPr>
              <w:pStyle w:val="ListParagraph"/>
              <w:widowControl w:val="0"/>
              <w:ind w:left="0"/>
              <w:rPr>
                <w:rFonts w:ascii="Arial" w:hAnsi="Arial" w:cs="Arial"/>
                <w:sz w:val="20"/>
                <w:szCs w:val="20"/>
              </w:rPr>
            </w:pPr>
          </w:p>
        </w:tc>
        <w:tc>
          <w:tcPr>
            <w:tcW w:w="7192" w:type="dxa"/>
          </w:tcPr>
          <w:p w:rsidR="00841542" w:rsidRDefault="00543122" w:rsidP="00EB7657">
            <w:pPr>
              <w:rPr>
                <w:rFonts w:ascii="Arial" w:hAnsi="Arial" w:cs="Arial"/>
              </w:rPr>
            </w:pPr>
            <w:r w:rsidRPr="009147E0">
              <w:rPr>
                <w:rFonts w:ascii="Arial" w:hAnsi="Arial" w:cs="Arial"/>
              </w:rPr>
              <w:t xml:space="preserve">The PBAC recommended extending the listing of trastuzumab under Section 100 (Efficient Funding of Chemotherapy Program) for the treatment of HER2 positive metastatic breast cancer in the first-line setting as well as in patients whose disease has progressed despite treatment with trastuzumab for metastatic disease. </w:t>
            </w:r>
          </w:p>
          <w:p w:rsidR="00841542" w:rsidRDefault="00841542" w:rsidP="00EB7657">
            <w:pPr>
              <w:rPr>
                <w:rFonts w:ascii="Arial" w:hAnsi="Arial" w:cs="Arial"/>
              </w:rPr>
            </w:pPr>
          </w:p>
          <w:p w:rsidR="00543122" w:rsidRPr="009147E0" w:rsidRDefault="00543122" w:rsidP="00EB7657">
            <w:pPr>
              <w:rPr>
                <w:rFonts w:ascii="Arial" w:hAnsi="Arial" w:cs="Arial"/>
              </w:rPr>
            </w:pPr>
            <w:r w:rsidRPr="009147E0">
              <w:rPr>
                <w:rFonts w:ascii="Arial" w:hAnsi="Arial" w:cs="Arial"/>
              </w:rPr>
              <w:t>The PBAC recommended that implementation of this recommendation should be implemented alongside the cessation of the Herceptin program. Listing of trastuzumab on the PBS supports evidence based clinical practice, ensuring patient equity and improving cost effectiveness of trastuzumab, noting that it is a necessary partner for pertuzumab in an even more effective combination.</w:t>
            </w:r>
          </w:p>
          <w:p w:rsidR="00543122" w:rsidRDefault="00543122" w:rsidP="00EB7657">
            <w:pPr>
              <w:rPr>
                <w:rFonts w:ascii="Arial" w:hAnsi="Arial" w:cs="Arial"/>
              </w:rPr>
            </w:pPr>
          </w:p>
          <w:p w:rsidR="00841542" w:rsidRDefault="00841542" w:rsidP="00EB7657">
            <w:pPr>
              <w:rPr>
                <w:rFonts w:ascii="Arial" w:hAnsi="Arial" w:cs="Arial"/>
              </w:rPr>
            </w:pPr>
            <w:r w:rsidRPr="00841542">
              <w:rPr>
                <w:rFonts w:ascii="Arial" w:hAnsi="Arial" w:cs="Arial"/>
              </w:rPr>
              <w:t>The PBAC reaffirmed its previous comments on the Herceptin program – specifically that for 14 years this program has provided an effective drug to patients with HER2 positive metastatic breast cancer at very high ICERs (approximately $100,000/QALY for first-line use and close to $300,000/QALY for later-line use). The PBAC noted that the cost to government was greatly in excess of predicted costs for the Herceptin program. The Herceptin program has in some instances served as a barrier to adoption of best practice evidence-based prescribing. For example the Herceptin program does not support the use of trastuzumab with non-taxane chemotherapy partners (eg vinorelbine, capecitabine).</w:t>
            </w:r>
          </w:p>
          <w:p w:rsidR="00841542" w:rsidRDefault="00841542" w:rsidP="00EB7657">
            <w:pPr>
              <w:rPr>
                <w:rFonts w:ascii="Arial" w:hAnsi="Arial" w:cs="Arial"/>
              </w:rPr>
            </w:pPr>
          </w:p>
          <w:p w:rsidR="00841542" w:rsidRPr="009147E0" w:rsidRDefault="00841542" w:rsidP="00EB7657">
            <w:pPr>
              <w:rPr>
                <w:rFonts w:ascii="Arial" w:hAnsi="Arial" w:cs="Arial"/>
              </w:rPr>
            </w:pPr>
            <w:r w:rsidRPr="00841542">
              <w:rPr>
                <w:rFonts w:ascii="Arial" w:hAnsi="Arial" w:cs="Arial"/>
              </w:rPr>
              <w:t>The PBAC noted that its recommended restrictions for both pertuzumab and trastuzumab are complex, with one course of pertuzumab to be subsidised per patient lifetime. It was noted that the restrictions should reflect current evidence and legitimise clinical practice by allowing use of trastuzumab beyond progression and a range of partner chemotherapy options, with the exception of nab-paclitaxel. The PBAC noted that the restrictions should ensure that patients currently accessing trastuzumab on the Herceptin program would continue to have access trastuzumab through the PBS. The finalised restrictions for trastuzumab and pertuzumab would also have flow-on consequences for the lapatinib restriction.</w:t>
            </w:r>
          </w:p>
        </w:tc>
      </w:tr>
      <w:tr w:rsidR="00543122" w:rsidRPr="009147E0" w:rsidTr="00CB2D1B">
        <w:trPr>
          <w:cantSplit/>
          <w:trHeight w:val="430"/>
        </w:trPr>
        <w:tc>
          <w:tcPr>
            <w:tcW w:w="3118" w:type="dxa"/>
            <w:shd w:val="clear" w:color="auto" w:fill="auto"/>
            <w:tcMar>
              <w:top w:w="28" w:type="dxa"/>
              <w:bottom w:w="28" w:type="dxa"/>
            </w:tcMar>
          </w:tcPr>
          <w:p w:rsidR="00543122" w:rsidRPr="00CB2D1B" w:rsidRDefault="00543122" w:rsidP="00CB2D1B">
            <w:pPr>
              <w:pStyle w:val="BodyText"/>
              <w:spacing w:after="0" w:line="240" w:lineRule="auto"/>
              <w:rPr>
                <w:rFonts w:cs="Arial"/>
                <w:b/>
                <w:szCs w:val="20"/>
              </w:rPr>
            </w:pPr>
            <w:r w:rsidRPr="00CB2D1B">
              <w:rPr>
                <w:rFonts w:cs="Arial"/>
                <w:b/>
                <w:szCs w:val="20"/>
              </w:rPr>
              <w:lastRenderedPageBreak/>
              <w:t>ZOSTER VIRUS VACCINE LIVE</w:t>
            </w:r>
          </w:p>
          <w:p w:rsidR="00543122" w:rsidRPr="00CB2D1B" w:rsidRDefault="00543122" w:rsidP="00CB2D1B">
            <w:pPr>
              <w:pStyle w:val="BodyText"/>
              <w:spacing w:after="0" w:line="240" w:lineRule="auto"/>
              <w:rPr>
                <w:rFonts w:cs="Arial"/>
                <w:szCs w:val="20"/>
              </w:rPr>
            </w:pPr>
            <w:r w:rsidRPr="00CB2D1B">
              <w:rPr>
                <w:rFonts w:cs="Arial"/>
                <w:szCs w:val="20"/>
              </w:rPr>
              <w:t>0.65 mL injection, prefilled syringe</w:t>
            </w:r>
          </w:p>
          <w:p w:rsidR="00543122" w:rsidRPr="009147E0" w:rsidRDefault="00543122" w:rsidP="00EB7657">
            <w:pPr>
              <w:widowControl w:val="0"/>
              <w:jc w:val="both"/>
              <w:rPr>
                <w:rFonts w:ascii="Arial" w:hAnsi="Arial" w:cs="Arial"/>
              </w:rPr>
            </w:pPr>
          </w:p>
          <w:p w:rsidR="00543122" w:rsidRPr="009147E0" w:rsidRDefault="00543122" w:rsidP="00EB7657">
            <w:pPr>
              <w:widowControl w:val="0"/>
              <w:jc w:val="both"/>
              <w:rPr>
                <w:rFonts w:ascii="Arial" w:hAnsi="Arial" w:cs="Arial"/>
              </w:rPr>
            </w:pPr>
            <w:r w:rsidRPr="009147E0">
              <w:rPr>
                <w:rFonts w:ascii="Arial" w:hAnsi="Arial" w:cs="Arial"/>
              </w:rPr>
              <w:t>Zostavax®</w:t>
            </w:r>
          </w:p>
          <w:p w:rsidR="00543122" w:rsidRPr="009147E0" w:rsidRDefault="00543122" w:rsidP="00EB7657">
            <w:pPr>
              <w:widowControl w:val="0"/>
              <w:jc w:val="both"/>
              <w:rPr>
                <w:rFonts w:ascii="Arial" w:hAnsi="Arial" w:cs="Arial"/>
              </w:rPr>
            </w:pPr>
          </w:p>
          <w:p w:rsidR="00543122" w:rsidRPr="009147E0" w:rsidRDefault="00543122" w:rsidP="00EB7657">
            <w:pPr>
              <w:widowControl w:val="0"/>
              <w:jc w:val="both"/>
              <w:rPr>
                <w:rFonts w:ascii="Arial" w:hAnsi="Arial" w:cs="Arial"/>
              </w:rPr>
            </w:pPr>
            <w:r w:rsidRPr="009147E0">
              <w:rPr>
                <w:rFonts w:ascii="Arial" w:hAnsi="Arial" w:cs="Arial"/>
              </w:rPr>
              <w:t>bioCSL (Australia) Pty Ltd</w:t>
            </w:r>
          </w:p>
          <w:p w:rsidR="00543122" w:rsidRPr="009147E0" w:rsidRDefault="00543122" w:rsidP="00EB7657">
            <w:pPr>
              <w:widowControl w:val="0"/>
              <w:jc w:val="both"/>
              <w:rPr>
                <w:rFonts w:ascii="Arial" w:hAnsi="Arial" w:cs="Arial"/>
              </w:rPr>
            </w:pPr>
          </w:p>
          <w:p w:rsidR="00543122" w:rsidRPr="009147E0" w:rsidRDefault="00543122" w:rsidP="00EB7657">
            <w:pPr>
              <w:widowControl w:val="0"/>
              <w:jc w:val="both"/>
              <w:rPr>
                <w:rFonts w:ascii="Arial" w:hAnsi="Arial" w:cs="Arial"/>
              </w:rPr>
            </w:pPr>
            <w:r w:rsidRPr="009147E0">
              <w:rPr>
                <w:rFonts w:ascii="Arial" w:hAnsi="Arial" w:cs="Arial"/>
              </w:rPr>
              <w:t>New listing</w:t>
            </w:r>
          </w:p>
          <w:p w:rsidR="00543122" w:rsidRPr="009147E0" w:rsidRDefault="00543122" w:rsidP="00EB7657">
            <w:pPr>
              <w:widowControl w:val="0"/>
              <w:jc w:val="both"/>
              <w:rPr>
                <w:rFonts w:ascii="Arial" w:hAnsi="Arial" w:cs="Arial"/>
              </w:rPr>
            </w:pPr>
          </w:p>
          <w:p w:rsidR="00543122" w:rsidRPr="009147E0" w:rsidRDefault="00543122" w:rsidP="00EB7657">
            <w:pPr>
              <w:widowControl w:val="0"/>
              <w:jc w:val="both"/>
              <w:rPr>
                <w:rFonts w:ascii="Arial" w:hAnsi="Arial" w:cs="Arial"/>
              </w:rPr>
            </w:pPr>
            <w:r w:rsidRPr="009147E0">
              <w:rPr>
                <w:rFonts w:ascii="Arial" w:hAnsi="Arial" w:cs="Arial"/>
              </w:rPr>
              <w:t>(Major submission)</w:t>
            </w:r>
          </w:p>
          <w:p w:rsidR="00543122" w:rsidRPr="009147E0" w:rsidRDefault="00543122" w:rsidP="00EB7657">
            <w:pPr>
              <w:widowControl w:val="0"/>
              <w:jc w:val="both"/>
              <w:rPr>
                <w:rFonts w:ascii="Arial" w:hAnsi="Arial" w:cs="Arial"/>
              </w:rPr>
            </w:pPr>
          </w:p>
        </w:tc>
        <w:tc>
          <w:tcPr>
            <w:tcW w:w="2262" w:type="dxa"/>
            <w:shd w:val="clear" w:color="auto" w:fill="auto"/>
            <w:tcMar>
              <w:top w:w="28" w:type="dxa"/>
              <w:bottom w:w="28" w:type="dxa"/>
            </w:tcMar>
          </w:tcPr>
          <w:p w:rsidR="00543122" w:rsidRPr="009147E0" w:rsidRDefault="00543122" w:rsidP="00263F7F">
            <w:pPr>
              <w:widowControl w:val="0"/>
              <w:rPr>
                <w:rFonts w:ascii="Arial" w:hAnsi="Arial" w:cs="Arial"/>
              </w:rPr>
            </w:pPr>
            <w:r w:rsidRPr="009147E0">
              <w:rPr>
                <w:rFonts w:ascii="Arial" w:hAnsi="Arial" w:cs="Arial"/>
              </w:rPr>
              <w:t>Immunisation against herpes zoster (shingles)</w:t>
            </w:r>
          </w:p>
          <w:p w:rsidR="00543122" w:rsidRPr="009147E0" w:rsidRDefault="00543122" w:rsidP="00263F7F">
            <w:pPr>
              <w:widowControl w:val="0"/>
              <w:rPr>
                <w:rFonts w:ascii="Arial" w:hAnsi="Arial" w:cs="Arial"/>
              </w:rPr>
            </w:pPr>
          </w:p>
        </w:tc>
        <w:tc>
          <w:tcPr>
            <w:tcW w:w="2987" w:type="dxa"/>
            <w:shd w:val="clear" w:color="auto" w:fill="auto"/>
            <w:tcMar>
              <w:top w:w="28" w:type="dxa"/>
              <w:bottom w:w="28" w:type="dxa"/>
            </w:tcMar>
          </w:tcPr>
          <w:p w:rsidR="00543122" w:rsidRPr="009147E0" w:rsidRDefault="00543122" w:rsidP="0030506D">
            <w:pPr>
              <w:widowControl w:val="0"/>
              <w:rPr>
                <w:rFonts w:ascii="Arial" w:hAnsi="Arial" w:cs="Arial"/>
              </w:rPr>
            </w:pPr>
            <w:r w:rsidRPr="009147E0">
              <w:rPr>
                <w:rFonts w:ascii="Arial" w:hAnsi="Arial" w:cs="Arial"/>
              </w:rPr>
              <w:t>National Immunisation Program (NIP) li</w:t>
            </w:r>
            <w:r w:rsidR="0030506D">
              <w:rPr>
                <w:rFonts w:ascii="Arial" w:hAnsi="Arial" w:cs="Arial"/>
              </w:rPr>
              <w:t>sting for an o</w:t>
            </w:r>
            <w:r w:rsidR="0030506D" w:rsidRPr="0030506D">
              <w:rPr>
                <w:rFonts w:ascii="Arial" w:hAnsi="Arial" w:cs="Arial"/>
              </w:rPr>
              <w:t>ngoing cohort of 70 year old individuals</w:t>
            </w:r>
            <w:r w:rsidR="0030506D">
              <w:rPr>
                <w:rFonts w:ascii="Arial" w:hAnsi="Arial" w:cs="Arial"/>
              </w:rPr>
              <w:t xml:space="preserve"> and a catch</w:t>
            </w:r>
            <w:r w:rsidR="0030506D" w:rsidRPr="0030506D">
              <w:rPr>
                <w:rFonts w:ascii="Arial" w:hAnsi="Arial" w:cs="Arial"/>
              </w:rPr>
              <w:t>-up cohort for individuals aged 71-79 years</w:t>
            </w:r>
            <w:r w:rsidR="0030506D">
              <w:rPr>
                <w:rFonts w:ascii="Arial" w:hAnsi="Arial" w:cs="Arial"/>
              </w:rPr>
              <w:t>.</w:t>
            </w:r>
            <w:r w:rsidR="0030506D" w:rsidRPr="0030506D">
              <w:rPr>
                <w:rFonts w:ascii="Arial" w:hAnsi="Arial" w:cs="Arial"/>
              </w:rPr>
              <w:t xml:space="preserve"> </w:t>
            </w:r>
            <w:r w:rsidR="0030506D" w:rsidRPr="009147E0">
              <w:rPr>
                <w:rFonts w:ascii="Arial" w:hAnsi="Arial" w:cs="Arial"/>
              </w:rPr>
              <w:t xml:space="preserve"> </w:t>
            </w:r>
          </w:p>
        </w:tc>
        <w:tc>
          <w:tcPr>
            <w:tcW w:w="7192" w:type="dxa"/>
          </w:tcPr>
          <w:p w:rsidR="00543122" w:rsidRPr="009147E0" w:rsidRDefault="00543122" w:rsidP="00EB7657">
            <w:pPr>
              <w:widowControl w:val="0"/>
              <w:jc w:val="both"/>
              <w:rPr>
                <w:rFonts w:ascii="Arial" w:hAnsi="Arial" w:cs="Arial"/>
              </w:rPr>
            </w:pPr>
            <w:r w:rsidRPr="009147E0">
              <w:rPr>
                <w:rFonts w:ascii="Arial" w:hAnsi="Arial" w:cs="Arial"/>
              </w:rPr>
              <w:t>The PBAC recommended the listing of zoster virus vaccine live on the National Immunisation Program (NIP) for the vaccination of immunocompetent persons aged 70 years, and a catch-up cohort of immunocompet</w:t>
            </w:r>
            <w:r w:rsidR="00841542">
              <w:rPr>
                <w:rFonts w:ascii="Arial" w:hAnsi="Arial" w:cs="Arial"/>
              </w:rPr>
              <w:t xml:space="preserve">ent persons aged 71 to 79 years, at a lower price than proposed in the submission. </w:t>
            </w:r>
          </w:p>
          <w:p w:rsidR="00543122" w:rsidRPr="009147E0" w:rsidRDefault="00543122" w:rsidP="00EB7657">
            <w:pPr>
              <w:widowControl w:val="0"/>
              <w:jc w:val="both"/>
              <w:rPr>
                <w:rFonts w:ascii="Arial" w:hAnsi="Arial" w:cs="Arial"/>
              </w:rPr>
            </w:pPr>
          </w:p>
          <w:p w:rsidR="00543122" w:rsidRPr="009147E0" w:rsidRDefault="00543122" w:rsidP="00EB7657">
            <w:pPr>
              <w:widowControl w:val="0"/>
              <w:jc w:val="both"/>
              <w:rPr>
                <w:rFonts w:ascii="Arial" w:hAnsi="Arial" w:cs="Arial"/>
              </w:rPr>
            </w:pPr>
            <w:r w:rsidRPr="009147E0">
              <w:rPr>
                <w:rFonts w:ascii="Arial" w:hAnsi="Arial" w:cs="Arial"/>
              </w:rPr>
              <w:t>The PBAC considered that a claim of superior comparative effectiveness of zoster virus vaccine to placebo was reasonable, noting that the vaccine was not as effective in the 70-79 year age group compared to the 60-69 year age group for reducing incidence of zoster. However, the vaccine appears to be more effective in the reduction of post herpetic neuralgia (PHN) in the 70-79 year age group.</w:t>
            </w:r>
          </w:p>
          <w:p w:rsidR="00543122" w:rsidRPr="009147E0" w:rsidRDefault="00543122" w:rsidP="00EB7657">
            <w:pPr>
              <w:widowControl w:val="0"/>
              <w:jc w:val="both"/>
              <w:rPr>
                <w:rFonts w:ascii="Arial" w:hAnsi="Arial" w:cs="Arial"/>
              </w:rPr>
            </w:pPr>
          </w:p>
          <w:p w:rsidR="00543122" w:rsidRPr="009147E0" w:rsidRDefault="00543122" w:rsidP="00EB7657">
            <w:pPr>
              <w:widowControl w:val="0"/>
              <w:jc w:val="both"/>
              <w:rPr>
                <w:rFonts w:ascii="Arial" w:hAnsi="Arial" w:cs="Arial"/>
              </w:rPr>
            </w:pPr>
            <w:r w:rsidRPr="009147E0">
              <w:rPr>
                <w:rFonts w:ascii="Arial" w:hAnsi="Arial" w:cs="Arial"/>
              </w:rPr>
              <w:t xml:space="preserve">Assuming vaccine efficacy is maintained for 10 years (the duration suggested in the evaluation based on the approximate duration of the SPS, STPS and LTPS </w:t>
            </w:r>
            <w:r w:rsidR="00841542">
              <w:rPr>
                <w:rFonts w:ascii="Arial" w:hAnsi="Arial" w:cs="Arial"/>
              </w:rPr>
              <w:t xml:space="preserve">trials </w:t>
            </w:r>
            <w:r w:rsidRPr="009147E0">
              <w:rPr>
                <w:rFonts w:ascii="Arial" w:hAnsi="Arial" w:cs="Arial"/>
              </w:rPr>
              <w:t>combined), the evidence presented in the re-submission suggests that for every 1000 people (ITT) receiving zoster vaccination, compared with those who are unvaccinated:</w:t>
            </w:r>
          </w:p>
          <w:p w:rsidR="00543122" w:rsidRPr="009147E0" w:rsidRDefault="00543122" w:rsidP="00EB7657">
            <w:pPr>
              <w:pStyle w:val="ListParagraph"/>
              <w:widowControl w:val="0"/>
              <w:numPr>
                <w:ilvl w:val="0"/>
                <w:numId w:val="21"/>
              </w:numPr>
              <w:jc w:val="both"/>
              <w:rPr>
                <w:rFonts w:ascii="Arial" w:eastAsia="Times New Roman" w:hAnsi="Arial" w:cs="Arial"/>
                <w:sz w:val="20"/>
                <w:szCs w:val="20"/>
              </w:rPr>
            </w:pPr>
            <w:r w:rsidRPr="009147E0">
              <w:rPr>
                <w:rFonts w:ascii="Arial" w:eastAsia="Times New Roman" w:hAnsi="Arial" w:cs="Arial"/>
                <w:sz w:val="20"/>
                <w:szCs w:val="20"/>
              </w:rPr>
              <w:t>Between 38 and 57 more people would avoid a case of zoster; and</w:t>
            </w:r>
          </w:p>
          <w:p w:rsidR="00543122" w:rsidRPr="009147E0" w:rsidRDefault="00543122" w:rsidP="00EB7657">
            <w:pPr>
              <w:pStyle w:val="ListParagraph"/>
              <w:widowControl w:val="0"/>
              <w:numPr>
                <w:ilvl w:val="0"/>
                <w:numId w:val="21"/>
              </w:numPr>
              <w:jc w:val="both"/>
              <w:rPr>
                <w:rFonts w:ascii="Arial" w:eastAsia="Times New Roman" w:hAnsi="Arial" w:cs="Arial"/>
                <w:sz w:val="20"/>
                <w:szCs w:val="20"/>
              </w:rPr>
            </w:pPr>
            <w:r w:rsidRPr="009147E0">
              <w:rPr>
                <w:rFonts w:ascii="Arial" w:eastAsia="Times New Roman" w:hAnsi="Arial" w:cs="Arial"/>
                <w:sz w:val="20"/>
                <w:szCs w:val="20"/>
              </w:rPr>
              <w:t>Between 6 and 11 more people would avoid a case of PHN.</w:t>
            </w:r>
          </w:p>
          <w:p w:rsidR="00543122" w:rsidRDefault="00543122" w:rsidP="009F0DC3">
            <w:pPr>
              <w:widowControl w:val="0"/>
              <w:ind w:firstLine="567"/>
              <w:jc w:val="both"/>
              <w:rPr>
                <w:rFonts w:ascii="Arial" w:hAnsi="Arial" w:cs="Arial"/>
              </w:rPr>
            </w:pPr>
          </w:p>
          <w:p w:rsidR="009F0DC3" w:rsidRDefault="009F0DC3" w:rsidP="009F0DC3">
            <w:pPr>
              <w:widowControl w:val="0"/>
              <w:jc w:val="both"/>
              <w:rPr>
                <w:rFonts w:ascii="Arial" w:hAnsi="Arial" w:cs="Arial"/>
              </w:rPr>
            </w:pPr>
            <w:r>
              <w:rPr>
                <w:rFonts w:ascii="Arial" w:hAnsi="Arial" w:cs="Arial"/>
              </w:rPr>
              <w:t xml:space="preserve">The PBAC considered that the most uncertain input into the economic model was the duration of vaccine efficacy. </w:t>
            </w:r>
            <w:r w:rsidRPr="009F0DC3">
              <w:rPr>
                <w:rFonts w:ascii="Arial" w:hAnsi="Arial" w:cs="Arial"/>
              </w:rPr>
              <w:t xml:space="preserve">Overall, the PBAC considered that the estimate of duration of vaccine efficacy in the 70+year old cohort for both prevention of zoster and prevention of PHN should be 7 years to inform the respecified base case. The PBAC noted that this estimate of the duration of vaccine efficacy was lower than the estimates in the re-submission and the range of 10-13 years considered during decision making for the 60 year old ongoing cohort </w:t>
            </w:r>
            <w:r w:rsidR="00F26955">
              <w:rPr>
                <w:rFonts w:ascii="Arial" w:hAnsi="Arial" w:cs="Arial"/>
              </w:rPr>
              <w:t xml:space="preserve">and </w:t>
            </w:r>
            <w:r w:rsidRPr="009F0DC3">
              <w:rPr>
                <w:rFonts w:ascii="Arial" w:hAnsi="Arial" w:cs="Arial"/>
              </w:rPr>
              <w:t>the catch-up cohort for individuals aged 61-79 years in the previous submission.</w:t>
            </w:r>
          </w:p>
          <w:p w:rsidR="009F0DC3" w:rsidRPr="009147E0" w:rsidRDefault="009F0DC3" w:rsidP="009F0DC3">
            <w:pPr>
              <w:widowControl w:val="0"/>
              <w:jc w:val="both"/>
              <w:rPr>
                <w:rFonts w:ascii="Arial" w:hAnsi="Arial" w:cs="Arial"/>
              </w:rPr>
            </w:pPr>
          </w:p>
          <w:p w:rsidR="00543122" w:rsidRPr="009147E0" w:rsidRDefault="009F0DC3" w:rsidP="00EB7657">
            <w:pPr>
              <w:widowControl w:val="0"/>
              <w:jc w:val="both"/>
              <w:rPr>
                <w:rFonts w:ascii="Arial" w:hAnsi="Arial" w:cs="Arial"/>
              </w:rPr>
            </w:pPr>
            <w:r>
              <w:rPr>
                <w:rFonts w:ascii="Arial" w:hAnsi="Arial" w:cs="Arial"/>
              </w:rPr>
              <w:t>Given the uncertainty of the duration of the efficacy of this vaccine against zoster and PHN and the proposed large outlay by Government, t</w:t>
            </w:r>
            <w:r w:rsidR="00543122" w:rsidRPr="009147E0">
              <w:rPr>
                <w:rFonts w:ascii="Arial" w:hAnsi="Arial" w:cs="Arial"/>
              </w:rPr>
              <w:t xml:space="preserve">he PBAC agreed with the Australian Technical Advisory Group on Immunisation (ATAGI) that the establishment of an adult vaccination register is high priority. </w:t>
            </w:r>
          </w:p>
          <w:p w:rsidR="00543122" w:rsidRPr="009147E0" w:rsidRDefault="00543122" w:rsidP="00EB7657">
            <w:pPr>
              <w:widowControl w:val="0"/>
              <w:jc w:val="both"/>
              <w:rPr>
                <w:rFonts w:ascii="Arial" w:hAnsi="Arial" w:cs="Arial"/>
              </w:rPr>
            </w:pPr>
          </w:p>
        </w:tc>
      </w:tr>
    </w:tbl>
    <w:p w:rsidR="00E066EF" w:rsidRPr="009147E0" w:rsidRDefault="00E066EF" w:rsidP="00450BC1">
      <w:pPr>
        <w:tabs>
          <w:tab w:val="left" w:pos="5210"/>
        </w:tabs>
        <w:rPr>
          <w:rFonts w:ascii="Arial" w:hAnsi="Arial" w:cs="Arial"/>
          <w:lang w:val="en-US"/>
        </w:rPr>
      </w:pPr>
    </w:p>
    <w:sectPr w:rsidR="00E066EF" w:rsidRPr="009147E0" w:rsidSect="00CB2D1B">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720" w:right="720" w:bottom="720" w:left="72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5612" w:rsidRDefault="00475612">
      <w:r>
        <w:separator/>
      </w:r>
    </w:p>
  </w:endnote>
  <w:endnote w:type="continuationSeparator" w:id="0">
    <w:p w:rsidR="00475612" w:rsidRDefault="00475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C21AE1" w:rsidP="00FE2A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21AE1" w:rsidRDefault="00C21AE1" w:rsidP="00FE2A8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Pr="00CE0CBC" w:rsidRDefault="00C21AE1" w:rsidP="00FE2A81">
    <w:pPr>
      <w:pStyle w:val="Footer"/>
      <w:framePr w:wrap="around" w:vAnchor="text" w:hAnchor="margin" w:xAlign="right" w:y="1"/>
      <w:rPr>
        <w:rStyle w:val="PageNumber"/>
        <w:rFonts w:ascii="Arial" w:hAnsi="Arial" w:cs="Arial"/>
      </w:rPr>
    </w:pPr>
    <w:r w:rsidRPr="00CE0CBC">
      <w:rPr>
        <w:rStyle w:val="PageNumber"/>
        <w:rFonts w:ascii="Arial" w:hAnsi="Arial" w:cs="Arial"/>
      </w:rPr>
      <w:fldChar w:fldCharType="begin"/>
    </w:r>
    <w:r w:rsidRPr="00CE0CBC">
      <w:rPr>
        <w:rStyle w:val="PageNumber"/>
        <w:rFonts w:ascii="Arial" w:hAnsi="Arial" w:cs="Arial"/>
      </w:rPr>
      <w:instrText xml:space="preserve">PAGE  </w:instrText>
    </w:r>
    <w:r w:rsidRPr="00CE0CBC">
      <w:rPr>
        <w:rStyle w:val="PageNumber"/>
        <w:rFonts w:ascii="Arial" w:hAnsi="Arial" w:cs="Arial"/>
      </w:rPr>
      <w:fldChar w:fldCharType="separate"/>
    </w:r>
    <w:r w:rsidR="002719BD">
      <w:rPr>
        <w:rStyle w:val="PageNumber"/>
        <w:rFonts w:ascii="Arial" w:hAnsi="Arial" w:cs="Arial"/>
        <w:noProof/>
      </w:rPr>
      <w:t>2</w:t>
    </w:r>
    <w:r w:rsidRPr="00CE0CBC">
      <w:rPr>
        <w:rStyle w:val="PageNumber"/>
        <w:rFonts w:ascii="Arial" w:hAnsi="Arial" w:cs="Arial"/>
      </w:rPr>
      <w:fldChar w:fldCharType="end"/>
    </w:r>
  </w:p>
  <w:p w:rsidR="00C21AE1" w:rsidRDefault="00C21AE1" w:rsidP="00FE2A81">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24" w:rsidRDefault="00B10C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5612" w:rsidRDefault="00475612">
      <w:r>
        <w:separator/>
      </w:r>
    </w:p>
  </w:footnote>
  <w:footnote w:type="continuationSeparator" w:id="0">
    <w:p w:rsidR="00475612" w:rsidRDefault="00475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24" w:rsidRDefault="00B10C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1AE1" w:rsidRDefault="0005440F" w:rsidP="007D408D">
    <w:pPr>
      <w:pStyle w:val="Header"/>
      <w:jc w:val="center"/>
      <w:rPr>
        <w:rFonts w:ascii="Arial" w:hAnsi="Arial" w:cs="Arial"/>
        <w:b/>
        <w:snapToGrid w:val="0"/>
        <w:lang w:eastAsia="en-US"/>
      </w:rPr>
    </w:pPr>
    <w:r>
      <w:rPr>
        <w:rFonts w:ascii="Arial" w:hAnsi="Arial" w:cs="Arial"/>
        <w:b/>
        <w:snapToGrid w:val="0"/>
        <w:lang w:eastAsia="en-US"/>
      </w:rPr>
      <w:t>NOVEMBER</w:t>
    </w:r>
    <w:r w:rsidR="00C21AE1">
      <w:rPr>
        <w:rFonts w:ascii="Arial" w:hAnsi="Arial" w:cs="Arial"/>
        <w:b/>
        <w:snapToGrid w:val="0"/>
        <w:lang w:eastAsia="en-US"/>
      </w:rPr>
      <w:t xml:space="preserve"> 2014 PBAC MEETING </w:t>
    </w:r>
    <w:r w:rsidR="00FE54F6">
      <w:rPr>
        <w:rFonts w:ascii="Arial" w:hAnsi="Arial" w:cs="Arial"/>
        <w:b/>
        <w:snapToGrid w:val="0"/>
        <w:lang w:eastAsia="en-US"/>
      </w:rPr>
      <w:t>– POSITIVE RECOMMENDATIONS</w:t>
    </w:r>
  </w:p>
  <w:p w:rsidR="00C21AE1" w:rsidRDefault="00C21AE1" w:rsidP="007D408D">
    <w:pPr>
      <w:pStyle w:val="Header"/>
      <w:jc w:val="center"/>
      <w:rPr>
        <w:rFonts w:ascii="Arial" w:hAnsi="Arial" w:cs="Arial"/>
        <w:b/>
        <w:snapToGrid w:val="0"/>
        <w:lang w:eastAsia="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0C24" w:rsidRDefault="00B10C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30DD2"/>
    <w:multiLevelType w:val="hybridMultilevel"/>
    <w:tmpl w:val="CD6E6D48"/>
    <w:lvl w:ilvl="0" w:tplc="B55ADCF4">
      <w:start w:val="43"/>
      <w:numFmt w:val="bullet"/>
      <w:lvlText w:val="-"/>
      <w:lvlJc w:val="left"/>
      <w:pPr>
        <w:ind w:left="949" w:hanging="360"/>
      </w:pPr>
      <w:rPr>
        <w:rFonts w:ascii="Arial" w:eastAsia="Times New Roman" w:hAnsi="Arial" w:cs="Arial" w:hint="default"/>
      </w:rPr>
    </w:lvl>
    <w:lvl w:ilvl="1" w:tplc="0C090003" w:tentative="1">
      <w:start w:val="1"/>
      <w:numFmt w:val="bullet"/>
      <w:lvlText w:val="o"/>
      <w:lvlJc w:val="left"/>
      <w:pPr>
        <w:ind w:left="1669" w:hanging="360"/>
      </w:pPr>
      <w:rPr>
        <w:rFonts w:ascii="Courier New" w:hAnsi="Courier New" w:cs="Courier New" w:hint="default"/>
      </w:rPr>
    </w:lvl>
    <w:lvl w:ilvl="2" w:tplc="0C090005" w:tentative="1">
      <w:start w:val="1"/>
      <w:numFmt w:val="bullet"/>
      <w:lvlText w:val=""/>
      <w:lvlJc w:val="left"/>
      <w:pPr>
        <w:ind w:left="2389" w:hanging="360"/>
      </w:pPr>
      <w:rPr>
        <w:rFonts w:ascii="Wingdings" w:hAnsi="Wingdings" w:hint="default"/>
      </w:rPr>
    </w:lvl>
    <w:lvl w:ilvl="3" w:tplc="0C090001" w:tentative="1">
      <w:start w:val="1"/>
      <w:numFmt w:val="bullet"/>
      <w:lvlText w:val=""/>
      <w:lvlJc w:val="left"/>
      <w:pPr>
        <w:ind w:left="3109" w:hanging="360"/>
      </w:pPr>
      <w:rPr>
        <w:rFonts w:ascii="Symbol" w:hAnsi="Symbol" w:hint="default"/>
      </w:rPr>
    </w:lvl>
    <w:lvl w:ilvl="4" w:tplc="0C090003" w:tentative="1">
      <w:start w:val="1"/>
      <w:numFmt w:val="bullet"/>
      <w:lvlText w:val="o"/>
      <w:lvlJc w:val="left"/>
      <w:pPr>
        <w:ind w:left="3829" w:hanging="360"/>
      </w:pPr>
      <w:rPr>
        <w:rFonts w:ascii="Courier New" w:hAnsi="Courier New" w:cs="Courier New" w:hint="default"/>
      </w:rPr>
    </w:lvl>
    <w:lvl w:ilvl="5" w:tplc="0C090005" w:tentative="1">
      <w:start w:val="1"/>
      <w:numFmt w:val="bullet"/>
      <w:lvlText w:val=""/>
      <w:lvlJc w:val="left"/>
      <w:pPr>
        <w:ind w:left="4549" w:hanging="360"/>
      </w:pPr>
      <w:rPr>
        <w:rFonts w:ascii="Wingdings" w:hAnsi="Wingdings" w:hint="default"/>
      </w:rPr>
    </w:lvl>
    <w:lvl w:ilvl="6" w:tplc="0C090001" w:tentative="1">
      <w:start w:val="1"/>
      <w:numFmt w:val="bullet"/>
      <w:lvlText w:val=""/>
      <w:lvlJc w:val="left"/>
      <w:pPr>
        <w:ind w:left="5269" w:hanging="360"/>
      </w:pPr>
      <w:rPr>
        <w:rFonts w:ascii="Symbol" w:hAnsi="Symbol" w:hint="default"/>
      </w:rPr>
    </w:lvl>
    <w:lvl w:ilvl="7" w:tplc="0C090003" w:tentative="1">
      <w:start w:val="1"/>
      <w:numFmt w:val="bullet"/>
      <w:lvlText w:val="o"/>
      <w:lvlJc w:val="left"/>
      <w:pPr>
        <w:ind w:left="5989" w:hanging="360"/>
      </w:pPr>
      <w:rPr>
        <w:rFonts w:ascii="Courier New" w:hAnsi="Courier New" w:cs="Courier New" w:hint="default"/>
      </w:rPr>
    </w:lvl>
    <w:lvl w:ilvl="8" w:tplc="0C090005" w:tentative="1">
      <w:start w:val="1"/>
      <w:numFmt w:val="bullet"/>
      <w:lvlText w:val=""/>
      <w:lvlJc w:val="left"/>
      <w:pPr>
        <w:ind w:left="6709" w:hanging="360"/>
      </w:pPr>
      <w:rPr>
        <w:rFonts w:ascii="Wingdings" w:hAnsi="Wingdings" w:hint="default"/>
      </w:rPr>
    </w:lvl>
  </w:abstractNum>
  <w:abstractNum w:abstractNumId="1">
    <w:nsid w:val="04DB6EC1"/>
    <w:multiLevelType w:val="hybridMultilevel"/>
    <w:tmpl w:val="4762CBFE"/>
    <w:lvl w:ilvl="0" w:tplc="04090001">
      <w:start w:val="1"/>
      <w:numFmt w:val="bullet"/>
      <w:lvlText w:val=""/>
      <w:lvlJc w:val="left"/>
      <w:pPr>
        <w:ind w:left="647" w:hanging="360"/>
      </w:pPr>
      <w:rPr>
        <w:rFonts w:ascii="Symbol" w:hAnsi="Symbol" w:hint="default"/>
      </w:rPr>
    </w:lvl>
    <w:lvl w:ilvl="1" w:tplc="78746994">
      <w:start w:val="3"/>
      <w:numFmt w:val="bullet"/>
      <w:lvlText w:val="-"/>
      <w:lvlJc w:val="left"/>
      <w:pPr>
        <w:ind w:left="14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A178B9"/>
    <w:multiLevelType w:val="hybridMultilevel"/>
    <w:tmpl w:val="5CF0F4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785221F"/>
    <w:multiLevelType w:val="hybridMultilevel"/>
    <w:tmpl w:val="8C4852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893311C"/>
    <w:multiLevelType w:val="hybridMultilevel"/>
    <w:tmpl w:val="FB4054EE"/>
    <w:lvl w:ilvl="0" w:tplc="B3426A64">
      <w:numFmt w:val="bullet"/>
      <w:lvlText w:val="•"/>
      <w:lvlJc w:val="left"/>
      <w:pPr>
        <w:ind w:left="930" w:hanging="57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0C485E5F"/>
    <w:multiLevelType w:val="hybridMultilevel"/>
    <w:tmpl w:val="690EBFA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3F002E5"/>
    <w:multiLevelType w:val="hybridMultilevel"/>
    <w:tmpl w:val="8F9CE5CA"/>
    <w:lvl w:ilvl="0" w:tplc="3C04F0CA">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3D2DC2"/>
    <w:multiLevelType w:val="hybridMultilevel"/>
    <w:tmpl w:val="72189C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6B424D5"/>
    <w:multiLevelType w:val="multilevel"/>
    <w:tmpl w:val="3FFAD756"/>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9">
    <w:nsid w:val="19A20D14"/>
    <w:multiLevelType w:val="hybridMultilevel"/>
    <w:tmpl w:val="EDD819C6"/>
    <w:lvl w:ilvl="0" w:tplc="78746994">
      <w:start w:val="3"/>
      <w:numFmt w:val="bullet"/>
      <w:lvlText w:val="-"/>
      <w:lvlJc w:val="left"/>
      <w:pPr>
        <w:ind w:left="717" w:hanging="360"/>
      </w:pPr>
      <w:rPr>
        <w:rFonts w:ascii="Arial" w:eastAsia="Times New Roman" w:hAnsi="Arial" w:cs="Aria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10">
    <w:nsid w:val="1EC649B4"/>
    <w:multiLevelType w:val="hybridMultilevel"/>
    <w:tmpl w:val="807234F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3314AFE"/>
    <w:multiLevelType w:val="hybridMultilevel"/>
    <w:tmpl w:val="703634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23A05B88"/>
    <w:multiLevelType w:val="hybridMultilevel"/>
    <w:tmpl w:val="5DB6629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2CD64047"/>
    <w:multiLevelType w:val="hybridMultilevel"/>
    <w:tmpl w:val="2C8AF3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2EEF3822"/>
    <w:multiLevelType w:val="multilevel"/>
    <w:tmpl w:val="5FE8AA6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ind w:left="2520" w:hanging="720"/>
      </w:pPr>
      <w:rPr>
        <w:rFonts w:hint="default"/>
      </w:rPr>
    </w:lvl>
    <w:lvl w:ilvl="3">
      <w:start w:val="1"/>
      <w:numFmt w:val="upperLetter"/>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3B57719"/>
    <w:multiLevelType w:val="hybridMultilevel"/>
    <w:tmpl w:val="DD24270C"/>
    <w:lvl w:ilvl="0" w:tplc="0C090011">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3B236EFB"/>
    <w:multiLevelType w:val="hybridMultilevel"/>
    <w:tmpl w:val="EECE1612"/>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nsid w:val="3CF41B35"/>
    <w:multiLevelType w:val="hybridMultilevel"/>
    <w:tmpl w:val="12AA59E4"/>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422D761A"/>
    <w:multiLevelType w:val="hybridMultilevel"/>
    <w:tmpl w:val="3A3693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DDA6F81"/>
    <w:multiLevelType w:val="hybridMultilevel"/>
    <w:tmpl w:val="09D6CAA2"/>
    <w:lvl w:ilvl="0" w:tplc="24DEAFD8">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55E50A7A"/>
    <w:multiLevelType w:val="hybridMultilevel"/>
    <w:tmpl w:val="2F2E3E5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nsid w:val="58E632BB"/>
    <w:multiLevelType w:val="hybridMultilevel"/>
    <w:tmpl w:val="EB1296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59BC5196"/>
    <w:multiLevelType w:val="multilevel"/>
    <w:tmpl w:val="BC14E302"/>
    <w:lvl w:ilvl="0">
      <w:start w:val="6"/>
      <w:numFmt w:val="decimal"/>
      <w:lvlText w:val="%1"/>
      <w:lvlJc w:val="left"/>
      <w:pPr>
        <w:ind w:left="360" w:hanging="360"/>
      </w:pPr>
      <w:rPr>
        <w:rFonts w:hint="default"/>
        <w:i w:val="0"/>
      </w:rPr>
    </w:lvl>
    <w:lvl w:ilvl="1">
      <w:start w:val="1"/>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5B2F6CCF"/>
    <w:multiLevelType w:val="hybridMultilevel"/>
    <w:tmpl w:val="2D4AC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C4E57E2"/>
    <w:multiLevelType w:val="hybridMultilevel"/>
    <w:tmpl w:val="A6F0E1A2"/>
    <w:lvl w:ilvl="0" w:tplc="78746994">
      <w:start w:val="3"/>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624667BF"/>
    <w:multiLevelType w:val="multilevel"/>
    <w:tmpl w:val="1A325E7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ascii="Arial" w:hAnsi="Arial" w:hint="default"/>
        <w:b w:val="0"/>
        <w:sz w:val="22"/>
        <w:szCs w:val="22"/>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6">
    <w:nsid w:val="624D6414"/>
    <w:multiLevelType w:val="hybridMultilevel"/>
    <w:tmpl w:val="29E6B5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nsid w:val="660D58DA"/>
    <w:multiLevelType w:val="hybridMultilevel"/>
    <w:tmpl w:val="B64E3FDA"/>
    <w:lvl w:ilvl="0" w:tplc="172C78AA">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8">
    <w:nsid w:val="664B21C0"/>
    <w:multiLevelType w:val="multilevel"/>
    <w:tmpl w:val="0BF41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6767F61"/>
    <w:multiLevelType w:val="hybridMultilevel"/>
    <w:tmpl w:val="79FEAB8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68F82EFA"/>
    <w:multiLevelType w:val="hybridMultilevel"/>
    <w:tmpl w:val="C0228ED6"/>
    <w:lvl w:ilvl="0" w:tplc="0C090001">
      <w:start w:val="1"/>
      <w:numFmt w:val="bullet"/>
      <w:lvlText w:val=""/>
      <w:lvlJc w:val="left"/>
      <w:pPr>
        <w:ind w:left="1473" w:hanging="360"/>
      </w:pPr>
      <w:rPr>
        <w:rFonts w:ascii="Symbol" w:hAnsi="Symbol" w:hint="default"/>
      </w:rPr>
    </w:lvl>
    <w:lvl w:ilvl="1" w:tplc="0C090003" w:tentative="1">
      <w:start w:val="1"/>
      <w:numFmt w:val="bullet"/>
      <w:lvlText w:val="o"/>
      <w:lvlJc w:val="left"/>
      <w:pPr>
        <w:ind w:left="2193" w:hanging="360"/>
      </w:pPr>
      <w:rPr>
        <w:rFonts w:ascii="Courier New" w:hAnsi="Courier New" w:cs="Courier New" w:hint="default"/>
      </w:rPr>
    </w:lvl>
    <w:lvl w:ilvl="2" w:tplc="0C090005" w:tentative="1">
      <w:start w:val="1"/>
      <w:numFmt w:val="bullet"/>
      <w:lvlText w:val=""/>
      <w:lvlJc w:val="left"/>
      <w:pPr>
        <w:ind w:left="2913" w:hanging="360"/>
      </w:pPr>
      <w:rPr>
        <w:rFonts w:ascii="Wingdings" w:hAnsi="Wingdings" w:hint="default"/>
      </w:rPr>
    </w:lvl>
    <w:lvl w:ilvl="3" w:tplc="0C090001" w:tentative="1">
      <w:start w:val="1"/>
      <w:numFmt w:val="bullet"/>
      <w:lvlText w:val=""/>
      <w:lvlJc w:val="left"/>
      <w:pPr>
        <w:ind w:left="3633" w:hanging="360"/>
      </w:pPr>
      <w:rPr>
        <w:rFonts w:ascii="Symbol" w:hAnsi="Symbol" w:hint="default"/>
      </w:rPr>
    </w:lvl>
    <w:lvl w:ilvl="4" w:tplc="0C090003" w:tentative="1">
      <w:start w:val="1"/>
      <w:numFmt w:val="bullet"/>
      <w:lvlText w:val="o"/>
      <w:lvlJc w:val="left"/>
      <w:pPr>
        <w:ind w:left="4353" w:hanging="360"/>
      </w:pPr>
      <w:rPr>
        <w:rFonts w:ascii="Courier New" w:hAnsi="Courier New" w:cs="Courier New" w:hint="default"/>
      </w:rPr>
    </w:lvl>
    <w:lvl w:ilvl="5" w:tplc="0C090005" w:tentative="1">
      <w:start w:val="1"/>
      <w:numFmt w:val="bullet"/>
      <w:lvlText w:val=""/>
      <w:lvlJc w:val="left"/>
      <w:pPr>
        <w:ind w:left="5073" w:hanging="360"/>
      </w:pPr>
      <w:rPr>
        <w:rFonts w:ascii="Wingdings" w:hAnsi="Wingdings" w:hint="default"/>
      </w:rPr>
    </w:lvl>
    <w:lvl w:ilvl="6" w:tplc="0C090001" w:tentative="1">
      <w:start w:val="1"/>
      <w:numFmt w:val="bullet"/>
      <w:lvlText w:val=""/>
      <w:lvlJc w:val="left"/>
      <w:pPr>
        <w:ind w:left="5793" w:hanging="360"/>
      </w:pPr>
      <w:rPr>
        <w:rFonts w:ascii="Symbol" w:hAnsi="Symbol" w:hint="default"/>
      </w:rPr>
    </w:lvl>
    <w:lvl w:ilvl="7" w:tplc="0C090003" w:tentative="1">
      <w:start w:val="1"/>
      <w:numFmt w:val="bullet"/>
      <w:lvlText w:val="o"/>
      <w:lvlJc w:val="left"/>
      <w:pPr>
        <w:ind w:left="6513" w:hanging="360"/>
      </w:pPr>
      <w:rPr>
        <w:rFonts w:ascii="Courier New" w:hAnsi="Courier New" w:cs="Courier New" w:hint="default"/>
      </w:rPr>
    </w:lvl>
    <w:lvl w:ilvl="8" w:tplc="0C090005" w:tentative="1">
      <w:start w:val="1"/>
      <w:numFmt w:val="bullet"/>
      <w:lvlText w:val=""/>
      <w:lvlJc w:val="left"/>
      <w:pPr>
        <w:ind w:left="7233" w:hanging="360"/>
      </w:pPr>
      <w:rPr>
        <w:rFonts w:ascii="Wingdings" w:hAnsi="Wingdings" w:hint="default"/>
      </w:rPr>
    </w:lvl>
  </w:abstractNum>
  <w:abstractNum w:abstractNumId="31">
    <w:nsid w:val="710225F6"/>
    <w:multiLevelType w:val="hybridMultilevel"/>
    <w:tmpl w:val="26A282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784D033C"/>
    <w:multiLevelType w:val="multilevel"/>
    <w:tmpl w:val="91BEBE84"/>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4"/>
  </w:num>
  <w:num w:numId="2">
    <w:abstractNumId w:val="28"/>
  </w:num>
  <w:num w:numId="3">
    <w:abstractNumId w:val="27"/>
  </w:num>
  <w:num w:numId="4">
    <w:abstractNumId w:val="19"/>
  </w:num>
  <w:num w:numId="5">
    <w:abstractNumId w:val="15"/>
  </w:num>
  <w:num w:numId="6">
    <w:abstractNumId w:val="6"/>
  </w:num>
  <w:num w:numId="7">
    <w:abstractNumId w:val="29"/>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
  </w:num>
  <w:num w:numId="11">
    <w:abstractNumId w:val="32"/>
  </w:num>
  <w:num w:numId="12">
    <w:abstractNumId w:val="31"/>
  </w:num>
  <w:num w:numId="13">
    <w:abstractNumId w:val="7"/>
  </w:num>
  <w:num w:numId="14">
    <w:abstractNumId w:val="21"/>
  </w:num>
  <w:num w:numId="15">
    <w:abstractNumId w:val="10"/>
  </w:num>
  <w:num w:numId="16">
    <w:abstractNumId w:val="23"/>
  </w:num>
  <w:num w:numId="17">
    <w:abstractNumId w:val="2"/>
  </w:num>
  <w:num w:numId="18">
    <w:abstractNumId w:val="3"/>
  </w:num>
  <w:num w:numId="19">
    <w:abstractNumId w:val="11"/>
  </w:num>
  <w:num w:numId="20">
    <w:abstractNumId w:val="26"/>
  </w:num>
  <w:num w:numId="21">
    <w:abstractNumId w:val="20"/>
  </w:num>
  <w:num w:numId="22">
    <w:abstractNumId w:val="25"/>
  </w:num>
  <w:num w:numId="23">
    <w:abstractNumId w:val="1"/>
  </w:num>
  <w:num w:numId="24">
    <w:abstractNumId w:val="5"/>
  </w:num>
  <w:num w:numId="25">
    <w:abstractNumId w:val="22"/>
  </w:num>
  <w:num w:numId="26">
    <w:abstractNumId w:val="30"/>
  </w:num>
  <w:num w:numId="27">
    <w:abstractNumId w:val="13"/>
  </w:num>
  <w:num w:numId="28">
    <w:abstractNumId w:val="4"/>
  </w:num>
  <w:num w:numId="29">
    <w:abstractNumId w:val="9"/>
  </w:num>
  <w:num w:numId="30">
    <w:abstractNumId w:val="12"/>
  </w:num>
  <w:num w:numId="31">
    <w:abstractNumId w:val="18"/>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C8A"/>
    <w:rsid w:val="0000091B"/>
    <w:rsid w:val="0000099E"/>
    <w:rsid w:val="00000C2B"/>
    <w:rsid w:val="0000162D"/>
    <w:rsid w:val="000020F6"/>
    <w:rsid w:val="00002E16"/>
    <w:rsid w:val="000034C3"/>
    <w:rsid w:val="00003584"/>
    <w:rsid w:val="00004628"/>
    <w:rsid w:val="0000462B"/>
    <w:rsid w:val="00004D33"/>
    <w:rsid w:val="00004D75"/>
    <w:rsid w:val="00004F9D"/>
    <w:rsid w:val="00005F17"/>
    <w:rsid w:val="00005FA7"/>
    <w:rsid w:val="000063DB"/>
    <w:rsid w:val="0000733C"/>
    <w:rsid w:val="000074BD"/>
    <w:rsid w:val="00007D69"/>
    <w:rsid w:val="00010886"/>
    <w:rsid w:val="00010920"/>
    <w:rsid w:val="0001152D"/>
    <w:rsid w:val="000118E3"/>
    <w:rsid w:val="00011EA7"/>
    <w:rsid w:val="000120D3"/>
    <w:rsid w:val="000129ED"/>
    <w:rsid w:val="00012FB9"/>
    <w:rsid w:val="00013284"/>
    <w:rsid w:val="0001362E"/>
    <w:rsid w:val="00014746"/>
    <w:rsid w:val="00014B96"/>
    <w:rsid w:val="00014DC1"/>
    <w:rsid w:val="00014FF8"/>
    <w:rsid w:val="000155A7"/>
    <w:rsid w:val="00015748"/>
    <w:rsid w:val="00015DFE"/>
    <w:rsid w:val="00015EB4"/>
    <w:rsid w:val="00016092"/>
    <w:rsid w:val="0001617C"/>
    <w:rsid w:val="0001634D"/>
    <w:rsid w:val="00016F44"/>
    <w:rsid w:val="00017050"/>
    <w:rsid w:val="00017870"/>
    <w:rsid w:val="000179CE"/>
    <w:rsid w:val="00017CDE"/>
    <w:rsid w:val="00020A7A"/>
    <w:rsid w:val="00022361"/>
    <w:rsid w:val="000223D3"/>
    <w:rsid w:val="00022435"/>
    <w:rsid w:val="00022686"/>
    <w:rsid w:val="000228B1"/>
    <w:rsid w:val="0002300F"/>
    <w:rsid w:val="0002305C"/>
    <w:rsid w:val="00023228"/>
    <w:rsid w:val="00023817"/>
    <w:rsid w:val="0002401C"/>
    <w:rsid w:val="00024248"/>
    <w:rsid w:val="000245BC"/>
    <w:rsid w:val="0002470A"/>
    <w:rsid w:val="0002564D"/>
    <w:rsid w:val="00025967"/>
    <w:rsid w:val="00025F56"/>
    <w:rsid w:val="00026F9B"/>
    <w:rsid w:val="0002716D"/>
    <w:rsid w:val="00027346"/>
    <w:rsid w:val="00030320"/>
    <w:rsid w:val="00031946"/>
    <w:rsid w:val="000322EC"/>
    <w:rsid w:val="00032AB9"/>
    <w:rsid w:val="00033D0B"/>
    <w:rsid w:val="00034086"/>
    <w:rsid w:val="00034121"/>
    <w:rsid w:val="000350A9"/>
    <w:rsid w:val="00035472"/>
    <w:rsid w:val="0003621F"/>
    <w:rsid w:val="000365B0"/>
    <w:rsid w:val="00036CF7"/>
    <w:rsid w:val="00037F52"/>
    <w:rsid w:val="0004019D"/>
    <w:rsid w:val="000407E0"/>
    <w:rsid w:val="00041467"/>
    <w:rsid w:val="0004160D"/>
    <w:rsid w:val="00041F3D"/>
    <w:rsid w:val="00042593"/>
    <w:rsid w:val="00043C1D"/>
    <w:rsid w:val="00044146"/>
    <w:rsid w:val="00044BB4"/>
    <w:rsid w:val="00046725"/>
    <w:rsid w:val="000468C0"/>
    <w:rsid w:val="00046DA2"/>
    <w:rsid w:val="00050762"/>
    <w:rsid w:val="000507B9"/>
    <w:rsid w:val="00051AF5"/>
    <w:rsid w:val="00052580"/>
    <w:rsid w:val="0005440F"/>
    <w:rsid w:val="0005661F"/>
    <w:rsid w:val="00057006"/>
    <w:rsid w:val="000575B4"/>
    <w:rsid w:val="000601EA"/>
    <w:rsid w:val="000603CB"/>
    <w:rsid w:val="0006084C"/>
    <w:rsid w:val="000608FE"/>
    <w:rsid w:val="000615B0"/>
    <w:rsid w:val="00061E01"/>
    <w:rsid w:val="0006239E"/>
    <w:rsid w:val="0006295A"/>
    <w:rsid w:val="000643D0"/>
    <w:rsid w:val="00065195"/>
    <w:rsid w:val="00066976"/>
    <w:rsid w:val="000672D3"/>
    <w:rsid w:val="0006744F"/>
    <w:rsid w:val="00067A06"/>
    <w:rsid w:val="00067E91"/>
    <w:rsid w:val="00070612"/>
    <w:rsid w:val="000714CE"/>
    <w:rsid w:val="00071D67"/>
    <w:rsid w:val="00072584"/>
    <w:rsid w:val="00072F02"/>
    <w:rsid w:val="00074126"/>
    <w:rsid w:val="0007567B"/>
    <w:rsid w:val="00075B7E"/>
    <w:rsid w:val="00076287"/>
    <w:rsid w:val="00076297"/>
    <w:rsid w:val="00077F45"/>
    <w:rsid w:val="00080510"/>
    <w:rsid w:val="00081153"/>
    <w:rsid w:val="000812EE"/>
    <w:rsid w:val="00081DCD"/>
    <w:rsid w:val="00082053"/>
    <w:rsid w:val="00082507"/>
    <w:rsid w:val="000834C8"/>
    <w:rsid w:val="00083789"/>
    <w:rsid w:val="00083792"/>
    <w:rsid w:val="000839D5"/>
    <w:rsid w:val="00083A63"/>
    <w:rsid w:val="00083BE8"/>
    <w:rsid w:val="00083E6A"/>
    <w:rsid w:val="00084012"/>
    <w:rsid w:val="00084264"/>
    <w:rsid w:val="000842BB"/>
    <w:rsid w:val="00084CED"/>
    <w:rsid w:val="000855C9"/>
    <w:rsid w:val="00085F9C"/>
    <w:rsid w:val="00086013"/>
    <w:rsid w:val="0008687E"/>
    <w:rsid w:val="000868A3"/>
    <w:rsid w:val="00086D66"/>
    <w:rsid w:val="000872FA"/>
    <w:rsid w:val="00090385"/>
    <w:rsid w:val="00090D21"/>
    <w:rsid w:val="00090F42"/>
    <w:rsid w:val="00091262"/>
    <w:rsid w:val="00092523"/>
    <w:rsid w:val="00093960"/>
    <w:rsid w:val="0009470A"/>
    <w:rsid w:val="00095C30"/>
    <w:rsid w:val="00096B9F"/>
    <w:rsid w:val="00096E39"/>
    <w:rsid w:val="000971C3"/>
    <w:rsid w:val="000972AC"/>
    <w:rsid w:val="00097C0E"/>
    <w:rsid w:val="00097ED4"/>
    <w:rsid w:val="000A1E1C"/>
    <w:rsid w:val="000A2697"/>
    <w:rsid w:val="000A2A86"/>
    <w:rsid w:val="000A2C2D"/>
    <w:rsid w:val="000A2DE4"/>
    <w:rsid w:val="000A2FEC"/>
    <w:rsid w:val="000A418B"/>
    <w:rsid w:val="000A46FC"/>
    <w:rsid w:val="000A4955"/>
    <w:rsid w:val="000A570D"/>
    <w:rsid w:val="000A59CC"/>
    <w:rsid w:val="000A64C7"/>
    <w:rsid w:val="000A7C8A"/>
    <w:rsid w:val="000A7F23"/>
    <w:rsid w:val="000B0B19"/>
    <w:rsid w:val="000B1811"/>
    <w:rsid w:val="000B1A6E"/>
    <w:rsid w:val="000B21DD"/>
    <w:rsid w:val="000B2F97"/>
    <w:rsid w:val="000B3043"/>
    <w:rsid w:val="000B34FA"/>
    <w:rsid w:val="000B36FE"/>
    <w:rsid w:val="000B372D"/>
    <w:rsid w:val="000B38D3"/>
    <w:rsid w:val="000B5120"/>
    <w:rsid w:val="000B5B24"/>
    <w:rsid w:val="000B6487"/>
    <w:rsid w:val="000B7071"/>
    <w:rsid w:val="000B7A91"/>
    <w:rsid w:val="000B7F45"/>
    <w:rsid w:val="000C040A"/>
    <w:rsid w:val="000C0497"/>
    <w:rsid w:val="000C059E"/>
    <w:rsid w:val="000C0E21"/>
    <w:rsid w:val="000C1BA1"/>
    <w:rsid w:val="000C22B0"/>
    <w:rsid w:val="000C2786"/>
    <w:rsid w:val="000C3369"/>
    <w:rsid w:val="000C3CAA"/>
    <w:rsid w:val="000C45E3"/>
    <w:rsid w:val="000C56B4"/>
    <w:rsid w:val="000C5728"/>
    <w:rsid w:val="000C586F"/>
    <w:rsid w:val="000C5B48"/>
    <w:rsid w:val="000C661A"/>
    <w:rsid w:val="000C77A9"/>
    <w:rsid w:val="000D0D8B"/>
    <w:rsid w:val="000D14F1"/>
    <w:rsid w:val="000D1C61"/>
    <w:rsid w:val="000D203D"/>
    <w:rsid w:val="000D2AFE"/>
    <w:rsid w:val="000D2D84"/>
    <w:rsid w:val="000D3190"/>
    <w:rsid w:val="000D3ECA"/>
    <w:rsid w:val="000D418F"/>
    <w:rsid w:val="000D4551"/>
    <w:rsid w:val="000D5D71"/>
    <w:rsid w:val="000D5EFB"/>
    <w:rsid w:val="000D6416"/>
    <w:rsid w:val="000D7F3B"/>
    <w:rsid w:val="000E055E"/>
    <w:rsid w:val="000E0C55"/>
    <w:rsid w:val="000E1259"/>
    <w:rsid w:val="000E12D5"/>
    <w:rsid w:val="000E15F8"/>
    <w:rsid w:val="000E1767"/>
    <w:rsid w:val="000E1C3A"/>
    <w:rsid w:val="000E21D8"/>
    <w:rsid w:val="000E2C73"/>
    <w:rsid w:val="000E2C8F"/>
    <w:rsid w:val="000E2EA3"/>
    <w:rsid w:val="000E4B3E"/>
    <w:rsid w:val="000E539F"/>
    <w:rsid w:val="000E6CF9"/>
    <w:rsid w:val="000E73BD"/>
    <w:rsid w:val="000F069C"/>
    <w:rsid w:val="000F0B27"/>
    <w:rsid w:val="000F1D4F"/>
    <w:rsid w:val="000F2E82"/>
    <w:rsid w:val="000F3A4F"/>
    <w:rsid w:val="000F3D50"/>
    <w:rsid w:val="000F5D35"/>
    <w:rsid w:val="000F5DDE"/>
    <w:rsid w:val="001000EA"/>
    <w:rsid w:val="00100B0B"/>
    <w:rsid w:val="001025E7"/>
    <w:rsid w:val="0010275F"/>
    <w:rsid w:val="0010316E"/>
    <w:rsid w:val="001038BB"/>
    <w:rsid w:val="00103F76"/>
    <w:rsid w:val="00105880"/>
    <w:rsid w:val="00107038"/>
    <w:rsid w:val="00107219"/>
    <w:rsid w:val="001101E1"/>
    <w:rsid w:val="00110379"/>
    <w:rsid w:val="001103CF"/>
    <w:rsid w:val="00111F4C"/>
    <w:rsid w:val="0011290B"/>
    <w:rsid w:val="001129E8"/>
    <w:rsid w:val="00112BA9"/>
    <w:rsid w:val="0011385A"/>
    <w:rsid w:val="00113C76"/>
    <w:rsid w:val="00114588"/>
    <w:rsid w:val="00114964"/>
    <w:rsid w:val="001149B9"/>
    <w:rsid w:val="00114A58"/>
    <w:rsid w:val="00114D12"/>
    <w:rsid w:val="00115629"/>
    <w:rsid w:val="001158B6"/>
    <w:rsid w:val="00115B67"/>
    <w:rsid w:val="001171CB"/>
    <w:rsid w:val="00117210"/>
    <w:rsid w:val="0011744C"/>
    <w:rsid w:val="00120FAC"/>
    <w:rsid w:val="00121311"/>
    <w:rsid w:val="00121A8E"/>
    <w:rsid w:val="00121BF6"/>
    <w:rsid w:val="00124D80"/>
    <w:rsid w:val="001267DB"/>
    <w:rsid w:val="001276FB"/>
    <w:rsid w:val="001304E8"/>
    <w:rsid w:val="00130C57"/>
    <w:rsid w:val="0013141F"/>
    <w:rsid w:val="001317E4"/>
    <w:rsid w:val="00131CB1"/>
    <w:rsid w:val="00132052"/>
    <w:rsid w:val="0013270B"/>
    <w:rsid w:val="001329B7"/>
    <w:rsid w:val="00132A3A"/>
    <w:rsid w:val="00132DAB"/>
    <w:rsid w:val="00132EAD"/>
    <w:rsid w:val="00132FA5"/>
    <w:rsid w:val="001334F9"/>
    <w:rsid w:val="00133D7F"/>
    <w:rsid w:val="00134ECB"/>
    <w:rsid w:val="00134F08"/>
    <w:rsid w:val="001357A1"/>
    <w:rsid w:val="001362A6"/>
    <w:rsid w:val="00136B3F"/>
    <w:rsid w:val="00136DF8"/>
    <w:rsid w:val="0013745F"/>
    <w:rsid w:val="00137894"/>
    <w:rsid w:val="00137C49"/>
    <w:rsid w:val="00137CB8"/>
    <w:rsid w:val="00140035"/>
    <w:rsid w:val="00140465"/>
    <w:rsid w:val="00140E09"/>
    <w:rsid w:val="0014101A"/>
    <w:rsid w:val="0014142D"/>
    <w:rsid w:val="0014148A"/>
    <w:rsid w:val="00141FEB"/>
    <w:rsid w:val="00142EED"/>
    <w:rsid w:val="00143743"/>
    <w:rsid w:val="001437D5"/>
    <w:rsid w:val="00143E66"/>
    <w:rsid w:val="00145D66"/>
    <w:rsid w:val="00146F0E"/>
    <w:rsid w:val="0014776D"/>
    <w:rsid w:val="00147845"/>
    <w:rsid w:val="00147FC1"/>
    <w:rsid w:val="001500C8"/>
    <w:rsid w:val="0015080E"/>
    <w:rsid w:val="00151705"/>
    <w:rsid w:val="001518E7"/>
    <w:rsid w:val="00151C88"/>
    <w:rsid w:val="00151D35"/>
    <w:rsid w:val="00152387"/>
    <w:rsid w:val="00152A0C"/>
    <w:rsid w:val="00153424"/>
    <w:rsid w:val="0015402E"/>
    <w:rsid w:val="001546E8"/>
    <w:rsid w:val="00154828"/>
    <w:rsid w:val="00155698"/>
    <w:rsid w:val="00155BC9"/>
    <w:rsid w:val="00155C11"/>
    <w:rsid w:val="00157858"/>
    <w:rsid w:val="00157D22"/>
    <w:rsid w:val="00157F62"/>
    <w:rsid w:val="001600EB"/>
    <w:rsid w:val="00160423"/>
    <w:rsid w:val="00161CD7"/>
    <w:rsid w:val="0016312E"/>
    <w:rsid w:val="0016341E"/>
    <w:rsid w:val="001654A9"/>
    <w:rsid w:val="00165A05"/>
    <w:rsid w:val="00165E5D"/>
    <w:rsid w:val="00166297"/>
    <w:rsid w:val="001663D5"/>
    <w:rsid w:val="00166549"/>
    <w:rsid w:val="0016683E"/>
    <w:rsid w:val="00167277"/>
    <w:rsid w:val="00170573"/>
    <w:rsid w:val="001707C4"/>
    <w:rsid w:val="001712DE"/>
    <w:rsid w:val="00171570"/>
    <w:rsid w:val="00171DC1"/>
    <w:rsid w:val="00171E1D"/>
    <w:rsid w:val="00171EF7"/>
    <w:rsid w:val="00174067"/>
    <w:rsid w:val="0017449B"/>
    <w:rsid w:val="00174944"/>
    <w:rsid w:val="00175139"/>
    <w:rsid w:val="00175BA1"/>
    <w:rsid w:val="00176067"/>
    <w:rsid w:val="00176645"/>
    <w:rsid w:val="001766A8"/>
    <w:rsid w:val="0017687A"/>
    <w:rsid w:val="00176927"/>
    <w:rsid w:val="001772D4"/>
    <w:rsid w:val="0017743E"/>
    <w:rsid w:val="00177845"/>
    <w:rsid w:val="001806A2"/>
    <w:rsid w:val="001810C8"/>
    <w:rsid w:val="001812AE"/>
    <w:rsid w:val="001815CB"/>
    <w:rsid w:val="00182E45"/>
    <w:rsid w:val="00183DEE"/>
    <w:rsid w:val="00184373"/>
    <w:rsid w:val="00184E8A"/>
    <w:rsid w:val="0018519A"/>
    <w:rsid w:val="00190B9C"/>
    <w:rsid w:val="00190D52"/>
    <w:rsid w:val="0019138B"/>
    <w:rsid w:val="001919D3"/>
    <w:rsid w:val="001925E9"/>
    <w:rsid w:val="00192900"/>
    <w:rsid w:val="001935DE"/>
    <w:rsid w:val="00193C35"/>
    <w:rsid w:val="0019441C"/>
    <w:rsid w:val="001950D9"/>
    <w:rsid w:val="00195379"/>
    <w:rsid w:val="00196144"/>
    <w:rsid w:val="001971B1"/>
    <w:rsid w:val="001971EA"/>
    <w:rsid w:val="00197975"/>
    <w:rsid w:val="001A07AC"/>
    <w:rsid w:val="001A0DC8"/>
    <w:rsid w:val="001A14F5"/>
    <w:rsid w:val="001A1777"/>
    <w:rsid w:val="001A1A8A"/>
    <w:rsid w:val="001A2649"/>
    <w:rsid w:val="001A2B7C"/>
    <w:rsid w:val="001A307D"/>
    <w:rsid w:val="001A3986"/>
    <w:rsid w:val="001A3E19"/>
    <w:rsid w:val="001A4242"/>
    <w:rsid w:val="001A48FD"/>
    <w:rsid w:val="001A6DEF"/>
    <w:rsid w:val="001A7A6A"/>
    <w:rsid w:val="001B049D"/>
    <w:rsid w:val="001B04E4"/>
    <w:rsid w:val="001B0553"/>
    <w:rsid w:val="001B1469"/>
    <w:rsid w:val="001B1577"/>
    <w:rsid w:val="001B16C3"/>
    <w:rsid w:val="001B1838"/>
    <w:rsid w:val="001B1C67"/>
    <w:rsid w:val="001B2234"/>
    <w:rsid w:val="001B3984"/>
    <w:rsid w:val="001B3FE9"/>
    <w:rsid w:val="001B4293"/>
    <w:rsid w:val="001B46AE"/>
    <w:rsid w:val="001B54F0"/>
    <w:rsid w:val="001B5950"/>
    <w:rsid w:val="001B6AAD"/>
    <w:rsid w:val="001B71B5"/>
    <w:rsid w:val="001B78E2"/>
    <w:rsid w:val="001B7BF2"/>
    <w:rsid w:val="001B7EED"/>
    <w:rsid w:val="001C0289"/>
    <w:rsid w:val="001C181C"/>
    <w:rsid w:val="001C2014"/>
    <w:rsid w:val="001C27AF"/>
    <w:rsid w:val="001C3403"/>
    <w:rsid w:val="001C3944"/>
    <w:rsid w:val="001C3AAA"/>
    <w:rsid w:val="001C43B3"/>
    <w:rsid w:val="001C4834"/>
    <w:rsid w:val="001C4C95"/>
    <w:rsid w:val="001C5BA6"/>
    <w:rsid w:val="001D0229"/>
    <w:rsid w:val="001D028A"/>
    <w:rsid w:val="001D0868"/>
    <w:rsid w:val="001D1636"/>
    <w:rsid w:val="001D181F"/>
    <w:rsid w:val="001D2755"/>
    <w:rsid w:val="001D2F4D"/>
    <w:rsid w:val="001D388D"/>
    <w:rsid w:val="001D39E8"/>
    <w:rsid w:val="001D3DEA"/>
    <w:rsid w:val="001D4075"/>
    <w:rsid w:val="001D4F81"/>
    <w:rsid w:val="001D600F"/>
    <w:rsid w:val="001D6843"/>
    <w:rsid w:val="001D755F"/>
    <w:rsid w:val="001D764B"/>
    <w:rsid w:val="001D79BC"/>
    <w:rsid w:val="001E0212"/>
    <w:rsid w:val="001E092F"/>
    <w:rsid w:val="001E0947"/>
    <w:rsid w:val="001E152C"/>
    <w:rsid w:val="001E24EA"/>
    <w:rsid w:val="001E25BD"/>
    <w:rsid w:val="001E25FF"/>
    <w:rsid w:val="001E411C"/>
    <w:rsid w:val="001E5979"/>
    <w:rsid w:val="001E5C38"/>
    <w:rsid w:val="001E776D"/>
    <w:rsid w:val="001E77D9"/>
    <w:rsid w:val="001F0D67"/>
    <w:rsid w:val="001F0F1E"/>
    <w:rsid w:val="001F1A00"/>
    <w:rsid w:val="001F1B8A"/>
    <w:rsid w:val="001F2058"/>
    <w:rsid w:val="001F23BC"/>
    <w:rsid w:val="001F29C8"/>
    <w:rsid w:val="001F3474"/>
    <w:rsid w:val="001F391D"/>
    <w:rsid w:val="001F49C4"/>
    <w:rsid w:val="001F5561"/>
    <w:rsid w:val="001F5939"/>
    <w:rsid w:val="001F5B96"/>
    <w:rsid w:val="001F60DF"/>
    <w:rsid w:val="001F67F2"/>
    <w:rsid w:val="001F6895"/>
    <w:rsid w:val="001F6A3C"/>
    <w:rsid w:val="001F6DCB"/>
    <w:rsid w:val="001F7055"/>
    <w:rsid w:val="001F716B"/>
    <w:rsid w:val="001F7B95"/>
    <w:rsid w:val="001F7E44"/>
    <w:rsid w:val="001F7FE1"/>
    <w:rsid w:val="002010D3"/>
    <w:rsid w:val="00201885"/>
    <w:rsid w:val="00202566"/>
    <w:rsid w:val="0020322B"/>
    <w:rsid w:val="002032C8"/>
    <w:rsid w:val="00203A75"/>
    <w:rsid w:val="0020409B"/>
    <w:rsid w:val="002060A5"/>
    <w:rsid w:val="002070E4"/>
    <w:rsid w:val="0020721C"/>
    <w:rsid w:val="002072C3"/>
    <w:rsid w:val="0020790A"/>
    <w:rsid w:val="00207E86"/>
    <w:rsid w:val="00210594"/>
    <w:rsid w:val="002108B5"/>
    <w:rsid w:val="00210F65"/>
    <w:rsid w:val="00212939"/>
    <w:rsid w:val="00212B8B"/>
    <w:rsid w:val="0021300C"/>
    <w:rsid w:val="0021371C"/>
    <w:rsid w:val="002139E7"/>
    <w:rsid w:val="0021409F"/>
    <w:rsid w:val="002144A1"/>
    <w:rsid w:val="002147A6"/>
    <w:rsid w:val="00214875"/>
    <w:rsid w:val="00214D4B"/>
    <w:rsid w:val="00215739"/>
    <w:rsid w:val="002157B5"/>
    <w:rsid w:val="00216869"/>
    <w:rsid w:val="0021720D"/>
    <w:rsid w:val="0022016A"/>
    <w:rsid w:val="00221057"/>
    <w:rsid w:val="002212CB"/>
    <w:rsid w:val="00221B4C"/>
    <w:rsid w:val="002226A9"/>
    <w:rsid w:val="0022277E"/>
    <w:rsid w:val="00223034"/>
    <w:rsid w:val="00223614"/>
    <w:rsid w:val="002238E6"/>
    <w:rsid w:val="00225CB8"/>
    <w:rsid w:val="00226E88"/>
    <w:rsid w:val="00226F8B"/>
    <w:rsid w:val="0022715D"/>
    <w:rsid w:val="00230AF7"/>
    <w:rsid w:val="00230B76"/>
    <w:rsid w:val="00231068"/>
    <w:rsid w:val="00231F8F"/>
    <w:rsid w:val="00234FCD"/>
    <w:rsid w:val="00234FD9"/>
    <w:rsid w:val="002356F5"/>
    <w:rsid w:val="0023617F"/>
    <w:rsid w:val="00236374"/>
    <w:rsid w:val="00237E07"/>
    <w:rsid w:val="00237F8D"/>
    <w:rsid w:val="002400A1"/>
    <w:rsid w:val="00240222"/>
    <w:rsid w:val="002413C0"/>
    <w:rsid w:val="0024218B"/>
    <w:rsid w:val="002425FE"/>
    <w:rsid w:val="00242CD9"/>
    <w:rsid w:val="0024349D"/>
    <w:rsid w:val="00243967"/>
    <w:rsid w:val="002444C2"/>
    <w:rsid w:val="00244BE9"/>
    <w:rsid w:val="0024530D"/>
    <w:rsid w:val="00245A74"/>
    <w:rsid w:val="00246A8F"/>
    <w:rsid w:val="00247154"/>
    <w:rsid w:val="0024727D"/>
    <w:rsid w:val="00250912"/>
    <w:rsid w:val="00250DBA"/>
    <w:rsid w:val="00251087"/>
    <w:rsid w:val="00251294"/>
    <w:rsid w:val="00251AD5"/>
    <w:rsid w:val="002523E5"/>
    <w:rsid w:val="00253058"/>
    <w:rsid w:val="00253764"/>
    <w:rsid w:val="00254ED9"/>
    <w:rsid w:val="002550D8"/>
    <w:rsid w:val="00256078"/>
    <w:rsid w:val="00256401"/>
    <w:rsid w:val="002564FB"/>
    <w:rsid w:val="00260361"/>
    <w:rsid w:val="0026049B"/>
    <w:rsid w:val="00260AAE"/>
    <w:rsid w:val="00260EFA"/>
    <w:rsid w:val="00261377"/>
    <w:rsid w:val="00261D0C"/>
    <w:rsid w:val="00261EFF"/>
    <w:rsid w:val="00262160"/>
    <w:rsid w:val="00262814"/>
    <w:rsid w:val="002629E0"/>
    <w:rsid w:val="00262E2E"/>
    <w:rsid w:val="00263457"/>
    <w:rsid w:val="00263EF4"/>
    <w:rsid w:val="00263F7F"/>
    <w:rsid w:val="002646E0"/>
    <w:rsid w:val="00264A64"/>
    <w:rsid w:val="00265FE9"/>
    <w:rsid w:val="0026773E"/>
    <w:rsid w:val="00270693"/>
    <w:rsid w:val="002719BD"/>
    <w:rsid w:val="002723FD"/>
    <w:rsid w:val="0027256C"/>
    <w:rsid w:val="00272E01"/>
    <w:rsid w:val="00273015"/>
    <w:rsid w:val="002731A4"/>
    <w:rsid w:val="00274536"/>
    <w:rsid w:val="0027463A"/>
    <w:rsid w:val="0027487A"/>
    <w:rsid w:val="00274D0D"/>
    <w:rsid w:val="00274D8B"/>
    <w:rsid w:val="00275318"/>
    <w:rsid w:val="002766B0"/>
    <w:rsid w:val="00277572"/>
    <w:rsid w:val="00277812"/>
    <w:rsid w:val="002802A1"/>
    <w:rsid w:val="002803B8"/>
    <w:rsid w:val="002808CA"/>
    <w:rsid w:val="00280926"/>
    <w:rsid w:val="00281B0A"/>
    <w:rsid w:val="00282CDE"/>
    <w:rsid w:val="00283073"/>
    <w:rsid w:val="0028348A"/>
    <w:rsid w:val="002837E8"/>
    <w:rsid w:val="00285478"/>
    <w:rsid w:val="0028663C"/>
    <w:rsid w:val="002905B5"/>
    <w:rsid w:val="00293203"/>
    <w:rsid w:val="0029329A"/>
    <w:rsid w:val="00293A15"/>
    <w:rsid w:val="00295693"/>
    <w:rsid w:val="002969C0"/>
    <w:rsid w:val="002972D4"/>
    <w:rsid w:val="00297AEF"/>
    <w:rsid w:val="00297F02"/>
    <w:rsid w:val="002A0126"/>
    <w:rsid w:val="002A06E1"/>
    <w:rsid w:val="002A21E8"/>
    <w:rsid w:val="002A3220"/>
    <w:rsid w:val="002A3596"/>
    <w:rsid w:val="002A3AA9"/>
    <w:rsid w:val="002A5AA2"/>
    <w:rsid w:val="002A5C85"/>
    <w:rsid w:val="002A5C87"/>
    <w:rsid w:val="002A5D50"/>
    <w:rsid w:val="002A5DE5"/>
    <w:rsid w:val="002A7542"/>
    <w:rsid w:val="002A7BE8"/>
    <w:rsid w:val="002B09C6"/>
    <w:rsid w:val="002B0F52"/>
    <w:rsid w:val="002B1071"/>
    <w:rsid w:val="002B129B"/>
    <w:rsid w:val="002B29E2"/>
    <w:rsid w:val="002B3708"/>
    <w:rsid w:val="002B5625"/>
    <w:rsid w:val="002B5F9C"/>
    <w:rsid w:val="002B6147"/>
    <w:rsid w:val="002B7C88"/>
    <w:rsid w:val="002C0062"/>
    <w:rsid w:val="002C0170"/>
    <w:rsid w:val="002C0E18"/>
    <w:rsid w:val="002C2427"/>
    <w:rsid w:val="002C2773"/>
    <w:rsid w:val="002C2A4F"/>
    <w:rsid w:val="002C3502"/>
    <w:rsid w:val="002C397B"/>
    <w:rsid w:val="002C3B93"/>
    <w:rsid w:val="002C3BA0"/>
    <w:rsid w:val="002C436C"/>
    <w:rsid w:val="002C47C4"/>
    <w:rsid w:val="002C6E41"/>
    <w:rsid w:val="002C748E"/>
    <w:rsid w:val="002D0DDF"/>
    <w:rsid w:val="002D17A5"/>
    <w:rsid w:val="002D1AC7"/>
    <w:rsid w:val="002D347E"/>
    <w:rsid w:val="002D35CB"/>
    <w:rsid w:val="002D3D17"/>
    <w:rsid w:val="002D42A0"/>
    <w:rsid w:val="002D440D"/>
    <w:rsid w:val="002D4C8C"/>
    <w:rsid w:val="002D545A"/>
    <w:rsid w:val="002D59E5"/>
    <w:rsid w:val="002D5C23"/>
    <w:rsid w:val="002D5CBC"/>
    <w:rsid w:val="002D5DC3"/>
    <w:rsid w:val="002D6B4D"/>
    <w:rsid w:val="002D7EF4"/>
    <w:rsid w:val="002E1388"/>
    <w:rsid w:val="002E1415"/>
    <w:rsid w:val="002E16E6"/>
    <w:rsid w:val="002E1B83"/>
    <w:rsid w:val="002E1C1F"/>
    <w:rsid w:val="002E2688"/>
    <w:rsid w:val="002E307D"/>
    <w:rsid w:val="002E34A3"/>
    <w:rsid w:val="002E36E1"/>
    <w:rsid w:val="002E3E6F"/>
    <w:rsid w:val="002E3F75"/>
    <w:rsid w:val="002E45B7"/>
    <w:rsid w:val="002E4721"/>
    <w:rsid w:val="002E486A"/>
    <w:rsid w:val="002E4DC4"/>
    <w:rsid w:val="002E5281"/>
    <w:rsid w:val="002E5E0E"/>
    <w:rsid w:val="002E5E2F"/>
    <w:rsid w:val="002E5F1C"/>
    <w:rsid w:val="002E5F3E"/>
    <w:rsid w:val="002E736D"/>
    <w:rsid w:val="002F0875"/>
    <w:rsid w:val="002F0884"/>
    <w:rsid w:val="002F1A5B"/>
    <w:rsid w:val="002F1B87"/>
    <w:rsid w:val="002F1CF8"/>
    <w:rsid w:val="002F1FB6"/>
    <w:rsid w:val="002F4CA2"/>
    <w:rsid w:val="002F51B3"/>
    <w:rsid w:val="002F527B"/>
    <w:rsid w:val="002F5306"/>
    <w:rsid w:val="002F5570"/>
    <w:rsid w:val="002F5792"/>
    <w:rsid w:val="002F5C9A"/>
    <w:rsid w:val="002F6254"/>
    <w:rsid w:val="002F6432"/>
    <w:rsid w:val="002F69EB"/>
    <w:rsid w:val="002F6D11"/>
    <w:rsid w:val="002F6FC4"/>
    <w:rsid w:val="002F7255"/>
    <w:rsid w:val="00300450"/>
    <w:rsid w:val="003005AA"/>
    <w:rsid w:val="00300D34"/>
    <w:rsid w:val="00300EA5"/>
    <w:rsid w:val="003022B8"/>
    <w:rsid w:val="003023C4"/>
    <w:rsid w:val="003026B9"/>
    <w:rsid w:val="00302C73"/>
    <w:rsid w:val="003035B2"/>
    <w:rsid w:val="00303733"/>
    <w:rsid w:val="00303A2F"/>
    <w:rsid w:val="00303C94"/>
    <w:rsid w:val="00304BF7"/>
    <w:rsid w:val="00304FE8"/>
    <w:rsid w:val="0030506D"/>
    <w:rsid w:val="00305126"/>
    <w:rsid w:val="00305FA4"/>
    <w:rsid w:val="003065D6"/>
    <w:rsid w:val="00307C42"/>
    <w:rsid w:val="00310992"/>
    <w:rsid w:val="00311387"/>
    <w:rsid w:val="00311EEA"/>
    <w:rsid w:val="0031351E"/>
    <w:rsid w:val="00313537"/>
    <w:rsid w:val="003135CD"/>
    <w:rsid w:val="00313625"/>
    <w:rsid w:val="00313C59"/>
    <w:rsid w:val="00314373"/>
    <w:rsid w:val="00314425"/>
    <w:rsid w:val="003146EE"/>
    <w:rsid w:val="003153EA"/>
    <w:rsid w:val="00316745"/>
    <w:rsid w:val="00320015"/>
    <w:rsid w:val="00320263"/>
    <w:rsid w:val="0032080E"/>
    <w:rsid w:val="003209C7"/>
    <w:rsid w:val="00320AB2"/>
    <w:rsid w:val="003225D5"/>
    <w:rsid w:val="0032271E"/>
    <w:rsid w:val="003229A0"/>
    <w:rsid w:val="0032378E"/>
    <w:rsid w:val="00323C12"/>
    <w:rsid w:val="00323D04"/>
    <w:rsid w:val="003243CB"/>
    <w:rsid w:val="003245FB"/>
    <w:rsid w:val="003250E2"/>
    <w:rsid w:val="0032569E"/>
    <w:rsid w:val="00326522"/>
    <w:rsid w:val="00326943"/>
    <w:rsid w:val="003270BF"/>
    <w:rsid w:val="00327A0C"/>
    <w:rsid w:val="003301A3"/>
    <w:rsid w:val="0033063D"/>
    <w:rsid w:val="00332129"/>
    <w:rsid w:val="0033322F"/>
    <w:rsid w:val="00334912"/>
    <w:rsid w:val="00336FF2"/>
    <w:rsid w:val="003376B5"/>
    <w:rsid w:val="003376DF"/>
    <w:rsid w:val="003402DF"/>
    <w:rsid w:val="00340AC2"/>
    <w:rsid w:val="00340D16"/>
    <w:rsid w:val="00340EB5"/>
    <w:rsid w:val="00340EFB"/>
    <w:rsid w:val="00341361"/>
    <w:rsid w:val="003435A3"/>
    <w:rsid w:val="00343D26"/>
    <w:rsid w:val="00343D77"/>
    <w:rsid w:val="00345308"/>
    <w:rsid w:val="003455FE"/>
    <w:rsid w:val="00345652"/>
    <w:rsid w:val="003459F0"/>
    <w:rsid w:val="00345B4F"/>
    <w:rsid w:val="00346216"/>
    <w:rsid w:val="0034672E"/>
    <w:rsid w:val="0034743F"/>
    <w:rsid w:val="0034782B"/>
    <w:rsid w:val="00347C46"/>
    <w:rsid w:val="00350DDB"/>
    <w:rsid w:val="00351A7F"/>
    <w:rsid w:val="003521B4"/>
    <w:rsid w:val="003525C0"/>
    <w:rsid w:val="00352CFB"/>
    <w:rsid w:val="00352F20"/>
    <w:rsid w:val="003530B9"/>
    <w:rsid w:val="00353798"/>
    <w:rsid w:val="003541D1"/>
    <w:rsid w:val="003548D7"/>
    <w:rsid w:val="003548F0"/>
    <w:rsid w:val="003549D1"/>
    <w:rsid w:val="00354D94"/>
    <w:rsid w:val="003550C7"/>
    <w:rsid w:val="003566E9"/>
    <w:rsid w:val="00357214"/>
    <w:rsid w:val="0035791D"/>
    <w:rsid w:val="00357DB9"/>
    <w:rsid w:val="00357FA8"/>
    <w:rsid w:val="00360CBD"/>
    <w:rsid w:val="00361072"/>
    <w:rsid w:val="00362461"/>
    <w:rsid w:val="003628AA"/>
    <w:rsid w:val="00362D37"/>
    <w:rsid w:val="00363DA3"/>
    <w:rsid w:val="00364D63"/>
    <w:rsid w:val="00365105"/>
    <w:rsid w:val="0036579C"/>
    <w:rsid w:val="003657E7"/>
    <w:rsid w:val="00365E78"/>
    <w:rsid w:val="00366857"/>
    <w:rsid w:val="00370449"/>
    <w:rsid w:val="00370CFC"/>
    <w:rsid w:val="00370EE0"/>
    <w:rsid w:val="003713B0"/>
    <w:rsid w:val="00371B3D"/>
    <w:rsid w:val="00372F44"/>
    <w:rsid w:val="00374783"/>
    <w:rsid w:val="003750B5"/>
    <w:rsid w:val="00375135"/>
    <w:rsid w:val="00377224"/>
    <w:rsid w:val="003777B8"/>
    <w:rsid w:val="00377BAD"/>
    <w:rsid w:val="00381ACB"/>
    <w:rsid w:val="00381DCB"/>
    <w:rsid w:val="00381F87"/>
    <w:rsid w:val="00383FF3"/>
    <w:rsid w:val="00384485"/>
    <w:rsid w:val="00384833"/>
    <w:rsid w:val="00384B1C"/>
    <w:rsid w:val="00384EA5"/>
    <w:rsid w:val="0038505C"/>
    <w:rsid w:val="00385BBE"/>
    <w:rsid w:val="00385D5C"/>
    <w:rsid w:val="00386843"/>
    <w:rsid w:val="00386C4E"/>
    <w:rsid w:val="00386E5D"/>
    <w:rsid w:val="00387E97"/>
    <w:rsid w:val="003902C1"/>
    <w:rsid w:val="00390919"/>
    <w:rsid w:val="00390A7C"/>
    <w:rsid w:val="00390A91"/>
    <w:rsid w:val="00390AFB"/>
    <w:rsid w:val="0039142B"/>
    <w:rsid w:val="00391A35"/>
    <w:rsid w:val="00391E07"/>
    <w:rsid w:val="00393110"/>
    <w:rsid w:val="00393DD4"/>
    <w:rsid w:val="003946AC"/>
    <w:rsid w:val="00395338"/>
    <w:rsid w:val="00395600"/>
    <w:rsid w:val="00397572"/>
    <w:rsid w:val="003A074E"/>
    <w:rsid w:val="003A0BC7"/>
    <w:rsid w:val="003A1CFF"/>
    <w:rsid w:val="003A2BB7"/>
    <w:rsid w:val="003A312D"/>
    <w:rsid w:val="003A4AB4"/>
    <w:rsid w:val="003A4C61"/>
    <w:rsid w:val="003A4D00"/>
    <w:rsid w:val="003A546F"/>
    <w:rsid w:val="003A565B"/>
    <w:rsid w:val="003A5C29"/>
    <w:rsid w:val="003A5DEB"/>
    <w:rsid w:val="003A61D4"/>
    <w:rsid w:val="003A6240"/>
    <w:rsid w:val="003A648B"/>
    <w:rsid w:val="003A6A14"/>
    <w:rsid w:val="003A72E4"/>
    <w:rsid w:val="003A7535"/>
    <w:rsid w:val="003A7616"/>
    <w:rsid w:val="003A799B"/>
    <w:rsid w:val="003A7D18"/>
    <w:rsid w:val="003B00C2"/>
    <w:rsid w:val="003B022F"/>
    <w:rsid w:val="003B1AF6"/>
    <w:rsid w:val="003B1B75"/>
    <w:rsid w:val="003B253C"/>
    <w:rsid w:val="003B2FBC"/>
    <w:rsid w:val="003B32CC"/>
    <w:rsid w:val="003B35CB"/>
    <w:rsid w:val="003B4DA2"/>
    <w:rsid w:val="003B4DDF"/>
    <w:rsid w:val="003B545C"/>
    <w:rsid w:val="003B57B7"/>
    <w:rsid w:val="003B5E19"/>
    <w:rsid w:val="003B64D8"/>
    <w:rsid w:val="003B78AC"/>
    <w:rsid w:val="003C08BD"/>
    <w:rsid w:val="003C1A62"/>
    <w:rsid w:val="003C1B40"/>
    <w:rsid w:val="003C2F43"/>
    <w:rsid w:val="003C318F"/>
    <w:rsid w:val="003C32FC"/>
    <w:rsid w:val="003C4EBE"/>
    <w:rsid w:val="003C558C"/>
    <w:rsid w:val="003C66C3"/>
    <w:rsid w:val="003C6F87"/>
    <w:rsid w:val="003C75BD"/>
    <w:rsid w:val="003C7E0E"/>
    <w:rsid w:val="003D0802"/>
    <w:rsid w:val="003D098A"/>
    <w:rsid w:val="003D0B7A"/>
    <w:rsid w:val="003D17E4"/>
    <w:rsid w:val="003D1A6C"/>
    <w:rsid w:val="003D1AEC"/>
    <w:rsid w:val="003D23D5"/>
    <w:rsid w:val="003D3CD1"/>
    <w:rsid w:val="003D489A"/>
    <w:rsid w:val="003D4EA6"/>
    <w:rsid w:val="003D5944"/>
    <w:rsid w:val="003D5D05"/>
    <w:rsid w:val="003D5ECA"/>
    <w:rsid w:val="003D5FB6"/>
    <w:rsid w:val="003D6CBF"/>
    <w:rsid w:val="003D70C4"/>
    <w:rsid w:val="003D72CC"/>
    <w:rsid w:val="003D783F"/>
    <w:rsid w:val="003D7D05"/>
    <w:rsid w:val="003E03C3"/>
    <w:rsid w:val="003E067B"/>
    <w:rsid w:val="003E11A4"/>
    <w:rsid w:val="003E1AD1"/>
    <w:rsid w:val="003E236D"/>
    <w:rsid w:val="003E2E8C"/>
    <w:rsid w:val="003E3009"/>
    <w:rsid w:val="003E308A"/>
    <w:rsid w:val="003E367A"/>
    <w:rsid w:val="003E37A4"/>
    <w:rsid w:val="003E4136"/>
    <w:rsid w:val="003E7AFC"/>
    <w:rsid w:val="003E7C04"/>
    <w:rsid w:val="003E7FDA"/>
    <w:rsid w:val="003F01F7"/>
    <w:rsid w:val="003F0570"/>
    <w:rsid w:val="003F0D15"/>
    <w:rsid w:val="003F1283"/>
    <w:rsid w:val="003F13F6"/>
    <w:rsid w:val="003F174E"/>
    <w:rsid w:val="003F1F13"/>
    <w:rsid w:val="003F25D7"/>
    <w:rsid w:val="003F2DAF"/>
    <w:rsid w:val="003F2ED2"/>
    <w:rsid w:val="003F3772"/>
    <w:rsid w:val="003F3ED2"/>
    <w:rsid w:val="003F4627"/>
    <w:rsid w:val="003F4ABA"/>
    <w:rsid w:val="003F53B6"/>
    <w:rsid w:val="003F6169"/>
    <w:rsid w:val="003F6645"/>
    <w:rsid w:val="003F72D7"/>
    <w:rsid w:val="003F77DA"/>
    <w:rsid w:val="003F7B2D"/>
    <w:rsid w:val="003F7C7A"/>
    <w:rsid w:val="00400D40"/>
    <w:rsid w:val="004014C9"/>
    <w:rsid w:val="00401DDB"/>
    <w:rsid w:val="00402B5F"/>
    <w:rsid w:val="00402C3D"/>
    <w:rsid w:val="00403EDA"/>
    <w:rsid w:val="00403F44"/>
    <w:rsid w:val="0040409C"/>
    <w:rsid w:val="00404A45"/>
    <w:rsid w:val="004058B8"/>
    <w:rsid w:val="00405B3F"/>
    <w:rsid w:val="00406113"/>
    <w:rsid w:val="004063C4"/>
    <w:rsid w:val="004072FC"/>
    <w:rsid w:val="004074CB"/>
    <w:rsid w:val="00407D7D"/>
    <w:rsid w:val="00407ED3"/>
    <w:rsid w:val="00410B00"/>
    <w:rsid w:val="00410B24"/>
    <w:rsid w:val="00410E12"/>
    <w:rsid w:val="00410E3B"/>
    <w:rsid w:val="004115C8"/>
    <w:rsid w:val="00413BE9"/>
    <w:rsid w:val="00413E03"/>
    <w:rsid w:val="004147E1"/>
    <w:rsid w:val="00414E73"/>
    <w:rsid w:val="00415367"/>
    <w:rsid w:val="004161C2"/>
    <w:rsid w:val="004170A6"/>
    <w:rsid w:val="004176BC"/>
    <w:rsid w:val="00420584"/>
    <w:rsid w:val="00421048"/>
    <w:rsid w:val="00422A93"/>
    <w:rsid w:val="00422BB1"/>
    <w:rsid w:val="00424D21"/>
    <w:rsid w:val="00424F3C"/>
    <w:rsid w:val="00425C24"/>
    <w:rsid w:val="004273BF"/>
    <w:rsid w:val="004311FF"/>
    <w:rsid w:val="004314B6"/>
    <w:rsid w:val="00432447"/>
    <w:rsid w:val="00432D97"/>
    <w:rsid w:val="00432F21"/>
    <w:rsid w:val="00435431"/>
    <w:rsid w:val="0043544F"/>
    <w:rsid w:val="004362C0"/>
    <w:rsid w:val="00436425"/>
    <w:rsid w:val="004364E6"/>
    <w:rsid w:val="00436B27"/>
    <w:rsid w:val="0043712E"/>
    <w:rsid w:val="00437C96"/>
    <w:rsid w:val="004400BC"/>
    <w:rsid w:val="004409CC"/>
    <w:rsid w:val="004412E8"/>
    <w:rsid w:val="00441947"/>
    <w:rsid w:val="00443331"/>
    <w:rsid w:val="00443561"/>
    <w:rsid w:val="00443591"/>
    <w:rsid w:val="0044501E"/>
    <w:rsid w:val="00445587"/>
    <w:rsid w:val="00445B35"/>
    <w:rsid w:val="00445DFA"/>
    <w:rsid w:val="004462BD"/>
    <w:rsid w:val="004462FA"/>
    <w:rsid w:val="00446828"/>
    <w:rsid w:val="0044692E"/>
    <w:rsid w:val="0044732A"/>
    <w:rsid w:val="00450BC1"/>
    <w:rsid w:val="00451103"/>
    <w:rsid w:val="00451F2C"/>
    <w:rsid w:val="0045203F"/>
    <w:rsid w:val="004520DB"/>
    <w:rsid w:val="00452550"/>
    <w:rsid w:val="004525A5"/>
    <w:rsid w:val="00453228"/>
    <w:rsid w:val="00453DB2"/>
    <w:rsid w:val="00453F45"/>
    <w:rsid w:val="00454D4D"/>
    <w:rsid w:val="00454DFB"/>
    <w:rsid w:val="00454F1D"/>
    <w:rsid w:val="00455817"/>
    <w:rsid w:val="00455AE4"/>
    <w:rsid w:val="00457034"/>
    <w:rsid w:val="00457BAA"/>
    <w:rsid w:val="00460981"/>
    <w:rsid w:val="004609DE"/>
    <w:rsid w:val="00461DC0"/>
    <w:rsid w:val="004628F0"/>
    <w:rsid w:val="00462D54"/>
    <w:rsid w:val="00462D63"/>
    <w:rsid w:val="00463886"/>
    <w:rsid w:val="004643B9"/>
    <w:rsid w:val="00464F36"/>
    <w:rsid w:val="0046568B"/>
    <w:rsid w:val="00466121"/>
    <w:rsid w:val="00466912"/>
    <w:rsid w:val="00466A77"/>
    <w:rsid w:val="00467686"/>
    <w:rsid w:val="00467792"/>
    <w:rsid w:val="004679AB"/>
    <w:rsid w:val="00471665"/>
    <w:rsid w:val="0047195F"/>
    <w:rsid w:val="00471A9E"/>
    <w:rsid w:val="00471B86"/>
    <w:rsid w:val="00472227"/>
    <w:rsid w:val="00472E9C"/>
    <w:rsid w:val="004732E6"/>
    <w:rsid w:val="00474927"/>
    <w:rsid w:val="00474FBE"/>
    <w:rsid w:val="0047540F"/>
    <w:rsid w:val="00475612"/>
    <w:rsid w:val="004772FF"/>
    <w:rsid w:val="00477DE8"/>
    <w:rsid w:val="0048048A"/>
    <w:rsid w:val="00481705"/>
    <w:rsid w:val="00481966"/>
    <w:rsid w:val="00482254"/>
    <w:rsid w:val="004823C6"/>
    <w:rsid w:val="00482F51"/>
    <w:rsid w:val="00483166"/>
    <w:rsid w:val="0048365C"/>
    <w:rsid w:val="004837B4"/>
    <w:rsid w:val="00484915"/>
    <w:rsid w:val="004853D8"/>
    <w:rsid w:val="0048589F"/>
    <w:rsid w:val="00486552"/>
    <w:rsid w:val="00486AEA"/>
    <w:rsid w:val="00486EEE"/>
    <w:rsid w:val="0048735B"/>
    <w:rsid w:val="004875E6"/>
    <w:rsid w:val="00487AD4"/>
    <w:rsid w:val="00490275"/>
    <w:rsid w:val="00490628"/>
    <w:rsid w:val="0049071D"/>
    <w:rsid w:val="0049103F"/>
    <w:rsid w:val="00491532"/>
    <w:rsid w:val="0049239D"/>
    <w:rsid w:val="004925C9"/>
    <w:rsid w:val="00493577"/>
    <w:rsid w:val="00494307"/>
    <w:rsid w:val="00494B3B"/>
    <w:rsid w:val="0049565D"/>
    <w:rsid w:val="00495665"/>
    <w:rsid w:val="004963FE"/>
    <w:rsid w:val="004A020A"/>
    <w:rsid w:val="004A036F"/>
    <w:rsid w:val="004A04FE"/>
    <w:rsid w:val="004A0859"/>
    <w:rsid w:val="004A0C71"/>
    <w:rsid w:val="004A0CF6"/>
    <w:rsid w:val="004A18E6"/>
    <w:rsid w:val="004A18FA"/>
    <w:rsid w:val="004A1962"/>
    <w:rsid w:val="004A1B4E"/>
    <w:rsid w:val="004A20DA"/>
    <w:rsid w:val="004A2509"/>
    <w:rsid w:val="004A294E"/>
    <w:rsid w:val="004A3391"/>
    <w:rsid w:val="004A3C39"/>
    <w:rsid w:val="004A3FAE"/>
    <w:rsid w:val="004A4225"/>
    <w:rsid w:val="004A4291"/>
    <w:rsid w:val="004A4D02"/>
    <w:rsid w:val="004A4F2D"/>
    <w:rsid w:val="004A5AFA"/>
    <w:rsid w:val="004A723C"/>
    <w:rsid w:val="004B17CE"/>
    <w:rsid w:val="004B1903"/>
    <w:rsid w:val="004B1A9C"/>
    <w:rsid w:val="004B1B15"/>
    <w:rsid w:val="004B1CB3"/>
    <w:rsid w:val="004B2241"/>
    <w:rsid w:val="004B27D6"/>
    <w:rsid w:val="004B2EBB"/>
    <w:rsid w:val="004B36DF"/>
    <w:rsid w:val="004B3C81"/>
    <w:rsid w:val="004B47F4"/>
    <w:rsid w:val="004B50CC"/>
    <w:rsid w:val="004B5825"/>
    <w:rsid w:val="004B636F"/>
    <w:rsid w:val="004B6415"/>
    <w:rsid w:val="004B64FA"/>
    <w:rsid w:val="004B6AC9"/>
    <w:rsid w:val="004B7C46"/>
    <w:rsid w:val="004B7F9F"/>
    <w:rsid w:val="004C06CE"/>
    <w:rsid w:val="004C099B"/>
    <w:rsid w:val="004C0DB4"/>
    <w:rsid w:val="004C33E8"/>
    <w:rsid w:val="004C4A96"/>
    <w:rsid w:val="004C4C62"/>
    <w:rsid w:val="004C4E5F"/>
    <w:rsid w:val="004C5875"/>
    <w:rsid w:val="004C5F28"/>
    <w:rsid w:val="004C6997"/>
    <w:rsid w:val="004C6CDB"/>
    <w:rsid w:val="004C7C36"/>
    <w:rsid w:val="004C7D16"/>
    <w:rsid w:val="004D0132"/>
    <w:rsid w:val="004D080F"/>
    <w:rsid w:val="004D185E"/>
    <w:rsid w:val="004D4B61"/>
    <w:rsid w:val="004D606D"/>
    <w:rsid w:val="004D6B20"/>
    <w:rsid w:val="004D6C2F"/>
    <w:rsid w:val="004D71FE"/>
    <w:rsid w:val="004D7A80"/>
    <w:rsid w:val="004D7CA3"/>
    <w:rsid w:val="004E0388"/>
    <w:rsid w:val="004E0894"/>
    <w:rsid w:val="004E135A"/>
    <w:rsid w:val="004E1C50"/>
    <w:rsid w:val="004E20EE"/>
    <w:rsid w:val="004E251F"/>
    <w:rsid w:val="004E2B23"/>
    <w:rsid w:val="004E3390"/>
    <w:rsid w:val="004E416F"/>
    <w:rsid w:val="004E424D"/>
    <w:rsid w:val="004E4D96"/>
    <w:rsid w:val="004E5F45"/>
    <w:rsid w:val="004E64DC"/>
    <w:rsid w:val="004E6F86"/>
    <w:rsid w:val="004E706A"/>
    <w:rsid w:val="004F0671"/>
    <w:rsid w:val="004F0C01"/>
    <w:rsid w:val="004F126D"/>
    <w:rsid w:val="004F15F3"/>
    <w:rsid w:val="004F24B5"/>
    <w:rsid w:val="004F2B02"/>
    <w:rsid w:val="004F2D1B"/>
    <w:rsid w:val="004F2E11"/>
    <w:rsid w:val="004F31BD"/>
    <w:rsid w:val="004F3B34"/>
    <w:rsid w:val="004F3E23"/>
    <w:rsid w:val="004F4767"/>
    <w:rsid w:val="004F498A"/>
    <w:rsid w:val="004F4C20"/>
    <w:rsid w:val="004F51B2"/>
    <w:rsid w:val="004F59C4"/>
    <w:rsid w:val="004F5D65"/>
    <w:rsid w:val="004F70F8"/>
    <w:rsid w:val="004F7230"/>
    <w:rsid w:val="004F77EE"/>
    <w:rsid w:val="004F7D7B"/>
    <w:rsid w:val="00501659"/>
    <w:rsid w:val="00501733"/>
    <w:rsid w:val="00501B75"/>
    <w:rsid w:val="00501C39"/>
    <w:rsid w:val="00502203"/>
    <w:rsid w:val="005027B8"/>
    <w:rsid w:val="00503D5D"/>
    <w:rsid w:val="00503F42"/>
    <w:rsid w:val="005054FD"/>
    <w:rsid w:val="00505A66"/>
    <w:rsid w:val="00506576"/>
    <w:rsid w:val="00506710"/>
    <w:rsid w:val="00506E86"/>
    <w:rsid w:val="0050702C"/>
    <w:rsid w:val="0050723E"/>
    <w:rsid w:val="00507403"/>
    <w:rsid w:val="00507430"/>
    <w:rsid w:val="005101E5"/>
    <w:rsid w:val="005110FB"/>
    <w:rsid w:val="00511D75"/>
    <w:rsid w:val="00512232"/>
    <w:rsid w:val="00513B7E"/>
    <w:rsid w:val="00514597"/>
    <w:rsid w:val="005150AB"/>
    <w:rsid w:val="005172E2"/>
    <w:rsid w:val="005175B3"/>
    <w:rsid w:val="0051769B"/>
    <w:rsid w:val="0052052F"/>
    <w:rsid w:val="00520571"/>
    <w:rsid w:val="00522C8A"/>
    <w:rsid w:val="00523AF8"/>
    <w:rsid w:val="00523F57"/>
    <w:rsid w:val="00523F8F"/>
    <w:rsid w:val="005248F8"/>
    <w:rsid w:val="00524E1E"/>
    <w:rsid w:val="005250F7"/>
    <w:rsid w:val="0052565F"/>
    <w:rsid w:val="00525C8D"/>
    <w:rsid w:val="00526E9C"/>
    <w:rsid w:val="005278F8"/>
    <w:rsid w:val="005300ED"/>
    <w:rsid w:val="00531706"/>
    <w:rsid w:val="00532121"/>
    <w:rsid w:val="00532429"/>
    <w:rsid w:val="00532850"/>
    <w:rsid w:val="005328A9"/>
    <w:rsid w:val="00532C7A"/>
    <w:rsid w:val="005332FA"/>
    <w:rsid w:val="005335ED"/>
    <w:rsid w:val="00534668"/>
    <w:rsid w:val="005346BF"/>
    <w:rsid w:val="0053472D"/>
    <w:rsid w:val="00534A62"/>
    <w:rsid w:val="00535189"/>
    <w:rsid w:val="005356B6"/>
    <w:rsid w:val="00535D75"/>
    <w:rsid w:val="00535FF9"/>
    <w:rsid w:val="0053609B"/>
    <w:rsid w:val="0053655A"/>
    <w:rsid w:val="00536C74"/>
    <w:rsid w:val="00536ECF"/>
    <w:rsid w:val="0053740F"/>
    <w:rsid w:val="00540D9E"/>
    <w:rsid w:val="0054171A"/>
    <w:rsid w:val="005420CF"/>
    <w:rsid w:val="00542C2A"/>
    <w:rsid w:val="00543122"/>
    <w:rsid w:val="0054337D"/>
    <w:rsid w:val="005438E3"/>
    <w:rsid w:val="00543CAC"/>
    <w:rsid w:val="005440E4"/>
    <w:rsid w:val="00545BEC"/>
    <w:rsid w:val="005463C9"/>
    <w:rsid w:val="005468A5"/>
    <w:rsid w:val="00546A1D"/>
    <w:rsid w:val="00546C8E"/>
    <w:rsid w:val="00546CB9"/>
    <w:rsid w:val="00546E83"/>
    <w:rsid w:val="00550292"/>
    <w:rsid w:val="00551309"/>
    <w:rsid w:val="005517A4"/>
    <w:rsid w:val="00552426"/>
    <w:rsid w:val="00552F1A"/>
    <w:rsid w:val="0055363B"/>
    <w:rsid w:val="00553693"/>
    <w:rsid w:val="00553934"/>
    <w:rsid w:val="00553B71"/>
    <w:rsid w:val="00554C4D"/>
    <w:rsid w:val="00556A43"/>
    <w:rsid w:val="0056087F"/>
    <w:rsid w:val="0056121A"/>
    <w:rsid w:val="005614F5"/>
    <w:rsid w:val="00562195"/>
    <w:rsid w:val="00562575"/>
    <w:rsid w:val="0056261D"/>
    <w:rsid w:val="00562918"/>
    <w:rsid w:val="00563269"/>
    <w:rsid w:val="00564643"/>
    <w:rsid w:val="00564772"/>
    <w:rsid w:val="00566518"/>
    <w:rsid w:val="005669DA"/>
    <w:rsid w:val="00567613"/>
    <w:rsid w:val="00571640"/>
    <w:rsid w:val="00571902"/>
    <w:rsid w:val="0057194C"/>
    <w:rsid w:val="005720AF"/>
    <w:rsid w:val="00572283"/>
    <w:rsid w:val="0057278A"/>
    <w:rsid w:val="00572F6B"/>
    <w:rsid w:val="00573604"/>
    <w:rsid w:val="00573DE2"/>
    <w:rsid w:val="005741B7"/>
    <w:rsid w:val="00574949"/>
    <w:rsid w:val="00574AD1"/>
    <w:rsid w:val="005767F1"/>
    <w:rsid w:val="00576A92"/>
    <w:rsid w:val="00577417"/>
    <w:rsid w:val="005779BD"/>
    <w:rsid w:val="00580009"/>
    <w:rsid w:val="00580850"/>
    <w:rsid w:val="00580912"/>
    <w:rsid w:val="00580D6B"/>
    <w:rsid w:val="00580F14"/>
    <w:rsid w:val="005812AE"/>
    <w:rsid w:val="005813F0"/>
    <w:rsid w:val="0058144C"/>
    <w:rsid w:val="0058159E"/>
    <w:rsid w:val="00582234"/>
    <w:rsid w:val="005824FB"/>
    <w:rsid w:val="00582686"/>
    <w:rsid w:val="005829C4"/>
    <w:rsid w:val="00582D45"/>
    <w:rsid w:val="005860BC"/>
    <w:rsid w:val="00587129"/>
    <w:rsid w:val="005879CE"/>
    <w:rsid w:val="00590B24"/>
    <w:rsid w:val="00590B6C"/>
    <w:rsid w:val="00590E74"/>
    <w:rsid w:val="00591392"/>
    <w:rsid w:val="00591429"/>
    <w:rsid w:val="005915E6"/>
    <w:rsid w:val="00591BEC"/>
    <w:rsid w:val="00591C20"/>
    <w:rsid w:val="005921E8"/>
    <w:rsid w:val="005924E3"/>
    <w:rsid w:val="00592DE3"/>
    <w:rsid w:val="00594948"/>
    <w:rsid w:val="005950B2"/>
    <w:rsid w:val="00595154"/>
    <w:rsid w:val="00595296"/>
    <w:rsid w:val="00595917"/>
    <w:rsid w:val="005969F6"/>
    <w:rsid w:val="00596FEB"/>
    <w:rsid w:val="00597A00"/>
    <w:rsid w:val="00597AB3"/>
    <w:rsid w:val="00597DBB"/>
    <w:rsid w:val="005A118A"/>
    <w:rsid w:val="005A1897"/>
    <w:rsid w:val="005A3B97"/>
    <w:rsid w:val="005A41B4"/>
    <w:rsid w:val="005A45EC"/>
    <w:rsid w:val="005A4A89"/>
    <w:rsid w:val="005A55F6"/>
    <w:rsid w:val="005A57D4"/>
    <w:rsid w:val="005A5C31"/>
    <w:rsid w:val="005A5DB4"/>
    <w:rsid w:val="005A600A"/>
    <w:rsid w:val="005A61A9"/>
    <w:rsid w:val="005A74D9"/>
    <w:rsid w:val="005A7E88"/>
    <w:rsid w:val="005B01F4"/>
    <w:rsid w:val="005B05BE"/>
    <w:rsid w:val="005B07C7"/>
    <w:rsid w:val="005B0E7B"/>
    <w:rsid w:val="005B1B4F"/>
    <w:rsid w:val="005B2564"/>
    <w:rsid w:val="005B2E53"/>
    <w:rsid w:val="005B2F26"/>
    <w:rsid w:val="005B389B"/>
    <w:rsid w:val="005B4B88"/>
    <w:rsid w:val="005B4C25"/>
    <w:rsid w:val="005B52D8"/>
    <w:rsid w:val="005B57E9"/>
    <w:rsid w:val="005B5DAD"/>
    <w:rsid w:val="005B659A"/>
    <w:rsid w:val="005B65CA"/>
    <w:rsid w:val="005B6D04"/>
    <w:rsid w:val="005B79C6"/>
    <w:rsid w:val="005C04C0"/>
    <w:rsid w:val="005C0912"/>
    <w:rsid w:val="005C1B46"/>
    <w:rsid w:val="005C1ECC"/>
    <w:rsid w:val="005C1F7E"/>
    <w:rsid w:val="005C2057"/>
    <w:rsid w:val="005C20A0"/>
    <w:rsid w:val="005C2EF2"/>
    <w:rsid w:val="005C3AE2"/>
    <w:rsid w:val="005C5258"/>
    <w:rsid w:val="005C57F7"/>
    <w:rsid w:val="005C5E5D"/>
    <w:rsid w:val="005C76FD"/>
    <w:rsid w:val="005C7A6D"/>
    <w:rsid w:val="005C7DC3"/>
    <w:rsid w:val="005D0DAF"/>
    <w:rsid w:val="005D0E2B"/>
    <w:rsid w:val="005D14A4"/>
    <w:rsid w:val="005D1D83"/>
    <w:rsid w:val="005D2614"/>
    <w:rsid w:val="005D2E2B"/>
    <w:rsid w:val="005D3D10"/>
    <w:rsid w:val="005D6E2B"/>
    <w:rsid w:val="005D71BB"/>
    <w:rsid w:val="005E07F3"/>
    <w:rsid w:val="005E0823"/>
    <w:rsid w:val="005E1008"/>
    <w:rsid w:val="005E11E2"/>
    <w:rsid w:val="005E170E"/>
    <w:rsid w:val="005E1DDB"/>
    <w:rsid w:val="005E1F3F"/>
    <w:rsid w:val="005E250E"/>
    <w:rsid w:val="005E3769"/>
    <w:rsid w:val="005E3B68"/>
    <w:rsid w:val="005E4148"/>
    <w:rsid w:val="005E4455"/>
    <w:rsid w:val="005E4674"/>
    <w:rsid w:val="005E4AF5"/>
    <w:rsid w:val="005E4F30"/>
    <w:rsid w:val="005E511D"/>
    <w:rsid w:val="005E56C4"/>
    <w:rsid w:val="005E6369"/>
    <w:rsid w:val="005E652A"/>
    <w:rsid w:val="005E68B2"/>
    <w:rsid w:val="005E6C14"/>
    <w:rsid w:val="005E6F87"/>
    <w:rsid w:val="005F043C"/>
    <w:rsid w:val="005F0593"/>
    <w:rsid w:val="005F1BE8"/>
    <w:rsid w:val="005F1C1F"/>
    <w:rsid w:val="005F2ABB"/>
    <w:rsid w:val="005F3375"/>
    <w:rsid w:val="005F354A"/>
    <w:rsid w:val="005F5B5B"/>
    <w:rsid w:val="005F74BD"/>
    <w:rsid w:val="005F7D2F"/>
    <w:rsid w:val="006003A9"/>
    <w:rsid w:val="00600E8E"/>
    <w:rsid w:val="006018CA"/>
    <w:rsid w:val="006019E6"/>
    <w:rsid w:val="00601AA5"/>
    <w:rsid w:val="006021EE"/>
    <w:rsid w:val="0060270D"/>
    <w:rsid w:val="006034A7"/>
    <w:rsid w:val="006037CC"/>
    <w:rsid w:val="00603A6B"/>
    <w:rsid w:val="006040F2"/>
    <w:rsid w:val="0060449A"/>
    <w:rsid w:val="00604805"/>
    <w:rsid w:val="0060529E"/>
    <w:rsid w:val="00605384"/>
    <w:rsid w:val="00607C2D"/>
    <w:rsid w:val="006103A4"/>
    <w:rsid w:val="00610922"/>
    <w:rsid w:val="00611D8D"/>
    <w:rsid w:val="006122E2"/>
    <w:rsid w:val="006125AA"/>
    <w:rsid w:val="00613E9D"/>
    <w:rsid w:val="0061423C"/>
    <w:rsid w:val="0061427C"/>
    <w:rsid w:val="00615FAB"/>
    <w:rsid w:val="006169BB"/>
    <w:rsid w:val="00616F11"/>
    <w:rsid w:val="006177F0"/>
    <w:rsid w:val="0062005F"/>
    <w:rsid w:val="00620165"/>
    <w:rsid w:val="006201DC"/>
    <w:rsid w:val="00620985"/>
    <w:rsid w:val="00620BD5"/>
    <w:rsid w:val="00622289"/>
    <w:rsid w:val="00622543"/>
    <w:rsid w:val="00622643"/>
    <w:rsid w:val="00623312"/>
    <w:rsid w:val="0062351E"/>
    <w:rsid w:val="00623E92"/>
    <w:rsid w:val="00623E93"/>
    <w:rsid w:val="00624322"/>
    <w:rsid w:val="006248E3"/>
    <w:rsid w:val="00624B0B"/>
    <w:rsid w:val="0062558F"/>
    <w:rsid w:val="00625D3D"/>
    <w:rsid w:val="00625DB6"/>
    <w:rsid w:val="00626CAC"/>
    <w:rsid w:val="00627AD4"/>
    <w:rsid w:val="00630F33"/>
    <w:rsid w:val="006312A4"/>
    <w:rsid w:val="006312F8"/>
    <w:rsid w:val="006313C9"/>
    <w:rsid w:val="006317D2"/>
    <w:rsid w:val="00631C0F"/>
    <w:rsid w:val="006348ED"/>
    <w:rsid w:val="00636A18"/>
    <w:rsid w:val="00636C52"/>
    <w:rsid w:val="0063771E"/>
    <w:rsid w:val="006406A6"/>
    <w:rsid w:val="00640A5A"/>
    <w:rsid w:val="00640E6C"/>
    <w:rsid w:val="00642351"/>
    <w:rsid w:val="006424F7"/>
    <w:rsid w:val="00642C32"/>
    <w:rsid w:val="006433D0"/>
    <w:rsid w:val="00643467"/>
    <w:rsid w:val="00643A31"/>
    <w:rsid w:val="00643AAE"/>
    <w:rsid w:val="00644A9F"/>
    <w:rsid w:val="00645C5F"/>
    <w:rsid w:val="00646BA0"/>
    <w:rsid w:val="00646F54"/>
    <w:rsid w:val="0065002D"/>
    <w:rsid w:val="00650254"/>
    <w:rsid w:val="006502BB"/>
    <w:rsid w:val="006515EF"/>
    <w:rsid w:val="006530E2"/>
    <w:rsid w:val="006535DE"/>
    <w:rsid w:val="0065453F"/>
    <w:rsid w:val="00654758"/>
    <w:rsid w:val="006563FC"/>
    <w:rsid w:val="00656EAE"/>
    <w:rsid w:val="00657344"/>
    <w:rsid w:val="006602CF"/>
    <w:rsid w:val="00660FB0"/>
    <w:rsid w:val="00661356"/>
    <w:rsid w:val="00662399"/>
    <w:rsid w:val="006628D0"/>
    <w:rsid w:val="00664B40"/>
    <w:rsid w:val="006652FD"/>
    <w:rsid w:val="00665679"/>
    <w:rsid w:val="0066568C"/>
    <w:rsid w:val="0066590A"/>
    <w:rsid w:val="00665DB7"/>
    <w:rsid w:val="00666370"/>
    <w:rsid w:val="0066646F"/>
    <w:rsid w:val="00666775"/>
    <w:rsid w:val="00666A5B"/>
    <w:rsid w:val="0066758F"/>
    <w:rsid w:val="006707E3"/>
    <w:rsid w:val="00670EFB"/>
    <w:rsid w:val="00671380"/>
    <w:rsid w:val="006713F9"/>
    <w:rsid w:val="00672F3E"/>
    <w:rsid w:val="00673BF2"/>
    <w:rsid w:val="00673C58"/>
    <w:rsid w:val="0067494B"/>
    <w:rsid w:val="00674996"/>
    <w:rsid w:val="00674DB0"/>
    <w:rsid w:val="00675296"/>
    <w:rsid w:val="006766B8"/>
    <w:rsid w:val="00677143"/>
    <w:rsid w:val="00677EE3"/>
    <w:rsid w:val="006807E1"/>
    <w:rsid w:val="00680DE4"/>
    <w:rsid w:val="0068116A"/>
    <w:rsid w:val="006823D9"/>
    <w:rsid w:val="00683367"/>
    <w:rsid w:val="00683B8F"/>
    <w:rsid w:val="006841B1"/>
    <w:rsid w:val="0068436A"/>
    <w:rsid w:val="0068523F"/>
    <w:rsid w:val="006855A0"/>
    <w:rsid w:val="006861C4"/>
    <w:rsid w:val="00686C23"/>
    <w:rsid w:val="00687033"/>
    <w:rsid w:val="00687D28"/>
    <w:rsid w:val="00687EC6"/>
    <w:rsid w:val="00690AC8"/>
    <w:rsid w:val="00690CCF"/>
    <w:rsid w:val="00690E24"/>
    <w:rsid w:val="00691626"/>
    <w:rsid w:val="006936CD"/>
    <w:rsid w:val="0069391C"/>
    <w:rsid w:val="00693EA8"/>
    <w:rsid w:val="0069493D"/>
    <w:rsid w:val="00694C13"/>
    <w:rsid w:val="00694FF9"/>
    <w:rsid w:val="006954E8"/>
    <w:rsid w:val="0069620B"/>
    <w:rsid w:val="0069659F"/>
    <w:rsid w:val="00696801"/>
    <w:rsid w:val="0069758F"/>
    <w:rsid w:val="006978DB"/>
    <w:rsid w:val="00697989"/>
    <w:rsid w:val="006979EF"/>
    <w:rsid w:val="006A049D"/>
    <w:rsid w:val="006A0623"/>
    <w:rsid w:val="006A12AE"/>
    <w:rsid w:val="006A12E9"/>
    <w:rsid w:val="006A1BC6"/>
    <w:rsid w:val="006A217F"/>
    <w:rsid w:val="006A272F"/>
    <w:rsid w:val="006A4F56"/>
    <w:rsid w:val="006A54EF"/>
    <w:rsid w:val="006A58A2"/>
    <w:rsid w:val="006A5A39"/>
    <w:rsid w:val="006A5C7F"/>
    <w:rsid w:val="006A6263"/>
    <w:rsid w:val="006A6484"/>
    <w:rsid w:val="006A652E"/>
    <w:rsid w:val="006A7EA3"/>
    <w:rsid w:val="006B022C"/>
    <w:rsid w:val="006B07D8"/>
    <w:rsid w:val="006B0CEB"/>
    <w:rsid w:val="006B13C1"/>
    <w:rsid w:val="006B1707"/>
    <w:rsid w:val="006B212D"/>
    <w:rsid w:val="006B2489"/>
    <w:rsid w:val="006B3215"/>
    <w:rsid w:val="006B3348"/>
    <w:rsid w:val="006B3448"/>
    <w:rsid w:val="006B4F5C"/>
    <w:rsid w:val="006B5062"/>
    <w:rsid w:val="006B5725"/>
    <w:rsid w:val="006B6BDE"/>
    <w:rsid w:val="006B6CBE"/>
    <w:rsid w:val="006B71E4"/>
    <w:rsid w:val="006B721D"/>
    <w:rsid w:val="006C00B5"/>
    <w:rsid w:val="006C0601"/>
    <w:rsid w:val="006C1170"/>
    <w:rsid w:val="006C2506"/>
    <w:rsid w:val="006C2952"/>
    <w:rsid w:val="006C348B"/>
    <w:rsid w:val="006C34C1"/>
    <w:rsid w:val="006C374C"/>
    <w:rsid w:val="006C4E73"/>
    <w:rsid w:val="006C4EB7"/>
    <w:rsid w:val="006C5014"/>
    <w:rsid w:val="006C565B"/>
    <w:rsid w:val="006C5D35"/>
    <w:rsid w:val="006C75FA"/>
    <w:rsid w:val="006C7FAC"/>
    <w:rsid w:val="006D0421"/>
    <w:rsid w:val="006D047B"/>
    <w:rsid w:val="006D11C3"/>
    <w:rsid w:val="006D1D18"/>
    <w:rsid w:val="006D2594"/>
    <w:rsid w:val="006D2BD4"/>
    <w:rsid w:val="006D407D"/>
    <w:rsid w:val="006D4750"/>
    <w:rsid w:val="006D477F"/>
    <w:rsid w:val="006D47BC"/>
    <w:rsid w:val="006D4ACA"/>
    <w:rsid w:val="006D5843"/>
    <w:rsid w:val="006D59EA"/>
    <w:rsid w:val="006D6871"/>
    <w:rsid w:val="006D6CA2"/>
    <w:rsid w:val="006D71D3"/>
    <w:rsid w:val="006E1FB4"/>
    <w:rsid w:val="006E24D7"/>
    <w:rsid w:val="006E3415"/>
    <w:rsid w:val="006E3962"/>
    <w:rsid w:val="006E464C"/>
    <w:rsid w:val="006E4970"/>
    <w:rsid w:val="006E4A6B"/>
    <w:rsid w:val="006E4CCB"/>
    <w:rsid w:val="006E4CCC"/>
    <w:rsid w:val="006E4EC5"/>
    <w:rsid w:val="006E516B"/>
    <w:rsid w:val="006E64FC"/>
    <w:rsid w:val="006E6536"/>
    <w:rsid w:val="006E69AE"/>
    <w:rsid w:val="006E78A4"/>
    <w:rsid w:val="006E7A04"/>
    <w:rsid w:val="006F065D"/>
    <w:rsid w:val="006F0C10"/>
    <w:rsid w:val="006F29B4"/>
    <w:rsid w:val="006F5A8D"/>
    <w:rsid w:val="006F6DDA"/>
    <w:rsid w:val="006F7041"/>
    <w:rsid w:val="0070068B"/>
    <w:rsid w:val="00700990"/>
    <w:rsid w:val="00700CF4"/>
    <w:rsid w:val="007016BE"/>
    <w:rsid w:val="007025A3"/>
    <w:rsid w:val="007030B9"/>
    <w:rsid w:val="00703181"/>
    <w:rsid w:val="007042E7"/>
    <w:rsid w:val="007044EC"/>
    <w:rsid w:val="00704571"/>
    <w:rsid w:val="007048F0"/>
    <w:rsid w:val="007048F1"/>
    <w:rsid w:val="00705362"/>
    <w:rsid w:val="0070604E"/>
    <w:rsid w:val="0070718C"/>
    <w:rsid w:val="00710751"/>
    <w:rsid w:val="00711526"/>
    <w:rsid w:val="0071165C"/>
    <w:rsid w:val="00711CAD"/>
    <w:rsid w:val="0071201B"/>
    <w:rsid w:val="007147A8"/>
    <w:rsid w:val="007153F0"/>
    <w:rsid w:val="007154CF"/>
    <w:rsid w:val="007159A1"/>
    <w:rsid w:val="00716812"/>
    <w:rsid w:val="00716DC4"/>
    <w:rsid w:val="007171DB"/>
    <w:rsid w:val="00717651"/>
    <w:rsid w:val="0071796A"/>
    <w:rsid w:val="00717A8D"/>
    <w:rsid w:val="00717BF6"/>
    <w:rsid w:val="00717F9F"/>
    <w:rsid w:val="00720493"/>
    <w:rsid w:val="00720B9E"/>
    <w:rsid w:val="00721887"/>
    <w:rsid w:val="00721CC5"/>
    <w:rsid w:val="007224ED"/>
    <w:rsid w:val="00722FD8"/>
    <w:rsid w:val="00724291"/>
    <w:rsid w:val="00724D0C"/>
    <w:rsid w:val="0072590A"/>
    <w:rsid w:val="00725996"/>
    <w:rsid w:val="00726886"/>
    <w:rsid w:val="0072724E"/>
    <w:rsid w:val="00727381"/>
    <w:rsid w:val="00727924"/>
    <w:rsid w:val="00730896"/>
    <w:rsid w:val="007314BA"/>
    <w:rsid w:val="00732A2D"/>
    <w:rsid w:val="00732D06"/>
    <w:rsid w:val="00733E70"/>
    <w:rsid w:val="00733FFC"/>
    <w:rsid w:val="0073438B"/>
    <w:rsid w:val="007343F1"/>
    <w:rsid w:val="0073490E"/>
    <w:rsid w:val="0073536C"/>
    <w:rsid w:val="007359A2"/>
    <w:rsid w:val="007360A9"/>
    <w:rsid w:val="0073699B"/>
    <w:rsid w:val="0073710F"/>
    <w:rsid w:val="00737362"/>
    <w:rsid w:val="00737753"/>
    <w:rsid w:val="007409AA"/>
    <w:rsid w:val="007411F4"/>
    <w:rsid w:val="007413BF"/>
    <w:rsid w:val="00741968"/>
    <w:rsid w:val="00741BDD"/>
    <w:rsid w:val="00743A58"/>
    <w:rsid w:val="00743D1C"/>
    <w:rsid w:val="00743D29"/>
    <w:rsid w:val="0074406C"/>
    <w:rsid w:val="00744146"/>
    <w:rsid w:val="00745153"/>
    <w:rsid w:val="00745844"/>
    <w:rsid w:val="007460ED"/>
    <w:rsid w:val="0074661C"/>
    <w:rsid w:val="00746A2F"/>
    <w:rsid w:val="00746D3B"/>
    <w:rsid w:val="00746F4E"/>
    <w:rsid w:val="007472EF"/>
    <w:rsid w:val="00747669"/>
    <w:rsid w:val="00751097"/>
    <w:rsid w:val="00751E1F"/>
    <w:rsid w:val="0075296E"/>
    <w:rsid w:val="00752F33"/>
    <w:rsid w:val="0075319C"/>
    <w:rsid w:val="007531A5"/>
    <w:rsid w:val="007535E3"/>
    <w:rsid w:val="00753A92"/>
    <w:rsid w:val="00753FCB"/>
    <w:rsid w:val="007542B1"/>
    <w:rsid w:val="007550FE"/>
    <w:rsid w:val="00755EE8"/>
    <w:rsid w:val="00756609"/>
    <w:rsid w:val="007566A7"/>
    <w:rsid w:val="00756E30"/>
    <w:rsid w:val="0075707E"/>
    <w:rsid w:val="00757941"/>
    <w:rsid w:val="007639A5"/>
    <w:rsid w:val="00763EE9"/>
    <w:rsid w:val="00764375"/>
    <w:rsid w:val="007653BF"/>
    <w:rsid w:val="00765630"/>
    <w:rsid w:val="00765919"/>
    <w:rsid w:val="007661BB"/>
    <w:rsid w:val="0076653E"/>
    <w:rsid w:val="00766647"/>
    <w:rsid w:val="0076786D"/>
    <w:rsid w:val="00770E63"/>
    <w:rsid w:val="00774469"/>
    <w:rsid w:val="00774752"/>
    <w:rsid w:val="00775291"/>
    <w:rsid w:val="0077594E"/>
    <w:rsid w:val="00775FB9"/>
    <w:rsid w:val="00776268"/>
    <w:rsid w:val="00777495"/>
    <w:rsid w:val="0078016F"/>
    <w:rsid w:val="007805EC"/>
    <w:rsid w:val="007808A4"/>
    <w:rsid w:val="00780928"/>
    <w:rsid w:val="00780FA6"/>
    <w:rsid w:val="00781689"/>
    <w:rsid w:val="00781EF6"/>
    <w:rsid w:val="007822D6"/>
    <w:rsid w:val="00782394"/>
    <w:rsid w:val="00782848"/>
    <w:rsid w:val="007829B1"/>
    <w:rsid w:val="00783873"/>
    <w:rsid w:val="007847D1"/>
    <w:rsid w:val="00784924"/>
    <w:rsid w:val="00785D82"/>
    <w:rsid w:val="0078647B"/>
    <w:rsid w:val="00786ED4"/>
    <w:rsid w:val="0078716F"/>
    <w:rsid w:val="007873C8"/>
    <w:rsid w:val="0078793D"/>
    <w:rsid w:val="00790F50"/>
    <w:rsid w:val="00791374"/>
    <w:rsid w:val="00792B66"/>
    <w:rsid w:val="0079352C"/>
    <w:rsid w:val="00793B34"/>
    <w:rsid w:val="00793B84"/>
    <w:rsid w:val="00793D87"/>
    <w:rsid w:val="00794795"/>
    <w:rsid w:val="007949E6"/>
    <w:rsid w:val="00794CC2"/>
    <w:rsid w:val="00794D98"/>
    <w:rsid w:val="00794F29"/>
    <w:rsid w:val="00795A2A"/>
    <w:rsid w:val="007964B5"/>
    <w:rsid w:val="007972FB"/>
    <w:rsid w:val="007A02BC"/>
    <w:rsid w:val="007A099F"/>
    <w:rsid w:val="007A0ADA"/>
    <w:rsid w:val="007A0F0F"/>
    <w:rsid w:val="007A16EB"/>
    <w:rsid w:val="007A26C4"/>
    <w:rsid w:val="007A2742"/>
    <w:rsid w:val="007A2F96"/>
    <w:rsid w:val="007A33C4"/>
    <w:rsid w:val="007A49D9"/>
    <w:rsid w:val="007A5620"/>
    <w:rsid w:val="007B01E7"/>
    <w:rsid w:val="007B0810"/>
    <w:rsid w:val="007B104F"/>
    <w:rsid w:val="007B1418"/>
    <w:rsid w:val="007B150E"/>
    <w:rsid w:val="007B1C29"/>
    <w:rsid w:val="007B2177"/>
    <w:rsid w:val="007B7BB1"/>
    <w:rsid w:val="007C0B47"/>
    <w:rsid w:val="007C1229"/>
    <w:rsid w:val="007C17AB"/>
    <w:rsid w:val="007C1DFF"/>
    <w:rsid w:val="007C1E1D"/>
    <w:rsid w:val="007C2145"/>
    <w:rsid w:val="007C2349"/>
    <w:rsid w:val="007C377C"/>
    <w:rsid w:val="007C3815"/>
    <w:rsid w:val="007C3B7F"/>
    <w:rsid w:val="007C5B20"/>
    <w:rsid w:val="007C65FA"/>
    <w:rsid w:val="007C7F3A"/>
    <w:rsid w:val="007D069C"/>
    <w:rsid w:val="007D1AFD"/>
    <w:rsid w:val="007D1E73"/>
    <w:rsid w:val="007D23C4"/>
    <w:rsid w:val="007D2FC8"/>
    <w:rsid w:val="007D408D"/>
    <w:rsid w:val="007D4CD5"/>
    <w:rsid w:val="007D52A7"/>
    <w:rsid w:val="007D619D"/>
    <w:rsid w:val="007D658F"/>
    <w:rsid w:val="007D6D6F"/>
    <w:rsid w:val="007D6E6D"/>
    <w:rsid w:val="007D6F5D"/>
    <w:rsid w:val="007D7604"/>
    <w:rsid w:val="007D7AA9"/>
    <w:rsid w:val="007E075D"/>
    <w:rsid w:val="007E1008"/>
    <w:rsid w:val="007E170B"/>
    <w:rsid w:val="007E18BA"/>
    <w:rsid w:val="007E18FA"/>
    <w:rsid w:val="007E1DF2"/>
    <w:rsid w:val="007E2888"/>
    <w:rsid w:val="007E32D4"/>
    <w:rsid w:val="007E3514"/>
    <w:rsid w:val="007E3829"/>
    <w:rsid w:val="007E402B"/>
    <w:rsid w:val="007E495E"/>
    <w:rsid w:val="007E5FF3"/>
    <w:rsid w:val="007E65FE"/>
    <w:rsid w:val="007E6782"/>
    <w:rsid w:val="007E6B64"/>
    <w:rsid w:val="007E7679"/>
    <w:rsid w:val="007E79F5"/>
    <w:rsid w:val="007E7AF0"/>
    <w:rsid w:val="007F02BF"/>
    <w:rsid w:val="007F1BC2"/>
    <w:rsid w:val="007F1CCC"/>
    <w:rsid w:val="007F25B4"/>
    <w:rsid w:val="007F2C38"/>
    <w:rsid w:val="007F2EFF"/>
    <w:rsid w:val="007F3683"/>
    <w:rsid w:val="007F39D7"/>
    <w:rsid w:val="007F3A04"/>
    <w:rsid w:val="007F51FF"/>
    <w:rsid w:val="007F5557"/>
    <w:rsid w:val="007F5CD4"/>
    <w:rsid w:val="007F61E2"/>
    <w:rsid w:val="007F730F"/>
    <w:rsid w:val="007F7563"/>
    <w:rsid w:val="007F7A54"/>
    <w:rsid w:val="007F7AB8"/>
    <w:rsid w:val="00800125"/>
    <w:rsid w:val="0080026A"/>
    <w:rsid w:val="00800FCD"/>
    <w:rsid w:val="00801057"/>
    <w:rsid w:val="00801387"/>
    <w:rsid w:val="00801BFF"/>
    <w:rsid w:val="0080250E"/>
    <w:rsid w:val="0080281E"/>
    <w:rsid w:val="0080288E"/>
    <w:rsid w:val="00803DDF"/>
    <w:rsid w:val="00805261"/>
    <w:rsid w:val="0080563D"/>
    <w:rsid w:val="00805F75"/>
    <w:rsid w:val="00806071"/>
    <w:rsid w:val="008078AC"/>
    <w:rsid w:val="00807C1B"/>
    <w:rsid w:val="00810489"/>
    <w:rsid w:val="00810B18"/>
    <w:rsid w:val="00811026"/>
    <w:rsid w:val="00811B7A"/>
    <w:rsid w:val="00811E77"/>
    <w:rsid w:val="00812638"/>
    <w:rsid w:val="00812720"/>
    <w:rsid w:val="00812AE2"/>
    <w:rsid w:val="00812CD4"/>
    <w:rsid w:val="00814892"/>
    <w:rsid w:val="00814D78"/>
    <w:rsid w:val="00815167"/>
    <w:rsid w:val="008151B0"/>
    <w:rsid w:val="00816744"/>
    <w:rsid w:val="0081696D"/>
    <w:rsid w:val="00816B36"/>
    <w:rsid w:val="00817452"/>
    <w:rsid w:val="0081758D"/>
    <w:rsid w:val="00817C39"/>
    <w:rsid w:val="00817C8A"/>
    <w:rsid w:val="0082098B"/>
    <w:rsid w:val="00821E84"/>
    <w:rsid w:val="00822005"/>
    <w:rsid w:val="0082256B"/>
    <w:rsid w:val="008225BB"/>
    <w:rsid w:val="00822609"/>
    <w:rsid w:val="00822B0C"/>
    <w:rsid w:val="00822C45"/>
    <w:rsid w:val="00823810"/>
    <w:rsid w:val="008241E4"/>
    <w:rsid w:val="00824912"/>
    <w:rsid w:val="00824F1A"/>
    <w:rsid w:val="00825B07"/>
    <w:rsid w:val="008265E8"/>
    <w:rsid w:val="00826634"/>
    <w:rsid w:val="00826C0C"/>
    <w:rsid w:val="00827E75"/>
    <w:rsid w:val="00830810"/>
    <w:rsid w:val="008309CF"/>
    <w:rsid w:val="00830AF8"/>
    <w:rsid w:val="00830DC0"/>
    <w:rsid w:val="00831427"/>
    <w:rsid w:val="00831C09"/>
    <w:rsid w:val="00831C68"/>
    <w:rsid w:val="008322FB"/>
    <w:rsid w:val="0083272D"/>
    <w:rsid w:val="00832E6A"/>
    <w:rsid w:val="00833E4E"/>
    <w:rsid w:val="0083473D"/>
    <w:rsid w:val="00834990"/>
    <w:rsid w:val="00834AF4"/>
    <w:rsid w:val="00834BEC"/>
    <w:rsid w:val="00834D47"/>
    <w:rsid w:val="00834DC9"/>
    <w:rsid w:val="00835389"/>
    <w:rsid w:val="00835459"/>
    <w:rsid w:val="008356D1"/>
    <w:rsid w:val="008358DA"/>
    <w:rsid w:val="00836CC0"/>
    <w:rsid w:val="008373F3"/>
    <w:rsid w:val="00840350"/>
    <w:rsid w:val="00840409"/>
    <w:rsid w:val="0084055F"/>
    <w:rsid w:val="008405C8"/>
    <w:rsid w:val="0084098C"/>
    <w:rsid w:val="008411FD"/>
    <w:rsid w:val="0084138C"/>
    <w:rsid w:val="00841542"/>
    <w:rsid w:val="008429DB"/>
    <w:rsid w:val="00842BA8"/>
    <w:rsid w:val="0084324E"/>
    <w:rsid w:val="00844B2A"/>
    <w:rsid w:val="00844ED2"/>
    <w:rsid w:val="0084562E"/>
    <w:rsid w:val="00845CAA"/>
    <w:rsid w:val="0084736D"/>
    <w:rsid w:val="008479BC"/>
    <w:rsid w:val="00847C79"/>
    <w:rsid w:val="008509B7"/>
    <w:rsid w:val="00850A19"/>
    <w:rsid w:val="0085106C"/>
    <w:rsid w:val="008514EC"/>
    <w:rsid w:val="00851F31"/>
    <w:rsid w:val="0085233E"/>
    <w:rsid w:val="008524F7"/>
    <w:rsid w:val="00852A9A"/>
    <w:rsid w:val="008534FA"/>
    <w:rsid w:val="00853616"/>
    <w:rsid w:val="00853704"/>
    <w:rsid w:val="00853C23"/>
    <w:rsid w:val="0085413E"/>
    <w:rsid w:val="00854674"/>
    <w:rsid w:val="00854784"/>
    <w:rsid w:val="00854C8E"/>
    <w:rsid w:val="0085729A"/>
    <w:rsid w:val="008575ED"/>
    <w:rsid w:val="00857F3D"/>
    <w:rsid w:val="008600E4"/>
    <w:rsid w:val="00860F08"/>
    <w:rsid w:val="008612F5"/>
    <w:rsid w:val="00861F9D"/>
    <w:rsid w:val="0086307F"/>
    <w:rsid w:val="00863113"/>
    <w:rsid w:val="008639AD"/>
    <w:rsid w:val="00863C1F"/>
    <w:rsid w:val="00863E8B"/>
    <w:rsid w:val="0086436B"/>
    <w:rsid w:val="00870856"/>
    <w:rsid w:val="008708CA"/>
    <w:rsid w:val="0087157B"/>
    <w:rsid w:val="00873845"/>
    <w:rsid w:val="00876522"/>
    <w:rsid w:val="00876AE3"/>
    <w:rsid w:val="008775DB"/>
    <w:rsid w:val="00877B07"/>
    <w:rsid w:val="00877B7A"/>
    <w:rsid w:val="00880EFA"/>
    <w:rsid w:val="00881EBC"/>
    <w:rsid w:val="008828DF"/>
    <w:rsid w:val="00882E91"/>
    <w:rsid w:val="00882EA8"/>
    <w:rsid w:val="00883EE1"/>
    <w:rsid w:val="0088421A"/>
    <w:rsid w:val="00884ED2"/>
    <w:rsid w:val="00885317"/>
    <w:rsid w:val="0088567D"/>
    <w:rsid w:val="00885D0E"/>
    <w:rsid w:val="008863EC"/>
    <w:rsid w:val="00887227"/>
    <w:rsid w:val="008900AA"/>
    <w:rsid w:val="00890427"/>
    <w:rsid w:val="0089096B"/>
    <w:rsid w:val="008919D4"/>
    <w:rsid w:val="00892157"/>
    <w:rsid w:val="0089225A"/>
    <w:rsid w:val="00892AC0"/>
    <w:rsid w:val="008934FE"/>
    <w:rsid w:val="00893B5D"/>
    <w:rsid w:val="00893E2F"/>
    <w:rsid w:val="008944DB"/>
    <w:rsid w:val="0089594E"/>
    <w:rsid w:val="008968C4"/>
    <w:rsid w:val="00897463"/>
    <w:rsid w:val="0089753B"/>
    <w:rsid w:val="00897911"/>
    <w:rsid w:val="00897B11"/>
    <w:rsid w:val="008A03BE"/>
    <w:rsid w:val="008A1C8E"/>
    <w:rsid w:val="008A2377"/>
    <w:rsid w:val="008A2E17"/>
    <w:rsid w:val="008A344E"/>
    <w:rsid w:val="008A3721"/>
    <w:rsid w:val="008A382F"/>
    <w:rsid w:val="008A39A0"/>
    <w:rsid w:val="008A39AD"/>
    <w:rsid w:val="008A3DB6"/>
    <w:rsid w:val="008A56ED"/>
    <w:rsid w:val="008A5BE4"/>
    <w:rsid w:val="008A7E3B"/>
    <w:rsid w:val="008B0364"/>
    <w:rsid w:val="008B0379"/>
    <w:rsid w:val="008B05C9"/>
    <w:rsid w:val="008B0D70"/>
    <w:rsid w:val="008B0EA7"/>
    <w:rsid w:val="008B18C5"/>
    <w:rsid w:val="008B480A"/>
    <w:rsid w:val="008B4F76"/>
    <w:rsid w:val="008B58D9"/>
    <w:rsid w:val="008B64DC"/>
    <w:rsid w:val="008B6AFD"/>
    <w:rsid w:val="008B70D9"/>
    <w:rsid w:val="008C07A9"/>
    <w:rsid w:val="008C0A39"/>
    <w:rsid w:val="008C1814"/>
    <w:rsid w:val="008C3CCC"/>
    <w:rsid w:val="008C4084"/>
    <w:rsid w:val="008C4116"/>
    <w:rsid w:val="008C4162"/>
    <w:rsid w:val="008C43A5"/>
    <w:rsid w:val="008C5C81"/>
    <w:rsid w:val="008C6580"/>
    <w:rsid w:val="008C7375"/>
    <w:rsid w:val="008C79F3"/>
    <w:rsid w:val="008D0267"/>
    <w:rsid w:val="008D02BA"/>
    <w:rsid w:val="008D04D0"/>
    <w:rsid w:val="008D1097"/>
    <w:rsid w:val="008D137F"/>
    <w:rsid w:val="008D1417"/>
    <w:rsid w:val="008D1F27"/>
    <w:rsid w:val="008D2F95"/>
    <w:rsid w:val="008D384C"/>
    <w:rsid w:val="008D3EF5"/>
    <w:rsid w:val="008D483E"/>
    <w:rsid w:val="008D4BD7"/>
    <w:rsid w:val="008D56F1"/>
    <w:rsid w:val="008D6375"/>
    <w:rsid w:val="008E02E0"/>
    <w:rsid w:val="008E0670"/>
    <w:rsid w:val="008E114F"/>
    <w:rsid w:val="008E1153"/>
    <w:rsid w:val="008E1495"/>
    <w:rsid w:val="008E1D76"/>
    <w:rsid w:val="008E2594"/>
    <w:rsid w:val="008E3455"/>
    <w:rsid w:val="008E3BFB"/>
    <w:rsid w:val="008E50BD"/>
    <w:rsid w:val="008E5755"/>
    <w:rsid w:val="008E6356"/>
    <w:rsid w:val="008E6529"/>
    <w:rsid w:val="008E6C51"/>
    <w:rsid w:val="008E6F7A"/>
    <w:rsid w:val="008E7734"/>
    <w:rsid w:val="008F07ED"/>
    <w:rsid w:val="008F142D"/>
    <w:rsid w:val="008F1674"/>
    <w:rsid w:val="008F192D"/>
    <w:rsid w:val="008F2699"/>
    <w:rsid w:val="008F3FE5"/>
    <w:rsid w:val="008F42D7"/>
    <w:rsid w:val="008F4382"/>
    <w:rsid w:val="008F4CE7"/>
    <w:rsid w:val="008F629F"/>
    <w:rsid w:val="008F6537"/>
    <w:rsid w:val="00900590"/>
    <w:rsid w:val="00901459"/>
    <w:rsid w:val="00901C47"/>
    <w:rsid w:val="0090328B"/>
    <w:rsid w:val="009032E9"/>
    <w:rsid w:val="00903EFE"/>
    <w:rsid w:val="009040EB"/>
    <w:rsid w:val="0090437C"/>
    <w:rsid w:val="0090472D"/>
    <w:rsid w:val="00904DBE"/>
    <w:rsid w:val="0090518E"/>
    <w:rsid w:val="0090563D"/>
    <w:rsid w:val="00906EF4"/>
    <w:rsid w:val="00910D9D"/>
    <w:rsid w:val="00910F33"/>
    <w:rsid w:val="00911691"/>
    <w:rsid w:val="009118B0"/>
    <w:rsid w:val="009124E6"/>
    <w:rsid w:val="00913944"/>
    <w:rsid w:val="009147E0"/>
    <w:rsid w:val="00916440"/>
    <w:rsid w:val="00916748"/>
    <w:rsid w:val="00917332"/>
    <w:rsid w:val="009177FA"/>
    <w:rsid w:val="009201C7"/>
    <w:rsid w:val="009202C5"/>
    <w:rsid w:val="00920773"/>
    <w:rsid w:val="009209C5"/>
    <w:rsid w:val="00921817"/>
    <w:rsid w:val="00922327"/>
    <w:rsid w:val="0092265F"/>
    <w:rsid w:val="0092359E"/>
    <w:rsid w:val="00923EA0"/>
    <w:rsid w:val="0092474D"/>
    <w:rsid w:val="0092598F"/>
    <w:rsid w:val="00925FF9"/>
    <w:rsid w:val="00927E94"/>
    <w:rsid w:val="00930743"/>
    <w:rsid w:val="00931282"/>
    <w:rsid w:val="00931457"/>
    <w:rsid w:val="009315B3"/>
    <w:rsid w:val="0093167B"/>
    <w:rsid w:val="0093175E"/>
    <w:rsid w:val="00932333"/>
    <w:rsid w:val="00932567"/>
    <w:rsid w:val="009326C6"/>
    <w:rsid w:val="00933665"/>
    <w:rsid w:val="00933695"/>
    <w:rsid w:val="00933CF4"/>
    <w:rsid w:val="00933F52"/>
    <w:rsid w:val="0093661E"/>
    <w:rsid w:val="00936789"/>
    <w:rsid w:val="00936EF5"/>
    <w:rsid w:val="009372E1"/>
    <w:rsid w:val="0093736F"/>
    <w:rsid w:val="00937FBA"/>
    <w:rsid w:val="00940E29"/>
    <w:rsid w:val="0094325C"/>
    <w:rsid w:val="00945766"/>
    <w:rsid w:val="009457AC"/>
    <w:rsid w:val="00945B1E"/>
    <w:rsid w:val="0094609D"/>
    <w:rsid w:val="00946484"/>
    <w:rsid w:val="00946970"/>
    <w:rsid w:val="00946B28"/>
    <w:rsid w:val="00947447"/>
    <w:rsid w:val="00947A17"/>
    <w:rsid w:val="009510F9"/>
    <w:rsid w:val="009516DD"/>
    <w:rsid w:val="00951D77"/>
    <w:rsid w:val="00951F1A"/>
    <w:rsid w:val="00953586"/>
    <w:rsid w:val="0095377C"/>
    <w:rsid w:val="00953A0D"/>
    <w:rsid w:val="00954532"/>
    <w:rsid w:val="00954C5C"/>
    <w:rsid w:val="00954D4A"/>
    <w:rsid w:val="009552E3"/>
    <w:rsid w:val="00955E1B"/>
    <w:rsid w:val="00955F37"/>
    <w:rsid w:val="0095706B"/>
    <w:rsid w:val="009570F9"/>
    <w:rsid w:val="009571B0"/>
    <w:rsid w:val="009573EB"/>
    <w:rsid w:val="00960092"/>
    <w:rsid w:val="00960671"/>
    <w:rsid w:val="0096083A"/>
    <w:rsid w:val="009610B1"/>
    <w:rsid w:val="009618CD"/>
    <w:rsid w:val="00961F2F"/>
    <w:rsid w:val="009621E4"/>
    <w:rsid w:val="00962429"/>
    <w:rsid w:val="00964583"/>
    <w:rsid w:val="00964775"/>
    <w:rsid w:val="00964ACE"/>
    <w:rsid w:val="009659F8"/>
    <w:rsid w:val="009664CB"/>
    <w:rsid w:val="00966CC0"/>
    <w:rsid w:val="009671A1"/>
    <w:rsid w:val="0097179C"/>
    <w:rsid w:val="0097191C"/>
    <w:rsid w:val="0097198A"/>
    <w:rsid w:val="009734BF"/>
    <w:rsid w:val="009737F3"/>
    <w:rsid w:val="00973C3E"/>
    <w:rsid w:val="00974ACC"/>
    <w:rsid w:val="00974C49"/>
    <w:rsid w:val="00974EE4"/>
    <w:rsid w:val="009754CE"/>
    <w:rsid w:val="009756B6"/>
    <w:rsid w:val="00975EF7"/>
    <w:rsid w:val="009774BE"/>
    <w:rsid w:val="009801D6"/>
    <w:rsid w:val="009802D1"/>
    <w:rsid w:val="0098050A"/>
    <w:rsid w:val="00980592"/>
    <w:rsid w:val="009806B0"/>
    <w:rsid w:val="009807B8"/>
    <w:rsid w:val="00981E56"/>
    <w:rsid w:val="00982142"/>
    <w:rsid w:val="00982639"/>
    <w:rsid w:val="00982EEA"/>
    <w:rsid w:val="00982F82"/>
    <w:rsid w:val="009831E2"/>
    <w:rsid w:val="00983255"/>
    <w:rsid w:val="00983D12"/>
    <w:rsid w:val="00983E5F"/>
    <w:rsid w:val="00985051"/>
    <w:rsid w:val="00985DA2"/>
    <w:rsid w:val="0098660C"/>
    <w:rsid w:val="00987DF4"/>
    <w:rsid w:val="00990175"/>
    <w:rsid w:val="00990561"/>
    <w:rsid w:val="00991ED6"/>
    <w:rsid w:val="009920A0"/>
    <w:rsid w:val="00992E8A"/>
    <w:rsid w:val="00992E8D"/>
    <w:rsid w:val="009937FD"/>
    <w:rsid w:val="00994F4D"/>
    <w:rsid w:val="0099532E"/>
    <w:rsid w:val="0099582B"/>
    <w:rsid w:val="00995DAF"/>
    <w:rsid w:val="00995FC3"/>
    <w:rsid w:val="00996AA6"/>
    <w:rsid w:val="00997230"/>
    <w:rsid w:val="009A0274"/>
    <w:rsid w:val="009A035E"/>
    <w:rsid w:val="009A18AB"/>
    <w:rsid w:val="009A2D7C"/>
    <w:rsid w:val="009A30FE"/>
    <w:rsid w:val="009A4644"/>
    <w:rsid w:val="009A468E"/>
    <w:rsid w:val="009A480D"/>
    <w:rsid w:val="009A4908"/>
    <w:rsid w:val="009A6258"/>
    <w:rsid w:val="009A6B3A"/>
    <w:rsid w:val="009A76F7"/>
    <w:rsid w:val="009B00E1"/>
    <w:rsid w:val="009B01CF"/>
    <w:rsid w:val="009B02DB"/>
    <w:rsid w:val="009B0A50"/>
    <w:rsid w:val="009B1DA0"/>
    <w:rsid w:val="009B1F5D"/>
    <w:rsid w:val="009B2407"/>
    <w:rsid w:val="009B3BEA"/>
    <w:rsid w:val="009B41BA"/>
    <w:rsid w:val="009B44F0"/>
    <w:rsid w:val="009B545D"/>
    <w:rsid w:val="009B5957"/>
    <w:rsid w:val="009B5C0B"/>
    <w:rsid w:val="009B7273"/>
    <w:rsid w:val="009B7356"/>
    <w:rsid w:val="009B7FAC"/>
    <w:rsid w:val="009C0C99"/>
    <w:rsid w:val="009C1122"/>
    <w:rsid w:val="009C1840"/>
    <w:rsid w:val="009C1B99"/>
    <w:rsid w:val="009C1DC2"/>
    <w:rsid w:val="009C323A"/>
    <w:rsid w:val="009C3AE8"/>
    <w:rsid w:val="009C4087"/>
    <w:rsid w:val="009C4959"/>
    <w:rsid w:val="009C4CFF"/>
    <w:rsid w:val="009C5961"/>
    <w:rsid w:val="009C76A3"/>
    <w:rsid w:val="009C79E5"/>
    <w:rsid w:val="009C7ACB"/>
    <w:rsid w:val="009C7C85"/>
    <w:rsid w:val="009D03F6"/>
    <w:rsid w:val="009D04E7"/>
    <w:rsid w:val="009D3D0D"/>
    <w:rsid w:val="009D6353"/>
    <w:rsid w:val="009D6CF0"/>
    <w:rsid w:val="009D6E22"/>
    <w:rsid w:val="009D75A9"/>
    <w:rsid w:val="009E0A40"/>
    <w:rsid w:val="009E0D31"/>
    <w:rsid w:val="009E153F"/>
    <w:rsid w:val="009E19AE"/>
    <w:rsid w:val="009E1E60"/>
    <w:rsid w:val="009E1F86"/>
    <w:rsid w:val="009E3112"/>
    <w:rsid w:val="009E34B7"/>
    <w:rsid w:val="009E41C9"/>
    <w:rsid w:val="009E434B"/>
    <w:rsid w:val="009E480B"/>
    <w:rsid w:val="009E5ADE"/>
    <w:rsid w:val="009E5BAE"/>
    <w:rsid w:val="009E5BF5"/>
    <w:rsid w:val="009E5D18"/>
    <w:rsid w:val="009E5F8E"/>
    <w:rsid w:val="009E699D"/>
    <w:rsid w:val="009F0DC3"/>
    <w:rsid w:val="009F1904"/>
    <w:rsid w:val="009F209E"/>
    <w:rsid w:val="009F2446"/>
    <w:rsid w:val="009F2BF4"/>
    <w:rsid w:val="009F2C12"/>
    <w:rsid w:val="009F385D"/>
    <w:rsid w:val="009F4B7F"/>
    <w:rsid w:val="009F5C78"/>
    <w:rsid w:val="009F697A"/>
    <w:rsid w:val="009F6DAC"/>
    <w:rsid w:val="009F7309"/>
    <w:rsid w:val="009F763F"/>
    <w:rsid w:val="009F7748"/>
    <w:rsid w:val="009F7802"/>
    <w:rsid w:val="009F791B"/>
    <w:rsid w:val="009F79D5"/>
    <w:rsid w:val="009F7D96"/>
    <w:rsid w:val="00A007E7"/>
    <w:rsid w:val="00A035DE"/>
    <w:rsid w:val="00A035EA"/>
    <w:rsid w:val="00A04F59"/>
    <w:rsid w:val="00A05597"/>
    <w:rsid w:val="00A05B20"/>
    <w:rsid w:val="00A070DE"/>
    <w:rsid w:val="00A0718D"/>
    <w:rsid w:val="00A07468"/>
    <w:rsid w:val="00A0797A"/>
    <w:rsid w:val="00A07FED"/>
    <w:rsid w:val="00A105EC"/>
    <w:rsid w:val="00A10896"/>
    <w:rsid w:val="00A10C0A"/>
    <w:rsid w:val="00A11019"/>
    <w:rsid w:val="00A114E5"/>
    <w:rsid w:val="00A115CB"/>
    <w:rsid w:val="00A116B1"/>
    <w:rsid w:val="00A11A73"/>
    <w:rsid w:val="00A11A7E"/>
    <w:rsid w:val="00A11F1D"/>
    <w:rsid w:val="00A1253F"/>
    <w:rsid w:val="00A13C50"/>
    <w:rsid w:val="00A14331"/>
    <w:rsid w:val="00A145EB"/>
    <w:rsid w:val="00A14849"/>
    <w:rsid w:val="00A14AB2"/>
    <w:rsid w:val="00A14AC9"/>
    <w:rsid w:val="00A1690D"/>
    <w:rsid w:val="00A175A7"/>
    <w:rsid w:val="00A20573"/>
    <w:rsid w:val="00A207FA"/>
    <w:rsid w:val="00A20C94"/>
    <w:rsid w:val="00A21C4C"/>
    <w:rsid w:val="00A220B7"/>
    <w:rsid w:val="00A227D6"/>
    <w:rsid w:val="00A227E7"/>
    <w:rsid w:val="00A22D55"/>
    <w:rsid w:val="00A239DB"/>
    <w:rsid w:val="00A24008"/>
    <w:rsid w:val="00A24078"/>
    <w:rsid w:val="00A2475E"/>
    <w:rsid w:val="00A258E0"/>
    <w:rsid w:val="00A25FCF"/>
    <w:rsid w:val="00A269B5"/>
    <w:rsid w:val="00A26A3F"/>
    <w:rsid w:val="00A2726D"/>
    <w:rsid w:val="00A273E2"/>
    <w:rsid w:val="00A30627"/>
    <w:rsid w:val="00A30B6C"/>
    <w:rsid w:val="00A31D99"/>
    <w:rsid w:val="00A3244C"/>
    <w:rsid w:val="00A32E59"/>
    <w:rsid w:val="00A33017"/>
    <w:rsid w:val="00A33E4D"/>
    <w:rsid w:val="00A346EE"/>
    <w:rsid w:val="00A34995"/>
    <w:rsid w:val="00A34C32"/>
    <w:rsid w:val="00A34DDE"/>
    <w:rsid w:val="00A34EAB"/>
    <w:rsid w:val="00A350EA"/>
    <w:rsid w:val="00A3594F"/>
    <w:rsid w:val="00A35BCB"/>
    <w:rsid w:val="00A35D94"/>
    <w:rsid w:val="00A362F7"/>
    <w:rsid w:val="00A36940"/>
    <w:rsid w:val="00A36EBD"/>
    <w:rsid w:val="00A40439"/>
    <w:rsid w:val="00A40F98"/>
    <w:rsid w:val="00A43813"/>
    <w:rsid w:val="00A43D47"/>
    <w:rsid w:val="00A440A6"/>
    <w:rsid w:val="00A4618D"/>
    <w:rsid w:val="00A464E1"/>
    <w:rsid w:val="00A46C4E"/>
    <w:rsid w:val="00A46D95"/>
    <w:rsid w:val="00A47081"/>
    <w:rsid w:val="00A47480"/>
    <w:rsid w:val="00A47E8C"/>
    <w:rsid w:val="00A51BC0"/>
    <w:rsid w:val="00A5298C"/>
    <w:rsid w:val="00A52AD0"/>
    <w:rsid w:val="00A53019"/>
    <w:rsid w:val="00A53497"/>
    <w:rsid w:val="00A536CB"/>
    <w:rsid w:val="00A542F8"/>
    <w:rsid w:val="00A55A47"/>
    <w:rsid w:val="00A574BF"/>
    <w:rsid w:val="00A579F8"/>
    <w:rsid w:val="00A6000D"/>
    <w:rsid w:val="00A605E1"/>
    <w:rsid w:val="00A6204A"/>
    <w:rsid w:val="00A62093"/>
    <w:rsid w:val="00A6310C"/>
    <w:rsid w:val="00A6316B"/>
    <w:rsid w:val="00A63679"/>
    <w:rsid w:val="00A63A8F"/>
    <w:rsid w:val="00A64389"/>
    <w:rsid w:val="00A64797"/>
    <w:rsid w:val="00A64817"/>
    <w:rsid w:val="00A71CDE"/>
    <w:rsid w:val="00A7252E"/>
    <w:rsid w:val="00A72BBC"/>
    <w:rsid w:val="00A72E18"/>
    <w:rsid w:val="00A730F3"/>
    <w:rsid w:val="00A74BE6"/>
    <w:rsid w:val="00A7557C"/>
    <w:rsid w:val="00A758A4"/>
    <w:rsid w:val="00A768A2"/>
    <w:rsid w:val="00A76A55"/>
    <w:rsid w:val="00A773B4"/>
    <w:rsid w:val="00A80948"/>
    <w:rsid w:val="00A833A3"/>
    <w:rsid w:val="00A835E5"/>
    <w:rsid w:val="00A83768"/>
    <w:rsid w:val="00A84373"/>
    <w:rsid w:val="00A8456A"/>
    <w:rsid w:val="00A845ED"/>
    <w:rsid w:val="00A867C8"/>
    <w:rsid w:val="00A86F87"/>
    <w:rsid w:val="00A87161"/>
    <w:rsid w:val="00A874D6"/>
    <w:rsid w:val="00A87C01"/>
    <w:rsid w:val="00A902A7"/>
    <w:rsid w:val="00A90327"/>
    <w:rsid w:val="00A904AB"/>
    <w:rsid w:val="00A91FE5"/>
    <w:rsid w:val="00A92A16"/>
    <w:rsid w:val="00A93154"/>
    <w:rsid w:val="00A93214"/>
    <w:rsid w:val="00A93552"/>
    <w:rsid w:val="00A93C27"/>
    <w:rsid w:val="00A93C2B"/>
    <w:rsid w:val="00A93DC1"/>
    <w:rsid w:val="00A94D8C"/>
    <w:rsid w:val="00A95EA8"/>
    <w:rsid w:val="00A96FC0"/>
    <w:rsid w:val="00A97BFA"/>
    <w:rsid w:val="00AA007C"/>
    <w:rsid w:val="00AA0B30"/>
    <w:rsid w:val="00AA25C9"/>
    <w:rsid w:val="00AA3726"/>
    <w:rsid w:val="00AA40AA"/>
    <w:rsid w:val="00AA4F09"/>
    <w:rsid w:val="00AA5C2A"/>
    <w:rsid w:val="00AA7A72"/>
    <w:rsid w:val="00AA7DCE"/>
    <w:rsid w:val="00AA7F8C"/>
    <w:rsid w:val="00AA7FA5"/>
    <w:rsid w:val="00AB0725"/>
    <w:rsid w:val="00AB0FB2"/>
    <w:rsid w:val="00AB10E3"/>
    <w:rsid w:val="00AB18AB"/>
    <w:rsid w:val="00AB1FAD"/>
    <w:rsid w:val="00AB2AF8"/>
    <w:rsid w:val="00AB2D88"/>
    <w:rsid w:val="00AB37FD"/>
    <w:rsid w:val="00AB41AF"/>
    <w:rsid w:val="00AB42BB"/>
    <w:rsid w:val="00AB4B6A"/>
    <w:rsid w:val="00AB4BDD"/>
    <w:rsid w:val="00AB50C3"/>
    <w:rsid w:val="00AB5669"/>
    <w:rsid w:val="00AB57D9"/>
    <w:rsid w:val="00AB6F61"/>
    <w:rsid w:val="00AB7601"/>
    <w:rsid w:val="00AB7957"/>
    <w:rsid w:val="00AB7A15"/>
    <w:rsid w:val="00AB7D9C"/>
    <w:rsid w:val="00AC1506"/>
    <w:rsid w:val="00AC1E53"/>
    <w:rsid w:val="00AC42FA"/>
    <w:rsid w:val="00AC455C"/>
    <w:rsid w:val="00AC4D66"/>
    <w:rsid w:val="00AC5C0E"/>
    <w:rsid w:val="00AC5FCE"/>
    <w:rsid w:val="00AC615E"/>
    <w:rsid w:val="00AC62B7"/>
    <w:rsid w:val="00AC6BDA"/>
    <w:rsid w:val="00AC6E20"/>
    <w:rsid w:val="00AC7A38"/>
    <w:rsid w:val="00AD07F1"/>
    <w:rsid w:val="00AD08BD"/>
    <w:rsid w:val="00AD20E0"/>
    <w:rsid w:val="00AD2BE1"/>
    <w:rsid w:val="00AD3C49"/>
    <w:rsid w:val="00AD3D21"/>
    <w:rsid w:val="00AD4939"/>
    <w:rsid w:val="00AD68F8"/>
    <w:rsid w:val="00AE0B68"/>
    <w:rsid w:val="00AE10CD"/>
    <w:rsid w:val="00AE1499"/>
    <w:rsid w:val="00AE2D0A"/>
    <w:rsid w:val="00AE3725"/>
    <w:rsid w:val="00AE4E58"/>
    <w:rsid w:val="00AE5139"/>
    <w:rsid w:val="00AE54FA"/>
    <w:rsid w:val="00AE5C8B"/>
    <w:rsid w:val="00AE653E"/>
    <w:rsid w:val="00AE65CA"/>
    <w:rsid w:val="00AE6800"/>
    <w:rsid w:val="00AE6CDA"/>
    <w:rsid w:val="00AE72FC"/>
    <w:rsid w:val="00AE751E"/>
    <w:rsid w:val="00AF16A0"/>
    <w:rsid w:val="00AF239F"/>
    <w:rsid w:val="00AF23AA"/>
    <w:rsid w:val="00AF23C2"/>
    <w:rsid w:val="00AF3040"/>
    <w:rsid w:val="00AF39BC"/>
    <w:rsid w:val="00AF4046"/>
    <w:rsid w:val="00AF51E5"/>
    <w:rsid w:val="00AF52E7"/>
    <w:rsid w:val="00AF5D55"/>
    <w:rsid w:val="00AF605B"/>
    <w:rsid w:val="00AF741B"/>
    <w:rsid w:val="00AF7453"/>
    <w:rsid w:val="00AF7C3D"/>
    <w:rsid w:val="00AF7E72"/>
    <w:rsid w:val="00B0115C"/>
    <w:rsid w:val="00B0432F"/>
    <w:rsid w:val="00B043ED"/>
    <w:rsid w:val="00B054FF"/>
    <w:rsid w:val="00B05CB6"/>
    <w:rsid w:val="00B0633F"/>
    <w:rsid w:val="00B070A0"/>
    <w:rsid w:val="00B07CC0"/>
    <w:rsid w:val="00B07D53"/>
    <w:rsid w:val="00B102F5"/>
    <w:rsid w:val="00B103BE"/>
    <w:rsid w:val="00B103E9"/>
    <w:rsid w:val="00B10C24"/>
    <w:rsid w:val="00B11586"/>
    <w:rsid w:val="00B11E6D"/>
    <w:rsid w:val="00B11FA4"/>
    <w:rsid w:val="00B12242"/>
    <w:rsid w:val="00B1393B"/>
    <w:rsid w:val="00B140D2"/>
    <w:rsid w:val="00B14CD1"/>
    <w:rsid w:val="00B15491"/>
    <w:rsid w:val="00B1562F"/>
    <w:rsid w:val="00B159D6"/>
    <w:rsid w:val="00B16D63"/>
    <w:rsid w:val="00B17629"/>
    <w:rsid w:val="00B21D6E"/>
    <w:rsid w:val="00B22C39"/>
    <w:rsid w:val="00B22DE0"/>
    <w:rsid w:val="00B23D2D"/>
    <w:rsid w:val="00B24FEA"/>
    <w:rsid w:val="00B2540B"/>
    <w:rsid w:val="00B25B94"/>
    <w:rsid w:val="00B25FE6"/>
    <w:rsid w:val="00B26407"/>
    <w:rsid w:val="00B26CD6"/>
    <w:rsid w:val="00B27255"/>
    <w:rsid w:val="00B2749B"/>
    <w:rsid w:val="00B2763A"/>
    <w:rsid w:val="00B27A0A"/>
    <w:rsid w:val="00B30160"/>
    <w:rsid w:val="00B3068C"/>
    <w:rsid w:val="00B308B8"/>
    <w:rsid w:val="00B3155C"/>
    <w:rsid w:val="00B317DC"/>
    <w:rsid w:val="00B31E48"/>
    <w:rsid w:val="00B327F4"/>
    <w:rsid w:val="00B32F4E"/>
    <w:rsid w:val="00B3322F"/>
    <w:rsid w:val="00B334B1"/>
    <w:rsid w:val="00B33554"/>
    <w:rsid w:val="00B33E53"/>
    <w:rsid w:val="00B3426C"/>
    <w:rsid w:val="00B35631"/>
    <w:rsid w:val="00B3586B"/>
    <w:rsid w:val="00B3587C"/>
    <w:rsid w:val="00B35B04"/>
    <w:rsid w:val="00B36E10"/>
    <w:rsid w:val="00B36E89"/>
    <w:rsid w:val="00B37246"/>
    <w:rsid w:val="00B3733C"/>
    <w:rsid w:val="00B3775E"/>
    <w:rsid w:val="00B37810"/>
    <w:rsid w:val="00B37E95"/>
    <w:rsid w:val="00B4190C"/>
    <w:rsid w:val="00B41956"/>
    <w:rsid w:val="00B42A22"/>
    <w:rsid w:val="00B45535"/>
    <w:rsid w:val="00B4553C"/>
    <w:rsid w:val="00B4572C"/>
    <w:rsid w:val="00B459C8"/>
    <w:rsid w:val="00B45BAB"/>
    <w:rsid w:val="00B46975"/>
    <w:rsid w:val="00B472EC"/>
    <w:rsid w:val="00B52046"/>
    <w:rsid w:val="00B5259A"/>
    <w:rsid w:val="00B528DA"/>
    <w:rsid w:val="00B52CB1"/>
    <w:rsid w:val="00B53C9A"/>
    <w:rsid w:val="00B53D31"/>
    <w:rsid w:val="00B553DF"/>
    <w:rsid w:val="00B5563C"/>
    <w:rsid w:val="00B57D54"/>
    <w:rsid w:val="00B60946"/>
    <w:rsid w:val="00B609C3"/>
    <w:rsid w:val="00B609D4"/>
    <w:rsid w:val="00B60FB5"/>
    <w:rsid w:val="00B62014"/>
    <w:rsid w:val="00B629C9"/>
    <w:rsid w:val="00B63426"/>
    <w:rsid w:val="00B63F21"/>
    <w:rsid w:val="00B63FB6"/>
    <w:rsid w:val="00B64086"/>
    <w:rsid w:val="00B64519"/>
    <w:rsid w:val="00B64541"/>
    <w:rsid w:val="00B6456D"/>
    <w:rsid w:val="00B64BD0"/>
    <w:rsid w:val="00B64FCD"/>
    <w:rsid w:val="00B65CBD"/>
    <w:rsid w:val="00B66802"/>
    <w:rsid w:val="00B67453"/>
    <w:rsid w:val="00B675F7"/>
    <w:rsid w:val="00B67A78"/>
    <w:rsid w:val="00B7086A"/>
    <w:rsid w:val="00B70A5F"/>
    <w:rsid w:val="00B70C27"/>
    <w:rsid w:val="00B70E97"/>
    <w:rsid w:val="00B715DC"/>
    <w:rsid w:val="00B71ACD"/>
    <w:rsid w:val="00B7211A"/>
    <w:rsid w:val="00B722FE"/>
    <w:rsid w:val="00B729F1"/>
    <w:rsid w:val="00B7300C"/>
    <w:rsid w:val="00B73222"/>
    <w:rsid w:val="00B74D56"/>
    <w:rsid w:val="00B759A8"/>
    <w:rsid w:val="00B75CCA"/>
    <w:rsid w:val="00B768A7"/>
    <w:rsid w:val="00B76970"/>
    <w:rsid w:val="00B7738B"/>
    <w:rsid w:val="00B77D39"/>
    <w:rsid w:val="00B77E9E"/>
    <w:rsid w:val="00B80406"/>
    <w:rsid w:val="00B80A5E"/>
    <w:rsid w:val="00B80F1F"/>
    <w:rsid w:val="00B8146F"/>
    <w:rsid w:val="00B8167D"/>
    <w:rsid w:val="00B82C49"/>
    <w:rsid w:val="00B82D90"/>
    <w:rsid w:val="00B82FB4"/>
    <w:rsid w:val="00B83B69"/>
    <w:rsid w:val="00B83DFC"/>
    <w:rsid w:val="00B86B7E"/>
    <w:rsid w:val="00B87DD5"/>
    <w:rsid w:val="00B90F96"/>
    <w:rsid w:val="00B9219F"/>
    <w:rsid w:val="00B926CB"/>
    <w:rsid w:val="00B933B2"/>
    <w:rsid w:val="00B936CB"/>
    <w:rsid w:val="00B93CAF"/>
    <w:rsid w:val="00B941B6"/>
    <w:rsid w:val="00B94A06"/>
    <w:rsid w:val="00B95288"/>
    <w:rsid w:val="00B952E7"/>
    <w:rsid w:val="00B95B2F"/>
    <w:rsid w:val="00B97356"/>
    <w:rsid w:val="00B97A6D"/>
    <w:rsid w:val="00BA0391"/>
    <w:rsid w:val="00BA060B"/>
    <w:rsid w:val="00BA0DCD"/>
    <w:rsid w:val="00BA2423"/>
    <w:rsid w:val="00BA34B1"/>
    <w:rsid w:val="00BA382E"/>
    <w:rsid w:val="00BA3830"/>
    <w:rsid w:val="00BA41E7"/>
    <w:rsid w:val="00BA42E0"/>
    <w:rsid w:val="00BA5792"/>
    <w:rsid w:val="00BA7701"/>
    <w:rsid w:val="00BA7BAB"/>
    <w:rsid w:val="00BA7C02"/>
    <w:rsid w:val="00BA7C73"/>
    <w:rsid w:val="00BB00C3"/>
    <w:rsid w:val="00BB01F3"/>
    <w:rsid w:val="00BB0741"/>
    <w:rsid w:val="00BB17AD"/>
    <w:rsid w:val="00BB292D"/>
    <w:rsid w:val="00BB300F"/>
    <w:rsid w:val="00BB369B"/>
    <w:rsid w:val="00BB3866"/>
    <w:rsid w:val="00BB3919"/>
    <w:rsid w:val="00BB3A56"/>
    <w:rsid w:val="00BB3E2E"/>
    <w:rsid w:val="00BB49CB"/>
    <w:rsid w:val="00BB4CAE"/>
    <w:rsid w:val="00BB6187"/>
    <w:rsid w:val="00BB67F1"/>
    <w:rsid w:val="00BB79C2"/>
    <w:rsid w:val="00BB7F0F"/>
    <w:rsid w:val="00BC0EC7"/>
    <w:rsid w:val="00BC1722"/>
    <w:rsid w:val="00BC194A"/>
    <w:rsid w:val="00BC2214"/>
    <w:rsid w:val="00BC2825"/>
    <w:rsid w:val="00BC2E96"/>
    <w:rsid w:val="00BC365F"/>
    <w:rsid w:val="00BC406F"/>
    <w:rsid w:val="00BC4C88"/>
    <w:rsid w:val="00BC4F84"/>
    <w:rsid w:val="00BC59CA"/>
    <w:rsid w:val="00BC6970"/>
    <w:rsid w:val="00BC6D81"/>
    <w:rsid w:val="00BC6F87"/>
    <w:rsid w:val="00BC734E"/>
    <w:rsid w:val="00BC7713"/>
    <w:rsid w:val="00BC7C93"/>
    <w:rsid w:val="00BC7F2A"/>
    <w:rsid w:val="00BD0286"/>
    <w:rsid w:val="00BD1B3F"/>
    <w:rsid w:val="00BD33A9"/>
    <w:rsid w:val="00BD33BE"/>
    <w:rsid w:val="00BD3792"/>
    <w:rsid w:val="00BD3C72"/>
    <w:rsid w:val="00BD4E12"/>
    <w:rsid w:val="00BD5D4E"/>
    <w:rsid w:val="00BD7991"/>
    <w:rsid w:val="00BE0BDD"/>
    <w:rsid w:val="00BE21E3"/>
    <w:rsid w:val="00BE305B"/>
    <w:rsid w:val="00BE62B2"/>
    <w:rsid w:val="00BE6350"/>
    <w:rsid w:val="00BE6C24"/>
    <w:rsid w:val="00BE7287"/>
    <w:rsid w:val="00BE7C93"/>
    <w:rsid w:val="00BF0362"/>
    <w:rsid w:val="00BF0479"/>
    <w:rsid w:val="00BF0D73"/>
    <w:rsid w:val="00BF1D23"/>
    <w:rsid w:val="00BF1F82"/>
    <w:rsid w:val="00BF2520"/>
    <w:rsid w:val="00BF3470"/>
    <w:rsid w:val="00BF3B94"/>
    <w:rsid w:val="00BF3FF8"/>
    <w:rsid w:val="00BF4C53"/>
    <w:rsid w:val="00BF5294"/>
    <w:rsid w:val="00BF54DC"/>
    <w:rsid w:val="00BF5748"/>
    <w:rsid w:val="00BF6270"/>
    <w:rsid w:val="00BF67B7"/>
    <w:rsid w:val="00BF770B"/>
    <w:rsid w:val="00C00567"/>
    <w:rsid w:val="00C01510"/>
    <w:rsid w:val="00C01CEB"/>
    <w:rsid w:val="00C01F6E"/>
    <w:rsid w:val="00C03249"/>
    <w:rsid w:val="00C05896"/>
    <w:rsid w:val="00C0599A"/>
    <w:rsid w:val="00C073DA"/>
    <w:rsid w:val="00C07C15"/>
    <w:rsid w:val="00C10B9B"/>
    <w:rsid w:val="00C10C30"/>
    <w:rsid w:val="00C1104C"/>
    <w:rsid w:val="00C11577"/>
    <w:rsid w:val="00C11DC5"/>
    <w:rsid w:val="00C11F13"/>
    <w:rsid w:val="00C11F39"/>
    <w:rsid w:val="00C11F55"/>
    <w:rsid w:val="00C12249"/>
    <w:rsid w:val="00C1250E"/>
    <w:rsid w:val="00C139A1"/>
    <w:rsid w:val="00C1448C"/>
    <w:rsid w:val="00C14D7A"/>
    <w:rsid w:val="00C17059"/>
    <w:rsid w:val="00C17174"/>
    <w:rsid w:val="00C171C5"/>
    <w:rsid w:val="00C17B44"/>
    <w:rsid w:val="00C17F63"/>
    <w:rsid w:val="00C2041C"/>
    <w:rsid w:val="00C20869"/>
    <w:rsid w:val="00C20DC6"/>
    <w:rsid w:val="00C2113D"/>
    <w:rsid w:val="00C215D1"/>
    <w:rsid w:val="00C21AE1"/>
    <w:rsid w:val="00C223D1"/>
    <w:rsid w:val="00C22449"/>
    <w:rsid w:val="00C2248F"/>
    <w:rsid w:val="00C227C6"/>
    <w:rsid w:val="00C230F6"/>
    <w:rsid w:val="00C23F8A"/>
    <w:rsid w:val="00C24B05"/>
    <w:rsid w:val="00C25D31"/>
    <w:rsid w:val="00C265D0"/>
    <w:rsid w:val="00C26A6C"/>
    <w:rsid w:val="00C26FE5"/>
    <w:rsid w:val="00C3022B"/>
    <w:rsid w:val="00C30723"/>
    <w:rsid w:val="00C31756"/>
    <w:rsid w:val="00C31F7F"/>
    <w:rsid w:val="00C32186"/>
    <w:rsid w:val="00C32A3B"/>
    <w:rsid w:val="00C335AE"/>
    <w:rsid w:val="00C35C70"/>
    <w:rsid w:val="00C35E26"/>
    <w:rsid w:val="00C36684"/>
    <w:rsid w:val="00C36F0A"/>
    <w:rsid w:val="00C36F4F"/>
    <w:rsid w:val="00C372CB"/>
    <w:rsid w:val="00C4067A"/>
    <w:rsid w:val="00C41480"/>
    <w:rsid w:val="00C44052"/>
    <w:rsid w:val="00C44368"/>
    <w:rsid w:val="00C46111"/>
    <w:rsid w:val="00C46822"/>
    <w:rsid w:val="00C46CE5"/>
    <w:rsid w:val="00C50260"/>
    <w:rsid w:val="00C51395"/>
    <w:rsid w:val="00C51553"/>
    <w:rsid w:val="00C518A5"/>
    <w:rsid w:val="00C51A60"/>
    <w:rsid w:val="00C52334"/>
    <w:rsid w:val="00C52C65"/>
    <w:rsid w:val="00C53110"/>
    <w:rsid w:val="00C53636"/>
    <w:rsid w:val="00C53B12"/>
    <w:rsid w:val="00C541B2"/>
    <w:rsid w:val="00C54928"/>
    <w:rsid w:val="00C54A44"/>
    <w:rsid w:val="00C54E2A"/>
    <w:rsid w:val="00C5661F"/>
    <w:rsid w:val="00C57085"/>
    <w:rsid w:val="00C575AF"/>
    <w:rsid w:val="00C576FC"/>
    <w:rsid w:val="00C60361"/>
    <w:rsid w:val="00C60738"/>
    <w:rsid w:val="00C608D7"/>
    <w:rsid w:val="00C60D9F"/>
    <w:rsid w:val="00C620BA"/>
    <w:rsid w:val="00C627C5"/>
    <w:rsid w:val="00C6395F"/>
    <w:rsid w:val="00C63C3D"/>
    <w:rsid w:val="00C644BF"/>
    <w:rsid w:val="00C65163"/>
    <w:rsid w:val="00C65B6B"/>
    <w:rsid w:val="00C66492"/>
    <w:rsid w:val="00C664AB"/>
    <w:rsid w:val="00C66584"/>
    <w:rsid w:val="00C66705"/>
    <w:rsid w:val="00C67754"/>
    <w:rsid w:val="00C70254"/>
    <w:rsid w:val="00C703C0"/>
    <w:rsid w:val="00C706D1"/>
    <w:rsid w:val="00C70FAE"/>
    <w:rsid w:val="00C71284"/>
    <w:rsid w:val="00C72DD5"/>
    <w:rsid w:val="00C733A6"/>
    <w:rsid w:val="00C737B0"/>
    <w:rsid w:val="00C73D39"/>
    <w:rsid w:val="00C75B40"/>
    <w:rsid w:val="00C7675A"/>
    <w:rsid w:val="00C76E9D"/>
    <w:rsid w:val="00C816DF"/>
    <w:rsid w:val="00C820EE"/>
    <w:rsid w:val="00C84713"/>
    <w:rsid w:val="00C84758"/>
    <w:rsid w:val="00C853AB"/>
    <w:rsid w:val="00C85F72"/>
    <w:rsid w:val="00C86896"/>
    <w:rsid w:val="00C876E1"/>
    <w:rsid w:val="00C87792"/>
    <w:rsid w:val="00C908A9"/>
    <w:rsid w:val="00C908BE"/>
    <w:rsid w:val="00C91507"/>
    <w:rsid w:val="00C940C2"/>
    <w:rsid w:val="00C952E9"/>
    <w:rsid w:val="00C95AC8"/>
    <w:rsid w:val="00C9760B"/>
    <w:rsid w:val="00C976E0"/>
    <w:rsid w:val="00C9796B"/>
    <w:rsid w:val="00C97C19"/>
    <w:rsid w:val="00CA0174"/>
    <w:rsid w:val="00CA0C53"/>
    <w:rsid w:val="00CA1AE4"/>
    <w:rsid w:val="00CA1E0C"/>
    <w:rsid w:val="00CA1FA7"/>
    <w:rsid w:val="00CA20E3"/>
    <w:rsid w:val="00CA245C"/>
    <w:rsid w:val="00CA26EC"/>
    <w:rsid w:val="00CA423D"/>
    <w:rsid w:val="00CA5AF9"/>
    <w:rsid w:val="00CA5D0C"/>
    <w:rsid w:val="00CA5E13"/>
    <w:rsid w:val="00CA625D"/>
    <w:rsid w:val="00CA69FF"/>
    <w:rsid w:val="00CA6F73"/>
    <w:rsid w:val="00CA7A1F"/>
    <w:rsid w:val="00CA7DAF"/>
    <w:rsid w:val="00CB017E"/>
    <w:rsid w:val="00CB0226"/>
    <w:rsid w:val="00CB0717"/>
    <w:rsid w:val="00CB0A65"/>
    <w:rsid w:val="00CB1177"/>
    <w:rsid w:val="00CB1618"/>
    <w:rsid w:val="00CB277F"/>
    <w:rsid w:val="00CB2D1B"/>
    <w:rsid w:val="00CB310A"/>
    <w:rsid w:val="00CB3318"/>
    <w:rsid w:val="00CB3628"/>
    <w:rsid w:val="00CB407C"/>
    <w:rsid w:val="00CB46B4"/>
    <w:rsid w:val="00CB4940"/>
    <w:rsid w:val="00CB5D5B"/>
    <w:rsid w:val="00CB6D0C"/>
    <w:rsid w:val="00CB6E94"/>
    <w:rsid w:val="00CB7060"/>
    <w:rsid w:val="00CB77F2"/>
    <w:rsid w:val="00CB7DD6"/>
    <w:rsid w:val="00CC0438"/>
    <w:rsid w:val="00CC0563"/>
    <w:rsid w:val="00CC140D"/>
    <w:rsid w:val="00CC2270"/>
    <w:rsid w:val="00CC3277"/>
    <w:rsid w:val="00CC385B"/>
    <w:rsid w:val="00CC4207"/>
    <w:rsid w:val="00CC5222"/>
    <w:rsid w:val="00CC5775"/>
    <w:rsid w:val="00CC57E5"/>
    <w:rsid w:val="00CC62CD"/>
    <w:rsid w:val="00CC7881"/>
    <w:rsid w:val="00CC7971"/>
    <w:rsid w:val="00CD0422"/>
    <w:rsid w:val="00CD0982"/>
    <w:rsid w:val="00CD124B"/>
    <w:rsid w:val="00CD19CF"/>
    <w:rsid w:val="00CD2987"/>
    <w:rsid w:val="00CD2A22"/>
    <w:rsid w:val="00CD2A3D"/>
    <w:rsid w:val="00CD2D13"/>
    <w:rsid w:val="00CD2EE0"/>
    <w:rsid w:val="00CD400D"/>
    <w:rsid w:val="00CD40C7"/>
    <w:rsid w:val="00CD5885"/>
    <w:rsid w:val="00CD5D11"/>
    <w:rsid w:val="00CD63D3"/>
    <w:rsid w:val="00CD6924"/>
    <w:rsid w:val="00CD7055"/>
    <w:rsid w:val="00CD7340"/>
    <w:rsid w:val="00CE06B1"/>
    <w:rsid w:val="00CE0944"/>
    <w:rsid w:val="00CE0A76"/>
    <w:rsid w:val="00CE0CBC"/>
    <w:rsid w:val="00CE1F13"/>
    <w:rsid w:val="00CE3120"/>
    <w:rsid w:val="00CE3C60"/>
    <w:rsid w:val="00CE42DB"/>
    <w:rsid w:val="00CE4C6F"/>
    <w:rsid w:val="00CE52CC"/>
    <w:rsid w:val="00CE53F4"/>
    <w:rsid w:val="00CE5510"/>
    <w:rsid w:val="00CE5B5C"/>
    <w:rsid w:val="00CE5B69"/>
    <w:rsid w:val="00CE6071"/>
    <w:rsid w:val="00CE66E3"/>
    <w:rsid w:val="00CE793F"/>
    <w:rsid w:val="00CF0FA5"/>
    <w:rsid w:val="00CF15DD"/>
    <w:rsid w:val="00CF223D"/>
    <w:rsid w:val="00CF2824"/>
    <w:rsid w:val="00CF3526"/>
    <w:rsid w:val="00CF357F"/>
    <w:rsid w:val="00CF3A33"/>
    <w:rsid w:val="00CF3C7D"/>
    <w:rsid w:val="00CF45BF"/>
    <w:rsid w:val="00CF4755"/>
    <w:rsid w:val="00CF51C1"/>
    <w:rsid w:val="00CF5B47"/>
    <w:rsid w:val="00CF5B54"/>
    <w:rsid w:val="00CF5EE3"/>
    <w:rsid w:val="00CF6C01"/>
    <w:rsid w:val="00CF7105"/>
    <w:rsid w:val="00CF7305"/>
    <w:rsid w:val="00D005E0"/>
    <w:rsid w:val="00D012FF"/>
    <w:rsid w:val="00D0157B"/>
    <w:rsid w:val="00D01CC4"/>
    <w:rsid w:val="00D01E6B"/>
    <w:rsid w:val="00D0354D"/>
    <w:rsid w:val="00D0497C"/>
    <w:rsid w:val="00D04F45"/>
    <w:rsid w:val="00D04FAA"/>
    <w:rsid w:val="00D0548B"/>
    <w:rsid w:val="00D05AEE"/>
    <w:rsid w:val="00D05D6E"/>
    <w:rsid w:val="00D06413"/>
    <w:rsid w:val="00D0648D"/>
    <w:rsid w:val="00D06EB9"/>
    <w:rsid w:val="00D1153F"/>
    <w:rsid w:val="00D11995"/>
    <w:rsid w:val="00D11BFB"/>
    <w:rsid w:val="00D11CFD"/>
    <w:rsid w:val="00D12432"/>
    <w:rsid w:val="00D133F6"/>
    <w:rsid w:val="00D13808"/>
    <w:rsid w:val="00D146FE"/>
    <w:rsid w:val="00D1581E"/>
    <w:rsid w:val="00D15D19"/>
    <w:rsid w:val="00D15D93"/>
    <w:rsid w:val="00D15DA1"/>
    <w:rsid w:val="00D15EEC"/>
    <w:rsid w:val="00D1635E"/>
    <w:rsid w:val="00D16380"/>
    <w:rsid w:val="00D163FF"/>
    <w:rsid w:val="00D166B5"/>
    <w:rsid w:val="00D16E87"/>
    <w:rsid w:val="00D17335"/>
    <w:rsid w:val="00D17F7B"/>
    <w:rsid w:val="00D2079E"/>
    <w:rsid w:val="00D21356"/>
    <w:rsid w:val="00D2142F"/>
    <w:rsid w:val="00D216EE"/>
    <w:rsid w:val="00D220B5"/>
    <w:rsid w:val="00D233CD"/>
    <w:rsid w:val="00D23AD3"/>
    <w:rsid w:val="00D23FC0"/>
    <w:rsid w:val="00D23FCE"/>
    <w:rsid w:val="00D24364"/>
    <w:rsid w:val="00D2469E"/>
    <w:rsid w:val="00D2649E"/>
    <w:rsid w:val="00D27300"/>
    <w:rsid w:val="00D27875"/>
    <w:rsid w:val="00D307FD"/>
    <w:rsid w:val="00D30A3B"/>
    <w:rsid w:val="00D3129D"/>
    <w:rsid w:val="00D31E2D"/>
    <w:rsid w:val="00D321E8"/>
    <w:rsid w:val="00D328E1"/>
    <w:rsid w:val="00D32E01"/>
    <w:rsid w:val="00D33975"/>
    <w:rsid w:val="00D33A8C"/>
    <w:rsid w:val="00D33ED9"/>
    <w:rsid w:val="00D34D1F"/>
    <w:rsid w:val="00D35597"/>
    <w:rsid w:val="00D35689"/>
    <w:rsid w:val="00D36180"/>
    <w:rsid w:val="00D365FA"/>
    <w:rsid w:val="00D37093"/>
    <w:rsid w:val="00D40425"/>
    <w:rsid w:val="00D40BC3"/>
    <w:rsid w:val="00D40D6B"/>
    <w:rsid w:val="00D4129E"/>
    <w:rsid w:val="00D418A3"/>
    <w:rsid w:val="00D42946"/>
    <w:rsid w:val="00D43984"/>
    <w:rsid w:val="00D44230"/>
    <w:rsid w:val="00D4459D"/>
    <w:rsid w:val="00D46BE9"/>
    <w:rsid w:val="00D46FA2"/>
    <w:rsid w:val="00D47451"/>
    <w:rsid w:val="00D47947"/>
    <w:rsid w:val="00D50053"/>
    <w:rsid w:val="00D504FA"/>
    <w:rsid w:val="00D50F10"/>
    <w:rsid w:val="00D50F83"/>
    <w:rsid w:val="00D512D8"/>
    <w:rsid w:val="00D51610"/>
    <w:rsid w:val="00D516DF"/>
    <w:rsid w:val="00D51A99"/>
    <w:rsid w:val="00D51C73"/>
    <w:rsid w:val="00D51E13"/>
    <w:rsid w:val="00D51F07"/>
    <w:rsid w:val="00D51F15"/>
    <w:rsid w:val="00D52146"/>
    <w:rsid w:val="00D524AF"/>
    <w:rsid w:val="00D52A8A"/>
    <w:rsid w:val="00D52C43"/>
    <w:rsid w:val="00D5329D"/>
    <w:rsid w:val="00D533FE"/>
    <w:rsid w:val="00D534C8"/>
    <w:rsid w:val="00D54B1D"/>
    <w:rsid w:val="00D5509F"/>
    <w:rsid w:val="00D55425"/>
    <w:rsid w:val="00D5578A"/>
    <w:rsid w:val="00D5616C"/>
    <w:rsid w:val="00D56C00"/>
    <w:rsid w:val="00D57082"/>
    <w:rsid w:val="00D577BB"/>
    <w:rsid w:val="00D57B91"/>
    <w:rsid w:val="00D62320"/>
    <w:rsid w:val="00D6248B"/>
    <w:rsid w:val="00D62B5D"/>
    <w:rsid w:val="00D63379"/>
    <w:rsid w:val="00D635B1"/>
    <w:rsid w:val="00D639C5"/>
    <w:rsid w:val="00D63DB5"/>
    <w:rsid w:val="00D64155"/>
    <w:rsid w:val="00D64BEA"/>
    <w:rsid w:val="00D65C02"/>
    <w:rsid w:val="00D661D2"/>
    <w:rsid w:val="00D66410"/>
    <w:rsid w:val="00D66648"/>
    <w:rsid w:val="00D66FDA"/>
    <w:rsid w:val="00D67292"/>
    <w:rsid w:val="00D70C38"/>
    <w:rsid w:val="00D710E5"/>
    <w:rsid w:val="00D71197"/>
    <w:rsid w:val="00D7178C"/>
    <w:rsid w:val="00D72008"/>
    <w:rsid w:val="00D72192"/>
    <w:rsid w:val="00D72D32"/>
    <w:rsid w:val="00D731D1"/>
    <w:rsid w:val="00D73AC1"/>
    <w:rsid w:val="00D73BD2"/>
    <w:rsid w:val="00D73FC4"/>
    <w:rsid w:val="00D73FE8"/>
    <w:rsid w:val="00D74538"/>
    <w:rsid w:val="00D749CB"/>
    <w:rsid w:val="00D74C9E"/>
    <w:rsid w:val="00D75818"/>
    <w:rsid w:val="00D75E77"/>
    <w:rsid w:val="00D75F19"/>
    <w:rsid w:val="00D77AD8"/>
    <w:rsid w:val="00D80973"/>
    <w:rsid w:val="00D80BD8"/>
    <w:rsid w:val="00D82A2B"/>
    <w:rsid w:val="00D8301D"/>
    <w:rsid w:val="00D8473E"/>
    <w:rsid w:val="00D86255"/>
    <w:rsid w:val="00D863D1"/>
    <w:rsid w:val="00D872B7"/>
    <w:rsid w:val="00D8763A"/>
    <w:rsid w:val="00D87DCF"/>
    <w:rsid w:val="00D87F5B"/>
    <w:rsid w:val="00D90125"/>
    <w:rsid w:val="00D9057B"/>
    <w:rsid w:val="00D9096B"/>
    <w:rsid w:val="00D90ED1"/>
    <w:rsid w:val="00D91C34"/>
    <w:rsid w:val="00D925C5"/>
    <w:rsid w:val="00D9279F"/>
    <w:rsid w:val="00D940EE"/>
    <w:rsid w:val="00D94D1D"/>
    <w:rsid w:val="00D94E4C"/>
    <w:rsid w:val="00D95709"/>
    <w:rsid w:val="00D958A7"/>
    <w:rsid w:val="00D96C09"/>
    <w:rsid w:val="00D96D46"/>
    <w:rsid w:val="00D97B72"/>
    <w:rsid w:val="00D97CF6"/>
    <w:rsid w:val="00DA0AD6"/>
    <w:rsid w:val="00DA0BBE"/>
    <w:rsid w:val="00DA11AE"/>
    <w:rsid w:val="00DA16E5"/>
    <w:rsid w:val="00DA1BE9"/>
    <w:rsid w:val="00DA283D"/>
    <w:rsid w:val="00DA3E12"/>
    <w:rsid w:val="00DA4141"/>
    <w:rsid w:val="00DA417B"/>
    <w:rsid w:val="00DA45BD"/>
    <w:rsid w:val="00DA52EB"/>
    <w:rsid w:val="00DA5CD6"/>
    <w:rsid w:val="00DA6868"/>
    <w:rsid w:val="00DB0312"/>
    <w:rsid w:val="00DB115A"/>
    <w:rsid w:val="00DB1B88"/>
    <w:rsid w:val="00DB3213"/>
    <w:rsid w:val="00DB387C"/>
    <w:rsid w:val="00DB43F8"/>
    <w:rsid w:val="00DB46DA"/>
    <w:rsid w:val="00DB5A7F"/>
    <w:rsid w:val="00DB640B"/>
    <w:rsid w:val="00DB656B"/>
    <w:rsid w:val="00DB6A23"/>
    <w:rsid w:val="00DB75BE"/>
    <w:rsid w:val="00DB7D6B"/>
    <w:rsid w:val="00DC01DD"/>
    <w:rsid w:val="00DC0423"/>
    <w:rsid w:val="00DC29D6"/>
    <w:rsid w:val="00DC430F"/>
    <w:rsid w:val="00DC43B0"/>
    <w:rsid w:val="00DC478C"/>
    <w:rsid w:val="00DC47BF"/>
    <w:rsid w:val="00DC4CEC"/>
    <w:rsid w:val="00DC5055"/>
    <w:rsid w:val="00DC5F0A"/>
    <w:rsid w:val="00DC6348"/>
    <w:rsid w:val="00DC6447"/>
    <w:rsid w:val="00DC6F43"/>
    <w:rsid w:val="00DC7AD9"/>
    <w:rsid w:val="00DD0C80"/>
    <w:rsid w:val="00DD2409"/>
    <w:rsid w:val="00DD2798"/>
    <w:rsid w:val="00DD2A6B"/>
    <w:rsid w:val="00DD3A79"/>
    <w:rsid w:val="00DD4174"/>
    <w:rsid w:val="00DD418A"/>
    <w:rsid w:val="00DD452E"/>
    <w:rsid w:val="00DD4929"/>
    <w:rsid w:val="00DD6998"/>
    <w:rsid w:val="00DD7C1F"/>
    <w:rsid w:val="00DD7C32"/>
    <w:rsid w:val="00DE00A7"/>
    <w:rsid w:val="00DE0A7D"/>
    <w:rsid w:val="00DE0DC9"/>
    <w:rsid w:val="00DE12EF"/>
    <w:rsid w:val="00DE19AA"/>
    <w:rsid w:val="00DE367F"/>
    <w:rsid w:val="00DE3E2A"/>
    <w:rsid w:val="00DE5469"/>
    <w:rsid w:val="00DE5D83"/>
    <w:rsid w:val="00DE7DBA"/>
    <w:rsid w:val="00DE7FB5"/>
    <w:rsid w:val="00DF0953"/>
    <w:rsid w:val="00DF33E8"/>
    <w:rsid w:val="00DF354D"/>
    <w:rsid w:val="00DF3B05"/>
    <w:rsid w:val="00DF44BC"/>
    <w:rsid w:val="00DF46D2"/>
    <w:rsid w:val="00DF5209"/>
    <w:rsid w:val="00DF5300"/>
    <w:rsid w:val="00DF61C2"/>
    <w:rsid w:val="00DF649D"/>
    <w:rsid w:val="00DF7E21"/>
    <w:rsid w:val="00E00733"/>
    <w:rsid w:val="00E00948"/>
    <w:rsid w:val="00E00C13"/>
    <w:rsid w:val="00E00C41"/>
    <w:rsid w:val="00E01D40"/>
    <w:rsid w:val="00E024F6"/>
    <w:rsid w:val="00E0287E"/>
    <w:rsid w:val="00E02D84"/>
    <w:rsid w:val="00E037FD"/>
    <w:rsid w:val="00E04271"/>
    <w:rsid w:val="00E04F16"/>
    <w:rsid w:val="00E053BA"/>
    <w:rsid w:val="00E0562D"/>
    <w:rsid w:val="00E05C05"/>
    <w:rsid w:val="00E06510"/>
    <w:rsid w:val="00E066EF"/>
    <w:rsid w:val="00E072B0"/>
    <w:rsid w:val="00E07C90"/>
    <w:rsid w:val="00E111E7"/>
    <w:rsid w:val="00E111F8"/>
    <w:rsid w:val="00E11C10"/>
    <w:rsid w:val="00E12618"/>
    <w:rsid w:val="00E129DF"/>
    <w:rsid w:val="00E12B5D"/>
    <w:rsid w:val="00E13435"/>
    <w:rsid w:val="00E13F23"/>
    <w:rsid w:val="00E143D4"/>
    <w:rsid w:val="00E14773"/>
    <w:rsid w:val="00E1521D"/>
    <w:rsid w:val="00E155E5"/>
    <w:rsid w:val="00E16E19"/>
    <w:rsid w:val="00E1769F"/>
    <w:rsid w:val="00E17930"/>
    <w:rsid w:val="00E20164"/>
    <w:rsid w:val="00E21AA6"/>
    <w:rsid w:val="00E21DF6"/>
    <w:rsid w:val="00E22387"/>
    <w:rsid w:val="00E223DC"/>
    <w:rsid w:val="00E2304B"/>
    <w:rsid w:val="00E2320D"/>
    <w:rsid w:val="00E23447"/>
    <w:rsid w:val="00E23F6C"/>
    <w:rsid w:val="00E23FBF"/>
    <w:rsid w:val="00E24A35"/>
    <w:rsid w:val="00E24B61"/>
    <w:rsid w:val="00E24E2E"/>
    <w:rsid w:val="00E2523E"/>
    <w:rsid w:val="00E25549"/>
    <w:rsid w:val="00E2575D"/>
    <w:rsid w:val="00E264B9"/>
    <w:rsid w:val="00E26E41"/>
    <w:rsid w:val="00E274C1"/>
    <w:rsid w:val="00E30920"/>
    <w:rsid w:val="00E309C7"/>
    <w:rsid w:val="00E30A90"/>
    <w:rsid w:val="00E30D47"/>
    <w:rsid w:val="00E30F4F"/>
    <w:rsid w:val="00E31068"/>
    <w:rsid w:val="00E3123A"/>
    <w:rsid w:val="00E312E5"/>
    <w:rsid w:val="00E31B79"/>
    <w:rsid w:val="00E32715"/>
    <w:rsid w:val="00E32D36"/>
    <w:rsid w:val="00E334B8"/>
    <w:rsid w:val="00E33C3F"/>
    <w:rsid w:val="00E3511E"/>
    <w:rsid w:val="00E36F8A"/>
    <w:rsid w:val="00E37A6A"/>
    <w:rsid w:val="00E37CC3"/>
    <w:rsid w:val="00E40479"/>
    <w:rsid w:val="00E40FB5"/>
    <w:rsid w:val="00E4192C"/>
    <w:rsid w:val="00E41DF6"/>
    <w:rsid w:val="00E420CB"/>
    <w:rsid w:val="00E44877"/>
    <w:rsid w:val="00E451B6"/>
    <w:rsid w:val="00E454AD"/>
    <w:rsid w:val="00E4671A"/>
    <w:rsid w:val="00E474DE"/>
    <w:rsid w:val="00E47920"/>
    <w:rsid w:val="00E5019C"/>
    <w:rsid w:val="00E50240"/>
    <w:rsid w:val="00E51311"/>
    <w:rsid w:val="00E51652"/>
    <w:rsid w:val="00E51D11"/>
    <w:rsid w:val="00E52056"/>
    <w:rsid w:val="00E522E3"/>
    <w:rsid w:val="00E52841"/>
    <w:rsid w:val="00E52FF6"/>
    <w:rsid w:val="00E530E1"/>
    <w:rsid w:val="00E532BD"/>
    <w:rsid w:val="00E53D9D"/>
    <w:rsid w:val="00E54446"/>
    <w:rsid w:val="00E54704"/>
    <w:rsid w:val="00E55DC8"/>
    <w:rsid w:val="00E567C7"/>
    <w:rsid w:val="00E56821"/>
    <w:rsid w:val="00E569DE"/>
    <w:rsid w:val="00E56F73"/>
    <w:rsid w:val="00E603AF"/>
    <w:rsid w:val="00E604FA"/>
    <w:rsid w:val="00E60FAB"/>
    <w:rsid w:val="00E615BD"/>
    <w:rsid w:val="00E61F48"/>
    <w:rsid w:val="00E62B98"/>
    <w:rsid w:val="00E62F16"/>
    <w:rsid w:val="00E631E5"/>
    <w:rsid w:val="00E6329E"/>
    <w:rsid w:val="00E6390E"/>
    <w:rsid w:val="00E65018"/>
    <w:rsid w:val="00E66EAB"/>
    <w:rsid w:val="00E67339"/>
    <w:rsid w:val="00E6734C"/>
    <w:rsid w:val="00E67560"/>
    <w:rsid w:val="00E67B4D"/>
    <w:rsid w:val="00E67B50"/>
    <w:rsid w:val="00E67EF0"/>
    <w:rsid w:val="00E705EE"/>
    <w:rsid w:val="00E70B72"/>
    <w:rsid w:val="00E70FDA"/>
    <w:rsid w:val="00E722A2"/>
    <w:rsid w:val="00E729B9"/>
    <w:rsid w:val="00E742E4"/>
    <w:rsid w:val="00E752A9"/>
    <w:rsid w:val="00E75529"/>
    <w:rsid w:val="00E75D96"/>
    <w:rsid w:val="00E75DC3"/>
    <w:rsid w:val="00E76D6E"/>
    <w:rsid w:val="00E7757E"/>
    <w:rsid w:val="00E7789E"/>
    <w:rsid w:val="00E77A75"/>
    <w:rsid w:val="00E77B23"/>
    <w:rsid w:val="00E77D56"/>
    <w:rsid w:val="00E80364"/>
    <w:rsid w:val="00E80511"/>
    <w:rsid w:val="00E8108F"/>
    <w:rsid w:val="00E81C1A"/>
    <w:rsid w:val="00E81C1F"/>
    <w:rsid w:val="00E822F5"/>
    <w:rsid w:val="00E83C04"/>
    <w:rsid w:val="00E83F2F"/>
    <w:rsid w:val="00E843F7"/>
    <w:rsid w:val="00E846F7"/>
    <w:rsid w:val="00E84FD5"/>
    <w:rsid w:val="00E8551B"/>
    <w:rsid w:val="00E878A3"/>
    <w:rsid w:val="00E900A4"/>
    <w:rsid w:val="00E9041B"/>
    <w:rsid w:val="00E91398"/>
    <w:rsid w:val="00E9159F"/>
    <w:rsid w:val="00E91748"/>
    <w:rsid w:val="00E91BF4"/>
    <w:rsid w:val="00E91E02"/>
    <w:rsid w:val="00E92398"/>
    <w:rsid w:val="00E92CBF"/>
    <w:rsid w:val="00E92E0A"/>
    <w:rsid w:val="00E937C9"/>
    <w:rsid w:val="00E9381C"/>
    <w:rsid w:val="00E93CFD"/>
    <w:rsid w:val="00E94584"/>
    <w:rsid w:val="00E95058"/>
    <w:rsid w:val="00E95C26"/>
    <w:rsid w:val="00E95CEA"/>
    <w:rsid w:val="00E967F1"/>
    <w:rsid w:val="00E97D20"/>
    <w:rsid w:val="00E97FE2"/>
    <w:rsid w:val="00E97FE6"/>
    <w:rsid w:val="00EA08E8"/>
    <w:rsid w:val="00EA1903"/>
    <w:rsid w:val="00EA1A5A"/>
    <w:rsid w:val="00EA2FC0"/>
    <w:rsid w:val="00EA3F5C"/>
    <w:rsid w:val="00EA4397"/>
    <w:rsid w:val="00EA499D"/>
    <w:rsid w:val="00EA4FFF"/>
    <w:rsid w:val="00EA54A1"/>
    <w:rsid w:val="00EA54AD"/>
    <w:rsid w:val="00EA58A0"/>
    <w:rsid w:val="00EA5AE3"/>
    <w:rsid w:val="00EA5C8C"/>
    <w:rsid w:val="00EA5ECB"/>
    <w:rsid w:val="00EA62F8"/>
    <w:rsid w:val="00EA6B56"/>
    <w:rsid w:val="00EA6D49"/>
    <w:rsid w:val="00EA7144"/>
    <w:rsid w:val="00EA7C1F"/>
    <w:rsid w:val="00EA7D0C"/>
    <w:rsid w:val="00EA7F0B"/>
    <w:rsid w:val="00EB0CCF"/>
    <w:rsid w:val="00EB114C"/>
    <w:rsid w:val="00EB18C0"/>
    <w:rsid w:val="00EB20F4"/>
    <w:rsid w:val="00EB2490"/>
    <w:rsid w:val="00EB3F05"/>
    <w:rsid w:val="00EB43BA"/>
    <w:rsid w:val="00EB56C4"/>
    <w:rsid w:val="00EB5955"/>
    <w:rsid w:val="00EB6662"/>
    <w:rsid w:val="00EB6E71"/>
    <w:rsid w:val="00EB7657"/>
    <w:rsid w:val="00EC05E1"/>
    <w:rsid w:val="00EC07BA"/>
    <w:rsid w:val="00EC08E4"/>
    <w:rsid w:val="00EC23D8"/>
    <w:rsid w:val="00EC3785"/>
    <w:rsid w:val="00EC3B2D"/>
    <w:rsid w:val="00EC3E5A"/>
    <w:rsid w:val="00EC458A"/>
    <w:rsid w:val="00EC51A1"/>
    <w:rsid w:val="00EC6178"/>
    <w:rsid w:val="00EC65DD"/>
    <w:rsid w:val="00EC6A56"/>
    <w:rsid w:val="00EC7166"/>
    <w:rsid w:val="00EC7E78"/>
    <w:rsid w:val="00ED06AD"/>
    <w:rsid w:val="00ED0BED"/>
    <w:rsid w:val="00ED1232"/>
    <w:rsid w:val="00ED1A7F"/>
    <w:rsid w:val="00ED22C5"/>
    <w:rsid w:val="00ED3503"/>
    <w:rsid w:val="00ED35D8"/>
    <w:rsid w:val="00ED4DFC"/>
    <w:rsid w:val="00ED4E42"/>
    <w:rsid w:val="00ED5E54"/>
    <w:rsid w:val="00ED7786"/>
    <w:rsid w:val="00ED7EA9"/>
    <w:rsid w:val="00EE00E5"/>
    <w:rsid w:val="00EE0B31"/>
    <w:rsid w:val="00EE1E9C"/>
    <w:rsid w:val="00EE200B"/>
    <w:rsid w:val="00EE2083"/>
    <w:rsid w:val="00EE20A8"/>
    <w:rsid w:val="00EE23BC"/>
    <w:rsid w:val="00EE25D9"/>
    <w:rsid w:val="00EE433B"/>
    <w:rsid w:val="00EE46D0"/>
    <w:rsid w:val="00EE476D"/>
    <w:rsid w:val="00EE49A6"/>
    <w:rsid w:val="00EE4C73"/>
    <w:rsid w:val="00EE5C23"/>
    <w:rsid w:val="00EE67FE"/>
    <w:rsid w:val="00EE703E"/>
    <w:rsid w:val="00EE76F0"/>
    <w:rsid w:val="00EE7B1C"/>
    <w:rsid w:val="00EF02BD"/>
    <w:rsid w:val="00EF17B9"/>
    <w:rsid w:val="00EF1EB9"/>
    <w:rsid w:val="00EF20AF"/>
    <w:rsid w:val="00EF274D"/>
    <w:rsid w:val="00EF34F6"/>
    <w:rsid w:val="00EF355D"/>
    <w:rsid w:val="00EF3725"/>
    <w:rsid w:val="00EF37B5"/>
    <w:rsid w:val="00EF388A"/>
    <w:rsid w:val="00EF3D14"/>
    <w:rsid w:val="00EF3EEE"/>
    <w:rsid w:val="00EF3F88"/>
    <w:rsid w:val="00EF75A6"/>
    <w:rsid w:val="00F0045E"/>
    <w:rsid w:val="00F00724"/>
    <w:rsid w:val="00F00774"/>
    <w:rsid w:val="00F0081B"/>
    <w:rsid w:val="00F01968"/>
    <w:rsid w:val="00F01F95"/>
    <w:rsid w:val="00F0256E"/>
    <w:rsid w:val="00F03681"/>
    <w:rsid w:val="00F03E2F"/>
    <w:rsid w:val="00F04D9B"/>
    <w:rsid w:val="00F05AB5"/>
    <w:rsid w:val="00F05BC9"/>
    <w:rsid w:val="00F0608B"/>
    <w:rsid w:val="00F0659C"/>
    <w:rsid w:val="00F06776"/>
    <w:rsid w:val="00F06CDD"/>
    <w:rsid w:val="00F06D5D"/>
    <w:rsid w:val="00F102AB"/>
    <w:rsid w:val="00F11AA5"/>
    <w:rsid w:val="00F11E55"/>
    <w:rsid w:val="00F128DE"/>
    <w:rsid w:val="00F12B44"/>
    <w:rsid w:val="00F12DF4"/>
    <w:rsid w:val="00F13400"/>
    <w:rsid w:val="00F1411B"/>
    <w:rsid w:val="00F14C07"/>
    <w:rsid w:val="00F14C0C"/>
    <w:rsid w:val="00F14CD6"/>
    <w:rsid w:val="00F154D7"/>
    <w:rsid w:val="00F1585C"/>
    <w:rsid w:val="00F15FFE"/>
    <w:rsid w:val="00F163F8"/>
    <w:rsid w:val="00F16901"/>
    <w:rsid w:val="00F17267"/>
    <w:rsid w:val="00F2210C"/>
    <w:rsid w:val="00F231FB"/>
    <w:rsid w:val="00F243C4"/>
    <w:rsid w:val="00F243FF"/>
    <w:rsid w:val="00F25199"/>
    <w:rsid w:val="00F254D8"/>
    <w:rsid w:val="00F26955"/>
    <w:rsid w:val="00F26A46"/>
    <w:rsid w:val="00F26F86"/>
    <w:rsid w:val="00F271AB"/>
    <w:rsid w:val="00F2780A"/>
    <w:rsid w:val="00F311C3"/>
    <w:rsid w:val="00F314EF"/>
    <w:rsid w:val="00F3167E"/>
    <w:rsid w:val="00F332B2"/>
    <w:rsid w:val="00F33DD2"/>
    <w:rsid w:val="00F33E94"/>
    <w:rsid w:val="00F33F0D"/>
    <w:rsid w:val="00F352BD"/>
    <w:rsid w:val="00F3589E"/>
    <w:rsid w:val="00F35DAE"/>
    <w:rsid w:val="00F36723"/>
    <w:rsid w:val="00F368F2"/>
    <w:rsid w:val="00F3715D"/>
    <w:rsid w:val="00F37A09"/>
    <w:rsid w:val="00F404BF"/>
    <w:rsid w:val="00F40EB5"/>
    <w:rsid w:val="00F40F31"/>
    <w:rsid w:val="00F41380"/>
    <w:rsid w:val="00F41421"/>
    <w:rsid w:val="00F41886"/>
    <w:rsid w:val="00F419C3"/>
    <w:rsid w:val="00F41A80"/>
    <w:rsid w:val="00F41C4B"/>
    <w:rsid w:val="00F43206"/>
    <w:rsid w:val="00F435B6"/>
    <w:rsid w:val="00F4392C"/>
    <w:rsid w:val="00F448F9"/>
    <w:rsid w:val="00F44EC7"/>
    <w:rsid w:val="00F44EC8"/>
    <w:rsid w:val="00F452E7"/>
    <w:rsid w:val="00F4670C"/>
    <w:rsid w:val="00F467C0"/>
    <w:rsid w:val="00F47C6B"/>
    <w:rsid w:val="00F503D2"/>
    <w:rsid w:val="00F505AC"/>
    <w:rsid w:val="00F50603"/>
    <w:rsid w:val="00F50C03"/>
    <w:rsid w:val="00F50F47"/>
    <w:rsid w:val="00F51899"/>
    <w:rsid w:val="00F51E43"/>
    <w:rsid w:val="00F51E44"/>
    <w:rsid w:val="00F5253A"/>
    <w:rsid w:val="00F5325B"/>
    <w:rsid w:val="00F53AF0"/>
    <w:rsid w:val="00F55337"/>
    <w:rsid w:val="00F55F0A"/>
    <w:rsid w:val="00F56456"/>
    <w:rsid w:val="00F5652C"/>
    <w:rsid w:val="00F575D1"/>
    <w:rsid w:val="00F57C49"/>
    <w:rsid w:val="00F57D6B"/>
    <w:rsid w:val="00F60A98"/>
    <w:rsid w:val="00F618C5"/>
    <w:rsid w:val="00F619E0"/>
    <w:rsid w:val="00F622E5"/>
    <w:rsid w:val="00F626FF"/>
    <w:rsid w:val="00F627D0"/>
    <w:rsid w:val="00F6380C"/>
    <w:rsid w:val="00F63E23"/>
    <w:rsid w:val="00F65D31"/>
    <w:rsid w:val="00F666A7"/>
    <w:rsid w:val="00F66A2E"/>
    <w:rsid w:val="00F67C31"/>
    <w:rsid w:val="00F67F09"/>
    <w:rsid w:val="00F706A0"/>
    <w:rsid w:val="00F708C0"/>
    <w:rsid w:val="00F709F5"/>
    <w:rsid w:val="00F717CC"/>
    <w:rsid w:val="00F72F51"/>
    <w:rsid w:val="00F73999"/>
    <w:rsid w:val="00F73AB3"/>
    <w:rsid w:val="00F73AB7"/>
    <w:rsid w:val="00F7566A"/>
    <w:rsid w:val="00F76268"/>
    <w:rsid w:val="00F76CF3"/>
    <w:rsid w:val="00F76DA3"/>
    <w:rsid w:val="00F805CA"/>
    <w:rsid w:val="00F807A4"/>
    <w:rsid w:val="00F809ED"/>
    <w:rsid w:val="00F80DD8"/>
    <w:rsid w:val="00F81914"/>
    <w:rsid w:val="00F81B7D"/>
    <w:rsid w:val="00F82079"/>
    <w:rsid w:val="00F824D5"/>
    <w:rsid w:val="00F82628"/>
    <w:rsid w:val="00F82D8E"/>
    <w:rsid w:val="00F8321D"/>
    <w:rsid w:val="00F83461"/>
    <w:rsid w:val="00F83585"/>
    <w:rsid w:val="00F83883"/>
    <w:rsid w:val="00F83ACF"/>
    <w:rsid w:val="00F8517B"/>
    <w:rsid w:val="00F853BE"/>
    <w:rsid w:val="00F87971"/>
    <w:rsid w:val="00F87B71"/>
    <w:rsid w:val="00F87EB0"/>
    <w:rsid w:val="00F9052C"/>
    <w:rsid w:val="00F9135D"/>
    <w:rsid w:val="00F91B71"/>
    <w:rsid w:val="00F91BA8"/>
    <w:rsid w:val="00F9260F"/>
    <w:rsid w:val="00F9308E"/>
    <w:rsid w:val="00F95E64"/>
    <w:rsid w:val="00F960B8"/>
    <w:rsid w:val="00F9649D"/>
    <w:rsid w:val="00F96A46"/>
    <w:rsid w:val="00F96BB8"/>
    <w:rsid w:val="00F97A19"/>
    <w:rsid w:val="00FA068B"/>
    <w:rsid w:val="00FA1B1B"/>
    <w:rsid w:val="00FA2534"/>
    <w:rsid w:val="00FA2BC2"/>
    <w:rsid w:val="00FA37EA"/>
    <w:rsid w:val="00FA381E"/>
    <w:rsid w:val="00FA52C8"/>
    <w:rsid w:val="00FA54B2"/>
    <w:rsid w:val="00FA5812"/>
    <w:rsid w:val="00FA59CD"/>
    <w:rsid w:val="00FA7990"/>
    <w:rsid w:val="00FB07FC"/>
    <w:rsid w:val="00FB1180"/>
    <w:rsid w:val="00FB174F"/>
    <w:rsid w:val="00FB1FEB"/>
    <w:rsid w:val="00FB28DA"/>
    <w:rsid w:val="00FB4250"/>
    <w:rsid w:val="00FB42B4"/>
    <w:rsid w:val="00FB5638"/>
    <w:rsid w:val="00FB59AB"/>
    <w:rsid w:val="00FB5A8D"/>
    <w:rsid w:val="00FB6627"/>
    <w:rsid w:val="00FB6721"/>
    <w:rsid w:val="00FB7318"/>
    <w:rsid w:val="00FB77DE"/>
    <w:rsid w:val="00FC0251"/>
    <w:rsid w:val="00FC1102"/>
    <w:rsid w:val="00FC16AD"/>
    <w:rsid w:val="00FC1F94"/>
    <w:rsid w:val="00FC2E23"/>
    <w:rsid w:val="00FC3241"/>
    <w:rsid w:val="00FC3BB3"/>
    <w:rsid w:val="00FC3ED9"/>
    <w:rsid w:val="00FC54D5"/>
    <w:rsid w:val="00FC664D"/>
    <w:rsid w:val="00FC737A"/>
    <w:rsid w:val="00FC7844"/>
    <w:rsid w:val="00FD0A8B"/>
    <w:rsid w:val="00FD1512"/>
    <w:rsid w:val="00FD163B"/>
    <w:rsid w:val="00FD1AB4"/>
    <w:rsid w:val="00FD1DDF"/>
    <w:rsid w:val="00FD28E8"/>
    <w:rsid w:val="00FD3355"/>
    <w:rsid w:val="00FD3CF7"/>
    <w:rsid w:val="00FD4FCC"/>
    <w:rsid w:val="00FD522F"/>
    <w:rsid w:val="00FD5A00"/>
    <w:rsid w:val="00FD5D23"/>
    <w:rsid w:val="00FD5F89"/>
    <w:rsid w:val="00FD6570"/>
    <w:rsid w:val="00FD6EA4"/>
    <w:rsid w:val="00FD6FCC"/>
    <w:rsid w:val="00FD739A"/>
    <w:rsid w:val="00FD79A7"/>
    <w:rsid w:val="00FE04A4"/>
    <w:rsid w:val="00FE0841"/>
    <w:rsid w:val="00FE08FD"/>
    <w:rsid w:val="00FE12A5"/>
    <w:rsid w:val="00FE1B58"/>
    <w:rsid w:val="00FE1DFA"/>
    <w:rsid w:val="00FE1EDA"/>
    <w:rsid w:val="00FE1F3B"/>
    <w:rsid w:val="00FE22CB"/>
    <w:rsid w:val="00FE2859"/>
    <w:rsid w:val="00FE2A81"/>
    <w:rsid w:val="00FE303A"/>
    <w:rsid w:val="00FE345D"/>
    <w:rsid w:val="00FE486C"/>
    <w:rsid w:val="00FE4E00"/>
    <w:rsid w:val="00FE5194"/>
    <w:rsid w:val="00FE544E"/>
    <w:rsid w:val="00FE54F6"/>
    <w:rsid w:val="00FE5A35"/>
    <w:rsid w:val="00FE64A9"/>
    <w:rsid w:val="00FE6BD7"/>
    <w:rsid w:val="00FE6C8F"/>
    <w:rsid w:val="00FF0644"/>
    <w:rsid w:val="00FF094E"/>
    <w:rsid w:val="00FF0A66"/>
    <w:rsid w:val="00FF1632"/>
    <w:rsid w:val="00FF1FCE"/>
    <w:rsid w:val="00FF2234"/>
    <w:rsid w:val="00FF290B"/>
    <w:rsid w:val="00FF320D"/>
    <w:rsid w:val="00FF33BD"/>
    <w:rsid w:val="00FF3C13"/>
    <w:rsid w:val="00FF4169"/>
    <w:rsid w:val="00FF4FD5"/>
    <w:rsid w:val="00FF582B"/>
    <w:rsid w:val="00FF6702"/>
    <w:rsid w:val="00FF7188"/>
    <w:rsid w:val="00FF72DC"/>
    <w:rsid w:val="00FF76DE"/>
    <w:rsid w:val="00FF77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F4B7F"/>
  </w:style>
  <w:style w:type="paragraph" w:styleId="Heading1">
    <w:name w:val="heading 1"/>
    <w:basedOn w:val="Normal"/>
    <w:next w:val="Normal"/>
    <w:link w:val="Heading1Char"/>
    <w:qFormat/>
    <w:rsid w:val="00081DCD"/>
    <w:pPr>
      <w:keepNext/>
      <w:widowControl w:val="0"/>
      <w:outlineLvl w:val="0"/>
    </w:pPr>
    <w:rPr>
      <w:rFonts w:ascii="Arial" w:hAnsi="Arial"/>
      <w:b/>
      <w:snapToGrid w:val="0"/>
      <w:lang w:eastAsia="en-US"/>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link w:val="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0">
    <w:name w:val="Char"/>
    <w:basedOn w:val="Normal"/>
    <w:pPr>
      <w:spacing w:after="160" w:line="240" w:lineRule="exact"/>
    </w:pPr>
    <w:rPr>
      <w:rFonts w:ascii="Verdana" w:eastAsia="MS Mincho" w:hAnsi="Verdana" w:cs="Verdana"/>
      <w:lang w:val="en-US" w:eastAsia="en-US"/>
    </w:rPr>
  </w:style>
  <w:style w:type="paragraph" w:styleId="Header">
    <w:name w:val="header"/>
    <w:basedOn w:val="Normal"/>
    <w:link w:val="HeaderChar"/>
    <w:pPr>
      <w:tabs>
        <w:tab w:val="center" w:pos="4153"/>
        <w:tab w:val="right" w:pos="8306"/>
      </w:tabs>
    </w:pPr>
  </w:style>
  <w:style w:type="paragraph" w:styleId="Footer">
    <w:name w:val="footer"/>
    <w:basedOn w:val="Normal"/>
    <w:pPr>
      <w:tabs>
        <w:tab w:val="center" w:pos="4153"/>
        <w:tab w:val="right" w:pos="8306"/>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rPr>
      <w:color w:val="0000CC"/>
      <w:u w:val="single"/>
    </w:rPr>
  </w:style>
  <w:style w:type="character" w:styleId="Emphasis">
    <w:name w:val="Emphasis"/>
    <w:qFormat/>
    <w:rPr>
      <w:b/>
      <w:bCs/>
      <w:i w:val="0"/>
      <w:iCs w:val="0"/>
    </w:rPr>
  </w:style>
  <w:style w:type="paragraph" w:customStyle="1" w:styleId="Char">
    <w:name w:val=" Char"/>
    <w:basedOn w:val="Normal"/>
    <w:link w:val="DefaultParagraphFont"/>
    <w:pPr>
      <w:spacing w:after="160" w:line="240" w:lineRule="exact"/>
    </w:pPr>
    <w:rPr>
      <w:rFonts w:ascii="Verdana" w:eastAsia="MS Mincho" w:hAnsi="Verdana" w:cs="Verdana"/>
      <w:lang w:val="en-US" w:eastAsia="en-US"/>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styleId="PageNumber">
    <w:name w:val="page number"/>
    <w:basedOn w:val="DefaultParagraphFont"/>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lang w:val="en-US" w:eastAsia="en-US"/>
    </w:rPr>
  </w:style>
  <w:style w:type="paragraph" w:styleId="ListBullet">
    <w:name w:val="List Bullet"/>
    <w:basedOn w:val="Normal"/>
    <w:autoRedefine/>
  </w:style>
  <w:style w:type="character" w:customStyle="1" w:styleId="brand">
    <w:name w:val="brand"/>
    <w:basedOn w:val="DefaultParagraphFont"/>
    <w:rsid w:val="00A05B20"/>
  </w:style>
  <w:style w:type="paragraph" w:styleId="NormalWeb">
    <w:name w:val="Normal (Web)"/>
    <w:basedOn w:val="Normal"/>
    <w:uiPriority w:val="99"/>
    <w:unhideWhenUsed/>
    <w:rsid w:val="003A2BB7"/>
    <w:pPr>
      <w:spacing w:before="100" w:beforeAutospacing="1" w:after="100" w:afterAutospacing="1"/>
    </w:pPr>
    <w:rPr>
      <w:sz w:val="24"/>
      <w:szCs w:val="24"/>
    </w:rPr>
  </w:style>
  <w:style w:type="character" w:customStyle="1" w:styleId="form-strength">
    <w:name w:val="form-strength"/>
    <w:rsid w:val="00CB77F2"/>
  </w:style>
  <w:style w:type="character" w:customStyle="1" w:styleId="drug-name">
    <w:name w:val="drug-name"/>
    <w:rsid w:val="00CB77F2"/>
  </w:style>
  <w:style w:type="paragraph" w:styleId="BodyText">
    <w:name w:val="Body Text"/>
    <w:aliases w:val="Char Char Char"/>
    <w:basedOn w:val="Normal"/>
    <w:link w:val="BodyTextChar"/>
    <w:qFormat/>
    <w:rsid w:val="00E3123A"/>
    <w:pPr>
      <w:spacing w:after="360" w:line="360" w:lineRule="auto"/>
    </w:pPr>
    <w:rPr>
      <w:rFonts w:ascii="Arial" w:hAnsi="Arial"/>
      <w:szCs w:val="24"/>
      <w:lang w:val="en-US" w:eastAsia="en-US"/>
    </w:rPr>
  </w:style>
  <w:style w:type="character" w:customStyle="1" w:styleId="BodyTextChar">
    <w:name w:val="Body Text Char"/>
    <w:aliases w:val="Char Char Char Char"/>
    <w:link w:val="BodyText"/>
    <w:rsid w:val="00E3123A"/>
    <w:rPr>
      <w:rFonts w:ascii="Arial" w:hAnsi="Arial"/>
      <w:szCs w:val="24"/>
      <w:lang w:val="en-US" w:eastAsia="en-US"/>
    </w:rPr>
  </w:style>
  <w:style w:type="paragraph" w:customStyle="1" w:styleId="Default">
    <w:name w:val="Default"/>
    <w:rsid w:val="00E56F73"/>
    <w:pPr>
      <w:autoSpaceDE w:val="0"/>
      <w:autoSpaceDN w:val="0"/>
      <w:adjustRightInd w:val="0"/>
    </w:pPr>
    <w:rPr>
      <w:color w:val="000000"/>
      <w:sz w:val="24"/>
      <w:szCs w:val="24"/>
    </w:rPr>
  </w:style>
  <w:style w:type="character" w:customStyle="1" w:styleId="HeaderChar">
    <w:name w:val="Header Char"/>
    <w:link w:val="Header"/>
    <w:rsid w:val="00D33975"/>
  </w:style>
  <w:style w:type="character" w:customStyle="1" w:styleId="Heading1Char">
    <w:name w:val="Heading 1 Char"/>
    <w:link w:val="Heading1"/>
    <w:rsid w:val="00081DCD"/>
    <w:rPr>
      <w:rFonts w:ascii="Arial" w:hAnsi="Arial"/>
      <w:b/>
      <w:snapToGrid w:val="0"/>
      <w:lang w:eastAsia="en-US"/>
    </w:rPr>
  </w:style>
  <w:style w:type="character" w:customStyle="1" w:styleId="st">
    <w:name w:val="st"/>
    <w:rsid w:val="00081DCD"/>
  </w:style>
  <w:style w:type="paragraph" w:styleId="ListParagraph">
    <w:name w:val="List Paragraph"/>
    <w:basedOn w:val="Normal"/>
    <w:link w:val="ListParagraphChar"/>
    <w:uiPriority w:val="34"/>
    <w:qFormat/>
    <w:rsid w:val="008708CA"/>
    <w:pPr>
      <w:ind w:left="720"/>
      <w:contextualSpacing/>
    </w:pPr>
    <w:rPr>
      <w:rFonts w:eastAsia="SimSun"/>
      <w:sz w:val="24"/>
      <w:szCs w:val="24"/>
    </w:rPr>
  </w:style>
  <w:style w:type="character" w:styleId="IntenseReference">
    <w:name w:val="Intense Reference"/>
    <w:uiPriority w:val="32"/>
    <w:qFormat/>
    <w:rsid w:val="002A0126"/>
    <w:rPr>
      <w:b/>
      <w:bCs/>
      <w:i/>
      <w:smallCaps/>
      <w:color w:val="C0504D"/>
      <w:spacing w:val="5"/>
      <w:u w:val="none"/>
    </w:rPr>
  </w:style>
  <w:style w:type="paragraph" w:customStyle="1" w:styleId="PBACHeading1">
    <w:name w:val="PBAC Heading 1"/>
    <w:qFormat/>
    <w:rsid w:val="005741B7"/>
    <w:pPr>
      <w:ind w:left="720" w:hanging="720"/>
    </w:pPr>
    <w:rPr>
      <w:rFonts w:ascii="Arial" w:hAnsi="Arial" w:cs="Arial"/>
      <w:b/>
      <w:snapToGrid w:val="0"/>
      <w:sz w:val="22"/>
      <w:szCs w:val="22"/>
      <w:lang w:eastAsia="en-US"/>
    </w:rPr>
  </w:style>
  <w:style w:type="character" w:customStyle="1" w:styleId="ListParagraphChar">
    <w:name w:val="List Paragraph Char"/>
    <w:link w:val="ListParagraph"/>
    <w:uiPriority w:val="34"/>
    <w:rsid w:val="005741B7"/>
    <w:rPr>
      <w:rFonts w:eastAsia="SimSun"/>
      <w:sz w:val="24"/>
      <w:szCs w:val="24"/>
    </w:rPr>
  </w:style>
  <w:style w:type="character" w:customStyle="1" w:styleId="apple-converted-space">
    <w:name w:val="apple-converted-space"/>
    <w:rsid w:val="004E4D96"/>
  </w:style>
  <w:style w:type="paragraph" w:customStyle="1" w:styleId="PBACheading10">
    <w:name w:val="PBAC heading 1"/>
    <w:qFormat/>
    <w:rsid w:val="00F67C31"/>
    <w:pPr>
      <w:ind w:left="720" w:hanging="72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011280">
      <w:bodyDiv w:val="1"/>
      <w:marLeft w:val="0"/>
      <w:marRight w:val="0"/>
      <w:marTop w:val="0"/>
      <w:marBottom w:val="0"/>
      <w:divBdr>
        <w:top w:val="none" w:sz="0" w:space="0" w:color="auto"/>
        <w:left w:val="none" w:sz="0" w:space="0" w:color="auto"/>
        <w:bottom w:val="none" w:sz="0" w:space="0" w:color="auto"/>
        <w:right w:val="none" w:sz="0" w:space="0" w:color="auto"/>
      </w:divBdr>
    </w:div>
    <w:div w:id="70007710">
      <w:bodyDiv w:val="1"/>
      <w:marLeft w:val="0"/>
      <w:marRight w:val="0"/>
      <w:marTop w:val="0"/>
      <w:marBottom w:val="0"/>
      <w:divBdr>
        <w:top w:val="none" w:sz="0" w:space="0" w:color="auto"/>
        <w:left w:val="none" w:sz="0" w:space="0" w:color="auto"/>
        <w:bottom w:val="none" w:sz="0" w:space="0" w:color="auto"/>
        <w:right w:val="none" w:sz="0" w:space="0" w:color="auto"/>
      </w:divBdr>
    </w:div>
    <w:div w:id="73675210">
      <w:bodyDiv w:val="1"/>
      <w:marLeft w:val="0"/>
      <w:marRight w:val="0"/>
      <w:marTop w:val="0"/>
      <w:marBottom w:val="0"/>
      <w:divBdr>
        <w:top w:val="none" w:sz="0" w:space="0" w:color="auto"/>
        <w:left w:val="none" w:sz="0" w:space="0" w:color="auto"/>
        <w:bottom w:val="none" w:sz="0" w:space="0" w:color="auto"/>
        <w:right w:val="none" w:sz="0" w:space="0" w:color="auto"/>
      </w:divBdr>
    </w:div>
    <w:div w:id="79184216">
      <w:bodyDiv w:val="1"/>
      <w:marLeft w:val="0"/>
      <w:marRight w:val="0"/>
      <w:marTop w:val="0"/>
      <w:marBottom w:val="0"/>
      <w:divBdr>
        <w:top w:val="none" w:sz="0" w:space="0" w:color="auto"/>
        <w:left w:val="none" w:sz="0" w:space="0" w:color="auto"/>
        <w:bottom w:val="none" w:sz="0" w:space="0" w:color="auto"/>
        <w:right w:val="none" w:sz="0" w:space="0" w:color="auto"/>
      </w:divBdr>
    </w:div>
    <w:div w:id="106513899">
      <w:bodyDiv w:val="1"/>
      <w:marLeft w:val="0"/>
      <w:marRight w:val="0"/>
      <w:marTop w:val="0"/>
      <w:marBottom w:val="0"/>
      <w:divBdr>
        <w:top w:val="none" w:sz="0" w:space="0" w:color="auto"/>
        <w:left w:val="none" w:sz="0" w:space="0" w:color="auto"/>
        <w:bottom w:val="none" w:sz="0" w:space="0" w:color="auto"/>
        <w:right w:val="none" w:sz="0" w:space="0" w:color="auto"/>
      </w:divBdr>
    </w:div>
    <w:div w:id="116220105">
      <w:bodyDiv w:val="1"/>
      <w:marLeft w:val="0"/>
      <w:marRight w:val="0"/>
      <w:marTop w:val="0"/>
      <w:marBottom w:val="0"/>
      <w:divBdr>
        <w:top w:val="none" w:sz="0" w:space="0" w:color="auto"/>
        <w:left w:val="none" w:sz="0" w:space="0" w:color="auto"/>
        <w:bottom w:val="none" w:sz="0" w:space="0" w:color="auto"/>
        <w:right w:val="none" w:sz="0" w:space="0" w:color="auto"/>
      </w:divBdr>
    </w:div>
    <w:div w:id="122428845">
      <w:bodyDiv w:val="1"/>
      <w:marLeft w:val="0"/>
      <w:marRight w:val="0"/>
      <w:marTop w:val="0"/>
      <w:marBottom w:val="0"/>
      <w:divBdr>
        <w:top w:val="none" w:sz="0" w:space="0" w:color="auto"/>
        <w:left w:val="none" w:sz="0" w:space="0" w:color="auto"/>
        <w:bottom w:val="none" w:sz="0" w:space="0" w:color="auto"/>
        <w:right w:val="none" w:sz="0" w:space="0" w:color="auto"/>
      </w:divBdr>
    </w:div>
    <w:div w:id="138232654">
      <w:bodyDiv w:val="1"/>
      <w:marLeft w:val="0"/>
      <w:marRight w:val="0"/>
      <w:marTop w:val="0"/>
      <w:marBottom w:val="0"/>
      <w:divBdr>
        <w:top w:val="none" w:sz="0" w:space="0" w:color="auto"/>
        <w:left w:val="none" w:sz="0" w:space="0" w:color="auto"/>
        <w:bottom w:val="none" w:sz="0" w:space="0" w:color="auto"/>
        <w:right w:val="none" w:sz="0" w:space="0" w:color="auto"/>
      </w:divBdr>
      <w:divsChild>
        <w:div w:id="2031683294">
          <w:marLeft w:val="0"/>
          <w:marRight w:val="0"/>
          <w:marTop w:val="0"/>
          <w:marBottom w:val="0"/>
          <w:divBdr>
            <w:top w:val="none" w:sz="0" w:space="0" w:color="auto"/>
            <w:left w:val="none" w:sz="0" w:space="0" w:color="auto"/>
            <w:bottom w:val="none" w:sz="0" w:space="0" w:color="auto"/>
            <w:right w:val="none" w:sz="0" w:space="0" w:color="auto"/>
          </w:divBdr>
          <w:divsChild>
            <w:div w:id="787238871">
              <w:marLeft w:val="0"/>
              <w:marRight w:val="0"/>
              <w:marTop w:val="0"/>
              <w:marBottom w:val="0"/>
              <w:divBdr>
                <w:top w:val="none" w:sz="0" w:space="0" w:color="auto"/>
                <w:left w:val="none" w:sz="0" w:space="0" w:color="auto"/>
                <w:bottom w:val="none" w:sz="0" w:space="0" w:color="auto"/>
                <w:right w:val="none" w:sz="0" w:space="0" w:color="auto"/>
              </w:divBdr>
              <w:divsChild>
                <w:div w:id="1389305185">
                  <w:marLeft w:val="0"/>
                  <w:marRight w:val="0"/>
                  <w:marTop w:val="0"/>
                  <w:marBottom w:val="0"/>
                  <w:divBdr>
                    <w:top w:val="none" w:sz="0" w:space="0" w:color="auto"/>
                    <w:left w:val="none" w:sz="0" w:space="0" w:color="auto"/>
                    <w:bottom w:val="none" w:sz="0" w:space="0" w:color="auto"/>
                    <w:right w:val="none" w:sz="0" w:space="0" w:color="auto"/>
                  </w:divBdr>
                  <w:divsChild>
                    <w:div w:id="980304283">
                      <w:marLeft w:val="0"/>
                      <w:marRight w:val="0"/>
                      <w:marTop w:val="0"/>
                      <w:marBottom w:val="0"/>
                      <w:divBdr>
                        <w:top w:val="none" w:sz="0" w:space="0" w:color="auto"/>
                        <w:left w:val="none" w:sz="0" w:space="0" w:color="auto"/>
                        <w:bottom w:val="none" w:sz="0" w:space="0" w:color="auto"/>
                        <w:right w:val="none" w:sz="0" w:space="0" w:color="auto"/>
                      </w:divBdr>
                      <w:divsChild>
                        <w:div w:id="166450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49314">
      <w:bodyDiv w:val="1"/>
      <w:marLeft w:val="0"/>
      <w:marRight w:val="0"/>
      <w:marTop w:val="0"/>
      <w:marBottom w:val="0"/>
      <w:divBdr>
        <w:top w:val="none" w:sz="0" w:space="0" w:color="auto"/>
        <w:left w:val="none" w:sz="0" w:space="0" w:color="auto"/>
        <w:bottom w:val="none" w:sz="0" w:space="0" w:color="auto"/>
        <w:right w:val="none" w:sz="0" w:space="0" w:color="auto"/>
      </w:divBdr>
    </w:div>
    <w:div w:id="156119378">
      <w:bodyDiv w:val="1"/>
      <w:marLeft w:val="0"/>
      <w:marRight w:val="0"/>
      <w:marTop w:val="0"/>
      <w:marBottom w:val="0"/>
      <w:divBdr>
        <w:top w:val="none" w:sz="0" w:space="0" w:color="auto"/>
        <w:left w:val="none" w:sz="0" w:space="0" w:color="auto"/>
        <w:bottom w:val="none" w:sz="0" w:space="0" w:color="auto"/>
        <w:right w:val="none" w:sz="0" w:space="0" w:color="auto"/>
      </w:divBdr>
    </w:div>
    <w:div w:id="197353048">
      <w:bodyDiv w:val="1"/>
      <w:marLeft w:val="0"/>
      <w:marRight w:val="0"/>
      <w:marTop w:val="0"/>
      <w:marBottom w:val="0"/>
      <w:divBdr>
        <w:top w:val="none" w:sz="0" w:space="0" w:color="auto"/>
        <w:left w:val="none" w:sz="0" w:space="0" w:color="auto"/>
        <w:bottom w:val="none" w:sz="0" w:space="0" w:color="auto"/>
        <w:right w:val="none" w:sz="0" w:space="0" w:color="auto"/>
      </w:divBdr>
    </w:div>
    <w:div w:id="205459571">
      <w:bodyDiv w:val="1"/>
      <w:marLeft w:val="0"/>
      <w:marRight w:val="0"/>
      <w:marTop w:val="0"/>
      <w:marBottom w:val="0"/>
      <w:divBdr>
        <w:top w:val="none" w:sz="0" w:space="0" w:color="auto"/>
        <w:left w:val="none" w:sz="0" w:space="0" w:color="auto"/>
        <w:bottom w:val="none" w:sz="0" w:space="0" w:color="auto"/>
        <w:right w:val="none" w:sz="0" w:space="0" w:color="auto"/>
      </w:divBdr>
    </w:div>
    <w:div w:id="211969564">
      <w:bodyDiv w:val="1"/>
      <w:marLeft w:val="0"/>
      <w:marRight w:val="0"/>
      <w:marTop w:val="0"/>
      <w:marBottom w:val="0"/>
      <w:divBdr>
        <w:top w:val="none" w:sz="0" w:space="0" w:color="auto"/>
        <w:left w:val="none" w:sz="0" w:space="0" w:color="auto"/>
        <w:bottom w:val="none" w:sz="0" w:space="0" w:color="auto"/>
        <w:right w:val="none" w:sz="0" w:space="0" w:color="auto"/>
      </w:divBdr>
    </w:div>
    <w:div w:id="228268593">
      <w:bodyDiv w:val="1"/>
      <w:marLeft w:val="0"/>
      <w:marRight w:val="0"/>
      <w:marTop w:val="0"/>
      <w:marBottom w:val="0"/>
      <w:divBdr>
        <w:top w:val="none" w:sz="0" w:space="0" w:color="auto"/>
        <w:left w:val="none" w:sz="0" w:space="0" w:color="auto"/>
        <w:bottom w:val="none" w:sz="0" w:space="0" w:color="auto"/>
        <w:right w:val="none" w:sz="0" w:space="0" w:color="auto"/>
      </w:divBdr>
    </w:div>
    <w:div w:id="262540116">
      <w:bodyDiv w:val="1"/>
      <w:marLeft w:val="0"/>
      <w:marRight w:val="0"/>
      <w:marTop w:val="0"/>
      <w:marBottom w:val="0"/>
      <w:divBdr>
        <w:top w:val="none" w:sz="0" w:space="0" w:color="auto"/>
        <w:left w:val="none" w:sz="0" w:space="0" w:color="auto"/>
        <w:bottom w:val="none" w:sz="0" w:space="0" w:color="auto"/>
        <w:right w:val="none" w:sz="0" w:space="0" w:color="auto"/>
      </w:divBdr>
    </w:div>
    <w:div w:id="270168697">
      <w:bodyDiv w:val="1"/>
      <w:marLeft w:val="0"/>
      <w:marRight w:val="0"/>
      <w:marTop w:val="0"/>
      <w:marBottom w:val="0"/>
      <w:divBdr>
        <w:top w:val="none" w:sz="0" w:space="0" w:color="auto"/>
        <w:left w:val="none" w:sz="0" w:space="0" w:color="auto"/>
        <w:bottom w:val="none" w:sz="0" w:space="0" w:color="auto"/>
        <w:right w:val="none" w:sz="0" w:space="0" w:color="auto"/>
      </w:divBdr>
    </w:div>
    <w:div w:id="276958260">
      <w:bodyDiv w:val="1"/>
      <w:marLeft w:val="0"/>
      <w:marRight w:val="0"/>
      <w:marTop w:val="0"/>
      <w:marBottom w:val="0"/>
      <w:divBdr>
        <w:top w:val="none" w:sz="0" w:space="0" w:color="auto"/>
        <w:left w:val="none" w:sz="0" w:space="0" w:color="auto"/>
        <w:bottom w:val="none" w:sz="0" w:space="0" w:color="auto"/>
        <w:right w:val="none" w:sz="0" w:space="0" w:color="auto"/>
      </w:divBdr>
    </w:div>
    <w:div w:id="363021008">
      <w:bodyDiv w:val="1"/>
      <w:marLeft w:val="0"/>
      <w:marRight w:val="0"/>
      <w:marTop w:val="0"/>
      <w:marBottom w:val="0"/>
      <w:divBdr>
        <w:top w:val="none" w:sz="0" w:space="0" w:color="auto"/>
        <w:left w:val="none" w:sz="0" w:space="0" w:color="auto"/>
        <w:bottom w:val="none" w:sz="0" w:space="0" w:color="auto"/>
        <w:right w:val="none" w:sz="0" w:space="0" w:color="auto"/>
      </w:divBdr>
    </w:div>
    <w:div w:id="373846694">
      <w:bodyDiv w:val="1"/>
      <w:marLeft w:val="0"/>
      <w:marRight w:val="0"/>
      <w:marTop w:val="0"/>
      <w:marBottom w:val="0"/>
      <w:divBdr>
        <w:top w:val="none" w:sz="0" w:space="0" w:color="auto"/>
        <w:left w:val="none" w:sz="0" w:space="0" w:color="auto"/>
        <w:bottom w:val="none" w:sz="0" w:space="0" w:color="auto"/>
        <w:right w:val="none" w:sz="0" w:space="0" w:color="auto"/>
      </w:divBdr>
    </w:div>
    <w:div w:id="410932005">
      <w:bodyDiv w:val="1"/>
      <w:marLeft w:val="120"/>
      <w:marRight w:val="120"/>
      <w:marTop w:val="45"/>
      <w:marBottom w:val="45"/>
      <w:divBdr>
        <w:top w:val="none" w:sz="0" w:space="0" w:color="auto"/>
        <w:left w:val="none" w:sz="0" w:space="0" w:color="auto"/>
        <w:bottom w:val="none" w:sz="0" w:space="0" w:color="auto"/>
        <w:right w:val="none" w:sz="0" w:space="0" w:color="auto"/>
      </w:divBdr>
      <w:divsChild>
        <w:div w:id="1501582553">
          <w:marLeft w:val="0"/>
          <w:marRight w:val="0"/>
          <w:marTop w:val="0"/>
          <w:marBottom w:val="0"/>
          <w:divBdr>
            <w:top w:val="none" w:sz="0" w:space="0" w:color="auto"/>
            <w:left w:val="none" w:sz="0" w:space="0" w:color="auto"/>
            <w:bottom w:val="none" w:sz="0" w:space="0" w:color="auto"/>
            <w:right w:val="none" w:sz="0" w:space="0" w:color="auto"/>
          </w:divBdr>
          <w:divsChild>
            <w:div w:id="72105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1829103">
      <w:bodyDiv w:val="1"/>
      <w:marLeft w:val="0"/>
      <w:marRight w:val="0"/>
      <w:marTop w:val="0"/>
      <w:marBottom w:val="0"/>
      <w:divBdr>
        <w:top w:val="none" w:sz="0" w:space="0" w:color="auto"/>
        <w:left w:val="none" w:sz="0" w:space="0" w:color="auto"/>
        <w:bottom w:val="none" w:sz="0" w:space="0" w:color="auto"/>
        <w:right w:val="none" w:sz="0" w:space="0" w:color="auto"/>
      </w:divBdr>
    </w:div>
    <w:div w:id="479539838">
      <w:bodyDiv w:val="1"/>
      <w:marLeft w:val="0"/>
      <w:marRight w:val="0"/>
      <w:marTop w:val="0"/>
      <w:marBottom w:val="0"/>
      <w:divBdr>
        <w:top w:val="none" w:sz="0" w:space="0" w:color="auto"/>
        <w:left w:val="none" w:sz="0" w:space="0" w:color="auto"/>
        <w:bottom w:val="none" w:sz="0" w:space="0" w:color="auto"/>
        <w:right w:val="none" w:sz="0" w:space="0" w:color="auto"/>
      </w:divBdr>
    </w:div>
    <w:div w:id="505947649">
      <w:bodyDiv w:val="1"/>
      <w:marLeft w:val="0"/>
      <w:marRight w:val="0"/>
      <w:marTop w:val="0"/>
      <w:marBottom w:val="0"/>
      <w:divBdr>
        <w:top w:val="none" w:sz="0" w:space="0" w:color="auto"/>
        <w:left w:val="none" w:sz="0" w:space="0" w:color="auto"/>
        <w:bottom w:val="none" w:sz="0" w:space="0" w:color="auto"/>
        <w:right w:val="none" w:sz="0" w:space="0" w:color="auto"/>
      </w:divBdr>
    </w:div>
    <w:div w:id="521632417">
      <w:bodyDiv w:val="1"/>
      <w:marLeft w:val="0"/>
      <w:marRight w:val="0"/>
      <w:marTop w:val="0"/>
      <w:marBottom w:val="0"/>
      <w:divBdr>
        <w:top w:val="none" w:sz="0" w:space="0" w:color="auto"/>
        <w:left w:val="none" w:sz="0" w:space="0" w:color="auto"/>
        <w:bottom w:val="none" w:sz="0" w:space="0" w:color="auto"/>
        <w:right w:val="none" w:sz="0" w:space="0" w:color="auto"/>
      </w:divBdr>
    </w:div>
    <w:div w:id="537856584">
      <w:bodyDiv w:val="1"/>
      <w:marLeft w:val="0"/>
      <w:marRight w:val="0"/>
      <w:marTop w:val="0"/>
      <w:marBottom w:val="0"/>
      <w:divBdr>
        <w:top w:val="none" w:sz="0" w:space="0" w:color="auto"/>
        <w:left w:val="none" w:sz="0" w:space="0" w:color="auto"/>
        <w:bottom w:val="none" w:sz="0" w:space="0" w:color="auto"/>
        <w:right w:val="none" w:sz="0" w:space="0" w:color="auto"/>
      </w:divBdr>
    </w:div>
    <w:div w:id="545682741">
      <w:bodyDiv w:val="1"/>
      <w:marLeft w:val="0"/>
      <w:marRight w:val="0"/>
      <w:marTop w:val="0"/>
      <w:marBottom w:val="0"/>
      <w:divBdr>
        <w:top w:val="none" w:sz="0" w:space="0" w:color="auto"/>
        <w:left w:val="none" w:sz="0" w:space="0" w:color="auto"/>
        <w:bottom w:val="none" w:sz="0" w:space="0" w:color="auto"/>
        <w:right w:val="none" w:sz="0" w:space="0" w:color="auto"/>
      </w:divBdr>
    </w:div>
    <w:div w:id="600843296">
      <w:bodyDiv w:val="1"/>
      <w:marLeft w:val="0"/>
      <w:marRight w:val="0"/>
      <w:marTop w:val="0"/>
      <w:marBottom w:val="0"/>
      <w:divBdr>
        <w:top w:val="none" w:sz="0" w:space="0" w:color="auto"/>
        <w:left w:val="none" w:sz="0" w:space="0" w:color="auto"/>
        <w:bottom w:val="none" w:sz="0" w:space="0" w:color="auto"/>
        <w:right w:val="none" w:sz="0" w:space="0" w:color="auto"/>
      </w:divBdr>
    </w:div>
    <w:div w:id="627130870">
      <w:bodyDiv w:val="1"/>
      <w:marLeft w:val="0"/>
      <w:marRight w:val="0"/>
      <w:marTop w:val="0"/>
      <w:marBottom w:val="0"/>
      <w:divBdr>
        <w:top w:val="none" w:sz="0" w:space="0" w:color="auto"/>
        <w:left w:val="none" w:sz="0" w:space="0" w:color="auto"/>
        <w:bottom w:val="none" w:sz="0" w:space="0" w:color="auto"/>
        <w:right w:val="none" w:sz="0" w:space="0" w:color="auto"/>
      </w:divBdr>
    </w:div>
    <w:div w:id="628976738">
      <w:bodyDiv w:val="1"/>
      <w:marLeft w:val="0"/>
      <w:marRight w:val="0"/>
      <w:marTop w:val="0"/>
      <w:marBottom w:val="0"/>
      <w:divBdr>
        <w:top w:val="none" w:sz="0" w:space="0" w:color="auto"/>
        <w:left w:val="none" w:sz="0" w:space="0" w:color="auto"/>
        <w:bottom w:val="none" w:sz="0" w:space="0" w:color="auto"/>
        <w:right w:val="none" w:sz="0" w:space="0" w:color="auto"/>
      </w:divBdr>
    </w:div>
    <w:div w:id="714815807">
      <w:bodyDiv w:val="1"/>
      <w:marLeft w:val="0"/>
      <w:marRight w:val="0"/>
      <w:marTop w:val="0"/>
      <w:marBottom w:val="0"/>
      <w:divBdr>
        <w:top w:val="none" w:sz="0" w:space="0" w:color="auto"/>
        <w:left w:val="none" w:sz="0" w:space="0" w:color="auto"/>
        <w:bottom w:val="none" w:sz="0" w:space="0" w:color="auto"/>
        <w:right w:val="none" w:sz="0" w:space="0" w:color="auto"/>
      </w:divBdr>
    </w:div>
    <w:div w:id="716322239">
      <w:bodyDiv w:val="1"/>
      <w:marLeft w:val="0"/>
      <w:marRight w:val="0"/>
      <w:marTop w:val="0"/>
      <w:marBottom w:val="0"/>
      <w:divBdr>
        <w:top w:val="none" w:sz="0" w:space="0" w:color="auto"/>
        <w:left w:val="none" w:sz="0" w:space="0" w:color="auto"/>
        <w:bottom w:val="none" w:sz="0" w:space="0" w:color="auto"/>
        <w:right w:val="none" w:sz="0" w:space="0" w:color="auto"/>
      </w:divBdr>
    </w:div>
    <w:div w:id="721826668">
      <w:bodyDiv w:val="1"/>
      <w:marLeft w:val="0"/>
      <w:marRight w:val="0"/>
      <w:marTop w:val="0"/>
      <w:marBottom w:val="0"/>
      <w:divBdr>
        <w:top w:val="none" w:sz="0" w:space="0" w:color="auto"/>
        <w:left w:val="none" w:sz="0" w:space="0" w:color="auto"/>
        <w:bottom w:val="none" w:sz="0" w:space="0" w:color="auto"/>
        <w:right w:val="none" w:sz="0" w:space="0" w:color="auto"/>
      </w:divBdr>
    </w:div>
    <w:div w:id="777289653">
      <w:bodyDiv w:val="1"/>
      <w:marLeft w:val="0"/>
      <w:marRight w:val="0"/>
      <w:marTop w:val="0"/>
      <w:marBottom w:val="0"/>
      <w:divBdr>
        <w:top w:val="none" w:sz="0" w:space="0" w:color="auto"/>
        <w:left w:val="none" w:sz="0" w:space="0" w:color="auto"/>
        <w:bottom w:val="none" w:sz="0" w:space="0" w:color="auto"/>
        <w:right w:val="none" w:sz="0" w:space="0" w:color="auto"/>
      </w:divBdr>
    </w:div>
    <w:div w:id="799111579">
      <w:bodyDiv w:val="1"/>
      <w:marLeft w:val="0"/>
      <w:marRight w:val="0"/>
      <w:marTop w:val="0"/>
      <w:marBottom w:val="0"/>
      <w:divBdr>
        <w:top w:val="none" w:sz="0" w:space="0" w:color="auto"/>
        <w:left w:val="none" w:sz="0" w:space="0" w:color="auto"/>
        <w:bottom w:val="none" w:sz="0" w:space="0" w:color="auto"/>
        <w:right w:val="none" w:sz="0" w:space="0" w:color="auto"/>
      </w:divBdr>
      <w:divsChild>
        <w:div w:id="752702958">
          <w:marLeft w:val="0"/>
          <w:marRight w:val="0"/>
          <w:marTop w:val="240"/>
          <w:marBottom w:val="480"/>
          <w:divBdr>
            <w:top w:val="none" w:sz="0" w:space="0" w:color="auto"/>
            <w:left w:val="none" w:sz="0" w:space="0" w:color="auto"/>
            <w:bottom w:val="none" w:sz="0" w:space="0" w:color="auto"/>
            <w:right w:val="none" w:sz="0" w:space="0" w:color="auto"/>
          </w:divBdr>
          <w:divsChild>
            <w:div w:id="442503937">
              <w:marLeft w:val="0"/>
              <w:marRight w:val="0"/>
              <w:marTop w:val="0"/>
              <w:marBottom w:val="0"/>
              <w:divBdr>
                <w:top w:val="none" w:sz="0" w:space="0" w:color="auto"/>
                <w:left w:val="none" w:sz="0" w:space="0" w:color="auto"/>
                <w:bottom w:val="none" w:sz="0" w:space="0" w:color="auto"/>
                <w:right w:val="none" w:sz="0" w:space="0" w:color="auto"/>
              </w:divBdr>
              <w:divsChild>
                <w:div w:id="629673879">
                  <w:marLeft w:val="0"/>
                  <w:marRight w:val="0"/>
                  <w:marTop w:val="0"/>
                  <w:marBottom w:val="0"/>
                  <w:divBdr>
                    <w:top w:val="none" w:sz="0" w:space="0" w:color="auto"/>
                    <w:left w:val="none" w:sz="0" w:space="0" w:color="auto"/>
                    <w:bottom w:val="none" w:sz="0" w:space="0" w:color="auto"/>
                    <w:right w:val="none" w:sz="0" w:space="0" w:color="auto"/>
                  </w:divBdr>
                  <w:divsChild>
                    <w:div w:id="1070931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3351179">
      <w:bodyDiv w:val="1"/>
      <w:marLeft w:val="0"/>
      <w:marRight w:val="0"/>
      <w:marTop w:val="0"/>
      <w:marBottom w:val="0"/>
      <w:divBdr>
        <w:top w:val="none" w:sz="0" w:space="0" w:color="auto"/>
        <w:left w:val="none" w:sz="0" w:space="0" w:color="auto"/>
        <w:bottom w:val="none" w:sz="0" w:space="0" w:color="auto"/>
        <w:right w:val="none" w:sz="0" w:space="0" w:color="auto"/>
      </w:divBdr>
    </w:div>
    <w:div w:id="822505033">
      <w:bodyDiv w:val="1"/>
      <w:marLeft w:val="0"/>
      <w:marRight w:val="0"/>
      <w:marTop w:val="0"/>
      <w:marBottom w:val="0"/>
      <w:divBdr>
        <w:top w:val="none" w:sz="0" w:space="0" w:color="auto"/>
        <w:left w:val="none" w:sz="0" w:space="0" w:color="auto"/>
        <w:bottom w:val="none" w:sz="0" w:space="0" w:color="auto"/>
        <w:right w:val="none" w:sz="0" w:space="0" w:color="auto"/>
      </w:divBdr>
    </w:div>
    <w:div w:id="839853820">
      <w:bodyDiv w:val="1"/>
      <w:marLeft w:val="0"/>
      <w:marRight w:val="0"/>
      <w:marTop w:val="0"/>
      <w:marBottom w:val="0"/>
      <w:divBdr>
        <w:top w:val="none" w:sz="0" w:space="0" w:color="auto"/>
        <w:left w:val="none" w:sz="0" w:space="0" w:color="auto"/>
        <w:bottom w:val="none" w:sz="0" w:space="0" w:color="auto"/>
        <w:right w:val="none" w:sz="0" w:space="0" w:color="auto"/>
      </w:divBdr>
    </w:div>
    <w:div w:id="842664460">
      <w:bodyDiv w:val="1"/>
      <w:marLeft w:val="0"/>
      <w:marRight w:val="0"/>
      <w:marTop w:val="0"/>
      <w:marBottom w:val="0"/>
      <w:divBdr>
        <w:top w:val="none" w:sz="0" w:space="0" w:color="auto"/>
        <w:left w:val="none" w:sz="0" w:space="0" w:color="auto"/>
        <w:bottom w:val="none" w:sz="0" w:space="0" w:color="auto"/>
        <w:right w:val="none" w:sz="0" w:space="0" w:color="auto"/>
      </w:divBdr>
    </w:div>
    <w:div w:id="862014521">
      <w:bodyDiv w:val="1"/>
      <w:marLeft w:val="0"/>
      <w:marRight w:val="0"/>
      <w:marTop w:val="0"/>
      <w:marBottom w:val="0"/>
      <w:divBdr>
        <w:top w:val="none" w:sz="0" w:space="0" w:color="auto"/>
        <w:left w:val="none" w:sz="0" w:space="0" w:color="auto"/>
        <w:bottom w:val="none" w:sz="0" w:space="0" w:color="auto"/>
        <w:right w:val="none" w:sz="0" w:space="0" w:color="auto"/>
      </w:divBdr>
    </w:div>
    <w:div w:id="885144429">
      <w:bodyDiv w:val="1"/>
      <w:marLeft w:val="0"/>
      <w:marRight w:val="0"/>
      <w:marTop w:val="0"/>
      <w:marBottom w:val="0"/>
      <w:divBdr>
        <w:top w:val="none" w:sz="0" w:space="0" w:color="auto"/>
        <w:left w:val="none" w:sz="0" w:space="0" w:color="auto"/>
        <w:bottom w:val="none" w:sz="0" w:space="0" w:color="auto"/>
        <w:right w:val="none" w:sz="0" w:space="0" w:color="auto"/>
      </w:divBdr>
    </w:div>
    <w:div w:id="931275262">
      <w:bodyDiv w:val="1"/>
      <w:marLeft w:val="0"/>
      <w:marRight w:val="0"/>
      <w:marTop w:val="0"/>
      <w:marBottom w:val="0"/>
      <w:divBdr>
        <w:top w:val="none" w:sz="0" w:space="0" w:color="auto"/>
        <w:left w:val="none" w:sz="0" w:space="0" w:color="auto"/>
        <w:bottom w:val="none" w:sz="0" w:space="0" w:color="auto"/>
        <w:right w:val="none" w:sz="0" w:space="0" w:color="auto"/>
      </w:divBdr>
    </w:div>
    <w:div w:id="948467164">
      <w:bodyDiv w:val="1"/>
      <w:marLeft w:val="0"/>
      <w:marRight w:val="0"/>
      <w:marTop w:val="0"/>
      <w:marBottom w:val="0"/>
      <w:divBdr>
        <w:top w:val="none" w:sz="0" w:space="0" w:color="auto"/>
        <w:left w:val="none" w:sz="0" w:space="0" w:color="auto"/>
        <w:bottom w:val="none" w:sz="0" w:space="0" w:color="auto"/>
        <w:right w:val="none" w:sz="0" w:space="0" w:color="auto"/>
      </w:divBdr>
    </w:div>
    <w:div w:id="952781671">
      <w:bodyDiv w:val="1"/>
      <w:marLeft w:val="0"/>
      <w:marRight w:val="0"/>
      <w:marTop w:val="0"/>
      <w:marBottom w:val="0"/>
      <w:divBdr>
        <w:top w:val="none" w:sz="0" w:space="0" w:color="auto"/>
        <w:left w:val="none" w:sz="0" w:space="0" w:color="auto"/>
        <w:bottom w:val="none" w:sz="0" w:space="0" w:color="auto"/>
        <w:right w:val="none" w:sz="0" w:space="0" w:color="auto"/>
      </w:divBdr>
    </w:div>
    <w:div w:id="957759998">
      <w:bodyDiv w:val="1"/>
      <w:marLeft w:val="0"/>
      <w:marRight w:val="0"/>
      <w:marTop w:val="0"/>
      <w:marBottom w:val="0"/>
      <w:divBdr>
        <w:top w:val="none" w:sz="0" w:space="0" w:color="auto"/>
        <w:left w:val="none" w:sz="0" w:space="0" w:color="auto"/>
        <w:bottom w:val="none" w:sz="0" w:space="0" w:color="auto"/>
        <w:right w:val="none" w:sz="0" w:space="0" w:color="auto"/>
      </w:divBdr>
    </w:div>
    <w:div w:id="973022721">
      <w:bodyDiv w:val="1"/>
      <w:marLeft w:val="0"/>
      <w:marRight w:val="0"/>
      <w:marTop w:val="0"/>
      <w:marBottom w:val="0"/>
      <w:divBdr>
        <w:top w:val="none" w:sz="0" w:space="0" w:color="auto"/>
        <w:left w:val="none" w:sz="0" w:space="0" w:color="auto"/>
        <w:bottom w:val="none" w:sz="0" w:space="0" w:color="auto"/>
        <w:right w:val="none" w:sz="0" w:space="0" w:color="auto"/>
      </w:divBdr>
    </w:div>
    <w:div w:id="977731736">
      <w:bodyDiv w:val="1"/>
      <w:marLeft w:val="0"/>
      <w:marRight w:val="0"/>
      <w:marTop w:val="0"/>
      <w:marBottom w:val="0"/>
      <w:divBdr>
        <w:top w:val="none" w:sz="0" w:space="0" w:color="auto"/>
        <w:left w:val="none" w:sz="0" w:space="0" w:color="auto"/>
        <w:bottom w:val="none" w:sz="0" w:space="0" w:color="auto"/>
        <w:right w:val="none" w:sz="0" w:space="0" w:color="auto"/>
      </w:divBdr>
    </w:div>
    <w:div w:id="987517036">
      <w:bodyDiv w:val="1"/>
      <w:marLeft w:val="0"/>
      <w:marRight w:val="0"/>
      <w:marTop w:val="0"/>
      <w:marBottom w:val="0"/>
      <w:divBdr>
        <w:top w:val="none" w:sz="0" w:space="0" w:color="auto"/>
        <w:left w:val="none" w:sz="0" w:space="0" w:color="auto"/>
        <w:bottom w:val="none" w:sz="0" w:space="0" w:color="auto"/>
        <w:right w:val="none" w:sz="0" w:space="0" w:color="auto"/>
      </w:divBdr>
    </w:div>
    <w:div w:id="999502401">
      <w:bodyDiv w:val="1"/>
      <w:marLeft w:val="0"/>
      <w:marRight w:val="0"/>
      <w:marTop w:val="0"/>
      <w:marBottom w:val="0"/>
      <w:divBdr>
        <w:top w:val="none" w:sz="0" w:space="0" w:color="auto"/>
        <w:left w:val="none" w:sz="0" w:space="0" w:color="auto"/>
        <w:bottom w:val="none" w:sz="0" w:space="0" w:color="auto"/>
        <w:right w:val="none" w:sz="0" w:space="0" w:color="auto"/>
      </w:divBdr>
    </w:div>
    <w:div w:id="1037925111">
      <w:bodyDiv w:val="1"/>
      <w:marLeft w:val="0"/>
      <w:marRight w:val="0"/>
      <w:marTop w:val="0"/>
      <w:marBottom w:val="0"/>
      <w:divBdr>
        <w:top w:val="none" w:sz="0" w:space="0" w:color="auto"/>
        <w:left w:val="none" w:sz="0" w:space="0" w:color="auto"/>
        <w:bottom w:val="none" w:sz="0" w:space="0" w:color="auto"/>
        <w:right w:val="none" w:sz="0" w:space="0" w:color="auto"/>
      </w:divBdr>
    </w:div>
    <w:div w:id="1055205619">
      <w:bodyDiv w:val="1"/>
      <w:marLeft w:val="0"/>
      <w:marRight w:val="0"/>
      <w:marTop w:val="0"/>
      <w:marBottom w:val="0"/>
      <w:divBdr>
        <w:top w:val="none" w:sz="0" w:space="0" w:color="auto"/>
        <w:left w:val="none" w:sz="0" w:space="0" w:color="auto"/>
        <w:bottom w:val="none" w:sz="0" w:space="0" w:color="auto"/>
        <w:right w:val="none" w:sz="0" w:space="0" w:color="auto"/>
      </w:divBdr>
    </w:div>
    <w:div w:id="1059934358">
      <w:bodyDiv w:val="1"/>
      <w:marLeft w:val="0"/>
      <w:marRight w:val="0"/>
      <w:marTop w:val="0"/>
      <w:marBottom w:val="0"/>
      <w:divBdr>
        <w:top w:val="none" w:sz="0" w:space="0" w:color="auto"/>
        <w:left w:val="none" w:sz="0" w:space="0" w:color="auto"/>
        <w:bottom w:val="none" w:sz="0" w:space="0" w:color="auto"/>
        <w:right w:val="none" w:sz="0" w:space="0" w:color="auto"/>
      </w:divBdr>
    </w:div>
    <w:div w:id="1071806390">
      <w:bodyDiv w:val="1"/>
      <w:marLeft w:val="0"/>
      <w:marRight w:val="0"/>
      <w:marTop w:val="0"/>
      <w:marBottom w:val="0"/>
      <w:divBdr>
        <w:top w:val="none" w:sz="0" w:space="0" w:color="auto"/>
        <w:left w:val="none" w:sz="0" w:space="0" w:color="auto"/>
        <w:bottom w:val="none" w:sz="0" w:space="0" w:color="auto"/>
        <w:right w:val="none" w:sz="0" w:space="0" w:color="auto"/>
      </w:divBdr>
    </w:div>
    <w:div w:id="1076167159">
      <w:bodyDiv w:val="1"/>
      <w:marLeft w:val="0"/>
      <w:marRight w:val="0"/>
      <w:marTop w:val="0"/>
      <w:marBottom w:val="0"/>
      <w:divBdr>
        <w:top w:val="none" w:sz="0" w:space="0" w:color="auto"/>
        <w:left w:val="none" w:sz="0" w:space="0" w:color="auto"/>
        <w:bottom w:val="none" w:sz="0" w:space="0" w:color="auto"/>
        <w:right w:val="none" w:sz="0" w:space="0" w:color="auto"/>
      </w:divBdr>
    </w:div>
    <w:div w:id="1101532126">
      <w:bodyDiv w:val="1"/>
      <w:marLeft w:val="0"/>
      <w:marRight w:val="0"/>
      <w:marTop w:val="0"/>
      <w:marBottom w:val="0"/>
      <w:divBdr>
        <w:top w:val="none" w:sz="0" w:space="0" w:color="auto"/>
        <w:left w:val="none" w:sz="0" w:space="0" w:color="auto"/>
        <w:bottom w:val="none" w:sz="0" w:space="0" w:color="auto"/>
        <w:right w:val="none" w:sz="0" w:space="0" w:color="auto"/>
      </w:divBdr>
    </w:div>
    <w:div w:id="1115907605">
      <w:bodyDiv w:val="1"/>
      <w:marLeft w:val="0"/>
      <w:marRight w:val="0"/>
      <w:marTop w:val="0"/>
      <w:marBottom w:val="0"/>
      <w:divBdr>
        <w:top w:val="none" w:sz="0" w:space="0" w:color="auto"/>
        <w:left w:val="none" w:sz="0" w:space="0" w:color="auto"/>
        <w:bottom w:val="none" w:sz="0" w:space="0" w:color="auto"/>
        <w:right w:val="none" w:sz="0" w:space="0" w:color="auto"/>
      </w:divBdr>
    </w:div>
    <w:div w:id="1116290827">
      <w:bodyDiv w:val="1"/>
      <w:marLeft w:val="0"/>
      <w:marRight w:val="0"/>
      <w:marTop w:val="0"/>
      <w:marBottom w:val="0"/>
      <w:divBdr>
        <w:top w:val="none" w:sz="0" w:space="0" w:color="auto"/>
        <w:left w:val="none" w:sz="0" w:space="0" w:color="auto"/>
        <w:bottom w:val="none" w:sz="0" w:space="0" w:color="auto"/>
        <w:right w:val="none" w:sz="0" w:space="0" w:color="auto"/>
      </w:divBdr>
    </w:div>
    <w:div w:id="1126659742">
      <w:bodyDiv w:val="1"/>
      <w:marLeft w:val="0"/>
      <w:marRight w:val="0"/>
      <w:marTop w:val="0"/>
      <w:marBottom w:val="0"/>
      <w:divBdr>
        <w:top w:val="none" w:sz="0" w:space="0" w:color="auto"/>
        <w:left w:val="none" w:sz="0" w:space="0" w:color="auto"/>
        <w:bottom w:val="none" w:sz="0" w:space="0" w:color="auto"/>
        <w:right w:val="none" w:sz="0" w:space="0" w:color="auto"/>
      </w:divBdr>
    </w:div>
    <w:div w:id="1153374080">
      <w:bodyDiv w:val="1"/>
      <w:marLeft w:val="0"/>
      <w:marRight w:val="0"/>
      <w:marTop w:val="0"/>
      <w:marBottom w:val="0"/>
      <w:divBdr>
        <w:top w:val="none" w:sz="0" w:space="0" w:color="auto"/>
        <w:left w:val="none" w:sz="0" w:space="0" w:color="auto"/>
        <w:bottom w:val="none" w:sz="0" w:space="0" w:color="auto"/>
        <w:right w:val="none" w:sz="0" w:space="0" w:color="auto"/>
      </w:divBdr>
    </w:div>
    <w:div w:id="1155608731">
      <w:bodyDiv w:val="1"/>
      <w:marLeft w:val="0"/>
      <w:marRight w:val="0"/>
      <w:marTop w:val="0"/>
      <w:marBottom w:val="0"/>
      <w:divBdr>
        <w:top w:val="none" w:sz="0" w:space="0" w:color="auto"/>
        <w:left w:val="none" w:sz="0" w:space="0" w:color="auto"/>
        <w:bottom w:val="none" w:sz="0" w:space="0" w:color="auto"/>
        <w:right w:val="none" w:sz="0" w:space="0" w:color="auto"/>
      </w:divBdr>
    </w:div>
    <w:div w:id="1171025680">
      <w:bodyDiv w:val="1"/>
      <w:marLeft w:val="0"/>
      <w:marRight w:val="0"/>
      <w:marTop w:val="0"/>
      <w:marBottom w:val="0"/>
      <w:divBdr>
        <w:top w:val="none" w:sz="0" w:space="0" w:color="auto"/>
        <w:left w:val="none" w:sz="0" w:space="0" w:color="auto"/>
        <w:bottom w:val="none" w:sz="0" w:space="0" w:color="auto"/>
        <w:right w:val="none" w:sz="0" w:space="0" w:color="auto"/>
      </w:divBdr>
    </w:div>
    <w:div w:id="1206719826">
      <w:bodyDiv w:val="1"/>
      <w:marLeft w:val="0"/>
      <w:marRight w:val="0"/>
      <w:marTop w:val="0"/>
      <w:marBottom w:val="0"/>
      <w:divBdr>
        <w:top w:val="none" w:sz="0" w:space="0" w:color="auto"/>
        <w:left w:val="none" w:sz="0" w:space="0" w:color="auto"/>
        <w:bottom w:val="none" w:sz="0" w:space="0" w:color="auto"/>
        <w:right w:val="none" w:sz="0" w:space="0" w:color="auto"/>
      </w:divBdr>
    </w:div>
    <w:div w:id="1220674039">
      <w:bodyDiv w:val="1"/>
      <w:marLeft w:val="0"/>
      <w:marRight w:val="0"/>
      <w:marTop w:val="0"/>
      <w:marBottom w:val="0"/>
      <w:divBdr>
        <w:top w:val="none" w:sz="0" w:space="0" w:color="auto"/>
        <w:left w:val="none" w:sz="0" w:space="0" w:color="auto"/>
        <w:bottom w:val="none" w:sz="0" w:space="0" w:color="auto"/>
        <w:right w:val="none" w:sz="0" w:space="0" w:color="auto"/>
      </w:divBdr>
    </w:div>
    <w:div w:id="1227960003">
      <w:bodyDiv w:val="1"/>
      <w:marLeft w:val="0"/>
      <w:marRight w:val="0"/>
      <w:marTop w:val="0"/>
      <w:marBottom w:val="0"/>
      <w:divBdr>
        <w:top w:val="none" w:sz="0" w:space="0" w:color="auto"/>
        <w:left w:val="none" w:sz="0" w:space="0" w:color="auto"/>
        <w:bottom w:val="none" w:sz="0" w:space="0" w:color="auto"/>
        <w:right w:val="none" w:sz="0" w:space="0" w:color="auto"/>
      </w:divBdr>
    </w:div>
    <w:div w:id="1251038833">
      <w:bodyDiv w:val="1"/>
      <w:marLeft w:val="0"/>
      <w:marRight w:val="0"/>
      <w:marTop w:val="0"/>
      <w:marBottom w:val="0"/>
      <w:divBdr>
        <w:top w:val="none" w:sz="0" w:space="0" w:color="auto"/>
        <w:left w:val="none" w:sz="0" w:space="0" w:color="auto"/>
        <w:bottom w:val="none" w:sz="0" w:space="0" w:color="auto"/>
        <w:right w:val="none" w:sz="0" w:space="0" w:color="auto"/>
      </w:divBdr>
    </w:div>
    <w:div w:id="1268847508">
      <w:bodyDiv w:val="1"/>
      <w:marLeft w:val="0"/>
      <w:marRight w:val="0"/>
      <w:marTop w:val="0"/>
      <w:marBottom w:val="0"/>
      <w:divBdr>
        <w:top w:val="none" w:sz="0" w:space="0" w:color="auto"/>
        <w:left w:val="none" w:sz="0" w:space="0" w:color="auto"/>
        <w:bottom w:val="none" w:sz="0" w:space="0" w:color="auto"/>
        <w:right w:val="none" w:sz="0" w:space="0" w:color="auto"/>
      </w:divBdr>
    </w:div>
    <w:div w:id="1276326797">
      <w:bodyDiv w:val="1"/>
      <w:marLeft w:val="0"/>
      <w:marRight w:val="0"/>
      <w:marTop w:val="0"/>
      <w:marBottom w:val="0"/>
      <w:divBdr>
        <w:top w:val="none" w:sz="0" w:space="0" w:color="auto"/>
        <w:left w:val="none" w:sz="0" w:space="0" w:color="auto"/>
        <w:bottom w:val="none" w:sz="0" w:space="0" w:color="auto"/>
        <w:right w:val="none" w:sz="0" w:space="0" w:color="auto"/>
      </w:divBdr>
    </w:div>
    <w:div w:id="1289430422">
      <w:bodyDiv w:val="1"/>
      <w:marLeft w:val="0"/>
      <w:marRight w:val="0"/>
      <w:marTop w:val="0"/>
      <w:marBottom w:val="0"/>
      <w:divBdr>
        <w:top w:val="none" w:sz="0" w:space="0" w:color="auto"/>
        <w:left w:val="none" w:sz="0" w:space="0" w:color="auto"/>
        <w:bottom w:val="none" w:sz="0" w:space="0" w:color="auto"/>
        <w:right w:val="none" w:sz="0" w:space="0" w:color="auto"/>
      </w:divBdr>
    </w:div>
    <w:div w:id="1294211571">
      <w:bodyDiv w:val="1"/>
      <w:marLeft w:val="0"/>
      <w:marRight w:val="0"/>
      <w:marTop w:val="0"/>
      <w:marBottom w:val="0"/>
      <w:divBdr>
        <w:top w:val="none" w:sz="0" w:space="0" w:color="auto"/>
        <w:left w:val="none" w:sz="0" w:space="0" w:color="auto"/>
        <w:bottom w:val="none" w:sz="0" w:space="0" w:color="auto"/>
        <w:right w:val="none" w:sz="0" w:space="0" w:color="auto"/>
      </w:divBdr>
    </w:div>
    <w:div w:id="1328511551">
      <w:bodyDiv w:val="1"/>
      <w:marLeft w:val="0"/>
      <w:marRight w:val="0"/>
      <w:marTop w:val="0"/>
      <w:marBottom w:val="0"/>
      <w:divBdr>
        <w:top w:val="none" w:sz="0" w:space="0" w:color="auto"/>
        <w:left w:val="none" w:sz="0" w:space="0" w:color="auto"/>
        <w:bottom w:val="none" w:sz="0" w:space="0" w:color="auto"/>
        <w:right w:val="none" w:sz="0" w:space="0" w:color="auto"/>
      </w:divBdr>
    </w:div>
    <w:div w:id="1337030599">
      <w:bodyDiv w:val="1"/>
      <w:marLeft w:val="0"/>
      <w:marRight w:val="0"/>
      <w:marTop w:val="0"/>
      <w:marBottom w:val="0"/>
      <w:divBdr>
        <w:top w:val="none" w:sz="0" w:space="0" w:color="auto"/>
        <w:left w:val="none" w:sz="0" w:space="0" w:color="auto"/>
        <w:bottom w:val="none" w:sz="0" w:space="0" w:color="auto"/>
        <w:right w:val="none" w:sz="0" w:space="0" w:color="auto"/>
      </w:divBdr>
    </w:div>
    <w:div w:id="1365521243">
      <w:bodyDiv w:val="1"/>
      <w:marLeft w:val="0"/>
      <w:marRight w:val="0"/>
      <w:marTop w:val="0"/>
      <w:marBottom w:val="0"/>
      <w:divBdr>
        <w:top w:val="none" w:sz="0" w:space="0" w:color="auto"/>
        <w:left w:val="none" w:sz="0" w:space="0" w:color="auto"/>
        <w:bottom w:val="none" w:sz="0" w:space="0" w:color="auto"/>
        <w:right w:val="none" w:sz="0" w:space="0" w:color="auto"/>
      </w:divBdr>
    </w:div>
    <w:div w:id="1366099865">
      <w:bodyDiv w:val="1"/>
      <w:marLeft w:val="0"/>
      <w:marRight w:val="0"/>
      <w:marTop w:val="0"/>
      <w:marBottom w:val="0"/>
      <w:divBdr>
        <w:top w:val="none" w:sz="0" w:space="0" w:color="auto"/>
        <w:left w:val="none" w:sz="0" w:space="0" w:color="auto"/>
        <w:bottom w:val="none" w:sz="0" w:space="0" w:color="auto"/>
        <w:right w:val="none" w:sz="0" w:space="0" w:color="auto"/>
      </w:divBdr>
    </w:div>
    <w:div w:id="1373578677">
      <w:bodyDiv w:val="1"/>
      <w:marLeft w:val="0"/>
      <w:marRight w:val="0"/>
      <w:marTop w:val="0"/>
      <w:marBottom w:val="0"/>
      <w:divBdr>
        <w:top w:val="none" w:sz="0" w:space="0" w:color="auto"/>
        <w:left w:val="none" w:sz="0" w:space="0" w:color="auto"/>
        <w:bottom w:val="none" w:sz="0" w:space="0" w:color="auto"/>
        <w:right w:val="none" w:sz="0" w:space="0" w:color="auto"/>
      </w:divBdr>
    </w:div>
    <w:div w:id="1385564403">
      <w:bodyDiv w:val="1"/>
      <w:marLeft w:val="0"/>
      <w:marRight w:val="0"/>
      <w:marTop w:val="0"/>
      <w:marBottom w:val="0"/>
      <w:divBdr>
        <w:top w:val="none" w:sz="0" w:space="0" w:color="auto"/>
        <w:left w:val="none" w:sz="0" w:space="0" w:color="auto"/>
        <w:bottom w:val="none" w:sz="0" w:space="0" w:color="auto"/>
        <w:right w:val="none" w:sz="0" w:space="0" w:color="auto"/>
      </w:divBdr>
    </w:div>
    <w:div w:id="1386027445">
      <w:bodyDiv w:val="1"/>
      <w:marLeft w:val="0"/>
      <w:marRight w:val="0"/>
      <w:marTop w:val="0"/>
      <w:marBottom w:val="0"/>
      <w:divBdr>
        <w:top w:val="none" w:sz="0" w:space="0" w:color="auto"/>
        <w:left w:val="none" w:sz="0" w:space="0" w:color="auto"/>
        <w:bottom w:val="none" w:sz="0" w:space="0" w:color="auto"/>
        <w:right w:val="none" w:sz="0" w:space="0" w:color="auto"/>
      </w:divBdr>
    </w:div>
    <w:div w:id="1390887451">
      <w:bodyDiv w:val="1"/>
      <w:marLeft w:val="0"/>
      <w:marRight w:val="0"/>
      <w:marTop w:val="0"/>
      <w:marBottom w:val="0"/>
      <w:divBdr>
        <w:top w:val="none" w:sz="0" w:space="0" w:color="auto"/>
        <w:left w:val="none" w:sz="0" w:space="0" w:color="auto"/>
        <w:bottom w:val="none" w:sz="0" w:space="0" w:color="auto"/>
        <w:right w:val="none" w:sz="0" w:space="0" w:color="auto"/>
      </w:divBdr>
    </w:div>
    <w:div w:id="1412965708">
      <w:bodyDiv w:val="1"/>
      <w:marLeft w:val="0"/>
      <w:marRight w:val="0"/>
      <w:marTop w:val="0"/>
      <w:marBottom w:val="0"/>
      <w:divBdr>
        <w:top w:val="none" w:sz="0" w:space="0" w:color="auto"/>
        <w:left w:val="none" w:sz="0" w:space="0" w:color="auto"/>
        <w:bottom w:val="none" w:sz="0" w:space="0" w:color="auto"/>
        <w:right w:val="none" w:sz="0" w:space="0" w:color="auto"/>
      </w:divBdr>
    </w:div>
    <w:div w:id="1420982280">
      <w:bodyDiv w:val="1"/>
      <w:marLeft w:val="0"/>
      <w:marRight w:val="0"/>
      <w:marTop w:val="0"/>
      <w:marBottom w:val="0"/>
      <w:divBdr>
        <w:top w:val="none" w:sz="0" w:space="0" w:color="auto"/>
        <w:left w:val="none" w:sz="0" w:space="0" w:color="auto"/>
        <w:bottom w:val="none" w:sz="0" w:space="0" w:color="auto"/>
        <w:right w:val="none" w:sz="0" w:space="0" w:color="auto"/>
      </w:divBdr>
    </w:div>
    <w:div w:id="1422026129">
      <w:bodyDiv w:val="1"/>
      <w:marLeft w:val="0"/>
      <w:marRight w:val="0"/>
      <w:marTop w:val="0"/>
      <w:marBottom w:val="0"/>
      <w:divBdr>
        <w:top w:val="none" w:sz="0" w:space="0" w:color="auto"/>
        <w:left w:val="none" w:sz="0" w:space="0" w:color="auto"/>
        <w:bottom w:val="none" w:sz="0" w:space="0" w:color="auto"/>
        <w:right w:val="none" w:sz="0" w:space="0" w:color="auto"/>
      </w:divBdr>
    </w:div>
    <w:div w:id="1430005961">
      <w:bodyDiv w:val="1"/>
      <w:marLeft w:val="0"/>
      <w:marRight w:val="0"/>
      <w:marTop w:val="0"/>
      <w:marBottom w:val="0"/>
      <w:divBdr>
        <w:top w:val="none" w:sz="0" w:space="0" w:color="auto"/>
        <w:left w:val="none" w:sz="0" w:space="0" w:color="auto"/>
        <w:bottom w:val="none" w:sz="0" w:space="0" w:color="auto"/>
        <w:right w:val="none" w:sz="0" w:space="0" w:color="auto"/>
      </w:divBdr>
    </w:div>
    <w:div w:id="1433090330">
      <w:bodyDiv w:val="1"/>
      <w:marLeft w:val="0"/>
      <w:marRight w:val="0"/>
      <w:marTop w:val="0"/>
      <w:marBottom w:val="0"/>
      <w:divBdr>
        <w:top w:val="none" w:sz="0" w:space="0" w:color="auto"/>
        <w:left w:val="none" w:sz="0" w:space="0" w:color="auto"/>
        <w:bottom w:val="none" w:sz="0" w:space="0" w:color="auto"/>
        <w:right w:val="none" w:sz="0" w:space="0" w:color="auto"/>
      </w:divBdr>
    </w:div>
    <w:div w:id="1444883533">
      <w:bodyDiv w:val="1"/>
      <w:marLeft w:val="0"/>
      <w:marRight w:val="0"/>
      <w:marTop w:val="0"/>
      <w:marBottom w:val="0"/>
      <w:divBdr>
        <w:top w:val="none" w:sz="0" w:space="0" w:color="auto"/>
        <w:left w:val="none" w:sz="0" w:space="0" w:color="auto"/>
        <w:bottom w:val="none" w:sz="0" w:space="0" w:color="auto"/>
        <w:right w:val="none" w:sz="0" w:space="0" w:color="auto"/>
      </w:divBdr>
    </w:div>
    <w:div w:id="1460612829">
      <w:bodyDiv w:val="1"/>
      <w:marLeft w:val="0"/>
      <w:marRight w:val="0"/>
      <w:marTop w:val="0"/>
      <w:marBottom w:val="0"/>
      <w:divBdr>
        <w:top w:val="none" w:sz="0" w:space="0" w:color="auto"/>
        <w:left w:val="none" w:sz="0" w:space="0" w:color="auto"/>
        <w:bottom w:val="none" w:sz="0" w:space="0" w:color="auto"/>
        <w:right w:val="none" w:sz="0" w:space="0" w:color="auto"/>
      </w:divBdr>
    </w:div>
    <w:div w:id="1479225136">
      <w:bodyDiv w:val="1"/>
      <w:marLeft w:val="0"/>
      <w:marRight w:val="0"/>
      <w:marTop w:val="0"/>
      <w:marBottom w:val="0"/>
      <w:divBdr>
        <w:top w:val="none" w:sz="0" w:space="0" w:color="auto"/>
        <w:left w:val="none" w:sz="0" w:space="0" w:color="auto"/>
        <w:bottom w:val="none" w:sz="0" w:space="0" w:color="auto"/>
        <w:right w:val="none" w:sz="0" w:space="0" w:color="auto"/>
      </w:divBdr>
    </w:div>
    <w:div w:id="1512405107">
      <w:bodyDiv w:val="1"/>
      <w:marLeft w:val="0"/>
      <w:marRight w:val="0"/>
      <w:marTop w:val="0"/>
      <w:marBottom w:val="0"/>
      <w:divBdr>
        <w:top w:val="none" w:sz="0" w:space="0" w:color="auto"/>
        <w:left w:val="none" w:sz="0" w:space="0" w:color="auto"/>
        <w:bottom w:val="none" w:sz="0" w:space="0" w:color="auto"/>
        <w:right w:val="none" w:sz="0" w:space="0" w:color="auto"/>
      </w:divBdr>
    </w:div>
    <w:div w:id="1517112721">
      <w:bodyDiv w:val="1"/>
      <w:marLeft w:val="0"/>
      <w:marRight w:val="0"/>
      <w:marTop w:val="0"/>
      <w:marBottom w:val="0"/>
      <w:divBdr>
        <w:top w:val="none" w:sz="0" w:space="0" w:color="auto"/>
        <w:left w:val="none" w:sz="0" w:space="0" w:color="auto"/>
        <w:bottom w:val="none" w:sz="0" w:space="0" w:color="auto"/>
        <w:right w:val="none" w:sz="0" w:space="0" w:color="auto"/>
      </w:divBdr>
    </w:div>
    <w:div w:id="1521310406">
      <w:bodyDiv w:val="1"/>
      <w:marLeft w:val="0"/>
      <w:marRight w:val="0"/>
      <w:marTop w:val="0"/>
      <w:marBottom w:val="0"/>
      <w:divBdr>
        <w:top w:val="none" w:sz="0" w:space="0" w:color="auto"/>
        <w:left w:val="none" w:sz="0" w:space="0" w:color="auto"/>
        <w:bottom w:val="none" w:sz="0" w:space="0" w:color="auto"/>
        <w:right w:val="none" w:sz="0" w:space="0" w:color="auto"/>
      </w:divBdr>
    </w:div>
    <w:div w:id="1524054499">
      <w:bodyDiv w:val="1"/>
      <w:marLeft w:val="0"/>
      <w:marRight w:val="0"/>
      <w:marTop w:val="0"/>
      <w:marBottom w:val="0"/>
      <w:divBdr>
        <w:top w:val="none" w:sz="0" w:space="0" w:color="auto"/>
        <w:left w:val="none" w:sz="0" w:space="0" w:color="auto"/>
        <w:bottom w:val="none" w:sz="0" w:space="0" w:color="auto"/>
        <w:right w:val="none" w:sz="0" w:space="0" w:color="auto"/>
      </w:divBdr>
    </w:div>
    <w:div w:id="1529488833">
      <w:bodyDiv w:val="1"/>
      <w:marLeft w:val="0"/>
      <w:marRight w:val="0"/>
      <w:marTop w:val="0"/>
      <w:marBottom w:val="0"/>
      <w:divBdr>
        <w:top w:val="none" w:sz="0" w:space="0" w:color="auto"/>
        <w:left w:val="none" w:sz="0" w:space="0" w:color="auto"/>
        <w:bottom w:val="none" w:sz="0" w:space="0" w:color="auto"/>
        <w:right w:val="none" w:sz="0" w:space="0" w:color="auto"/>
      </w:divBdr>
    </w:div>
    <w:div w:id="1583373237">
      <w:bodyDiv w:val="1"/>
      <w:marLeft w:val="0"/>
      <w:marRight w:val="0"/>
      <w:marTop w:val="0"/>
      <w:marBottom w:val="0"/>
      <w:divBdr>
        <w:top w:val="none" w:sz="0" w:space="0" w:color="auto"/>
        <w:left w:val="none" w:sz="0" w:space="0" w:color="auto"/>
        <w:bottom w:val="none" w:sz="0" w:space="0" w:color="auto"/>
        <w:right w:val="none" w:sz="0" w:space="0" w:color="auto"/>
      </w:divBdr>
    </w:div>
    <w:div w:id="1591500704">
      <w:bodyDiv w:val="1"/>
      <w:marLeft w:val="0"/>
      <w:marRight w:val="0"/>
      <w:marTop w:val="0"/>
      <w:marBottom w:val="0"/>
      <w:divBdr>
        <w:top w:val="none" w:sz="0" w:space="0" w:color="auto"/>
        <w:left w:val="none" w:sz="0" w:space="0" w:color="auto"/>
        <w:bottom w:val="none" w:sz="0" w:space="0" w:color="auto"/>
        <w:right w:val="none" w:sz="0" w:space="0" w:color="auto"/>
      </w:divBdr>
    </w:div>
    <w:div w:id="1597398399">
      <w:bodyDiv w:val="1"/>
      <w:marLeft w:val="0"/>
      <w:marRight w:val="0"/>
      <w:marTop w:val="0"/>
      <w:marBottom w:val="0"/>
      <w:divBdr>
        <w:top w:val="none" w:sz="0" w:space="0" w:color="auto"/>
        <w:left w:val="none" w:sz="0" w:space="0" w:color="auto"/>
        <w:bottom w:val="none" w:sz="0" w:space="0" w:color="auto"/>
        <w:right w:val="none" w:sz="0" w:space="0" w:color="auto"/>
      </w:divBdr>
    </w:div>
    <w:div w:id="1633244755">
      <w:bodyDiv w:val="1"/>
      <w:marLeft w:val="0"/>
      <w:marRight w:val="0"/>
      <w:marTop w:val="0"/>
      <w:marBottom w:val="0"/>
      <w:divBdr>
        <w:top w:val="none" w:sz="0" w:space="0" w:color="auto"/>
        <w:left w:val="none" w:sz="0" w:space="0" w:color="auto"/>
        <w:bottom w:val="none" w:sz="0" w:space="0" w:color="auto"/>
        <w:right w:val="none" w:sz="0" w:space="0" w:color="auto"/>
      </w:divBdr>
    </w:div>
    <w:div w:id="1660695137">
      <w:bodyDiv w:val="1"/>
      <w:marLeft w:val="0"/>
      <w:marRight w:val="0"/>
      <w:marTop w:val="0"/>
      <w:marBottom w:val="0"/>
      <w:divBdr>
        <w:top w:val="none" w:sz="0" w:space="0" w:color="auto"/>
        <w:left w:val="none" w:sz="0" w:space="0" w:color="auto"/>
        <w:bottom w:val="none" w:sz="0" w:space="0" w:color="auto"/>
        <w:right w:val="none" w:sz="0" w:space="0" w:color="auto"/>
      </w:divBdr>
    </w:div>
    <w:div w:id="1661233736">
      <w:bodyDiv w:val="1"/>
      <w:marLeft w:val="0"/>
      <w:marRight w:val="0"/>
      <w:marTop w:val="0"/>
      <w:marBottom w:val="0"/>
      <w:divBdr>
        <w:top w:val="none" w:sz="0" w:space="0" w:color="auto"/>
        <w:left w:val="none" w:sz="0" w:space="0" w:color="auto"/>
        <w:bottom w:val="none" w:sz="0" w:space="0" w:color="auto"/>
        <w:right w:val="none" w:sz="0" w:space="0" w:color="auto"/>
      </w:divBdr>
    </w:div>
    <w:div w:id="1668747550">
      <w:bodyDiv w:val="1"/>
      <w:marLeft w:val="0"/>
      <w:marRight w:val="0"/>
      <w:marTop w:val="0"/>
      <w:marBottom w:val="0"/>
      <w:divBdr>
        <w:top w:val="none" w:sz="0" w:space="0" w:color="auto"/>
        <w:left w:val="none" w:sz="0" w:space="0" w:color="auto"/>
        <w:bottom w:val="none" w:sz="0" w:space="0" w:color="auto"/>
        <w:right w:val="none" w:sz="0" w:space="0" w:color="auto"/>
      </w:divBdr>
    </w:div>
    <w:div w:id="1711877382">
      <w:bodyDiv w:val="1"/>
      <w:marLeft w:val="0"/>
      <w:marRight w:val="0"/>
      <w:marTop w:val="0"/>
      <w:marBottom w:val="0"/>
      <w:divBdr>
        <w:top w:val="none" w:sz="0" w:space="0" w:color="auto"/>
        <w:left w:val="none" w:sz="0" w:space="0" w:color="auto"/>
        <w:bottom w:val="none" w:sz="0" w:space="0" w:color="auto"/>
        <w:right w:val="none" w:sz="0" w:space="0" w:color="auto"/>
      </w:divBdr>
    </w:div>
    <w:div w:id="1800605440">
      <w:bodyDiv w:val="1"/>
      <w:marLeft w:val="0"/>
      <w:marRight w:val="0"/>
      <w:marTop w:val="0"/>
      <w:marBottom w:val="0"/>
      <w:divBdr>
        <w:top w:val="none" w:sz="0" w:space="0" w:color="auto"/>
        <w:left w:val="none" w:sz="0" w:space="0" w:color="auto"/>
        <w:bottom w:val="none" w:sz="0" w:space="0" w:color="auto"/>
        <w:right w:val="none" w:sz="0" w:space="0" w:color="auto"/>
      </w:divBdr>
    </w:div>
    <w:div w:id="1839533887">
      <w:bodyDiv w:val="1"/>
      <w:marLeft w:val="0"/>
      <w:marRight w:val="0"/>
      <w:marTop w:val="0"/>
      <w:marBottom w:val="0"/>
      <w:divBdr>
        <w:top w:val="none" w:sz="0" w:space="0" w:color="auto"/>
        <w:left w:val="none" w:sz="0" w:space="0" w:color="auto"/>
        <w:bottom w:val="none" w:sz="0" w:space="0" w:color="auto"/>
        <w:right w:val="none" w:sz="0" w:space="0" w:color="auto"/>
      </w:divBdr>
    </w:div>
    <w:div w:id="1842356157">
      <w:bodyDiv w:val="1"/>
      <w:marLeft w:val="0"/>
      <w:marRight w:val="0"/>
      <w:marTop w:val="0"/>
      <w:marBottom w:val="0"/>
      <w:divBdr>
        <w:top w:val="none" w:sz="0" w:space="0" w:color="auto"/>
        <w:left w:val="none" w:sz="0" w:space="0" w:color="auto"/>
        <w:bottom w:val="none" w:sz="0" w:space="0" w:color="auto"/>
        <w:right w:val="none" w:sz="0" w:space="0" w:color="auto"/>
      </w:divBdr>
    </w:div>
    <w:div w:id="1847667626">
      <w:bodyDiv w:val="1"/>
      <w:marLeft w:val="0"/>
      <w:marRight w:val="0"/>
      <w:marTop w:val="0"/>
      <w:marBottom w:val="0"/>
      <w:divBdr>
        <w:top w:val="none" w:sz="0" w:space="0" w:color="auto"/>
        <w:left w:val="none" w:sz="0" w:space="0" w:color="auto"/>
        <w:bottom w:val="none" w:sz="0" w:space="0" w:color="auto"/>
        <w:right w:val="none" w:sz="0" w:space="0" w:color="auto"/>
      </w:divBdr>
    </w:div>
    <w:div w:id="1856531335">
      <w:bodyDiv w:val="1"/>
      <w:marLeft w:val="0"/>
      <w:marRight w:val="0"/>
      <w:marTop w:val="0"/>
      <w:marBottom w:val="0"/>
      <w:divBdr>
        <w:top w:val="none" w:sz="0" w:space="0" w:color="auto"/>
        <w:left w:val="none" w:sz="0" w:space="0" w:color="auto"/>
        <w:bottom w:val="none" w:sz="0" w:space="0" w:color="auto"/>
        <w:right w:val="none" w:sz="0" w:space="0" w:color="auto"/>
      </w:divBdr>
    </w:div>
    <w:div w:id="1894585668">
      <w:bodyDiv w:val="1"/>
      <w:marLeft w:val="0"/>
      <w:marRight w:val="0"/>
      <w:marTop w:val="0"/>
      <w:marBottom w:val="0"/>
      <w:divBdr>
        <w:top w:val="none" w:sz="0" w:space="0" w:color="auto"/>
        <w:left w:val="none" w:sz="0" w:space="0" w:color="auto"/>
        <w:bottom w:val="none" w:sz="0" w:space="0" w:color="auto"/>
        <w:right w:val="none" w:sz="0" w:space="0" w:color="auto"/>
      </w:divBdr>
    </w:div>
    <w:div w:id="1944995436">
      <w:bodyDiv w:val="1"/>
      <w:marLeft w:val="0"/>
      <w:marRight w:val="0"/>
      <w:marTop w:val="0"/>
      <w:marBottom w:val="0"/>
      <w:divBdr>
        <w:top w:val="none" w:sz="0" w:space="0" w:color="auto"/>
        <w:left w:val="none" w:sz="0" w:space="0" w:color="auto"/>
        <w:bottom w:val="none" w:sz="0" w:space="0" w:color="auto"/>
        <w:right w:val="none" w:sz="0" w:space="0" w:color="auto"/>
      </w:divBdr>
    </w:div>
    <w:div w:id="2000838388">
      <w:bodyDiv w:val="1"/>
      <w:marLeft w:val="0"/>
      <w:marRight w:val="0"/>
      <w:marTop w:val="0"/>
      <w:marBottom w:val="0"/>
      <w:divBdr>
        <w:top w:val="none" w:sz="0" w:space="0" w:color="auto"/>
        <w:left w:val="none" w:sz="0" w:space="0" w:color="auto"/>
        <w:bottom w:val="none" w:sz="0" w:space="0" w:color="auto"/>
        <w:right w:val="none" w:sz="0" w:space="0" w:color="auto"/>
      </w:divBdr>
    </w:div>
    <w:div w:id="2004160721">
      <w:bodyDiv w:val="1"/>
      <w:marLeft w:val="0"/>
      <w:marRight w:val="0"/>
      <w:marTop w:val="0"/>
      <w:marBottom w:val="0"/>
      <w:divBdr>
        <w:top w:val="none" w:sz="0" w:space="0" w:color="auto"/>
        <w:left w:val="none" w:sz="0" w:space="0" w:color="auto"/>
        <w:bottom w:val="none" w:sz="0" w:space="0" w:color="auto"/>
        <w:right w:val="none" w:sz="0" w:space="0" w:color="auto"/>
      </w:divBdr>
    </w:div>
    <w:div w:id="2045865217">
      <w:bodyDiv w:val="1"/>
      <w:marLeft w:val="0"/>
      <w:marRight w:val="0"/>
      <w:marTop w:val="0"/>
      <w:marBottom w:val="0"/>
      <w:divBdr>
        <w:top w:val="none" w:sz="0" w:space="0" w:color="auto"/>
        <w:left w:val="none" w:sz="0" w:space="0" w:color="auto"/>
        <w:bottom w:val="none" w:sz="0" w:space="0" w:color="auto"/>
        <w:right w:val="none" w:sz="0" w:space="0" w:color="auto"/>
      </w:divBdr>
    </w:div>
    <w:div w:id="2073460548">
      <w:bodyDiv w:val="1"/>
      <w:marLeft w:val="0"/>
      <w:marRight w:val="0"/>
      <w:marTop w:val="0"/>
      <w:marBottom w:val="0"/>
      <w:divBdr>
        <w:top w:val="none" w:sz="0" w:space="0" w:color="auto"/>
        <w:left w:val="none" w:sz="0" w:space="0" w:color="auto"/>
        <w:bottom w:val="none" w:sz="0" w:space="0" w:color="auto"/>
        <w:right w:val="none" w:sz="0" w:space="0" w:color="auto"/>
      </w:divBdr>
    </w:div>
    <w:div w:id="2086488274">
      <w:bodyDiv w:val="1"/>
      <w:marLeft w:val="0"/>
      <w:marRight w:val="0"/>
      <w:marTop w:val="0"/>
      <w:marBottom w:val="0"/>
      <w:divBdr>
        <w:top w:val="none" w:sz="0" w:space="0" w:color="auto"/>
        <w:left w:val="none" w:sz="0" w:space="0" w:color="auto"/>
        <w:bottom w:val="none" w:sz="0" w:space="0" w:color="auto"/>
        <w:right w:val="none" w:sz="0" w:space="0" w:color="auto"/>
      </w:divBdr>
    </w:div>
    <w:div w:id="2087529007">
      <w:bodyDiv w:val="1"/>
      <w:marLeft w:val="0"/>
      <w:marRight w:val="0"/>
      <w:marTop w:val="0"/>
      <w:marBottom w:val="0"/>
      <w:divBdr>
        <w:top w:val="none" w:sz="0" w:space="0" w:color="auto"/>
        <w:left w:val="none" w:sz="0" w:space="0" w:color="auto"/>
        <w:bottom w:val="none" w:sz="0" w:space="0" w:color="auto"/>
        <w:right w:val="none" w:sz="0" w:space="0" w:color="auto"/>
      </w:divBdr>
    </w:div>
    <w:div w:id="2112623878">
      <w:bodyDiv w:val="1"/>
      <w:marLeft w:val="0"/>
      <w:marRight w:val="0"/>
      <w:marTop w:val="0"/>
      <w:marBottom w:val="0"/>
      <w:divBdr>
        <w:top w:val="none" w:sz="0" w:space="0" w:color="auto"/>
        <w:left w:val="none" w:sz="0" w:space="0" w:color="auto"/>
        <w:bottom w:val="none" w:sz="0" w:space="0" w:color="auto"/>
        <w:right w:val="none" w:sz="0" w:space="0" w:color="auto"/>
      </w:divBdr>
    </w:div>
    <w:div w:id="2113016194">
      <w:bodyDiv w:val="1"/>
      <w:marLeft w:val="0"/>
      <w:marRight w:val="0"/>
      <w:marTop w:val="0"/>
      <w:marBottom w:val="0"/>
      <w:divBdr>
        <w:top w:val="none" w:sz="0" w:space="0" w:color="auto"/>
        <w:left w:val="none" w:sz="0" w:space="0" w:color="auto"/>
        <w:bottom w:val="none" w:sz="0" w:space="0" w:color="auto"/>
        <w:right w:val="none" w:sz="0" w:space="0" w:color="auto"/>
      </w:divBdr>
    </w:div>
    <w:div w:id="212167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BD59C-B3B8-4157-9E26-824DC44F2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7175</Words>
  <Characters>40747</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47827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2014-12-18T20:48:00Z</dcterms:created>
  <dcterms:modified xsi:type="dcterms:W3CDTF">2014-12-18T20:48:00Z</dcterms:modified>
</cp:coreProperties>
</file>