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November 2014 PBAC Outcomes - 1st time decisions not to recommend"/>
      </w:tblPr>
      <w:tblGrid>
        <w:gridCol w:w="2694"/>
        <w:gridCol w:w="2409"/>
        <w:gridCol w:w="3261"/>
        <w:gridCol w:w="6947"/>
      </w:tblGrid>
      <w:tr w:rsidR="00987FDA" w:rsidRPr="00F609BF" w:rsidTr="00257615">
        <w:trPr>
          <w:tblHeader/>
        </w:trPr>
        <w:tc>
          <w:tcPr>
            <w:tcW w:w="2694" w:type="dxa"/>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4D72CE" w:rsidRPr="00395B97" w:rsidTr="00257615">
        <w:trPr>
          <w:cantSplit/>
          <w:trHeight w:val="896"/>
        </w:trPr>
        <w:tc>
          <w:tcPr>
            <w:tcW w:w="2694" w:type="dxa"/>
            <w:vMerge w:val="restart"/>
            <w:tcMar>
              <w:top w:w="28" w:type="dxa"/>
              <w:bottom w:w="28" w:type="dxa"/>
            </w:tcMar>
          </w:tcPr>
          <w:p w:rsidR="004D72CE" w:rsidRPr="00927BAA" w:rsidRDefault="004D72CE" w:rsidP="00335779">
            <w:pPr>
              <w:rPr>
                <w:rFonts w:ascii="Arial" w:hAnsi="Arial" w:cs="Arial"/>
                <w:b/>
              </w:rPr>
            </w:pPr>
            <w:r w:rsidRPr="00927BAA">
              <w:rPr>
                <w:rFonts w:ascii="Arial" w:hAnsi="Arial" w:cs="Arial"/>
                <w:b/>
              </w:rPr>
              <w:t>ELOSULFASE ALFA</w:t>
            </w:r>
          </w:p>
          <w:p w:rsidR="004D72CE" w:rsidRDefault="004D72CE" w:rsidP="00335779">
            <w:pPr>
              <w:rPr>
                <w:rFonts w:ascii="Arial" w:hAnsi="Arial" w:cs="Arial"/>
              </w:rPr>
            </w:pPr>
            <w:r w:rsidRPr="004D72CE">
              <w:rPr>
                <w:rFonts w:ascii="Arial" w:hAnsi="Arial" w:cs="Arial"/>
              </w:rPr>
              <w:t>5 mg/5 mL injection, 5 mL vial</w:t>
            </w:r>
          </w:p>
          <w:p w:rsidR="004D72CE" w:rsidRPr="004D72CE" w:rsidRDefault="004D72CE" w:rsidP="00335779">
            <w:pPr>
              <w:rPr>
                <w:rFonts w:ascii="Arial" w:hAnsi="Arial" w:cs="Arial"/>
              </w:rPr>
            </w:pPr>
          </w:p>
          <w:p w:rsidR="004D72CE" w:rsidRDefault="004D72CE" w:rsidP="00335779">
            <w:pPr>
              <w:rPr>
                <w:rFonts w:ascii="Arial" w:hAnsi="Arial" w:cs="Arial"/>
              </w:rPr>
            </w:pPr>
            <w:proofErr w:type="spellStart"/>
            <w:r w:rsidRPr="004D72CE">
              <w:rPr>
                <w:rFonts w:ascii="Arial" w:hAnsi="Arial" w:cs="Arial"/>
              </w:rPr>
              <w:t>Vimizim</w:t>
            </w:r>
            <w:proofErr w:type="spellEnd"/>
            <w:r w:rsidRPr="004D72CE">
              <w:rPr>
                <w:rFonts w:ascii="Arial" w:hAnsi="Arial" w:cs="Arial"/>
              </w:rPr>
              <w:t>®</w:t>
            </w:r>
          </w:p>
          <w:p w:rsidR="004D72CE" w:rsidRPr="004D72CE" w:rsidRDefault="004D72CE" w:rsidP="00335779">
            <w:pPr>
              <w:rPr>
                <w:rFonts w:ascii="Arial" w:hAnsi="Arial" w:cs="Arial"/>
              </w:rPr>
            </w:pPr>
          </w:p>
          <w:p w:rsidR="004D72CE" w:rsidRDefault="004D72CE" w:rsidP="00335779">
            <w:pPr>
              <w:rPr>
                <w:rFonts w:ascii="Arial" w:hAnsi="Arial" w:cs="Arial"/>
              </w:rPr>
            </w:pPr>
            <w:proofErr w:type="spellStart"/>
            <w:r w:rsidRPr="004D72CE">
              <w:rPr>
                <w:rFonts w:ascii="Arial" w:hAnsi="Arial" w:cs="Arial"/>
              </w:rPr>
              <w:t>Biomarin</w:t>
            </w:r>
            <w:proofErr w:type="spellEnd"/>
            <w:r w:rsidRPr="004D72CE">
              <w:rPr>
                <w:rFonts w:ascii="Arial" w:hAnsi="Arial" w:cs="Arial"/>
              </w:rPr>
              <w:t xml:space="preserve"> Pharmaceuticals Australia Pty Ltd</w:t>
            </w:r>
          </w:p>
          <w:p w:rsidR="006072E8" w:rsidRDefault="006072E8" w:rsidP="00335779">
            <w:pPr>
              <w:rPr>
                <w:rFonts w:ascii="Arial" w:hAnsi="Arial" w:cs="Arial"/>
              </w:rPr>
            </w:pPr>
          </w:p>
          <w:p w:rsidR="006072E8" w:rsidRPr="006072E8" w:rsidRDefault="006072E8" w:rsidP="006072E8">
            <w:pPr>
              <w:rPr>
                <w:rFonts w:ascii="Arial" w:hAnsi="Arial" w:cs="Arial"/>
              </w:rPr>
            </w:pPr>
            <w:r w:rsidRPr="006072E8">
              <w:rPr>
                <w:rFonts w:ascii="Arial" w:hAnsi="Arial" w:cs="Arial"/>
              </w:rPr>
              <w:t>New listing</w:t>
            </w:r>
          </w:p>
          <w:p w:rsidR="006072E8" w:rsidRDefault="006072E8" w:rsidP="006072E8">
            <w:pPr>
              <w:rPr>
                <w:rFonts w:ascii="Arial" w:hAnsi="Arial" w:cs="Arial"/>
              </w:rPr>
            </w:pPr>
          </w:p>
          <w:p w:rsidR="006072E8" w:rsidRPr="006072E8" w:rsidRDefault="006072E8" w:rsidP="006072E8">
            <w:pPr>
              <w:rPr>
                <w:rFonts w:ascii="Arial" w:hAnsi="Arial" w:cs="Arial"/>
              </w:rPr>
            </w:pPr>
            <w:r w:rsidRPr="006072E8">
              <w:rPr>
                <w:rFonts w:ascii="Arial" w:hAnsi="Arial" w:cs="Arial"/>
              </w:rPr>
              <w:t>(Major submission)</w:t>
            </w:r>
          </w:p>
          <w:p w:rsidR="006072E8" w:rsidRPr="00395B97" w:rsidRDefault="006072E8" w:rsidP="00335779">
            <w:pPr>
              <w:rPr>
                <w:rFonts w:ascii="Arial" w:hAnsi="Arial" w:cs="Arial"/>
              </w:rPr>
            </w:pPr>
          </w:p>
        </w:tc>
        <w:tc>
          <w:tcPr>
            <w:tcW w:w="2409" w:type="dxa"/>
            <w:vMerge w:val="restart"/>
          </w:tcPr>
          <w:p w:rsidR="004D72CE" w:rsidRPr="004D72CE" w:rsidRDefault="004D72CE" w:rsidP="00335779">
            <w:pPr>
              <w:rPr>
                <w:rFonts w:ascii="Arial" w:hAnsi="Arial" w:cs="Arial"/>
              </w:rPr>
            </w:pPr>
            <w:proofErr w:type="spellStart"/>
            <w:r w:rsidRPr="004D72CE">
              <w:rPr>
                <w:rFonts w:ascii="Arial" w:hAnsi="Arial" w:cs="Arial"/>
              </w:rPr>
              <w:t>Mucopolysaccharidosis</w:t>
            </w:r>
            <w:proofErr w:type="spellEnd"/>
          </w:p>
          <w:p w:rsidR="004D72CE" w:rsidRPr="00395B97" w:rsidRDefault="004D72CE" w:rsidP="00335779">
            <w:pPr>
              <w:rPr>
                <w:rFonts w:ascii="Arial" w:hAnsi="Arial" w:cs="Arial"/>
              </w:rPr>
            </w:pPr>
            <w:r w:rsidRPr="004D72CE">
              <w:rPr>
                <w:rFonts w:ascii="Arial" w:hAnsi="Arial" w:cs="Arial"/>
              </w:rPr>
              <w:t>type IVA</w:t>
            </w:r>
          </w:p>
        </w:tc>
        <w:tc>
          <w:tcPr>
            <w:tcW w:w="3261" w:type="dxa"/>
            <w:tcMar>
              <w:top w:w="28" w:type="dxa"/>
              <w:bottom w:w="28" w:type="dxa"/>
            </w:tcMar>
          </w:tcPr>
          <w:p w:rsidR="004D72CE" w:rsidRPr="00395B97" w:rsidRDefault="004D72CE" w:rsidP="00DB42F5">
            <w:pPr>
              <w:jc w:val="both"/>
              <w:rPr>
                <w:rFonts w:ascii="Arial" w:hAnsi="Arial" w:cs="Arial"/>
              </w:rPr>
            </w:pPr>
            <w:r w:rsidRPr="004D72CE">
              <w:rPr>
                <w:rFonts w:ascii="Arial" w:hAnsi="Arial" w:cs="Arial"/>
              </w:rPr>
              <w:t xml:space="preserve">Section 100 </w:t>
            </w:r>
            <w:r w:rsidR="00DB42F5">
              <w:rPr>
                <w:rFonts w:ascii="Arial" w:hAnsi="Arial" w:cs="Arial"/>
              </w:rPr>
              <w:t>(Highly Specialised Drugs)</w:t>
            </w:r>
            <w:r w:rsidRPr="004D72CE">
              <w:rPr>
                <w:rFonts w:ascii="Arial" w:hAnsi="Arial" w:cs="Arial"/>
              </w:rPr>
              <w:t xml:space="preserve"> listing for the</w:t>
            </w:r>
            <w:r>
              <w:rPr>
                <w:rFonts w:ascii="Arial" w:hAnsi="Arial" w:cs="Arial"/>
              </w:rPr>
              <w:t xml:space="preserve"> treatment of </w:t>
            </w:r>
            <w:proofErr w:type="spellStart"/>
            <w:r w:rsidRPr="004D72CE">
              <w:rPr>
                <w:rFonts w:ascii="Arial" w:hAnsi="Arial" w:cs="Arial"/>
              </w:rPr>
              <w:t>mucopolysaccharidosis</w:t>
            </w:r>
            <w:proofErr w:type="spellEnd"/>
            <w:r w:rsidRPr="004D72CE">
              <w:rPr>
                <w:rFonts w:ascii="Arial" w:hAnsi="Arial" w:cs="Arial"/>
              </w:rPr>
              <w:t xml:space="preserve"> type IVA in</w:t>
            </w:r>
            <w:r>
              <w:rPr>
                <w:rFonts w:ascii="Arial" w:hAnsi="Arial" w:cs="Arial"/>
              </w:rPr>
              <w:t xml:space="preserve"> </w:t>
            </w:r>
            <w:r w:rsidRPr="004D72CE">
              <w:rPr>
                <w:rFonts w:ascii="Arial" w:hAnsi="Arial" w:cs="Arial"/>
              </w:rPr>
              <w:t>patients who meet certain criteria.</w:t>
            </w:r>
          </w:p>
        </w:tc>
        <w:tc>
          <w:tcPr>
            <w:tcW w:w="6947" w:type="dxa"/>
          </w:tcPr>
          <w:p w:rsidR="00E12041" w:rsidRPr="00E12041" w:rsidRDefault="00E12041" w:rsidP="00E12041">
            <w:pPr>
              <w:pStyle w:val="ListParagraph"/>
              <w:ind w:left="35" w:hanging="35"/>
              <w:rPr>
                <w:rFonts w:ascii="Arial" w:hAnsi="Arial" w:cs="Arial"/>
                <w:iCs/>
                <w:sz w:val="20"/>
                <w:szCs w:val="20"/>
              </w:rPr>
            </w:pPr>
            <w:r w:rsidRPr="00E12041">
              <w:rPr>
                <w:rFonts w:ascii="Arial" w:hAnsi="Arial" w:cs="Arial"/>
                <w:iCs/>
                <w:sz w:val="20"/>
                <w:szCs w:val="20"/>
              </w:rPr>
              <w:t xml:space="preserve">The PBAC rejected the submission to list </w:t>
            </w:r>
            <w:proofErr w:type="spellStart"/>
            <w:r w:rsidRPr="00E12041">
              <w:rPr>
                <w:rFonts w:ascii="Arial" w:hAnsi="Arial" w:cs="Arial"/>
                <w:iCs/>
                <w:sz w:val="20"/>
                <w:szCs w:val="20"/>
              </w:rPr>
              <w:t>elosulfase</w:t>
            </w:r>
            <w:proofErr w:type="spellEnd"/>
            <w:r w:rsidRPr="00E12041">
              <w:rPr>
                <w:rFonts w:ascii="Arial" w:hAnsi="Arial" w:cs="Arial"/>
                <w:iCs/>
                <w:sz w:val="20"/>
                <w:szCs w:val="20"/>
              </w:rPr>
              <w:t xml:space="preserve"> </w:t>
            </w:r>
            <w:proofErr w:type="spellStart"/>
            <w:r w:rsidRPr="00E12041">
              <w:rPr>
                <w:rFonts w:ascii="Arial" w:hAnsi="Arial" w:cs="Arial"/>
                <w:iCs/>
                <w:sz w:val="20"/>
                <w:szCs w:val="20"/>
              </w:rPr>
              <w:t>alfa</w:t>
            </w:r>
            <w:proofErr w:type="spellEnd"/>
            <w:r w:rsidRPr="00E12041">
              <w:rPr>
                <w:rFonts w:ascii="Arial" w:hAnsi="Arial" w:cs="Arial"/>
                <w:iCs/>
                <w:sz w:val="20"/>
                <w:szCs w:val="20"/>
              </w:rPr>
              <w:t xml:space="preserve"> on the PBS as a Section 100 (Highly Specialised Drugs Program) benefit on the basis that a clear clinically significant clinical benefit with </w:t>
            </w:r>
            <w:proofErr w:type="spellStart"/>
            <w:r w:rsidRPr="00E12041">
              <w:rPr>
                <w:rFonts w:ascii="Arial" w:hAnsi="Arial" w:cs="Arial"/>
                <w:iCs/>
                <w:sz w:val="20"/>
                <w:szCs w:val="20"/>
              </w:rPr>
              <w:t>elosulfase</w:t>
            </w:r>
            <w:proofErr w:type="spellEnd"/>
            <w:r w:rsidRPr="00E12041">
              <w:rPr>
                <w:rFonts w:ascii="Arial" w:hAnsi="Arial" w:cs="Arial"/>
                <w:iCs/>
                <w:sz w:val="20"/>
                <w:szCs w:val="20"/>
              </w:rPr>
              <w:t xml:space="preserve"> </w:t>
            </w:r>
            <w:proofErr w:type="spellStart"/>
            <w:r w:rsidRPr="00E12041">
              <w:rPr>
                <w:rFonts w:ascii="Arial" w:hAnsi="Arial" w:cs="Arial"/>
                <w:iCs/>
                <w:sz w:val="20"/>
                <w:szCs w:val="20"/>
              </w:rPr>
              <w:t>alfa</w:t>
            </w:r>
            <w:proofErr w:type="spellEnd"/>
            <w:r w:rsidRPr="00E12041">
              <w:rPr>
                <w:rFonts w:ascii="Arial" w:hAnsi="Arial" w:cs="Arial"/>
                <w:iCs/>
                <w:sz w:val="20"/>
                <w:szCs w:val="20"/>
              </w:rPr>
              <w:t xml:space="preserve"> treatment had not been demonstrated and on the basis that the estimated incremental cost/QALY gained with </w:t>
            </w:r>
            <w:proofErr w:type="spellStart"/>
            <w:r w:rsidRPr="00E12041">
              <w:rPr>
                <w:rFonts w:ascii="Arial" w:hAnsi="Arial" w:cs="Arial"/>
                <w:iCs/>
                <w:sz w:val="20"/>
                <w:szCs w:val="20"/>
              </w:rPr>
              <w:t>elosulfase</w:t>
            </w:r>
            <w:proofErr w:type="spellEnd"/>
            <w:r w:rsidRPr="00E12041">
              <w:rPr>
                <w:rFonts w:ascii="Arial" w:hAnsi="Arial" w:cs="Arial"/>
                <w:iCs/>
                <w:sz w:val="20"/>
                <w:szCs w:val="20"/>
              </w:rPr>
              <w:t xml:space="preserve"> </w:t>
            </w:r>
            <w:proofErr w:type="spellStart"/>
            <w:r w:rsidRPr="00E12041">
              <w:rPr>
                <w:rFonts w:ascii="Arial" w:hAnsi="Arial" w:cs="Arial"/>
                <w:iCs/>
                <w:sz w:val="20"/>
                <w:szCs w:val="20"/>
              </w:rPr>
              <w:t>alfa</w:t>
            </w:r>
            <w:proofErr w:type="spellEnd"/>
            <w:r w:rsidRPr="00E12041">
              <w:rPr>
                <w:rFonts w:ascii="Arial" w:hAnsi="Arial" w:cs="Arial"/>
                <w:iCs/>
                <w:sz w:val="20"/>
                <w:szCs w:val="20"/>
              </w:rPr>
              <w:t xml:space="preserve"> treatment was unreliable but also unacceptably high.</w:t>
            </w:r>
          </w:p>
          <w:p w:rsidR="00E12041" w:rsidRPr="00E12041" w:rsidRDefault="00E12041" w:rsidP="00E12041">
            <w:pPr>
              <w:pStyle w:val="ListParagraph"/>
              <w:ind w:left="35" w:hanging="35"/>
              <w:rPr>
                <w:rFonts w:ascii="Arial" w:hAnsi="Arial" w:cs="Arial"/>
                <w:iCs/>
                <w:sz w:val="20"/>
                <w:szCs w:val="20"/>
              </w:rPr>
            </w:pPr>
          </w:p>
          <w:p w:rsidR="00E12041" w:rsidRPr="00E12041" w:rsidRDefault="00E12041" w:rsidP="00E12041">
            <w:pPr>
              <w:pStyle w:val="ListParagraph"/>
              <w:ind w:left="35" w:hanging="35"/>
              <w:rPr>
                <w:rFonts w:ascii="Arial" w:hAnsi="Arial" w:cs="Arial"/>
                <w:iCs/>
                <w:sz w:val="20"/>
                <w:szCs w:val="20"/>
              </w:rPr>
            </w:pPr>
            <w:r w:rsidRPr="00E12041">
              <w:rPr>
                <w:rFonts w:ascii="Arial" w:hAnsi="Arial" w:cs="Arial"/>
                <w:iCs/>
                <w:sz w:val="20"/>
                <w:szCs w:val="20"/>
              </w:rPr>
              <w:t>On the basis of direct evidence presented by the submission, a p</w:t>
            </w:r>
            <w:r w:rsidR="00DB42F5">
              <w:rPr>
                <w:rFonts w:ascii="Arial" w:hAnsi="Arial" w:cs="Arial"/>
                <w:iCs/>
                <w:sz w:val="20"/>
                <w:szCs w:val="20"/>
              </w:rPr>
              <w:t>atient</w:t>
            </w:r>
            <w:r w:rsidRPr="00E12041">
              <w:rPr>
                <w:rFonts w:ascii="Arial" w:hAnsi="Arial" w:cs="Arial"/>
                <w:iCs/>
                <w:sz w:val="20"/>
                <w:szCs w:val="20"/>
              </w:rPr>
              <w:t xml:space="preserve"> treated with </w:t>
            </w:r>
            <w:proofErr w:type="spellStart"/>
            <w:r w:rsidRPr="00E12041">
              <w:rPr>
                <w:rFonts w:ascii="Arial" w:hAnsi="Arial" w:cs="Arial"/>
                <w:iCs/>
                <w:sz w:val="20"/>
                <w:szCs w:val="20"/>
              </w:rPr>
              <w:t>elosulfase</w:t>
            </w:r>
            <w:proofErr w:type="spellEnd"/>
            <w:r w:rsidRPr="00E12041">
              <w:rPr>
                <w:rFonts w:ascii="Arial" w:hAnsi="Arial" w:cs="Arial"/>
                <w:iCs/>
                <w:sz w:val="20"/>
                <w:szCs w:val="20"/>
              </w:rPr>
              <w:t xml:space="preserve"> </w:t>
            </w:r>
            <w:proofErr w:type="spellStart"/>
            <w:r w:rsidRPr="00E12041">
              <w:rPr>
                <w:rFonts w:ascii="Arial" w:hAnsi="Arial" w:cs="Arial"/>
                <w:iCs/>
                <w:sz w:val="20"/>
                <w:szCs w:val="20"/>
              </w:rPr>
              <w:t>alfa</w:t>
            </w:r>
            <w:proofErr w:type="spellEnd"/>
            <w:r w:rsidRPr="00E12041">
              <w:rPr>
                <w:rFonts w:ascii="Arial" w:hAnsi="Arial" w:cs="Arial"/>
                <w:iCs/>
                <w:sz w:val="20"/>
                <w:szCs w:val="20"/>
              </w:rPr>
              <w:t xml:space="preserve"> compared to placebo could expect an average improvement of 22.5 metres from their baseline 6MWT distance</w:t>
            </w:r>
            <w:r w:rsidR="00CE7E6F">
              <w:rPr>
                <w:rFonts w:ascii="Arial" w:hAnsi="Arial" w:cs="Arial"/>
                <w:iCs/>
                <w:sz w:val="20"/>
                <w:szCs w:val="20"/>
              </w:rPr>
              <w:t xml:space="preserve"> (the distance able to be walked in 6 minutes)</w:t>
            </w:r>
            <w:r w:rsidRPr="00E12041">
              <w:rPr>
                <w:rFonts w:ascii="Arial" w:hAnsi="Arial" w:cs="Arial"/>
                <w:iCs/>
                <w:sz w:val="20"/>
                <w:szCs w:val="20"/>
              </w:rPr>
              <w:t>.  However, this improvement could be as low as 4 metres or as high as 41 metr</w:t>
            </w:r>
            <w:r w:rsidR="00F57843">
              <w:rPr>
                <w:rFonts w:ascii="Arial" w:hAnsi="Arial" w:cs="Arial"/>
                <w:iCs/>
                <w:sz w:val="20"/>
                <w:szCs w:val="20"/>
              </w:rPr>
              <w:t xml:space="preserve">es. A large number of patients </w:t>
            </w:r>
            <w:r w:rsidRPr="00E12041">
              <w:rPr>
                <w:rFonts w:ascii="Arial" w:hAnsi="Arial" w:cs="Arial"/>
                <w:iCs/>
                <w:sz w:val="20"/>
                <w:szCs w:val="20"/>
              </w:rPr>
              <w:t>are likely to experience an improvement of less than 20 metres.</w:t>
            </w:r>
          </w:p>
          <w:p w:rsidR="00E12041" w:rsidRPr="00E12041" w:rsidRDefault="00E12041" w:rsidP="00E12041">
            <w:pPr>
              <w:pStyle w:val="ListParagraph"/>
              <w:ind w:left="35" w:hanging="35"/>
              <w:rPr>
                <w:rFonts w:ascii="Arial" w:hAnsi="Arial" w:cs="Arial"/>
                <w:iCs/>
                <w:sz w:val="20"/>
                <w:szCs w:val="20"/>
              </w:rPr>
            </w:pPr>
          </w:p>
          <w:p w:rsidR="00E12041" w:rsidRPr="00E12041" w:rsidRDefault="00E12041" w:rsidP="00E12041">
            <w:pPr>
              <w:pStyle w:val="ListParagraph"/>
              <w:ind w:left="35" w:hanging="35"/>
              <w:rPr>
                <w:rFonts w:ascii="Arial" w:hAnsi="Arial" w:cs="Arial"/>
                <w:iCs/>
                <w:sz w:val="20"/>
                <w:szCs w:val="20"/>
              </w:rPr>
            </w:pPr>
            <w:r w:rsidRPr="00E12041">
              <w:rPr>
                <w:rFonts w:ascii="Arial" w:hAnsi="Arial" w:cs="Arial"/>
                <w:iCs/>
                <w:sz w:val="20"/>
                <w:szCs w:val="20"/>
              </w:rPr>
              <w:t xml:space="preserve">On the basis of direct evidence presented by the submission, for every 100 patients treated with </w:t>
            </w:r>
            <w:proofErr w:type="spellStart"/>
            <w:r w:rsidRPr="00E12041">
              <w:rPr>
                <w:rFonts w:ascii="Arial" w:hAnsi="Arial" w:cs="Arial"/>
                <w:iCs/>
                <w:sz w:val="20"/>
                <w:szCs w:val="20"/>
              </w:rPr>
              <w:t>elosulfase</w:t>
            </w:r>
            <w:proofErr w:type="spellEnd"/>
            <w:r w:rsidRPr="00E12041">
              <w:rPr>
                <w:rFonts w:ascii="Arial" w:hAnsi="Arial" w:cs="Arial"/>
                <w:iCs/>
                <w:sz w:val="20"/>
                <w:szCs w:val="20"/>
              </w:rPr>
              <w:t xml:space="preserve"> </w:t>
            </w:r>
            <w:proofErr w:type="spellStart"/>
            <w:r w:rsidRPr="00E12041">
              <w:rPr>
                <w:rFonts w:ascii="Arial" w:hAnsi="Arial" w:cs="Arial"/>
                <w:iCs/>
                <w:sz w:val="20"/>
                <w:szCs w:val="20"/>
              </w:rPr>
              <w:t>alfa</w:t>
            </w:r>
            <w:proofErr w:type="spellEnd"/>
            <w:r w:rsidRPr="00E12041">
              <w:rPr>
                <w:rFonts w:ascii="Arial" w:hAnsi="Arial" w:cs="Arial"/>
                <w:iCs/>
                <w:sz w:val="20"/>
                <w:szCs w:val="20"/>
              </w:rPr>
              <w:t xml:space="preserve"> in comparison to placebo for 24 weeks:</w:t>
            </w:r>
          </w:p>
          <w:p w:rsidR="00E12041" w:rsidRPr="00E42FB9" w:rsidRDefault="00E12041" w:rsidP="00E42FB9">
            <w:pPr>
              <w:pStyle w:val="ListParagraph"/>
              <w:numPr>
                <w:ilvl w:val="0"/>
                <w:numId w:val="38"/>
              </w:numPr>
              <w:ind w:left="177" w:hanging="177"/>
              <w:jc w:val="both"/>
              <w:rPr>
                <w:rFonts w:ascii="Arial" w:hAnsi="Arial" w:cs="Arial"/>
                <w:iCs/>
                <w:sz w:val="20"/>
                <w:szCs w:val="20"/>
              </w:rPr>
            </w:pPr>
            <w:r w:rsidRPr="00E42FB9">
              <w:rPr>
                <w:rFonts w:ascii="Arial" w:hAnsi="Arial" w:cs="Arial"/>
                <w:iCs/>
                <w:sz w:val="20"/>
                <w:szCs w:val="20"/>
              </w:rPr>
              <w:t xml:space="preserve">Approximately 12 additional patients will experience a serious adverse event. </w:t>
            </w:r>
          </w:p>
          <w:p w:rsidR="00E12041" w:rsidRPr="00E42FB9" w:rsidRDefault="00E12041"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 xml:space="preserve">Approximately 18 additional patients will experience a moderate to severe infusion associated reaction. </w:t>
            </w:r>
          </w:p>
          <w:p w:rsidR="00E12041" w:rsidRPr="00E42FB9" w:rsidRDefault="00E12041"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Approximately 19 additional patients will experience pyrexia.</w:t>
            </w:r>
          </w:p>
          <w:p w:rsidR="004D72CE" w:rsidRPr="00E42FB9" w:rsidRDefault="00E12041"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Approximately 24 additional patients will experience vomiting.</w:t>
            </w:r>
          </w:p>
          <w:p w:rsidR="00AE0CA2" w:rsidRPr="00395B97" w:rsidRDefault="00AE0CA2" w:rsidP="00E12041">
            <w:pPr>
              <w:pStyle w:val="ListParagraph"/>
              <w:ind w:left="35" w:hanging="35"/>
              <w:rPr>
                <w:rFonts w:ascii="Arial" w:hAnsi="Arial" w:cs="Arial"/>
                <w:iCs/>
                <w:sz w:val="20"/>
                <w:szCs w:val="20"/>
              </w:rPr>
            </w:pPr>
          </w:p>
        </w:tc>
      </w:tr>
      <w:tr w:rsidR="004D72CE" w:rsidRPr="00395B97" w:rsidTr="00257615">
        <w:trPr>
          <w:cantSplit/>
          <w:trHeight w:val="465"/>
        </w:trPr>
        <w:tc>
          <w:tcPr>
            <w:tcW w:w="2694" w:type="dxa"/>
            <w:vMerge/>
            <w:tcMar>
              <w:top w:w="28" w:type="dxa"/>
              <w:bottom w:w="28" w:type="dxa"/>
            </w:tcMar>
          </w:tcPr>
          <w:p w:rsidR="004D72CE" w:rsidRPr="00395B97" w:rsidRDefault="004D72CE" w:rsidP="00335779">
            <w:pPr>
              <w:rPr>
                <w:rFonts w:ascii="Arial" w:hAnsi="Arial" w:cs="Arial"/>
              </w:rPr>
            </w:pPr>
          </w:p>
        </w:tc>
        <w:tc>
          <w:tcPr>
            <w:tcW w:w="2409" w:type="dxa"/>
            <w:vMerge/>
          </w:tcPr>
          <w:p w:rsidR="004D72CE" w:rsidRPr="00395B97" w:rsidRDefault="004D72CE" w:rsidP="00335779">
            <w:pPr>
              <w:widowControl w:val="0"/>
              <w:rPr>
                <w:rFonts w:ascii="Arial" w:hAnsi="Arial" w:cs="Arial"/>
                <w:snapToGrid w:val="0"/>
                <w:lang w:eastAsia="en-US"/>
              </w:rPr>
            </w:pPr>
          </w:p>
        </w:tc>
        <w:tc>
          <w:tcPr>
            <w:tcW w:w="3261" w:type="dxa"/>
            <w:tcMar>
              <w:top w:w="28" w:type="dxa"/>
              <w:bottom w:w="28" w:type="dxa"/>
            </w:tcMar>
          </w:tcPr>
          <w:p w:rsidR="004D72CE" w:rsidRPr="00395B97" w:rsidRDefault="004D72CE"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4D72CE" w:rsidRDefault="00EA19A5" w:rsidP="00845DB3">
            <w:pPr>
              <w:pStyle w:val="ListParagraph"/>
              <w:ind w:left="0"/>
              <w:jc w:val="both"/>
              <w:rPr>
                <w:rFonts w:ascii="Arial" w:hAnsi="Arial" w:cs="Arial"/>
                <w:iCs/>
                <w:sz w:val="20"/>
                <w:szCs w:val="20"/>
              </w:rPr>
            </w:pPr>
            <w:proofErr w:type="spellStart"/>
            <w:r w:rsidRPr="00EA19A5">
              <w:rPr>
                <w:rFonts w:ascii="Arial" w:hAnsi="Arial" w:cs="Arial"/>
                <w:iCs/>
                <w:sz w:val="20"/>
                <w:szCs w:val="20"/>
              </w:rPr>
              <w:t>BioMarin</w:t>
            </w:r>
            <w:proofErr w:type="spellEnd"/>
            <w:r w:rsidRPr="00EA19A5">
              <w:rPr>
                <w:rFonts w:ascii="Arial" w:hAnsi="Arial" w:cs="Arial"/>
                <w:iCs/>
                <w:sz w:val="20"/>
                <w:szCs w:val="20"/>
              </w:rPr>
              <w:t xml:space="preserve"> is disappointed with the PBAC outcome and will continue to work with the PBAC to make </w:t>
            </w:r>
            <w:proofErr w:type="spellStart"/>
            <w:r w:rsidRPr="00EA19A5">
              <w:rPr>
                <w:rFonts w:ascii="Arial" w:hAnsi="Arial" w:cs="Arial"/>
                <w:iCs/>
                <w:sz w:val="20"/>
                <w:szCs w:val="20"/>
              </w:rPr>
              <w:t>elosulfase</w:t>
            </w:r>
            <w:proofErr w:type="spellEnd"/>
            <w:r w:rsidRPr="00EA19A5">
              <w:rPr>
                <w:rFonts w:ascii="Arial" w:hAnsi="Arial" w:cs="Arial"/>
                <w:iCs/>
                <w:sz w:val="20"/>
                <w:szCs w:val="20"/>
              </w:rPr>
              <w:t xml:space="preserve"> </w:t>
            </w:r>
            <w:proofErr w:type="spellStart"/>
            <w:r w:rsidRPr="00EA19A5">
              <w:rPr>
                <w:rFonts w:ascii="Arial" w:hAnsi="Arial" w:cs="Arial"/>
                <w:iCs/>
                <w:sz w:val="20"/>
                <w:szCs w:val="20"/>
              </w:rPr>
              <w:t>alfa</w:t>
            </w:r>
            <w:proofErr w:type="spellEnd"/>
            <w:r w:rsidRPr="00EA19A5">
              <w:rPr>
                <w:rFonts w:ascii="Arial" w:hAnsi="Arial" w:cs="Arial"/>
                <w:iCs/>
                <w:sz w:val="20"/>
                <w:szCs w:val="20"/>
              </w:rPr>
              <w:t xml:space="preserve"> available for patients with MPS IVA</w:t>
            </w:r>
          </w:p>
          <w:p w:rsidR="00EA19A5" w:rsidRPr="00395B97" w:rsidRDefault="00EA19A5" w:rsidP="00845DB3">
            <w:pPr>
              <w:pStyle w:val="ListParagraph"/>
              <w:ind w:left="0"/>
              <w:jc w:val="both"/>
              <w:rPr>
                <w:rFonts w:ascii="Arial" w:hAnsi="Arial" w:cs="Arial"/>
                <w:iCs/>
                <w:sz w:val="20"/>
                <w:szCs w:val="20"/>
              </w:rPr>
            </w:pPr>
          </w:p>
        </w:tc>
      </w:tr>
      <w:tr w:rsidR="00010379" w:rsidRPr="006F6D3E" w:rsidTr="00257615">
        <w:tc>
          <w:tcPr>
            <w:tcW w:w="2694" w:type="dxa"/>
            <w:vMerge w:val="restart"/>
            <w:tcMar>
              <w:top w:w="28" w:type="dxa"/>
              <w:bottom w:w="28" w:type="dxa"/>
            </w:tcMar>
          </w:tcPr>
          <w:p w:rsidR="00F43849" w:rsidRPr="00927BAA" w:rsidRDefault="00335779" w:rsidP="00927BAA">
            <w:pPr>
              <w:rPr>
                <w:rFonts w:ascii="Arial" w:hAnsi="Arial" w:cs="Arial"/>
                <w:b/>
              </w:rPr>
            </w:pPr>
            <w:r w:rsidRPr="00927BAA">
              <w:rPr>
                <w:rFonts w:ascii="Arial" w:hAnsi="Arial" w:cs="Arial"/>
                <w:b/>
              </w:rPr>
              <w:t>ELTROMBOPAG</w:t>
            </w:r>
          </w:p>
          <w:p w:rsidR="00F43849" w:rsidRPr="00F43849" w:rsidRDefault="00F43849" w:rsidP="00335779">
            <w:pPr>
              <w:widowControl w:val="0"/>
              <w:rPr>
                <w:rFonts w:ascii="Arial" w:hAnsi="Arial" w:cs="Arial"/>
                <w:snapToGrid w:val="0"/>
                <w:lang w:eastAsia="en-US"/>
              </w:rPr>
            </w:pPr>
            <w:r w:rsidRPr="00F43849">
              <w:rPr>
                <w:rFonts w:ascii="Arial" w:hAnsi="Arial" w:cs="Arial"/>
                <w:snapToGrid w:val="0"/>
                <w:lang w:eastAsia="en-US"/>
              </w:rPr>
              <w:t>tablets, 25 mg, 50 mg</w:t>
            </w:r>
          </w:p>
          <w:p w:rsidR="00F43849" w:rsidRPr="00F43849" w:rsidRDefault="00F43849" w:rsidP="00335779">
            <w:pPr>
              <w:widowControl w:val="0"/>
              <w:rPr>
                <w:rFonts w:ascii="Arial" w:hAnsi="Arial" w:cs="Arial"/>
                <w:snapToGrid w:val="0"/>
                <w:lang w:eastAsia="en-US"/>
              </w:rPr>
            </w:pPr>
          </w:p>
          <w:p w:rsidR="00F43849" w:rsidRPr="00F43849" w:rsidRDefault="00F43849" w:rsidP="00335779">
            <w:pPr>
              <w:widowControl w:val="0"/>
              <w:rPr>
                <w:rFonts w:ascii="Arial" w:hAnsi="Arial" w:cs="Arial"/>
                <w:snapToGrid w:val="0"/>
                <w:lang w:eastAsia="en-US"/>
              </w:rPr>
            </w:pPr>
            <w:r w:rsidRPr="00F43849">
              <w:rPr>
                <w:rFonts w:ascii="Arial" w:hAnsi="Arial" w:cs="Arial"/>
                <w:snapToGrid w:val="0"/>
                <w:lang w:eastAsia="en-US"/>
              </w:rPr>
              <w:t>Revolade</w:t>
            </w:r>
            <w:r w:rsidRPr="00F43849">
              <w:rPr>
                <w:rFonts w:ascii="Arial" w:hAnsi="Arial" w:cs="Arial"/>
                <w:snapToGrid w:val="0"/>
                <w:vertAlign w:val="superscript"/>
                <w:lang w:eastAsia="en-US"/>
              </w:rPr>
              <w:t>®</w:t>
            </w:r>
          </w:p>
          <w:p w:rsidR="00F43849" w:rsidRPr="00F43849" w:rsidRDefault="00F43849" w:rsidP="00335779">
            <w:pPr>
              <w:widowControl w:val="0"/>
              <w:rPr>
                <w:rFonts w:ascii="Arial" w:hAnsi="Arial" w:cs="Arial"/>
                <w:snapToGrid w:val="0"/>
                <w:lang w:eastAsia="en-US"/>
              </w:rPr>
            </w:pPr>
          </w:p>
          <w:p w:rsidR="00F43849" w:rsidRPr="00F43849" w:rsidRDefault="00F43849" w:rsidP="00335779">
            <w:pPr>
              <w:widowControl w:val="0"/>
              <w:rPr>
                <w:rFonts w:ascii="Arial" w:hAnsi="Arial" w:cs="Arial"/>
                <w:snapToGrid w:val="0"/>
                <w:lang w:eastAsia="en-US"/>
              </w:rPr>
            </w:pPr>
            <w:r w:rsidRPr="00F43849">
              <w:rPr>
                <w:rFonts w:ascii="Arial" w:hAnsi="Arial" w:cs="Arial"/>
                <w:snapToGrid w:val="0"/>
                <w:lang w:eastAsia="en-US"/>
              </w:rPr>
              <w:t>GlaxoSmithKline Australia Pty Ltd</w:t>
            </w:r>
          </w:p>
          <w:p w:rsidR="00010379" w:rsidRDefault="00010379" w:rsidP="00335779">
            <w:pPr>
              <w:widowControl w:val="0"/>
              <w:rPr>
                <w:rFonts w:ascii="Arial" w:hAnsi="Arial" w:cs="Arial"/>
                <w:snapToGrid w:val="0"/>
                <w:lang w:eastAsia="en-US"/>
              </w:rPr>
            </w:pPr>
          </w:p>
          <w:p w:rsidR="00F43849" w:rsidRDefault="00F43849" w:rsidP="00335779">
            <w:pPr>
              <w:widowControl w:val="0"/>
              <w:rPr>
                <w:rFonts w:ascii="Arial" w:hAnsi="Arial" w:cs="Arial"/>
                <w:snapToGrid w:val="0"/>
                <w:lang w:eastAsia="en-US"/>
              </w:rPr>
            </w:pPr>
            <w:r w:rsidRPr="00F43849">
              <w:rPr>
                <w:rFonts w:ascii="Arial" w:hAnsi="Arial" w:cs="Arial"/>
                <w:snapToGrid w:val="0"/>
                <w:lang w:eastAsia="en-US"/>
              </w:rPr>
              <w:t>Change to listing</w:t>
            </w:r>
          </w:p>
          <w:p w:rsidR="00B1462C" w:rsidRDefault="00B1462C" w:rsidP="00335779">
            <w:pPr>
              <w:widowControl w:val="0"/>
              <w:rPr>
                <w:rFonts w:ascii="Arial" w:hAnsi="Arial" w:cs="Arial"/>
                <w:snapToGrid w:val="0"/>
                <w:lang w:eastAsia="en-US"/>
              </w:rPr>
            </w:pPr>
          </w:p>
          <w:p w:rsidR="00F43849" w:rsidRPr="00395B97" w:rsidRDefault="00F43849" w:rsidP="00335779">
            <w:pPr>
              <w:widowControl w:val="0"/>
              <w:rPr>
                <w:rFonts w:ascii="Arial" w:hAnsi="Arial" w:cs="Arial"/>
                <w:snapToGrid w:val="0"/>
                <w:lang w:eastAsia="en-US"/>
              </w:rPr>
            </w:pPr>
            <w:r w:rsidRPr="00F43849">
              <w:rPr>
                <w:rFonts w:ascii="Arial" w:hAnsi="Arial" w:cs="Arial"/>
                <w:snapToGrid w:val="0"/>
                <w:lang w:eastAsia="en-US"/>
              </w:rPr>
              <w:t>(Minor submission)</w:t>
            </w:r>
          </w:p>
        </w:tc>
        <w:tc>
          <w:tcPr>
            <w:tcW w:w="2409" w:type="dxa"/>
            <w:vMerge w:val="restart"/>
            <w:tcMar>
              <w:top w:w="28" w:type="dxa"/>
              <w:bottom w:w="28" w:type="dxa"/>
            </w:tcMar>
          </w:tcPr>
          <w:p w:rsidR="00010379" w:rsidRPr="00395B97" w:rsidRDefault="00F43849" w:rsidP="00335779">
            <w:pPr>
              <w:widowControl w:val="0"/>
              <w:rPr>
                <w:rFonts w:ascii="Arial" w:hAnsi="Arial" w:cs="Arial"/>
                <w:snapToGrid w:val="0"/>
                <w:lang w:eastAsia="en-US"/>
              </w:rPr>
            </w:pPr>
            <w:r w:rsidRPr="00F43849">
              <w:rPr>
                <w:rFonts w:ascii="Arial" w:hAnsi="Arial" w:cs="Arial"/>
                <w:snapToGrid w:val="0"/>
                <w:lang w:eastAsia="en-US"/>
              </w:rPr>
              <w:lastRenderedPageBreak/>
              <w:t>Decreased platelet count</w:t>
            </w:r>
          </w:p>
        </w:tc>
        <w:tc>
          <w:tcPr>
            <w:tcW w:w="3261" w:type="dxa"/>
            <w:tcMar>
              <w:top w:w="28" w:type="dxa"/>
              <w:bottom w:w="28" w:type="dxa"/>
            </w:tcMar>
          </w:tcPr>
          <w:p w:rsidR="00010379" w:rsidRPr="00395B97" w:rsidRDefault="00F43849" w:rsidP="0065234B">
            <w:pPr>
              <w:widowControl w:val="0"/>
              <w:rPr>
                <w:rFonts w:ascii="Arial" w:hAnsi="Arial" w:cs="Arial"/>
              </w:rPr>
            </w:pPr>
            <w:r w:rsidRPr="00F43849">
              <w:rPr>
                <w:rFonts w:ascii="Arial" w:hAnsi="Arial" w:cs="Arial"/>
              </w:rPr>
              <w:t xml:space="preserve">Amend continuation restriction to allow continuation of treatment with eltrombopag in patients whose disease is stable and responding to treatment with </w:t>
            </w:r>
            <w:proofErr w:type="spellStart"/>
            <w:r w:rsidRPr="00F43849">
              <w:rPr>
                <w:rFonts w:ascii="Arial" w:hAnsi="Arial" w:cs="Arial"/>
              </w:rPr>
              <w:t>romiplostim</w:t>
            </w:r>
            <w:proofErr w:type="spellEnd"/>
            <w:r w:rsidRPr="00F43849">
              <w:rPr>
                <w:rFonts w:ascii="Arial" w:hAnsi="Arial" w:cs="Arial"/>
              </w:rPr>
              <w:t xml:space="preserve"> or vice versa.</w:t>
            </w:r>
          </w:p>
        </w:tc>
        <w:tc>
          <w:tcPr>
            <w:tcW w:w="6947" w:type="dxa"/>
          </w:tcPr>
          <w:p w:rsidR="00257615" w:rsidRDefault="00F43849" w:rsidP="0065234B">
            <w:pPr>
              <w:pStyle w:val="ListParagraph"/>
              <w:ind w:left="0"/>
              <w:jc w:val="both"/>
              <w:rPr>
                <w:rFonts w:ascii="Arial" w:hAnsi="Arial" w:cs="Arial"/>
                <w:sz w:val="20"/>
                <w:szCs w:val="20"/>
              </w:rPr>
            </w:pPr>
            <w:r w:rsidRPr="00F43849">
              <w:rPr>
                <w:rFonts w:ascii="Arial" w:hAnsi="Arial" w:cs="Arial"/>
                <w:sz w:val="20"/>
                <w:szCs w:val="20"/>
              </w:rPr>
              <w:t xml:space="preserve">The PBAC rejected the submission to amend the continuation restriction of eltrombopag for the treatment of severe chronic idiopathic thrombocytopenic </w:t>
            </w:r>
            <w:proofErr w:type="spellStart"/>
            <w:r w:rsidRPr="00F43849">
              <w:rPr>
                <w:rFonts w:ascii="Arial" w:hAnsi="Arial" w:cs="Arial"/>
                <w:sz w:val="20"/>
                <w:szCs w:val="20"/>
              </w:rPr>
              <w:t>purpura</w:t>
            </w:r>
            <w:proofErr w:type="spellEnd"/>
            <w:r w:rsidRPr="00F43849">
              <w:rPr>
                <w:rFonts w:ascii="Arial" w:hAnsi="Arial" w:cs="Arial"/>
                <w:sz w:val="20"/>
                <w:szCs w:val="20"/>
              </w:rPr>
              <w:t xml:space="preserve"> (</w:t>
            </w:r>
            <w:proofErr w:type="spellStart"/>
            <w:r w:rsidRPr="00F43849">
              <w:rPr>
                <w:rFonts w:ascii="Arial" w:hAnsi="Arial" w:cs="Arial"/>
                <w:sz w:val="20"/>
                <w:szCs w:val="20"/>
              </w:rPr>
              <w:t>iCTP</w:t>
            </w:r>
            <w:proofErr w:type="spellEnd"/>
            <w:r w:rsidRPr="00F43849">
              <w:rPr>
                <w:rFonts w:ascii="Arial" w:hAnsi="Arial" w:cs="Arial"/>
                <w:sz w:val="20"/>
                <w:szCs w:val="20"/>
              </w:rPr>
              <w:t xml:space="preserve">) in adult patients to allow switching of treatment between </w:t>
            </w:r>
            <w:proofErr w:type="spellStart"/>
            <w:r w:rsidRPr="00F43849">
              <w:rPr>
                <w:rFonts w:ascii="Arial" w:hAnsi="Arial" w:cs="Arial"/>
                <w:sz w:val="20"/>
                <w:szCs w:val="20"/>
              </w:rPr>
              <w:t>eltrombopag</w:t>
            </w:r>
            <w:proofErr w:type="spellEnd"/>
            <w:r w:rsidRPr="00F43849">
              <w:rPr>
                <w:rFonts w:ascii="Arial" w:hAnsi="Arial" w:cs="Arial"/>
                <w:sz w:val="20"/>
                <w:szCs w:val="20"/>
              </w:rPr>
              <w:t xml:space="preserve"> and </w:t>
            </w:r>
            <w:proofErr w:type="spellStart"/>
            <w:r w:rsidRPr="00F43849">
              <w:rPr>
                <w:rFonts w:ascii="Arial" w:hAnsi="Arial" w:cs="Arial"/>
                <w:sz w:val="20"/>
                <w:szCs w:val="20"/>
              </w:rPr>
              <w:t>romiplostim</w:t>
            </w:r>
            <w:proofErr w:type="spellEnd"/>
            <w:r w:rsidRPr="00F43849">
              <w:rPr>
                <w:rFonts w:ascii="Arial" w:hAnsi="Arial" w:cs="Arial"/>
                <w:sz w:val="20"/>
                <w:szCs w:val="20"/>
              </w:rPr>
              <w:t xml:space="preserve"> beyond the initial 24 week treatment in patients whose disease is stable on the basis that the clinical effectiveness of </w:t>
            </w:r>
            <w:proofErr w:type="spellStart"/>
            <w:r w:rsidRPr="00F43849">
              <w:rPr>
                <w:rFonts w:ascii="Arial" w:hAnsi="Arial" w:cs="Arial"/>
                <w:sz w:val="20"/>
                <w:szCs w:val="20"/>
              </w:rPr>
              <w:t>eltrombopag</w:t>
            </w:r>
            <w:proofErr w:type="spellEnd"/>
            <w:r w:rsidRPr="00F43849">
              <w:rPr>
                <w:rFonts w:ascii="Arial" w:hAnsi="Arial" w:cs="Arial"/>
                <w:sz w:val="20"/>
                <w:szCs w:val="20"/>
              </w:rPr>
              <w:t xml:space="preserve"> and </w:t>
            </w:r>
            <w:proofErr w:type="spellStart"/>
            <w:r w:rsidRPr="00F43849">
              <w:rPr>
                <w:rFonts w:ascii="Arial" w:hAnsi="Arial" w:cs="Arial"/>
                <w:sz w:val="20"/>
                <w:szCs w:val="20"/>
              </w:rPr>
              <w:t>romiplostim</w:t>
            </w:r>
            <w:proofErr w:type="spellEnd"/>
            <w:r w:rsidRPr="00F43849">
              <w:rPr>
                <w:rFonts w:ascii="Arial" w:hAnsi="Arial" w:cs="Arial"/>
                <w:sz w:val="20"/>
                <w:szCs w:val="20"/>
              </w:rPr>
              <w:t xml:space="preserve"> was established on the 24 week initial treatment.  </w:t>
            </w:r>
          </w:p>
          <w:p w:rsidR="00257615" w:rsidRDefault="00257615" w:rsidP="0065234B">
            <w:pPr>
              <w:pStyle w:val="ListParagraph"/>
              <w:ind w:left="0"/>
              <w:jc w:val="both"/>
              <w:rPr>
                <w:rFonts w:ascii="Arial" w:hAnsi="Arial" w:cs="Arial"/>
                <w:sz w:val="20"/>
                <w:szCs w:val="20"/>
              </w:rPr>
            </w:pPr>
          </w:p>
          <w:p w:rsidR="00010379" w:rsidRDefault="00F43849" w:rsidP="0065234B">
            <w:pPr>
              <w:pStyle w:val="ListParagraph"/>
              <w:ind w:left="0"/>
              <w:jc w:val="both"/>
              <w:rPr>
                <w:rFonts w:ascii="Arial" w:hAnsi="Arial" w:cs="Arial"/>
                <w:sz w:val="20"/>
                <w:szCs w:val="20"/>
              </w:rPr>
            </w:pPr>
            <w:r w:rsidRPr="00F43849">
              <w:rPr>
                <w:rFonts w:ascii="Arial" w:hAnsi="Arial" w:cs="Arial"/>
                <w:sz w:val="20"/>
                <w:szCs w:val="20"/>
              </w:rPr>
              <w:t xml:space="preserve">The PBAC considered that the clinical impact for patients who wish to </w:t>
            </w:r>
            <w:r w:rsidRPr="00F43849">
              <w:rPr>
                <w:rFonts w:ascii="Arial" w:hAnsi="Arial" w:cs="Arial"/>
                <w:sz w:val="20"/>
                <w:szCs w:val="20"/>
              </w:rPr>
              <w:lastRenderedPageBreak/>
              <w:t>switch treatment for reasons other than treatment failure is unclear and the cost-effectiveness and financial risk to government are unknown.</w:t>
            </w:r>
            <w:r>
              <w:rPr>
                <w:rFonts w:ascii="Arial" w:hAnsi="Arial" w:cs="Arial"/>
                <w:sz w:val="20"/>
                <w:szCs w:val="20"/>
              </w:rPr>
              <w:t xml:space="preserve"> </w:t>
            </w:r>
          </w:p>
          <w:p w:rsidR="00AE0CA2" w:rsidRPr="00395B97" w:rsidRDefault="00AE0CA2" w:rsidP="0065234B">
            <w:pPr>
              <w:pStyle w:val="ListParagraph"/>
              <w:ind w:left="0"/>
              <w:jc w:val="both"/>
              <w:rPr>
                <w:rFonts w:ascii="Arial" w:hAnsi="Arial" w:cs="Arial"/>
                <w:sz w:val="20"/>
                <w:szCs w:val="20"/>
              </w:rPr>
            </w:pPr>
          </w:p>
        </w:tc>
      </w:tr>
      <w:tr w:rsidR="00010379" w:rsidRPr="006F6D3E" w:rsidTr="00257615">
        <w:trPr>
          <w:cantSplit/>
          <w:trHeight w:val="421"/>
        </w:trPr>
        <w:tc>
          <w:tcPr>
            <w:tcW w:w="2694" w:type="dxa"/>
            <w:vMerge/>
            <w:tcMar>
              <w:top w:w="28" w:type="dxa"/>
              <w:bottom w:w="28" w:type="dxa"/>
            </w:tcMar>
          </w:tcPr>
          <w:p w:rsidR="00010379" w:rsidRPr="00395B97" w:rsidRDefault="00010379" w:rsidP="00335779">
            <w:pPr>
              <w:widowControl w:val="0"/>
              <w:rPr>
                <w:rFonts w:ascii="Arial" w:hAnsi="Arial" w:cs="Arial"/>
                <w:snapToGrid w:val="0"/>
                <w:lang w:eastAsia="en-US"/>
              </w:rPr>
            </w:pPr>
          </w:p>
        </w:tc>
        <w:tc>
          <w:tcPr>
            <w:tcW w:w="2409" w:type="dxa"/>
            <w:vMerge/>
          </w:tcPr>
          <w:p w:rsidR="00010379" w:rsidRPr="00395B97" w:rsidRDefault="00010379" w:rsidP="00335779">
            <w:pPr>
              <w:widowControl w:val="0"/>
              <w:rPr>
                <w:rFonts w:ascii="Arial" w:hAnsi="Arial" w:cs="Arial"/>
                <w:snapToGrid w:val="0"/>
                <w:lang w:eastAsia="en-US"/>
              </w:rPr>
            </w:pPr>
          </w:p>
        </w:tc>
        <w:tc>
          <w:tcPr>
            <w:tcW w:w="3261" w:type="dxa"/>
            <w:tcMar>
              <w:top w:w="28" w:type="dxa"/>
              <w:bottom w:w="28" w:type="dxa"/>
            </w:tcMar>
          </w:tcPr>
          <w:p w:rsidR="00010379" w:rsidRPr="00395B97" w:rsidRDefault="00395B97" w:rsidP="0065234B">
            <w:pPr>
              <w:pStyle w:val="ListParagraph"/>
              <w:ind w:left="0"/>
              <w:jc w:val="right"/>
              <w:rPr>
                <w:rFonts w:ascii="Arial" w:hAnsi="Arial" w:cs="Arial"/>
                <w:sz w:val="20"/>
                <w:szCs w:val="20"/>
              </w:rPr>
            </w:pPr>
            <w:r w:rsidRPr="00395B97">
              <w:rPr>
                <w:rFonts w:ascii="Arial" w:hAnsi="Arial" w:cs="Arial"/>
                <w:snapToGrid w:val="0"/>
                <w:sz w:val="20"/>
                <w:szCs w:val="20"/>
                <w:lang w:eastAsia="en-US"/>
              </w:rPr>
              <w:t>Sponsor Comment:</w:t>
            </w:r>
          </w:p>
        </w:tc>
        <w:tc>
          <w:tcPr>
            <w:tcW w:w="6947" w:type="dxa"/>
          </w:tcPr>
          <w:p w:rsidR="00010379" w:rsidRDefault="00C138E7" w:rsidP="004349D9">
            <w:pPr>
              <w:pStyle w:val="ListParagraph"/>
              <w:ind w:left="0"/>
              <w:jc w:val="both"/>
              <w:rPr>
                <w:rFonts w:ascii="Arial" w:hAnsi="Arial" w:cs="Arial"/>
                <w:iCs/>
                <w:sz w:val="20"/>
                <w:szCs w:val="20"/>
              </w:rPr>
            </w:pPr>
            <w:r w:rsidRPr="00C138E7">
              <w:rPr>
                <w:rFonts w:ascii="Arial" w:hAnsi="Arial" w:cs="Arial"/>
                <w:iCs/>
                <w:sz w:val="20"/>
                <w:szCs w:val="20"/>
              </w:rPr>
              <w:t>The sponsor will review the feedback contained in the minutes and consider its position regarding any future course of action.</w:t>
            </w:r>
          </w:p>
          <w:p w:rsidR="00C138E7" w:rsidRPr="00395B97" w:rsidRDefault="00C138E7" w:rsidP="004349D9">
            <w:pPr>
              <w:pStyle w:val="ListParagraph"/>
              <w:ind w:left="0"/>
              <w:jc w:val="both"/>
              <w:rPr>
                <w:rFonts w:ascii="Arial" w:hAnsi="Arial" w:cs="Arial"/>
                <w:iCs/>
                <w:sz w:val="20"/>
                <w:szCs w:val="20"/>
              </w:rPr>
            </w:pPr>
          </w:p>
        </w:tc>
      </w:tr>
      <w:tr w:rsidR="004D72CE" w:rsidRPr="00395B97" w:rsidTr="00257615">
        <w:trPr>
          <w:cantSplit/>
          <w:trHeight w:val="1162"/>
        </w:trPr>
        <w:tc>
          <w:tcPr>
            <w:tcW w:w="2694" w:type="dxa"/>
            <w:vMerge w:val="restart"/>
            <w:tcMar>
              <w:top w:w="28" w:type="dxa"/>
              <w:bottom w:w="28" w:type="dxa"/>
            </w:tcMar>
          </w:tcPr>
          <w:p w:rsidR="0035262D" w:rsidRPr="00927BAA" w:rsidRDefault="0035262D" w:rsidP="00335779">
            <w:pPr>
              <w:rPr>
                <w:rFonts w:ascii="Arial" w:hAnsi="Arial" w:cs="Arial"/>
                <w:b/>
              </w:rPr>
            </w:pPr>
            <w:r w:rsidRPr="00927BAA">
              <w:rPr>
                <w:rFonts w:ascii="Arial" w:hAnsi="Arial" w:cs="Arial"/>
                <w:b/>
              </w:rPr>
              <w:t>ITRACONAZOLE</w:t>
            </w:r>
          </w:p>
          <w:p w:rsidR="0035262D" w:rsidRDefault="0035262D" w:rsidP="00335779">
            <w:pPr>
              <w:rPr>
                <w:rFonts w:ascii="Arial" w:hAnsi="Arial" w:cs="Arial"/>
              </w:rPr>
            </w:pPr>
            <w:r w:rsidRPr="0035262D">
              <w:rPr>
                <w:rFonts w:ascii="Arial" w:hAnsi="Arial" w:cs="Arial"/>
              </w:rPr>
              <w:t>50 mg capsule, 60</w:t>
            </w:r>
          </w:p>
          <w:p w:rsidR="0035262D" w:rsidRPr="0035262D" w:rsidRDefault="0035262D" w:rsidP="00335779">
            <w:pPr>
              <w:rPr>
                <w:rFonts w:ascii="Arial" w:hAnsi="Arial" w:cs="Arial"/>
              </w:rPr>
            </w:pPr>
          </w:p>
          <w:p w:rsidR="0035262D" w:rsidRDefault="0035262D" w:rsidP="00335779">
            <w:pPr>
              <w:rPr>
                <w:rFonts w:ascii="Arial" w:hAnsi="Arial" w:cs="Arial"/>
              </w:rPr>
            </w:pPr>
            <w:proofErr w:type="spellStart"/>
            <w:r w:rsidRPr="0035262D">
              <w:rPr>
                <w:rFonts w:ascii="Arial" w:hAnsi="Arial" w:cs="Arial"/>
              </w:rPr>
              <w:t>Lozanoc</w:t>
            </w:r>
            <w:proofErr w:type="spellEnd"/>
            <w:r w:rsidRPr="0035262D">
              <w:rPr>
                <w:rFonts w:ascii="Arial" w:hAnsi="Arial" w:cs="Arial"/>
              </w:rPr>
              <w:t>®</w:t>
            </w:r>
          </w:p>
          <w:p w:rsidR="0035262D" w:rsidRPr="0035262D" w:rsidRDefault="0035262D" w:rsidP="00335779">
            <w:pPr>
              <w:rPr>
                <w:rFonts w:ascii="Arial" w:hAnsi="Arial" w:cs="Arial"/>
              </w:rPr>
            </w:pPr>
          </w:p>
          <w:p w:rsidR="004D72CE" w:rsidRDefault="0035262D" w:rsidP="00335779">
            <w:pPr>
              <w:rPr>
                <w:rFonts w:ascii="Arial" w:hAnsi="Arial" w:cs="Arial"/>
              </w:rPr>
            </w:pPr>
            <w:r w:rsidRPr="0035262D">
              <w:rPr>
                <w:rFonts w:ascii="Arial" w:hAnsi="Arial" w:cs="Arial"/>
              </w:rPr>
              <w:t xml:space="preserve">Mayne </w:t>
            </w:r>
            <w:proofErr w:type="spellStart"/>
            <w:r w:rsidRPr="0035262D">
              <w:rPr>
                <w:rFonts w:ascii="Arial" w:hAnsi="Arial" w:cs="Arial"/>
              </w:rPr>
              <w:t>Pharma</w:t>
            </w:r>
            <w:proofErr w:type="spellEnd"/>
            <w:r w:rsidRPr="0035262D">
              <w:rPr>
                <w:rFonts w:ascii="Arial" w:hAnsi="Arial" w:cs="Arial"/>
              </w:rPr>
              <w:t xml:space="preserve"> International Ltd</w:t>
            </w:r>
          </w:p>
          <w:p w:rsidR="0035262D" w:rsidRDefault="0035262D" w:rsidP="00335779">
            <w:pPr>
              <w:rPr>
                <w:rFonts w:ascii="Arial" w:hAnsi="Arial" w:cs="Arial"/>
              </w:rPr>
            </w:pPr>
          </w:p>
          <w:p w:rsidR="0035262D" w:rsidRDefault="0035262D" w:rsidP="00335779">
            <w:pPr>
              <w:rPr>
                <w:rFonts w:ascii="Arial" w:hAnsi="Arial" w:cs="Arial"/>
              </w:rPr>
            </w:pPr>
            <w:r w:rsidRPr="0035262D">
              <w:rPr>
                <w:rFonts w:ascii="Arial" w:hAnsi="Arial" w:cs="Arial"/>
              </w:rPr>
              <w:t>New listing</w:t>
            </w:r>
          </w:p>
          <w:p w:rsidR="006072E8" w:rsidRPr="0035262D" w:rsidRDefault="006072E8" w:rsidP="00335779">
            <w:pPr>
              <w:rPr>
                <w:rFonts w:ascii="Arial" w:hAnsi="Arial" w:cs="Arial"/>
              </w:rPr>
            </w:pPr>
          </w:p>
          <w:p w:rsidR="0035262D" w:rsidRDefault="0035262D" w:rsidP="00335779">
            <w:pPr>
              <w:rPr>
                <w:rFonts w:ascii="Arial" w:hAnsi="Arial" w:cs="Arial"/>
              </w:rPr>
            </w:pPr>
            <w:r w:rsidRPr="0035262D">
              <w:rPr>
                <w:rFonts w:ascii="Arial" w:hAnsi="Arial" w:cs="Arial"/>
              </w:rPr>
              <w:t>(Minor submission)</w:t>
            </w:r>
          </w:p>
          <w:p w:rsidR="00AE0CA2" w:rsidRPr="00395B97" w:rsidRDefault="00AE0CA2" w:rsidP="00335779">
            <w:pPr>
              <w:rPr>
                <w:rFonts w:ascii="Arial" w:hAnsi="Arial" w:cs="Arial"/>
              </w:rPr>
            </w:pPr>
          </w:p>
        </w:tc>
        <w:tc>
          <w:tcPr>
            <w:tcW w:w="2409" w:type="dxa"/>
            <w:vMerge w:val="restart"/>
          </w:tcPr>
          <w:p w:rsidR="0035262D" w:rsidRPr="0035262D" w:rsidRDefault="0035262D" w:rsidP="00335779">
            <w:pPr>
              <w:rPr>
                <w:rFonts w:ascii="Arial" w:hAnsi="Arial" w:cs="Arial"/>
              </w:rPr>
            </w:pPr>
            <w:r w:rsidRPr="0035262D">
              <w:rPr>
                <w:rFonts w:ascii="Arial" w:hAnsi="Arial" w:cs="Arial"/>
              </w:rPr>
              <w:t>Systemic fungal</w:t>
            </w:r>
          </w:p>
          <w:p w:rsidR="004D72CE" w:rsidRPr="00395B97" w:rsidRDefault="0035262D" w:rsidP="00335779">
            <w:pPr>
              <w:rPr>
                <w:rFonts w:ascii="Arial" w:hAnsi="Arial" w:cs="Arial"/>
              </w:rPr>
            </w:pPr>
            <w:r w:rsidRPr="0035262D">
              <w:rPr>
                <w:rFonts w:ascii="Arial" w:hAnsi="Arial" w:cs="Arial"/>
              </w:rPr>
              <w:t>infections</w:t>
            </w:r>
          </w:p>
        </w:tc>
        <w:tc>
          <w:tcPr>
            <w:tcW w:w="3261" w:type="dxa"/>
            <w:tcMar>
              <w:top w:w="28" w:type="dxa"/>
              <w:bottom w:w="28" w:type="dxa"/>
            </w:tcMar>
          </w:tcPr>
          <w:p w:rsidR="004D72CE" w:rsidRPr="00395B97" w:rsidRDefault="0035262D" w:rsidP="00DB42F5">
            <w:pPr>
              <w:rPr>
                <w:rFonts w:ascii="Arial" w:hAnsi="Arial" w:cs="Arial"/>
              </w:rPr>
            </w:pPr>
            <w:r w:rsidRPr="0035262D">
              <w:rPr>
                <w:rFonts w:ascii="Arial" w:hAnsi="Arial" w:cs="Arial"/>
              </w:rPr>
              <w:t>Authority</w:t>
            </w:r>
            <w:r w:rsidR="00DB42F5">
              <w:rPr>
                <w:rFonts w:ascii="Arial" w:hAnsi="Arial" w:cs="Arial"/>
              </w:rPr>
              <w:t xml:space="preserve"> Required </w:t>
            </w:r>
            <w:r w:rsidRPr="0035262D">
              <w:rPr>
                <w:rFonts w:ascii="Arial" w:hAnsi="Arial" w:cs="Arial"/>
              </w:rPr>
              <w:t>(STREAMLINED) listing of a</w:t>
            </w:r>
            <w:r>
              <w:rPr>
                <w:rFonts w:ascii="Arial" w:hAnsi="Arial" w:cs="Arial"/>
              </w:rPr>
              <w:t xml:space="preserve"> </w:t>
            </w:r>
            <w:r w:rsidRPr="0035262D">
              <w:rPr>
                <w:rFonts w:ascii="Arial" w:hAnsi="Arial" w:cs="Arial"/>
              </w:rPr>
              <w:t>50 mg capsule for the same indications as the</w:t>
            </w:r>
            <w:r>
              <w:rPr>
                <w:rFonts w:ascii="Arial" w:hAnsi="Arial" w:cs="Arial"/>
              </w:rPr>
              <w:t xml:space="preserve"> </w:t>
            </w:r>
            <w:r w:rsidRPr="0035262D">
              <w:rPr>
                <w:rFonts w:ascii="Arial" w:hAnsi="Arial" w:cs="Arial"/>
              </w:rPr>
              <w:t>currently PBS listed 100 mg capsule.</w:t>
            </w:r>
          </w:p>
        </w:tc>
        <w:tc>
          <w:tcPr>
            <w:tcW w:w="6947" w:type="dxa"/>
          </w:tcPr>
          <w:p w:rsidR="004D72CE" w:rsidRDefault="002F64A0" w:rsidP="00845DB3">
            <w:pPr>
              <w:pStyle w:val="ListParagraph"/>
              <w:ind w:left="0"/>
              <w:jc w:val="both"/>
              <w:rPr>
                <w:rFonts w:ascii="Arial" w:hAnsi="Arial" w:cs="Arial"/>
                <w:iCs/>
                <w:sz w:val="20"/>
                <w:szCs w:val="20"/>
              </w:rPr>
            </w:pPr>
            <w:r w:rsidRPr="002F64A0">
              <w:rPr>
                <w:rFonts w:ascii="Arial" w:hAnsi="Arial" w:cs="Arial"/>
                <w:iCs/>
                <w:sz w:val="20"/>
                <w:szCs w:val="20"/>
              </w:rPr>
              <w:t xml:space="preserve">The PBAC rejected the submission to list </w:t>
            </w:r>
            <w:proofErr w:type="spellStart"/>
            <w:r w:rsidRPr="002F64A0">
              <w:rPr>
                <w:rFonts w:ascii="Arial" w:hAnsi="Arial" w:cs="Arial"/>
                <w:iCs/>
                <w:sz w:val="20"/>
                <w:szCs w:val="20"/>
              </w:rPr>
              <w:t>itraconazole</w:t>
            </w:r>
            <w:proofErr w:type="spellEnd"/>
            <w:r w:rsidRPr="002F64A0">
              <w:rPr>
                <w:rFonts w:ascii="Arial" w:hAnsi="Arial" w:cs="Arial"/>
                <w:iCs/>
                <w:sz w:val="20"/>
                <w:szCs w:val="20"/>
              </w:rPr>
              <w:t xml:space="preserve"> 50 mg on the PBS for the treatment of systemic mycoses as data demonstrating comparative efficacy and safety were not provided in the submission. In addition, the PBAC was concerned of the risk of prescriber and patient confusion with the currently listed </w:t>
            </w:r>
            <w:proofErr w:type="spellStart"/>
            <w:r w:rsidR="00DB42F5" w:rsidRPr="002F64A0">
              <w:rPr>
                <w:rFonts w:ascii="Arial" w:hAnsi="Arial" w:cs="Arial"/>
                <w:iCs/>
                <w:sz w:val="20"/>
                <w:szCs w:val="20"/>
              </w:rPr>
              <w:t>itraconazole</w:t>
            </w:r>
            <w:proofErr w:type="spellEnd"/>
            <w:r w:rsidR="00DB42F5" w:rsidRPr="002F64A0">
              <w:rPr>
                <w:rFonts w:ascii="Arial" w:hAnsi="Arial" w:cs="Arial"/>
                <w:iCs/>
                <w:sz w:val="20"/>
                <w:szCs w:val="20"/>
              </w:rPr>
              <w:t xml:space="preserve"> 100 mg </w:t>
            </w:r>
            <w:r w:rsidRPr="002F64A0">
              <w:rPr>
                <w:rFonts w:ascii="Arial" w:hAnsi="Arial" w:cs="Arial"/>
                <w:iCs/>
                <w:sz w:val="20"/>
                <w:szCs w:val="20"/>
              </w:rPr>
              <w:t>and</w:t>
            </w:r>
            <w:r w:rsidR="00DB42F5">
              <w:rPr>
                <w:rFonts w:ascii="Arial" w:hAnsi="Arial" w:cs="Arial"/>
                <w:iCs/>
                <w:sz w:val="20"/>
                <w:szCs w:val="20"/>
              </w:rPr>
              <w:t xml:space="preserve"> the therap</w:t>
            </w:r>
            <w:r w:rsidRPr="002F64A0">
              <w:rPr>
                <w:rFonts w:ascii="Arial" w:hAnsi="Arial" w:cs="Arial"/>
                <w:iCs/>
                <w:sz w:val="20"/>
                <w:szCs w:val="20"/>
              </w:rPr>
              <w:t>eutic equivalen</w:t>
            </w:r>
            <w:r w:rsidR="00DB42F5">
              <w:rPr>
                <w:rFonts w:ascii="Arial" w:hAnsi="Arial" w:cs="Arial"/>
                <w:iCs/>
                <w:sz w:val="20"/>
                <w:szCs w:val="20"/>
              </w:rPr>
              <w:t>ce between the 50 mg and 100 mg capsules</w:t>
            </w:r>
            <w:r w:rsidRPr="002F64A0">
              <w:rPr>
                <w:rFonts w:ascii="Arial" w:hAnsi="Arial" w:cs="Arial"/>
                <w:iCs/>
                <w:sz w:val="20"/>
                <w:szCs w:val="20"/>
              </w:rPr>
              <w:t>.</w:t>
            </w:r>
          </w:p>
          <w:p w:rsidR="00AE0CA2" w:rsidRPr="00395B97" w:rsidRDefault="00AE0CA2" w:rsidP="00845DB3">
            <w:pPr>
              <w:pStyle w:val="ListParagraph"/>
              <w:ind w:left="0"/>
              <w:jc w:val="both"/>
              <w:rPr>
                <w:rFonts w:ascii="Arial" w:hAnsi="Arial" w:cs="Arial"/>
                <w:iCs/>
                <w:sz w:val="20"/>
                <w:szCs w:val="20"/>
              </w:rPr>
            </w:pPr>
          </w:p>
        </w:tc>
      </w:tr>
      <w:tr w:rsidR="004D72CE" w:rsidRPr="00395B97" w:rsidTr="00257615">
        <w:trPr>
          <w:cantSplit/>
          <w:trHeight w:val="465"/>
        </w:trPr>
        <w:tc>
          <w:tcPr>
            <w:tcW w:w="2694" w:type="dxa"/>
            <w:vMerge/>
            <w:tcMar>
              <w:top w:w="28" w:type="dxa"/>
              <w:bottom w:w="28" w:type="dxa"/>
            </w:tcMar>
          </w:tcPr>
          <w:p w:rsidR="004D72CE" w:rsidRPr="00395B97" w:rsidRDefault="004D72CE" w:rsidP="00335779">
            <w:pPr>
              <w:rPr>
                <w:rFonts w:ascii="Arial" w:hAnsi="Arial" w:cs="Arial"/>
              </w:rPr>
            </w:pPr>
          </w:p>
        </w:tc>
        <w:tc>
          <w:tcPr>
            <w:tcW w:w="2409" w:type="dxa"/>
            <w:vMerge/>
          </w:tcPr>
          <w:p w:rsidR="004D72CE" w:rsidRPr="00395B97" w:rsidRDefault="004D72CE" w:rsidP="00335779">
            <w:pPr>
              <w:widowControl w:val="0"/>
              <w:rPr>
                <w:rFonts w:ascii="Arial" w:hAnsi="Arial" w:cs="Arial"/>
                <w:snapToGrid w:val="0"/>
                <w:lang w:eastAsia="en-US"/>
              </w:rPr>
            </w:pPr>
          </w:p>
        </w:tc>
        <w:tc>
          <w:tcPr>
            <w:tcW w:w="3261" w:type="dxa"/>
            <w:tcMar>
              <w:top w:w="28" w:type="dxa"/>
              <w:bottom w:w="28" w:type="dxa"/>
            </w:tcMar>
          </w:tcPr>
          <w:p w:rsidR="004D72CE" w:rsidRPr="00395B97" w:rsidRDefault="004D72CE"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4D72CE" w:rsidRDefault="00EA19A5" w:rsidP="00845DB3">
            <w:pPr>
              <w:pStyle w:val="ListParagraph"/>
              <w:ind w:left="0"/>
              <w:jc w:val="both"/>
              <w:rPr>
                <w:rFonts w:ascii="Arial" w:hAnsi="Arial" w:cs="Arial"/>
                <w:iCs/>
                <w:sz w:val="20"/>
                <w:szCs w:val="20"/>
              </w:rPr>
            </w:pPr>
            <w:r w:rsidRPr="00EA19A5">
              <w:rPr>
                <w:rFonts w:ascii="Arial" w:hAnsi="Arial" w:cs="Arial"/>
                <w:iCs/>
                <w:sz w:val="20"/>
                <w:szCs w:val="20"/>
              </w:rPr>
              <w:t xml:space="preserve">The sponsor strongly disagrees with the decision and is considering its position regarding any future course of action. The TGA approved Product Information (PI) states: that one capsule of LOZANOC 50 mg is therapeutically equivalent to one 100 mg capsule of conventional </w:t>
            </w:r>
            <w:proofErr w:type="spellStart"/>
            <w:r w:rsidRPr="00EA19A5">
              <w:rPr>
                <w:rFonts w:ascii="Arial" w:hAnsi="Arial" w:cs="Arial"/>
                <w:iCs/>
                <w:sz w:val="20"/>
                <w:szCs w:val="20"/>
              </w:rPr>
              <w:t>itraconazole</w:t>
            </w:r>
            <w:proofErr w:type="spellEnd"/>
            <w:r w:rsidRPr="00EA19A5">
              <w:rPr>
                <w:rFonts w:ascii="Arial" w:hAnsi="Arial" w:cs="Arial"/>
                <w:iCs/>
                <w:sz w:val="20"/>
                <w:szCs w:val="20"/>
              </w:rPr>
              <w:t xml:space="preserve"> capsules; can be taken regardless of food and of gastric acid inhibitors; with less intra- and inter-subject variation in the extent of exposure than conventional </w:t>
            </w:r>
            <w:proofErr w:type="spellStart"/>
            <w:r w:rsidRPr="00EA19A5">
              <w:rPr>
                <w:rFonts w:ascii="Arial" w:hAnsi="Arial" w:cs="Arial"/>
                <w:iCs/>
                <w:sz w:val="20"/>
                <w:szCs w:val="20"/>
              </w:rPr>
              <w:t>itraconazole</w:t>
            </w:r>
            <w:proofErr w:type="spellEnd"/>
            <w:r w:rsidRPr="00EA19A5">
              <w:rPr>
                <w:rFonts w:ascii="Arial" w:hAnsi="Arial" w:cs="Arial"/>
                <w:iCs/>
                <w:sz w:val="20"/>
                <w:szCs w:val="20"/>
              </w:rPr>
              <w:t xml:space="preserve"> capsules.  Given </w:t>
            </w:r>
            <w:proofErr w:type="spellStart"/>
            <w:r w:rsidRPr="00EA19A5">
              <w:rPr>
                <w:rFonts w:ascii="Arial" w:hAnsi="Arial" w:cs="Arial"/>
                <w:iCs/>
                <w:sz w:val="20"/>
                <w:szCs w:val="20"/>
              </w:rPr>
              <w:t>Lozanoc</w:t>
            </w:r>
            <w:proofErr w:type="spellEnd"/>
            <w:r w:rsidRPr="00EA19A5">
              <w:rPr>
                <w:rFonts w:ascii="Arial" w:hAnsi="Arial" w:cs="Arial"/>
                <w:iCs/>
                <w:sz w:val="20"/>
                <w:szCs w:val="20"/>
              </w:rPr>
              <w:t xml:space="preserve"> is the only 50 mg capsule of </w:t>
            </w:r>
            <w:proofErr w:type="spellStart"/>
            <w:r w:rsidRPr="00EA19A5">
              <w:rPr>
                <w:rFonts w:ascii="Arial" w:hAnsi="Arial" w:cs="Arial"/>
                <w:iCs/>
                <w:sz w:val="20"/>
                <w:szCs w:val="20"/>
              </w:rPr>
              <w:t>itraconazole</w:t>
            </w:r>
            <w:proofErr w:type="spellEnd"/>
            <w:r w:rsidRPr="00EA19A5">
              <w:rPr>
                <w:rFonts w:ascii="Arial" w:hAnsi="Arial" w:cs="Arial"/>
                <w:iCs/>
                <w:sz w:val="20"/>
                <w:szCs w:val="20"/>
              </w:rPr>
              <w:t xml:space="preserve"> available in </w:t>
            </w:r>
            <w:proofErr w:type="gramStart"/>
            <w:r w:rsidRPr="00EA19A5">
              <w:rPr>
                <w:rFonts w:ascii="Arial" w:hAnsi="Arial" w:cs="Arial"/>
                <w:iCs/>
                <w:sz w:val="20"/>
                <w:szCs w:val="20"/>
              </w:rPr>
              <w:t>Australia,</w:t>
            </w:r>
            <w:proofErr w:type="gramEnd"/>
            <w:r w:rsidRPr="00EA19A5">
              <w:rPr>
                <w:rFonts w:ascii="Arial" w:hAnsi="Arial" w:cs="Arial"/>
                <w:iCs/>
                <w:sz w:val="20"/>
                <w:szCs w:val="20"/>
              </w:rPr>
              <w:t xml:space="preserve"> and the </w:t>
            </w:r>
            <w:proofErr w:type="spellStart"/>
            <w:r w:rsidRPr="00EA19A5">
              <w:rPr>
                <w:rFonts w:ascii="Arial" w:hAnsi="Arial" w:cs="Arial"/>
                <w:iCs/>
                <w:sz w:val="20"/>
                <w:szCs w:val="20"/>
              </w:rPr>
              <w:t>Lozanoc</w:t>
            </w:r>
            <w:proofErr w:type="spellEnd"/>
            <w:r w:rsidRPr="00EA19A5">
              <w:rPr>
                <w:rFonts w:ascii="Arial" w:hAnsi="Arial" w:cs="Arial"/>
                <w:iCs/>
                <w:sz w:val="20"/>
                <w:szCs w:val="20"/>
              </w:rPr>
              <w:t xml:space="preserve"> PI highlights that </w:t>
            </w:r>
            <w:proofErr w:type="spellStart"/>
            <w:r w:rsidRPr="00EA19A5">
              <w:rPr>
                <w:rFonts w:ascii="Arial" w:hAnsi="Arial" w:cs="Arial"/>
                <w:iCs/>
                <w:sz w:val="20"/>
                <w:szCs w:val="20"/>
              </w:rPr>
              <w:t>Lozanoc</w:t>
            </w:r>
            <w:proofErr w:type="spellEnd"/>
            <w:r w:rsidRPr="00EA19A5">
              <w:rPr>
                <w:rFonts w:ascii="Arial" w:hAnsi="Arial" w:cs="Arial"/>
                <w:iCs/>
                <w:sz w:val="20"/>
                <w:szCs w:val="20"/>
              </w:rPr>
              <w:t xml:space="preserve"> and </w:t>
            </w:r>
            <w:proofErr w:type="spellStart"/>
            <w:r w:rsidRPr="00EA19A5">
              <w:rPr>
                <w:rFonts w:ascii="Arial" w:hAnsi="Arial" w:cs="Arial"/>
                <w:iCs/>
                <w:sz w:val="20"/>
                <w:szCs w:val="20"/>
              </w:rPr>
              <w:t>Sporanox</w:t>
            </w:r>
            <w:proofErr w:type="spellEnd"/>
            <w:r w:rsidRPr="00EA19A5">
              <w:rPr>
                <w:rFonts w:ascii="Arial" w:hAnsi="Arial" w:cs="Arial"/>
                <w:iCs/>
                <w:sz w:val="20"/>
                <w:szCs w:val="20"/>
              </w:rPr>
              <w:t xml:space="preserve"> are not interchangeable, the risk of prescriber and patient confusion is negligible.</w:t>
            </w:r>
          </w:p>
          <w:p w:rsidR="00EA19A5" w:rsidRPr="00395B97" w:rsidRDefault="00EA19A5" w:rsidP="00845DB3">
            <w:pPr>
              <w:pStyle w:val="ListParagraph"/>
              <w:ind w:left="0"/>
              <w:jc w:val="both"/>
              <w:rPr>
                <w:rFonts w:ascii="Arial" w:hAnsi="Arial" w:cs="Arial"/>
                <w:iCs/>
                <w:sz w:val="20"/>
                <w:szCs w:val="20"/>
              </w:rPr>
            </w:pPr>
          </w:p>
        </w:tc>
      </w:tr>
      <w:tr w:rsidR="004D72CE" w:rsidRPr="00395B97" w:rsidTr="00257615">
        <w:trPr>
          <w:cantSplit/>
          <w:trHeight w:val="1900"/>
        </w:trPr>
        <w:tc>
          <w:tcPr>
            <w:tcW w:w="2694" w:type="dxa"/>
            <w:vMerge w:val="restart"/>
            <w:tcMar>
              <w:top w:w="28" w:type="dxa"/>
              <w:bottom w:w="28" w:type="dxa"/>
            </w:tcMar>
          </w:tcPr>
          <w:p w:rsidR="0035262D" w:rsidRPr="0035262D" w:rsidRDefault="0035262D" w:rsidP="00335779">
            <w:pPr>
              <w:rPr>
                <w:rFonts w:ascii="Arial" w:hAnsi="Arial" w:cs="Arial"/>
              </w:rPr>
            </w:pPr>
            <w:r w:rsidRPr="00927BAA">
              <w:rPr>
                <w:rFonts w:ascii="Arial" w:hAnsi="Arial" w:cs="Arial"/>
                <w:b/>
              </w:rPr>
              <w:t>OCRIPLASMIN</w:t>
            </w:r>
          </w:p>
          <w:p w:rsidR="0035262D" w:rsidRDefault="0035262D" w:rsidP="00335779">
            <w:pPr>
              <w:rPr>
                <w:rFonts w:ascii="Arial" w:hAnsi="Arial" w:cs="Arial"/>
              </w:rPr>
            </w:pPr>
            <w:r w:rsidRPr="0035262D">
              <w:rPr>
                <w:rFonts w:ascii="Arial" w:hAnsi="Arial" w:cs="Arial"/>
              </w:rPr>
              <w:t>0.5 mg/0.2 mL injection, 1</w:t>
            </w:r>
            <w:r>
              <w:rPr>
                <w:rFonts w:ascii="Arial" w:hAnsi="Arial" w:cs="Arial"/>
              </w:rPr>
              <w:t> </w:t>
            </w:r>
            <w:r w:rsidRPr="0035262D">
              <w:rPr>
                <w:rFonts w:ascii="Arial" w:hAnsi="Arial" w:cs="Arial"/>
              </w:rPr>
              <w:t>x vial</w:t>
            </w:r>
          </w:p>
          <w:p w:rsidR="0035262D" w:rsidRPr="0035262D" w:rsidRDefault="0035262D" w:rsidP="00335779">
            <w:pPr>
              <w:rPr>
                <w:rFonts w:ascii="Arial" w:hAnsi="Arial" w:cs="Arial"/>
              </w:rPr>
            </w:pPr>
          </w:p>
          <w:p w:rsidR="0035262D" w:rsidRDefault="0035262D" w:rsidP="00335779">
            <w:pPr>
              <w:rPr>
                <w:rFonts w:ascii="Arial" w:hAnsi="Arial" w:cs="Arial"/>
              </w:rPr>
            </w:pPr>
            <w:proofErr w:type="spellStart"/>
            <w:r w:rsidRPr="0035262D">
              <w:rPr>
                <w:rFonts w:ascii="Arial" w:hAnsi="Arial" w:cs="Arial"/>
              </w:rPr>
              <w:t>Jetrea</w:t>
            </w:r>
            <w:proofErr w:type="spellEnd"/>
            <w:r w:rsidRPr="0035262D">
              <w:rPr>
                <w:rFonts w:ascii="Arial" w:hAnsi="Arial" w:cs="Arial"/>
              </w:rPr>
              <w:t>®</w:t>
            </w:r>
          </w:p>
          <w:p w:rsidR="0035262D" w:rsidRPr="0035262D" w:rsidRDefault="0035262D" w:rsidP="00335779">
            <w:pPr>
              <w:rPr>
                <w:rFonts w:ascii="Arial" w:hAnsi="Arial" w:cs="Arial"/>
              </w:rPr>
            </w:pPr>
          </w:p>
          <w:p w:rsidR="004D72CE" w:rsidRDefault="0035262D" w:rsidP="00335779">
            <w:pPr>
              <w:rPr>
                <w:rFonts w:ascii="Arial" w:hAnsi="Arial" w:cs="Arial"/>
              </w:rPr>
            </w:pPr>
            <w:r w:rsidRPr="0035262D">
              <w:rPr>
                <w:rFonts w:ascii="Arial" w:hAnsi="Arial" w:cs="Arial"/>
              </w:rPr>
              <w:t>Alcon Laboratories (Australia) Pty Ltd</w:t>
            </w:r>
          </w:p>
          <w:p w:rsidR="0035262D" w:rsidRDefault="0035262D" w:rsidP="00335779">
            <w:pPr>
              <w:rPr>
                <w:rFonts w:ascii="Arial" w:hAnsi="Arial" w:cs="Arial"/>
              </w:rPr>
            </w:pPr>
          </w:p>
          <w:p w:rsidR="0035262D" w:rsidRDefault="0035262D" w:rsidP="00335779">
            <w:pPr>
              <w:rPr>
                <w:rFonts w:ascii="Arial" w:hAnsi="Arial" w:cs="Arial"/>
              </w:rPr>
            </w:pPr>
            <w:r w:rsidRPr="0035262D">
              <w:rPr>
                <w:rFonts w:ascii="Arial" w:hAnsi="Arial" w:cs="Arial"/>
              </w:rPr>
              <w:t>New Listing</w:t>
            </w:r>
          </w:p>
          <w:p w:rsidR="006072E8" w:rsidRPr="0035262D" w:rsidRDefault="006072E8" w:rsidP="00335779">
            <w:pPr>
              <w:rPr>
                <w:rFonts w:ascii="Arial" w:hAnsi="Arial" w:cs="Arial"/>
              </w:rPr>
            </w:pPr>
          </w:p>
          <w:p w:rsidR="0035262D" w:rsidRPr="00395B97" w:rsidRDefault="0035262D" w:rsidP="00335779">
            <w:pPr>
              <w:rPr>
                <w:rFonts w:ascii="Arial" w:hAnsi="Arial" w:cs="Arial"/>
              </w:rPr>
            </w:pPr>
            <w:r w:rsidRPr="0035262D">
              <w:rPr>
                <w:rFonts w:ascii="Arial" w:hAnsi="Arial" w:cs="Arial"/>
              </w:rPr>
              <w:t>(Major submission)</w:t>
            </w:r>
          </w:p>
        </w:tc>
        <w:tc>
          <w:tcPr>
            <w:tcW w:w="2409" w:type="dxa"/>
            <w:vMerge w:val="restart"/>
          </w:tcPr>
          <w:p w:rsidR="004D72CE" w:rsidRPr="00395B97" w:rsidRDefault="0035262D" w:rsidP="00335779">
            <w:pPr>
              <w:rPr>
                <w:rFonts w:ascii="Arial" w:hAnsi="Arial" w:cs="Arial"/>
              </w:rPr>
            </w:pPr>
            <w:proofErr w:type="spellStart"/>
            <w:r w:rsidRPr="0035262D">
              <w:rPr>
                <w:rFonts w:ascii="Arial" w:hAnsi="Arial" w:cs="Arial"/>
              </w:rPr>
              <w:lastRenderedPageBreak/>
              <w:t>Vitreomacular</w:t>
            </w:r>
            <w:proofErr w:type="spellEnd"/>
            <w:r w:rsidRPr="0035262D">
              <w:rPr>
                <w:rFonts w:ascii="Arial" w:hAnsi="Arial" w:cs="Arial"/>
              </w:rPr>
              <w:t xml:space="preserve"> traction</w:t>
            </w:r>
          </w:p>
        </w:tc>
        <w:tc>
          <w:tcPr>
            <w:tcW w:w="3261" w:type="dxa"/>
            <w:tcMar>
              <w:top w:w="28" w:type="dxa"/>
              <w:bottom w:w="28" w:type="dxa"/>
            </w:tcMar>
          </w:tcPr>
          <w:p w:rsidR="004D72CE" w:rsidRPr="00395B97" w:rsidRDefault="0035262D" w:rsidP="00A45B00">
            <w:pPr>
              <w:rPr>
                <w:rFonts w:ascii="Arial" w:hAnsi="Arial" w:cs="Arial"/>
              </w:rPr>
            </w:pPr>
            <w:r w:rsidRPr="0035262D">
              <w:rPr>
                <w:rFonts w:ascii="Arial" w:hAnsi="Arial" w:cs="Arial"/>
              </w:rPr>
              <w:t>Authority Required listing for the treatment of</w:t>
            </w:r>
            <w:r>
              <w:rPr>
                <w:rFonts w:ascii="Arial" w:hAnsi="Arial" w:cs="Arial"/>
              </w:rPr>
              <w:t xml:space="preserve"> </w:t>
            </w:r>
            <w:proofErr w:type="spellStart"/>
            <w:r w:rsidRPr="0035262D">
              <w:rPr>
                <w:rFonts w:ascii="Arial" w:hAnsi="Arial" w:cs="Arial"/>
              </w:rPr>
              <w:t>vitreomacular</w:t>
            </w:r>
            <w:proofErr w:type="spellEnd"/>
            <w:r w:rsidRPr="0035262D">
              <w:rPr>
                <w:rFonts w:ascii="Arial" w:hAnsi="Arial" w:cs="Arial"/>
              </w:rPr>
              <w:t xml:space="preserve"> traction</w:t>
            </w:r>
            <w:r w:rsidR="00EA19A5">
              <w:rPr>
                <w:rFonts w:ascii="Arial" w:hAnsi="Arial" w:cs="Arial"/>
              </w:rPr>
              <w:t xml:space="preserve"> including full-thickness macular hole</w:t>
            </w:r>
            <w:r w:rsidRPr="0035262D">
              <w:rPr>
                <w:rFonts w:ascii="Arial" w:hAnsi="Arial" w:cs="Arial"/>
              </w:rPr>
              <w:t xml:space="preserve"> in patients who meet certain</w:t>
            </w:r>
            <w:r>
              <w:rPr>
                <w:rFonts w:ascii="Arial" w:hAnsi="Arial" w:cs="Arial"/>
              </w:rPr>
              <w:t xml:space="preserve"> </w:t>
            </w:r>
            <w:r w:rsidRPr="0035262D">
              <w:rPr>
                <w:rFonts w:ascii="Arial" w:hAnsi="Arial" w:cs="Arial"/>
              </w:rPr>
              <w:t>criteria.</w:t>
            </w:r>
          </w:p>
        </w:tc>
        <w:tc>
          <w:tcPr>
            <w:tcW w:w="6947" w:type="dxa"/>
          </w:tcPr>
          <w:p w:rsidR="004D72CE" w:rsidRDefault="00E12041" w:rsidP="00A45B00">
            <w:pPr>
              <w:pStyle w:val="ListParagraph"/>
              <w:ind w:left="0"/>
              <w:rPr>
                <w:rFonts w:ascii="Arial" w:hAnsi="Arial" w:cs="Arial"/>
                <w:iCs/>
                <w:sz w:val="20"/>
                <w:szCs w:val="20"/>
              </w:rPr>
            </w:pPr>
            <w:r w:rsidRPr="00E12041">
              <w:rPr>
                <w:rFonts w:ascii="Arial" w:hAnsi="Arial" w:cs="Arial"/>
                <w:iCs/>
                <w:sz w:val="20"/>
                <w:szCs w:val="20"/>
              </w:rPr>
              <w:t xml:space="preserve">The PBAC did not recommend listing </w:t>
            </w:r>
            <w:proofErr w:type="spellStart"/>
            <w:r w:rsidRPr="00E12041">
              <w:rPr>
                <w:rFonts w:ascii="Arial" w:hAnsi="Arial" w:cs="Arial"/>
                <w:iCs/>
                <w:sz w:val="20"/>
                <w:szCs w:val="20"/>
              </w:rPr>
              <w:t>ocriplasmin</w:t>
            </w:r>
            <w:proofErr w:type="spellEnd"/>
            <w:r w:rsidRPr="00E12041">
              <w:rPr>
                <w:rFonts w:ascii="Arial" w:hAnsi="Arial" w:cs="Arial"/>
                <w:iCs/>
                <w:sz w:val="20"/>
                <w:szCs w:val="20"/>
              </w:rPr>
              <w:t xml:space="preserve"> for the treatment of </w:t>
            </w:r>
            <w:proofErr w:type="spellStart"/>
            <w:r w:rsidRPr="00E12041">
              <w:rPr>
                <w:rFonts w:ascii="Arial" w:hAnsi="Arial" w:cs="Arial"/>
                <w:iCs/>
                <w:sz w:val="20"/>
                <w:szCs w:val="20"/>
              </w:rPr>
              <w:t>vitreomacular</w:t>
            </w:r>
            <w:proofErr w:type="spellEnd"/>
            <w:r w:rsidRPr="00E12041">
              <w:rPr>
                <w:rFonts w:ascii="Arial" w:hAnsi="Arial" w:cs="Arial"/>
                <w:iCs/>
                <w:sz w:val="20"/>
                <w:szCs w:val="20"/>
              </w:rPr>
              <w:t xml:space="preserve"> traction (VMT) (including those with full-thickness macular hole (FTMH)) on the basis that cost-effectiveness of </w:t>
            </w:r>
            <w:proofErr w:type="spellStart"/>
            <w:r w:rsidRPr="00E12041">
              <w:rPr>
                <w:rFonts w:ascii="Arial" w:hAnsi="Arial" w:cs="Arial"/>
                <w:iCs/>
                <w:sz w:val="20"/>
                <w:szCs w:val="20"/>
              </w:rPr>
              <w:t>ocriplasmin</w:t>
            </w:r>
            <w:proofErr w:type="spellEnd"/>
            <w:r w:rsidRPr="00E12041">
              <w:rPr>
                <w:rFonts w:ascii="Arial" w:hAnsi="Arial" w:cs="Arial"/>
                <w:iCs/>
                <w:sz w:val="20"/>
                <w:szCs w:val="20"/>
              </w:rPr>
              <w:t xml:space="preserve"> is highly uncertain.  </w:t>
            </w:r>
            <w:r w:rsidR="00DB42F5">
              <w:rPr>
                <w:rFonts w:ascii="Arial" w:hAnsi="Arial" w:cs="Arial"/>
                <w:iCs/>
                <w:sz w:val="20"/>
                <w:szCs w:val="20"/>
              </w:rPr>
              <w:t>The PBAC considered that</w:t>
            </w:r>
            <w:r w:rsidRPr="00E12041">
              <w:rPr>
                <w:rFonts w:ascii="Arial" w:hAnsi="Arial" w:cs="Arial"/>
                <w:iCs/>
                <w:sz w:val="20"/>
                <w:szCs w:val="20"/>
              </w:rPr>
              <w:t xml:space="preserve"> it is unclear what effect </w:t>
            </w:r>
            <w:proofErr w:type="spellStart"/>
            <w:r w:rsidRPr="00E12041">
              <w:rPr>
                <w:rFonts w:ascii="Arial" w:hAnsi="Arial" w:cs="Arial"/>
                <w:iCs/>
                <w:sz w:val="20"/>
                <w:szCs w:val="20"/>
              </w:rPr>
              <w:t>ocriplasmin</w:t>
            </w:r>
            <w:proofErr w:type="spellEnd"/>
            <w:r w:rsidRPr="00E12041">
              <w:rPr>
                <w:rFonts w:ascii="Arial" w:hAnsi="Arial" w:cs="Arial"/>
                <w:iCs/>
                <w:sz w:val="20"/>
                <w:szCs w:val="20"/>
              </w:rPr>
              <w:t xml:space="preserve"> has on outcomes</w:t>
            </w:r>
            <w:r w:rsidR="00DB42F5">
              <w:rPr>
                <w:rFonts w:ascii="Arial" w:hAnsi="Arial" w:cs="Arial"/>
                <w:iCs/>
                <w:sz w:val="20"/>
                <w:szCs w:val="20"/>
              </w:rPr>
              <w:t xml:space="preserve"> that are most relevant to patients,</w:t>
            </w:r>
            <w:r w:rsidRPr="00E12041">
              <w:rPr>
                <w:rFonts w:ascii="Arial" w:hAnsi="Arial" w:cs="Arial"/>
                <w:iCs/>
                <w:sz w:val="20"/>
                <w:szCs w:val="20"/>
              </w:rPr>
              <w:t xml:space="preserve"> such as improving visual function and preventing, rather than delaying,</w:t>
            </w:r>
            <w:r w:rsidR="00DB42F5">
              <w:rPr>
                <w:rFonts w:ascii="Arial" w:hAnsi="Arial" w:cs="Arial"/>
                <w:iCs/>
                <w:sz w:val="20"/>
                <w:szCs w:val="20"/>
              </w:rPr>
              <w:t xml:space="preserve"> </w:t>
            </w:r>
            <w:proofErr w:type="spellStart"/>
            <w:r w:rsidR="00DB42F5">
              <w:rPr>
                <w:rFonts w:ascii="Arial" w:hAnsi="Arial" w:cs="Arial"/>
                <w:iCs/>
                <w:sz w:val="20"/>
                <w:szCs w:val="20"/>
              </w:rPr>
              <w:t>vitrectomy</w:t>
            </w:r>
            <w:proofErr w:type="spellEnd"/>
            <w:r w:rsidR="00DB42F5">
              <w:rPr>
                <w:rFonts w:ascii="Arial" w:hAnsi="Arial" w:cs="Arial"/>
                <w:iCs/>
                <w:sz w:val="20"/>
                <w:szCs w:val="20"/>
              </w:rPr>
              <w:t xml:space="preserve"> in the long-term. </w:t>
            </w:r>
            <w:r w:rsidRPr="00E12041">
              <w:rPr>
                <w:rFonts w:ascii="Arial" w:hAnsi="Arial" w:cs="Arial"/>
                <w:iCs/>
                <w:sz w:val="20"/>
                <w:szCs w:val="20"/>
              </w:rPr>
              <w:t>Given that the effect on the</w:t>
            </w:r>
            <w:r w:rsidR="00DB42F5">
              <w:rPr>
                <w:rFonts w:ascii="Arial" w:hAnsi="Arial" w:cs="Arial"/>
                <w:iCs/>
                <w:sz w:val="20"/>
                <w:szCs w:val="20"/>
              </w:rPr>
              <w:t xml:space="preserve"> patient relevant outcomes wa</w:t>
            </w:r>
            <w:r w:rsidRPr="00E12041">
              <w:rPr>
                <w:rFonts w:ascii="Arial" w:hAnsi="Arial" w:cs="Arial"/>
                <w:iCs/>
                <w:sz w:val="20"/>
                <w:szCs w:val="20"/>
              </w:rPr>
              <w:t>s not clear, the modelled evaluation was not considered to form a suitable basis for decision-making.</w:t>
            </w:r>
          </w:p>
          <w:p w:rsidR="00AE0CA2" w:rsidRPr="00395B97" w:rsidRDefault="00AE0CA2" w:rsidP="00A45B00">
            <w:pPr>
              <w:pStyle w:val="ListParagraph"/>
              <w:ind w:left="0"/>
              <w:rPr>
                <w:rFonts w:ascii="Arial" w:hAnsi="Arial" w:cs="Arial"/>
                <w:iCs/>
                <w:sz w:val="20"/>
                <w:szCs w:val="20"/>
              </w:rPr>
            </w:pPr>
          </w:p>
        </w:tc>
      </w:tr>
      <w:tr w:rsidR="004D72CE" w:rsidRPr="00395B97" w:rsidTr="00257615">
        <w:trPr>
          <w:cantSplit/>
          <w:trHeight w:val="595"/>
        </w:trPr>
        <w:tc>
          <w:tcPr>
            <w:tcW w:w="2694" w:type="dxa"/>
            <w:vMerge/>
            <w:tcMar>
              <w:top w:w="28" w:type="dxa"/>
              <w:bottom w:w="28" w:type="dxa"/>
            </w:tcMar>
          </w:tcPr>
          <w:p w:rsidR="004D72CE" w:rsidRPr="00395B97" w:rsidRDefault="004D72CE" w:rsidP="00335779">
            <w:pPr>
              <w:rPr>
                <w:rFonts w:ascii="Arial" w:hAnsi="Arial" w:cs="Arial"/>
              </w:rPr>
            </w:pPr>
          </w:p>
        </w:tc>
        <w:tc>
          <w:tcPr>
            <w:tcW w:w="2409" w:type="dxa"/>
            <w:vMerge/>
          </w:tcPr>
          <w:p w:rsidR="004D72CE" w:rsidRPr="00395B97" w:rsidRDefault="004D72CE" w:rsidP="00335779">
            <w:pPr>
              <w:widowControl w:val="0"/>
              <w:rPr>
                <w:rFonts w:ascii="Arial" w:hAnsi="Arial" w:cs="Arial"/>
                <w:snapToGrid w:val="0"/>
                <w:lang w:eastAsia="en-US"/>
              </w:rPr>
            </w:pPr>
          </w:p>
        </w:tc>
        <w:tc>
          <w:tcPr>
            <w:tcW w:w="3261" w:type="dxa"/>
            <w:tcMar>
              <w:top w:w="28" w:type="dxa"/>
              <w:bottom w:w="28" w:type="dxa"/>
            </w:tcMar>
          </w:tcPr>
          <w:p w:rsidR="004D72CE" w:rsidRPr="00395B97" w:rsidRDefault="004D72CE"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EA19A5" w:rsidRPr="00EA19A5" w:rsidRDefault="00EA19A5" w:rsidP="00EA19A5">
            <w:pPr>
              <w:rPr>
                <w:rFonts w:ascii="Arial" w:eastAsia="SimSun" w:hAnsi="Arial" w:cs="Arial"/>
                <w:iCs/>
              </w:rPr>
            </w:pPr>
            <w:r w:rsidRPr="00EA19A5">
              <w:rPr>
                <w:rFonts w:ascii="Arial" w:eastAsia="SimSun" w:hAnsi="Arial" w:cs="Arial"/>
                <w:iCs/>
              </w:rPr>
              <w:t xml:space="preserve">Alcon is committed to working with the PBAC to secure reimbursement of </w:t>
            </w:r>
            <w:proofErr w:type="spellStart"/>
            <w:r w:rsidRPr="00EA19A5">
              <w:rPr>
                <w:rFonts w:ascii="Arial" w:eastAsia="SimSun" w:hAnsi="Arial" w:cs="Arial"/>
                <w:iCs/>
              </w:rPr>
              <w:t>ocriplasmin</w:t>
            </w:r>
            <w:proofErr w:type="spellEnd"/>
            <w:r w:rsidRPr="00EA19A5">
              <w:rPr>
                <w:rFonts w:ascii="Arial" w:eastAsia="SimSun" w:hAnsi="Arial" w:cs="Arial"/>
                <w:iCs/>
              </w:rPr>
              <w:t xml:space="preserve"> for patient benefit. </w:t>
            </w:r>
          </w:p>
          <w:p w:rsidR="004D72CE" w:rsidRPr="00395B97" w:rsidRDefault="004D72CE" w:rsidP="00845DB3">
            <w:pPr>
              <w:pStyle w:val="ListParagraph"/>
              <w:ind w:left="0"/>
              <w:jc w:val="both"/>
              <w:rPr>
                <w:rFonts w:ascii="Arial" w:hAnsi="Arial" w:cs="Arial"/>
                <w:iCs/>
                <w:sz w:val="20"/>
                <w:szCs w:val="20"/>
              </w:rPr>
            </w:pPr>
          </w:p>
        </w:tc>
      </w:tr>
      <w:tr w:rsidR="001C3033" w:rsidRPr="00395B97" w:rsidTr="00257615">
        <w:trPr>
          <w:cantSplit/>
          <w:trHeight w:val="465"/>
        </w:trPr>
        <w:tc>
          <w:tcPr>
            <w:tcW w:w="2694" w:type="dxa"/>
            <w:vMerge w:val="restart"/>
            <w:tcMar>
              <w:top w:w="28" w:type="dxa"/>
              <w:bottom w:w="28" w:type="dxa"/>
            </w:tcMar>
          </w:tcPr>
          <w:p w:rsidR="001C3033" w:rsidRPr="001C3033" w:rsidRDefault="001C3033" w:rsidP="001C3033">
            <w:pPr>
              <w:pStyle w:val="ListParagraph"/>
              <w:ind w:left="0"/>
              <w:rPr>
                <w:rFonts w:ascii="Arial" w:hAnsi="Arial" w:cs="Arial"/>
                <w:b/>
                <w:iCs/>
                <w:sz w:val="20"/>
                <w:szCs w:val="20"/>
              </w:rPr>
            </w:pPr>
            <w:r w:rsidRPr="001C3033">
              <w:rPr>
                <w:rFonts w:ascii="Arial" w:hAnsi="Arial" w:cs="Arial"/>
                <w:b/>
                <w:iCs/>
                <w:sz w:val="20"/>
                <w:szCs w:val="20"/>
              </w:rPr>
              <w:lastRenderedPageBreak/>
              <w:t>OXYCODONE</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10 mg modified release tablets</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15 mg modified release tablets</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20 mg modified release tablets</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30 mg modified release tablets</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40 mg modified release tablets</w:t>
            </w: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80 mg modified release tablets</w:t>
            </w:r>
          </w:p>
          <w:p w:rsidR="001C3033" w:rsidRPr="001C3033" w:rsidRDefault="001C3033" w:rsidP="001C3033">
            <w:pPr>
              <w:pStyle w:val="ListParagraph"/>
              <w:ind w:left="0"/>
              <w:rPr>
                <w:rFonts w:ascii="Arial" w:hAnsi="Arial" w:cs="Arial"/>
                <w:iCs/>
                <w:sz w:val="20"/>
                <w:szCs w:val="20"/>
              </w:rPr>
            </w:pP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 xml:space="preserve">OxyContin® MR </w:t>
            </w:r>
          </w:p>
          <w:p w:rsidR="001C3033" w:rsidRPr="001C3033" w:rsidRDefault="001C3033" w:rsidP="001C3033">
            <w:pPr>
              <w:pStyle w:val="ListParagraph"/>
              <w:ind w:left="0"/>
              <w:rPr>
                <w:rFonts w:ascii="Arial" w:hAnsi="Arial" w:cs="Arial"/>
                <w:iCs/>
                <w:sz w:val="20"/>
                <w:szCs w:val="20"/>
              </w:rPr>
            </w:pPr>
          </w:p>
          <w:p w:rsidR="001C3033" w:rsidRPr="001C3033" w:rsidRDefault="001C3033" w:rsidP="001C3033">
            <w:pPr>
              <w:pStyle w:val="ListParagraph"/>
              <w:ind w:left="0"/>
              <w:rPr>
                <w:rFonts w:ascii="Arial" w:hAnsi="Arial" w:cs="Arial"/>
                <w:iCs/>
                <w:sz w:val="20"/>
                <w:szCs w:val="20"/>
              </w:rPr>
            </w:pPr>
            <w:proofErr w:type="spellStart"/>
            <w:r w:rsidRPr="001C3033">
              <w:rPr>
                <w:rFonts w:ascii="Arial" w:hAnsi="Arial" w:cs="Arial"/>
                <w:iCs/>
                <w:sz w:val="20"/>
                <w:szCs w:val="20"/>
              </w:rPr>
              <w:t>Mundipharma</w:t>
            </w:r>
            <w:proofErr w:type="spellEnd"/>
            <w:r w:rsidRPr="001C3033">
              <w:rPr>
                <w:rFonts w:ascii="Arial" w:hAnsi="Arial" w:cs="Arial"/>
                <w:iCs/>
                <w:sz w:val="20"/>
                <w:szCs w:val="20"/>
              </w:rPr>
              <w:t xml:space="preserve"> Pty Ltd</w:t>
            </w:r>
          </w:p>
          <w:p w:rsidR="001C3033" w:rsidRPr="001C3033" w:rsidRDefault="001C3033" w:rsidP="001C3033">
            <w:pPr>
              <w:pStyle w:val="ListParagraph"/>
              <w:ind w:left="0"/>
              <w:rPr>
                <w:rFonts w:ascii="Arial" w:hAnsi="Arial" w:cs="Arial"/>
                <w:iCs/>
                <w:sz w:val="20"/>
                <w:szCs w:val="20"/>
              </w:rPr>
            </w:pP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lastRenderedPageBreak/>
              <w:t>Change to listing</w:t>
            </w:r>
          </w:p>
          <w:p w:rsidR="001C3033" w:rsidRDefault="001C3033" w:rsidP="001C3033">
            <w:pPr>
              <w:pStyle w:val="ListParagraph"/>
              <w:ind w:left="0"/>
              <w:rPr>
                <w:rFonts w:ascii="Arial" w:hAnsi="Arial" w:cs="Arial"/>
                <w:iCs/>
                <w:sz w:val="20"/>
                <w:szCs w:val="20"/>
              </w:rPr>
            </w:pPr>
          </w:p>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(Minor submission)</w:t>
            </w:r>
          </w:p>
          <w:p w:rsidR="001C3033" w:rsidRPr="00395B97" w:rsidRDefault="001C3033" w:rsidP="001C3033">
            <w:pPr>
              <w:rPr>
                <w:rFonts w:ascii="Arial" w:hAnsi="Arial" w:cs="Arial"/>
              </w:rPr>
            </w:pPr>
          </w:p>
        </w:tc>
        <w:tc>
          <w:tcPr>
            <w:tcW w:w="2409" w:type="dxa"/>
            <w:vMerge w:val="restart"/>
          </w:tcPr>
          <w:p w:rsidR="001C3033" w:rsidRPr="00395B97" w:rsidRDefault="001C3033" w:rsidP="001C3033">
            <w:pPr>
              <w:widowControl w:val="0"/>
              <w:rPr>
                <w:rFonts w:ascii="Arial" w:hAnsi="Arial" w:cs="Arial"/>
                <w:snapToGrid w:val="0"/>
                <w:lang w:eastAsia="en-US"/>
              </w:rPr>
            </w:pPr>
            <w:r w:rsidRPr="001C3033">
              <w:rPr>
                <w:rFonts w:ascii="Arial" w:hAnsi="Arial" w:cs="Arial"/>
                <w:snapToGrid w:val="0"/>
                <w:lang w:eastAsia="en-US"/>
              </w:rPr>
              <w:lastRenderedPageBreak/>
              <w:t>Chronic severe disabling pain</w:t>
            </w:r>
          </w:p>
        </w:tc>
        <w:tc>
          <w:tcPr>
            <w:tcW w:w="3261" w:type="dxa"/>
            <w:tcMar>
              <w:top w:w="28" w:type="dxa"/>
              <w:bottom w:w="28" w:type="dxa"/>
            </w:tcMar>
          </w:tcPr>
          <w:p w:rsidR="001C3033" w:rsidRPr="00395B97" w:rsidRDefault="001C3033" w:rsidP="001C3033">
            <w:pPr>
              <w:pStyle w:val="ListParagraph"/>
              <w:ind w:left="0"/>
              <w:rPr>
                <w:rFonts w:ascii="Arial" w:hAnsi="Arial" w:cs="Arial"/>
                <w:snapToGrid w:val="0"/>
                <w:sz w:val="20"/>
                <w:szCs w:val="20"/>
                <w:lang w:eastAsia="en-US"/>
              </w:rPr>
            </w:pPr>
            <w:r w:rsidRPr="001C3033">
              <w:rPr>
                <w:rFonts w:ascii="Arial" w:hAnsi="Arial" w:cs="Arial"/>
                <w:snapToGrid w:val="0"/>
                <w:sz w:val="20"/>
                <w:szCs w:val="20"/>
                <w:lang w:eastAsia="en-US"/>
              </w:rPr>
              <w:t>To amend the existing listing such that generic oxycodone tablets without a claimed abuse-resistant formulation cannot be substitutable with OxyContin by a dispensing pharmacist (i.e. not ‘a’ flagged). The submission further requests the PBAC consider quality use of medicines issues related to the listing of generic oxycodone tablets that do not have abuse-resistant formulation properties.</w:t>
            </w:r>
          </w:p>
        </w:tc>
        <w:tc>
          <w:tcPr>
            <w:tcW w:w="6947" w:type="dxa"/>
          </w:tcPr>
          <w:p w:rsidR="001C3033" w:rsidRPr="001C3033" w:rsidRDefault="001C3033" w:rsidP="001C3033">
            <w:pPr>
              <w:pStyle w:val="ListParagraph"/>
              <w:ind w:left="0"/>
              <w:rPr>
                <w:rFonts w:ascii="Arial" w:hAnsi="Arial" w:cs="Arial"/>
                <w:iCs/>
                <w:sz w:val="20"/>
                <w:szCs w:val="20"/>
              </w:rPr>
            </w:pPr>
            <w:r w:rsidRPr="001C3033">
              <w:rPr>
                <w:rFonts w:ascii="Arial" w:hAnsi="Arial" w:cs="Arial"/>
                <w:iCs/>
                <w:sz w:val="20"/>
                <w:szCs w:val="20"/>
              </w:rPr>
              <w:t>The PBAC did not agree to the submission’s request that</w:t>
            </w:r>
            <w:r w:rsidR="004B758A">
              <w:rPr>
                <w:rFonts w:ascii="Arial" w:hAnsi="Arial" w:cs="Arial"/>
                <w:iCs/>
                <w:sz w:val="20"/>
                <w:szCs w:val="20"/>
              </w:rPr>
              <w:t xml:space="preserve"> the</w:t>
            </w:r>
            <w:r w:rsidRPr="001C3033">
              <w:rPr>
                <w:rFonts w:ascii="Arial" w:hAnsi="Arial" w:cs="Arial"/>
                <w:iCs/>
                <w:sz w:val="20"/>
                <w:szCs w:val="20"/>
              </w:rPr>
              <w:t xml:space="preserve"> PBAC advise the Minister that generic oxycodone modified release tablets without </w:t>
            </w:r>
            <w:r w:rsidR="00CE7E6F">
              <w:rPr>
                <w:rFonts w:ascii="Arial" w:hAnsi="Arial" w:cs="Arial"/>
                <w:iCs/>
                <w:sz w:val="20"/>
                <w:szCs w:val="20"/>
              </w:rPr>
              <w:t>crush deterrent</w:t>
            </w:r>
            <w:r w:rsidRPr="001C3033">
              <w:rPr>
                <w:rFonts w:ascii="Arial" w:hAnsi="Arial" w:cs="Arial"/>
                <w:iCs/>
                <w:sz w:val="20"/>
                <w:szCs w:val="20"/>
              </w:rPr>
              <w:t xml:space="preserve"> formulation should not be ‘a’ flagged with OxyContin.  The PBAC noted that it is usual practice for brands of the same pharmaceutical item which have been considered by the TGA to be bioequivalent to be ‘a’ flagged in the Schedule.  The PBAC noted the Department’s advice that a note </w:t>
            </w:r>
            <w:r w:rsidR="00CE7E6F">
              <w:rPr>
                <w:rFonts w:ascii="Arial" w:hAnsi="Arial" w:cs="Arial"/>
                <w:iCs/>
                <w:sz w:val="20"/>
                <w:szCs w:val="20"/>
              </w:rPr>
              <w:t>would</w:t>
            </w:r>
            <w:r w:rsidRPr="001C3033">
              <w:rPr>
                <w:rFonts w:ascii="Arial" w:hAnsi="Arial" w:cs="Arial"/>
                <w:iCs/>
                <w:sz w:val="20"/>
                <w:szCs w:val="20"/>
              </w:rPr>
              <w:t xml:space="preserve"> be included in the PBS schedule</w:t>
            </w:r>
            <w:r w:rsidR="00E42FB9">
              <w:rPr>
                <w:rFonts w:ascii="Arial" w:hAnsi="Arial" w:cs="Arial"/>
                <w:iCs/>
                <w:sz w:val="20"/>
                <w:szCs w:val="20"/>
              </w:rPr>
              <w:t xml:space="preserve"> from 1 December 2014</w:t>
            </w:r>
            <w:r w:rsidRPr="001C3033">
              <w:rPr>
                <w:rFonts w:ascii="Arial" w:hAnsi="Arial" w:cs="Arial"/>
                <w:iCs/>
                <w:sz w:val="20"/>
                <w:szCs w:val="20"/>
              </w:rPr>
              <w:t xml:space="preserve"> that makes the difference in the formulations clear and agreed this would assist prescribers to choose the most suitable product to meet the clinical needs of </w:t>
            </w:r>
            <w:r w:rsidR="00CE7E6F">
              <w:rPr>
                <w:rFonts w:ascii="Arial" w:hAnsi="Arial" w:cs="Arial"/>
                <w:iCs/>
                <w:sz w:val="20"/>
                <w:szCs w:val="20"/>
              </w:rPr>
              <w:t>individual</w:t>
            </w:r>
            <w:r w:rsidRPr="001C3033">
              <w:rPr>
                <w:rFonts w:ascii="Arial" w:hAnsi="Arial" w:cs="Arial"/>
                <w:iCs/>
                <w:sz w:val="20"/>
                <w:szCs w:val="20"/>
              </w:rPr>
              <w:t xml:space="preserve"> patients. The PBAC also noted input via the Consumer Comments facility on the PBS website and recognised the concerns </w:t>
            </w:r>
            <w:proofErr w:type="gramStart"/>
            <w:r w:rsidRPr="001C3033">
              <w:rPr>
                <w:rFonts w:ascii="Arial" w:hAnsi="Arial" w:cs="Arial"/>
                <w:iCs/>
                <w:sz w:val="20"/>
                <w:szCs w:val="20"/>
              </w:rPr>
              <w:t>raised</w:t>
            </w:r>
            <w:proofErr w:type="gramEnd"/>
            <w:r w:rsidRPr="001C3033">
              <w:rPr>
                <w:rFonts w:ascii="Arial" w:hAnsi="Arial" w:cs="Arial"/>
                <w:iCs/>
                <w:sz w:val="20"/>
                <w:szCs w:val="20"/>
              </w:rPr>
              <w:t xml:space="preserve"> regarding Quality Use of Medicines. The PBAC considered that removing ‘a’ flagging between OxyContin and other brands was not an appropriate mechanism to deal with </w:t>
            </w:r>
            <w:r w:rsidR="00CE7E6F">
              <w:rPr>
                <w:rFonts w:ascii="Arial" w:hAnsi="Arial" w:cs="Arial"/>
                <w:iCs/>
                <w:sz w:val="20"/>
                <w:szCs w:val="20"/>
              </w:rPr>
              <w:t>the much broader problem of opioid medicines overus</w:t>
            </w:r>
            <w:r w:rsidRPr="001C3033">
              <w:rPr>
                <w:rFonts w:ascii="Arial" w:hAnsi="Arial" w:cs="Arial"/>
                <w:iCs/>
                <w:sz w:val="20"/>
                <w:szCs w:val="20"/>
              </w:rPr>
              <w:t xml:space="preserve">e. The PBAC advised that a systematic approach should be undertaken to review and target the use of these opioids to promote the Quality Use of Medicines. </w:t>
            </w:r>
          </w:p>
          <w:p w:rsidR="001C3033" w:rsidRPr="00395B97" w:rsidRDefault="001C3033" w:rsidP="001C3033">
            <w:pPr>
              <w:pStyle w:val="ListParagraph"/>
              <w:ind w:left="0"/>
              <w:rPr>
                <w:rFonts w:ascii="Arial" w:hAnsi="Arial" w:cs="Arial"/>
                <w:iCs/>
                <w:sz w:val="20"/>
                <w:szCs w:val="20"/>
              </w:rPr>
            </w:pPr>
          </w:p>
        </w:tc>
      </w:tr>
      <w:tr w:rsidR="001C3033" w:rsidRPr="00395B97" w:rsidTr="00257615">
        <w:trPr>
          <w:cantSplit/>
          <w:trHeight w:val="465"/>
        </w:trPr>
        <w:tc>
          <w:tcPr>
            <w:tcW w:w="2694" w:type="dxa"/>
            <w:vMerge/>
            <w:tcMar>
              <w:top w:w="28" w:type="dxa"/>
              <w:bottom w:w="28" w:type="dxa"/>
            </w:tcMar>
          </w:tcPr>
          <w:p w:rsidR="001C3033" w:rsidRPr="00395B97" w:rsidRDefault="001C3033" w:rsidP="00335779">
            <w:pPr>
              <w:rPr>
                <w:rFonts w:ascii="Arial" w:hAnsi="Arial" w:cs="Arial"/>
              </w:rPr>
            </w:pPr>
          </w:p>
        </w:tc>
        <w:tc>
          <w:tcPr>
            <w:tcW w:w="2409" w:type="dxa"/>
            <w:vMerge/>
          </w:tcPr>
          <w:p w:rsidR="001C3033" w:rsidRPr="00395B97" w:rsidRDefault="001C3033" w:rsidP="00335779">
            <w:pPr>
              <w:widowControl w:val="0"/>
              <w:rPr>
                <w:rFonts w:ascii="Arial" w:hAnsi="Arial" w:cs="Arial"/>
                <w:snapToGrid w:val="0"/>
                <w:lang w:eastAsia="en-US"/>
              </w:rPr>
            </w:pPr>
          </w:p>
        </w:tc>
        <w:tc>
          <w:tcPr>
            <w:tcW w:w="3261" w:type="dxa"/>
            <w:tcMar>
              <w:top w:w="28" w:type="dxa"/>
              <w:bottom w:w="28" w:type="dxa"/>
            </w:tcMar>
          </w:tcPr>
          <w:p w:rsidR="001C3033" w:rsidRPr="00395B97" w:rsidRDefault="001C3033" w:rsidP="00275397">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C3033" w:rsidRDefault="00642A2C" w:rsidP="00642A2C">
            <w:pPr>
              <w:pStyle w:val="ListParagraph"/>
              <w:ind w:left="0"/>
              <w:rPr>
                <w:rFonts w:ascii="Arial" w:hAnsi="Arial" w:cs="Arial"/>
                <w:iCs/>
                <w:sz w:val="20"/>
                <w:szCs w:val="20"/>
              </w:rPr>
            </w:pPr>
            <w:proofErr w:type="spellStart"/>
            <w:r w:rsidRPr="00642A2C">
              <w:rPr>
                <w:rFonts w:ascii="Arial" w:hAnsi="Arial" w:cs="Arial"/>
                <w:iCs/>
                <w:sz w:val="20"/>
                <w:szCs w:val="20"/>
              </w:rPr>
              <w:t>Mundipharma</w:t>
            </w:r>
            <w:proofErr w:type="spellEnd"/>
            <w:r w:rsidRPr="00642A2C">
              <w:rPr>
                <w:rFonts w:ascii="Arial" w:hAnsi="Arial" w:cs="Arial"/>
                <w:iCs/>
                <w:sz w:val="20"/>
                <w:szCs w:val="20"/>
              </w:rPr>
              <w:t xml:space="preserve"> is disappointed that the PBAC has limited its consideration of substitutability to the criterion of bioequivalence, when in it is not obliged to do so. If the objective of the PBAC is to assist prescribers to choose the most suitable product to meet the clinical needs of individual patients then a more prudent option would be to allow both products to be available on the PBS, but not to recommend an ‘a’ flag.   This would ensure both that the prescribers have choice and that what gets dispensed matches their prescribing intention. It would also provide better protection to dispensing pharmacists. </w:t>
            </w:r>
            <w:proofErr w:type="spellStart"/>
            <w:r w:rsidRPr="00642A2C">
              <w:rPr>
                <w:rFonts w:ascii="Arial" w:hAnsi="Arial" w:cs="Arial"/>
                <w:iCs/>
                <w:sz w:val="20"/>
                <w:szCs w:val="20"/>
              </w:rPr>
              <w:t>Mundipharma</w:t>
            </w:r>
            <w:proofErr w:type="spellEnd"/>
            <w:r w:rsidRPr="00642A2C">
              <w:rPr>
                <w:rFonts w:ascii="Arial" w:hAnsi="Arial" w:cs="Arial"/>
                <w:iCs/>
                <w:sz w:val="20"/>
                <w:szCs w:val="20"/>
              </w:rPr>
              <w:t xml:space="preserve"> agrees that the problem of prescription opioid abuse requires a broad approach. No single initiative, however, can be expected to solve the problem in isolation. The National Prescription Opioids Abuse Framework for action, which has been ratified by the Commonwealth Government, includes a specific recommendation to ‘promote the use of tamper-resistant technologies for target medications’. </w:t>
            </w:r>
            <w:proofErr w:type="spellStart"/>
            <w:r w:rsidRPr="00642A2C">
              <w:rPr>
                <w:rFonts w:ascii="Arial" w:hAnsi="Arial" w:cs="Arial"/>
                <w:iCs/>
                <w:sz w:val="20"/>
                <w:szCs w:val="20"/>
              </w:rPr>
              <w:t>Mundipharma</w:t>
            </w:r>
            <w:proofErr w:type="spellEnd"/>
            <w:r w:rsidRPr="00642A2C">
              <w:rPr>
                <w:rFonts w:ascii="Arial" w:hAnsi="Arial" w:cs="Arial"/>
                <w:iCs/>
                <w:sz w:val="20"/>
                <w:szCs w:val="20"/>
              </w:rPr>
              <w:t xml:space="preserve"> believes that this recommendation represents a missed opportunity to support an important element of the Framework.</w:t>
            </w:r>
          </w:p>
          <w:p w:rsidR="00642A2C" w:rsidRPr="001C3033" w:rsidRDefault="00642A2C" w:rsidP="00642A2C">
            <w:pPr>
              <w:pStyle w:val="ListParagraph"/>
              <w:ind w:left="0"/>
              <w:rPr>
                <w:rFonts w:ascii="Arial" w:hAnsi="Arial" w:cs="Arial"/>
                <w:iCs/>
                <w:sz w:val="20"/>
                <w:szCs w:val="20"/>
              </w:rPr>
            </w:pPr>
          </w:p>
        </w:tc>
      </w:tr>
      <w:tr w:rsidR="001C3033" w:rsidRPr="00395B97" w:rsidTr="00257615">
        <w:trPr>
          <w:cantSplit/>
          <w:trHeight w:val="896"/>
        </w:trPr>
        <w:tc>
          <w:tcPr>
            <w:tcW w:w="2694" w:type="dxa"/>
            <w:vMerge w:val="restart"/>
            <w:tcMar>
              <w:top w:w="28" w:type="dxa"/>
              <w:bottom w:w="28" w:type="dxa"/>
            </w:tcMar>
          </w:tcPr>
          <w:p w:rsidR="001C3033" w:rsidRPr="00927BAA" w:rsidRDefault="001C3033" w:rsidP="00335779">
            <w:pPr>
              <w:rPr>
                <w:rFonts w:ascii="Arial" w:hAnsi="Arial" w:cs="Arial"/>
                <w:b/>
              </w:rPr>
            </w:pPr>
            <w:r w:rsidRPr="00927BAA">
              <w:rPr>
                <w:rFonts w:ascii="Arial" w:hAnsi="Arial" w:cs="Arial"/>
                <w:b/>
              </w:rPr>
              <w:lastRenderedPageBreak/>
              <w:t>PARACETAMOL</w:t>
            </w:r>
          </w:p>
          <w:p w:rsidR="001C3033" w:rsidRPr="006D002D" w:rsidRDefault="001C3033" w:rsidP="00335779">
            <w:pPr>
              <w:rPr>
                <w:rFonts w:ascii="Arial" w:hAnsi="Arial" w:cs="Arial"/>
              </w:rPr>
            </w:pPr>
            <w:r w:rsidRPr="006D002D">
              <w:rPr>
                <w:rFonts w:ascii="Arial" w:hAnsi="Arial" w:cs="Arial"/>
              </w:rPr>
              <w:t>665 mg tablet: modified release, 96 tablets</w:t>
            </w:r>
          </w:p>
          <w:p w:rsidR="001C3033" w:rsidRPr="006D002D" w:rsidRDefault="001C3033" w:rsidP="00335779">
            <w:pPr>
              <w:rPr>
                <w:rFonts w:ascii="Arial" w:hAnsi="Arial" w:cs="Arial"/>
              </w:rPr>
            </w:pPr>
          </w:p>
          <w:p w:rsidR="001C3033" w:rsidRPr="006D002D" w:rsidRDefault="001C3033" w:rsidP="00335779">
            <w:pPr>
              <w:rPr>
                <w:rFonts w:ascii="Arial" w:hAnsi="Arial" w:cs="Arial"/>
              </w:rPr>
            </w:pPr>
            <w:r w:rsidRPr="006D002D">
              <w:rPr>
                <w:rFonts w:ascii="Arial" w:hAnsi="Arial" w:cs="Arial"/>
              </w:rPr>
              <w:t xml:space="preserve">Paracetamol </w:t>
            </w:r>
            <w:proofErr w:type="spellStart"/>
            <w:r w:rsidRPr="006D002D">
              <w:rPr>
                <w:rFonts w:ascii="Arial" w:hAnsi="Arial" w:cs="Arial"/>
              </w:rPr>
              <w:t>Osteo</w:t>
            </w:r>
            <w:proofErr w:type="spellEnd"/>
            <w:r w:rsidRPr="006D002D">
              <w:rPr>
                <w:rFonts w:ascii="Arial" w:hAnsi="Arial" w:cs="Arial"/>
              </w:rPr>
              <w:t xml:space="preserve"> Tab</w:t>
            </w:r>
            <w:r w:rsidR="00582E8D" w:rsidRPr="001C3033">
              <w:rPr>
                <w:rFonts w:ascii="Arial" w:hAnsi="Arial" w:cs="Arial"/>
                <w:iCs/>
              </w:rPr>
              <w:t>®</w:t>
            </w:r>
          </w:p>
          <w:p w:rsidR="001C3033" w:rsidRPr="006D002D" w:rsidRDefault="001C3033" w:rsidP="00335779">
            <w:pPr>
              <w:rPr>
                <w:rFonts w:ascii="Arial" w:hAnsi="Arial" w:cs="Arial"/>
              </w:rPr>
            </w:pPr>
          </w:p>
          <w:p w:rsidR="001C3033" w:rsidRDefault="001C3033" w:rsidP="00335779">
            <w:pPr>
              <w:rPr>
                <w:rFonts w:ascii="Arial" w:hAnsi="Arial" w:cs="Arial"/>
              </w:rPr>
            </w:pPr>
            <w:r w:rsidRPr="006D002D">
              <w:rPr>
                <w:rFonts w:ascii="Arial" w:hAnsi="Arial" w:cs="Arial"/>
              </w:rPr>
              <w:t>AFT Pharmaceuticals Pty Ltd</w:t>
            </w:r>
          </w:p>
          <w:p w:rsidR="001C3033" w:rsidRDefault="001C3033" w:rsidP="00335779">
            <w:pPr>
              <w:rPr>
                <w:rFonts w:ascii="Arial" w:hAnsi="Arial" w:cs="Arial"/>
              </w:rPr>
            </w:pPr>
          </w:p>
          <w:p w:rsidR="001C3033" w:rsidRDefault="001C3033" w:rsidP="00335779">
            <w:pPr>
              <w:rPr>
                <w:rFonts w:ascii="Arial" w:hAnsi="Arial" w:cs="Arial"/>
              </w:rPr>
            </w:pPr>
            <w:r w:rsidRPr="006D002D">
              <w:rPr>
                <w:rFonts w:ascii="Arial" w:hAnsi="Arial" w:cs="Arial"/>
              </w:rPr>
              <w:t>New listing</w:t>
            </w:r>
          </w:p>
          <w:p w:rsidR="001C3033" w:rsidRPr="006D002D" w:rsidRDefault="001C3033" w:rsidP="00335779">
            <w:pPr>
              <w:rPr>
                <w:rFonts w:ascii="Arial" w:hAnsi="Arial" w:cs="Arial"/>
              </w:rPr>
            </w:pPr>
          </w:p>
          <w:p w:rsidR="001C3033" w:rsidRPr="006D002D" w:rsidRDefault="001C3033" w:rsidP="00335779">
            <w:pPr>
              <w:rPr>
                <w:rFonts w:ascii="Arial" w:hAnsi="Arial" w:cs="Arial"/>
                <w:color w:val="222222"/>
              </w:rPr>
            </w:pPr>
            <w:r w:rsidRPr="006D002D">
              <w:rPr>
                <w:rFonts w:ascii="Arial" w:hAnsi="Arial" w:cs="Arial"/>
              </w:rPr>
              <w:t>(Minor submission</w:t>
            </w:r>
            <w:r w:rsidRPr="006D002D">
              <w:rPr>
                <w:rFonts w:ascii="Arial" w:hAnsi="Arial" w:cs="Arial"/>
                <w:color w:val="222222"/>
              </w:rPr>
              <w:t>)</w:t>
            </w:r>
          </w:p>
          <w:p w:rsidR="001C3033" w:rsidRPr="00395B97" w:rsidRDefault="001C3033" w:rsidP="00335779">
            <w:pPr>
              <w:rPr>
                <w:rFonts w:ascii="Arial" w:hAnsi="Arial" w:cs="Arial"/>
              </w:rPr>
            </w:pPr>
          </w:p>
        </w:tc>
        <w:tc>
          <w:tcPr>
            <w:tcW w:w="2409" w:type="dxa"/>
            <w:vMerge w:val="restart"/>
          </w:tcPr>
          <w:p w:rsidR="001C3033" w:rsidRPr="00395B97" w:rsidRDefault="001C3033" w:rsidP="00335779">
            <w:pPr>
              <w:rPr>
                <w:rFonts w:ascii="Arial" w:hAnsi="Arial" w:cs="Arial"/>
              </w:rPr>
            </w:pPr>
            <w:r>
              <w:rPr>
                <w:rFonts w:ascii="Arial" w:hAnsi="Arial" w:cs="Arial"/>
              </w:rPr>
              <w:t>Pain</w:t>
            </w:r>
          </w:p>
        </w:tc>
        <w:tc>
          <w:tcPr>
            <w:tcW w:w="3261" w:type="dxa"/>
            <w:tcMar>
              <w:top w:w="28" w:type="dxa"/>
              <w:bottom w:w="28" w:type="dxa"/>
            </w:tcMar>
          </w:tcPr>
          <w:p w:rsidR="001C3033" w:rsidRDefault="001C3033" w:rsidP="00845DB3">
            <w:pPr>
              <w:jc w:val="both"/>
              <w:rPr>
                <w:rFonts w:ascii="Arial" w:hAnsi="Arial" w:cs="Arial"/>
              </w:rPr>
            </w:pPr>
            <w:r w:rsidRPr="006D002D">
              <w:rPr>
                <w:rFonts w:ascii="Arial" w:hAnsi="Arial" w:cs="Arial"/>
              </w:rPr>
              <w:t>Restricted Benefit listing for the relief of persistent pain associated with osteoarthritis.</w:t>
            </w:r>
          </w:p>
          <w:p w:rsidR="00AE0CA2" w:rsidRPr="00395B97" w:rsidRDefault="00AE0CA2" w:rsidP="00845DB3">
            <w:pPr>
              <w:jc w:val="both"/>
              <w:rPr>
                <w:rFonts w:ascii="Arial" w:hAnsi="Arial" w:cs="Arial"/>
              </w:rPr>
            </w:pPr>
          </w:p>
        </w:tc>
        <w:tc>
          <w:tcPr>
            <w:tcW w:w="6947" w:type="dxa"/>
          </w:tcPr>
          <w:p w:rsidR="001C3033" w:rsidRDefault="001C3033" w:rsidP="00CE7E6F">
            <w:pPr>
              <w:pStyle w:val="ListParagraph"/>
              <w:ind w:left="0"/>
              <w:jc w:val="both"/>
              <w:rPr>
                <w:rFonts w:ascii="Arial" w:hAnsi="Arial" w:cs="Arial"/>
                <w:iCs/>
                <w:sz w:val="20"/>
                <w:szCs w:val="20"/>
              </w:rPr>
            </w:pPr>
            <w:r w:rsidRPr="006D002D">
              <w:rPr>
                <w:rFonts w:ascii="Arial" w:hAnsi="Arial" w:cs="Arial"/>
                <w:iCs/>
                <w:sz w:val="20"/>
                <w:szCs w:val="20"/>
              </w:rPr>
              <w:t>The PBAC rejected the submission on the basis that no bioequivalence statement had been provided. In the absence of such a statement, the PBAC rejected the submission on the basis that no clinically relevant data had been presented to allow the PBAC to be sufficiently satisfied that the proposed product produces equivalent health outcomes as the existing product</w:t>
            </w:r>
            <w:r>
              <w:rPr>
                <w:rFonts w:ascii="Arial" w:hAnsi="Arial" w:cs="Arial"/>
                <w:iCs/>
                <w:sz w:val="20"/>
                <w:szCs w:val="20"/>
              </w:rPr>
              <w:t>.</w:t>
            </w:r>
          </w:p>
          <w:p w:rsidR="000C219D" w:rsidRPr="00395B97" w:rsidRDefault="000C219D" w:rsidP="00CE7E6F">
            <w:pPr>
              <w:pStyle w:val="ListParagraph"/>
              <w:ind w:left="0"/>
              <w:jc w:val="both"/>
              <w:rPr>
                <w:rFonts w:ascii="Arial" w:hAnsi="Arial" w:cs="Arial"/>
                <w:iCs/>
                <w:sz w:val="20"/>
                <w:szCs w:val="20"/>
              </w:rPr>
            </w:pPr>
          </w:p>
        </w:tc>
      </w:tr>
      <w:tr w:rsidR="001C3033" w:rsidRPr="00395B97" w:rsidTr="00257615">
        <w:trPr>
          <w:cantSplit/>
          <w:trHeight w:val="465"/>
        </w:trPr>
        <w:tc>
          <w:tcPr>
            <w:tcW w:w="2694" w:type="dxa"/>
            <w:vMerge/>
            <w:tcMar>
              <w:top w:w="28" w:type="dxa"/>
              <w:bottom w:w="28" w:type="dxa"/>
            </w:tcMar>
          </w:tcPr>
          <w:p w:rsidR="001C3033" w:rsidRPr="00395B97" w:rsidRDefault="001C3033" w:rsidP="00335779">
            <w:pPr>
              <w:rPr>
                <w:rFonts w:ascii="Arial" w:hAnsi="Arial" w:cs="Arial"/>
              </w:rPr>
            </w:pPr>
          </w:p>
        </w:tc>
        <w:tc>
          <w:tcPr>
            <w:tcW w:w="2409" w:type="dxa"/>
            <w:vMerge/>
          </w:tcPr>
          <w:p w:rsidR="001C3033" w:rsidRPr="00395B97" w:rsidRDefault="001C3033" w:rsidP="00335779">
            <w:pPr>
              <w:widowControl w:val="0"/>
              <w:rPr>
                <w:rFonts w:ascii="Arial" w:hAnsi="Arial" w:cs="Arial"/>
                <w:snapToGrid w:val="0"/>
                <w:lang w:eastAsia="en-US"/>
              </w:rPr>
            </w:pPr>
          </w:p>
        </w:tc>
        <w:tc>
          <w:tcPr>
            <w:tcW w:w="3261" w:type="dxa"/>
            <w:tcMar>
              <w:top w:w="28" w:type="dxa"/>
              <w:bottom w:w="28" w:type="dxa"/>
            </w:tcMar>
          </w:tcPr>
          <w:p w:rsidR="001C3033" w:rsidRPr="00395B97" w:rsidRDefault="001C3033"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C3033" w:rsidRPr="00395B97" w:rsidRDefault="00780B0E" w:rsidP="00845DB3">
            <w:pPr>
              <w:pStyle w:val="ListParagraph"/>
              <w:ind w:left="0"/>
              <w:jc w:val="both"/>
              <w:rPr>
                <w:rFonts w:ascii="Arial" w:hAnsi="Arial" w:cs="Arial"/>
                <w:iCs/>
                <w:sz w:val="20"/>
                <w:szCs w:val="20"/>
              </w:rPr>
            </w:pPr>
            <w:r w:rsidRPr="00780B0E">
              <w:rPr>
                <w:rFonts w:ascii="Arial" w:hAnsi="Arial" w:cs="Arial"/>
                <w:iCs/>
                <w:sz w:val="20"/>
                <w:szCs w:val="20"/>
              </w:rPr>
              <w:t>Sponsor noted the PBAC comments and is conducting further work to address them</w:t>
            </w:r>
            <w:r w:rsidR="00922F1A">
              <w:rPr>
                <w:rFonts w:ascii="Arial" w:hAnsi="Arial" w:cs="Arial"/>
                <w:iCs/>
                <w:sz w:val="20"/>
                <w:szCs w:val="20"/>
              </w:rPr>
              <w:t>.</w:t>
            </w:r>
          </w:p>
        </w:tc>
      </w:tr>
      <w:tr w:rsidR="001C3033" w:rsidRPr="00395B97" w:rsidTr="00257615">
        <w:trPr>
          <w:cantSplit/>
          <w:trHeight w:val="1223"/>
        </w:trPr>
        <w:tc>
          <w:tcPr>
            <w:tcW w:w="2694" w:type="dxa"/>
            <w:vMerge w:val="restart"/>
            <w:tcMar>
              <w:top w:w="28" w:type="dxa"/>
              <w:bottom w:w="28" w:type="dxa"/>
            </w:tcMar>
          </w:tcPr>
          <w:p w:rsidR="001C3033" w:rsidRDefault="001C3033" w:rsidP="00335779">
            <w:pPr>
              <w:rPr>
                <w:rFonts w:ascii="Arial" w:hAnsi="Arial" w:cs="Arial"/>
              </w:rPr>
            </w:pPr>
            <w:r w:rsidRPr="00927BAA">
              <w:rPr>
                <w:rFonts w:ascii="Arial" w:hAnsi="Arial" w:cs="Arial"/>
                <w:b/>
              </w:rPr>
              <w:lastRenderedPageBreak/>
              <w:t>RIOCIGUAT</w:t>
            </w:r>
          </w:p>
          <w:p w:rsidR="001C3033" w:rsidRPr="00640C80" w:rsidRDefault="001C3033" w:rsidP="00335779">
            <w:pPr>
              <w:widowControl w:val="0"/>
              <w:rPr>
                <w:rFonts w:ascii="Arial" w:hAnsi="Arial" w:cs="Arial"/>
              </w:rPr>
            </w:pPr>
            <w:r w:rsidRPr="00640C80">
              <w:rPr>
                <w:rFonts w:ascii="Arial" w:hAnsi="Arial" w:cs="Arial"/>
              </w:rPr>
              <w:t>500 microgram tablet, 42 and 84</w:t>
            </w:r>
          </w:p>
          <w:p w:rsidR="001C3033" w:rsidRPr="00640C80" w:rsidRDefault="001C3033" w:rsidP="00335779">
            <w:pPr>
              <w:widowControl w:val="0"/>
              <w:rPr>
                <w:rFonts w:ascii="Arial" w:hAnsi="Arial" w:cs="Arial"/>
              </w:rPr>
            </w:pPr>
            <w:r w:rsidRPr="00640C80">
              <w:rPr>
                <w:rFonts w:ascii="Arial" w:hAnsi="Arial" w:cs="Arial"/>
              </w:rPr>
              <w:t>1 mg tablet, 42 and 84</w:t>
            </w:r>
          </w:p>
          <w:p w:rsidR="001C3033" w:rsidRPr="00640C80" w:rsidRDefault="001C3033" w:rsidP="00335779">
            <w:pPr>
              <w:widowControl w:val="0"/>
              <w:rPr>
                <w:rFonts w:ascii="Arial" w:hAnsi="Arial" w:cs="Arial"/>
              </w:rPr>
            </w:pPr>
            <w:r w:rsidRPr="00640C80">
              <w:rPr>
                <w:rFonts w:ascii="Arial" w:hAnsi="Arial" w:cs="Arial"/>
              </w:rPr>
              <w:t>1.5 mg tablet, 42 and 84</w:t>
            </w:r>
          </w:p>
          <w:p w:rsidR="001C3033" w:rsidRPr="00640C80" w:rsidRDefault="001C3033" w:rsidP="00335779">
            <w:pPr>
              <w:widowControl w:val="0"/>
              <w:rPr>
                <w:rFonts w:ascii="Arial" w:hAnsi="Arial" w:cs="Arial"/>
              </w:rPr>
            </w:pPr>
            <w:r w:rsidRPr="00640C80">
              <w:rPr>
                <w:rFonts w:ascii="Arial" w:hAnsi="Arial" w:cs="Arial"/>
              </w:rPr>
              <w:t>2 mg tablet, 42 and 84  </w:t>
            </w:r>
          </w:p>
          <w:p w:rsidR="001C3033" w:rsidRPr="00640C80" w:rsidRDefault="001C3033" w:rsidP="00335779">
            <w:pPr>
              <w:widowControl w:val="0"/>
              <w:rPr>
                <w:rFonts w:ascii="Arial" w:hAnsi="Arial" w:cs="Arial"/>
              </w:rPr>
            </w:pPr>
          </w:p>
          <w:p w:rsidR="001C3033" w:rsidRPr="00640C80" w:rsidRDefault="001C3033" w:rsidP="00335779">
            <w:pPr>
              <w:widowControl w:val="0"/>
              <w:rPr>
                <w:rFonts w:ascii="Arial" w:hAnsi="Arial" w:cs="Arial"/>
              </w:rPr>
            </w:pPr>
            <w:proofErr w:type="spellStart"/>
            <w:r w:rsidRPr="00640C80">
              <w:rPr>
                <w:rFonts w:ascii="Arial" w:hAnsi="Arial" w:cs="Arial"/>
              </w:rPr>
              <w:t>Adempas</w:t>
            </w:r>
            <w:proofErr w:type="spellEnd"/>
            <w:r w:rsidRPr="00640C80">
              <w:rPr>
                <w:rFonts w:ascii="Arial" w:hAnsi="Arial" w:cs="Arial"/>
                <w:vertAlign w:val="superscript"/>
              </w:rPr>
              <w:t>®</w:t>
            </w:r>
          </w:p>
          <w:p w:rsidR="001C3033" w:rsidRPr="00640C80" w:rsidRDefault="001C3033" w:rsidP="00335779">
            <w:pPr>
              <w:widowControl w:val="0"/>
              <w:rPr>
                <w:rFonts w:ascii="Arial" w:hAnsi="Arial" w:cs="Arial"/>
              </w:rPr>
            </w:pPr>
            <w:r w:rsidRPr="00640C80">
              <w:rPr>
                <w:rFonts w:ascii="Arial" w:hAnsi="Arial" w:cs="Arial"/>
              </w:rPr>
              <w:t> </w:t>
            </w:r>
          </w:p>
          <w:p w:rsidR="001C3033" w:rsidRPr="00640C80" w:rsidRDefault="001C3033" w:rsidP="00335779">
            <w:pPr>
              <w:widowControl w:val="0"/>
              <w:rPr>
                <w:rFonts w:ascii="Arial" w:hAnsi="Arial" w:cs="Arial"/>
              </w:rPr>
            </w:pPr>
            <w:r w:rsidRPr="00640C80">
              <w:rPr>
                <w:rFonts w:ascii="Arial" w:hAnsi="Arial" w:cs="Arial"/>
              </w:rPr>
              <w:t>Bayer Australia Ltd</w:t>
            </w:r>
          </w:p>
          <w:p w:rsidR="001C3033" w:rsidRDefault="001C3033" w:rsidP="00335779">
            <w:pPr>
              <w:widowControl w:val="0"/>
              <w:rPr>
                <w:rFonts w:ascii="Arial" w:hAnsi="Arial" w:cs="Arial"/>
              </w:rPr>
            </w:pPr>
          </w:p>
          <w:p w:rsidR="001C3033" w:rsidRDefault="001C3033" w:rsidP="00335779">
            <w:pPr>
              <w:widowControl w:val="0"/>
              <w:rPr>
                <w:rFonts w:ascii="Arial" w:hAnsi="Arial" w:cs="Arial"/>
              </w:rPr>
            </w:pPr>
            <w:r w:rsidRPr="00640C80">
              <w:rPr>
                <w:rFonts w:ascii="Arial" w:hAnsi="Arial" w:cs="Arial"/>
              </w:rPr>
              <w:t>New Listing</w:t>
            </w:r>
          </w:p>
          <w:p w:rsidR="001C3033" w:rsidRPr="00640C80" w:rsidRDefault="001C3033" w:rsidP="00335779">
            <w:pPr>
              <w:widowControl w:val="0"/>
              <w:rPr>
                <w:rFonts w:ascii="Arial" w:hAnsi="Arial" w:cs="Arial"/>
              </w:rPr>
            </w:pPr>
          </w:p>
          <w:p w:rsidR="001C3033" w:rsidRPr="00640C80" w:rsidRDefault="001C3033" w:rsidP="00335779">
            <w:pPr>
              <w:widowControl w:val="0"/>
              <w:rPr>
                <w:rFonts w:ascii="Arial" w:hAnsi="Arial" w:cs="Arial"/>
              </w:rPr>
            </w:pPr>
            <w:r w:rsidRPr="00640C80">
              <w:rPr>
                <w:rFonts w:ascii="Arial" w:hAnsi="Arial" w:cs="Arial"/>
              </w:rPr>
              <w:t>(Major submission)</w:t>
            </w:r>
          </w:p>
          <w:p w:rsidR="001C3033" w:rsidRPr="00395B97" w:rsidRDefault="001C3033" w:rsidP="00335779">
            <w:pPr>
              <w:widowControl w:val="0"/>
              <w:rPr>
                <w:rFonts w:ascii="Arial" w:hAnsi="Arial" w:cs="Arial"/>
              </w:rPr>
            </w:pPr>
          </w:p>
        </w:tc>
        <w:tc>
          <w:tcPr>
            <w:tcW w:w="2409" w:type="dxa"/>
            <w:vMerge w:val="restart"/>
          </w:tcPr>
          <w:p w:rsidR="001C3033" w:rsidRPr="00395B97" w:rsidRDefault="001C3033" w:rsidP="00335779">
            <w:pPr>
              <w:rPr>
                <w:rFonts w:ascii="Arial" w:hAnsi="Arial" w:cs="Arial"/>
              </w:rPr>
            </w:pPr>
            <w:r w:rsidRPr="00640C80">
              <w:rPr>
                <w:rFonts w:ascii="Arial" w:hAnsi="Arial" w:cs="Arial"/>
              </w:rPr>
              <w:t>Chronic thromboembolic pulmonary hypertension</w:t>
            </w:r>
          </w:p>
        </w:tc>
        <w:tc>
          <w:tcPr>
            <w:tcW w:w="3261" w:type="dxa"/>
            <w:tcMar>
              <w:top w:w="28" w:type="dxa"/>
              <w:bottom w:w="28" w:type="dxa"/>
            </w:tcMar>
          </w:tcPr>
          <w:p w:rsidR="001C3033" w:rsidRPr="00395B97" w:rsidRDefault="001C3033" w:rsidP="003108D7">
            <w:pPr>
              <w:autoSpaceDE w:val="0"/>
              <w:autoSpaceDN w:val="0"/>
              <w:adjustRightInd w:val="0"/>
              <w:rPr>
                <w:rFonts w:ascii="Arial" w:hAnsi="Arial" w:cs="Arial"/>
              </w:rPr>
            </w:pPr>
            <w:r w:rsidRPr="00640C80">
              <w:rPr>
                <w:rFonts w:ascii="Arial" w:hAnsi="Arial" w:cs="Arial"/>
              </w:rPr>
              <w:t>Section 100 Authority Required listing for the treatment of chronic thromboembolic pulmonary hypertension.</w:t>
            </w:r>
          </w:p>
        </w:tc>
        <w:tc>
          <w:tcPr>
            <w:tcW w:w="6947" w:type="dxa"/>
          </w:tcPr>
          <w:p w:rsidR="001C3033" w:rsidRPr="00335779" w:rsidRDefault="001C3033" w:rsidP="00335779">
            <w:pPr>
              <w:jc w:val="both"/>
              <w:rPr>
                <w:rFonts w:ascii="Arial" w:hAnsi="Arial" w:cs="Arial"/>
                <w:iCs/>
              </w:rPr>
            </w:pPr>
            <w:r w:rsidRPr="00335779">
              <w:rPr>
                <w:rFonts w:ascii="Arial" w:hAnsi="Arial" w:cs="Arial"/>
                <w:iCs/>
              </w:rPr>
              <w:t xml:space="preserve">The PBAC rejected the Authority Required listing for riociguat for the treatment of inoperable or persistent/recurrent chronic thromboembolic pulmonary hypertension after a pulmonary </w:t>
            </w:r>
            <w:proofErr w:type="spellStart"/>
            <w:r w:rsidRPr="00335779">
              <w:rPr>
                <w:rFonts w:ascii="Arial" w:hAnsi="Arial" w:cs="Arial"/>
                <w:iCs/>
              </w:rPr>
              <w:t>endarterectomy</w:t>
            </w:r>
            <w:proofErr w:type="spellEnd"/>
            <w:r w:rsidRPr="00335779">
              <w:rPr>
                <w:rFonts w:ascii="Arial" w:hAnsi="Arial" w:cs="Arial"/>
                <w:iCs/>
              </w:rPr>
              <w:t>, as the cost-effectiveness of riociguat for this indication had not been established against the appropriate comparator.</w:t>
            </w:r>
          </w:p>
          <w:p w:rsidR="001C3033" w:rsidRPr="00335779" w:rsidRDefault="001C3033" w:rsidP="00335779">
            <w:pPr>
              <w:pStyle w:val="ListParagraph"/>
              <w:jc w:val="both"/>
              <w:rPr>
                <w:rFonts w:ascii="Arial" w:hAnsi="Arial" w:cs="Arial"/>
                <w:iCs/>
                <w:sz w:val="20"/>
                <w:szCs w:val="20"/>
              </w:rPr>
            </w:pPr>
          </w:p>
          <w:p w:rsidR="001C3033" w:rsidRPr="00335779" w:rsidRDefault="001C3033" w:rsidP="00335779">
            <w:pPr>
              <w:jc w:val="both"/>
              <w:rPr>
                <w:rFonts w:ascii="Arial" w:hAnsi="Arial" w:cs="Arial"/>
                <w:iCs/>
              </w:rPr>
            </w:pPr>
            <w:r w:rsidRPr="00335779">
              <w:rPr>
                <w:rFonts w:ascii="Arial" w:hAnsi="Arial" w:cs="Arial"/>
                <w:iCs/>
              </w:rPr>
              <w:t>On the basis of direct evidence presented by the submission, treatment with riociguat, in comparison to placebo, over 16 weeks results in:</w:t>
            </w:r>
          </w:p>
          <w:p w:rsidR="001C3033" w:rsidRPr="00E42FB9" w:rsidRDefault="001C3033"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 xml:space="preserve">An average increase of 46 metres in the distance able to be walked in 6 minutes. Both treatment groups were able to walk approximately 350 metres in 6 minutes at the beginning of the study. The PBAC has previously accepted </w:t>
            </w:r>
            <w:r w:rsidR="00621B17">
              <w:rPr>
                <w:rFonts w:ascii="Arial" w:hAnsi="Arial" w:cs="Arial"/>
                <w:iCs/>
                <w:sz w:val="20"/>
                <w:szCs w:val="20"/>
              </w:rPr>
              <w:t>for</w:t>
            </w:r>
            <w:r w:rsidR="00330353" w:rsidRPr="00E42FB9">
              <w:rPr>
                <w:rFonts w:ascii="Arial" w:hAnsi="Arial" w:cs="Arial"/>
                <w:iCs/>
                <w:sz w:val="20"/>
                <w:szCs w:val="20"/>
              </w:rPr>
              <w:t xml:space="preserve"> </w:t>
            </w:r>
            <w:r w:rsidR="00621B17">
              <w:rPr>
                <w:rFonts w:ascii="Arial" w:hAnsi="Arial" w:cs="Arial"/>
                <w:iCs/>
                <w:sz w:val="20"/>
                <w:szCs w:val="20"/>
              </w:rPr>
              <w:t xml:space="preserve">treatments </w:t>
            </w:r>
            <w:r w:rsidR="00621B17" w:rsidRPr="00621B17">
              <w:rPr>
                <w:rFonts w:ascii="Arial" w:hAnsi="Arial" w:cs="Arial"/>
                <w:iCs/>
                <w:sz w:val="20"/>
                <w:szCs w:val="20"/>
              </w:rPr>
              <w:t xml:space="preserve">of </w:t>
            </w:r>
            <w:r w:rsidR="00621B17" w:rsidRPr="00621B17">
              <w:rPr>
                <w:rFonts w:ascii="Arial" w:hAnsi="Arial" w:cs="Arial"/>
                <w:sz w:val="20"/>
                <w:szCs w:val="20"/>
              </w:rPr>
              <w:t>pulmonary arterial hypertension</w:t>
            </w:r>
            <w:r w:rsidR="00330353" w:rsidRPr="00621B17">
              <w:rPr>
                <w:rFonts w:ascii="Arial" w:hAnsi="Arial" w:cs="Arial"/>
                <w:iCs/>
                <w:sz w:val="20"/>
                <w:szCs w:val="20"/>
              </w:rPr>
              <w:t xml:space="preserve"> </w:t>
            </w:r>
            <w:r w:rsidRPr="00621B17">
              <w:rPr>
                <w:rFonts w:ascii="Arial" w:hAnsi="Arial" w:cs="Arial"/>
                <w:iCs/>
                <w:sz w:val="20"/>
                <w:szCs w:val="20"/>
              </w:rPr>
              <w:t>a minimum clinically important difference in 6MWD</w:t>
            </w:r>
            <w:r w:rsidRPr="00E42FB9">
              <w:rPr>
                <w:rFonts w:ascii="Arial" w:hAnsi="Arial" w:cs="Arial"/>
                <w:iCs/>
                <w:sz w:val="20"/>
                <w:szCs w:val="20"/>
              </w:rPr>
              <w:t xml:space="preserve"> of between 35-50m.</w:t>
            </w:r>
          </w:p>
          <w:p w:rsidR="001C3033" w:rsidRPr="00E42FB9" w:rsidRDefault="001C3033"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 xml:space="preserve">An estimated 18 additional patients with an improvement by ≥1 WHO Functional class for every 100 patients. </w:t>
            </w:r>
          </w:p>
          <w:p w:rsidR="001C3033" w:rsidRPr="00E42FB9" w:rsidRDefault="001C3033"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An estimated 12 additional patients with dizziness for every 100 patients.</w:t>
            </w:r>
          </w:p>
          <w:p w:rsidR="001C3033" w:rsidRPr="00E42FB9" w:rsidRDefault="001C3033"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An estimated 8 additional patients with hypotension for every 100 patients.</w:t>
            </w:r>
          </w:p>
          <w:p w:rsidR="001C3033" w:rsidRPr="00E42FB9" w:rsidRDefault="001C3033" w:rsidP="00E42FB9">
            <w:pPr>
              <w:pStyle w:val="ListParagraph"/>
              <w:numPr>
                <w:ilvl w:val="0"/>
                <w:numId w:val="38"/>
              </w:numPr>
              <w:ind w:left="177" w:hanging="177"/>
              <w:rPr>
                <w:rFonts w:ascii="Arial" w:hAnsi="Arial" w:cs="Arial"/>
                <w:iCs/>
                <w:sz w:val="20"/>
                <w:szCs w:val="20"/>
              </w:rPr>
            </w:pPr>
            <w:r w:rsidRPr="00E42FB9">
              <w:rPr>
                <w:rFonts w:ascii="Arial" w:hAnsi="Arial" w:cs="Arial"/>
                <w:iCs/>
                <w:sz w:val="20"/>
                <w:szCs w:val="20"/>
              </w:rPr>
              <w:t>An estimated 8 additional patients with headache for every 100 patients.</w:t>
            </w:r>
          </w:p>
          <w:p w:rsidR="001C3033" w:rsidRPr="00335779" w:rsidRDefault="001C3033" w:rsidP="00335779">
            <w:pPr>
              <w:pStyle w:val="ListParagraph"/>
              <w:jc w:val="both"/>
              <w:rPr>
                <w:rFonts w:ascii="Arial" w:hAnsi="Arial" w:cs="Arial"/>
                <w:iCs/>
                <w:sz w:val="20"/>
                <w:szCs w:val="20"/>
              </w:rPr>
            </w:pPr>
          </w:p>
          <w:p w:rsidR="001C3033" w:rsidRDefault="001C3033" w:rsidP="00335779">
            <w:pPr>
              <w:pStyle w:val="ListParagraph"/>
              <w:ind w:left="0"/>
              <w:jc w:val="both"/>
              <w:rPr>
                <w:rFonts w:ascii="Arial" w:hAnsi="Arial" w:cs="Arial"/>
                <w:iCs/>
                <w:sz w:val="20"/>
                <w:szCs w:val="20"/>
              </w:rPr>
            </w:pPr>
            <w:r w:rsidRPr="00335779">
              <w:rPr>
                <w:rFonts w:ascii="Arial" w:hAnsi="Arial" w:cs="Arial"/>
                <w:iCs/>
                <w:sz w:val="20"/>
                <w:szCs w:val="20"/>
              </w:rPr>
              <w:t xml:space="preserve">The PBAC was unable to establish the value for money of treating patients with the evidence provided in the submission. </w:t>
            </w:r>
          </w:p>
          <w:p w:rsidR="00AE0CA2" w:rsidRPr="00395B97" w:rsidRDefault="00AE0CA2" w:rsidP="00335779">
            <w:pPr>
              <w:pStyle w:val="ListParagraph"/>
              <w:ind w:left="0"/>
              <w:jc w:val="both"/>
              <w:rPr>
                <w:rFonts w:ascii="Arial" w:hAnsi="Arial" w:cs="Arial"/>
                <w:iCs/>
                <w:sz w:val="20"/>
                <w:szCs w:val="20"/>
              </w:rPr>
            </w:pPr>
          </w:p>
        </w:tc>
      </w:tr>
      <w:tr w:rsidR="001C3033" w:rsidRPr="00395B97" w:rsidTr="00257615">
        <w:trPr>
          <w:cantSplit/>
          <w:trHeight w:val="1222"/>
        </w:trPr>
        <w:tc>
          <w:tcPr>
            <w:tcW w:w="2694" w:type="dxa"/>
            <w:vMerge/>
            <w:tcMar>
              <w:top w:w="28" w:type="dxa"/>
              <w:bottom w:w="28" w:type="dxa"/>
            </w:tcMar>
          </w:tcPr>
          <w:p w:rsidR="001C3033" w:rsidRPr="00395B97" w:rsidRDefault="001C3033" w:rsidP="00335779">
            <w:pPr>
              <w:widowControl w:val="0"/>
              <w:rPr>
                <w:rFonts w:ascii="Arial" w:hAnsi="Arial" w:cs="Arial"/>
              </w:rPr>
            </w:pPr>
          </w:p>
        </w:tc>
        <w:tc>
          <w:tcPr>
            <w:tcW w:w="2409" w:type="dxa"/>
            <w:vMerge/>
          </w:tcPr>
          <w:p w:rsidR="001C3033" w:rsidRPr="00395B97" w:rsidRDefault="001C3033" w:rsidP="00335779">
            <w:pPr>
              <w:rPr>
                <w:rFonts w:ascii="Arial" w:hAnsi="Arial" w:cs="Arial"/>
              </w:rPr>
            </w:pPr>
          </w:p>
        </w:tc>
        <w:tc>
          <w:tcPr>
            <w:tcW w:w="3261" w:type="dxa"/>
            <w:tcMar>
              <w:top w:w="28" w:type="dxa"/>
              <w:bottom w:w="28" w:type="dxa"/>
            </w:tcMar>
          </w:tcPr>
          <w:p w:rsidR="001C3033" w:rsidRPr="00395B97" w:rsidRDefault="001C3033" w:rsidP="003108D7">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C3033" w:rsidRPr="00395B97" w:rsidRDefault="00EA19A5" w:rsidP="00EA19A5">
            <w:pPr>
              <w:pStyle w:val="ListParagraph"/>
              <w:ind w:left="0"/>
              <w:jc w:val="both"/>
              <w:rPr>
                <w:rFonts w:ascii="Arial" w:hAnsi="Arial" w:cs="Arial"/>
                <w:iCs/>
                <w:sz w:val="20"/>
                <w:szCs w:val="20"/>
              </w:rPr>
            </w:pPr>
            <w:r w:rsidRPr="00EA19A5">
              <w:rPr>
                <w:rFonts w:ascii="Arial" w:hAnsi="Arial" w:cs="Arial"/>
                <w:iCs/>
                <w:sz w:val="20"/>
                <w:szCs w:val="20"/>
              </w:rPr>
              <w:t xml:space="preserve">Bayer is disappointed regarding the PBAC </w:t>
            </w:r>
            <w:proofErr w:type="gramStart"/>
            <w:r w:rsidRPr="00EA19A5">
              <w:rPr>
                <w:rFonts w:ascii="Arial" w:hAnsi="Arial" w:cs="Arial"/>
                <w:iCs/>
                <w:sz w:val="20"/>
                <w:szCs w:val="20"/>
              </w:rPr>
              <w:t>outcome,</w:t>
            </w:r>
            <w:proofErr w:type="gramEnd"/>
            <w:r w:rsidRPr="00EA19A5">
              <w:rPr>
                <w:rFonts w:ascii="Arial" w:hAnsi="Arial" w:cs="Arial"/>
                <w:iCs/>
                <w:sz w:val="20"/>
                <w:szCs w:val="20"/>
              </w:rPr>
              <w:t xml:space="preserve"> however Bayer will continue to work with the Department and the PBAC to progress riociguat towards r</w:t>
            </w:r>
            <w:r>
              <w:rPr>
                <w:rFonts w:ascii="Arial" w:hAnsi="Arial" w:cs="Arial"/>
                <w:iCs/>
                <w:sz w:val="20"/>
                <w:szCs w:val="20"/>
              </w:rPr>
              <w:t>eimbursement within Australia.</w:t>
            </w:r>
          </w:p>
        </w:tc>
      </w:tr>
      <w:tr w:rsidR="001C3033" w:rsidRPr="00395B97" w:rsidTr="00257615">
        <w:trPr>
          <w:cantSplit/>
          <w:trHeight w:val="1223"/>
        </w:trPr>
        <w:tc>
          <w:tcPr>
            <w:tcW w:w="2694" w:type="dxa"/>
            <w:vMerge w:val="restart"/>
            <w:tcMar>
              <w:top w:w="28" w:type="dxa"/>
              <w:bottom w:w="28" w:type="dxa"/>
            </w:tcMar>
          </w:tcPr>
          <w:p w:rsidR="001C3033" w:rsidRPr="00927BAA" w:rsidRDefault="001C3033" w:rsidP="00B26397">
            <w:pPr>
              <w:widowControl w:val="0"/>
              <w:rPr>
                <w:rFonts w:ascii="Arial" w:hAnsi="Arial" w:cs="Arial"/>
                <w:b/>
              </w:rPr>
            </w:pPr>
            <w:r w:rsidRPr="00927BAA">
              <w:rPr>
                <w:rFonts w:ascii="Arial" w:hAnsi="Arial" w:cs="Arial"/>
                <w:b/>
              </w:rPr>
              <w:lastRenderedPageBreak/>
              <w:t>UMECLIDINIUM BROMIDE + VILANTEROL TRIFENATATE (FDC)</w:t>
            </w:r>
          </w:p>
          <w:p w:rsidR="001C3033" w:rsidRPr="00B26397" w:rsidRDefault="001C3033" w:rsidP="00B26397">
            <w:pPr>
              <w:widowControl w:val="0"/>
              <w:rPr>
                <w:rFonts w:ascii="Arial" w:hAnsi="Arial" w:cs="Arial"/>
              </w:rPr>
            </w:pPr>
            <w:r w:rsidRPr="00B26397">
              <w:rPr>
                <w:rFonts w:ascii="Arial" w:hAnsi="Arial" w:cs="Arial"/>
              </w:rPr>
              <w:t xml:space="preserve">umeclidinium bromide 62.5 microgram/actuation + </w:t>
            </w:r>
            <w:proofErr w:type="spellStart"/>
            <w:r w:rsidRPr="00B26397">
              <w:rPr>
                <w:rFonts w:ascii="Arial" w:hAnsi="Arial" w:cs="Arial"/>
              </w:rPr>
              <w:t>vilanterol</w:t>
            </w:r>
            <w:proofErr w:type="spellEnd"/>
            <w:r w:rsidRPr="00B26397">
              <w:rPr>
                <w:rFonts w:ascii="Arial" w:hAnsi="Arial" w:cs="Arial"/>
              </w:rPr>
              <w:t xml:space="preserve"> </w:t>
            </w:r>
            <w:proofErr w:type="spellStart"/>
            <w:r w:rsidRPr="00B26397">
              <w:rPr>
                <w:rFonts w:ascii="Arial" w:hAnsi="Arial" w:cs="Arial"/>
              </w:rPr>
              <w:t>trifenatate</w:t>
            </w:r>
            <w:proofErr w:type="spellEnd"/>
            <w:r w:rsidRPr="00B26397">
              <w:rPr>
                <w:rFonts w:ascii="Arial" w:hAnsi="Arial" w:cs="Arial"/>
              </w:rPr>
              <w:t xml:space="preserve"> 25 microgram/actuation inhalation:  powder for</w:t>
            </w:r>
          </w:p>
          <w:p w:rsidR="001C3033" w:rsidRPr="00B26397" w:rsidRDefault="001C3033" w:rsidP="00B26397">
            <w:pPr>
              <w:widowControl w:val="0"/>
              <w:rPr>
                <w:rFonts w:ascii="Arial" w:hAnsi="Arial" w:cs="Arial"/>
              </w:rPr>
            </w:pPr>
            <w:r w:rsidRPr="00B26397">
              <w:rPr>
                <w:rFonts w:ascii="Arial" w:hAnsi="Arial" w:cs="Arial"/>
              </w:rPr>
              <w:t> </w:t>
            </w:r>
          </w:p>
          <w:p w:rsidR="001C3033" w:rsidRPr="00B26397" w:rsidRDefault="001C3033" w:rsidP="00B26397">
            <w:pPr>
              <w:widowControl w:val="0"/>
              <w:rPr>
                <w:rFonts w:ascii="Arial" w:hAnsi="Arial" w:cs="Arial"/>
              </w:rPr>
            </w:pPr>
            <w:proofErr w:type="spellStart"/>
            <w:r w:rsidRPr="00B26397">
              <w:rPr>
                <w:rFonts w:ascii="Arial" w:hAnsi="Arial" w:cs="Arial"/>
              </w:rPr>
              <w:t>Anoro</w:t>
            </w:r>
            <w:proofErr w:type="spellEnd"/>
            <w:r w:rsidRPr="00B26397">
              <w:rPr>
                <w:rFonts w:ascii="Arial" w:hAnsi="Arial" w:cs="Arial"/>
              </w:rPr>
              <w:t xml:space="preserve">® </w:t>
            </w:r>
            <w:proofErr w:type="spellStart"/>
            <w:r w:rsidRPr="00B26397">
              <w:rPr>
                <w:rFonts w:ascii="Arial" w:hAnsi="Arial" w:cs="Arial"/>
              </w:rPr>
              <w:t>Ellipta</w:t>
            </w:r>
            <w:proofErr w:type="spellEnd"/>
            <w:r w:rsidRPr="00B26397">
              <w:rPr>
                <w:rFonts w:ascii="Arial" w:hAnsi="Arial" w:cs="Arial"/>
              </w:rPr>
              <w:t>®</w:t>
            </w:r>
          </w:p>
          <w:p w:rsidR="001C3033" w:rsidRPr="00B26397" w:rsidRDefault="001C3033" w:rsidP="00B26397">
            <w:pPr>
              <w:widowControl w:val="0"/>
              <w:rPr>
                <w:rFonts w:ascii="Arial" w:hAnsi="Arial" w:cs="Arial"/>
              </w:rPr>
            </w:pPr>
            <w:r w:rsidRPr="00B26397">
              <w:rPr>
                <w:rFonts w:ascii="Arial" w:hAnsi="Arial" w:cs="Arial"/>
              </w:rPr>
              <w:t> </w:t>
            </w:r>
          </w:p>
          <w:p w:rsidR="001C3033" w:rsidRDefault="001C3033" w:rsidP="00B26397">
            <w:pPr>
              <w:widowControl w:val="0"/>
              <w:rPr>
                <w:rFonts w:ascii="Arial" w:hAnsi="Arial" w:cs="Arial"/>
              </w:rPr>
            </w:pPr>
            <w:r w:rsidRPr="00B26397">
              <w:rPr>
                <w:rFonts w:ascii="Arial" w:hAnsi="Arial" w:cs="Arial"/>
              </w:rPr>
              <w:t>GlaxoSmithKline Australia Pty Ltd</w:t>
            </w:r>
          </w:p>
          <w:p w:rsidR="001C3033" w:rsidRPr="00B26397" w:rsidRDefault="001C3033" w:rsidP="00B26397">
            <w:pPr>
              <w:widowControl w:val="0"/>
              <w:rPr>
                <w:rFonts w:ascii="Arial" w:hAnsi="Arial" w:cs="Arial"/>
              </w:rPr>
            </w:pPr>
          </w:p>
          <w:p w:rsidR="001C3033" w:rsidRPr="00B26397" w:rsidRDefault="001C3033" w:rsidP="00B26397">
            <w:pPr>
              <w:widowControl w:val="0"/>
              <w:rPr>
                <w:rFonts w:ascii="Arial" w:hAnsi="Arial" w:cs="Arial"/>
              </w:rPr>
            </w:pPr>
            <w:r w:rsidRPr="00B26397">
              <w:rPr>
                <w:rFonts w:ascii="Arial" w:hAnsi="Arial" w:cs="Arial"/>
              </w:rPr>
              <w:t>Change to recommended listing</w:t>
            </w:r>
          </w:p>
          <w:p w:rsidR="001C3033" w:rsidRPr="00B26397" w:rsidRDefault="001C3033" w:rsidP="00B26397">
            <w:pPr>
              <w:widowControl w:val="0"/>
              <w:rPr>
                <w:rFonts w:ascii="Arial" w:hAnsi="Arial" w:cs="Arial"/>
              </w:rPr>
            </w:pPr>
            <w:r w:rsidRPr="00B26397">
              <w:rPr>
                <w:rFonts w:ascii="Arial" w:hAnsi="Arial" w:cs="Arial"/>
              </w:rPr>
              <w:t> </w:t>
            </w:r>
          </w:p>
          <w:p w:rsidR="001C3033" w:rsidRPr="00B26397" w:rsidRDefault="001C3033" w:rsidP="00B26397">
            <w:pPr>
              <w:widowControl w:val="0"/>
              <w:rPr>
                <w:rFonts w:ascii="Arial" w:hAnsi="Arial" w:cs="Arial"/>
              </w:rPr>
            </w:pPr>
            <w:r w:rsidRPr="00B26397">
              <w:rPr>
                <w:rFonts w:ascii="Arial" w:hAnsi="Arial" w:cs="Arial"/>
              </w:rPr>
              <w:t>(Minor submission)</w:t>
            </w:r>
          </w:p>
          <w:p w:rsidR="001C3033" w:rsidRPr="00395B97" w:rsidRDefault="001C3033" w:rsidP="00335779">
            <w:pPr>
              <w:widowControl w:val="0"/>
              <w:rPr>
                <w:rFonts w:ascii="Arial" w:hAnsi="Arial" w:cs="Arial"/>
              </w:rPr>
            </w:pPr>
          </w:p>
        </w:tc>
        <w:tc>
          <w:tcPr>
            <w:tcW w:w="2409" w:type="dxa"/>
            <w:vMerge w:val="restart"/>
          </w:tcPr>
          <w:p w:rsidR="001C3033" w:rsidRPr="00B26397" w:rsidRDefault="001C3033" w:rsidP="00B26397">
            <w:pPr>
              <w:widowControl w:val="0"/>
              <w:rPr>
                <w:rFonts w:ascii="Arial" w:hAnsi="Arial" w:cs="Arial"/>
              </w:rPr>
            </w:pPr>
            <w:r w:rsidRPr="00B26397">
              <w:rPr>
                <w:rFonts w:ascii="Arial" w:hAnsi="Arial" w:cs="Arial"/>
              </w:rPr>
              <w:t>Chronic obstructive pulmonary disease</w:t>
            </w:r>
          </w:p>
          <w:p w:rsidR="001C3033" w:rsidRPr="00395B97" w:rsidRDefault="001C3033" w:rsidP="00335779">
            <w:pPr>
              <w:rPr>
                <w:rFonts w:ascii="Arial" w:hAnsi="Arial" w:cs="Arial"/>
              </w:rPr>
            </w:pPr>
          </w:p>
        </w:tc>
        <w:tc>
          <w:tcPr>
            <w:tcW w:w="3261" w:type="dxa"/>
            <w:tcMar>
              <w:top w:w="28" w:type="dxa"/>
              <w:bottom w:w="28" w:type="dxa"/>
            </w:tcMar>
          </w:tcPr>
          <w:p w:rsidR="001C3033" w:rsidRDefault="001C3033" w:rsidP="00B26397">
            <w:pPr>
              <w:widowControl w:val="0"/>
              <w:rPr>
                <w:rFonts w:ascii="Arial" w:hAnsi="Arial" w:cs="Arial"/>
              </w:rPr>
            </w:pPr>
            <w:r w:rsidRPr="00B26397">
              <w:rPr>
                <w:rFonts w:ascii="Arial" w:hAnsi="Arial" w:cs="Arial"/>
              </w:rPr>
              <w:t>Amend recommended restriction to also include patients who have symptoms that persist despite regular bronchodilator treatment with a long acting muscarinic antagonist and/or long acting beta2 agonist in addition to those already stabilised on a combination of a long acting muscarinic antagonist and long acting beta2 agonist.</w:t>
            </w:r>
          </w:p>
          <w:p w:rsidR="007F10B5" w:rsidRPr="00395B97" w:rsidRDefault="007F10B5" w:rsidP="00B26397">
            <w:pPr>
              <w:widowControl w:val="0"/>
              <w:rPr>
                <w:rFonts w:ascii="Arial" w:hAnsi="Arial" w:cs="Arial"/>
              </w:rPr>
            </w:pPr>
          </w:p>
        </w:tc>
        <w:tc>
          <w:tcPr>
            <w:tcW w:w="6947" w:type="dxa"/>
          </w:tcPr>
          <w:p w:rsidR="001C3033" w:rsidRDefault="001C3033" w:rsidP="003108D7">
            <w:pPr>
              <w:pStyle w:val="ListParagraph"/>
              <w:ind w:left="0"/>
              <w:jc w:val="both"/>
              <w:rPr>
                <w:rFonts w:ascii="Arial" w:hAnsi="Arial" w:cs="Arial"/>
                <w:iCs/>
                <w:sz w:val="20"/>
                <w:szCs w:val="20"/>
              </w:rPr>
            </w:pPr>
            <w:r w:rsidRPr="00B26397">
              <w:rPr>
                <w:rFonts w:ascii="Arial" w:hAnsi="Arial" w:cs="Arial"/>
                <w:iCs/>
                <w:sz w:val="20"/>
                <w:szCs w:val="20"/>
              </w:rPr>
              <w:t>The PBAC rejected the request to extend the current listing for umeclidinium with vilanterol to include patients with chronic obstructive pulmonary disease (COPD) who have symptoms that persist despite regular bronchodilator treatment with a long acting muscarinic antagonist (LAMA) and/or a long acting beta-2 agonist (LABA).  The PBAC considered that the proposed restriction does not address the concerns raised by the PBAC when initially recommending umeclidinium with vilanterol for listing in that patients may initiate a fixed dose combination treatment before clinically appropriate. The PBAC reiterated its recommendation from the July 2014 meeting for the listing of umeclidinium with vilanterol.</w:t>
            </w:r>
          </w:p>
          <w:p w:rsidR="00AE0CA2" w:rsidRPr="00395B97" w:rsidRDefault="00AE0CA2" w:rsidP="003108D7">
            <w:pPr>
              <w:pStyle w:val="ListParagraph"/>
              <w:ind w:left="0"/>
              <w:jc w:val="both"/>
              <w:rPr>
                <w:rFonts w:ascii="Arial" w:hAnsi="Arial" w:cs="Arial"/>
                <w:iCs/>
                <w:sz w:val="20"/>
                <w:szCs w:val="20"/>
              </w:rPr>
            </w:pPr>
          </w:p>
        </w:tc>
      </w:tr>
      <w:tr w:rsidR="001C3033" w:rsidRPr="00395B97" w:rsidTr="00257615">
        <w:trPr>
          <w:cantSplit/>
          <w:trHeight w:val="1222"/>
        </w:trPr>
        <w:tc>
          <w:tcPr>
            <w:tcW w:w="2694" w:type="dxa"/>
            <w:vMerge/>
            <w:tcMar>
              <w:top w:w="28" w:type="dxa"/>
              <w:bottom w:w="28" w:type="dxa"/>
            </w:tcMar>
          </w:tcPr>
          <w:p w:rsidR="001C3033" w:rsidRPr="00395B97" w:rsidRDefault="001C3033" w:rsidP="00335779">
            <w:pPr>
              <w:widowControl w:val="0"/>
              <w:rPr>
                <w:rFonts w:ascii="Arial" w:hAnsi="Arial" w:cs="Arial"/>
              </w:rPr>
            </w:pPr>
          </w:p>
        </w:tc>
        <w:tc>
          <w:tcPr>
            <w:tcW w:w="2409" w:type="dxa"/>
            <w:vMerge/>
          </w:tcPr>
          <w:p w:rsidR="001C3033" w:rsidRPr="00395B97" w:rsidRDefault="001C3033" w:rsidP="00335779">
            <w:pPr>
              <w:rPr>
                <w:rFonts w:ascii="Arial" w:hAnsi="Arial" w:cs="Arial"/>
              </w:rPr>
            </w:pPr>
          </w:p>
        </w:tc>
        <w:tc>
          <w:tcPr>
            <w:tcW w:w="3261" w:type="dxa"/>
            <w:tcMar>
              <w:top w:w="28" w:type="dxa"/>
              <w:bottom w:w="28" w:type="dxa"/>
            </w:tcMar>
          </w:tcPr>
          <w:p w:rsidR="001C3033" w:rsidRPr="00395B97" w:rsidRDefault="001C3033" w:rsidP="003108D7">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C138E7" w:rsidRPr="00C138E7" w:rsidRDefault="00C138E7" w:rsidP="00C138E7">
            <w:pPr>
              <w:pStyle w:val="ListParagraph"/>
              <w:ind w:left="0"/>
              <w:jc w:val="both"/>
              <w:rPr>
                <w:rFonts w:ascii="Arial" w:hAnsi="Arial" w:cs="Arial"/>
                <w:iCs/>
                <w:sz w:val="20"/>
                <w:szCs w:val="20"/>
              </w:rPr>
            </w:pPr>
            <w:r w:rsidRPr="00C138E7">
              <w:rPr>
                <w:rFonts w:ascii="Arial" w:hAnsi="Arial" w:cs="Arial"/>
                <w:iCs/>
                <w:sz w:val="20"/>
                <w:szCs w:val="20"/>
              </w:rPr>
              <w:t xml:space="preserve">GSK is disappointed with this outcome for COPD patients and considers the current restriction requiring stabilisation on a combination of a LABA and LAMA in separate inhalers prior to initiation of a fixed dose combination (FDC) to be unnecessarily burdensome on patients. </w:t>
            </w:r>
            <w:r w:rsidR="00AC45CA">
              <w:rPr>
                <w:rFonts w:ascii="Arial" w:hAnsi="Arial" w:cs="Arial"/>
                <w:iCs/>
                <w:sz w:val="20"/>
                <w:szCs w:val="20"/>
              </w:rPr>
              <w:t>T</w:t>
            </w:r>
            <w:r w:rsidRPr="00C138E7">
              <w:rPr>
                <w:rFonts w:ascii="Arial" w:hAnsi="Arial" w:cs="Arial"/>
                <w:iCs/>
                <w:sz w:val="20"/>
                <w:szCs w:val="20"/>
              </w:rPr>
              <w:t xml:space="preserve">he restriction may lead to patient confusion regarding correct inhaler use if patients have to use multiple inhaler types. Inhaler usage confusion may reduce patient adherence resulting in adverse efficacy and safety related consequences. </w:t>
            </w:r>
          </w:p>
          <w:p w:rsidR="00C138E7" w:rsidRPr="00C138E7" w:rsidRDefault="00C138E7" w:rsidP="00C138E7">
            <w:pPr>
              <w:pStyle w:val="ListParagraph"/>
              <w:ind w:left="0"/>
              <w:jc w:val="both"/>
              <w:rPr>
                <w:rFonts w:ascii="Arial" w:hAnsi="Arial" w:cs="Arial"/>
                <w:iCs/>
                <w:sz w:val="20"/>
                <w:szCs w:val="20"/>
              </w:rPr>
            </w:pPr>
          </w:p>
          <w:p w:rsidR="00C138E7" w:rsidRPr="00C138E7" w:rsidRDefault="00C138E7" w:rsidP="00C138E7">
            <w:pPr>
              <w:pStyle w:val="ListParagraph"/>
              <w:ind w:left="0"/>
              <w:jc w:val="both"/>
              <w:rPr>
                <w:rFonts w:ascii="Arial" w:hAnsi="Arial" w:cs="Arial"/>
                <w:iCs/>
                <w:sz w:val="20"/>
                <w:szCs w:val="20"/>
              </w:rPr>
            </w:pPr>
            <w:r w:rsidRPr="00C138E7">
              <w:rPr>
                <w:rFonts w:ascii="Arial" w:hAnsi="Arial" w:cs="Arial"/>
                <w:iCs/>
                <w:sz w:val="20"/>
                <w:szCs w:val="20"/>
              </w:rPr>
              <w:t xml:space="preserve">Furthermore COPD patients, many of whom are pensioners, will be required to pay two separate co-payments as opposed to one, had initiation of the FDC post monotherapy LABA or LAMA been permitted. </w:t>
            </w:r>
          </w:p>
          <w:p w:rsidR="00C138E7" w:rsidRPr="00C138E7" w:rsidRDefault="00C138E7" w:rsidP="00C138E7">
            <w:pPr>
              <w:pStyle w:val="ListParagraph"/>
              <w:ind w:left="0"/>
              <w:jc w:val="both"/>
              <w:rPr>
                <w:rFonts w:ascii="Arial" w:hAnsi="Arial" w:cs="Arial"/>
                <w:iCs/>
                <w:sz w:val="20"/>
                <w:szCs w:val="20"/>
              </w:rPr>
            </w:pPr>
          </w:p>
          <w:p w:rsidR="001C3033" w:rsidRDefault="00C138E7" w:rsidP="00C138E7">
            <w:pPr>
              <w:pStyle w:val="ListParagraph"/>
              <w:ind w:left="0"/>
              <w:jc w:val="both"/>
              <w:rPr>
                <w:rFonts w:ascii="Arial" w:hAnsi="Arial" w:cs="Arial"/>
                <w:iCs/>
                <w:sz w:val="20"/>
                <w:szCs w:val="20"/>
              </w:rPr>
            </w:pPr>
            <w:r w:rsidRPr="00C138E7">
              <w:rPr>
                <w:rFonts w:ascii="Arial" w:hAnsi="Arial" w:cs="Arial"/>
                <w:iCs/>
                <w:sz w:val="20"/>
                <w:szCs w:val="20"/>
              </w:rPr>
              <w:t>GSK will continue to engage with the PBAC to understand and address the issues raised.</w:t>
            </w:r>
          </w:p>
          <w:p w:rsidR="00AC45CA" w:rsidRPr="00395B97" w:rsidRDefault="00AC45CA" w:rsidP="00C138E7">
            <w:pPr>
              <w:pStyle w:val="ListParagraph"/>
              <w:ind w:left="0"/>
              <w:jc w:val="both"/>
              <w:rPr>
                <w:rFonts w:ascii="Arial" w:hAnsi="Arial" w:cs="Arial"/>
                <w:iCs/>
                <w:sz w:val="20"/>
                <w:szCs w:val="20"/>
              </w:rPr>
            </w:pPr>
          </w:p>
        </w:tc>
      </w:tr>
      <w:tr w:rsidR="001C3033" w:rsidRPr="00395B97" w:rsidTr="00257615">
        <w:trPr>
          <w:cantSplit/>
          <w:trHeight w:val="1223"/>
        </w:trPr>
        <w:tc>
          <w:tcPr>
            <w:tcW w:w="2694" w:type="dxa"/>
            <w:vMerge w:val="restart"/>
            <w:tcMar>
              <w:top w:w="28" w:type="dxa"/>
              <w:bottom w:w="28" w:type="dxa"/>
            </w:tcMar>
          </w:tcPr>
          <w:p w:rsidR="001C3033" w:rsidRPr="00E12041" w:rsidRDefault="001C3033" w:rsidP="00E12041">
            <w:pPr>
              <w:widowControl w:val="0"/>
              <w:rPr>
                <w:rFonts w:ascii="Arial" w:hAnsi="Arial" w:cs="Arial"/>
                <w:b/>
              </w:rPr>
            </w:pPr>
            <w:r w:rsidRPr="00E12041">
              <w:rPr>
                <w:rFonts w:ascii="Arial" w:hAnsi="Arial" w:cs="Arial"/>
                <w:b/>
              </w:rPr>
              <w:t>USTEKINUMAB</w:t>
            </w:r>
          </w:p>
          <w:p w:rsidR="001C3033" w:rsidRPr="00E12041" w:rsidRDefault="001C3033" w:rsidP="00E12041">
            <w:pPr>
              <w:widowControl w:val="0"/>
              <w:rPr>
                <w:rFonts w:ascii="Arial" w:hAnsi="Arial" w:cs="Arial"/>
              </w:rPr>
            </w:pPr>
            <w:r w:rsidRPr="00E12041">
              <w:rPr>
                <w:rFonts w:ascii="Arial" w:hAnsi="Arial" w:cs="Arial"/>
              </w:rPr>
              <w:t>45 mg/0.5 mL injection, 1 x 0.5mL vial</w:t>
            </w:r>
          </w:p>
          <w:p w:rsidR="001C3033" w:rsidRPr="00E12041" w:rsidRDefault="001C3033" w:rsidP="00E12041">
            <w:pPr>
              <w:widowControl w:val="0"/>
              <w:rPr>
                <w:rFonts w:ascii="Arial" w:hAnsi="Arial" w:cs="Arial"/>
              </w:rPr>
            </w:pPr>
          </w:p>
          <w:p w:rsidR="001C3033" w:rsidRPr="00E12041" w:rsidRDefault="001C3033" w:rsidP="00E12041">
            <w:pPr>
              <w:widowControl w:val="0"/>
              <w:rPr>
                <w:rFonts w:ascii="Arial" w:hAnsi="Arial" w:cs="Arial"/>
              </w:rPr>
            </w:pPr>
            <w:proofErr w:type="spellStart"/>
            <w:r w:rsidRPr="00E12041">
              <w:rPr>
                <w:rFonts w:ascii="Arial" w:hAnsi="Arial" w:cs="Arial"/>
              </w:rPr>
              <w:t>Stelara</w:t>
            </w:r>
            <w:proofErr w:type="spellEnd"/>
            <w:r w:rsidRPr="00E12041">
              <w:rPr>
                <w:rFonts w:ascii="Arial" w:hAnsi="Arial" w:cs="Arial"/>
              </w:rPr>
              <w:t>®</w:t>
            </w:r>
          </w:p>
          <w:p w:rsidR="001C3033" w:rsidRPr="00E12041" w:rsidRDefault="001C3033" w:rsidP="00E12041">
            <w:pPr>
              <w:widowControl w:val="0"/>
              <w:rPr>
                <w:rFonts w:ascii="Arial" w:hAnsi="Arial" w:cs="Arial"/>
              </w:rPr>
            </w:pPr>
          </w:p>
          <w:p w:rsidR="001C3033" w:rsidRPr="00E12041" w:rsidRDefault="001C3033" w:rsidP="00E12041">
            <w:pPr>
              <w:widowControl w:val="0"/>
              <w:rPr>
                <w:rFonts w:ascii="Arial" w:hAnsi="Arial" w:cs="Arial"/>
              </w:rPr>
            </w:pPr>
            <w:r w:rsidRPr="00E12041">
              <w:rPr>
                <w:rFonts w:ascii="Arial" w:hAnsi="Arial" w:cs="Arial"/>
              </w:rPr>
              <w:t>Janssen-</w:t>
            </w:r>
            <w:proofErr w:type="spellStart"/>
            <w:r w:rsidRPr="00E12041">
              <w:rPr>
                <w:rFonts w:ascii="Arial" w:hAnsi="Arial" w:cs="Arial"/>
              </w:rPr>
              <w:t>Cilag</w:t>
            </w:r>
            <w:proofErr w:type="spellEnd"/>
            <w:r w:rsidRPr="00E12041">
              <w:rPr>
                <w:rFonts w:ascii="Arial" w:hAnsi="Arial" w:cs="Arial"/>
              </w:rPr>
              <w:t xml:space="preserve"> Pty Ltd</w:t>
            </w:r>
          </w:p>
          <w:p w:rsidR="001C3033" w:rsidRPr="00E12041" w:rsidRDefault="001C3033" w:rsidP="00E12041">
            <w:pPr>
              <w:widowControl w:val="0"/>
              <w:rPr>
                <w:rFonts w:ascii="Arial" w:hAnsi="Arial" w:cs="Arial"/>
              </w:rPr>
            </w:pPr>
          </w:p>
          <w:p w:rsidR="001C3033" w:rsidRDefault="001C3033" w:rsidP="00E12041">
            <w:pPr>
              <w:widowControl w:val="0"/>
              <w:rPr>
                <w:rFonts w:ascii="Arial" w:hAnsi="Arial" w:cs="Arial"/>
              </w:rPr>
            </w:pPr>
            <w:r w:rsidRPr="00E12041">
              <w:rPr>
                <w:rFonts w:ascii="Arial" w:hAnsi="Arial" w:cs="Arial"/>
              </w:rPr>
              <w:t>Change to listing</w:t>
            </w:r>
          </w:p>
          <w:p w:rsidR="001C3033" w:rsidRPr="00E12041" w:rsidRDefault="001C3033" w:rsidP="00E12041">
            <w:pPr>
              <w:widowControl w:val="0"/>
              <w:rPr>
                <w:rFonts w:ascii="Arial" w:hAnsi="Arial" w:cs="Arial"/>
              </w:rPr>
            </w:pPr>
          </w:p>
          <w:p w:rsidR="001C3033" w:rsidRPr="00395B97" w:rsidRDefault="001C3033" w:rsidP="00E12041">
            <w:pPr>
              <w:widowControl w:val="0"/>
              <w:rPr>
                <w:rFonts w:ascii="Arial" w:hAnsi="Arial" w:cs="Arial"/>
              </w:rPr>
            </w:pPr>
            <w:r w:rsidRPr="00E12041">
              <w:rPr>
                <w:rFonts w:ascii="Arial" w:hAnsi="Arial" w:cs="Arial"/>
              </w:rPr>
              <w:t>(Major submission)</w:t>
            </w:r>
          </w:p>
        </w:tc>
        <w:tc>
          <w:tcPr>
            <w:tcW w:w="2409" w:type="dxa"/>
            <w:vMerge w:val="restart"/>
          </w:tcPr>
          <w:p w:rsidR="001C3033" w:rsidRPr="00395B97" w:rsidRDefault="001C3033" w:rsidP="00E12041">
            <w:pPr>
              <w:rPr>
                <w:rFonts w:ascii="Arial" w:hAnsi="Arial" w:cs="Arial"/>
              </w:rPr>
            </w:pPr>
            <w:r w:rsidRPr="00E12041">
              <w:rPr>
                <w:rFonts w:ascii="Arial" w:hAnsi="Arial" w:cs="Arial"/>
              </w:rPr>
              <w:lastRenderedPageBreak/>
              <w:t>Psoriatic arthritis</w:t>
            </w:r>
          </w:p>
        </w:tc>
        <w:tc>
          <w:tcPr>
            <w:tcW w:w="3261" w:type="dxa"/>
            <w:tcMar>
              <w:top w:w="28" w:type="dxa"/>
              <w:bottom w:w="28" w:type="dxa"/>
            </w:tcMar>
          </w:tcPr>
          <w:p w:rsidR="001C3033" w:rsidRPr="00395B97" w:rsidRDefault="001C3033" w:rsidP="003108D7">
            <w:pPr>
              <w:autoSpaceDE w:val="0"/>
              <w:autoSpaceDN w:val="0"/>
              <w:adjustRightInd w:val="0"/>
              <w:rPr>
                <w:rFonts w:ascii="Arial" w:hAnsi="Arial" w:cs="Arial"/>
              </w:rPr>
            </w:pPr>
            <w:r w:rsidRPr="00E12041">
              <w:rPr>
                <w:rFonts w:ascii="Arial" w:hAnsi="Arial" w:cs="Arial"/>
              </w:rPr>
              <w:t>Authority Required listing for the treatment of patients with severe active psoriatic arthritis who meet certain criteria.</w:t>
            </w:r>
          </w:p>
        </w:tc>
        <w:tc>
          <w:tcPr>
            <w:tcW w:w="6947" w:type="dxa"/>
          </w:tcPr>
          <w:p w:rsidR="001C3033" w:rsidRDefault="001C3033" w:rsidP="003108D7">
            <w:pPr>
              <w:pStyle w:val="ListParagraph"/>
              <w:ind w:left="0"/>
              <w:jc w:val="both"/>
              <w:rPr>
                <w:rFonts w:ascii="Arial" w:hAnsi="Arial" w:cs="Arial"/>
                <w:iCs/>
                <w:sz w:val="20"/>
                <w:szCs w:val="20"/>
              </w:rPr>
            </w:pPr>
            <w:r w:rsidRPr="00E12041">
              <w:rPr>
                <w:rFonts w:ascii="Arial" w:hAnsi="Arial" w:cs="Arial"/>
                <w:iCs/>
                <w:sz w:val="20"/>
                <w:szCs w:val="20"/>
              </w:rPr>
              <w:t xml:space="preserve">The PBAC rejected a request to list </w:t>
            </w:r>
            <w:proofErr w:type="spellStart"/>
            <w:r w:rsidRPr="00E12041">
              <w:rPr>
                <w:rFonts w:ascii="Arial" w:hAnsi="Arial" w:cs="Arial"/>
                <w:iCs/>
                <w:sz w:val="20"/>
                <w:szCs w:val="20"/>
              </w:rPr>
              <w:t>ustekinumab</w:t>
            </w:r>
            <w:proofErr w:type="spellEnd"/>
            <w:r w:rsidRPr="00E12041">
              <w:rPr>
                <w:rFonts w:ascii="Arial" w:hAnsi="Arial" w:cs="Arial"/>
                <w:iCs/>
                <w:sz w:val="20"/>
                <w:szCs w:val="20"/>
              </w:rPr>
              <w:t xml:space="preserve"> as an Authority Required benefit for the treatment of psoriatic arthritis (</w:t>
            </w:r>
            <w:proofErr w:type="spellStart"/>
            <w:r w:rsidRPr="00E12041">
              <w:rPr>
                <w:rFonts w:ascii="Arial" w:hAnsi="Arial" w:cs="Arial"/>
                <w:iCs/>
                <w:sz w:val="20"/>
                <w:szCs w:val="20"/>
              </w:rPr>
              <w:t>PsA</w:t>
            </w:r>
            <w:proofErr w:type="spellEnd"/>
            <w:r w:rsidRPr="00E12041">
              <w:rPr>
                <w:rFonts w:ascii="Arial" w:hAnsi="Arial" w:cs="Arial"/>
                <w:iCs/>
                <w:sz w:val="20"/>
                <w:szCs w:val="20"/>
              </w:rPr>
              <w:t xml:space="preserve">) on the basis of evidence of inferior effectiveness to adalimumab, particularly in terms of joint response, and a lack of compelling evidence of clinical need despite its different mechanism of action to the anti-TNF-α agents currently PBS listed for the treatment of </w:t>
            </w:r>
            <w:proofErr w:type="spellStart"/>
            <w:r w:rsidRPr="00E12041">
              <w:rPr>
                <w:rFonts w:ascii="Arial" w:hAnsi="Arial" w:cs="Arial"/>
                <w:iCs/>
                <w:sz w:val="20"/>
                <w:szCs w:val="20"/>
              </w:rPr>
              <w:t>PsA.</w:t>
            </w:r>
            <w:proofErr w:type="spellEnd"/>
          </w:p>
          <w:p w:rsidR="00AE0CA2" w:rsidRPr="00395B97" w:rsidRDefault="00AE0CA2" w:rsidP="003108D7">
            <w:pPr>
              <w:pStyle w:val="ListParagraph"/>
              <w:ind w:left="0"/>
              <w:jc w:val="both"/>
              <w:rPr>
                <w:rFonts w:ascii="Arial" w:hAnsi="Arial" w:cs="Arial"/>
                <w:iCs/>
                <w:sz w:val="20"/>
                <w:szCs w:val="20"/>
              </w:rPr>
            </w:pPr>
          </w:p>
        </w:tc>
      </w:tr>
      <w:tr w:rsidR="001C3033" w:rsidRPr="00395B97" w:rsidTr="00257615">
        <w:trPr>
          <w:cantSplit/>
          <w:trHeight w:val="1222"/>
        </w:trPr>
        <w:tc>
          <w:tcPr>
            <w:tcW w:w="2694" w:type="dxa"/>
            <w:vMerge/>
            <w:tcMar>
              <w:top w:w="28" w:type="dxa"/>
              <w:bottom w:w="28" w:type="dxa"/>
            </w:tcMar>
          </w:tcPr>
          <w:p w:rsidR="001C3033" w:rsidRPr="00395B97" w:rsidRDefault="001C3033" w:rsidP="00E12041">
            <w:pPr>
              <w:widowControl w:val="0"/>
              <w:rPr>
                <w:rFonts w:ascii="Arial" w:hAnsi="Arial" w:cs="Arial"/>
              </w:rPr>
            </w:pPr>
          </w:p>
        </w:tc>
        <w:tc>
          <w:tcPr>
            <w:tcW w:w="2409" w:type="dxa"/>
            <w:vMerge/>
          </w:tcPr>
          <w:p w:rsidR="001C3033" w:rsidRPr="00395B97" w:rsidRDefault="001C3033" w:rsidP="00E12041">
            <w:pPr>
              <w:rPr>
                <w:rFonts w:ascii="Arial" w:hAnsi="Arial" w:cs="Arial"/>
              </w:rPr>
            </w:pPr>
          </w:p>
        </w:tc>
        <w:tc>
          <w:tcPr>
            <w:tcW w:w="3261" w:type="dxa"/>
            <w:tcMar>
              <w:top w:w="28" w:type="dxa"/>
              <w:bottom w:w="28" w:type="dxa"/>
            </w:tcMar>
          </w:tcPr>
          <w:p w:rsidR="001C3033" w:rsidRPr="00395B97" w:rsidRDefault="001C3033" w:rsidP="003108D7">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C3033" w:rsidRPr="00395B97" w:rsidRDefault="00D23500" w:rsidP="003108D7">
            <w:pPr>
              <w:pStyle w:val="ListParagraph"/>
              <w:ind w:left="0"/>
              <w:jc w:val="both"/>
              <w:rPr>
                <w:rFonts w:ascii="Arial" w:hAnsi="Arial" w:cs="Arial"/>
                <w:iCs/>
                <w:sz w:val="20"/>
                <w:szCs w:val="20"/>
              </w:rPr>
            </w:pPr>
            <w:r>
              <w:rPr>
                <w:rFonts w:ascii="Arial" w:hAnsi="Arial" w:cs="Arial"/>
                <w:iCs/>
                <w:sz w:val="20"/>
                <w:szCs w:val="20"/>
              </w:rPr>
              <w:t>The sponsor had no comment.</w:t>
            </w:r>
          </w:p>
        </w:tc>
      </w:tr>
    </w:tbl>
    <w:p w:rsidR="00640C80" w:rsidRDefault="00640C80" w:rsidP="00640C80">
      <w:pPr>
        <w:tabs>
          <w:tab w:val="left" w:pos="5210"/>
        </w:tabs>
        <w:rPr>
          <w:rFonts w:ascii="Arial" w:hAnsi="Arial" w:cs="Arial"/>
          <w:lang w:val="en-US"/>
        </w:rPr>
      </w:pPr>
    </w:p>
    <w:sectPr w:rsidR="00640C80"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F1" w:rsidRDefault="007B2FF1">
      <w:r>
        <w:separator/>
      </w:r>
    </w:p>
  </w:endnote>
  <w:endnote w:type="continuationSeparator" w:id="0">
    <w:p w:rsidR="007B2FF1" w:rsidRDefault="007B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F75BA4">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A4" w:rsidRDefault="00F75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F1" w:rsidRDefault="007B2FF1">
      <w:r>
        <w:separator/>
      </w:r>
    </w:p>
  </w:footnote>
  <w:footnote w:type="continuationSeparator" w:id="0">
    <w:p w:rsidR="007B2FF1" w:rsidRDefault="007B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A4" w:rsidRDefault="00F75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71356F" w:rsidP="00F75BA4">
    <w:pPr>
      <w:pStyle w:val="Heading1"/>
      <w:jc w:val="center"/>
    </w:pPr>
    <w:bookmarkStart w:id="0" w:name="_GoBack"/>
    <w:r w:rsidRPr="0071356F">
      <w:t>NOVEMBER 2014 PBAC OUTCOMES –</w:t>
    </w:r>
    <w:r w:rsidR="007F10B5">
      <w:t xml:space="preserve"> </w:t>
    </w:r>
    <w:r w:rsidRPr="0071356F">
      <w:t>1</w:t>
    </w:r>
    <w:r w:rsidRPr="0071356F">
      <w:rPr>
        <w:vertAlign w:val="superscript"/>
      </w:rPr>
      <w:t>ST</w:t>
    </w:r>
    <w:r w:rsidR="007F10B5">
      <w:t xml:space="preserve"> TIME</w:t>
    </w:r>
    <w:r w:rsidRPr="0071356F">
      <w:t xml:space="preserve"> DECISIONS NOT TO RECOMMEND</w:t>
    </w:r>
  </w:p>
  <w:bookmarkEnd w:id="0"/>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A4" w:rsidRDefault="00F75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7"/>
  </w:num>
  <w:num w:numId="4">
    <w:abstractNumId w:val="21"/>
  </w:num>
  <w:num w:numId="5">
    <w:abstractNumId w:val="11"/>
  </w:num>
  <w:num w:numId="6">
    <w:abstractNumId w:val="6"/>
  </w:num>
  <w:num w:numId="7">
    <w:abstractNumId w:val="2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2"/>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6"/>
  </w:num>
  <w:num w:numId="18">
    <w:abstractNumId w:val="38"/>
  </w:num>
  <w:num w:numId="19">
    <w:abstractNumId w:val="5"/>
  </w:num>
  <w:num w:numId="20">
    <w:abstractNumId w:val="12"/>
  </w:num>
  <w:num w:numId="21">
    <w:abstractNumId w:val="14"/>
  </w:num>
  <w:num w:numId="22">
    <w:abstractNumId w:val="34"/>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7"/>
  </w:num>
  <w:num w:numId="31">
    <w:abstractNumId w:val="15"/>
  </w:num>
  <w:num w:numId="32">
    <w:abstractNumId w:val="30"/>
  </w:num>
  <w:num w:numId="33">
    <w:abstractNumId w:val="35"/>
  </w:num>
  <w:num w:numId="34">
    <w:abstractNumId w:val="33"/>
  </w:num>
  <w:num w:numId="35">
    <w:abstractNumId w:val="3"/>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333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5BA4"/>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6278-2D6A-498C-A1D7-11FFBB6C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2052</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2014-08-07T00:37:00Z</dcterms:created>
  <dcterms:modified xsi:type="dcterms:W3CDTF">2014-12-17T23:40:00Z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