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02" w:rsidRDefault="00144E02"/>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112"/>
        <w:gridCol w:w="3231"/>
        <w:gridCol w:w="6865"/>
      </w:tblGrid>
      <w:tr w:rsidR="00987FDA" w:rsidRPr="00F609BF" w:rsidTr="00281EE0">
        <w:trPr>
          <w:tblHeader/>
        </w:trPr>
        <w:tc>
          <w:tcPr>
            <w:tcW w:w="3101" w:type="dxa"/>
            <w:tcMar>
              <w:top w:w="28" w:type="dxa"/>
              <w:bottom w:w="28" w:type="dxa"/>
            </w:tcMar>
          </w:tcPr>
          <w:p w:rsidR="0065234B" w:rsidRDefault="00E836AC" w:rsidP="0065234B">
            <w:pPr>
              <w:widowControl w:val="0"/>
              <w:jc w:val="center"/>
              <w:rPr>
                <w:rFonts w:ascii="Arial" w:hAnsi="Arial" w:cs="Arial"/>
                <w:b/>
              </w:rPr>
            </w:pPr>
            <w:r w:rsidRPr="0010394D">
              <w:rPr>
                <w:rFonts w:ascii="Arial" w:hAnsi="Arial" w:cs="Arial"/>
                <w:b/>
              </w:rPr>
              <w:t>DRUG NAME, FORM(S), STRENGTH(S)</w:t>
            </w:r>
            <w:r>
              <w:rPr>
                <w:rFonts w:ascii="Arial" w:hAnsi="Arial" w:cs="Arial"/>
                <w:b/>
              </w:rPr>
              <w:t>,</w:t>
            </w:r>
            <w:r w:rsidRPr="0010394D">
              <w:rPr>
                <w:rFonts w:ascii="Arial" w:hAnsi="Arial" w:cs="Arial"/>
                <w:b/>
              </w:rPr>
              <w:t xml:space="preserve"> SPONSOR</w:t>
            </w:r>
            <w:r>
              <w:rPr>
                <w:rFonts w:ascii="Arial" w:hAnsi="Arial" w:cs="Arial"/>
                <w:b/>
              </w:rPr>
              <w:t>, TYPE OF SUBMISSION</w:t>
            </w:r>
          </w:p>
          <w:p w:rsidR="00E836AC" w:rsidRPr="00F609BF" w:rsidRDefault="00E836AC" w:rsidP="0065234B">
            <w:pPr>
              <w:widowControl w:val="0"/>
              <w:jc w:val="center"/>
              <w:rPr>
                <w:rFonts w:ascii="Arial" w:hAnsi="Arial" w:cs="Arial"/>
                <w:b/>
              </w:rPr>
            </w:pPr>
          </w:p>
        </w:tc>
        <w:tc>
          <w:tcPr>
            <w:tcW w:w="2112" w:type="dxa"/>
            <w:tcMar>
              <w:top w:w="28" w:type="dxa"/>
              <w:bottom w:w="28" w:type="dxa"/>
            </w:tcMar>
          </w:tcPr>
          <w:p w:rsidR="00987FDA" w:rsidRPr="00F609BF" w:rsidRDefault="00E836AC" w:rsidP="0065234B">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65234B">
            <w:pPr>
              <w:widowControl w:val="0"/>
              <w:jc w:val="center"/>
              <w:rPr>
                <w:rFonts w:ascii="Arial" w:hAnsi="Arial" w:cs="Arial"/>
                <w:b/>
                <w:snapToGrid w:val="0"/>
                <w:lang w:eastAsia="en-US"/>
              </w:rPr>
            </w:pPr>
          </w:p>
        </w:tc>
        <w:tc>
          <w:tcPr>
            <w:tcW w:w="3231" w:type="dxa"/>
            <w:tcMar>
              <w:top w:w="28" w:type="dxa"/>
              <w:bottom w:w="28" w:type="dxa"/>
            </w:tcMar>
          </w:tcPr>
          <w:p w:rsidR="00987FDA" w:rsidRDefault="00E836AC" w:rsidP="0065234B">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p w:rsidR="00E836AC" w:rsidRPr="00F609BF" w:rsidRDefault="00E836AC" w:rsidP="0065234B">
            <w:pPr>
              <w:widowControl w:val="0"/>
              <w:jc w:val="center"/>
              <w:rPr>
                <w:rFonts w:ascii="Arial" w:hAnsi="Arial" w:cs="Arial"/>
                <w:b/>
                <w:snapToGrid w:val="0"/>
                <w:lang w:eastAsia="en-US"/>
              </w:rPr>
            </w:pPr>
          </w:p>
        </w:tc>
        <w:tc>
          <w:tcPr>
            <w:tcW w:w="6865" w:type="dxa"/>
          </w:tcPr>
          <w:p w:rsidR="00987FDA" w:rsidRPr="00F609BF" w:rsidRDefault="00E836AC" w:rsidP="00E836AC">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Pr>
                <w:rFonts w:ascii="Arial" w:hAnsi="Arial" w:cs="Arial"/>
                <w:b/>
                <w:snapToGrid w:val="0"/>
                <w:lang w:eastAsia="en-US"/>
              </w:rPr>
              <w:t>OUTCOME</w:t>
            </w:r>
          </w:p>
        </w:tc>
      </w:tr>
      <w:tr w:rsidR="00DC3996" w:rsidRPr="00C011B4" w:rsidTr="00281EE0">
        <w:trPr>
          <w:trHeight w:val="1880"/>
        </w:trPr>
        <w:tc>
          <w:tcPr>
            <w:tcW w:w="3101" w:type="dxa"/>
            <w:vMerge w:val="restart"/>
            <w:tcMar>
              <w:top w:w="28" w:type="dxa"/>
              <w:bottom w:w="28" w:type="dxa"/>
            </w:tcMar>
          </w:tcPr>
          <w:p w:rsidR="00DC3996" w:rsidRPr="00DC3996" w:rsidRDefault="00DC3996" w:rsidP="00911E0D">
            <w:pPr>
              <w:rPr>
                <w:rFonts w:ascii="Arial" w:hAnsi="Arial" w:cs="Arial"/>
                <w:b/>
              </w:rPr>
            </w:pPr>
            <w:r w:rsidRPr="00DC3996">
              <w:rPr>
                <w:rFonts w:ascii="Arial" w:hAnsi="Arial" w:cs="Arial"/>
                <w:b/>
              </w:rPr>
              <w:t>AMINO ACID FORMULA WITH VITAMINS AND MINERALS WITHOUT PHENYLALANINE AND TYROSINE</w:t>
            </w:r>
          </w:p>
          <w:p w:rsidR="00DC3996" w:rsidRDefault="00DC3996" w:rsidP="00911E0D">
            <w:pPr>
              <w:rPr>
                <w:rStyle w:val="st"/>
                <w:rFonts w:ascii="Arial" w:hAnsi="Arial" w:cs="Arial"/>
                <w:color w:val="000000"/>
              </w:rPr>
            </w:pPr>
            <w:r w:rsidRPr="00B619B2">
              <w:rPr>
                <w:rStyle w:val="st"/>
                <w:rFonts w:ascii="Arial" w:hAnsi="Arial" w:cs="Arial"/>
                <w:color w:val="000000"/>
              </w:rPr>
              <w:t>30 x 36 g sachets,</w:t>
            </w:r>
          </w:p>
          <w:p w:rsidR="00DC3996" w:rsidRPr="00B619B2" w:rsidRDefault="00DC3996" w:rsidP="00911E0D">
            <w:pPr>
              <w:rPr>
                <w:rFonts w:ascii="Arial" w:hAnsi="Arial" w:cs="Arial"/>
              </w:rPr>
            </w:pPr>
          </w:p>
          <w:p w:rsidR="00DC3996" w:rsidRPr="00B619B2" w:rsidRDefault="00DC3996" w:rsidP="00911E0D">
            <w:pPr>
              <w:rPr>
                <w:rFonts w:ascii="Arial" w:hAnsi="Arial" w:cs="Arial"/>
              </w:rPr>
            </w:pPr>
            <w:r w:rsidRPr="00B619B2">
              <w:rPr>
                <w:rFonts w:ascii="Arial" w:hAnsi="Arial" w:cs="Arial"/>
              </w:rPr>
              <w:t>TYR Anamix Junior®</w:t>
            </w:r>
          </w:p>
          <w:p w:rsidR="00DC3996" w:rsidRPr="00B619B2" w:rsidRDefault="00DC3996" w:rsidP="00911E0D">
            <w:pPr>
              <w:rPr>
                <w:rFonts w:ascii="Arial" w:hAnsi="Arial" w:cs="Arial"/>
              </w:rPr>
            </w:pPr>
          </w:p>
          <w:p w:rsidR="00DC3996" w:rsidRPr="00B619B2" w:rsidRDefault="00DC3996" w:rsidP="00911E0D">
            <w:pPr>
              <w:rPr>
                <w:rFonts w:ascii="Arial" w:hAnsi="Arial" w:cs="Arial"/>
              </w:rPr>
            </w:pPr>
            <w:r w:rsidRPr="00B619B2">
              <w:rPr>
                <w:rFonts w:ascii="Arial" w:hAnsi="Arial" w:cs="Arial"/>
              </w:rPr>
              <w:t>Nutricia Australia Pty Ltd</w:t>
            </w:r>
          </w:p>
          <w:p w:rsidR="00DC3996" w:rsidRPr="00B619B2" w:rsidRDefault="00DC3996" w:rsidP="00911E0D">
            <w:pPr>
              <w:rPr>
                <w:rFonts w:ascii="Arial" w:hAnsi="Arial" w:cs="Arial"/>
              </w:rPr>
            </w:pPr>
          </w:p>
          <w:p w:rsidR="00DC3996" w:rsidRPr="00B619B2" w:rsidRDefault="00DC3996" w:rsidP="00911E0D">
            <w:pPr>
              <w:rPr>
                <w:rFonts w:ascii="Arial" w:hAnsi="Arial" w:cs="Arial"/>
              </w:rPr>
            </w:pPr>
            <w:r w:rsidRPr="00B619B2">
              <w:rPr>
                <w:rStyle w:val="st"/>
                <w:rFonts w:ascii="Arial" w:hAnsi="Arial" w:cs="Arial"/>
                <w:color w:val="000000"/>
              </w:rPr>
              <w:t xml:space="preserve">Change to </w:t>
            </w:r>
            <w:r w:rsidRPr="00B619B2">
              <w:rPr>
                <w:rFonts w:ascii="Arial" w:hAnsi="Arial" w:cs="Arial"/>
              </w:rPr>
              <w:t>listing</w:t>
            </w:r>
          </w:p>
          <w:p w:rsidR="00DC3996" w:rsidRPr="00B619B2" w:rsidRDefault="00DC3996" w:rsidP="00911E0D">
            <w:pPr>
              <w:rPr>
                <w:rFonts w:ascii="Arial" w:hAnsi="Arial" w:cs="Arial"/>
              </w:rPr>
            </w:pPr>
          </w:p>
          <w:p w:rsidR="00DC3996" w:rsidRDefault="00DC3996" w:rsidP="00911E0D">
            <w:pPr>
              <w:rPr>
                <w:rFonts w:ascii="Arial" w:hAnsi="Arial" w:cs="Arial"/>
              </w:rPr>
            </w:pPr>
            <w:r w:rsidRPr="00B619B2">
              <w:rPr>
                <w:rFonts w:ascii="Arial" w:hAnsi="Arial" w:cs="Arial"/>
              </w:rPr>
              <w:t>(Minor submission)</w:t>
            </w:r>
          </w:p>
          <w:p w:rsidR="00DC3996" w:rsidRPr="00B619B2" w:rsidRDefault="00DC3996" w:rsidP="00911E0D">
            <w:pPr>
              <w:rPr>
                <w:rStyle w:val="st"/>
                <w:rFonts w:ascii="Arial" w:hAnsi="Arial" w:cs="Arial"/>
                <w:color w:val="000000"/>
                <w:highlight w:val="yellow"/>
              </w:rPr>
            </w:pPr>
          </w:p>
        </w:tc>
        <w:tc>
          <w:tcPr>
            <w:tcW w:w="2112" w:type="dxa"/>
            <w:vMerge w:val="restart"/>
          </w:tcPr>
          <w:p w:rsidR="00DC3996" w:rsidRPr="00B619B2" w:rsidRDefault="00DC3996" w:rsidP="00911E0D">
            <w:pPr>
              <w:rPr>
                <w:rFonts w:ascii="Arial" w:hAnsi="Arial" w:cs="Arial"/>
              </w:rPr>
            </w:pPr>
            <w:r w:rsidRPr="00B619B2">
              <w:rPr>
                <w:rFonts w:ascii="Arial" w:hAnsi="Arial" w:cs="Arial"/>
              </w:rPr>
              <w:t>Medicinal food</w:t>
            </w:r>
          </w:p>
          <w:p w:rsidR="00DC3996" w:rsidRPr="00B619B2" w:rsidRDefault="00DC3996" w:rsidP="00911E0D">
            <w:pPr>
              <w:pStyle w:val="NormalWeb"/>
              <w:spacing w:before="240" w:beforeAutospacing="0" w:after="240" w:afterAutospacing="0"/>
              <w:textAlignment w:val="baseline"/>
              <w:rPr>
                <w:rFonts w:ascii="Arial" w:hAnsi="Arial" w:cs="Arial"/>
                <w:sz w:val="20"/>
                <w:szCs w:val="20"/>
                <w:highlight w:val="yellow"/>
              </w:rPr>
            </w:pPr>
          </w:p>
        </w:tc>
        <w:tc>
          <w:tcPr>
            <w:tcW w:w="3231" w:type="dxa"/>
            <w:tcMar>
              <w:top w:w="28" w:type="dxa"/>
              <w:bottom w:w="28" w:type="dxa"/>
            </w:tcMar>
          </w:tcPr>
          <w:p w:rsidR="00DC3996" w:rsidRPr="00C011B4" w:rsidRDefault="00DC3996" w:rsidP="00911E0D">
            <w:pPr>
              <w:rPr>
                <w:rFonts w:ascii="Arial" w:hAnsi="Arial" w:cs="Arial"/>
                <w:highlight w:val="yellow"/>
              </w:rPr>
            </w:pPr>
            <w:r w:rsidRPr="00B84ACF">
              <w:rPr>
                <w:rFonts w:ascii="Arial" w:hAnsi="Arial" w:cs="Arial"/>
              </w:rPr>
              <w:t>To advise of an upgrade in the nutritional formula, flavour and packaging change from 29 g sachets to 36 g sachets.</w:t>
            </w:r>
          </w:p>
        </w:tc>
        <w:tc>
          <w:tcPr>
            <w:tcW w:w="6865" w:type="dxa"/>
          </w:tcPr>
          <w:p w:rsidR="00DC3996" w:rsidRPr="00C011B4" w:rsidRDefault="00DC3996" w:rsidP="00911E0D">
            <w:pPr>
              <w:pStyle w:val="ListParagraph"/>
              <w:ind w:left="0"/>
              <w:rPr>
                <w:rFonts w:ascii="Arial" w:hAnsi="Arial" w:cs="Arial"/>
                <w:sz w:val="20"/>
                <w:szCs w:val="20"/>
                <w:highlight w:val="yellow"/>
              </w:rPr>
            </w:pPr>
            <w:r w:rsidRPr="00F55C84">
              <w:rPr>
                <w:rFonts w:ascii="Arial" w:hAnsi="Arial" w:cs="Arial"/>
                <w:sz w:val="20"/>
                <w:szCs w:val="20"/>
              </w:rPr>
              <w:t xml:space="preserve">The PBAC deferred its recommendation until further advice could be provided by the </w:t>
            </w:r>
            <w:r w:rsidRPr="00DC3996">
              <w:rPr>
                <w:rFonts w:ascii="Arial" w:hAnsi="Arial" w:cs="Arial"/>
                <w:sz w:val="20"/>
                <w:szCs w:val="20"/>
              </w:rPr>
              <w:t>Nutritional Products Working Party</w:t>
            </w:r>
            <w:r>
              <w:rPr>
                <w:rFonts w:ascii="Arial" w:hAnsi="Arial" w:cs="Arial"/>
                <w:sz w:val="20"/>
                <w:szCs w:val="20"/>
              </w:rPr>
              <w:t xml:space="preserve"> (</w:t>
            </w:r>
            <w:r w:rsidRPr="00F55C84">
              <w:rPr>
                <w:rFonts w:ascii="Arial" w:hAnsi="Arial" w:cs="Arial"/>
                <w:sz w:val="20"/>
                <w:szCs w:val="20"/>
              </w:rPr>
              <w:t>NPWP</w:t>
            </w:r>
            <w:r>
              <w:rPr>
                <w:rFonts w:ascii="Arial" w:hAnsi="Arial" w:cs="Arial"/>
                <w:sz w:val="20"/>
                <w:szCs w:val="20"/>
              </w:rPr>
              <w:t>)</w:t>
            </w:r>
            <w:r w:rsidRPr="00F55C84">
              <w:rPr>
                <w:rFonts w:ascii="Arial" w:hAnsi="Arial" w:cs="Arial"/>
                <w:sz w:val="20"/>
                <w:szCs w:val="20"/>
              </w:rPr>
              <w:t xml:space="preserve"> on this submission in view of the additional information received from the sponsor.</w:t>
            </w:r>
          </w:p>
        </w:tc>
      </w:tr>
      <w:tr w:rsidR="00DC3996" w:rsidRPr="00C011B4" w:rsidTr="00281EE0">
        <w:trPr>
          <w:trHeight w:val="477"/>
        </w:trPr>
        <w:tc>
          <w:tcPr>
            <w:tcW w:w="3101" w:type="dxa"/>
            <w:vMerge/>
            <w:tcMar>
              <w:top w:w="28" w:type="dxa"/>
              <w:bottom w:w="28" w:type="dxa"/>
            </w:tcMar>
          </w:tcPr>
          <w:p w:rsidR="00DC3996" w:rsidRPr="00B619B2" w:rsidRDefault="00DC3996" w:rsidP="00911E0D">
            <w:pPr>
              <w:widowControl w:val="0"/>
              <w:rPr>
                <w:rFonts w:ascii="Arial" w:hAnsi="Arial" w:cs="Arial"/>
                <w:snapToGrid w:val="0"/>
                <w:lang w:eastAsia="en-US"/>
              </w:rPr>
            </w:pPr>
          </w:p>
        </w:tc>
        <w:tc>
          <w:tcPr>
            <w:tcW w:w="2112" w:type="dxa"/>
            <w:vMerge/>
          </w:tcPr>
          <w:p w:rsidR="00DC3996" w:rsidRPr="00B619B2" w:rsidRDefault="00DC3996" w:rsidP="00911E0D">
            <w:pPr>
              <w:widowControl w:val="0"/>
              <w:rPr>
                <w:rFonts w:ascii="Arial" w:hAnsi="Arial" w:cs="Arial"/>
                <w:snapToGrid w:val="0"/>
                <w:lang w:eastAsia="en-US"/>
              </w:rPr>
            </w:pPr>
          </w:p>
        </w:tc>
        <w:tc>
          <w:tcPr>
            <w:tcW w:w="3231" w:type="dxa"/>
            <w:tcMar>
              <w:top w:w="28" w:type="dxa"/>
              <w:bottom w:w="28" w:type="dxa"/>
            </w:tcMar>
          </w:tcPr>
          <w:p w:rsidR="00DC3996" w:rsidRPr="00C011B4" w:rsidRDefault="00DC3996" w:rsidP="00911E0D">
            <w:pPr>
              <w:widowControl w:val="0"/>
              <w:jc w:val="right"/>
              <w:rPr>
                <w:rFonts w:ascii="Arial" w:hAnsi="Arial" w:cs="Arial"/>
                <w:snapToGrid w:val="0"/>
                <w:highlight w:val="yellow"/>
                <w:lang w:eastAsia="en-US"/>
              </w:rPr>
            </w:pPr>
            <w:r w:rsidRPr="00564F32">
              <w:rPr>
                <w:rFonts w:ascii="Arial" w:hAnsi="Arial" w:cs="Arial"/>
                <w:snapToGrid w:val="0"/>
                <w:lang w:eastAsia="en-US"/>
              </w:rPr>
              <w:t>Sponsor Comment:</w:t>
            </w:r>
          </w:p>
        </w:tc>
        <w:tc>
          <w:tcPr>
            <w:tcW w:w="6865" w:type="dxa"/>
          </w:tcPr>
          <w:p w:rsidR="00DC3996" w:rsidRPr="00C011B4" w:rsidRDefault="003E2744" w:rsidP="00911E0D">
            <w:pPr>
              <w:pStyle w:val="ListParagraph"/>
              <w:ind w:left="0"/>
              <w:rPr>
                <w:rFonts w:ascii="Arial" w:hAnsi="Arial" w:cs="Arial"/>
                <w:sz w:val="20"/>
                <w:szCs w:val="20"/>
                <w:highlight w:val="yellow"/>
              </w:rPr>
            </w:pPr>
            <w:r w:rsidRPr="003E2744">
              <w:rPr>
                <w:rFonts w:ascii="Arial" w:hAnsi="Arial" w:cs="Arial"/>
                <w:sz w:val="20"/>
                <w:szCs w:val="20"/>
              </w:rPr>
              <w:t>The sponsor had no comment.</w:t>
            </w:r>
          </w:p>
        </w:tc>
      </w:tr>
      <w:tr w:rsidR="00DC3996" w:rsidRPr="00F609BF" w:rsidTr="00281EE0">
        <w:trPr>
          <w:trHeight w:val="2076"/>
        </w:trPr>
        <w:tc>
          <w:tcPr>
            <w:tcW w:w="3101" w:type="dxa"/>
            <w:vMerge w:val="restart"/>
            <w:tcMar>
              <w:top w:w="28" w:type="dxa"/>
              <w:bottom w:w="28" w:type="dxa"/>
            </w:tcMar>
          </w:tcPr>
          <w:p w:rsidR="00DC3996" w:rsidRPr="00DC3996" w:rsidRDefault="00DC3996" w:rsidP="00911E0D">
            <w:pPr>
              <w:rPr>
                <w:rFonts w:ascii="Arial" w:hAnsi="Arial" w:cs="Arial"/>
                <w:b/>
              </w:rPr>
            </w:pPr>
            <w:r w:rsidRPr="00DC3996">
              <w:rPr>
                <w:rFonts w:ascii="Arial" w:hAnsi="Arial" w:cs="Arial"/>
                <w:b/>
              </w:rPr>
              <w:t xml:space="preserve">AMINO ACID FORMULA WITH VITAMINS AND MINERALS WITHOUT VALINE, LEUCINE AND ISOLEUCINE </w:t>
            </w:r>
          </w:p>
          <w:p w:rsidR="00DC3996" w:rsidRDefault="00DC3996" w:rsidP="00911E0D">
            <w:pPr>
              <w:rPr>
                <w:rStyle w:val="st"/>
                <w:rFonts w:ascii="Arial" w:hAnsi="Arial" w:cs="Arial"/>
                <w:color w:val="000000"/>
              </w:rPr>
            </w:pPr>
            <w:r w:rsidRPr="00B619B2">
              <w:rPr>
                <w:rStyle w:val="st"/>
                <w:rFonts w:ascii="Arial" w:hAnsi="Arial" w:cs="Arial"/>
                <w:color w:val="000000"/>
              </w:rPr>
              <w:t>30 x 36 g sachets,</w:t>
            </w:r>
          </w:p>
          <w:p w:rsidR="00DC3996" w:rsidRDefault="00DC3996" w:rsidP="00911E0D">
            <w:pPr>
              <w:rPr>
                <w:rFonts w:ascii="Arial" w:hAnsi="Arial" w:cs="Arial"/>
              </w:rPr>
            </w:pPr>
          </w:p>
          <w:p w:rsidR="00DC3996" w:rsidRPr="00B619B2" w:rsidRDefault="00DC3996" w:rsidP="00911E0D">
            <w:pPr>
              <w:rPr>
                <w:rStyle w:val="st"/>
                <w:rFonts w:ascii="Arial" w:hAnsi="Arial" w:cs="Arial"/>
                <w:color w:val="000000"/>
              </w:rPr>
            </w:pPr>
            <w:r w:rsidRPr="00B619B2">
              <w:rPr>
                <w:rStyle w:val="st"/>
                <w:rFonts w:ascii="Arial" w:hAnsi="Arial" w:cs="Arial"/>
                <w:color w:val="000000"/>
              </w:rPr>
              <w:t xml:space="preserve">MSUD Anamix® Junior </w:t>
            </w:r>
          </w:p>
          <w:p w:rsidR="00DC3996" w:rsidRPr="00B619B2" w:rsidRDefault="00DC3996" w:rsidP="00911E0D">
            <w:pPr>
              <w:rPr>
                <w:rStyle w:val="st"/>
                <w:rFonts w:ascii="Arial" w:hAnsi="Arial" w:cs="Arial"/>
                <w:color w:val="000000"/>
              </w:rPr>
            </w:pPr>
          </w:p>
          <w:p w:rsidR="00DC3996" w:rsidRPr="00B619B2" w:rsidRDefault="00DC3996" w:rsidP="00911E0D">
            <w:pPr>
              <w:rPr>
                <w:rStyle w:val="st"/>
                <w:rFonts w:ascii="Arial" w:hAnsi="Arial" w:cs="Arial"/>
                <w:color w:val="000000"/>
              </w:rPr>
            </w:pPr>
            <w:r w:rsidRPr="00B619B2">
              <w:rPr>
                <w:rStyle w:val="st"/>
                <w:rFonts w:ascii="Arial" w:hAnsi="Arial" w:cs="Arial"/>
                <w:color w:val="000000"/>
              </w:rPr>
              <w:t>Nutricia Australia Pty Ltd</w:t>
            </w:r>
          </w:p>
          <w:p w:rsidR="00DC3996" w:rsidRPr="00B619B2" w:rsidRDefault="00DC3996" w:rsidP="00911E0D">
            <w:pPr>
              <w:rPr>
                <w:rStyle w:val="st"/>
                <w:rFonts w:ascii="Arial" w:hAnsi="Arial" w:cs="Arial"/>
                <w:color w:val="000000"/>
              </w:rPr>
            </w:pPr>
          </w:p>
          <w:p w:rsidR="00DC3996" w:rsidRPr="00B619B2" w:rsidRDefault="00DC3996" w:rsidP="00911E0D">
            <w:pPr>
              <w:rPr>
                <w:rStyle w:val="st"/>
                <w:rFonts w:ascii="Arial" w:hAnsi="Arial" w:cs="Arial"/>
                <w:color w:val="000000"/>
              </w:rPr>
            </w:pPr>
            <w:r w:rsidRPr="00B619B2">
              <w:rPr>
                <w:rStyle w:val="st"/>
                <w:rFonts w:ascii="Arial" w:hAnsi="Arial" w:cs="Arial"/>
                <w:color w:val="000000"/>
              </w:rPr>
              <w:t>Change to listing</w:t>
            </w:r>
          </w:p>
          <w:p w:rsidR="00DC3996" w:rsidRPr="00B619B2" w:rsidRDefault="00DC3996" w:rsidP="00911E0D">
            <w:pPr>
              <w:rPr>
                <w:rStyle w:val="st"/>
                <w:rFonts w:ascii="Arial" w:hAnsi="Arial" w:cs="Arial"/>
                <w:color w:val="000000"/>
              </w:rPr>
            </w:pPr>
          </w:p>
          <w:p w:rsidR="00DC3996" w:rsidRDefault="00DC3996" w:rsidP="00911E0D">
            <w:pPr>
              <w:rPr>
                <w:rStyle w:val="st"/>
                <w:rFonts w:ascii="Arial" w:hAnsi="Arial" w:cs="Arial"/>
                <w:color w:val="000000"/>
              </w:rPr>
            </w:pPr>
            <w:r w:rsidRPr="00B619B2">
              <w:rPr>
                <w:rStyle w:val="st"/>
                <w:rFonts w:ascii="Arial" w:hAnsi="Arial" w:cs="Arial"/>
                <w:color w:val="000000"/>
              </w:rPr>
              <w:t>(Minor submission</w:t>
            </w:r>
            <w:r w:rsidRPr="006077EA">
              <w:rPr>
                <w:rStyle w:val="st"/>
                <w:rFonts w:ascii="Arial" w:hAnsi="Arial" w:cs="Arial"/>
                <w:color w:val="000000"/>
              </w:rPr>
              <w:t>)</w:t>
            </w:r>
          </w:p>
          <w:p w:rsidR="00DC3996" w:rsidRPr="006077EA" w:rsidRDefault="00DC3996" w:rsidP="00911E0D">
            <w:pPr>
              <w:rPr>
                <w:rFonts w:ascii="Arial" w:hAnsi="Arial" w:cs="Arial"/>
                <w:color w:val="000000"/>
              </w:rPr>
            </w:pPr>
          </w:p>
        </w:tc>
        <w:tc>
          <w:tcPr>
            <w:tcW w:w="2112" w:type="dxa"/>
            <w:vMerge w:val="restart"/>
          </w:tcPr>
          <w:p w:rsidR="00DC3996" w:rsidRPr="00B619B2" w:rsidRDefault="00DC3996" w:rsidP="00911E0D">
            <w:pPr>
              <w:rPr>
                <w:rFonts w:ascii="Arial" w:hAnsi="Arial" w:cs="Arial"/>
              </w:rPr>
            </w:pPr>
            <w:r w:rsidRPr="00B619B2">
              <w:rPr>
                <w:rFonts w:ascii="Arial" w:hAnsi="Arial" w:cs="Arial"/>
              </w:rPr>
              <w:t>Medicinal food</w:t>
            </w:r>
          </w:p>
          <w:p w:rsidR="00DC3996" w:rsidRPr="006077EA" w:rsidRDefault="00DC3996" w:rsidP="00911E0D">
            <w:pPr>
              <w:pStyle w:val="NormalWeb"/>
              <w:spacing w:before="240" w:beforeAutospacing="0" w:after="240" w:afterAutospacing="0"/>
              <w:textAlignment w:val="baseline"/>
              <w:rPr>
                <w:rFonts w:ascii="Arial" w:hAnsi="Arial" w:cs="Arial"/>
                <w:sz w:val="20"/>
                <w:szCs w:val="20"/>
              </w:rPr>
            </w:pPr>
          </w:p>
        </w:tc>
        <w:tc>
          <w:tcPr>
            <w:tcW w:w="3231" w:type="dxa"/>
            <w:tcMar>
              <w:top w:w="28" w:type="dxa"/>
              <w:bottom w:w="28" w:type="dxa"/>
            </w:tcMar>
          </w:tcPr>
          <w:p w:rsidR="00DC3996" w:rsidRPr="00C011B4" w:rsidRDefault="00DC3996" w:rsidP="00911E0D">
            <w:pPr>
              <w:rPr>
                <w:rFonts w:ascii="Arial" w:hAnsi="Arial" w:cs="Arial"/>
                <w:highlight w:val="yellow"/>
              </w:rPr>
            </w:pPr>
            <w:r w:rsidRPr="00B84ACF">
              <w:rPr>
                <w:rFonts w:ascii="Arial" w:hAnsi="Arial" w:cs="Arial"/>
              </w:rPr>
              <w:t>To advise of an upgrade in the nutritional formula, flavour and packaging change from 29 g sachets to 36 g sachets.</w:t>
            </w:r>
          </w:p>
        </w:tc>
        <w:tc>
          <w:tcPr>
            <w:tcW w:w="6865" w:type="dxa"/>
          </w:tcPr>
          <w:p w:rsidR="00DC3996" w:rsidRPr="00C011B4" w:rsidRDefault="00DC3996" w:rsidP="00911E0D">
            <w:pPr>
              <w:pStyle w:val="ListParagraph"/>
              <w:ind w:left="0"/>
              <w:rPr>
                <w:rFonts w:ascii="Arial" w:hAnsi="Arial" w:cs="Arial"/>
                <w:sz w:val="20"/>
                <w:szCs w:val="20"/>
                <w:highlight w:val="yellow"/>
              </w:rPr>
            </w:pPr>
            <w:r w:rsidRPr="00F55C84">
              <w:rPr>
                <w:rFonts w:ascii="Arial" w:hAnsi="Arial" w:cs="Arial"/>
                <w:sz w:val="20"/>
                <w:szCs w:val="20"/>
              </w:rPr>
              <w:t xml:space="preserve">The PBAC deferred its recommendation until further advice could be provided by the </w:t>
            </w:r>
            <w:r w:rsidRPr="00DC3996">
              <w:rPr>
                <w:rFonts w:ascii="Arial" w:hAnsi="Arial" w:cs="Arial"/>
                <w:sz w:val="20"/>
                <w:szCs w:val="20"/>
              </w:rPr>
              <w:t>Nutritional Products Working Party</w:t>
            </w:r>
            <w:r w:rsidRPr="00F55C84">
              <w:rPr>
                <w:rFonts w:ascii="Arial" w:hAnsi="Arial" w:cs="Arial"/>
                <w:sz w:val="20"/>
                <w:szCs w:val="20"/>
              </w:rPr>
              <w:t xml:space="preserve"> </w:t>
            </w:r>
            <w:r>
              <w:rPr>
                <w:rFonts w:ascii="Arial" w:hAnsi="Arial" w:cs="Arial"/>
                <w:sz w:val="20"/>
                <w:szCs w:val="20"/>
              </w:rPr>
              <w:t>(</w:t>
            </w:r>
            <w:r w:rsidRPr="00F55C84">
              <w:rPr>
                <w:rFonts w:ascii="Arial" w:hAnsi="Arial" w:cs="Arial"/>
                <w:sz w:val="20"/>
                <w:szCs w:val="20"/>
              </w:rPr>
              <w:t>NPWP</w:t>
            </w:r>
            <w:r>
              <w:rPr>
                <w:rFonts w:ascii="Arial" w:hAnsi="Arial" w:cs="Arial"/>
                <w:sz w:val="20"/>
                <w:szCs w:val="20"/>
              </w:rPr>
              <w:t>)</w:t>
            </w:r>
            <w:r w:rsidRPr="00F55C84">
              <w:rPr>
                <w:rFonts w:ascii="Arial" w:hAnsi="Arial" w:cs="Arial"/>
                <w:sz w:val="20"/>
                <w:szCs w:val="20"/>
              </w:rPr>
              <w:t xml:space="preserve"> on this submission in view of the additional information received from the sponsor.</w:t>
            </w:r>
          </w:p>
        </w:tc>
      </w:tr>
      <w:tr w:rsidR="00DC3996" w:rsidRPr="00F609BF" w:rsidTr="00281EE0">
        <w:trPr>
          <w:trHeight w:val="477"/>
        </w:trPr>
        <w:tc>
          <w:tcPr>
            <w:tcW w:w="3101" w:type="dxa"/>
            <w:vMerge/>
            <w:tcMar>
              <w:top w:w="28" w:type="dxa"/>
              <w:bottom w:w="28" w:type="dxa"/>
            </w:tcMar>
          </w:tcPr>
          <w:p w:rsidR="00DC3996" w:rsidRPr="00B619B2" w:rsidRDefault="00DC3996" w:rsidP="00911E0D">
            <w:pPr>
              <w:widowControl w:val="0"/>
              <w:rPr>
                <w:rFonts w:ascii="Arial" w:hAnsi="Arial" w:cs="Arial"/>
                <w:snapToGrid w:val="0"/>
                <w:lang w:eastAsia="en-US"/>
              </w:rPr>
            </w:pPr>
          </w:p>
        </w:tc>
        <w:tc>
          <w:tcPr>
            <w:tcW w:w="2112" w:type="dxa"/>
            <w:vMerge/>
          </w:tcPr>
          <w:p w:rsidR="00DC3996" w:rsidRPr="006F6D3E" w:rsidRDefault="00DC3996" w:rsidP="00911E0D">
            <w:pPr>
              <w:widowControl w:val="0"/>
              <w:rPr>
                <w:rFonts w:ascii="Arial" w:hAnsi="Arial" w:cs="Arial"/>
                <w:snapToGrid w:val="0"/>
                <w:lang w:eastAsia="en-US"/>
              </w:rPr>
            </w:pPr>
          </w:p>
        </w:tc>
        <w:tc>
          <w:tcPr>
            <w:tcW w:w="3231" w:type="dxa"/>
            <w:tcMar>
              <w:top w:w="28" w:type="dxa"/>
              <w:bottom w:w="28" w:type="dxa"/>
            </w:tcMar>
          </w:tcPr>
          <w:p w:rsidR="00DC3996" w:rsidRPr="00564F32" w:rsidRDefault="00DC3996" w:rsidP="00911E0D">
            <w:pPr>
              <w:widowControl w:val="0"/>
              <w:jc w:val="right"/>
              <w:rPr>
                <w:rFonts w:ascii="Arial" w:hAnsi="Arial" w:cs="Arial"/>
                <w:snapToGrid w:val="0"/>
                <w:lang w:eastAsia="en-US"/>
              </w:rPr>
            </w:pPr>
            <w:r w:rsidRPr="00564F32">
              <w:rPr>
                <w:rFonts w:ascii="Arial" w:hAnsi="Arial" w:cs="Arial"/>
                <w:snapToGrid w:val="0"/>
                <w:lang w:eastAsia="en-US"/>
              </w:rPr>
              <w:t>Sponsor Comment:</w:t>
            </w:r>
          </w:p>
        </w:tc>
        <w:tc>
          <w:tcPr>
            <w:tcW w:w="6865" w:type="dxa"/>
          </w:tcPr>
          <w:p w:rsidR="00DC3996" w:rsidRPr="00C011B4" w:rsidRDefault="003E2744" w:rsidP="00911E0D">
            <w:pPr>
              <w:pStyle w:val="ListParagraph"/>
              <w:ind w:left="0"/>
              <w:rPr>
                <w:rFonts w:ascii="Arial" w:hAnsi="Arial" w:cs="Arial"/>
                <w:sz w:val="20"/>
                <w:szCs w:val="20"/>
                <w:highlight w:val="yellow"/>
              </w:rPr>
            </w:pPr>
            <w:r w:rsidRPr="003E2744">
              <w:rPr>
                <w:rFonts w:ascii="Arial" w:hAnsi="Arial" w:cs="Arial"/>
                <w:sz w:val="20"/>
                <w:szCs w:val="20"/>
              </w:rPr>
              <w:t>The sponsor had no comment.</w:t>
            </w:r>
          </w:p>
        </w:tc>
      </w:tr>
      <w:tr w:rsidR="00DC3996" w:rsidRPr="00C011B4" w:rsidTr="00281EE0">
        <w:trPr>
          <w:trHeight w:val="1880"/>
        </w:trPr>
        <w:tc>
          <w:tcPr>
            <w:tcW w:w="3101" w:type="dxa"/>
            <w:vMerge w:val="restart"/>
            <w:tcMar>
              <w:top w:w="28" w:type="dxa"/>
              <w:bottom w:w="28" w:type="dxa"/>
            </w:tcMar>
          </w:tcPr>
          <w:p w:rsidR="00DC3996" w:rsidRPr="00DC3996" w:rsidRDefault="00DC3996" w:rsidP="00911E0D">
            <w:pPr>
              <w:rPr>
                <w:rStyle w:val="st"/>
                <w:rFonts w:ascii="Arial" w:hAnsi="Arial" w:cs="Arial"/>
                <w:b/>
                <w:color w:val="000000"/>
              </w:rPr>
            </w:pPr>
            <w:r w:rsidRPr="00DC3996">
              <w:rPr>
                <w:rStyle w:val="st"/>
                <w:rFonts w:ascii="Arial" w:hAnsi="Arial" w:cs="Arial"/>
                <w:b/>
                <w:color w:val="000000"/>
              </w:rPr>
              <w:t>AMINO ACIDS FORMULA WITH VITAMINS AND MINERALS WITHOUT PHENYLALANINE</w:t>
            </w:r>
          </w:p>
          <w:p w:rsidR="00DC3996" w:rsidRDefault="00DC3996" w:rsidP="00911E0D">
            <w:pPr>
              <w:rPr>
                <w:rStyle w:val="st"/>
                <w:rFonts w:ascii="Arial" w:hAnsi="Arial" w:cs="Arial"/>
                <w:color w:val="000000"/>
              </w:rPr>
            </w:pPr>
            <w:r w:rsidRPr="00B619B2">
              <w:rPr>
                <w:rStyle w:val="st"/>
                <w:rFonts w:ascii="Arial" w:hAnsi="Arial" w:cs="Arial"/>
                <w:color w:val="000000"/>
              </w:rPr>
              <w:t>30 x 36 g sachets,</w:t>
            </w:r>
          </w:p>
          <w:p w:rsidR="00DC3996" w:rsidRPr="00B619B2" w:rsidRDefault="00DC3996" w:rsidP="00911E0D">
            <w:pPr>
              <w:rPr>
                <w:rStyle w:val="st"/>
                <w:rFonts w:ascii="Arial" w:hAnsi="Arial" w:cs="Arial"/>
                <w:color w:val="000000"/>
              </w:rPr>
            </w:pPr>
          </w:p>
          <w:p w:rsidR="00DC3996" w:rsidRPr="00B619B2" w:rsidRDefault="00DC3996" w:rsidP="00911E0D">
            <w:pPr>
              <w:rPr>
                <w:rStyle w:val="st"/>
                <w:rFonts w:ascii="Arial" w:hAnsi="Arial" w:cs="Arial"/>
                <w:color w:val="000000"/>
              </w:rPr>
            </w:pPr>
            <w:r w:rsidRPr="00B619B2">
              <w:rPr>
                <w:rStyle w:val="st"/>
                <w:rFonts w:ascii="Arial" w:hAnsi="Arial" w:cs="Arial"/>
                <w:color w:val="000000"/>
              </w:rPr>
              <w:t xml:space="preserve">PKU Anamix® Junior </w:t>
            </w:r>
          </w:p>
          <w:p w:rsidR="00DC3996" w:rsidRPr="00B619B2" w:rsidRDefault="00DC3996" w:rsidP="00911E0D">
            <w:pPr>
              <w:rPr>
                <w:rStyle w:val="st"/>
                <w:rFonts w:ascii="Arial" w:hAnsi="Arial" w:cs="Arial"/>
                <w:color w:val="000000"/>
              </w:rPr>
            </w:pPr>
            <w:r w:rsidRPr="00B619B2">
              <w:rPr>
                <w:rStyle w:val="st"/>
                <w:rFonts w:ascii="Arial" w:hAnsi="Arial" w:cs="Arial"/>
                <w:color w:val="000000"/>
              </w:rPr>
              <w:t> </w:t>
            </w:r>
          </w:p>
          <w:p w:rsidR="00DC3996" w:rsidRDefault="00DC3996" w:rsidP="00911E0D">
            <w:pPr>
              <w:rPr>
                <w:rStyle w:val="st"/>
                <w:rFonts w:ascii="Arial" w:hAnsi="Arial" w:cs="Arial"/>
                <w:color w:val="000000"/>
              </w:rPr>
            </w:pPr>
            <w:r w:rsidRPr="00B619B2">
              <w:rPr>
                <w:rStyle w:val="st"/>
                <w:rFonts w:ascii="Arial" w:hAnsi="Arial" w:cs="Arial"/>
                <w:color w:val="000000"/>
              </w:rPr>
              <w:lastRenderedPageBreak/>
              <w:t>Nutricia Australia Pty Ltd</w:t>
            </w:r>
          </w:p>
          <w:p w:rsidR="00DC3996" w:rsidRPr="00B619B2" w:rsidRDefault="00DC3996" w:rsidP="00911E0D">
            <w:pPr>
              <w:rPr>
                <w:rStyle w:val="st"/>
                <w:rFonts w:ascii="Arial" w:hAnsi="Arial" w:cs="Arial"/>
                <w:color w:val="000000"/>
              </w:rPr>
            </w:pPr>
          </w:p>
          <w:p w:rsidR="00DC3996" w:rsidRPr="00B619B2" w:rsidRDefault="00DC3996" w:rsidP="00911E0D">
            <w:pPr>
              <w:rPr>
                <w:rStyle w:val="st"/>
                <w:rFonts w:ascii="Arial" w:hAnsi="Arial" w:cs="Arial"/>
                <w:color w:val="000000"/>
              </w:rPr>
            </w:pPr>
            <w:r w:rsidRPr="00B619B2">
              <w:rPr>
                <w:rStyle w:val="st"/>
                <w:rFonts w:ascii="Arial" w:hAnsi="Arial" w:cs="Arial"/>
                <w:color w:val="000000"/>
              </w:rPr>
              <w:t>Change to listing</w:t>
            </w:r>
          </w:p>
          <w:p w:rsidR="00DC3996" w:rsidRDefault="00DC3996" w:rsidP="00911E0D">
            <w:pPr>
              <w:rPr>
                <w:rStyle w:val="st"/>
                <w:rFonts w:ascii="Arial" w:hAnsi="Arial" w:cs="Arial"/>
                <w:color w:val="000000"/>
              </w:rPr>
            </w:pPr>
          </w:p>
          <w:p w:rsidR="00DC3996" w:rsidRPr="00B619B2" w:rsidRDefault="00DC3996" w:rsidP="00911E0D">
            <w:pPr>
              <w:rPr>
                <w:rStyle w:val="st"/>
                <w:rFonts w:ascii="Arial" w:hAnsi="Arial" w:cs="Arial"/>
                <w:color w:val="000000"/>
              </w:rPr>
            </w:pPr>
            <w:r w:rsidRPr="00B619B2">
              <w:rPr>
                <w:rStyle w:val="st"/>
                <w:rFonts w:ascii="Arial" w:hAnsi="Arial" w:cs="Arial"/>
                <w:color w:val="000000"/>
              </w:rPr>
              <w:t>(Minor submission)</w:t>
            </w:r>
          </w:p>
          <w:p w:rsidR="00DC3996" w:rsidRPr="00B619B2" w:rsidRDefault="00DC3996" w:rsidP="00911E0D">
            <w:pPr>
              <w:rPr>
                <w:rStyle w:val="st"/>
                <w:rFonts w:ascii="Arial" w:hAnsi="Arial" w:cs="Arial"/>
                <w:color w:val="000000"/>
                <w:highlight w:val="yellow"/>
              </w:rPr>
            </w:pPr>
          </w:p>
        </w:tc>
        <w:tc>
          <w:tcPr>
            <w:tcW w:w="2112" w:type="dxa"/>
            <w:vMerge w:val="restart"/>
          </w:tcPr>
          <w:p w:rsidR="00DC3996" w:rsidRPr="00B619B2" w:rsidRDefault="00DC3996" w:rsidP="00911E0D">
            <w:pPr>
              <w:rPr>
                <w:rFonts w:ascii="Arial" w:hAnsi="Arial" w:cs="Arial"/>
                <w:color w:val="222222"/>
              </w:rPr>
            </w:pPr>
            <w:r w:rsidRPr="00B619B2">
              <w:rPr>
                <w:rFonts w:ascii="Arial" w:hAnsi="Arial" w:cs="Arial"/>
              </w:rPr>
              <w:lastRenderedPageBreak/>
              <w:t>Medicinal</w:t>
            </w:r>
            <w:r w:rsidRPr="00B619B2">
              <w:rPr>
                <w:rFonts w:ascii="Arial" w:hAnsi="Arial" w:cs="Arial"/>
                <w:color w:val="222222"/>
              </w:rPr>
              <w:t xml:space="preserve"> food</w:t>
            </w:r>
          </w:p>
          <w:p w:rsidR="00DC3996" w:rsidRPr="00C011B4" w:rsidRDefault="00DC3996" w:rsidP="00911E0D">
            <w:pPr>
              <w:pStyle w:val="NormalWeb"/>
              <w:spacing w:before="240" w:beforeAutospacing="0" w:after="240" w:afterAutospacing="0"/>
              <w:textAlignment w:val="baseline"/>
              <w:rPr>
                <w:rFonts w:ascii="Arial" w:hAnsi="Arial" w:cs="Arial"/>
                <w:sz w:val="20"/>
                <w:szCs w:val="20"/>
                <w:highlight w:val="yellow"/>
              </w:rPr>
            </w:pPr>
          </w:p>
        </w:tc>
        <w:tc>
          <w:tcPr>
            <w:tcW w:w="3231" w:type="dxa"/>
            <w:tcMar>
              <w:top w:w="28" w:type="dxa"/>
              <w:bottom w:w="28" w:type="dxa"/>
            </w:tcMar>
          </w:tcPr>
          <w:p w:rsidR="00DC3996" w:rsidRPr="00564F32" w:rsidRDefault="00DC3996" w:rsidP="00911E0D">
            <w:pPr>
              <w:rPr>
                <w:rFonts w:ascii="Arial" w:hAnsi="Arial" w:cs="Arial"/>
              </w:rPr>
            </w:pPr>
            <w:r w:rsidRPr="00B84ACF">
              <w:rPr>
                <w:rFonts w:ascii="Arial" w:hAnsi="Arial" w:cs="Arial"/>
              </w:rPr>
              <w:t>To advise of an upgrade in the nutritional formula, flavour and packaging change from 29 g sachets to 36 g sachets.</w:t>
            </w:r>
          </w:p>
        </w:tc>
        <w:tc>
          <w:tcPr>
            <w:tcW w:w="6865" w:type="dxa"/>
          </w:tcPr>
          <w:p w:rsidR="00DC3996" w:rsidRPr="00C011B4" w:rsidRDefault="00DC3996" w:rsidP="00911E0D">
            <w:pPr>
              <w:pStyle w:val="ListParagraph"/>
              <w:ind w:left="0"/>
              <w:rPr>
                <w:rFonts w:ascii="Arial" w:hAnsi="Arial" w:cs="Arial"/>
                <w:sz w:val="20"/>
                <w:szCs w:val="20"/>
                <w:highlight w:val="yellow"/>
              </w:rPr>
            </w:pPr>
            <w:r w:rsidRPr="00F55C84">
              <w:rPr>
                <w:rFonts w:ascii="Arial" w:hAnsi="Arial" w:cs="Arial"/>
                <w:sz w:val="20"/>
                <w:szCs w:val="20"/>
              </w:rPr>
              <w:t xml:space="preserve">The PBAC deferred its recommendation until further advice could be provided by the </w:t>
            </w:r>
            <w:r w:rsidRPr="00DC3996">
              <w:rPr>
                <w:rFonts w:ascii="Arial" w:hAnsi="Arial" w:cs="Arial"/>
                <w:sz w:val="20"/>
                <w:szCs w:val="20"/>
              </w:rPr>
              <w:t>Nutritional Products Working Party</w:t>
            </w:r>
            <w:r w:rsidRPr="00F55C84">
              <w:rPr>
                <w:rFonts w:ascii="Arial" w:hAnsi="Arial" w:cs="Arial"/>
                <w:sz w:val="20"/>
                <w:szCs w:val="20"/>
              </w:rPr>
              <w:t xml:space="preserve"> </w:t>
            </w:r>
            <w:r>
              <w:rPr>
                <w:rFonts w:ascii="Arial" w:hAnsi="Arial" w:cs="Arial"/>
                <w:sz w:val="20"/>
                <w:szCs w:val="20"/>
              </w:rPr>
              <w:t>(</w:t>
            </w:r>
            <w:r w:rsidRPr="00F55C84">
              <w:rPr>
                <w:rFonts w:ascii="Arial" w:hAnsi="Arial" w:cs="Arial"/>
                <w:sz w:val="20"/>
                <w:szCs w:val="20"/>
              </w:rPr>
              <w:t>NPWP</w:t>
            </w:r>
            <w:r>
              <w:rPr>
                <w:rFonts w:ascii="Arial" w:hAnsi="Arial" w:cs="Arial"/>
                <w:sz w:val="20"/>
                <w:szCs w:val="20"/>
              </w:rPr>
              <w:t>)</w:t>
            </w:r>
            <w:r w:rsidRPr="00F55C84">
              <w:rPr>
                <w:rFonts w:ascii="Arial" w:hAnsi="Arial" w:cs="Arial"/>
                <w:sz w:val="20"/>
                <w:szCs w:val="20"/>
              </w:rPr>
              <w:t xml:space="preserve"> on this submission in view of the additional information received from the sponsor.</w:t>
            </w:r>
          </w:p>
        </w:tc>
      </w:tr>
      <w:tr w:rsidR="00DC3996" w:rsidRPr="00C011B4" w:rsidTr="00281EE0">
        <w:trPr>
          <w:trHeight w:val="477"/>
        </w:trPr>
        <w:tc>
          <w:tcPr>
            <w:tcW w:w="3101" w:type="dxa"/>
            <w:vMerge/>
            <w:tcMar>
              <w:top w:w="28" w:type="dxa"/>
              <w:bottom w:w="28" w:type="dxa"/>
            </w:tcMar>
          </w:tcPr>
          <w:p w:rsidR="00DC3996" w:rsidRPr="00B619B2" w:rsidRDefault="00DC3996" w:rsidP="00911E0D">
            <w:pPr>
              <w:widowControl w:val="0"/>
              <w:rPr>
                <w:rFonts w:ascii="Arial" w:hAnsi="Arial" w:cs="Arial"/>
                <w:snapToGrid w:val="0"/>
                <w:lang w:eastAsia="en-US"/>
              </w:rPr>
            </w:pPr>
          </w:p>
        </w:tc>
        <w:tc>
          <w:tcPr>
            <w:tcW w:w="2112" w:type="dxa"/>
            <w:vMerge/>
          </w:tcPr>
          <w:p w:rsidR="00DC3996" w:rsidRPr="006F6D3E" w:rsidRDefault="00DC3996" w:rsidP="00911E0D">
            <w:pPr>
              <w:widowControl w:val="0"/>
              <w:rPr>
                <w:rFonts w:ascii="Arial" w:hAnsi="Arial" w:cs="Arial"/>
                <w:snapToGrid w:val="0"/>
                <w:lang w:eastAsia="en-US"/>
              </w:rPr>
            </w:pPr>
          </w:p>
        </w:tc>
        <w:tc>
          <w:tcPr>
            <w:tcW w:w="3231" w:type="dxa"/>
            <w:tcMar>
              <w:top w:w="28" w:type="dxa"/>
              <w:bottom w:w="28" w:type="dxa"/>
            </w:tcMar>
          </w:tcPr>
          <w:p w:rsidR="00DC3996" w:rsidRPr="00564F32" w:rsidRDefault="00DC3996" w:rsidP="00911E0D">
            <w:pPr>
              <w:widowControl w:val="0"/>
              <w:jc w:val="right"/>
              <w:rPr>
                <w:rFonts w:ascii="Arial" w:hAnsi="Arial" w:cs="Arial"/>
                <w:snapToGrid w:val="0"/>
                <w:lang w:eastAsia="en-US"/>
              </w:rPr>
            </w:pPr>
            <w:r w:rsidRPr="00564F32">
              <w:rPr>
                <w:rFonts w:ascii="Arial" w:hAnsi="Arial" w:cs="Arial"/>
                <w:snapToGrid w:val="0"/>
                <w:lang w:eastAsia="en-US"/>
              </w:rPr>
              <w:t>Sponsor Comment:</w:t>
            </w:r>
          </w:p>
        </w:tc>
        <w:tc>
          <w:tcPr>
            <w:tcW w:w="6865" w:type="dxa"/>
          </w:tcPr>
          <w:p w:rsidR="00DC3996" w:rsidRPr="00C011B4" w:rsidRDefault="003E2744" w:rsidP="00911E0D">
            <w:pPr>
              <w:pStyle w:val="ListParagraph"/>
              <w:ind w:left="0"/>
              <w:rPr>
                <w:rFonts w:ascii="Arial" w:hAnsi="Arial" w:cs="Arial"/>
                <w:sz w:val="20"/>
                <w:szCs w:val="20"/>
                <w:highlight w:val="yellow"/>
              </w:rPr>
            </w:pPr>
            <w:r w:rsidRPr="003E2744">
              <w:rPr>
                <w:rFonts w:ascii="Arial" w:hAnsi="Arial" w:cs="Arial"/>
                <w:sz w:val="20"/>
                <w:szCs w:val="20"/>
              </w:rPr>
              <w:t>The sponsor had no comment.</w:t>
            </w:r>
          </w:p>
        </w:tc>
      </w:tr>
      <w:tr w:rsidR="00DC3996" w:rsidRPr="00C011B4" w:rsidTr="00281EE0">
        <w:trPr>
          <w:trHeight w:val="2314"/>
        </w:trPr>
        <w:tc>
          <w:tcPr>
            <w:tcW w:w="3101" w:type="dxa"/>
            <w:vMerge w:val="restart"/>
            <w:tcMar>
              <w:top w:w="28" w:type="dxa"/>
              <w:bottom w:w="28" w:type="dxa"/>
            </w:tcMar>
          </w:tcPr>
          <w:p w:rsidR="00DC3996" w:rsidRPr="00DC3996" w:rsidRDefault="00DC3996" w:rsidP="00911E0D">
            <w:pPr>
              <w:rPr>
                <w:rStyle w:val="st"/>
                <w:rFonts w:ascii="Arial" w:hAnsi="Arial" w:cs="Arial"/>
                <w:b/>
                <w:color w:val="000000"/>
              </w:rPr>
            </w:pPr>
            <w:r w:rsidRPr="00DC3996">
              <w:rPr>
                <w:rStyle w:val="st"/>
                <w:rFonts w:ascii="Arial" w:hAnsi="Arial" w:cs="Arial"/>
                <w:b/>
                <w:color w:val="000000"/>
              </w:rPr>
              <w:lastRenderedPageBreak/>
              <w:t>AMINO ACIDS FORMULA WITH VITAMINS AND MINERALS WITHOUT PHENYLALANINE</w:t>
            </w:r>
          </w:p>
          <w:p w:rsidR="00DC3996" w:rsidRDefault="00DC3996" w:rsidP="00911E0D">
            <w:pPr>
              <w:rPr>
                <w:rStyle w:val="st"/>
                <w:rFonts w:ascii="Arial" w:hAnsi="Arial" w:cs="Arial"/>
                <w:color w:val="000000"/>
              </w:rPr>
            </w:pPr>
            <w:r>
              <w:rPr>
                <w:rStyle w:val="st"/>
                <w:rFonts w:ascii="Arial" w:hAnsi="Arial" w:cs="Arial"/>
                <w:color w:val="000000"/>
              </w:rPr>
              <w:t>30 x 130 mL pouches</w:t>
            </w:r>
          </w:p>
          <w:p w:rsidR="00DC3996" w:rsidRDefault="00DC3996" w:rsidP="00911E0D">
            <w:pPr>
              <w:rPr>
                <w:rStyle w:val="st"/>
                <w:rFonts w:ascii="Arial" w:hAnsi="Arial" w:cs="Arial"/>
                <w:color w:val="000000"/>
              </w:rPr>
            </w:pPr>
            <w:r>
              <w:rPr>
                <w:rStyle w:val="st"/>
                <w:rFonts w:ascii="Arial" w:hAnsi="Arial" w:cs="Arial"/>
                <w:color w:val="000000"/>
              </w:rPr>
              <w:t>30 x 174 mL pouches</w:t>
            </w:r>
          </w:p>
          <w:p w:rsidR="00DC3996" w:rsidRPr="00B619B2" w:rsidRDefault="00DC3996" w:rsidP="00911E0D">
            <w:pPr>
              <w:rPr>
                <w:rStyle w:val="st"/>
                <w:rFonts w:ascii="Arial" w:hAnsi="Arial" w:cs="Arial"/>
                <w:color w:val="000000"/>
              </w:rPr>
            </w:pPr>
          </w:p>
          <w:p w:rsidR="00DC3996" w:rsidRPr="00B619B2" w:rsidRDefault="00DC3996" w:rsidP="00911E0D">
            <w:pPr>
              <w:rPr>
                <w:rStyle w:val="st"/>
                <w:rFonts w:ascii="Arial" w:hAnsi="Arial" w:cs="Arial"/>
                <w:color w:val="000000"/>
              </w:rPr>
            </w:pPr>
            <w:r w:rsidRPr="00B619B2">
              <w:rPr>
                <w:rStyle w:val="st"/>
                <w:rFonts w:ascii="Arial" w:hAnsi="Arial" w:cs="Arial"/>
                <w:color w:val="000000"/>
              </w:rPr>
              <w:t>PKU Air</w:t>
            </w:r>
          </w:p>
          <w:p w:rsidR="00DC3996" w:rsidRPr="00B619B2" w:rsidRDefault="00DC3996" w:rsidP="00911E0D">
            <w:pPr>
              <w:rPr>
                <w:rStyle w:val="st"/>
                <w:rFonts w:ascii="Arial" w:hAnsi="Arial" w:cs="Arial"/>
                <w:color w:val="000000"/>
              </w:rPr>
            </w:pPr>
          </w:p>
          <w:p w:rsidR="00DC3996" w:rsidRDefault="00DC3996" w:rsidP="00911E0D">
            <w:pPr>
              <w:rPr>
                <w:rStyle w:val="st"/>
                <w:rFonts w:ascii="Arial" w:hAnsi="Arial" w:cs="Arial"/>
                <w:color w:val="000000"/>
              </w:rPr>
            </w:pPr>
            <w:r w:rsidRPr="00B619B2">
              <w:rPr>
                <w:rStyle w:val="st"/>
                <w:rFonts w:ascii="Arial" w:hAnsi="Arial" w:cs="Arial"/>
                <w:color w:val="000000"/>
              </w:rPr>
              <w:t>Vitaflo Australia Pty Ltd</w:t>
            </w:r>
          </w:p>
          <w:p w:rsidR="00DC3996" w:rsidRPr="00B619B2" w:rsidRDefault="00DC3996" w:rsidP="00911E0D">
            <w:pPr>
              <w:rPr>
                <w:rStyle w:val="st"/>
                <w:rFonts w:ascii="Arial" w:hAnsi="Arial" w:cs="Arial"/>
                <w:color w:val="000000"/>
              </w:rPr>
            </w:pPr>
          </w:p>
          <w:p w:rsidR="00DC3996" w:rsidRDefault="00DC3996" w:rsidP="00911E0D">
            <w:pPr>
              <w:rPr>
                <w:rStyle w:val="st"/>
                <w:rFonts w:ascii="Arial" w:hAnsi="Arial" w:cs="Arial"/>
                <w:color w:val="000000"/>
              </w:rPr>
            </w:pPr>
            <w:r w:rsidRPr="00B619B2">
              <w:rPr>
                <w:rStyle w:val="st"/>
                <w:rFonts w:ascii="Arial" w:hAnsi="Arial" w:cs="Arial"/>
                <w:color w:val="000000"/>
              </w:rPr>
              <w:t>New listing</w:t>
            </w:r>
          </w:p>
          <w:p w:rsidR="00DC3996" w:rsidRPr="00B619B2" w:rsidRDefault="00DC3996" w:rsidP="00911E0D">
            <w:pPr>
              <w:rPr>
                <w:rStyle w:val="st"/>
                <w:rFonts w:ascii="Arial" w:hAnsi="Arial" w:cs="Arial"/>
                <w:color w:val="000000"/>
              </w:rPr>
            </w:pPr>
          </w:p>
          <w:p w:rsidR="00DC3996" w:rsidRPr="00B619B2" w:rsidRDefault="00DC3996" w:rsidP="00911E0D">
            <w:pPr>
              <w:rPr>
                <w:rStyle w:val="st"/>
                <w:rFonts w:ascii="Arial" w:hAnsi="Arial" w:cs="Arial"/>
                <w:color w:val="000000"/>
              </w:rPr>
            </w:pPr>
            <w:r w:rsidRPr="00B619B2">
              <w:rPr>
                <w:rStyle w:val="st"/>
                <w:rFonts w:ascii="Arial" w:hAnsi="Arial" w:cs="Arial"/>
                <w:color w:val="000000"/>
              </w:rPr>
              <w:t>(Minor submission)</w:t>
            </w:r>
          </w:p>
          <w:p w:rsidR="00DC3996" w:rsidRPr="00B619B2" w:rsidRDefault="00DC3996" w:rsidP="00911E0D">
            <w:pPr>
              <w:rPr>
                <w:rStyle w:val="st"/>
                <w:rFonts w:ascii="Arial" w:hAnsi="Arial" w:cs="Arial"/>
                <w:color w:val="000000"/>
              </w:rPr>
            </w:pPr>
          </w:p>
        </w:tc>
        <w:tc>
          <w:tcPr>
            <w:tcW w:w="2112" w:type="dxa"/>
            <w:vMerge w:val="restart"/>
            <w:tcMar>
              <w:top w:w="28" w:type="dxa"/>
              <w:bottom w:w="28" w:type="dxa"/>
            </w:tcMar>
          </w:tcPr>
          <w:p w:rsidR="00DC3996" w:rsidRPr="00B619B2" w:rsidRDefault="00DC3996" w:rsidP="00911E0D">
            <w:pPr>
              <w:rPr>
                <w:rFonts w:ascii="Arial" w:hAnsi="Arial" w:cs="Arial"/>
              </w:rPr>
            </w:pPr>
            <w:r w:rsidRPr="00B619B2">
              <w:rPr>
                <w:rFonts w:ascii="Arial" w:hAnsi="Arial" w:cs="Arial"/>
              </w:rPr>
              <w:t>Medicinal food</w:t>
            </w:r>
          </w:p>
        </w:tc>
        <w:tc>
          <w:tcPr>
            <w:tcW w:w="3231" w:type="dxa"/>
            <w:tcMar>
              <w:top w:w="28" w:type="dxa"/>
              <w:bottom w:w="28" w:type="dxa"/>
            </w:tcMar>
          </w:tcPr>
          <w:p w:rsidR="00DC3996" w:rsidRPr="00564F32" w:rsidRDefault="00DC3996" w:rsidP="00911E0D">
            <w:pPr>
              <w:rPr>
                <w:rFonts w:ascii="Arial" w:hAnsi="Arial" w:cs="Arial"/>
              </w:rPr>
            </w:pPr>
            <w:r w:rsidRPr="00564F32">
              <w:rPr>
                <w:rFonts w:ascii="Arial" w:hAnsi="Arial" w:cs="Arial"/>
              </w:rPr>
              <w:t>Restricted benefit for phenylketonuria.</w:t>
            </w:r>
          </w:p>
        </w:tc>
        <w:tc>
          <w:tcPr>
            <w:tcW w:w="6865" w:type="dxa"/>
          </w:tcPr>
          <w:p w:rsidR="00DC3996" w:rsidRPr="00C011B4" w:rsidRDefault="00DC3996" w:rsidP="00911E0D">
            <w:pPr>
              <w:rPr>
                <w:rFonts w:ascii="Arial" w:hAnsi="Arial" w:cs="Arial"/>
                <w:highlight w:val="yellow"/>
              </w:rPr>
            </w:pPr>
            <w:r w:rsidRPr="00492DF8">
              <w:rPr>
                <w:rFonts w:ascii="Arial" w:hAnsi="Arial" w:cs="Arial"/>
              </w:rPr>
              <w:t xml:space="preserve">The PBAC deferred its recommendation until further advice could be provided by the </w:t>
            </w:r>
            <w:r w:rsidRPr="00DC3996">
              <w:rPr>
                <w:rFonts w:ascii="Arial" w:hAnsi="Arial" w:cs="Arial"/>
              </w:rPr>
              <w:t>Nutritional Products Working Party</w:t>
            </w:r>
            <w:r w:rsidRPr="00492DF8">
              <w:rPr>
                <w:rFonts w:ascii="Arial" w:hAnsi="Arial" w:cs="Arial"/>
              </w:rPr>
              <w:t xml:space="preserve"> </w:t>
            </w:r>
            <w:r>
              <w:rPr>
                <w:rFonts w:ascii="Arial" w:hAnsi="Arial" w:cs="Arial"/>
              </w:rPr>
              <w:t>(</w:t>
            </w:r>
            <w:r w:rsidRPr="00492DF8">
              <w:rPr>
                <w:rFonts w:ascii="Arial" w:hAnsi="Arial" w:cs="Arial"/>
              </w:rPr>
              <w:t>NPWP</w:t>
            </w:r>
            <w:r>
              <w:rPr>
                <w:rFonts w:ascii="Arial" w:hAnsi="Arial" w:cs="Arial"/>
              </w:rPr>
              <w:t>)</w:t>
            </w:r>
            <w:r w:rsidRPr="00492DF8">
              <w:rPr>
                <w:rFonts w:ascii="Arial" w:hAnsi="Arial" w:cs="Arial"/>
              </w:rPr>
              <w:t xml:space="preserve"> on this submission in view of the additional information received from the sponsor.</w:t>
            </w:r>
          </w:p>
        </w:tc>
      </w:tr>
      <w:tr w:rsidR="00DC3996" w:rsidRPr="00C011B4" w:rsidTr="00281EE0">
        <w:trPr>
          <w:cantSplit/>
          <w:trHeight w:val="816"/>
        </w:trPr>
        <w:tc>
          <w:tcPr>
            <w:tcW w:w="3101" w:type="dxa"/>
            <w:vMerge/>
            <w:tcMar>
              <w:top w:w="28" w:type="dxa"/>
              <w:bottom w:w="28" w:type="dxa"/>
            </w:tcMar>
          </w:tcPr>
          <w:p w:rsidR="00DC3996" w:rsidRPr="00C011B4" w:rsidRDefault="00DC3996" w:rsidP="00911E0D">
            <w:pPr>
              <w:widowControl w:val="0"/>
              <w:rPr>
                <w:rFonts w:ascii="Arial" w:hAnsi="Arial" w:cs="Arial"/>
                <w:snapToGrid w:val="0"/>
                <w:highlight w:val="yellow"/>
                <w:lang w:eastAsia="en-US"/>
              </w:rPr>
            </w:pPr>
          </w:p>
        </w:tc>
        <w:tc>
          <w:tcPr>
            <w:tcW w:w="2112" w:type="dxa"/>
            <w:vMerge/>
          </w:tcPr>
          <w:p w:rsidR="00DC3996" w:rsidRPr="00C011B4" w:rsidRDefault="00DC3996" w:rsidP="00911E0D">
            <w:pPr>
              <w:widowControl w:val="0"/>
              <w:rPr>
                <w:rFonts w:ascii="Arial" w:hAnsi="Arial" w:cs="Arial"/>
                <w:snapToGrid w:val="0"/>
                <w:highlight w:val="yellow"/>
                <w:lang w:eastAsia="en-US"/>
              </w:rPr>
            </w:pPr>
          </w:p>
        </w:tc>
        <w:tc>
          <w:tcPr>
            <w:tcW w:w="3231" w:type="dxa"/>
            <w:tcMar>
              <w:top w:w="28" w:type="dxa"/>
              <w:bottom w:w="28" w:type="dxa"/>
            </w:tcMar>
          </w:tcPr>
          <w:p w:rsidR="00DC3996" w:rsidRPr="00564F32" w:rsidRDefault="00DC3996" w:rsidP="00911E0D">
            <w:pPr>
              <w:widowControl w:val="0"/>
              <w:jc w:val="right"/>
              <w:rPr>
                <w:rFonts w:ascii="Arial" w:hAnsi="Arial" w:cs="Arial"/>
              </w:rPr>
            </w:pPr>
            <w:r w:rsidRPr="00564F32">
              <w:rPr>
                <w:rFonts w:ascii="Arial" w:hAnsi="Arial" w:cs="Arial"/>
                <w:snapToGrid w:val="0"/>
                <w:lang w:eastAsia="en-US"/>
              </w:rPr>
              <w:t>Sponsor Comment:</w:t>
            </w:r>
          </w:p>
        </w:tc>
        <w:tc>
          <w:tcPr>
            <w:tcW w:w="6865" w:type="dxa"/>
          </w:tcPr>
          <w:p w:rsidR="00DC3996" w:rsidRPr="00C011B4" w:rsidRDefault="003E2744" w:rsidP="00911E0D">
            <w:pPr>
              <w:pStyle w:val="ListParagraph"/>
              <w:ind w:left="0"/>
              <w:rPr>
                <w:rFonts w:ascii="Arial" w:hAnsi="Arial" w:cs="Arial"/>
                <w:iCs/>
                <w:sz w:val="20"/>
                <w:szCs w:val="20"/>
                <w:highlight w:val="yellow"/>
              </w:rPr>
            </w:pPr>
            <w:r w:rsidRPr="003E2744">
              <w:rPr>
                <w:rFonts w:ascii="Arial" w:hAnsi="Arial" w:cs="Arial"/>
                <w:iCs/>
                <w:sz w:val="20"/>
                <w:szCs w:val="20"/>
              </w:rPr>
              <w:t>The sponsor had no comment.</w:t>
            </w:r>
          </w:p>
        </w:tc>
      </w:tr>
      <w:tr w:rsidR="00DC3996" w:rsidRPr="00F609BF" w:rsidTr="00281EE0">
        <w:tc>
          <w:tcPr>
            <w:tcW w:w="3101" w:type="dxa"/>
            <w:vMerge w:val="restart"/>
            <w:tcMar>
              <w:top w:w="28" w:type="dxa"/>
              <w:bottom w:w="28" w:type="dxa"/>
            </w:tcMar>
          </w:tcPr>
          <w:p w:rsidR="00DC3996" w:rsidRPr="00DC3996" w:rsidRDefault="00DC3996" w:rsidP="00911E0D">
            <w:pPr>
              <w:rPr>
                <w:rStyle w:val="st"/>
                <w:rFonts w:ascii="Arial" w:hAnsi="Arial" w:cs="Arial"/>
                <w:b/>
                <w:color w:val="000000"/>
              </w:rPr>
            </w:pPr>
            <w:r w:rsidRPr="00DC3996">
              <w:rPr>
                <w:rStyle w:val="st"/>
                <w:rFonts w:ascii="Arial" w:hAnsi="Arial" w:cs="Arial"/>
                <w:b/>
                <w:color w:val="000000"/>
              </w:rPr>
              <w:t>NITISINONE</w:t>
            </w:r>
          </w:p>
          <w:p w:rsidR="00DC3996" w:rsidRPr="00B84ACF" w:rsidRDefault="00DC3996" w:rsidP="00911E0D">
            <w:pPr>
              <w:rPr>
                <w:rStyle w:val="st"/>
                <w:rFonts w:ascii="Arial" w:hAnsi="Arial" w:cs="Arial"/>
                <w:color w:val="000000"/>
              </w:rPr>
            </w:pPr>
            <w:r w:rsidRPr="00B84ACF">
              <w:rPr>
                <w:rStyle w:val="st"/>
                <w:rFonts w:ascii="Arial" w:hAnsi="Arial" w:cs="Arial"/>
                <w:color w:val="000000"/>
              </w:rPr>
              <w:t>2 mg capsule, 60</w:t>
            </w:r>
          </w:p>
          <w:p w:rsidR="00DC3996" w:rsidRPr="00B84ACF" w:rsidRDefault="00DC3996" w:rsidP="00911E0D">
            <w:pPr>
              <w:rPr>
                <w:rStyle w:val="st"/>
                <w:rFonts w:ascii="Arial" w:hAnsi="Arial" w:cs="Arial"/>
                <w:color w:val="000000"/>
              </w:rPr>
            </w:pPr>
            <w:r w:rsidRPr="00B84ACF">
              <w:rPr>
                <w:rStyle w:val="st"/>
                <w:rFonts w:ascii="Arial" w:hAnsi="Arial" w:cs="Arial"/>
                <w:color w:val="000000"/>
              </w:rPr>
              <w:t>5 mg capsule, 60</w:t>
            </w:r>
          </w:p>
          <w:p w:rsidR="00DC3996" w:rsidRPr="00B84ACF" w:rsidRDefault="00DC3996" w:rsidP="00911E0D">
            <w:pPr>
              <w:rPr>
                <w:rStyle w:val="st"/>
                <w:rFonts w:ascii="Arial" w:hAnsi="Arial" w:cs="Arial"/>
                <w:color w:val="000000"/>
              </w:rPr>
            </w:pPr>
            <w:r w:rsidRPr="00B84ACF">
              <w:rPr>
                <w:rStyle w:val="st"/>
                <w:rFonts w:ascii="Arial" w:hAnsi="Arial" w:cs="Arial"/>
                <w:color w:val="000000"/>
              </w:rPr>
              <w:t>10 mg capsule, 60</w:t>
            </w:r>
          </w:p>
          <w:p w:rsidR="00DC3996" w:rsidRPr="00B84ACF" w:rsidRDefault="00DC3996" w:rsidP="00911E0D">
            <w:pPr>
              <w:rPr>
                <w:rStyle w:val="st"/>
                <w:rFonts w:ascii="Arial" w:hAnsi="Arial" w:cs="Arial"/>
                <w:color w:val="000000"/>
              </w:rPr>
            </w:pPr>
          </w:p>
          <w:p w:rsidR="00DC3996" w:rsidRPr="00B84ACF" w:rsidRDefault="00DC3996" w:rsidP="00911E0D">
            <w:pPr>
              <w:rPr>
                <w:rStyle w:val="st"/>
                <w:rFonts w:ascii="Arial" w:hAnsi="Arial" w:cs="Arial"/>
                <w:color w:val="000000"/>
              </w:rPr>
            </w:pPr>
            <w:r w:rsidRPr="00B84ACF">
              <w:rPr>
                <w:rStyle w:val="st"/>
                <w:rFonts w:ascii="Arial" w:hAnsi="Arial" w:cs="Arial"/>
                <w:color w:val="000000"/>
              </w:rPr>
              <w:t>Orfadin®</w:t>
            </w:r>
          </w:p>
          <w:p w:rsidR="00DC3996" w:rsidRPr="00B84ACF" w:rsidRDefault="00DC3996" w:rsidP="00911E0D">
            <w:pPr>
              <w:rPr>
                <w:rStyle w:val="st"/>
                <w:rFonts w:ascii="Arial" w:hAnsi="Arial" w:cs="Arial"/>
                <w:color w:val="000000"/>
              </w:rPr>
            </w:pPr>
          </w:p>
          <w:p w:rsidR="00DC3996" w:rsidRPr="00B84ACF" w:rsidRDefault="00DC3996" w:rsidP="00911E0D">
            <w:pPr>
              <w:rPr>
                <w:rStyle w:val="st"/>
                <w:rFonts w:ascii="Arial" w:hAnsi="Arial" w:cs="Arial"/>
                <w:color w:val="000000"/>
              </w:rPr>
            </w:pPr>
            <w:r w:rsidRPr="00B84ACF">
              <w:rPr>
                <w:rStyle w:val="st"/>
                <w:rFonts w:ascii="Arial" w:hAnsi="Arial" w:cs="Arial"/>
                <w:color w:val="000000"/>
              </w:rPr>
              <w:t>A.Menarini Australia Pty Ltd</w:t>
            </w:r>
          </w:p>
          <w:p w:rsidR="00DC3996" w:rsidRPr="00B84ACF" w:rsidRDefault="00DC3996" w:rsidP="00911E0D">
            <w:pPr>
              <w:rPr>
                <w:rStyle w:val="st"/>
                <w:rFonts w:ascii="Arial" w:hAnsi="Arial" w:cs="Arial"/>
                <w:color w:val="000000"/>
              </w:rPr>
            </w:pPr>
          </w:p>
          <w:p w:rsidR="00DC3996" w:rsidRPr="00B84ACF" w:rsidRDefault="00DC3996" w:rsidP="00911E0D">
            <w:pPr>
              <w:rPr>
                <w:rStyle w:val="st"/>
                <w:rFonts w:ascii="Arial" w:hAnsi="Arial" w:cs="Arial"/>
                <w:color w:val="000000"/>
              </w:rPr>
            </w:pPr>
            <w:r w:rsidRPr="00B84ACF">
              <w:rPr>
                <w:rStyle w:val="st"/>
                <w:rFonts w:ascii="Arial" w:hAnsi="Arial" w:cs="Arial"/>
                <w:color w:val="000000"/>
              </w:rPr>
              <w:t>New Listing</w:t>
            </w:r>
          </w:p>
          <w:p w:rsidR="00DC3996" w:rsidRDefault="00DC3996" w:rsidP="00911E0D">
            <w:pPr>
              <w:rPr>
                <w:rStyle w:val="st"/>
                <w:rFonts w:ascii="Arial" w:hAnsi="Arial" w:cs="Arial"/>
                <w:color w:val="000000"/>
              </w:rPr>
            </w:pPr>
          </w:p>
          <w:p w:rsidR="00DC3996" w:rsidRPr="00B84ACF" w:rsidRDefault="00DC3996" w:rsidP="00911E0D">
            <w:pPr>
              <w:rPr>
                <w:rStyle w:val="st"/>
                <w:rFonts w:ascii="Arial" w:hAnsi="Arial" w:cs="Arial"/>
                <w:color w:val="000000"/>
              </w:rPr>
            </w:pPr>
            <w:r w:rsidRPr="00B84ACF">
              <w:rPr>
                <w:rStyle w:val="st"/>
                <w:rFonts w:ascii="Arial" w:hAnsi="Arial" w:cs="Arial"/>
                <w:color w:val="000000"/>
              </w:rPr>
              <w:t>(Major submission)</w:t>
            </w:r>
          </w:p>
          <w:p w:rsidR="00DC3996" w:rsidRPr="00B84ACF" w:rsidRDefault="00DC3996" w:rsidP="00911E0D">
            <w:pPr>
              <w:rPr>
                <w:rStyle w:val="st"/>
                <w:rFonts w:ascii="Arial" w:hAnsi="Arial" w:cs="Arial"/>
                <w:color w:val="000000"/>
              </w:rPr>
            </w:pPr>
          </w:p>
        </w:tc>
        <w:tc>
          <w:tcPr>
            <w:tcW w:w="2112" w:type="dxa"/>
            <w:vMerge w:val="restart"/>
            <w:tcMar>
              <w:top w:w="28" w:type="dxa"/>
              <w:bottom w:w="28" w:type="dxa"/>
            </w:tcMar>
          </w:tcPr>
          <w:p w:rsidR="00DC3996" w:rsidRPr="00B619B2" w:rsidRDefault="00DC3996" w:rsidP="00911E0D">
            <w:pPr>
              <w:rPr>
                <w:rFonts w:ascii="Arial" w:hAnsi="Arial" w:cs="Arial"/>
              </w:rPr>
            </w:pPr>
            <w:r w:rsidRPr="00B84ACF">
              <w:rPr>
                <w:rFonts w:ascii="Arial" w:hAnsi="Arial" w:cs="Arial"/>
              </w:rPr>
              <w:t>Hereditary tyrosinaemia type 1</w:t>
            </w:r>
          </w:p>
        </w:tc>
        <w:tc>
          <w:tcPr>
            <w:tcW w:w="3231" w:type="dxa"/>
            <w:tcMar>
              <w:top w:w="28" w:type="dxa"/>
              <w:bottom w:w="28" w:type="dxa"/>
            </w:tcMar>
          </w:tcPr>
          <w:p w:rsidR="00DC3996" w:rsidRPr="00564F32" w:rsidRDefault="00DC3996" w:rsidP="00911E0D">
            <w:pPr>
              <w:rPr>
                <w:rFonts w:ascii="Arial" w:hAnsi="Arial" w:cs="Arial"/>
              </w:rPr>
            </w:pPr>
            <w:r w:rsidRPr="00564F32">
              <w:rPr>
                <w:rFonts w:ascii="Arial" w:hAnsi="Arial" w:cs="Arial"/>
              </w:rPr>
              <w:t xml:space="preserve">Section 100 </w:t>
            </w:r>
            <w:r>
              <w:rPr>
                <w:rFonts w:ascii="Arial" w:hAnsi="Arial" w:cs="Arial"/>
              </w:rPr>
              <w:t>(Highly Specialised Drugs)</w:t>
            </w:r>
            <w:r w:rsidRPr="00564F32">
              <w:rPr>
                <w:rFonts w:ascii="Arial" w:hAnsi="Arial" w:cs="Arial"/>
              </w:rPr>
              <w:t xml:space="preserve"> listing for the treatment of hereditary tyrosinaemia type 1</w:t>
            </w:r>
            <w:r>
              <w:rPr>
                <w:rFonts w:ascii="Arial" w:hAnsi="Arial" w:cs="Arial"/>
              </w:rPr>
              <w:t xml:space="preserve"> (HT-1)</w:t>
            </w:r>
            <w:r w:rsidRPr="00564F32">
              <w:rPr>
                <w:rFonts w:ascii="Arial" w:hAnsi="Arial" w:cs="Arial"/>
              </w:rPr>
              <w:t>.</w:t>
            </w:r>
          </w:p>
          <w:p w:rsidR="00DC3996" w:rsidRPr="00564F32" w:rsidRDefault="00DC3996" w:rsidP="00911E0D">
            <w:pPr>
              <w:rPr>
                <w:rFonts w:ascii="Arial" w:hAnsi="Arial" w:cs="Arial"/>
              </w:rPr>
            </w:pPr>
          </w:p>
        </w:tc>
        <w:tc>
          <w:tcPr>
            <w:tcW w:w="6865" w:type="dxa"/>
          </w:tcPr>
          <w:p w:rsidR="00DC3996" w:rsidRPr="00FE5E6A" w:rsidRDefault="00DC3996" w:rsidP="00911E0D">
            <w:pPr>
              <w:rPr>
                <w:rFonts w:ascii="Arial" w:hAnsi="Arial" w:cs="Arial"/>
              </w:rPr>
            </w:pPr>
            <w:r w:rsidRPr="00FE5E6A">
              <w:rPr>
                <w:rFonts w:ascii="Arial" w:hAnsi="Arial" w:cs="Arial"/>
              </w:rPr>
              <w:t>The PBAC deferred making a recommendation regarding the proposed Authority Required listing for nitisinone under Section 100 for treatment of HT-1 due to a lack of clarity regarding current and future screening practices for detecting HT-1 and the subsequent impact on the significant survival advantage and adverse effects observed during treatment with nitisinone.</w:t>
            </w:r>
          </w:p>
          <w:p w:rsidR="00DC3996" w:rsidRPr="00FE5E6A" w:rsidRDefault="00DC3996" w:rsidP="00911E0D">
            <w:pPr>
              <w:rPr>
                <w:rFonts w:ascii="Arial" w:hAnsi="Arial" w:cs="Arial"/>
              </w:rPr>
            </w:pPr>
          </w:p>
          <w:p w:rsidR="00DC3996" w:rsidRPr="00FE5E6A" w:rsidRDefault="00DC3996" w:rsidP="00911E0D">
            <w:pPr>
              <w:rPr>
                <w:rFonts w:ascii="Arial" w:hAnsi="Arial" w:cs="Arial"/>
              </w:rPr>
            </w:pPr>
            <w:r w:rsidRPr="00FE5E6A">
              <w:rPr>
                <w:rFonts w:ascii="Arial" w:hAnsi="Arial" w:cs="Arial"/>
              </w:rPr>
              <w:t xml:space="preserve">The PBAC considered that sensitive and specific succinylacetone neonatal screening program would increase the nitisinone treatment costs, as patients commence treatment earlier but would also improve patient outcomes. This would impact on the cost-effectiveness of treatment. </w:t>
            </w:r>
          </w:p>
          <w:p w:rsidR="00DC3996" w:rsidRPr="00FE5E6A" w:rsidRDefault="00DC3996" w:rsidP="00911E0D">
            <w:pPr>
              <w:rPr>
                <w:rFonts w:ascii="Arial" w:hAnsi="Arial" w:cs="Arial"/>
              </w:rPr>
            </w:pPr>
          </w:p>
          <w:p w:rsidR="00DC3996" w:rsidRPr="00FE5E6A" w:rsidRDefault="00DC3996" w:rsidP="00911E0D">
            <w:pPr>
              <w:rPr>
                <w:rFonts w:ascii="Arial" w:hAnsi="Arial" w:cs="Arial"/>
              </w:rPr>
            </w:pPr>
            <w:r w:rsidRPr="00FE5E6A">
              <w:rPr>
                <w:rFonts w:ascii="Arial" w:hAnsi="Arial" w:cs="Arial"/>
              </w:rPr>
              <w:t>On the basis of one single-arm study presented by the submission, for every 100 patients treated with nitisinone, approximately 94 are alive after 2 years of treatment regardless of age of commencing nitisinone treatment.</w:t>
            </w:r>
          </w:p>
          <w:p w:rsidR="00DC3996" w:rsidRPr="00FE5E6A" w:rsidRDefault="00DC3996" w:rsidP="00911E0D">
            <w:pPr>
              <w:rPr>
                <w:rFonts w:ascii="Arial" w:hAnsi="Arial" w:cs="Arial"/>
              </w:rPr>
            </w:pPr>
          </w:p>
          <w:p w:rsidR="00DC3996" w:rsidRPr="00FE5E6A" w:rsidRDefault="00DC3996" w:rsidP="00911E0D">
            <w:pPr>
              <w:rPr>
                <w:rFonts w:ascii="Arial" w:hAnsi="Arial" w:cs="Arial"/>
              </w:rPr>
            </w:pPr>
            <w:r w:rsidRPr="00FE5E6A">
              <w:rPr>
                <w:rFonts w:ascii="Arial" w:hAnsi="Arial" w:cs="Arial"/>
              </w:rPr>
              <w:t xml:space="preserve">On the basis of a second single-arm study presented by the submission, </w:t>
            </w:r>
            <w:r w:rsidRPr="00FE5E6A">
              <w:rPr>
                <w:rFonts w:ascii="Arial" w:hAnsi="Arial" w:cs="Arial"/>
              </w:rPr>
              <w:lastRenderedPageBreak/>
              <w:t>for every 100 patients not treated with nitisinone:</w:t>
            </w:r>
          </w:p>
          <w:p w:rsidR="00DC3996" w:rsidRPr="00FE5E6A" w:rsidRDefault="00DC3996" w:rsidP="00911E0D">
            <w:pPr>
              <w:rPr>
                <w:rFonts w:ascii="Arial" w:hAnsi="Arial" w:cs="Arial"/>
              </w:rPr>
            </w:pPr>
            <w:r w:rsidRPr="00FE5E6A">
              <w:rPr>
                <w:rFonts w:ascii="Arial" w:hAnsi="Arial" w:cs="Arial"/>
              </w:rPr>
              <w:t>• Approximately 29 are alive after 2 years if clinical symptoms of HT-1 developed before 2 months of age;</w:t>
            </w:r>
          </w:p>
          <w:p w:rsidR="00DC3996" w:rsidRPr="00FE5E6A" w:rsidRDefault="00DC3996" w:rsidP="00911E0D">
            <w:pPr>
              <w:rPr>
                <w:rFonts w:ascii="Arial" w:hAnsi="Arial" w:cs="Arial"/>
              </w:rPr>
            </w:pPr>
            <w:r w:rsidRPr="00FE5E6A">
              <w:rPr>
                <w:rFonts w:ascii="Arial" w:hAnsi="Arial" w:cs="Arial"/>
              </w:rPr>
              <w:t>• Approximately 74 are alive after 2 years if clinical symptoms of HT-1 developed between 2 and 6 months of age; and</w:t>
            </w:r>
          </w:p>
          <w:p w:rsidR="00DC3996" w:rsidRPr="00FE5E6A" w:rsidRDefault="00DC3996" w:rsidP="00911E0D">
            <w:pPr>
              <w:rPr>
                <w:rFonts w:ascii="Arial" w:hAnsi="Arial" w:cs="Arial"/>
              </w:rPr>
            </w:pPr>
            <w:r w:rsidRPr="00FE5E6A">
              <w:rPr>
                <w:rFonts w:ascii="Arial" w:hAnsi="Arial" w:cs="Arial"/>
              </w:rPr>
              <w:t>• Approximately 96 are alive after 2 years if clinical symptoms of HT-1 developed after 6 months of age.</w:t>
            </w:r>
          </w:p>
          <w:p w:rsidR="00DC3996" w:rsidRPr="00FE5E6A" w:rsidRDefault="00DC3996" w:rsidP="00911E0D">
            <w:pPr>
              <w:rPr>
                <w:rFonts w:ascii="Arial" w:hAnsi="Arial" w:cs="Arial"/>
              </w:rPr>
            </w:pPr>
          </w:p>
          <w:p w:rsidR="00DC3996" w:rsidRPr="00FE5E6A" w:rsidRDefault="00DC3996" w:rsidP="00911E0D">
            <w:pPr>
              <w:rPr>
                <w:rFonts w:ascii="Arial" w:hAnsi="Arial" w:cs="Arial"/>
              </w:rPr>
            </w:pPr>
            <w:r w:rsidRPr="00FE5E6A">
              <w:rPr>
                <w:rFonts w:ascii="Arial" w:hAnsi="Arial" w:cs="Arial"/>
              </w:rPr>
              <w:t>The PBAC noted that adverse events</w:t>
            </w:r>
            <w:r w:rsidR="00B02647">
              <w:rPr>
                <w:rFonts w:ascii="Arial" w:hAnsi="Arial" w:cs="Arial"/>
              </w:rPr>
              <w:t xml:space="preserve"> that may be</w:t>
            </w:r>
            <w:r w:rsidRPr="00FE5E6A">
              <w:rPr>
                <w:rFonts w:ascii="Arial" w:hAnsi="Arial" w:cs="Arial"/>
              </w:rPr>
              <w:t xml:space="preserve"> associated with treatment with nitisinone for HT-1 include eye disorders, haematological events and developmental and cognitive disorders.</w:t>
            </w:r>
            <w:r w:rsidR="00B02647">
              <w:rPr>
                <w:rFonts w:ascii="Arial" w:hAnsi="Arial" w:cs="Arial"/>
              </w:rPr>
              <w:t xml:space="preserve"> The relationship of these events to nitisinone treatment is unknown.</w:t>
            </w:r>
          </w:p>
          <w:p w:rsidR="00DC3996" w:rsidRPr="00FE5E6A" w:rsidRDefault="00DC3996" w:rsidP="00911E0D">
            <w:pPr>
              <w:rPr>
                <w:rFonts w:ascii="Arial" w:hAnsi="Arial" w:cs="Arial"/>
              </w:rPr>
            </w:pPr>
          </w:p>
          <w:p w:rsidR="00DC3996" w:rsidRDefault="00DC3996" w:rsidP="00911E0D">
            <w:pPr>
              <w:rPr>
                <w:rFonts w:ascii="Arial" w:hAnsi="Arial" w:cs="Arial"/>
              </w:rPr>
            </w:pPr>
            <w:r w:rsidRPr="00FE5E6A">
              <w:rPr>
                <w:rFonts w:ascii="Arial" w:hAnsi="Arial" w:cs="Arial"/>
              </w:rPr>
              <w:t>The PBAC recommended a stakeholder meeting be held between the sponsor, clinicians from applicable professional bodies, consumer representatives and PBAC members. The aim of this meeting would be to provide clarity about the clinical effectiveness of nitisinone for HT-1 with respect to current and future screening programs. The meeting would also provide an opportunity to consider the need for a progressive neurocognitive monitoring and assessment program, as well as an appropriate restriction arrangement.</w:t>
            </w:r>
          </w:p>
          <w:p w:rsidR="00DC3996" w:rsidRPr="00C011B4" w:rsidRDefault="00DC3996" w:rsidP="00911E0D">
            <w:pPr>
              <w:rPr>
                <w:rFonts w:ascii="Arial" w:hAnsi="Arial" w:cs="Arial"/>
                <w:highlight w:val="yellow"/>
              </w:rPr>
            </w:pPr>
          </w:p>
        </w:tc>
      </w:tr>
      <w:tr w:rsidR="00DC3996" w:rsidRPr="00F609BF" w:rsidTr="00281EE0">
        <w:trPr>
          <w:cantSplit/>
          <w:trHeight w:val="816"/>
        </w:trPr>
        <w:tc>
          <w:tcPr>
            <w:tcW w:w="3101" w:type="dxa"/>
            <w:vMerge/>
            <w:tcMar>
              <w:top w:w="28" w:type="dxa"/>
              <w:bottom w:w="28" w:type="dxa"/>
            </w:tcMar>
          </w:tcPr>
          <w:p w:rsidR="00DC3996" w:rsidRPr="00C011B4" w:rsidRDefault="00DC3996" w:rsidP="00911E0D">
            <w:pPr>
              <w:widowControl w:val="0"/>
              <w:rPr>
                <w:rFonts w:ascii="Arial" w:hAnsi="Arial" w:cs="Arial"/>
                <w:snapToGrid w:val="0"/>
                <w:highlight w:val="yellow"/>
                <w:lang w:eastAsia="en-US"/>
              </w:rPr>
            </w:pPr>
          </w:p>
        </w:tc>
        <w:tc>
          <w:tcPr>
            <w:tcW w:w="2112" w:type="dxa"/>
            <w:vMerge/>
          </w:tcPr>
          <w:p w:rsidR="00DC3996" w:rsidRPr="006077EA" w:rsidRDefault="00DC3996" w:rsidP="00911E0D">
            <w:pPr>
              <w:rPr>
                <w:rFonts w:ascii="Arial" w:hAnsi="Arial" w:cs="Arial"/>
              </w:rPr>
            </w:pPr>
          </w:p>
        </w:tc>
        <w:tc>
          <w:tcPr>
            <w:tcW w:w="3231" w:type="dxa"/>
            <w:tcMar>
              <w:top w:w="28" w:type="dxa"/>
              <w:bottom w:w="28" w:type="dxa"/>
            </w:tcMar>
          </w:tcPr>
          <w:p w:rsidR="00DC3996" w:rsidRPr="00564F32" w:rsidRDefault="00DC3996" w:rsidP="00911E0D">
            <w:pPr>
              <w:widowControl w:val="0"/>
              <w:jc w:val="right"/>
              <w:rPr>
                <w:rFonts w:ascii="Arial" w:hAnsi="Arial" w:cs="Arial"/>
              </w:rPr>
            </w:pPr>
            <w:r w:rsidRPr="00564F32">
              <w:rPr>
                <w:rFonts w:ascii="Arial" w:hAnsi="Arial" w:cs="Arial"/>
                <w:snapToGrid w:val="0"/>
                <w:lang w:eastAsia="en-US"/>
              </w:rPr>
              <w:t>Sponsor Comment:</w:t>
            </w:r>
          </w:p>
        </w:tc>
        <w:tc>
          <w:tcPr>
            <w:tcW w:w="6865" w:type="dxa"/>
          </w:tcPr>
          <w:p w:rsidR="003E2744" w:rsidRPr="003E2744" w:rsidRDefault="003E2744" w:rsidP="00911E0D">
            <w:pPr>
              <w:rPr>
                <w:rFonts w:ascii="Arial" w:eastAsia="SimSun" w:hAnsi="Arial" w:cs="Arial"/>
                <w:iCs/>
              </w:rPr>
            </w:pPr>
            <w:r w:rsidRPr="003E2744">
              <w:rPr>
                <w:rFonts w:ascii="Arial" w:eastAsia="SimSun" w:hAnsi="Arial" w:cs="Arial"/>
                <w:iCs/>
              </w:rPr>
              <w:t>A.Menarini Australia Pty Ltd is committed to partnering with the PBAC to make nitisinone available on the PBS for patients with tyrosinaemia type 1.</w:t>
            </w:r>
          </w:p>
          <w:p w:rsidR="00DC3996" w:rsidRPr="00C011B4" w:rsidRDefault="00DC3996" w:rsidP="00911E0D">
            <w:pPr>
              <w:pStyle w:val="ListParagraph"/>
              <w:ind w:left="0"/>
              <w:rPr>
                <w:rFonts w:ascii="Arial" w:hAnsi="Arial" w:cs="Arial"/>
                <w:iCs/>
                <w:sz w:val="20"/>
                <w:szCs w:val="20"/>
                <w:highlight w:val="yellow"/>
              </w:rPr>
            </w:pPr>
          </w:p>
        </w:tc>
      </w:tr>
      <w:tr w:rsidR="00DC3996" w:rsidRPr="00C011B4" w:rsidTr="00281EE0">
        <w:tc>
          <w:tcPr>
            <w:tcW w:w="3101" w:type="dxa"/>
            <w:vMerge w:val="restart"/>
            <w:tcMar>
              <w:top w:w="28" w:type="dxa"/>
              <w:bottom w:w="28" w:type="dxa"/>
            </w:tcMar>
          </w:tcPr>
          <w:p w:rsidR="00DC3996" w:rsidRPr="00DC3996" w:rsidRDefault="00DC3996" w:rsidP="00911E0D">
            <w:pPr>
              <w:rPr>
                <w:rStyle w:val="st"/>
                <w:rFonts w:ascii="Arial" w:hAnsi="Arial" w:cs="Arial"/>
                <w:b/>
                <w:color w:val="000000"/>
              </w:rPr>
            </w:pPr>
            <w:r w:rsidRPr="00DC3996">
              <w:rPr>
                <w:rStyle w:val="st"/>
                <w:rFonts w:ascii="Arial" w:hAnsi="Arial" w:cs="Arial"/>
                <w:b/>
                <w:color w:val="000000"/>
              </w:rPr>
              <w:t>PONATINIB</w:t>
            </w:r>
          </w:p>
          <w:p w:rsidR="00DC3996" w:rsidRPr="00B84ACF" w:rsidRDefault="00DC3996" w:rsidP="00911E0D">
            <w:pPr>
              <w:rPr>
                <w:rStyle w:val="st"/>
                <w:rFonts w:ascii="Arial" w:hAnsi="Arial" w:cs="Arial"/>
                <w:color w:val="000000"/>
              </w:rPr>
            </w:pPr>
            <w:r w:rsidRPr="00B84ACF">
              <w:rPr>
                <w:rStyle w:val="st"/>
                <w:rFonts w:ascii="Arial" w:hAnsi="Arial" w:cs="Arial"/>
                <w:color w:val="000000"/>
              </w:rPr>
              <w:t>15 mg tablet, 60</w:t>
            </w:r>
          </w:p>
          <w:p w:rsidR="00DC3996" w:rsidRPr="00B84ACF" w:rsidRDefault="00DC3996" w:rsidP="00911E0D">
            <w:pPr>
              <w:rPr>
                <w:rStyle w:val="st"/>
                <w:rFonts w:ascii="Arial" w:hAnsi="Arial" w:cs="Arial"/>
                <w:color w:val="000000"/>
              </w:rPr>
            </w:pPr>
            <w:r w:rsidRPr="00B84ACF">
              <w:rPr>
                <w:rStyle w:val="st"/>
                <w:rFonts w:ascii="Arial" w:hAnsi="Arial" w:cs="Arial"/>
                <w:color w:val="000000"/>
              </w:rPr>
              <w:t>45 mg tablet, 30</w:t>
            </w:r>
          </w:p>
          <w:p w:rsidR="00DC3996" w:rsidRPr="00B84ACF" w:rsidRDefault="00DC3996" w:rsidP="00911E0D">
            <w:pPr>
              <w:rPr>
                <w:rStyle w:val="st"/>
                <w:rFonts w:ascii="Arial" w:hAnsi="Arial" w:cs="Arial"/>
                <w:color w:val="000000"/>
              </w:rPr>
            </w:pPr>
          </w:p>
          <w:p w:rsidR="00DC3996" w:rsidRPr="00B84ACF" w:rsidRDefault="00DC3996" w:rsidP="00911E0D">
            <w:pPr>
              <w:rPr>
                <w:rStyle w:val="st"/>
                <w:rFonts w:ascii="Arial" w:hAnsi="Arial" w:cs="Arial"/>
                <w:color w:val="000000"/>
              </w:rPr>
            </w:pPr>
            <w:r w:rsidRPr="00B84ACF">
              <w:rPr>
                <w:rStyle w:val="st"/>
                <w:rFonts w:ascii="Arial" w:hAnsi="Arial" w:cs="Arial"/>
                <w:color w:val="000000"/>
              </w:rPr>
              <w:t>Iclusig®</w:t>
            </w:r>
          </w:p>
          <w:p w:rsidR="00DC3996" w:rsidRPr="00B84ACF" w:rsidRDefault="00DC3996" w:rsidP="00911E0D">
            <w:pPr>
              <w:rPr>
                <w:rStyle w:val="st"/>
                <w:rFonts w:ascii="Arial" w:hAnsi="Arial" w:cs="Arial"/>
                <w:color w:val="000000"/>
              </w:rPr>
            </w:pPr>
          </w:p>
          <w:p w:rsidR="00DC3996" w:rsidRPr="00B84ACF" w:rsidRDefault="00DC3996" w:rsidP="00911E0D">
            <w:pPr>
              <w:rPr>
                <w:rStyle w:val="st"/>
                <w:rFonts w:ascii="Arial" w:hAnsi="Arial" w:cs="Arial"/>
                <w:color w:val="000000"/>
              </w:rPr>
            </w:pPr>
            <w:r w:rsidRPr="00B84ACF">
              <w:rPr>
                <w:rStyle w:val="st"/>
                <w:rFonts w:ascii="Arial" w:hAnsi="Arial" w:cs="Arial"/>
                <w:color w:val="000000"/>
              </w:rPr>
              <w:t>Specialised Therapeutics Australia Pty Ltd</w:t>
            </w:r>
          </w:p>
          <w:p w:rsidR="00DC3996" w:rsidRPr="00B84ACF" w:rsidRDefault="00DC3996" w:rsidP="00911E0D">
            <w:pPr>
              <w:rPr>
                <w:rStyle w:val="st"/>
                <w:rFonts w:ascii="Arial" w:hAnsi="Arial" w:cs="Arial"/>
                <w:color w:val="000000"/>
              </w:rPr>
            </w:pPr>
          </w:p>
          <w:p w:rsidR="00DC3996" w:rsidRDefault="00DC3996" w:rsidP="00911E0D">
            <w:pPr>
              <w:rPr>
                <w:rFonts w:ascii="Arial" w:hAnsi="Arial" w:cs="Arial"/>
                <w:color w:val="222222"/>
              </w:rPr>
            </w:pPr>
            <w:r w:rsidRPr="00B84ACF">
              <w:rPr>
                <w:rStyle w:val="st"/>
                <w:rFonts w:ascii="Arial" w:hAnsi="Arial" w:cs="Arial"/>
                <w:color w:val="000000"/>
              </w:rPr>
              <w:t>New Listi</w:t>
            </w:r>
            <w:r w:rsidRPr="00B84ACF">
              <w:rPr>
                <w:rFonts w:ascii="Arial" w:hAnsi="Arial" w:cs="Arial"/>
                <w:color w:val="222222"/>
              </w:rPr>
              <w:t>ng</w:t>
            </w:r>
          </w:p>
          <w:p w:rsidR="00DC3996" w:rsidRPr="00B84ACF" w:rsidRDefault="00DC3996" w:rsidP="00911E0D">
            <w:pPr>
              <w:rPr>
                <w:rFonts w:ascii="Arial" w:hAnsi="Arial" w:cs="Arial"/>
                <w:color w:val="222222"/>
              </w:rPr>
            </w:pPr>
          </w:p>
          <w:p w:rsidR="00DC3996" w:rsidRPr="00B84ACF" w:rsidRDefault="00DC3996" w:rsidP="00911E0D">
            <w:pPr>
              <w:rPr>
                <w:rFonts w:ascii="Arial" w:hAnsi="Arial" w:cs="Arial"/>
                <w:color w:val="222222"/>
              </w:rPr>
            </w:pPr>
            <w:r w:rsidRPr="00B84ACF">
              <w:rPr>
                <w:rFonts w:ascii="Arial" w:hAnsi="Arial" w:cs="Arial"/>
                <w:color w:val="222222"/>
              </w:rPr>
              <w:t>(Major submission)</w:t>
            </w:r>
          </w:p>
          <w:p w:rsidR="00DC3996" w:rsidRPr="00B84ACF" w:rsidRDefault="00DC3996" w:rsidP="00911E0D">
            <w:pPr>
              <w:rPr>
                <w:rStyle w:val="st"/>
                <w:rFonts w:ascii="Arial" w:hAnsi="Arial" w:cs="Arial"/>
                <w:color w:val="000000"/>
              </w:rPr>
            </w:pPr>
          </w:p>
        </w:tc>
        <w:tc>
          <w:tcPr>
            <w:tcW w:w="2112" w:type="dxa"/>
            <w:vMerge w:val="restart"/>
            <w:tcMar>
              <w:top w:w="28" w:type="dxa"/>
              <w:bottom w:w="28" w:type="dxa"/>
            </w:tcMar>
          </w:tcPr>
          <w:p w:rsidR="00DC3996" w:rsidRPr="00B619B2" w:rsidRDefault="00DC3996" w:rsidP="00911E0D">
            <w:pPr>
              <w:rPr>
                <w:rFonts w:ascii="Arial" w:hAnsi="Arial" w:cs="Arial"/>
              </w:rPr>
            </w:pPr>
            <w:r>
              <w:rPr>
                <w:rFonts w:ascii="Arial" w:hAnsi="Arial" w:cs="Arial"/>
              </w:rPr>
              <w:lastRenderedPageBreak/>
              <w:t>L</w:t>
            </w:r>
            <w:r w:rsidRPr="00B84ACF">
              <w:rPr>
                <w:rFonts w:ascii="Arial" w:hAnsi="Arial" w:cs="Arial"/>
              </w:rPr>
              <w:t>eukaemia</w:t>
            </w:r>
          </w:p>
        </w:tc>
        <w:tc>
          <w:tcPr>
            <w:tcW w:w="3231" w:type="dxa"/>
            <w:tcMar>
              <w:top w:w="28" w:type="dxa"/>
              <w:bottom w:w="28" w:type="dxa"/>
            </w:tcMar>
          </w:tcPr>
          <w:p w:rsidR="00DC3996" w:rsidRPr="00F17526" w:rsidRDefault="00DC3996" w:rsidP="00911E0D">
            <w:pPr>
              <w:rPr>
                <w:rFonts w:ascii="Arial" w:hAnsi="Arial" w:cs="Arial"/>
              </w:rPr>
            </w:pPr>
            <w:r w:rsidRPr="00F17526">
              <w:rPr>
                <w:rFonts w:ascii="Arial" w:hAnsi="Arial" w:cs="Arial"/>
              </w:rPr>
              <w:t xml:space="preserve">Authority Required listing for ponatinib for treatment of adult patients: </w:t>
            </w:r>
          </w:p>
          <w:p w:rsidR="00DC3996" w:rsidRPr="00F17526" w:rsidRDefault="00DC3996" w:rsidP="00911E0D">
            <w:pPr>
              <w:rPr>
                <w:rFonts w:ascii="Arial" w:hAnsi="Arial" w:cs="Arial"/>
              </w:rPr>
            </w:pPr>
            <w:r>
              <w:rPr>
                <w:rFonts w:ascii="Arial" w:hAnsi="Arial" w:cs="Arial"/>
              </w:rPr>
              <w:t xml:space="preserve">- </w:t>
            </w:r>
            <w:r w:rsidRPr="00F17526">
              <w:rPr>
                <w:rFonts w:ascii="Arial" w:hAnsi="Arial" w:cs="Arial"/>
              </w:rPr>
              <w:t>with chronic myeloid leukaemia (CML) who are resistant or intolerant to dasatinib or nilotinib, or who have the T315I mutation; or</w:t>
            </w:r>
          </w:p>
          <w:p w:rsidR="00DC3996" w:rsidRPr="00F17526" w:rsidRDefault="00DC3996" w:rsidP="00911E0D">
            <w:pPr>
              <w:rPr>
                <w:rFonts w:ascii="Arial" w:hAnsi="Arial" w:cs="Arial"/>
              </w:rPr>
            </w:pPr>
            <w:r>
              <w:rPr>
                <w:rFonts w:ascii="Arial" w:hAnsi="Arial" w:cs="Arial"/>
              </w:rPr>
              <w:t xml:space="preserve">- </w:t>
            </w:r>
            <w:r w:rsidRPr="00F17526">
              <w:rPr>
                <w:rFonts w:ascii="Arial" w:hAnsi="Arial" w:cs="Arial"/>
              </w:rPr>
              <w:t xml:space="preserve">with Philadelphia chromosome positive (Ph+) acute lymphoblastic leukaemia (ALL) who are resistant or intolerant to </w:t>
            </w:r>
            <w:r w:rsidRPr="00F17526">
              <w:rPr>
                <w:rFonts w:ascii="Arial" w:hAnsi="Arial" w:cs="Arial"/>
              </w:rPr>
              <w:lastRenderedPageBreak/>
              <w:t>dasatinib, or who have the T315I mutation.</w:t>
            </w:r>
          </w:p>
        </w:tc>
        <w:tc>
          <w:tcPr>
            <w:tcW w:w="6865" w:type="dxa"/>
          </w:tcPr>
          <w:p w:rsidR="00DC3996" w:rsidRPr="001B5107" w:rsidRDefault="00DC3996" w:rsidP="00911E0D">
            <w:pPr>
              <w:rPr>
                <w:rFonts w:ascii="Arial" w:hAnsi="Arial" w:cs="Arial"/>
              </w:rPr>
            </w:pPr>
            <w:r w:rsidRPr="001B5107">
              <w:rPr>
                <w:rFonts w:ascii="Arial" w:hAnsi="Arial" w:cs="Arial"/>
              </w:rPr>
              <w:lastRenderedPageBreak/>
              <w:t>The PBAC deferred the submission to request a re</w:t>
            </w:r>
            <w:r w:rsidR="005A1701">
              <w:rPr>
                <w:rFonts w:ascii="Arial" w:hAnsi="Arial" w:cs="Arial"/>
              </w:rPr>
              <w:t>vision of</w:t>
            </w:r>
            <w:r w:rsidRPr="001B5107">
              <w:rPr>
                <w:rFonts w:ascii="Arial" w:hAnsi="Arial" w:cs="Arial"/>
              </w:rPr>
              <w:t xml:space="preserve"> the restrictions to ensure ponatinib is used in patients who can benefit most and to request a significant price reduction of ponatinib to account for the significant costs associated with</w:t>
            </w:r>
            <w:r w:rsidR="005A1701">
              <w:rPr>
                <w:rFonts w:ascii="Arial" w:hAnsi="Arial" w:cs="Arial"/>
              </w:rPr>
              <w:t xml:space="preserve"> the</w:t>
            </w:r>
            <w:r w:rsidRPr="001B5107">
              <w:rPr>
                <w:rFonts w:ascii="Arial" w:hAnsi="Arial" w:cs="Arial"/>
              </w:rPr>
              <w:t xml:space="preserve"> care of patients with vascular occlusive events induced by ponatinib.</w:t>
            </w:r>
          </w:p>
          <w:p w:rsidR="00DC3996" w:rsidRPr="001B5107" w:rsidRDefault="00DC3996" w:rsidP="00911E0D">
            <w:pPr>
              <w:rPr>
                <w:rFonts w:ascii="Arial" w:hAnsi="Arial" w:cs="Arial"/>
              </w:rPr>
            </w:pPr>
          </w:p>
          <w:p w:rsidR="00DC3996" w:rsidRPr="001B5107" w:rsidRDefault="00DC3996" w:rsidP="00911E0D">
            <w:pPr>
              <w:rPr>
                <w:rFonts w:ascii="Arial" w:hAnsi="Arial" w:cs="Arial"/>
              </w:rPr>
            </w:pPr>
            <w:r w:rsidRPr="001B5107">
              <w:rPr>
                <w:rFonts w:ascii="Arial" w:hAnsi="Arial" w:cs="Arial"/>
              </w:rPr>
              <w:t>Based on the data presented in the submission and the data reviewed in previous applications for imatinib, dasatinib and nilotinib, the  PBAC considered that ponatinib has similar effectiveness compared with dasatinib or nilotinib in a number of clinical scenarios noting that ponatinib is active at inducing transient responses in Ph + ALL with the T315I mutation.</w:t>
            </w:r>
          </w:p>
          <w:p w:rsidR="00DC3996" w:rsidRPr="001B5107" w:rsidRDefault="00DC3996" w:rsidP="00911E0D">
            <w:pPr>
              <w:rPr>
                <w:rFonts w:ascii="Arial" w:hAnsi="Arial" w:cs="Arial"/>
              </w:rPr>
            </w:pPr>
          </w:p>
          <w:p w:rsidR="00DC3996" w:rsidRDefault="00DC3996" w:rsidP="00911E0D">
            <w:pPr>
              <w:rPr>
                <w:rFonts w:ascii="Arial" w:hAnsi="Arial" w:cs="Arial"/>
              </w:rPr>
            </w:pPr>
            <w:r w:rsidRPr="001B5107">
              <w:rPr>
                <w:rFonts w:ascii="Arial" w:hAnsi="Arial" w:cs="Arial"/>
              </w:rPr>
              <w:t>Based on the trial data presented in the submission and FDA information, the PBAC considered that ponatinib has an inferior toxicity profile to imatinib, dasatinib and nilotinib, especially with regards serious vascular occlusive events.</w:t>
            </w:r>
          </w:p>
          <w:p w:rsidR="003E2744" w:rsidRPr="00C011B4" w:rsidRDefault="003E2744" w:rsidP="00911E0D">
            <w:pPr>
              <w:rPr>
                <w:rFonts w:ascii="Arial" w:hAnsi="Arial" w:cs="Arial"/>
                <w:highlight w:val="yellow"/>
              </w:rPr>
            </w:pPr>
          </w:p>
        </w:tc>
      </w:tr>
      <w:tr w:rsidR="00DC3996" w:rsidRPr="00C011B4" w:rsidTr="00281EE0">
        <w:trPr>
          <w:cantSplit/>
          <w:trHeight w:val="816"/>
        </w:trPr>
        <w:tc>
          <w:tcPr>
            <w:tcW w:w="3101" w:type="dxa"/>
            <w:vMerge/>
            <w:tcMar>
              <w:top w:w="28" w:type="dxa"/>
              <w:bottom w:w="28" w:type="dxa"/>
            </w:tcMar>
          </w:tcPr>
          <w:p w:rsidR="00DC3996" w:rsidRPr="00C011B4" w:rsidRDefault="00DC3996" w:rsidP="00911E0D">
            <w:pPr>
              <w:widowControl w:val="0"/>
              <w:rPr>
                <w:rFonts w:ascii="Arial" w:hAnsi="Arial" w:cs="Arial"/>
                <w:snapToGrid w:val="0"/>
                <w:highlight w:val="yellow"/>
                <w:lang w:eastAsia="en-US"/>
              </w:rPr>
            </w:pPr>
          </w:p>
        </w:tc>
        <w:tc>
          <w:tcPr>
            <w:tcW w:w="2112" w:type="dxa"/>
            <w:vMerge/>
          </w:tcPr>
          <w:p w:rsidR="00DC3996" w:rsidRPr="00C011B4" w:rsidRDefault="00DC3996" w:rsidP="00911E0D">
            <w:pPr>
              <w:widowControl w:val="0"/>
              <w:rPr>
                <w:rFonts w:ascii="Arial" w:hAnsi="Arial" w:cs="Arial"/>
                <w:snapToGrid w:val="0"/>
                <w:highlight w:val="yellow"/>
                <w:lang w:eastAsia="en-US"/>
              </w:rPr>
            </w:pPr>
          </w:p>
        </w:tc>
        <w:tc>
          <w:tcPr>
            <w:tcW w:w="3231" w:type="dxa"/>
            <w:tcMar>
              <w:top w:w="28" w:type="dxa"/>
              <w:bottom w:w="28" w:type="dxa"/>
            </w:tcMar>
          </w:tcPr>
          <w:p w:rsidR="00DC3996" w:rsidRPr="00564F32" w:rsidRDefault="00DC3996" w:rsidP="00911E0D">
            <w:pPr>
              <w:widowControl w:val="0"/>
              <w:jc w:val="right"/>
              <w:rPr>
                <w:rFonts w:ascii="Arial" w:hAnsi="Arial" w:cs="Arial"/>
              </w:rPr>
            </w:pPr>
            <w:r w:rsidRPr="00564F32">
              <w:rPr>
                <w:rFonts w:ascii="Arial" w:hAnsi="Arial" w:cs="Arial"/>
                <w:snapToGrid w:val="0"/>
                <w:lang w:eastAsia="en-US"/>
              </w:rPr>
              <w:t>Sponsor Comment:</w:t>
            </w:r>
          </w:p>
        </w:tc>
        <w:tc>
          <w:tcPr>
            <w:tcW w:w="6865" w:type="dxa"/>
          </w:tcPr>
          <w:p w:rsidR="003E2744" w:rsidRPr="003E2744" w:rsidRDefault="003E2744" w:rsidP="00911E0D">
            <w:pPr>
              <w:rPr>
                <w:rFonts w:ascii="Arial" w:eastAsia="SimSun" w:hAnsi="Arial" w:cs="Arial"/>
                <w:iCs/>
              </w:rPr>
            </w:pPr>
            <w:r w:rsidRPr="003E2744">
              <w:rPr>
                <w:rFonts w:ascii="Arial" w:eastAsia="SimSun" w:hAnsi="Arial" w:cs="Arial"/>
                <w:iCs/>
              </w:rPr>
              <w:t>Given the urgent life saving need for an active therapy to treat patients with CML who are refractory to prev</w:t>
            </w:r>
            <w:r w:rsidR="008C2D8D">
              <w:rPr>
                <w:rFonts w:ascii="Arial" w:eastAsia="SimSun" w:hAnsi="Arial" w:cs="Arial"/>
                <w:iCs/>
              </w:rPr>
              <w:t xml:space="preserve">ious TKI therapies, Specialised </w:t>
            </w:r>
            <w:r w:rsidRPr="003E2744">
              <w:rPr>
                <w:rFonts w:ascii="Arial" w:eastAsia="SimSun" w:hAnsi="Arial" w:cs="Arial"/>
                <w:iCs/>
              </w:rPr>
              <w:t>Therapeutics looks forward to meeting and working with the PBAC to find a rapid and commercially feasible solution to achieve equitable access to Iclusig for all Australians.</w:t>
            </w:r>
          </w:p>
          <w:p w:rsidR="00DC3996" w:rsidRPr="00C011B4" w:rsidRDefault="00DC3996" w:rsidP="00911E0D">
            <w:pPr>
              <w:pStyle w:val="ListParagraph"/>
              <w:ind w:left="0"/>
              <w:rPr>
                <w:rFonts w:ascii="Arial" w:hAnsi="Arial" w:cs="Arial"/>
                <w:iCs/>
                <w:sz w:val="20"/>
                <w:szCs w:val="20"/>
                <w:highlight w:val="yellow"/>
              </w:rPr>
            </w:pPr>
          </w:p>
        </w:tc>
      </w:tr>
      <w:tr w:rsidR="00DC3996" w:rsidRPr="00F609BF" w:rsidTr="00281EE0">
        <w:trPr>
          <w:cantSplit/>
          <w:trHeight w:val="816"/>
        </w:trPr>
        <w:tc>
          <w:tcPr>
            <w:tcW w:w="3101" w:type="dxa"/>
            <w:vMerge w:val="restart"/>
            <w:tcMar>
              <w:top w:w="28" w:type="dxa"/>
              <w:bottom w:w="28" w:type="dxa"/>
            </w:tcMar>
          </w:tcPr>
          <w:p w:rsidR="00DC3996" w:rsidRPr="00DC3996" w:rsidRDefault="00DC3996" w:rsidP="00911E0D">
            <w:pPr>
              <w:rPr>
                <w:rFonts w:cs="Arial"/>
                <w:b/>
              </w:rPr>
            </w:pPr>
            <w:r w:rsidRPr="00DC3996">
              <w:rPr>
                <w:rFonts w:ascii="Arial" w:hAnsi="Arial" w:cs="Arial"/>
                <w:b/>
              </w:rPr>
              <w:t>TRASTUZUMAB</w:t>
            </w:r>
            <w:r w:rsidRPr="00DC3996">
              <w:rPr>
                <w:rFonts w:cs="Arial"/>
                <w:b/>
              </w:rPr>
              <w:t xml:space="preserve"> </w:t>
            </w:r>
            <w:r w:rsidRPr="00DC3996">
              <w:rPr>
                <w:rFonts w:ascii="Arial" w:hAnsi="Arial" w:cs="Arial"/>
                <w:b/>
              </w:rPr>
              <w:t>EMTANSINE</w:t>
            </w:r>
          </w:p>
          <w:p w:rsidR="00DC3996" w:rsidRPr="009A502B" w:rsidRDefault="00DC3996" w:rsidP="00911E0D">
            <w:pPr>
              <w:pStyle w:val="BodyText"/>
              <w:spacing w:after="0" w:line="240" w:lineRule="auto"/>
              <w:rPr>
                <w:rFonts w:cs="Arial"/>
                <w:szCs w:val="20"/>
              </w:rPr>
            </w:pPr>
            <w:r w:rsidRPr="009A502B">
              <w:rPr>
                <w:rFonts w:cs="Arial"/>
                <w:szCs w:val="20"/>
              </w:rPr>
              <w:t xml:space="preserve">100 mg injection, 1 x 100 mg vial, 160 mg injection, 1 x 160 mg vial; </w:t>
            </w:r>
          </w:p>
          <w:p w:rsidR="00DC3996" w:rsidRPr="009A502B" w:rsidRDefault="00DC3996" w:rsidP="00911E0D">
            <w:pPr>
              <w:pStyle w:val="BodyText"/>
              <w:spacing w:after="0" w:line="240" w:lineRule="auto"/>
              <w:rPr>
                <w:rFonts w:cs="Arial"/>
                <w:szCs w:val="20"/>
              </w:rPr>
            </w:pPr>
          </w:p>
          <w:p w:rsidR="00DC3996" w:rsidRPr="009A502B" w:rsidRDefault="00DC3996" w:rsidP="00911E0D">
            <w:pPr>
              <w:pStyle w:val="BodyText"/>
              <w:spacing w:after="0" w:line="240" w:lineRule="auto"/>
              <w:rPr>
                <w:rFonts w:cs="Arial"/>
                <w:szCs w:val="20"/>
              </w:rPr>
            </w:pPr>
            <w:r w:rsidRPr="009A502B">
              <w:rPr>
                <w:rFonts w:cs="Arial"/>
                <w:szCs w:val="20"/>
              </w:rPr>
              <w:t>Kadcyla</w:t>
            </w:r>
            <w:r w:rsidRPr="009A502B">
              <w:rPr>
                <w:rFonts w:cs="Arial"/>
                <w:szCs w:val="20"/>
                <w:vertAlign w:val="superscript"/>
              </w:rPr>
              <w:t>®</w:t>
            </w:r>
            <w:r w:rsidRPr="009A502B">
              <w:rPr>
                <w:rFonts w:cs="Arial"/>
                <w:szCs w:val="20"/>
              </w:rPr>
              <w:t xml:space="preserve">, </w:t>
            </w:r>
          </w:p>
          <w:p w:rsidR="00DC3996" w:rsidRPr="009A502B" w:rsidRDefault="00DC3996" w:rsidP="00911E0D">
            <w:pPr>
              <w:pStyle w:val="BodyText"/>
              <w:spacing w:after="0" w:line="240" w:lineRule="auto"/>
              <w:rPr>
                <w:rFonts w:cs="Arial"/>
                <w:szCs w:val="20"/>
              </w:rPr>
            </w:pPr>
          </w:p>
          <w:p w:rsidR="00DC3996" w:rsidRDefault="00DC3996" w:rsidP="00911E0D">
            <w:pPr>
              <w:pStyle w:val="BodyText"/>
              <w:spacing w:after="0" w:line="240" w:lineRule="auto"/>
              <w:rPr>
                <w:rFonts w:cs="Arial"/>
                <w:szCs w:val="20"/>
              </w:rPr>
            </w:pPr>
            <w:r>
              <w:rPr>
                <w:rFonts w:cs="Arial"/>
                <w:szCs w:val="20"/>
              </w:rPr>
              <w:t>Roche Products Pty Ltd</w:t>
            </w:r>
          </w:p>
          <w:p w:rsidR="00DC3996" w:rsidRDefault="00DC3996" w:rsidP="00911E0D">
            <w:pPr>
              <w:pStyle w:val="BodyText"/>
              <w:spacing w:after="0" w:line="240" w:lineRule="auto"/>
              <w:rPr>
                <w:rFonts w:cs="Arial"/>
                <w:szCs w:val="20"/>
              </w:rPr>
            </w:pPr>
          </w:p>
          <w:p w:rsidR="00DC3996" w:rsidRDefault="00DC3996" w:rsidP="00911E0D">
            <w:pPr>
              <w:pStyle w:val="BodyText"/>
              <w:spacing w:after="0" w:line="240" w:lineRule="auto"/>
              <w:rPr>
                <w:rFonts w:cs="Arial"/>
                <w:szCs w:val="20"/>
              </w:rPr>
            </w:pPr>
            <w:r>
              <w:rPr>
                <w:rFonts w:cs="Arial"/>
                <w:szCs w:val="20"/>
              </w:rPr>
              <w:t>New Listing</w:t>
            </w:r>
          </w:p>
          <w:p w:rsidR="00DC3996" w:rsidRDefault="00DC3996" w:rsidP="00911E0D">
            <w:pPr>
              <w:pStyle w:val="BodyText"/>
              <w:spacing w:after="0" w:line="240" w:lineRule="auto"/>
              <w:rPr>
                <w:rFonts w:cs="Arial"/>
                <w:szCs w:val="20"/>
              </w:rPr>
            </w:pPr>
          </w:p>
          <w:p w:rsidR="00DC3996" w:rsidRPr="009A502B" w:rsidRDefault="00DC3996" w:rsidP="00911E0D">
            <w:pPr>
              <w:pStyle w:val="BodyText"/>
              <w:spacing w:after="0" w:line="240" w:lineRule="auto"/>
              <w:rPr>
                <w:rFonts w:cs="Arial"/>
                <w:szCs w:val="20"/>
              </w:rPr>
            </w:pPr>
            <w:r>
              <w:rPr>
                <w:rFonts w:cs="Arial"/>
                <w:szCs w:val="20"/>
              </w:rPr>
              <w:t>(Major submission)</w:t>
            </w:r>
          </w:p>
          <w:p w:rsidR="00DC3996" w:rsidRPr="00C011B4" w:rsidRDefault="00DC3996" w:rsidP="00911E0D">
            <w:pPr>
              <w:widowControl w:val="0"/>
              <w:rPr>
                <w:rFonts w:ascii="Arial" w:hAnsi="Arial" w:cs="Arial"/>
                <w:snapToGrid w:val="0"/>
                <w:highlight w:val="yellow"/>
                <w:lang w:eastAsia="en-US"/>
              </w:rPr>
            </w:pPr>
          </w:p>
        </w:tc>
        <w:tc>
          <w:tcPr>
            <w:tcW w:w="2112" w:type="dxa"/>
            <w:vMerge w:val="restart"/>
          </w:tcPr>
          <w:p w:rsidR="00DC3996" w:rsidRPr="00C011B4" w:rsidRDefault="00DC3996" w:rsidP="00911E0D">
            <w:pPr>
              <w:widowControl w:val="0"/>
              <w:rPr>
                <w:rFonts w:ascii="Arial" w:hAnsi="Arial" w:cs="Arial"/>
                <w:snapToGrid w:val="0"/>
                <w:highlight w:val="yellow"/>
                <w:lang w:eastAsia="en-US"/>
              </w:rPr>
            </w:pPr>
            <w:r w:rsidRPr="009A502B">
              <w:rPr>
                <w:rFonts w:ascii="Arial" w:hAnsi="Arial" w:cs="Arial"/>
              </w:rPr>
              <w:t>HER2 positive metastatic breast cancer</w:t>
            </w:r>
          </w:p>
        </w:tc>
        <w:tc>
          <w:tcPr>
            <w:tcW w:w="3231" w:type="dxa"/>
            <w:tcMar>
              <w:top w:w="28" w:type="dxa"/>
              <w:bottom w:w="28" w:type="dxa"/>
            </w:tcMar>
          </w:tcPr>
          <w:p w:rsidR="00DC3996" w:rsidRPr="00564F32" w:rsidRDefault="00DC3996" w:rsidP="00911E0D">
            <w:pPr>
              <w:pStyle w:val="ListParagraph"/>
              <w:ind w:left="0"/>
              <w:rPr>
                <w:rFonts w:ascii="Arial" w:hAnsi="Arial" w:cs="Arial"/>
                <w:sz w:val="20"/>
                <w:szCs w:val="20"/>
              </w:rPr>
            </w:pPr>
            <w:r w:rsidRPr="00564F32">
              <w:rPr>
                <w:rFonts w:ascii="Arial" w:hAnsi="Arial" w:cs="Arial"/>
                <w:sz w:val="20"/>
                <w:szCs w:val="20"/>
              </w:rPr>
              <w:t xml:space="preserve">Section 100 listing for trastuzumab emtansine (T-DM1) for treatment of a patient with HER2+ metastatic breast cancer who has received prior treatment with trastuzumab and a taxane and whose disease has progressed despite treatment with trastuzumab for metastatic disease. </w:t>
            </w:r>
          </w:p>
          <w:p w:rsidR="00DC3996" w:rsidRPr="00564F32" w:rsidRDefault="00DC3996" w:rsidP="00911E0D">
            <w:pPr>
              <w:pStyle w:val="ListParagraph"/>
              <w:ind w:left="0"/>
              <w:rPr>
                <w:rFonts w:ascii="Arial" w:hAnsi="Arial" w:cs="Arial"/>
                <w:snapToGrid w:val="0"/>
                <w:sz w:val="20"/>
                <w:szCs w:val="20"/>
                <w:lang w:eastAsia="en-US"/>
              </w:rPr>
            </w:pPr>
          </w:p>
        </w:tc>
        <w:tc>
          <w:tcPr>
            <w:tcW w:w="6865" w:type="dxa"/>
          </w:tcPr>
          <w:p w:rsidR="00DC3996" w:rsidRPr="00062C72" w:rsidRDefault="00DC3996" w:rsidP="00911E0D">
            <w:pPr>
              <w:rPr>
                <w:rFonts w:ascii="Arial" w:hAnsi="Arial" w:cs="Arial"/>
                <w:szCs w:val="22"/>
              </w:rPr>
            </w:pPr>
            <w:r w:rsidRPr="009A502B">
              <w:rPr>
                <w:rFonts w:ascii="Arial" w:hAnsi="Arial" w:cs="Arial"/>
                <w:szCs w:val="22"/>
              </w:rPr>
              <w:t xml:space="preserve">The PBAC decided to defer its decision on trastuzumab emtansine (T-DM1), noting uncertainties in the economic model by omitting post-progression costs, the nature of the treatment effect and the place of T-DM1 once pertuzumab </w:t>
            </w:r>
            <w:r w:rsidR="005A1701">
              <w:rPr>
                <w:rFonts w:ascii="Arial" w:hAnsi="Arial" w:cs="Arial"/>
                <w:szCs w:val="22"/>
              </w:rPr>
              <w:t>would be</w:t>
            </w:r>
            <w:r w:rsidRPr="009A502B">
              <w:rPr>
                <w:rFonts w:ascii="Arial" w:hAnsi="Arial" w:cs="Arial"/>
                <w:szCs w:val="22"/>
              </w:rPr>
              <w:t xml:space="preserve"> available. The PBAC noted the clinical need for T-DM1, however emphasised the limitations in the applicability of the evidence in the key trial given that patients had progressed on </w:t>
            </w:r>
            <w:r w:rsidRPr="00062C72">
              <w:rPr>
                <w:rFonts w:ascii="Arial" w:hAnsi="Arial" w:cs="Arial"/>
                <w:szCs w:val="22"/>
              </w:rPr>
              <w:t xml:space="preserve">trastuzumab + taxane rather than pertuzumab + trastuzumab + taxane as is most likely to occur in clinical practice. </w:t>
            </w:r>
          </w:p>
          <w:p w:rsidR="00062C72" w:rsidRPr="00062C72" w:rsidRDefault="00062C72" w:rsidP="00911E0D">
            <w:pPr>
              <w:rPr>
                <w:rFonts w:ascii="Arial" w:hAnsi="Arial" w:cs="Arial"/>
                <w:szCs w:val="22"/>
              </w:rPr>
            </w:pPr>
          </w:p>
          <w:p w:rsidR="00062C72" w:rsidRPr="00062C72" w:rsidRDefault="00062C72" w:rsidP="00062C72">
            <w:pPr>
              <w:pStyle w:val="NormalWeb"/>
              <w:spacing w:before="0" w:beforeAutospacing="0" w:after="0" w:afterAutospacing="0"/>
              <w:rPr>
                <w:rFonts w:ascii="Arial" w:hAnsi="Arial" w:cs="Arial"/>
                <w:sz w:val="20"/>
                <w:szCs w:val="20"/>
              </w:rPr>
            </w:pPr>
            <w:r w:rsidRPr="00062C72">
              <w:rPr>
                <w:rFonts w:ascii="Arial" w:hAnsi="Arial" w:cs="Arial"/>
                <w:sz w:val="20"/>
                <w:szCs w:val="20"/>
              </w:rPr>
              <w:t>Subsequent to the meeting, the sponsor presented a pricing proposal for trastuzumab emtansine which was considered by the PBAC out of session. The sponsor</w:t>
            </w:r>
            <w:r w:rsidRPr="00062C72">
              <w:rPr>
                <w:rFonts w:ascii="Arial" w:hAnsi="Arial" w:cs="Arial"/>
                <w:sz w:val="20"/>
                <w:szCs w:val="20"/>
              </w:rPr>
              <w:t>’s proposal</w:t>
            </w:r>
            <w:r w:rsidRPr="00062C72">
              <w:rPr>
                <w:rFonts w:ascii="Arial" w:hAnsi="Arial" w:cs="Arial"/>
                <w:sz w:val="20"/>
                <w:szCs w:val="20"/>
              </w:rPr>
              <w:t xml:space="preserve"> reduced the ICER for trastuzumab emtansine versus lapatinib + capecitabine</w:t>
            </w:r>
            <w:r w:rsidRPr="00062C72">
              <w:rPr>
                <w:rFonts w:ascii="Arial" w:hAnsi="Arial" w:cs="Arial"/>
                <w:sz w:val="20"/>
                <w:szCs w:val="20"/>
              </w:rPr>
              <w:t>.</w:t>
            </w:r>
            <w:r w:rsidRPr="00062C72">
              <w:rPr>
                <w:rFonts w:ascii="Arial" w:hAnsi="Arial" w:cs="Arial"/>
                <w:sz w:val="20"/>
                <w:szCs w:val="20"/>
              </w:rPr>
              <w:br/>
            </w:r>
            <w:r w:rsidRPr="00062C72">
              <w:rPr>
                <w:rFonts w:ascii="Arial" w:hAnsi="Arial" w:cs="Arial"/>
                <w:sz w:val="20"/>
                <w:szCs w:val="20"/>
              </w:rPr>
              <w:br/>
              <w:t>The PBAC recommended the listing of trastuzumab emtansine under Section 100 (</w:t>
            </w:r>
            <w:r w:rsidRPr="00062C72">
              <w:rPr>
                <w:rFonts w:ascii="Arial" w:hAnsi="Arial" w:cs="Arial"/>
                <w:color w:val="2F2F2F"/>
                <w:sz w:val="20"/>
                <w:szCs w:val="20"/>
              </w:rPr>
              <w:t>Efficient Funding of Chemotherapy Drugs Program)</w:t>
            </w:r>
            <w:r w:rsidRPr="00062C72">
              <w:rPr>
                <w:rFonts w:ascii="Arial" w:hAnsi="Arial" w:cs="Arial"/>
                <w:sz w:val="20"/>
                <w:szCs w:val="20"/>
              </w:rPr>
              <w:t> for treatment of a patient with HER2 positive metastatic breast cancer who has received prior treatment with trastuzumab and a taxane and whose disease has progressed despite treatment with trastuzumab for metastatic disease.</w:t>
            </w:r>
            <w:r w:rsidRPr="00062C72">
              <w:rPr>
                <w:rFonts w:ascii="Arial Narrow" w:hAnsi="Arial Narrow" w:cs="Arial"/>
                <w:sz w:val="20"/>
                <w:szCs w:val="20"/>
              </w:rPr>
              <w:t xml:space="preserve"> </w:t>
            </w:r>
            <w:bookmarkStart w:id="0" w:name="_GoBack"/>
            <w:bookmarkEnd w:id="0"/>
            <w:r w:rsidRPr="005B2E1A">
              <w:rPr>
                <w:sz w:val="22"/>
                <w:szCs w:val="22"/>
              </w:rPr>
              <w:br/>
            </w:r>
          </w:p>
        </w:tc>
      </w:tr>
      <w:tr w:rsidR="00DC3996" w:rsidRPr="00F609BF" w:rsidTr="00281EE0">
        <w:trPr>
          <w:cantSplit/>
          <w:trHeight w:val="816"/>
        </w:trPr>
        <w:tc>
          <w:tcPr>
            <w:tcW w:w="3101" w:type="dxa"/>
            <w:vMerge/>
            <w:tcMar>
              <w:top w:w="28" w:type="dxa"/>
              <w:bottom w:w="28" w:type="dxa"/>
            </w:tcMar>
          </w:tcPr>
          <w:p w:rsidR="00DC3996" w:rsidRPr="009A502B" w:rsidRDefault="00DC3996" w:rsidP="00911E0D">
            <w:pPr>
              <w:pStyle w:val="BodyText"/>
              <w:spacing w:after="0" w:line="240" w:lineRule="auto"/>
              <w:rPr>
                <w:rFonts w:cs="Arial"/>
                <w:szCs w:val="20"/>
              </w:rPr>
            </w:pPr>
          </w:p>
        </w:tc>
        <w:tc>
          <w:tcPr>
            <w:tcW w:w="2112" w:type="dxa"/>
            <w:vMerge/>
          </w:tcPr>
          <w:p w:rsidR="00DC3996" w:rsidRPr="009A502B" w:rsidRDefault="00DC3996" w:rsidP="00911E0D">
            <w:pPr>
              <w:widowControl w:val="0"/>
              <w:rPr>
                <w:rFonts w:ascii="Arial" w:hAnsi="Arial" w:cs="Arial"/>
              </w:rPr>
            </w:pPr>
          </w:p>
        </w:tc>
        <w:tc>
          <w:tcPr>
            <w:tcW w:w="3231" w:type="dxa"/>
            <w:tcMar>
              <w:top w:w="28" w:type="dxa"/>
              <w:bottom w:w="28" w:type="dxa"/>
            </w:tcMar>
          </w:tcPr>
          <w:p w:rsidR="00DC3996" w:rsidRPr="00564F32" w:rsidRDefault="00DC3996" w:rsidP="00911E0D">
            <w:pPr>
              <w:widowControl w:val="0"/>
              <w:jc w:val="right"/>
              <w:rPr>
                <w:rFonts w:ascii="Arial" w:hAnsi="Arial" w:cs="Arial"/>
              </w:rPr>
            </w:pPr>
            <w:r w:rsidRPr="00564F32">
              <w:rPr>
                <w:rFonts w:ascii="Arial" w:hAnsi="Arial" w:cs="Arial"/>
              </w:rPr>
              <w:t xml:space="preserve">Sponsor </w:t>
            </w:r>
            <w:r w:rsidRPr="00911E0D">
              <w:rPr>
                <w:rFonts w:ascii="Arial" w:hAnsi="Arial" w:cs="Arial"/>
                <w:snapToGrid w:val="0"/>
                <w:lang w:eastAsia="en-US"/>
              </w:rPr>
              <w:t>Comment</w:t>
            </w:r>
            <w:r w:rsidRPr="00564F32">
              <w:rPr>
                <w:rFonts w:ascii="Arial" w:hAnsi="Arial" w:cs="Arial"/>
              </w:rPr>
              <w:t>:</w:t>
            </w:r>
          </w:p>
        </w:tc>
        <w:tc>
          <w:tcPr>
            <w:tcW w:w="6865" w:type="dxa"/>
          </w:tcPr>
          <w:p w:rsidR="00DC3996" w:rsidRDefault="003E2744" w:rsidP="00911E0D">
            <w:pPr>
              <w:rPr>
                <w:rFonts w:ascii="Arial" w:hAnsi="Arial" w:cs="Arial"/>
                <w:szCs w:val="22"/>
              </w:rPr>
            </w:pPr>
            <w:r w:rsidRPr="003E2744">
              <w:rPr>
                <w:rFonts w:ascii="Arial" w:hAnsi="Arial" w:cs="Arial"/>
                <w:szCs w:val="22"/>
              </w:rPr>
              <w:t>The sponsor is working with the PBAC to achieve the earliest possible PBS listing for trastuzumab emtansine (KADCYLA), addressing the high clinical need for effective treatments for Australians with metastatic breast cancer.</w:t>
            </w:r>
          </w:p>
          <w:p w:rsidR="00911E0D" w:rsidRPr="009A502B" w:rsidRDefault="00911E0D" w:rsidP="00911E0D">
            <w:pPr>
              <w:rPr>
                <w:rFonts w:ascii="Arial" w:hAnsi="Arial" w:cs="Arial"/>
                <w:szCs w:val="22"/>
              </w:rPr>
            </w:pPr>
          </w:p>
        </w:tc>
      </w:tr>
    </w:tbl>
    <w:p w:rsidR="00C26FE5" w:rsidRPr="00F609BF" w:rsidRDefault="00C26FE5" w:rsidP="0065234B">
      <w:pPr>
        <w:tabs>
          <w:tab w:val="left" w:pos="5210"/>
        </w:tabs>
        <w:rPr>
          <w:rFonts w:ascii="Arial" w:hAnsi="Arial" w:cs="Arial"/>
          <w:lang w:val="en-US"/>
        </w:rPr>
      </w:pPr>
    </w:p>
    <w:sectPr w:rsidR="00C26FE5" w:rsidRPr="00F609BF" w:rsidSect="00281EE0">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F1" w:rsidRDefault="007B2FF1">
      <w:r>
        <w:separator/>
      </w:r>
    </w:p>
  </w:endnote>
  <w:endnote w:type="continuationSeparator" w:id="0">
    <w:p w:rsidR="007B2FF1" w:rsidRDefault="007B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062C72">
      <w:rPr>
        <w:rStyle w:val="PageNumber"/>
        <w:rFonts w:ascii="Arial" w:hAnsi="Arial" w:cs="Arial"/>
        <w:noProof/>
      </w:rPr>
      <w:t>4</w:t>
    </w:r>
    <w:r w:rsidRPr="00287C89">
      <w:rPr>
        <w:rStyle w:val="PageNumber"/>
        <w:rFonts w:ascii="Arial" w:hAnsi="Arial" w:cs="Arial"/>
      </w:rPr>
      <w:fldChar w:fldCharType="end"/>
    </w:r>
  </w:p>
  <w:p w:rsidR="005E1F3B" w:rsidRDefault="005E1F3B"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F1" w:rsidRDefault="007B2FF1">
      <w:r>
        <w:separator/>
      </w:r>
    </w:p>
  </w:footnote>
  <w:footnote w:type="continuationSeparator" w:id="0">
    <w:p w:rsidR="007B2FF1" w:rsidRDefault="007B2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00" w:rsidRPr="00BB0500" w:rsidRDefault="00BB0500" w:rsidP="00BB0500">
    <w:pPr>
      <w:pStyle w:val="Header"/>
      <w:jc w:val="center"/>
      <w:rPr>
        <w:rFonts w:ascii="Arial" w:hAnsi="Arial" w:cs="Arial"/>
        <w:b/>
      </w:rPr>
    </w:pPr>
    <w:r w:rsidRPr="00BB0500">
      <w:rPr>
        <w:rFonts w:ascii="Arial" w:hAnsi="Arial" w:cs="Arial"/>
        <w:b/>
      </w:rPr>
      <w:t>NOVEMBER 2014 PBAC OUTCOMES - DEFERRALS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2C72"/>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FC8F-BA6E-42AD-A6F7-86205238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1279</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2015-01-06T23:52:00Z</dcterms:created>
  <dcterms:modified xsi:type="dcterms:W3CDTF">2015-01-06T23:52:00Z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