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B4" w:rsidRDefault="00DF703C" w:rsidP="00204DB4">
      <w:pPr>
        <w:pStyle w:val="Title"/>
      </w:pPr>
      <w:bookmarkStart w:id="0" w:name="_GoBack"/>
      <w:bookmarkEnd w:id="0"/>
      <w:r>
        <w:t>July 2014</w:t>
      </w:r>
      <w:r w:rsidR="008068F2">
        <w:t xml:space="preserve"> </w:t>
      </w:r>
      <w:r w:rsidR="00204DB4">
        <w:t xml:space="preserve">PBAC OUTCOMES - "Subsequent" Decisions not to Recommend </w:t>
      </w:r>
    </w:p>
    <w:p w:rsidR="004E61E5" w:rsidRDefault="004E61E5" w:rsidP="00204DB4">
      <w:pPr>
        <w:pStyle w:val="Tit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2693"/>
        <w:gridCol w:w="4678"/>
      </w:tblGrid>
      <w:tr w:rsidR="0010394D" w:rsidRPr="00CA293C" w:rsidTr="00826000">
        <w:tblPrEx>
          <w:tblCellMar>
            <w:top w:w="0" w:type="dxa"/>
            <w:bottom w:w="0" w:type="dxa"/>
          </w:tblCellMar>
        </w:tblPrEx>
        <w:tc>
          <w:tcPr>
            <w:tcW w:w="2127" w:type="dxa"/>
          </w:tcPr>
          <w:p w:rsidR="0010394D" w:rsidRPr="0010394D" w:rsidRDefault="0010394D" w:rsidP="000D3717">
            <w:pPr>
              <w:widowControl w:val="0"/>
              <w:contextualSpacing/>
              <w:jc w:val="center"/>
              <w:rPr>
                <w:rFonts w:ascii="Arial" w:hAnsi="Arial" w:cs="Arial"/>
                <w:b/>
                <w:sz w:val="20"/>
              </w:rPr>
            </w:pPr>
            <w:r w:rsidRPr="0010394D">
              <w:rPr>
                <w:rFonts w:ascii="Arial" w:hAnsi="Arial" w:cs="Arial"/>
                <w:b/>
                <w:sz w:val="20"/>
              </w:rPr>
              <w:t>Drug Name, form(s), strength(s)</w:t>
            </w:r>
            <w:r w:rsidR="000D3717">
              <w:rPr>
                <w:rFonts w:ascii="Arial" w:hAnsi="Arial" w:cs="Arial"/>
                <w:b/>
                <w:sz w:val="20"/>
              </w:rPr>
              <w:t>,</w:t>
            </w:r>
            <w:r w:rsidRPr="0010394D">
              <w:rPr>
                <w:rFonts w:ascii="Arial" w:hAnsi="Arial" w:cs="Arial"/>
                <w:b/>
                <w:sz w:val="20"/>
              </w:rPr>
              <w:t xml:space="preserve"> Sponsor</w:t>
            </w:r>
            <w:r w:rsidR="000D3717">
              <w:rPr>
                <w:rFonts w:ascii="Arial" w:hAnsi="Arial" w:cs="Arial"/>
                <w:b/>
                <w:sz w:val="20"/>
              </w:rPr>
              <w:t>, Type of submission</w:t>
            </w:r>
          </w:p>
        </w:tc>
        <w:tc>
          <w:tcPr>
            <w:tcW w:w="2126" w:type="dxa"/>
          </w:tcPr>
          <w:p w:rsidR="0010394D" w:rsidRPr="0010394D" w:rsidRDefault="0010394D" w:rsidP="0010394D">
            <w:pPr>
              <w:widowControl w:val="0"/>
              <w:contextualSpacing/>
              <w:jc w:val="center"/>
              <w:rPr>
                <w:rFonts w:ascii="Arial" w:hAnsi="Arial" w:cs="Arial"/>
                <w:b/>
                <w:snapToGrid w:val="0"/>
                <w:sz w:val="20"/>
                <w:lang w:eastAsia="en-US"/>
              </w:rPr>
            </w:pPr>
            <w:r w:rsidRPr="0010394D">
              <w:rPr>
                <w:rFonts w:ascii="Arial" w:hAnsi="Arial" w:cs="Arial"/>
                <w:b/>
                <w:snapToGrid w:val="0"/>
                <w:sz w:val="20"/>
                <w:lang w:eastAsia="en-US"/>
              </w:rPr>
              <w:t>TGA Indication</w:t>
            </w:r>
          </w:p>
          <w:p w:rsidR="0010394D" w:rsidRPr="0010394D" w:rsidRDefault="0010394D" w:rsidP="0010394D">
            <w:pPr>
              <w:widowControl w:val="0"/>
              <w:contextualSpacing/>
              <w:jc w:val="center"/>
              <w:rPr>
                <w:rFonts w:ascii="Arial" w:hAnsi="Arial" w:cs="Arial"/>
                <w:b/>
                <w:snapToGrid w:val="0"/>
                <w:sz w:val="20"/>
                <w:lang w:eastAsia="en-US"/>
              </w:rPr>
            </w:pPr>
          </w:p>
        </w:tc>
        <w:tc>
          <w:tcPr>
            <w:tcW w:w="2126" w:type="dxa"/>
          </w:tcPr>
          <w:p w:rsidR="0010394D" w:rsidRPr="0010394D" w:rsidRDefault="0010394D" w:rsidP="0010394D">
            <w:pPr>
              <w:widowControl w:val="0"/>
              <w:contextualSpacing/>
              <w:jc w:val="center"/>
              <w:rPr>
                <w:rFonts w:ascii="Arial" w:hAnsi="Arial" w:cs="Arial"/>
                <w:b/>
                <w:snapToGrid w:val="0"/>
                <w:sz w:val="20"/>
                <w:lang w:eastAsia="en-US"/>
              </w:rPr>
            </w:pPr>
            <w:r w:rsidRPr="0010394D">
              <w:rPr>
                <w:rFonts w:ascii="Arial" w:hAnsi="Arial" w:cs="Arial"/>
                <w:b/>
                <w:snapToGrid w:val="0"/>
                <w:sz w:val="20"/>
                <w:lang w:eastAsia="en-US"/>
              </w:rPr>
              <w:t>Current PBS Listing</w:t>
            </w:r>
          </w:p>
        </w:tc>
        <w:tc>
          <w:tcPr>
            <w:tcW w:w="2693" w:type="dxa"/>
            <w:shd w:val="clear" w:color="auto" w:fill="auto"/>
            <w:vAlign w:val="center"/>
          </w:tcPr>
          <w:p w:rsidR="0010394D" w:rsidRPr="0010394D" w:rsidRDefault="0010394D" w:rsidP="0010394D">
            <w:pPr>
              <w:pStyle w:val="Header"/>
              <w:spacing w:after="240"/>
              <w:contextualSpacing/>
              <w:rPr>
                <w:rFonts w:ascii="Arial" w:hAnsi="Arial" w:cs="Arial"/>
                <w:b/>
                <w:snapToGrid w:val="0"/>
                <w:sz w:val="20"/>
                <w:lang w:eastAsia="en-US"/>
              </w:rPr>
            </w:pPr>
            <w:r w:rsidRPr="0010394D">
              <w:rPr>
                <w:rFonts w:ascii="Arial" w:hAnsi="Arial" w:cs="Arial"/>
                <w:b/>
                <w:snapToGrid w:val="0"/>
                <w:sz w:val="20"/>
                <w:lang w:eastAsia="en-US"/>
              </w:rPr>
              <w:t>Listing requested by Sponsor / Purpose of Submission</w:t>
            </w:r>
          </w:p>
        </w:tc>
        <w:tc>
          <w:tcPr>
            <w:tcW w:w="4678" w:type="dxa"/>
          </w:tcPr>
          <w:p w:rsidR="0010394D" w:rsidRPr="0010394D" w:rsidRDefault="0010394D" w:rsidP="0010394D">
            <w:pPr>
              <w:widowControl w:val="0"/>
              <w:contextualSpacing/>
              <w:jc w:val="center"/>
              <w:rPr>
                <w:rFonts w:ascii="Arial" w:hAnsi="Arial" w:cs="Arial"/>
                <w:b/>
                <w:sz w:val="20"/>
              </w:rPr>
            </w:pPr>
            <w:r w:rsidRPr="0010394D">
              <w:rPr>
                <w:rFonts w:ascii="Arial" w:hAnsi="Arial" w:cs="Arial"/>
                <w:b/>
                <w:snapToGrid w:val="0"/>
                <w:sz w:val="20"/>
                <w:lang w:eastAsia="en-US"/>
              </w:rPr>
              <w:t>PBAC Recommendation</w:t>
            </w:r>
          </w:p>
        </w:tc>
      </w:tr>
      <w:tr w:rsidR="004E61E5" w:rsidRPr="00CA293C" w:rsidTr="00826000">
        <w:tblPrEx>
          <w:tblCellMar>
            <w:top w:w="0" w:type="dxa"/>
            <w:bottom w:w="0" w:type="dxa"/>
          </w:tblCellMar>
        </w:tblPrEx>
        <w:trPr>
          <w:trHeight w:val="435"/>
        </w:trPr>
        <w:tc>
          <w:tcPr>
            <w:tcW w:w="2127" w:type="dxa"/>
            <w:vMerge w:val="restart"/>
          </w:tcPr>
          <w:p w:rsidR="004D2DFC" w:rsidRDefault="004D2DFC" w:rsidP="0010394D">
            <w:pPr>
              <w:pStyle w:val="NormalWeb"/>
              <w:spacing w:before="0" w:beforeAutospacing="0" w:after="240" w:afterAutospacing="0" w:line="270" w:lineRule="atLeast"/>
              <w:contextualSpacing/>
              <w:textAlignment w:val="baseline"/>
              <w:rPr>
                <w:rFonts w:ascii="Arial" w:hAnsi="Arial" w:cs="Arial"/>
                <w:color w:val="000000"/>
                <w:sz w:val="20"/>
                <w:szCs w:val="20"/>
              </w:rPr>
            </w:pPr>
            <w:r w:rsidRPr="0081702A">
              <w:rPr>
                <w:rFonts w:ascii="Arial" w:hAnsi="Arial" w:cs="Arial"/>
                <w:color w:val="000000"/>
                <w:sz w:val="20"/>
                <w:szCs w:val="20"/>
              </w:rPr>
              <w:t>ADALIMUMAB</w:t>
            </w:r>
            <w:r w:rsidR="00533EC6" w:rsidRPr="0081702A">
              <w:rPr>
                <w:rFonts w:ascii="Arial" w:hAnsi="Arial" w:cs="Arial"/>
                <w:color w:val="000000"/>
                <w:sz w:val="20"/>
                <w:szCs w:val="20"/>
              </w:rPr>
              <w:t xml:space="preserve">, </w:t>
            </w:r>
            <w:r w:rsidR="00DB63C7" w:rsidRPr="0081702A">
              <w:rPr>
                <w:rFonts w:ascii="Arial" w:hAnsi="Arial" w:cs="Arial"/>
                <w:color w:val="000000"/>
                <w:sz w:val="20"/>
                <w:szCs w:val="20"/>
              </w:rPr>
              <w:t xml:space="preserve"> 40 </w:t>
            </w:r>
            <w:r w:rsidRPr="0081702A">
              <w:rPr>
                <w:rFonts w:ascii="Arial" w:hAnsi="Arial" w:cs="Arial"/>
                <w:color w:val="000000"/>
                <w:sz w:val="20"/>
                <w:szCs w:val="20"/>
              </w:rPr>
              <w:t>mg/0.8 mL injection, 2 x 0.8 mL cartridges and 2 x 0.8 mL syringes</w:t>
            </w:r>
            <w:r w:rsidR="00533EC6" w:rsidRPr="0081702A">
              <w:rPr>
                <w:rFonts w:ascii="Arial" w:hAnsi="Arial" w:cs="Arial"/>
                <w:color w:val="000000"/>
                <w:sz w:val="20"/>
                <w:szCs w:val="20"/>
              </w:rPr>
              <w:t xml:space="preserve">, </w:t>
            </w:r>
            <w:r w:rsidRPr="0081702A">
              <w:rPr>
                <w:rFonts w:ascii="Arial" w:hAnsi="Arial" w:cs="Arial"/>
                <w:color w:val="000000"/>
                <w:sz w:val="20"/>
                <w:szCs w:val="20"/>
              </w:rPr>
              <w:t>Humira®</w:t>
            </w:r>
            <w:r w:rsidR="006A4BE8">
              <w:rPr>
                <w:rFonts w:ascii="Arial" w:hAnsi="Arial" w:cs="Arial"/>
                <w:color w:val="000000"/>
                <w:sz w:val="20"/>
                <w:szCs w:val="20"/>
              </w:rPr>
              <w:t>, AbbVie Pty Ltd</w:t>
            </w:r>
          </w:p>
          <w:p w:rsidR="0081702A" w:rsidRPr="0081702A" w:rsidRDefault="00E60ACD" w:rsidP="0010394D">
            <w:pPr>
              <w:pStyle w:val="NormalWeb"/>
              <w:spacing w:before="0" w:beforeAutospacing="0" w:after="240" w:afterAutospacing="0" w:line="270" w:lineRule="atLeast"/>
              <w:contextualSpacing/>
              <w:textAlignment w:val="baseline"/>
              <w:rPr>
                <w:rFonts w:ascii="Arial" w:hAnsi="Arial" w:cs="Arial"/>
                <w:color w:val="000000"/>
                <w:sz w:val="20"/>
                <w:szCs w:val="20"/>
              </w:rPr>
            </w:pPr>
            <w:r>
              <w:rPr>
                <w:rFonts w:ascii="Arial" w:hAnsi="Arial" w:cs="Arial"/>
                <w:color w:val="000000"/>
                <w:sz w:val="20"/>
                <w:szCs w:val="20"/>
              </w:rPr>
              <w:t>Change to listing.</w:t>
            </w:r>
          </w:p>
          <w:p w:rsidR="00533EC6" w:rsidRPr="0081702A" w:rsidRDefault="0081702A" w:rsidP="0010394D">
            <w:pPr>
              <w:contextualSpacing/>
              <w:rPr>
                <w:rFonts w:ascii="Arial" w:hAnsi="Arial" w:cs="Arial"/>
                <w:sz w:val="20"/>
              </w:rPr>
            </w:pPr>
            <w:r>
              <w:rPr>
                <w:rFonts w:ascii="Arial" w:hAnsi="Arial" w:cs="Arial"/>
                <w:sz w:val="20"/>
              </w:rPr>
              <w:t>(</w:t>
            </w:r>
            <w:r w:rsidR="00533EC6" w:rsidRPr="0081702A">
              <w:rPr>
                <w:rFonts w:ascii="Arial" w:hAnsi="Arial" w:cs="Arial"/>
                <w:sz w:val="20"/>
              </w:rPr>
              <w:t>Major submission</w:t>
            </w:r>
            <w:r>
              <w:rPr>
                <w:rFonts w:ascii="Arial" w:hAnsi="Arial" w:cs="Arial"/>
                <w:sz w:val="20"/>
              </w:rPr>
              <w:t>)</w:t>
            </w:r>
          </w:p>
          <w:p w:rsidR="004E61E5" w:rsidRPr="0081702A" w:rsidRDefault="004E61E5" w:rsidP="00947987">
            <w:pPr>
              <w:rPr>
                <w:rFonts w:ascii="Arial" w:hAnsi="Arial" w:cs="Arial"/>
                <w:sz w:val="20"/>
              </w:rPr>
            </w:pPr>
          </w:p>
        </w:tc>
        <w:tc>
          <w:tcPr>
            <w:tcW w:w="2126" w:type="dxa"/>
            <w:vMerge w:val="restart"/>
          </w:tcPr>
          <w:p w:rsidR="00947987" w:rsidRPr="0081702A" w:rsidRDefault="00F43732" w:rsidP="00947987">
            <w:pPr>
              <w:rPr>
                <w:rFonts w:ascii="Arial" w:hAnsi="Arial" w:cs="Arial"/>
                <w:sz w:val="20"/>
              </w:rPr>
            </w:pPr>
            <w:r w:rsidRPr="0081702A">
              <w:rPr>
                <w:rFonts w:ascii="Arial" w:hAnsi="Arial" w:cs="Arial"/>
                <w:sz w:val="20"/>
              </w:rPr>
              <w:t>Patients who have had an inadequate response to conventional therapy or who are intolerant to or have medical contraindications for such therapies. Patients should show a clinical response within 8 weeks for treatment to continue treatment beyond that time</w:t>
            </w:r>
          </w:p>
        </w:tc>
        <w:tc>
          <w:tcPr>
            <w:tcW w:w="2126" w:type="dxa"/>
            <w:vMerge w:val="restart"/>
          </w:tcPr>
          <w:p w:rsidR="00947987" w:rsidRPr="0081702A" w:rsidRDefault="00F43732" w:rsidP="00947987">
            <w:pPr>
              <w:rPr>
                <w:rFonts w:ascii="Arial" w:hAnsi="Arial" w:cs="Arial"/>
                <w:sz w:val="20"/>
              </w:rPr>
            </w:pPr>
            <w:r w:rsidRPr="0081702A">
              <w:rPr>
                <w:rFonts w:ascii="Arial" w:hAnsi="Arial" w:cs="Arial"/>
                <w:sz w:val="20"/>
              </w:rPr>
              <w:t>Treatment of severe active rheumatoid arthritis, severe active psoriatic arthritis, active ankylosing spondylitis, severe refractory Crohn disease and severe chronic plaque psoriasis.</w:t>
            </w:r>
          </w:p>
          <w:p w:rsidR="00A55002" w:rsidRPr="0081702A" w:rsidRDefault="00A55002" w:rsidP="00947987">
            <w:pPr>
              <w:rPr>
                <w:rFonts w:ascii="Arial" w:hAnsi="Arial" w:cs="Arial"/>
                <w:sz w:val="20"/>
              </w:rPr>
            </w:pPr>
          </w:p>
          <w:p w:rsidR="00A55002" w:rsidRPr="0081702A" w:rsidRDefault="00A55002" w:rsidP="00947987">
            <w:pPr>
              <w:rPr>
                <w:rFonts w:ascii="Arial" w:hAnsi="Arial" w:cs="Arial"/>
                <w:sz w:val="20"/>
              </w:rPr>
            </w:pPr>
            <w:r w:rsidRPr="0081702A">
              <w:rPr>
                <w:rFonts w:ascii="Arial" w:hAnsi="Arial" w:cs="Arial"/>
                <w:sz w:val="20"/>
              </w:rPr>
              <w:t xml:space="preserve">Refer to </w:t>
            </w:r>
            <w:hyperlink r:id="rId8" w:history="1">
              <w:r w:rsidRPr="0081702A">
                <w:rPr>
                  <w:rStyle w:val="Hyperlink"/>
                  <w:rFonts w:ascii="Arial" w:hAnsi="Arial" w:cs="Arial"/>
                  <w:sz w:val="20"/>
                </w:rPr>
                <w:t>www.pbs.gov.au</w:t>
              </w:r>
            </w:hyperlink>
            <w:r w:rsidRPr="0081702A">
              <w:rPr>
                <w:rFonts w:ascii="Arial" w:hAnsi="Arial" w:cs="Arial"/>
                <w:sz w:val="20"/>
              </w:rPr>
              <w:t xml:space="preserve"> for full details</w:t>
            </w:r>
          </w:p>
        </w:tc>
        <w:tc>
          <w:tcPr>
            <w:tcW w:w="2693" w:type="dxa"/>
          </w:tcPr>
          <w:p w:rsidR="00947987" w:rsidRPr="0081702A" w:rsidRDefault="004D2DFC" w:rsidP="00C44762">
            <w:pPr>
              <w:keepLines/>
              <w:rPr>
                <w:rFonts w:ascii="Arial" w:hAnsi="Arial" w:cs="Arial"/>
                <w:sz w:val="20"/>
              </w:rPr>
            </w:pPr>
            <w:r w:rsidRPr="0081702A">
              <w:rPr>
                <w:rFonts w:ascii="Arial" w:hAnsi="Arial" w:cs="Arial"/>
                <w:sz w:val="20"/>
              </w:rPr>
              <w:t>Authority required listing for the treatment of moderately to severely active ulcerative colitis</w:t>
            </w:r>
            <w:r w:rsidR="00DB63C7" w:rsidRPr="0081702A">
              <w:rPr>
                <w:rFonts w:ascii="Arial" w:hAnsi="Arial" w:cs="Arial"/>
                <w:sz w:val="20"/>
              </w:rPr>
              <w:t>.</w:t>
            </w:r>
          </w:p>
        </w:tc>
        <w:tc>
          <w:tcPr>
            <w:tcW w:w="4678" w:type="dxa"/>
          </w:tcPr>
          <w:p w:rsidR="001810B2" w:rsidRPr="0081702A" w:rsidRDefault="001810B2" w:rsidP="001810B2">
            <w:pPr>
              <w:jc w:val="both"/>
              <w:rPr>
                <w:rFonts w:ascii="Arial" w:hAnsi="Arial" w:cs="Arial"/>
                <w:sz w:val="20"/>
              </w:rPr>
            </w:pPr>
            <w:r w:rsidRPr="0081702A">
              <w:rPr>
                <w:rFonts w:ascii="Arial" w:hAnsi="Arial" w:cs="Arial"/>
                <w:sz w:val="20"/>
              </w:rPr>
              <w:t xml:space="preserve">The PBAC rejected the request to extend adalimumab’s indications to include the treatment of moderate to severe ulcerative colitis on the basis that an economic comparison comparing adalimumab to infliximab is the most relevant comparison and on the basis that the evidence presented did not conclusively establish non-inferiority of adalimumab to infliximab. </w:t>
            </w:r>
          </w:p>
          <w:p w:rsidR="00DB0BAD" w:rsidRPr="0081702A" w:rsidRDefault="00DB0BAD" w:rsidP="00BE58B8">
            <w:pPr>
              <w:rPr>
                <w:rFonts w:ascii="Arial" w:hAnsi="Arial" w:cs="Arial"/>
                <w:sz w:val="20"/>
              </w:rPr>
            </w:pPr>
          </w:p>
        </w:tc>
      </w:tr>
      <w:tr w:rsidR="00AD3357" w:rsidRPr="00CA293C" w:rsidTr="00826000">
        <w:tblPrEx>
          <w:tblCellMar>
            <w:top w:w="0" w:type="dxa"/>
            <w:bottom w:w="0" w:type="dxa"/>
          </w:tblCellMar>
        </w:tblPrEx>
        <w:trPr>
          <w:trHeight w:val="433"/>
        </w:trPr>
        <w:tc>
          <w:tcPr>
            <w:tcW w:w="2127"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693" w:type="dxa"/>
          </w:tcPr>
          <w:p w:rsidR="00AD3357" w:rsidRPr="0081702A" w:rsidRDefault="00AD3357" w:rsidP="00DB63C7">
            <w:pPr>
              <w:pStyle w:val="ListBullet"/>
              <w:jc w:val="both"/>
            </w:pPr>
            <w:r w:rsidRPr="0081702A">
              <w:t xml:space="preserve">Comparator: </w:t>
            </w:r>
            <w:r w:rsidR="008068F2" w:rsidRPr="0081702A">
              <w:t xml:space="preserve"> </w:t>
            </w:r>
          </w:p>
          <w:p w:rsidR="00AD3357" w:rsidRPr="0081702A" w:rsidRDefault="00F43732" w:rsidP="00DB63C7">
            <w:pPr>
              <w:pStyle w:val="ListBullet"/>
              <w:jc w:val="both"/>
            </w:pPr>
            <w:r w:rsidRPr="0081702A">
              <w:t>Best supportive care</w:t>
            </w:r>
            <w:r w:rsidR="00DB63C7" w:rsidRPr="0081702A">
              <w:t>.</w:t>
            </w:r>
          </w:p>
        </w:tc>
        <w:tc>
          <w:tcPr>
            <w:tcW w:w="4678" w:type="dxa"/>
          </w:tcPr>
          <w:p w:rsidR="007A29FA" w:rsidRPr="0081702A" w:rsidRDefault="00A55002" w:rsidP="00046D30">
            <w:pPr>
              <w:jc w:val="both"/>
              <w:rPr>
                <w:rFonts w:ascii="Arial" w:hAnsi="Arial" w:cs="Arial"/>
                <w:sz w:val="20"/>
              </w:rPr>
            </w:pPr>
            <w:r w:rsidRPr="0081702A">
              <w:rPr>
                <w:rFonts w:ascii="Arial" w:hAnsi="Arial" w:cs="Arial"/>
                <w:sz w:val="20"/>
              </w:rPr>
              <w:t xml:space="preserve">Not accepted. </w:t>
            </w:r>
            <w:r w:rsidR="001810B2" w:rsidRPr="0081702A">
              <w:rPr>
                <w:rFonts w:ascii="Arial" w:hAnsi="Arial" w:cs="Arial"/>
                <w:sz w:val="20"/>
              </w:rPr>
              <w:t xml:space="preserve">Infliximab </w:t>
            </w:r>
            <w:r w:rsidR="00DB63C7" w:rsidRPr="0081702A">
              <w:rPr>
                <w:rFonts w:ascii="Arial" w:hAnsi="Arial" w:cs="Arial"/>
                <w:sz w:val="20"/>
              </w:rPr>
              <w:t xml:space="preserve">(recommended for listing in March 2014 for ulcerative colitis) </w:t>
            </w:r>
            <w:r w:rsidR="001810B2" w:rsidRPr="0081702A">
              <w:rPr>
                <w:rFonts w:ascii="Arial" w:hAnsi="Arial" w:cs="Arial"/>
                <w:sz w:val="20"/>
              </w:rPr>
              <w:t>was considered to be the most relevant comparator</w:t>
            </w:r>
            <w:r w:rsidRPr="0081702A">
              <w:rPr>
                <w:rFonts w:ascii="Arial" w:hAnsi="Arial" w:cs="Arial"/>
                <w:sz w:val="20"/>
              </w:rPr>
              <w:t>.</w:t>
            </w:r>
            <w:r w:rsidR="001810B2" w:rsidRPr="0081702A">
              <w:rPr>
                <w:rFonts w:ascii="Arial" w:hAnsi="Arial" w:cs="Arial"/>
                <w:sz w:val="20"/>
              </w:rPr>
              <w:t xml:space="preserve"> </w:t>
            </w:r>
          </w:p>
        </w:tc>
      </w:tr>
      <w:tr w:rsidR="00AD3357" w:rsidRPr="00CA293C" w:rsidTr="00826000">
        <w:tblPrEx>
          <w:tblCellMar>
            <w:top w:w="0" w:type="dxa"/>
            <w:bottom w:w="0" w:type="dxa"/>
          </w:tblCellMar>
        </w:tblPrEx>
        <w:trPr>
          <w:trHeight w:val="433"/>
        </w:trPr>
        <w:tc>
          <w:tcPr>
            <w:tcW w:w="2127"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693" w:type="dxa"/>
          </w:tcPr>
          <w:p w:rsidR="00AD3357" w:rsidRPr="0081702A" w:rsidRDefault="00AD3357" w:rsidP="00DB63C7">
            <w:pPr>
              <w:pStyle w:val="ListBullet"/>
              <w:jc w:val="both"/>
            </w:pPr>
            <w:r w:rsidRPr="0081702A">
              <w:t xml:space="preserve">Clinical claim: </w:t>
            </w:r>
            <w:r w:rsidR="008068F2" w:rsidRPr="0081702A">
              <w:t xml:space="preserve"> </w:t>
            </w:r>
          </w:p>
          <w:p w:rsidR="00826000" w:rsidRPr="0081702A" w:rsidRDefault="00F43732" w:rsidP="007C49CE">
            <w:pPr>
              <w:pStyle w:val="ListBullet"/>
              <w:jc w:val="both"/>
            </w:pPr>
            <w:r w:rsidRPr="0081702A">
              <w:t>Superior to placebo in patients with moderately to severely active ulcerative colitis in terms of comparative effectiveness and marginally worse in terms of comparative safety</w:t>
            </w:r>
            <w:r w:rsidR="00DB63C7" w:rsidRPr="0081702A">
              <w:t>.</w:t>
            </w:r>
            <w:r w:rsidR="007C49CE" w:rsidRPr="0081702A">
              <w:t xml:space="preserve"> </w:t>
            </w:r>
          </w:p>
        </w:tc>
        <w:tc>
          <w:tcPr>
            <w:tcW w:w="4678" w:type="dxa"/>
          </w:tcPr>
          <w:p w:rsidR="00D3127D" w:rsidRPr="0081702A" w:rsidRDefault="00D3127D" w:rsidP="00DB63C7">
            <w:pPr>
              <w:jc w:val="both"/>
              <w:rPr>
                <w:rFonts w:ascii="Arial" w:hAnsi="Arial" w:cs="Arial"/>
                <w:sz w:val="20"/>
              </w:rPr>
            </w:pPr>
          </w:p>
          <w:p w:rsidR="007C49CE" w:rsidRDefault="00170906" w:rsidP="00DB63C7">
            <w:pPr>
              <w:jc w:val="both"/>
              <w:rPr>
                <w:rFonts w:ascii="Arial" w:hAnsi="Arial" w:cs="Arial"/>
                <w:sz w:val="20"/>
              </w:rPr>
            </w:pPr>
            <w:r w:rsidRPr="0081702A">
              <w:rPr>
                <w:rFonts w:ascii="Arial" w:hAnsi="Arial" w:cs="Arial"/>
                <w:sz w:val="20"/>
              </w:rPr>
              <w:t>Accepted. Adalimumab treatment appears to be associated with a real but modest incremental clinical benefit over placebo.</w:t>
            </w:r>
            <w:r w:rsidR="00E77EAA" w:rsidRPr="0081702A">
              <w:rPr>
                <w:rFonts w:ascii="Arial" w:hAnsi="Arial" w:cs="Arial"/>
                <w:sz w:val="20"/>
              </w:rPr>
              <w:t xml:space="preserve"> With regards to comparative safety, adalimumab is marginally worse compared to placebo.</w:t>
            </w:r>
          </w:p>
          <w:p w:rsidR="00170906" w:rsidRPr="0081702A" w:rsidRDefault="00E77EAA" w:rsidP="00DB63C7">
            <w:pPr>
              <w:jc w:val="both"/>
              <w:rPr>
                <w:rFonts w:ascii="Arial" w:hAnsi="Arial" w:cs="Arial"/>
                <w:sz w:val="20"/>
              </w:rPr>
            </w:pPr>
            <w:r w:rsidRPr="0081702A">
              <w:rPr>
                <w:rFonts w:ascii="Arial" w:hAnsi="Arial" w:cs="Arial"/>
                <w:sz w:val="20"/>
              </w:rPr>
              <w:t xml:space="preserve"> </w:t>
            </w:r>
          </w:p>
          <w:p w:rsidR="00826000" w:rsidRPr="00826000" w:rsidRDefault="00826000" w:rsidP="00826000">
            <w:pPr>
              <w:jc w:val="both"/>
              <w:rPr>
                <w:rFonts w:ascii="Arial" w:hAnsi="Arial" w:cs="Arial"/>
                <w:sz w:val="20"/>
              </w:rPr>
            </w:pPr>
            <w:r w:rsidRPr="00826000">
              <w:rPr>
                <w:rFonts w:ascii="Arial" w:hAnsi="Arial" w:cs="Arial"/>
                <w:sz w:val="20"/>
              </w:rPr>
              <w:t>On the basis of the meta-analyses of the direct comparison of the ULTRA I and II evidence presented by the submission, for every 100 patients treated with adalimumab in comparison to placebo, at week 8:</w:t>
            </w:r>
          </w:p>
          <w:p w:rsidR="00826000" w:rsidRPr="00826000" w:rsidRDefault="00826000" w:rsidP="00826000">
            <w:pPr>
              <w:numPr>
                <w:ilvl w:val="0"/>
                <w:numId w:val="7"/>
              </w:numPr>
              <w:ind w:left="318" w:hanging="318"/>
              <w:jc w:val="both"/>
              <w:rPr>
                <w:rFonts w:ascii="Arial" w:hAnsi="Arial" w:cs="Arial"/>
                <w:sz w:val="20"/>
              </w:rPr>
            </w:pPr>
            <w:r w:rsidRPr="00826000">
              <w:rPr>
                <w:rFonts w:ascii="Arial" w:hAnsi="Arial" w:cs="Arial"/>
                <w:sz w:val="20"/>
              </w:rPr>
              <w:t>Approximately 8 additional patients would have clinical remission; and</w:t>
            </w:r>
          </w:p>
          <w:p w:rsidR="00826000" w:rsidRPr="00826000" w:rsidRDefault="00826000" w:rsidP="00826000">
            <w:pPr>
              <w:numPr>
                <w:ilvl w:val="0"/>
                <w:numId w:val="7"/>
              </w:numPr>
              <w:ind w:left="318" w:hanging="318"/>
              <w:jc w:val="both"/>
              <w:rPr>
                <w:rFonts w:ascii="Arial" w:hAnsi="Arial" w:cs="Arial"/>
                <w:sz w:val="20"/>
              </w:rPr>
            </w:pPr>
            <w:r w:rsidRPr="00826000">
              <w:rPr>
                <w:rFonts w:ascii="Arial" w:hAnsi="Arial" w:cs="Arial"/>
                <w:sz w:val="20"/>
              </w:rPr>
              <w:t xml:space="preserve">Approximately 14 additional patients would have clinical response. </w:t>
            </w:r>
          </w:p>
          <w:p w:rsidR="00826000" w:rsidRPr="00826000" w:rsidRDefault="00826000" w:rsidP="00826000">
            <w:pPr>
              <w:jc w:val="both"/>
              <w:rPr>
                <w:rFonts w:ascii="Arial" w:hAnsi="Arial" w:cs="Arial"/>
                <w:sz w:val="20"/>
              </w:rPr>
            </w:pPr>
          </w:p>
          <w:p w:rsidR="00826000" w:rsidRPr="00826000" w:rsidRDefault="00826000" w:rsidP="00826000">
            <w:pPr>
              <w:jc w:val="both"/>
              <w:rPr>
                <w:rFonts w:ascii="Arial" w:hAnsi="Arial" w:cs="Arial"/>
                <w:sz w:val="20"/>
              </w:rPr>
            </w:pPr>
            <w:r w:rsidRPr="00826000">
              <w:rPr>
                <w:rFonts w:ascii="Arial" w:hAnsi="Arial" w:cs="Arial"/>
                <w:sz w:val="20"/>
              </w:rPr>
              <w:t xml:space="preserve">On the basis of the ULTRA II evidence presented by the submission, for every 100 patients treated </w:t>
            </w:r>
            <w:r w:rsidRPr="00826000">
              <w:rPr>
                <w:rFonts w:ascii="Arial" w:hAnsi="Arial" w:cs="Arial"/>
                <w:sz w:val="20"/>
              </w:rPr>
              <w:lastRenderedPageBreak/>
              <w:t>with adalimumab in comparison to placebo, at week 52:</w:t>
            </w:r>
          </w:p>
          <w:p w:rsidR="00826000" w:rsidRPr="00826000" w:rsidRDefault="00826000" w:rsidP="00826000">
            <w:pPr>
              <w:numPr>
                <w:ilvl w:val="0"/>
                <w:numId w:val="8"/>
              </w:numPr>
              <w:ind w:left="318" w:hanging="284"/>
              <w:jc w:val="both"/>
              <w:rPr>
                <w:rFonts w:ascii="Arial" w:hAnsi="Arial" w:cs="Arial"/>
                <w:sz w:val="20"/>
              </w:rPr>
            </w:pPr>
            <w:r w:rsidRPr="00826000">
              <w:rPr>
                <w:rFonts w:ascii="Arial" w:hAnsi="Arial" w:cs="Arial"/>
                <w:sz w:val="20"/>
              </w:rPr>
              <w:t>Approximately 9 additional patients would have clinical remission;</w:t>
            </w:r>
          </w:p>
          <w:p w:rsidR="00826000" w:rsidRPr="00826000" w:rsidRDefault="00826000" w:rsidP="00826000">
            <w:pPr>
              <w:numPr>
                <w:ilvl w:val="0"/>
                <w:numId w:val="8"/>
              </w:numPr>
              <w:ind w:left="318" w:hanging="284"/>
              <w:jc w:val="both"/>
              <w:rPr>
                <w:rFonts w:ascii="Arial" w:hAnsi="Arial" w:cs="Arial"/>
                <w:sz w:val="20"/>
              </w:rPr>
            </w:pPr>
            <w:r w:rsidRPr="00826000">
              <w:rPr>
                <w:rFonts w:ascii="Arial" w:hAnsi="Arial" w:cs="Arial"/>
                <w:sz w:val="20"/>
              </w:rPr>
              <w:t>Approximately 12 additional patients would have clinical response;</w:t>
            </w:r>
          </w:p>
          <w:p w:rsidR="00826000" w:rsidRPr="00826000" w:rsidRDefault="00826000" w:rsidP="00826000">
            <w:pPr>
              <w:numPr>
                <w:ilvl w:val="0"/>
                <w:numId w:val="8"/>
              </w:numPr>
              <w:ind w:left="318" w:hanging="284"/>
              <w:jc w:val="both"/>
              <w:rPr>
                <w:rFonts w:ascii="Arial" w:hAnsi="Arial" w:cs="Arial"/>
                <w:sz w:val="20"/>
              </w:rPr>
            </w:pPr>
            <w:r w:rsidRPr="00826000">
              <w:rPr>
                <w:rFonts w:ascii="Arial" w:hAnsi="Arial" w:cs="Arial"/>
                <w:sz w:val="20"/>
              </w:rPr>
              <w:t>Approximately 2 additional patients would have had iron deficiency anaemia;</w:t>
            </w:r>
          </w:p>
          <w:p w:rsidR="00826000" w:rsidRPr="00826000" w:rsidRDefault="00826000" w:rsidP="00826000">
            <w:pPr>
              <w:numPr>
                <w:ilvl w:val="0"/>
                <w:numId w:val="8"/>
              </w:numPr>
              <w:ind w:left="318" w:hanging="284"/>
              <w:jc w:val="both"/>
              <w:rPr>
                <w:rFonts w:ascii="Arial" w:hAnsi="Arial" w:cs="Arial"/>
                <w:sz w:val="20"/>
              </w:rPr>
            </w:pPr>
            <w:r w:rsidRPr="00826000">
              <w:rPr>
                <w:rFonts w:ascii="Arial" w:hAnsi="Arial" w:cs="Arial"/>
                <w:sz w:val="20"/>
              </w:rPr>
              <w:t>Approximately 3 additional patients would have had gastroenteritis; and</w:t>
            </w:r>
          </w:p>
          <w:p w:rsidR="00826000" w:rsidRPr="00826000" w:rsidRDefault="00826000" w:rsidP="00E77EAA">
            <w:pPr>
              <w:numPr>
                <w:ilvl w:val="0"/>
                <w:numId w:val="9"/>
              </w:numPr>
              <w:ind w:left="318" w:hanging="284"/>
              <w:jc w:val="both"/>
              <w:rPr>
                <w:rFonts w:ascii="Arial" w:hAnsi="Arial" w:cs="Arial"/>
                <w:sz w:val="20"/>
              </w:rPr>
            </w:pPr>
            <w:r w:rsidRPr="00826000">
              <w:rPr>
                <w:rFonts w:ascii="Arial" w:hAnsi="Arial" w:cs="Arial"/>
                <w:sz w:val="20"/>
              </w:rPr>
              <w:t>Approximately 8 additional patients would have had nasopharyngitis.</w:t>
            </w:r>
          </w:p>
          <w:p w:rsidR="00826000" w:rsidRDefault="00826000" w:rsidP="00E77EAA">
            <w:pPr>
              <w:jc w:val="both"/>
              <w:rPr>
                <w:rFonts w:ascii="Arial" w:hAnsi="Arial" w:cs="Arial"/>
                <w:sz w:val="20"/>
              </w:rPr>
            </w:pPr>
          </w:p>
          <w:p w:rsidR="00826000" w:rsidRPr="0081702A" w:rsidRDefault="00046D30" w:rsidP="00EA02A3">
            <w:pPr>
              <w:jc w:val="both"/>
              <w:rPr>
                <w:rFonts w:ascii="Arial" w:hAnsi="Arial" w:cs="Arial"/>
                <w:sz w:val="20"/>
              </w:rPr>
            </w:pPr>
            <w:r w:rsidRPr="00046D30">
              <w:rPr>
                <w:rFonts w:ascii="Arial" w:hAnsi="Arial" w:cs="Arial"/>
                <w:sz w:val="20"/>
              </w:rPr>
              <w:t xml:space="preserve">In the re-submission’s supplementary comparison of adalimumab to infliximab, the PBAC observed that the indirect comparison of </w:t>
            </w:r>
            <w:proofErr w:type="spellStart"/>
            <w:r w:rsidRPr="00046D30">
              <w:rPr>
                <w:rFonts w:ascii="Arial" w:hAnsi="Arial" w:cs="Arial"/>
                <w:sz w:val="20"/>
              </w:rPr>
              <w:t>adalimumab</w:t>
            </w:r>
            <w:proofErr w:type="spellEnd"/>
            <w:r w:rsidRPr="00046D30">
              <w:rPr>
                <w:rFonts w:ascii="Arial" w:hAnsi="Arial" w:cs="Arial"/>
                <w:sz w:val="20"/>
              </w:rPr>
              <w:t xml:space="preserve"> to infliximab indicated a trend of inferior efficacy for adalimumab across all outcomes.  Although the indirect comparisons of the relative risks and odds ratios resulted in no statistically significant differences between the drugs, the credible intervals were large (e.g. for response at 8 weeks odds ratio 0.45; 95% Credible Interval: 0.11 to 1.74).  Therefore, the PBAC was concerned that </w:t>
            </w:r>
            <w:proofErr w:type="spellStart"/>
            <w:r w:rsidRPr="00046D30">
              <w:rPr>
                <w:rFonts w:ascii="Arial" w:hAnsi="Arial" w:cs="Arial"/>
                <w:sz w:val="20"/>
              </w:rPr>
              <w:t>adalimumab</w:t>
            </w:r>
            <w:proofErr w:type="spellEnd"/>
            <w:r w:rsidRPr="00046D30">
              <w:rPr>
                <w:rFonts w:ascii="Arial" w:hAnsi="Arial" w:cs="Arial"/>
                <w:sz w:val="20"/>
              </w:rPr>
              <w:t xml:space="preserve"> may be inferior to infliximab in the treatment of moderate to severe ulcerative colitis</w:t>
            </w:r>
            <w:r w:rsidR="00EA02A3">
              <w:rPr>
                <w:rFonts w:ascii="Arial" w:hAnsi="Arial" w:cs="Arial"/>
                <w:sz w:val="20"/>
              </w:rPr>
              <w:t xml:space="preserve"> </w:t>
            </w:r>
            <w:r w:rsidR="00EA02A3" w:rsidRPr="00EA02A3">
              <w:rPr>
                <w:rFonts w:ascii="Arial" w:hAnsi="Arial" w:cs="Arial"/>
                <w:sz w:val="20"/>
              </w:rPr>
              <w:t xml:space="preserve">despite considering </w:t>
            </w:r>
            <w:proofErr w:type="spellStart"/>
            <w:r w:rsidR="00EA02A3" w:rsidRPr="00EA02A3">
              <w:rPr>
                <w:rFonts w:ascii="Arial" w:hAnsi="Arial" w:cs="Arial"/>
                <w:sz w:val="20"/>
              </w:rPr>
              <w:t>adalimumab</w:t>
            </w:r>
            <w:proofErr w:type="spellEnd"/>
            <w:r w:rsidR="00EA02A3" w:rsidRPr="00EA02A3">
              <w:rPr>
                <w:rFonts w:ascii="Arial" w:hAnsi="Arial" w:cs="Arial"/>
                <w:sz w:val="20"/>
              </w:rPr>
              <w:t xml:space="preserve"> to have equivalent efficacy to infliximab in disease indications other than ulcerative colitis.</w:t>
            </w:r>
          </w:p>
        </w:tc>
      </w:tr>
      <w:tr w:rsidR="00AD3357" w:rsidRPr="00CA293C" w:rsidTr="00826000">
        <w:tblPrEx>
          <w:tblCellMar>
            <w:top w:w="0" w:type="dxa"/>
            <w:bottom w:w="0" w:type="dxa"/>
          </w:tblCellMar>
        </w:tblPrEx>
        <w:trPr>
          <w:trHeight w:val="433"/>
        </w:trPr>
        <w:tc>
          <w:tcPr>
            <w:tcW w:w="2127"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693" w:type="dxa"/>
          </w:tcPr>
          <w:p w:rsidR="00AD3357" w:rsidRPr="0081702A" w:rsidRDefault="00AD3357" w:rsidP="009F0ED6">
            <w:pPr>
              <w:pStyle w:val="ListBullet"/>
            </w:pPr>
            <w:r w:rsidRPr="0081702A">
              <w:t>Economic claim:</w:t>
            </w:r>
          </w:p>
          <w:p w:rsidR="00E77EAA" w:rsidRPr="0081702A" w:rsidRDefault="001810B2" w:rsidP="007C49CE">
            <w:pPr>
              <w:pStyle w:val="ListBullet"/>
            </w:pPr>
            <w:r w:rsidRPr="0081702A">
              <w:t xml:space="preserve">Cost-utility analysis </w:t>
            </w:r>
            <w:r w:rsidR="00E77EAA" w:rsidRPr="0081702A">
              <w:t>against</w:t>
            </w:r>
            <w:r w:rsidRPr="0081702A">
              <w:t xml:space="preserve"> best supportive care</w:t>
            </w:r>
            <w:r w:rsidR="00E77EAA" w:rsidRPr="0081702A">
              <w:t>.</w:t>
            </w:r>
            <w:r w:rsidR="007C49CE" w:rsidRPr="0081702A">
              <w:t xml:space="preserve"> </w:t>
            </w:r>
          </w:p>
        </w:tc>
        <w:tc>
          <w:tcPr>
            <w:tcW w:w="4678" w:type="dxa"/>
          </w:tcPr>
          <w:p w:rsidR="00AD3357" w:rsidRPr="0081702A" w:rsidRDefault="00AD3357" w:rsidP="00947987">
            <w:pPr>
              <w:rPr>
                <w:rFonts w:ascii="Arial" w:hAnsi="Arial" w:cs="Arial"/>
                <w:sz w:val="20"/>
              </w:rPr>
            </w:pPr>
          </w:p>
          <w:p w:rsidR="00170906" w:rsidRDefault="00170906" w:rsidP="001810B2">
            <w:pPr>
              <w:pStyle w:val="ListParagraph"/>
              <w:ind w:left="0"/>
              <w:jc w:val="both"/>
              <w:rPr>
                <w:rFonts w:ascii="Arial" w:hAnsi="Arial" w:cs="Arial"/>
                <w:sz w:val="20"/>
                <w:szCs w:val="20"/>
              </w:rPr>
            </w:pPr>
            <w:r w:rsidRPr="0081702A">
              <w:rPr>
                <w:rFonts w:ascii="Arial" w:hAnsi="Arial" w:cs="Arial"/>
                <w:sz w:val="20"/>
                <w:szCs w:val="20"/>
              </w:rPr>
              <w:t xml:space="preserve">Not accepted. The PBAC noted that the estimated ICER in the re-submission was highly sensitive to the health state values applied in the model, the source of the health state costs used and the estimate of the efficacy of adalimumab beyond trial duration. The true ICER realised in practice is likely to be significantly greater than claimed in the </w:t>
            </w:r>
            <w:r w:rsidRPr="0081702A">
              <w:rPr>
                <w:rFonts w:ascii="Arial" w:hAnsi="Arial" w:cs="Arial"/>
                <w:sz w:val="20"/>
                <w:szCs w:val="20"/>
              </w:rPr>
              <w:lastRenderedPageBreak/>
              <w:t>re-submission.</w:t>
            </w:r>
          </w:p>
          <w:p w:rsidR="00046D30" w:rsidRDefault="00046D30" w:rsidP="001810B2">
            <w:pPr>
              <w:pStyle w:val="ListParagraph"/>
              <w:ind w:left="0"/>
              <w:jc w:val="both"/>
              <w:rPr>
                <w:rFonts w:ascii="Arial" w:hAnsi="Arial" w:cs="Arial"/>
                <w:sz w:val="20"/>
                <w:szCs w:val="20"/>
              </w:rPr>
            </w:pPr>
          </w:p>
          <w:p w:rsidR="00046D30" w:rsidRPr="0081702A" w:rsidRDefault="00046D30" w:rsidP="001810B2">
            <w:pPr>
              <w:pStyle w:val="ListParagraph"/>
              <w:ind w:left="0"/>
              <w:jc w:val="both"/>
              <w:rPr>
                <w:rFonts w:ascii="Arial" w:hAnsi="Arial" w:cs="Arial"/>
                <w:sz w:val="20"/>
                <w:szCs w:val="20"/>
              </w:rPr>
            </w:pPr>
            <w:r w:rsidRPr="00046D30">
              <w:rPr>
                <w:rFonts w:ascii="Arial" w:hAnsi="Arial" w:cs="Arial"/>
                <w:sz w:val="20"/>
                <w:szCs w:val="20"/>
              </w:rPr>
              <w:t>The PBAC noted the sponsor’s willingness to accept listing on a cost-minimisation basis against infliximab in its pre-PBAC response. As the PBAC was yet to accept a clinical claim of non-inferiority to infliximab, the PBAC was not prepared to recommend listing on a cost-minimisation basis against infliximab at this stage.</w:t>
            </w:r>
          </w:p>
          <w:p w:rsidR="004C0A09" w:rsidRPr="0081702A" w:rsidRDefault="004C0A09" w:rsidP="00046D30">
            <w:pPr>
              <w:pStyle w:val="ListParagraph"/>
              <w:ind w:left="0"/>
              <w:jc w:val="both"/>
              <w:rPr>
                <w:rFonts w:ascii="Arial" w:hAnsi="Arial" w:cs="Arial"/>
                <w:sz w:val="20"/>
              </w:rPr>
            </w:pPr>
          </w:p>
        </w:tc>
      </w:tr>
      <w:tr w:rsidR="00AD3357" w:rsidRPr="00CA293C" w:rsidTr="00826000">
        <w:tblPrEx>
          <w:tblCellMar>
            <w:top w:w="0" w:type="dxa"/>
            <w:bottom w:w="0" w:type="dxa"/>
          </w:tblCellMar>
        </w:tblPrEx>
        <w:trPr>
          <w:trHeight w:val="433"/>
        </w:trPr>
        <w:tc>
          <w:tcPr>
            <w:tcW w:w="2127"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126" w:type="dxa"/>
            <w:vMerge/>
          </w:tcPr>
          <w:p w:rsidR="00AD3357" w:rsidRPr="0081702A" w:rsidRDefault="00AD3357" w:rsidP="00947987">
            <w:pPr>
              <w:rPr>
                <w:rFonts w:ascii="Arial" w:hAnsi="Arial" w:cs="Arial"/>
                <w:sz w:val="20"/>
              </w:rPr>
            </w:pPr>
          </w:p>
        </w:tc>
        <w:tc>
          <w:tcPr>
            <w:tcW w:w="2693" w:type="dxa"/>
          </w:tcPr>
          <w:p w:rsidR="00AD3357" w:rsidRPr="0081702A" w:rsidRDefault="00AD3357" w:rsidP="009F0ED6">
            <w:pPr>
              <w:pStyle w:val="ListBullet"/>
            </w:pPr>
          </w:p>
          <w:p w:rsidR="00AD3357" w:rsidRPr="0081702A" w:rsidRDefault="00AD3357" w:rsidP="009F0ED6">
            <w:pPr>
              <w:pStyle w:val="ListBullet"/>
            </w:pPr>
            <w:r w:rsidRPr="0081702A">
              <w:t>Sponsor’s comments:</w:t>
            </w:r>
          </w:p>
          <w:p w:rsidR="00AD3357" w:rsidRPr="0081702A" w:rsidRDefault="00AD3357" w:rsidP="009F0ED6">
            <w:pPr>
              <w:pStyle w:val="ListBullet"/>
            </w:pPr>
          </w:p>
        </w:tc>
        <w:tc>
          <w:tcPr>
            <w:tcW w:w="4678" w:type="dxa"/>
          </w:tcPr>
          <w:p w:rsidR="00524927" w:rsidRPr="009F5E7E" w:rsidRDefault="009F5E7E" w:rsidP="00947987">
            <w:pPr>
              <w:rPr>
                <w:rFonts w:ascii="Arial" w:hAnsi="Arial" w:cs="Arial"/>
                <w:sz w:val="16"/>
              </w:rPr>
            </w:pPr>
            <w:r w:rsidRPr="009F5E7E">
              <w:rPr>
                <w:rFonts w:ascii="Arial" w:hAnsi="Arial" w:cs="Arial"/>
                <w:color w:val="000000"/>
                <w:sz w:val="20"/>
                <w:szCs w:val="24"/>
              </w:rPr>
              <w:t xml:space="preserve">The </w:t>
            </w:r>
            <w:r w:rsidR="006F3F91">
              <w:rPr>
                <w:rFonts w:ascii="Arial" w:hAnsi="Arial" w:cs="Arial"/>
                <w:color w:val="000000"/>
                <w:sz w:val="20"/>
                <w:szCs w:val="24"/>
              </w:rPr>
              <w:t>s</w:t>
            </w:r>
            <w:r w:rsidRPr="009F5E7E">
              <w:rPr>
                <w:rFonts w:ascii="Arial" w:hAnsi="Arial" w:cs="Arial"/>
                <w:color w:val="000000"/>
                <w:sz w:val="20"/>
                <w:szCs w:val="24"/>
              </w:rPr>
              <w:t xml:space="preserve">ponsor will be considering its position regarding any future course of action. </w:t>
            </w:r>
          </w:p>
          <w:p w:rsidR="00524927" w:rsidRPr="0081702A" w:rsidRDefault="00524927" w:rsidP="00947987">
            <w:pPr>
              <w:rPr>
                <w:rFonts w:ascii="Arial" w:hAnsi="Arial" w:cs="Arial"/>
                <w:sz w:val="20"/>
              </w:rPr>
            </w:pPr>
          </w:p>
        </w:tc>
      </w:tr>
      <w:tr w:rsidR="00533EC6" w:rsidRPr="00CA293C" w:rsidTr="00826000">
        <w:tblPrEx>
          <w:tblCellMar>
            <w:top w:w="0" w:type="dxa"/>
            <w:bottom w:w="0" w:type="dxa"/>
          </w:tblCellMar>
        </w:tblPrEx>
        <w:trPr>
          <w:trHeight w:val="816"/>
        </w:trPr>
        <w:tc>
          <w:tcPr>
            <w:tcW w:w="2127" w:type="dxa"/>
            <w:vMerge w:val="restart"/>
          </w:tcPr>
          <w:p w:rsidR="00533EC6" w:rsidRPr="0081702A"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r w:rsidRPr="0081702A">
              <w:rPr>
                <w:rFonts w:ascii="Arial" w:hAnsi="Arial" w:cs="Arial"/>
                <w:color w:val="000000"/>
                <w:sz w:val="20"/>
                <w:szCs w:val="20"/>
              </w:rPr>
              <w:t>MULTICOMPONENT MENINGOCOCCAL GROUP B VACCINE (4CMENB), 0.5 mL suspension for injection pre-filled syringe, Bexsero®</w:t>
            </w:r>
          </w:p>
          <w:p w:rsidR="00533EC6"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r w:rsidRPr="0081702A">
              <w:rPr>
                <w:rFonts w:ascii="Arial" w:hAnsi="Arial" w:cs="Arial"/>
                <w:color w:val="000000"/>
                <w:sz w:val="20"/>
                <w:szCs w:val="20"/>
              </w:rPr>
              <w:t>Novartis Vaccines and Diagnostics Pty Ltd</w:t>
            </w:r>
          </w:p>
          <w:p w:rsidR="0081702A" w:rsidRPr="0081702A" w:rsidRDefault="0081702A" w:rsidP="00533EC6">
            <w:pPr>
              <w:pStyle w:val="NormalWeb"/>
              <w:spacing w:before="240" w:beforeAutospacing="0" w:after="240" w:afterAutospacing="0" w:line="270" w:lineRule="atLeast"/>
              <w:textAlignment w:val="baseline"/>
              <w:rPr>
                <w:rFonts w:ascii="Arial" w:hAnsi="Arial" w:cs="Arial"/>
                <w:color w:val="000000"/>
                <w:sz w:val="20"/>
                <w:szCs w:val="20"/>
              </w:rPr>
            </w:pPr>
            <w:r>
              <w:rPr>
                <w:rFonts w:ascii="Arial" w:hAnsi="Arial" w:cs="Arial"/>
                <w:color w:val="000000"/>
                <w:sz w:val="20"/>
                <w:szCs w:val="20"/>
              </w:rPr>
              <w:t>New listing</w:t>
            </w:r>
          </w:p>
          <w:p w:rsidR="00533EC6" w:rsidRPr="0081702A" w:rsidRDefault="00533EC6" w:rsidP="00533EC6">
            <w:pPr>
              <w:rPr>
                <w:rFonts w:ascii="Arial" w:hAnsi="Arial" w:cs="Arial"/>
                <w:sz w:val="20"/>
              </w:rPr>
            </w:pPr>
          </w:p>
          <w:p w:rsidR="00533EC6" w:rsidRPr="0081702A" w:rsidRDefault="0081702A" w:rsidP="00533EC6">
            <w:pPr>
              <w:rPr>
                <w:rFonts w:ascii="Arial" w:hAnsi="Arial" w:cs="Arial"/>
                <w:sz w:val="20"/>
              </w:rPr>
            </w:pPr>
            <w:r>
              <w:rPr>
                <w:rFonts w:ascii="Arial" w:hAnsi="Arial" w:cs="Arial"/>
                <w:sz w:val="20"/>
              </w:rPr>
              <w:t>(</w:t>
            </w:r>
            <w:r w:rsidR="00533EC6" w:rsidRPr="0081702A">
              <w:rPr>
                <w:rFonts w:ascii="Arial" w:hAnsi="Arial" w:cs="Arial"/>
                <w:sz w:val="20"/>
              </w:rPr>
              <w:t>Major submission</w:t>
            </w:r>
            <w:r>
              <w:rPr>
                <w:rFonts w:ascii="Arial" w:hAnsi="Arial" w:cs="Arial"/>
                <w:sz w:val="20"/>
              </w:rPr>
              <w:t>)</w:t>
            </w:r>
          </w:p>
          <w:p w:rsidR="00533EC6" w:rsidRPr="0081702A" w:rsidRDefault="00533EC6" w:rsidP="00947987">
            <w:pPr>
              <w:rPr>
                <w:rFonts w:ascii="Arial" w:hAnsi="Arial" w:cs="Arial"/>
                <w:sz w:val="20"/>
              </w:rPr>
            </w:pPr>
          </w:p>
        </w:tc>
        <w:tc>
          <w:tcPr>
            <w:tcW w:w="2126" w:type="dxa"/>
            <w:vMerge w:val="restart"/>
          </w:tcPr>
          <w:p w:rsidR="00EE5442" w:rsidRPr="0081702A" w:rsidRDefault="00EE5442" w:rsidP="00EE5442">
            <w:pPr>
              <w:pStyle w:val="ListParagraph"/>
              <w:ind w:left="0"/>
              <w:jc w:val="both"/>
              <w:rPr>
                <w:rFonts w:ascii="Arial" w:hAnsi="Arial" w:cs="Arial"/>
                <w:sz w:val="20"/>
                <w:szCs w:val="20"/>
              </w:rPr>
            </w:pPr>
            <w:r w:rsidRPr="0081702A">
              <w:rPr>
                <w:rFonts w:ascii="Arial" w:hAnsi="Arial" w:cs="Arial"/>
                <w:sz w:val="20"/>
                <w:szCs w:val="20"/>
              </w:rPr>
              <w:t xml:space="preserve">Active immunisation against invasive disease caused by </w:t>
            </w:r>
            <w:r w:rsidRPr="0081702A">
              <w:rPr>
                <w:rFonts w:ascii="Arial" w:hAnsi="Arial" w:cs="Arial"/>
                <w:i/>
                <w:sz w:val="20"/>
                <w:szCs w:val="20"/>
              </w:rPr>
              <w:t>Neisseria meningitidis</w:t>
            </w:r>
            <w:r w:rsidRPr="0081702A">
              <w:rPr>
                <w:rFonts w:ascii="Arial" w:hAnsi="Arial" w:cs="Arial"/>
                <w:sz w:val="20"/>
                <w:szCs w:val="20"/>
              </w:rPr>
              <w:t xml:space="preserve"> group B strains.</w:t>
            </w:r>
            <w:r w:rsidRPr="0081702A">
              <w:rPr>
                <w:rFonts w:ascii="Arial" w:hAnsi="Arial" w:cs="Arial"/>
                <w:color w:val="FF0000"/>
                <w:sz w:val="20"/>
                <w:szCs w:val="20"/>
              </w:rPr>
              <w:t xml:space="preserve"> </w:t>
            </w:r>
          </w:p>
          <w:p w:rsidR="00533EC6" w:rsidRPr="0081702A" w:rsidRDefault="00533EC6" w:rsidP="00947987">
            <w:pPr>
              <w:rPr>
                <w:rFonts w:ascii="Arial" w:hAnsi="Arial" w:cs="Arial"/>
                <w:sz w:val="20"/>
              </w:rPr>
            </w:pPr>
          </w:p>
        </w:tc>
        <w:tc>
          <w:tcPr>
            <w:tcW w:w="2126" w:type="dxa"/>
            <w:vMerge w:val="restart"/>
          </w:tcPr>
          <w:p w:rsidR="00533EC6" w:rsidRPr="0081702A" w:rsidRDefault="00EE5442" w:rsidP="00947987">
            <w:pPr>
              <w:rPr>
                <w:rFonts w:ascii="Arial" w:hAnsi="Arial" w:cs="Arial"/>
                <w:sz w:val="20"/>
              </w:rPr>
            </w:pPr>
            <w:r w:rsidRPr="0081702A">
              <w:rPr>
                <w:rFonts w:ascii="Arial" w:hAnsi="Arial" w:cs="Arial"/>
                <w:sz w:val="20"/>
              </w:rPr>
              <w:t>This vaccine is not listed on the National Immunisation program</w:t>
            </w:r>
            <w:r w:rsidR="00A74BD3" w:rsidRPr="0081702A">
              <w:rPr>
                <w:rFonts w:ascii="Arial" w:hAnsi="Arial" w:cs="Arial"/>
                <w:sz w:val="20"/>
              </w:rPr>
              <w:t xml:space="preserve">  (NIP)</w:t>
            </w:r>
            <w:r w:rsidRPr="0081702A">
              <w:rPr>
                <w:rFonts w:ascii="Arial" w:hAnsi="Arial" w:cs="Arial"/>
                <w:sz w:val="20"/>
              </w:rPr>
              <w:t xml:space="preserve">  or the PBS</w:t>
            </w:r>
          </w:p>
        </w:tc>
        <w:tc>
          <w:tcPr>
            <w:tcW w:w="2693" w:type="dxa"/>
          </w:tcPr>
          <w:p w:rsidR="00533EC6" w:rsidRPr="0081702A" w:rsidRDefault="0010394D" w:rsidP="009F0ED6">
            <w:pPr>
              <w:pStyle w:val="ListBullet"/>
            </w:pPr>
            <w:r w:rsidRPr="0081702A">
              <w:t>I</w:t>
            </w:r>
            <w:r w:rsidR="00533EC6" w:rsidRPr="0081702A">
              <w:t>nclusion on the National Immunisation program for the prevention of meningococcal B disease in infants and adolescents.</w:t>
            </w:r>
          </w:p>
        </w:tc>
        <w:tc>
          <w:tcPr>
            <w:tcW w:w="4678" w:type="dxa"/>
          </w:tcPr>
          <w:p w:rsidR="00063F01" w:rsidRPr="0081702A" w:rsidRDefault="00063F01" w:rsidP="00063F01">
            <w:pPr>
              <w:jc w:val="both"/>
              <w:rPr>
                <w:rFonts w:ascii="Arial" w:hAnsi="Arial" w:cs="Arial"/>
                <w:sz w:val="20"/>
              </w:rPr>
            </w:pPr>
            <w:r w:rsidRPr="0081702A">
              <w:rPr>
                <w:rFonts w:ascii="Arial" w:hAnsi="Arial" w:cs="Arial"/>
                <w:sz w:val="20"/>
              </w:rPr>
              <w:t>The PBAC rejected the resubmission requesting listing of the 4CMenB vaccine on the National Immunisation Program</w:t>
            </w:r>
            <w:r w:rsidR="00A74BD3" w:rsidRPr="0081702A">
              <w:rPr>
                <w:rFonts w:ascii="Arial" w:hAnsi="Arial" w:cs="Arial"/>
                <w:sz w:val="20"/>
              </w:rPr>
              <w:t xml:space="preserve"> (NIP)</w:t>
            </w:r>
            <w:r w:rsidRPr="0081702A">
              <w:rPr>
                <w:rFonts w:ascii="Arial" w:hAnsi="Arial" w:cs="Arial"/>
                <w:sz w:val="20"/>
              </w:rPr>
              <w:t xml:space="preserve"> Schedule for the prevention of meningococcal B disease in infants and adolescents. The resubmission was rejected on the basis of a limited demonstration of, and multiple uncertainties in relation to, the clinical effectiveness of the vaccine against the disease when delivered in a vaccination program, as well as an unacceptably high and uncertain ICER, including when based on optimistic assumptions about the extent and duration of effect and herd immunity. The submission proposed a managed entry scheme (MES) comprising of studies to address the clinical uncertainties. The PBAC considered that, although important, the proposed MES was a secondary issue which only warranted further consideration if a price commensurate with an acceptable ICER is proposed to enable a recommendation to list on the NIP in the first place.</w:t>
            </w:r>
          </w:p>
          <w:p w:rsidR="00533EC6" w:rsidRPr="0081702A" w:rsidRDefault="00533EC6" w:rsidP="00947987">
            <w:pPr>
              <w:rPr>
                <w:rFonts w:ascii="Arial" w:hAnsi="Arial" w:cs="Arial"/>
                <w:sz w:val="20"/>
              </w:rPr>
            </w:pPr>
          </w:p>
        </w:tc>
      </w:tr>
      <w:tr w:rsidR="00533EC6" w:rsidRPr="00CA293C" w:rsidTr="00826000">
        <w:tblPrEx>
          <w:tblCellMar>
            <w:top w:w="0" w:type="dxa"/>
            <w:bottom w:w="0" w:type="dxa"/>
          </w:tblCellMar>
        </w:tblPrEx>
        <w:trPr>
          <w:trHeight w:val="816"/>
        </w:trPr>
        <w:tc>
          <w:tcPr>
            <w:tcW w:w="2127" w:type="dxa"/>
            <w:vMerge/>
          </w:tcPr>
          <w:p w:rsidR="00533EC6" w:rsidRPr="0081702A"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533EC6" w:rsidRPr="0081702A" w:rsidRDefault="00533EC6" w:rsidP="00947987">
            <w:pPr>
              <w:rPr>
                <w:rFonts w:ascii="Arial" w:hAnsi="Arial" w:cs="Arial"/>
                <w:sz w:val="20"/>
              </w:rPr>
            </w:pPr>
          </w:p>
        </w:tc>
        <w:tc>
          <w:tcPr>
            <w:tcW w:w="2126" w:type="dxa"/>
            <w:vMerge/>
          </w:tcPr>
          <w:p w:rsidR="00533EC6" w:rsidRPr="0081702A" w:rsidRDefault="00533EC6" w:rsidP="00947987">
            <w:pPr>
              <w:rPr>
                <w:rFonts w:ascii="Arial" w:hAnsi="Arial" w:cs="Arial"/>
                <w:sz w:val="20"/>
              </w:rPr>
            </w:pPr>
          </w:p>
        </w:tc>
        <w:tc>
          <w:tcPr>
            <w:tcW w:w="2693" w:type="dxa"/>
          </w:tcPr>
          <w:p w:rsidR="00826000" w:rsidRDefault="00533EC6" w:rsidP="00583A1F">
            <w:pPr>
              <w:pStyle w:val="ListBullet"/>
            </w:pPr>
            <w:r w:rsidRPr="0081702A">
              <w:t xml:space="preserve">Comparator:  </w:t>
            </w:r>
          </w:p>
          <w:p w:rsidR="00533EC6" w:rsidRPr="0081702A" w:rsidRDefault="00826000" w:rsidP="00583A1F">
            <w:pPr>
              <w:pStyle w:val="ListBullet"/>
            </w:pPr>
            <w:r>
              <w:t>N</w:t>
            </w:r>
            <w:r w:rsidR="00063F01" w:rsidRPr="0081702A">
              <w:t xml:space="preserve">o vaccination. </w:t>
            </w:r>
          </w:p>
        </w:tc>
        <w:tc>
          <w:tcPr>
            <w:tcW w:w="4678" w:type="dxa"/>
          </w:tcPr>
          <w:p w:rsidR="00533EC6" w:rsidRDefault="00583A1F" w:rsidP="00826000">
            <w:pPr>
              <w:jc w:val="both"/>
              <w:rPr>
                <w:rFonts w:ascii="Arial" w:hAnsi="Arial" w:cs="Arial"/>
                <w:sz w:val="20"/>
              </w:rPr>
            </w:pPr>
            <w:r w:rsidRPr="0081702A">
              <w:rPr>
                <w:rFonts w:ascii="Arial" w:hAnsi="Arial" w:cs="Arial"/>
                <w:sz w:val="20"/>
              </w:rPr>
              <w:t xml:space="preserve">Accepted: </w:t>
            </w:r>
            <w:r w:rsidR="00063F01" w:rsidRPr="0081702A">
              <w:rPr>
                <w:rFonts w:ascii="Arial" w:hAnsi="Arial" w:cs="Arial"/>
                <w:sz w:val="20"/>
              </w:rPr>
              <w:t>The PBAC agreed that the nominated comparator was appropriate, given that no vaccine against meningococcal B infection is currently available.</w:t>
            </w:r>
          </w:p>
          <w:p w:rsidR="00826000" w:rsidRPr="0081702A" w:rsidRDefault="00826000" w:rsidP="00826000">
            <w:pPr>
              <w:jc w:val="both"/>
              <w:rPr>
                <w:rFonts w:ascii="Arial" w:hAnsi="Arial" w:cs="Arial"/>
                <w:sz w:val="20"/>
              </w:rPr>
            </w:pPr>
          </w:p>
        </w:tc>
      </w:tr>
      <w:tr w:rsidR="00533EC6" w:rsidRPr="00CA293C" w:rsidTr="00826000">
        <w:tblPrEx>
          <w:tblCellMar>
            <w:top w:w="0" w:type="dxa"/>
            <w:bottom w:w="0" w:type="dxa"/>
          </w:tblCellMar>
        </w:tblPrEx>
        <w:trPr>
          <w:trHeight w:val="816"/>
        </w:trPr>
        <w:tc>
          <w:tcPr>
            <w:tcW w:w="2127" w:type="dxa"/>
            <w:vMerge/>
          </w:tcPr>
          <w:p w:rsidR="00533EC6" w:rsidRPr="0081702A"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533EC6" w:rsidRPr="0081702A" w:rsidRDefault="00533EC6" w:rsidP="00947987">
            <w:pPr>
              <w:rPr>
                <w:rFonts w:ascii="Arial" w:hAnsi="Arial" w:cs="Arial"/>
                <w:sz w:val="20"/>
              </w:rPr>
            </w:pPr>
          </w:p>
        </w:tc>
        <w:tc>
          <w:tcPr>
            <w:tcW w:w="2126" w:type="dxa"/>
            <w:vMerge/>
          </w:tcPr>
          <w:p w:rsidR="00533EC6" w:rsidRPr="0081702A" w:rsidRDefault="00533EC6" w:rsidP="00947987">
            <w:pPr>
              <w:rPr>
                <w:rFonts w:ascii="Arial" w:hAnsi="Arial" w:cs="Arial"/>
                <w:sz w:val="20"/>
              </w:rPr>
            </w:pPr>
          </w:p>
        </w:tc>
        <w:tc>
          <w:tcPr>
            <w:tcW w:w="2693" w:type="dxa"/>
          </w:tcPr>
          <w:p w:rsidR="00826000" w:rsidRDefault="00533EC6" w:rsidP="006378CF">
            <w:pPr>
              <w:pStyle w:val="ListBullet"/>
            </w:pPr>
            <w:r w:rsidRPr="0081702A">
              <w:t xml:space="preserve">Clinical claim:  </w:t>
            </w:r>
          </w:p>
          <w:p w:rsidR="00533EC6" w:rsidRPr="0081702A" w:rsidRDefault="00063F01" w:rsidP="00826000">
            <w:pPr>
              <w:pStyle w:val="ListBullet"/>
            </w:pPr>
            <w:r w:rsidRPr="0081702A">
              <w:t xml:space="preserve">The resubmission described 4CMenB as superior in terms of comparative effectiveness, with an acceptable tolerability profile in infants and adolescents. </w:t>
            </w:r>
          </w:p>
          <w:p w:rsidR="00533EC6" w:rsidRPr="0081702A" w:rsidRDefault="00533EC6" w:rsidP="006378CF">
            <w:pPr>
              <w:pStyle w:val="ListBullet"/>
            </w:pPr>
          </w:p>
        </w:tc>
        <w:tc>
          <w:tcPr>
            <w:tcW w:w="4678" w:type="dxa"/>
          </w:tcPr>
          <w:p w:rsidR="00063F01" w:rsidRDefault="00583A1F" w:rsidP="00826000">
            <w:pPr>
              <w:jc w:val="both"/>
              <w:rPr>
                <w:rFonts w:ascii="Arial" w:hAnsi="Arial" w:cs="Arial"/>
                <w:sz w:val="20"/>
              </w:rPr>
            </w:pPr>
            <w:r w:rsidRPr="0081702A">
              <w:rPr>
                <w:rFonts w:ascii="Arial" w:hAnsi="Arial" w:cs="Arial"/>
                <w:sz w:val="20"/>
              </w:rPr>
              <w:t xml:space="preserve">Not accepted: </w:t>
            </w:r>
            <w:r w:rsidR="00A74BD3" w:rsidRPr="0081702A">
              <w:rPr>
                <w:rFonts w:ascii="Arial" w:hAnsi="Arial" w:cs="Arial"/>
                <w:sz w:val="20"/>
              </w:rPr>
              <w:t>The PBAC noted that no direct evidence was presented regarding vaccine efficacy against infection and disease. The PBAC acknowledged the limitations in conducting randomised controlled trials measuring clinical outcomes for this vaccine due to the nature of the disease and the low number of total cases in Australia; however this lack of directly relevant data leads to multiple uncertainties in relation to the magnitude of clinical effectiveness against the disease.</w:t>
            </w:r>
          </w:p>
          <w:p w:rsidR="00826000" w:rsidRPr="0081702A" w:rsidRDefault="00826000" w:rsidP="00826000">
            <w:pPr>
              <w:jc w:val="both"/>
              <w:rPr>
                <w:rFonts w:ascii="Arial" w:hAnsi="Arial" w:cs="Arial"/>
                <w:sz w:val="20"/>
              </w:rPr>
            </w:pPr>
          </w:p>
          <w:p w:rsidR="00A74BD3" w:rsidRDefault="00A74BD3" w:rsidP="00826000">
            <w:pPr>
              <w:jc w:val="both"/>
              <w:rPr>
                <w:rFonts w:ascii="Arial" w:hAnsi="Arial" w:cs="Arial"/>
                <w:sz w:val="20"/>
              </w:rPr>
            </w:pPr>
            <w:r w:rsidRPr="0081702A">
              <w:rPr>
                <w:rFonts w:ascii="Arial" w:hAnsi="Arial" w:cs="Arial"/>
                <w:sz w:val="20"/>
              </w:rPr>
              <w:t xml:space="preserve">The PBAC reaffirmed its November 2013 conclusion that the vaccine is effective in inducing antibodies against the component antigens of 4CMenB. However, in the context of a population-based intervention against </w:t>
            </w:r>
            <w:r w:rsidR="00446F57">
              <w:rPr>
                <w:rFonts w:ascii="Arial" w:hAnsi="Arial" w:cs="Arial"/>
                <w:sz w:val="20"/>
              </w:rPr>
              <w:t>invasive meningococcal B disease (</w:t>
            </w:r>
            <w:r w:rsidRPr="0081702A">
              <w:rPr>
                <w:rFonts w:ascii="Arial" w:hAnsi="Arial" w:cs="Arial"/>
                <w:sz w:val="20"/>
              </w:rPr>
              <w:t>IMD</w:t>
            </w:r>
            <w:r w:rsidR="00446F57">
              <w:rPr>
                <w:rFonts w:ascii="Arial" w:hAnsi="Arial" w:cs="Arial"/>
                <w:sz w:val="20"/>
              </w:rPr>
              <w:t>)</w:t>
            </w:r>
            <w:r w:rsidRPr="0081702A">
              <w:rPr>
                <w:rFonts w:ascii="Arial" w:hAnsi="Arial" w:cs="Arial"/>
                <w:sz w:val="20"/>
              </w:rPr>
              <w:t>, the Committee considered the clinical claim was highly uncertain because of the likely short persistence of the antibody response, uncertainty about the correlation between antibody responses and protection, the unknown effect on carriage of the bacteria, the overall uncertain long-term protective efficacy against infection and disease, and the unknown influence of projected herd immunity effects on overall disease burden.</w:t>
            </w:r>
          </w:p>
          <w:p w:rsidR="00826000" w:rsidRPr="0081702A" w:rsidRDefault="00826000" w:rsidP="00826000">
            <w:pPr>
              <w:jc w:val="both"/>
              <w:rPr>
                <w:rFonts w:ascii="Arial" w:hAnsi="Arial" w:cs="Arial"/>
                <w:sz w:val="20"/>
              </w:rPr>
            </w:pPr>
          </w:p>
          <w:p w:rsidR="00A74BD3" w:rsidRDefault="00A74BD3" w:rsidP="00826000">
            <w:pPr>
              <w:jc w:val="both"/>
              <w:rPr>
                <w:rFonts w:ascii="Arial" w:hAnsi="Arial" w:cs="Arial"/>
                <w:sz w:val="20"/>
              </w:rPr>
            </w:pPr>
            <w:r w:rsidRPr="0081702A">
              <w:rPr>
                <w:rFonts w:ascii="Arial" w:hAnsi="Arial" w:cs="Arial"/>
                <w:sz w:val="20"/>
              </w:rPr>
              <w:t xml:space="preserve">The PBAC reaffirmed its November 2013 conclusion that the rates of fever in infant participants of the trials receiving the vaccine would indicate that prophylactic paracetamol </w:t>
            </w:r>
            <w:r w:rsidRPr="0081702A">
              <w:rPr>
                <w:rFonts w:ascii="Arial" w:hAnsi="Arial" w:cs="Arial"/>
                <w:sz w:val="20"/>
              </w:rPr>
              <w:lastRenderedPageBreak/>
              <w:t xml:space="preserve">would be appropriate so that the local transient reactogenicity of 4CMenB would not be different to routine vaccination. However, the PBAC also noted that the impact of, and compliance with, this recommendation is unknown, and that a wider loss of confidence in the </w:t>
            </w:r>
            <w:r w:rsidR="00735D52" w:rsidRPr="0081702A">
              <w:rPr>
                <w:rFonts w:ascii="Arial" w:hAnsi="Arial" w:cs="Arial"/>
                <w:sz w:val="20"/>
              </w:rPr>
              <w:t>NIP</w:t>
            </w:r>
            <w:r w:rsidRPr="0081702A">
              <w:rPr>
                <w:rFonts w:ascii="Arial" w:hAnsi="Arial" w:cs="Arial"/>
                <w:sz w:val="20"/>
              </w:rPr>
              <w:t xml:space="preserve"> may arise from concerns about increased rates of fever and convulsions. As suggested by ESC, the PBAC also noted that safety in adolescents appears acceptable.</w:t>
            </w:r>
          </w:p>
          <w:p w:rsidR="00826000" w:rsidRDefault="00826000" w:rsidP="00826000">
            <w:pPr>
              <w:jc w:val="both"/>
              <w:rPr>
                <w:rFonts w:ascii="Arial" w:hAnsi="Arial" w:cs="Arial"/>
                <w:sz w:val="20"/>
              </w:rPr>
            </w:pPr>
          </w:p>
          <w:p w:rsidR="00826000" w:rsidRPr="00826000" w:rsidRDefault="00826000" w:rsidP="00826000">
            <w:pPr>
              <w:jc w:val="both"/>
              <w:rPr>
                <w:rFonts w:ascii="Arial" w:hAnsi="Arial" w:cs="Arial"/>
                <w:sz w:val="20"/>
              </w:rPr>
            </w:pPr>
            <w:r w:rsidRPr="00826000">
              <w:rPr>
                <w:rFonts w:ascii="Arial" w:hAnsi="Arial" w:cs="Arial"/>
                <w:sz w:val="20"/>
              </w:rPr>
              <w:t>The PBAC noted that, on the basis of the results of the dynamic infectious disease model presented in the resubmission to translate serologic response reported in the trials:</w:t>
            </w:r>
          </w:p>
          <w:p w:rsidR="00826000" w:rsidRPr="00826000" w:rsidRDefault="00826000" w:rsidP="00826000">
            <w:pPr>
              <w:numPr>
                <w:ilvl w:val="0"/>
                <w:numId w:val="10"/>
              </w:numPr>
              <w:ind w:left="176" w:hanging="142"/>
              <w:jc w:val="both"/>
              <w:rPr>
                <w:rFonts w:ascii="Arial" w:hAnsi="Arial" w:cs="Arial"/>
                <w:sz w:val="20"/>
              </w:rPr>
            </w:pPr>
            <w:r w:rsidRPr="00826000">
              <w:rPr>
                <w:rFonts w:ascii="Arial" w:hAnsi="Arial" w:cs="Arial"/>
                <w:sz w:val="20"/>
              </w:rPr>
              <w:t>approximately 336 IMD cases would be avoided over 5 years and approximately 10,532 individuals would need to be fully vaccinated to avoid one IMD case (over 5 years)</w:t>
            </w:r>
          </w:p>
          <w:p w:rsidR="00826000" w:rsidRDefault="00826000" w:rsidP="00826000">
            <w:pPr>
              <w:numPr>
                <w:ilvl w:val="0"/>
                <w:numId w:val="10"/>
              </w:numPr>
              <w:ind w:left="176" w:hanging="142"/>
              <w:jc w:val="both"/>
              <w:rPr>
                <w:rFonts w:ascii="Arial" w:hAnsi="Arial" w:cs="Arial"/>
                <w:sz w:val="20"/>
              </w:rPr>
            </w:pPr>
            <w:proofErr w:type="gramStart"/>
            <w:r w:rsidRPr="00826000">
              <w:rPr>
                <w:rFonts w:ascii="Arial" w:hAnsi="Arial" w:cs="Arial"/>
                <w:sz w:val="20"/>
              </w:rPr>
              <w:t>approximately</w:t>
            </w:r>
            <w:proofErr w:type="gramEnd"/>
            <w:r w:rsidRPr="00826000">
              <w:rPr>
                <w:rFonts w:ascii="Arial" w:hAnsi="Arial" w:cs="Arial"/>
                <w:sz w:val="20"/>
              </w:rPr>
              <w:t xml:space="preserve"> 13 deaths would be avoided over 5 years and approximately 272,224 individuals would need to be fully vaccinated to avoid one death (over 5 years).</w:t>
            </w:r>
          </w:p>
          <w:p w:rsidR="00826000" w:rsidRPr="0081702A" w:rsidRDefault="00826000" w:rsidP="00CA2B5C">
            <w:pPr>
              <w:jc w:val="both"/>
              <w:rPr>
                <w:rFonts w:ascii="Arial" w:hAnsi="Arial" w:cs="Arial"/>
                <w:sz w:val="20"/>
              </w:rPr>
            </w:pPr>
          </w:p>
        </w:tc>
      </w:tr>
      <w:tr w:rsidR="00533EC6" w:rsidRPr="00CA293C" w:rsidTr="00826000">
        <w:tblPrEx>
          <w:tblCellMar>
            <w:top w:w="0" w:type="dxa"/>
            <w:bottom w:w="0" w:type="dxa"/>
          </w:tblCellMar>
        </w:tblPrEx>
        <w:trPr>
          <w:trHeight w:val="816"/>
        </w:trPr>
        <w:tc>
          <w:tcPr>
            <w:tcW w:w="2127" w:type="dxa"/>
            <w:vMerge/>
          </w:tcPr>
          <w:p w:rsidR="00533EC6" w:rsidRPr="0081702A"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533EC6" w:rsidRPr="0081702A" w:rsidRDefault="00533EC6" w:rsidP="00947987">
            <w:pPr>
              <w:rPr>
                <w:rFonts w:ascii="Arial" w:hAnsi="Arial" w:cs="Arial"/>
                <w:sz w:val="20"/>
              </w:rPr>
            </w:pPr>
          </w:p>
        </w:tc>
        <w:tc>
          <w:tcPr>
            <w:tcW w:w="2126" w:type="dxa"/>
            <w:vMerge/>
          </w:tcPr>
          <w:p w:rsidR="00533EC6" w:rsidRPr="0081702A" w:rsidRDefault="00533EC6" w:rsidP="00947987">
            <w:pPr>
              <w:rPr>
                <w:rFonts w:ascii="Arial" w:hAnsi="Arial" w:cs="Arial"/>
                <w:sz w:val="20"/>
              </w:rPr>
            </w:pPr>
          </w:p>
        </w:tc>
        <w:tc>
          <w:tcPr>
            <w:tcW w:w="2693" w:type="dxa"/>
          </w:tcPr>
          <w:p w:rsidR="00826000" w:rsidRDefault="00533EC6" w:rsidP="006378CF">
            <w:pPr>
              <w:pStyle w:val="ListBullet"/>
            </w:pPr>
            <w:r w:rsidRPr="0081702A">
              <w:t>Economic claim:</w:t>
            </w:r>
            <w:r w:rsidR="00063F01" w:rsidRPr="0081702A">
              <w:t xml:space="preserve"> </w:t>
            </w:r>
          </w:p>
          <w:p w:rsidR="00533EC6" w:rsidRPr="0081702A" w:rsidRDefault="00583A1F" w:rsidP="006378CF">
            <w:pPr>
              <w:pStyle w:val="ListBullet"/>
            </w:pPr>
            <w:r w:rsidRPr="0081702A">
              <w:t>Cost-utility analysis against</w:t>
            </w:r>
            <w:r w:rsidR="00063F01" w:rsidRPr="0081702A">
              <w:t xml:space="preserve"> no vaccination.</w:t>
            </w:r>
          </w:p>
          <w:p w:rsidR="00533EC6" w:rsidRPr="0081702A" w:rsidRDefault="00533EC6" w:rsidP="006378CF">
            <w:pPr>
              <w:pStyle w:val="ListBullet"/>
            </w:pPr>
            <w:r w:rsidRPr="0081702A">
              <w:t xml:space="preserve"> </w:t>
            </w:r>
          </w:p>
          <w:p w:rsidR="00533EC6" w:rsidRPr="0081702A" w:rsidRDefault="00533EC6" w:rsidP="006378CF">
            <w:pPr>
              <w:pStyle w:val="ListBullet"/>
            </w:pPr>
          </w:p>
        </w:tc>
        <w:tc>
          <w:tcPr>
            <w:tcW w:w="4678" w:type="dxa"/>
          </w:tcPr>
          <w:p w:rsidR="00533EC6" w:rsidRPr="0081702A" w:rsidRDefault="00583A1F" w:rsidP="00826000">
            <w:pPr>
              <w:jc w:val="both"/>
              <w:rPr>
                <w:rFonts w:ascii="Arial" w:hAnsi="Arial" w:cs="Arial"/>
                <w:sz w:val="20"/>
              </w:rPr>
            </w:pPr>
            <w:r w:rsidRPr="0081702A">
              <w:rPr>
                <w:rFonts w:ascii="Arial" w:hAnsi="Arial" w:cs="Arial"/>
                <w:sz w:val="20"/>
              </w:rPr>
              <w:t xml:space="preserve">Not accepted: </w:t>
            </w:r>
            <w:r w:rsidR="00063F01" w:rsidRPr="0081702A">
              <w:rPr>
                <w:rFonts w:ascii="Arial" w:hAnsi="Arial" w:cs="Arial"/>
                <w:sz w:val="20"/>
              </w:rPr>
              <w:t>The PBAC concluded that the re-submission’s base case ICER was unacceptably high and was based on uncertain and optimistic assumptions about the extent and duration of effect and herd immunity</w:t>
            </w:r>
            <w:r w:rsidR="00A74BD3" w:rsidRPr="0081702A">
              <w:rPr>
                <w:rFonts w:ascii="Arial" w:hAnsi="Arial" w:cs="Arial"/>
                <w:sz w:val="20"/>
              </w:rPr>
              <w:t>.</w:t>
            </w:r>
            <w:r w:rsidR="00063F01" w:rsidRPr="0081702A">
              <w:rPr>
                <w:rFonts w:ascii="Arial" w:hAnsi="Arial" w:cs="Arial"/>
                <w:sz w:val="20"/>
              </w:rPr>
              <w:t xml:space="preserve"> The PBAC considered that before NIP listing could be reconsidered, there would have to be a proposal for a price that produces an acceptable ICER as a basis for a PBAC recommendation to list.</w:t>
            </w:r>
          </w:p>
        </w:tc>
      </w:tr>
      <w:tr w:rsidR="00533EC6" w:rsidRPr="00CA293C" w:rsidTr="00826000">
        <w:tblPrEx>
          <w:tblCellMar>
            <w:top w:w="0" w:type="dxa"/>
            <w:bottom w:w="0" w:type="dxa"/>
          </w:tblCellMar>
        </w:tblPrEx>
        <w:trPr>
          <w:trHeight w:val="816"/>
        </w:trPr>
        <w:tc>
          <w:tcPr>
            <w:tcW w:w="2127" w:type="dxa"/>
            <w:vMerge/>
          </w:tcPr>
          <w:p w:rsidR="00533EC6" w:rsidRPr="0081702A" w:rsidRDefault="00533EC6" w:rsidP="00533EC6">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533EC6" w:rsidRPr="0081702A" w:rsidRDefault="00533EC6" w:rsidP="00947987">
            <w:pPr>
              <w:rPr>
                <w:rFonts w:ascii="Arial" w:hAnsi="Arial" w:cs="Arial"/>
                <w:sz w:val="20"/>
              </w:rPr>
            </w:pPr>
          </w:p>
        </w:tc>
        <w:tc>
          <w:tcPr>
            <w:tcW w:w="2126" w:type="dxa"/>
            <w:vMerge/>
          </w:tcPr>
          <w:p w:rsidR="00533EC6" w:rsidRPr="0081702A" w:rsidRDefault="00533EC6" w:rsidP="00947987">
            <w:pPr>
              <w:rPr>
                <w:rFonts w:ascii="Arial" w:hAnsi="Arial" w:cs="Arial"/>
                <w:sz w:val="20"/>
              </w:rPr>
            </w:pPr>
          </w:p>
        </w:tc>
        <w:tc>
          <w:tcPr>
            <w:tcW w:w="2693" w:type="dxa"/>
          </w:tcPr>
          <w:p w:rsidR="00533EC6" w:rsidRPr="0081702A" w:rsidRDefault="00533EC6" w:rsidP="006378CF">
            <w:pPr>
              <w:pStyle w:val="ListBullet"/>
            </w:pPr>
          </w:p>
          <w:p w:rsidR="00533EC6" w:rsidRPr="0081702A" w:rsidRDefault="00533EC6" w:rsidP="006378CF">
            <w:pPr>
              <w:pStyle w:val="ListBullet"/>
            </w:pPr>
            <w:r w:rsidRPr="0081702A">
              <w:t>Sponsor’s comments:</w:t>
            </w:r>
          </w:p>
          <w:p w:rsidR="00533EC6" w:rsidRPr="0081702A" w:rsidRDefault="00533EC6" w:rsidP="006378CF">
            <w:pPr>
              <w:pStyle w:val="ListBullet"/>
            </w:pPr>
          </w:p>
        </w:tc>
        <w:tc>
          <w:tcPr>
            <w:tcW w:w="4678" w:type="dxa"/>
          </w:tcPr>
          <w:p w:rsidR="00533EC6" w:rsidRPr="009F5E7E" w:rsidRDefault="009F5E7E" w:rsidP="00947987">
            <w:pPr>
              <w:rPr>
                <w:rFonts w:ascii="Arial" w:hAnsi="Arial" w:cs="Arial"/>
                <w:sz w:val="20"/>
              </w:rPr>
            </w:pPr>
            <w:r w:rsidRPr="009F5E7E">
              <w:rPr>
                <w:rFonts w:ascii="Arial" w:hAnsi="Arial" w:cs="Arial"/>
                <w:color w:val="000000"/>
                <w:sz w:val="20"/>
                <w:szCs w:val="24"/>
              </w:rPr>
              <w:t xml:space="preserve">The sponsor disagrees with the </w:t>
            </w:r>
            <w:r w:rsidR="00D06895" w:rsidRPr="009F5E7E">
              <w:rPr>
                <w:rFonts w:ascii="Arial" w:hAnsi="Arial" w:cs="Arial"/>
                <w:color w:val="000000"/>
                <w:sz w:val="20"/>
                <w:szCs w:val="24"/>
              </w:rPr>
              <w:t>decision. The</w:t>
            </w:r>
            <w:r w:rsidRPr="009F5E7E">
              <w:rPr>
                <w:rFonts w:ascii="Arial" w:hAnsi="Arial" w:cs="Arial"/>
                <w:color w:val="000000"/>
                <w:sz w:val="20"/>
                <w:szCs w:val="24"/>
              </w:rPr>
              <w:t xml:space="preserve"> sponsor will be considering its position regarding any future course of action.</w:t>
            </w:r>
          </w:p>
        </w:tc>
      </w:tr>
      <w:tr w:rsidR="00BC0474" w:rsidRPr="00CA293C" w:rsidTr="00826000">
        <w:tblPrEx>
          <w:tblCellMar>
            <w:top w:w="0" w:type="dxa"/>
            <w:bottom w:w="0" w:type="dxa"/>
          </w:tblCellMar>
        </w:tblPrEx>
        <w:trPr>
          <w:trHeight w:val="816"/>
        </w:trPr>
        <w:tc>
          <w:tcPr>
            <w:tcW w:w="2127" w:type="dxa"/>
            <w:vMerge w:val="restart"/>
          </w:tcPr>
          <w:p w:rsidR="0081702A" w:rsidRDefault="00BC0474" w:rsidP="0081702A">
            <w:pPr>
              <w:pStyle w:val="NormalWeb"/>
              <w:spacing w:before="0" w:beforeAutospacing="0" w:after="0" w:afterAutospacing="0"/>
              <w:contextualSpacing/>
              <w:textAlignment w:val="baseline"/>
              <w:rPr>
                <w:rFonts w:ascii="Arial" w:hAnsi="Arial" w:cs="Arial"/>
                <w:color w:val="000000"/>
                <w:sz w:val="20"/>
                <w:szCs w:val="20"/>
              </w:rPr>
            </w:pPr>
            <w:r w:rsidRPr="0081702A">
              <w:rPr>
                <w:rFonts w:ascii="Arial" w:hAnsi="Arial" w:cs="Arial"/>
                <w:color w:val="000000"/>
                <w:sz w:val="20"/>
                <w:szCs w:val="20"/>
              </w:rPr>
              <w:lastRenderedPageBreak/>
              <w:t xml:space="preserve">INGENOL, ingenol mebutate gel 0.15 mg/g (0.015%), 3 x 0.47 g, Picato® </w:t>
            </w:r>
          </w:p>
          <w:p w:rsidR="0081702A" w:rsidRDefault="0081702A" w:rsidP="0081702A">
            <w:pPr>
              <w:pStyle w:val="NormalWeb"/>
              <w:spacing w:before="0" w:beforeAutospacing="0" w:after="0" w:afterAutospacing="0"/>
              <w:contextualSpacing/>
              <w:textAlignment w:val="baseline"/>
              <w:rPr>
                <w:rFonts w:ascii="Arial" w:hAnsi="Arial" w:cs="Arial"/>
                <w:color w:val="000000"/>
                <w:sz w:val="20"/>
                <w:szCs w:val="20"/>
              </w:rPr>
            </w:pPr>
          </w:p>
          <w:p w:rsidR="0081702A" w:rsidRDefault="00BC0474" w:rsidP="0081702A">
            <w:pPr>
              <w:pStyle w:val="NormalWeb"/>
              <w:spacing w:before="0" w:beforeAutospacing="0" w:after="0" w:afterAutospacing="0"/>
              <w:contextualSpacing/>
              <w:textAlignment w:val="baseline"/>
              <w:rPr>
                <w:rFonts w:ascii="Arial" w:hAnsi="Arial" w:cs="Arial"/>
                <w:color w:val="000000"/>
                <w:sz w:val="20"/>
                <w:szCs w:val="20"/>
              </w:rPr>
            </w:pPr>
            <w:r w:rsidRPr="0081702A">
              <w:rPr>
                <w:rFonts w:ascii="Arial" w:hAnsi="Arial" w:cs="Arial"/>
                <w:color w:val="000000"/>
                <w:sz w:val="20"/>
                <w:szCs w:val="20"/>
              </w:rPr>
              <w:t>Leo Pharma Pty Ltd</w:t>
            </w:r>
          </w:p>
          <w:p w:rsidR="0081702A" w:rsidRDefault="0081702A" w:rsidP="0081702A">
            <w:pPr>
              <w:pStyle w:val="NormalWeb"/>
              <w:spacing w:before="0" w:beforeAutospacing="0" w:after="0" w:afterAutospacing="0"/>
              <w:contextualSpacing/>
              <w:textAlignment w:val="baseline"/>
              <w:rPr>
                <w:rFonts w:ascii="Arial" w:hAnsi="Arial" w:cs="Arial"/>
                <w:color w:val="000000"/>
                <w:sz w:val="20"/>
                <w:szCs w:val="20"/>
              </w:rPr>
            </w:pPr>
          </w:p>
          <w:p w:rsidR="0081702A" w:rsidRDefault="0081702A" w:rsidP="0081702A">
            <w:pPr>
              <w:pStyle w:val="NormalWeb"/>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New listing</w:t>
            </w:r>
          </w:p>
          <w:p w:rsidR="0081702A" w:rsidRPr="0081702A" w:rsidRDefault="0081702A" w:rsidP="0081702A">
            <w:pPr>
              <w:pStyle w:val="NormalWeb"/>
              <w:spacing w:before="0" w:beforeAutospacing="0" w:after="0" w:afterAutospacing="0"/>
              <w:contextualSpacing/>
              <w:textAlignment w:val="baseline"/>
              <w:rPr>
                <w:rFonts w:ascii="Arial" w:hAnsi="Arial" w:cs="Arial"/>
                <w:color w:val="000000"/>
                <w:sz w:val="20"/>
                <w:szCs w:val="20"/>
              </w:rPr>
            </w:pPr>
          </w:p>
          <w:p w:rsidR="00BC0474" w:rsidRPr="0081702A" w:rsidRDefault="0081702A" w:rsidP="0081702A">
            <w:pPr>
              <w:contextualSpacing/>
              <w:rPr>
                <w:rFonts w:ascii="Arial" w:hAnsi="Arial" w:cs="Arial"/>
                <w:sz w:val="20"/>
              </w:rPr>
            </w:pPr>
            <w:r>
              <w:rPr>
                <w:rFonts w:ascii="Arial" w:hAnsi="Arial" w:cs="Arial"/>
                <w:sz w:val="20"/>
              </w:rPr>
              <w:t>(</w:t>
            </w:r>
            <w:r w:rsidR="00BC0474" w:rsidRPr="0081702A">
              <w:rPr>
                <w:rFonts w:ascii="Arial" w:hAnsi="Arial" w:cs="Arial"/>
                <w:sz w:val="20"/>
              </w:rPr>
              <w:t>Minor submission</w:t>
            </w:r>
            <w:r>
              <w:rPr>
                <w:rFonts w:ascii="Arial" w:hAnsi="Arial" w:cs="Arial"/>
                <w:sz w:val="20"/>
              </w:rPr>
              <w:t>)</w:t>
            </w:r>
          </w:p>
          <w:p w:rsidR="00BC0474" w:rsidRPr="0081702A" w:rsidRDefault="00BC0474" w:rsidP="006378CF">
            <w:pPr>
              <w:pStyle w:val="NormalWeb"/>
              <w:spacing w:before="240" w:beforeAutospacing="0" w:after="240" w:afterAutospacing="0" w:line="270" w:lineRule="atLeast"/>
              <w:textAlignment w:val="baseline"/>
              <w:rPr>
                <w:rFonts w:ascii="Arial" w:hAnsi="Arial" w:cs="Arial"/>
                <w:color w:val="000000"/>
                <w:sz w:val="20"/>
                <w:szCs w:val="20"/>
              </w:rPr>
            </w:pPr>
          </w:p>
          <w:p w:rsidR="00BC0474" w:rsidRPr="0081702A" w:rsidRDefault="00BC0474" w:rsidP="006378CF">
            <w:pPr>
              <w:rPr>
                <w:rFonts w:ascii="Arial" w:hAnsi="Arial" w:cs="Arial"/>
                <w:sz w:val="20"/>
              </w:rPr>
            </w:pPr>
          </w:p>
        </w:tc>
        <w:tc>
          <w:tcPr>
            <w:tcW w:w="2126" w:type="dxa"/>
            <w:vMerge w:val="restart"/>
          </w:tcPr>
          <w:p w:rsidR="00BC0474" w:rsidRPr="0081702A" w:rsidRDefault="00BC0474" w:rsidP="006378CF">
            <w:pPr>
              <w:rPr>
                <w:rFonts w:ascii="Arial" w:hAnsi="Arial" w:cs="Arial"/>
                <w:sz w:val="20"/>
              </w:rPr>
            </w:pPr>
            <w:r w:rsidRPr="0081702A">
              <w:rPr>
                <w:rFonts w:ascii="Arial" w:hAnsi="Arial" w:cs="Arial"/>
                <w:sz w:val="20"/>
              </w:rPr>
              <w:t>Picato½ gel is indicated for the topical treatment of solar (actinic) keratoses in adults.</w:t>
            </w:r>
          </w:p>
        </w:tc>
        <w:tc>
          <w:tcPr>
            <w:tcW w:w="2126" w:type="dxa"/>
            <w:vMerge w:val="restart"/>
          </w:tcPr>
          <w:p w:rsidR="00BC0474" w:rsidRPr="0081702A" w:rsidRDefault="00BC0474" w:rsidP="006378CF">
            <w:pPr>
              <w:rPr>
                <w:rFonts w:ascii="Arial" w:hAnsi="Arial" w:cs="Arial"/>
                <w:sz w:val="20"/>
              </w:rPr>
            </w:pPr>
            <w:r w:rsidRPr="0081702A">
              <w:rPr>
                <w:rFonts w:ascii="Arial" w:hAnsi="Arial" w:cs="Arial"/>
                <w:sz w:val="20"/>
              </w:rPr>
              <w:t xml:space="preserve">Ingenol is not currently PBS listed </w:t>
            </w:r>
          </w:p>
        </w:tc>
        <w:tc>
          <w:tcPr>
            <w:tcW w:w="2693" w:type="dxa"/>
          </w:tcPr>
          <w:p w:rsidR="00BC0474" w:rsidRPr="0081702A" w:rsidRDefault="00BC0474" w:rsidP="006378CF">
            <w:pPr>
              <w:pStyle w:val="ListBullet"/>
            </w:pPr>
            <w:r w:rsidRPr="0081702A">
              <w:t>Restricted Benefit listing for treatment, as field therapy, of solar keratoses of the face and scalp.</w:t>
            </w:r>
          </w:p>
        </w:tc>
        <w:tc>
          <w:tcPr>
            <w:tcW w:w="4678" w:type="dxa"/>
          </w:tcPr>
          <w:p w:rsidR="00BC0474" w:rsidRPr="0081702A" w:rsidRDefault="00BC0474" w:rsidP="00826000">
            <w:pPr>
              <w:jc w:val="both"/>
              <w:rPr>
                <w:rFonts w:ascii="Arial" w:hAnsi="Arial" w:cs="Arial"/>
                <w:sz w:val="20"/>
              </w:rPr>
            </w:pPr>
            <w:r w:rsidRPr="0081702A">
              <w:rPr>
                <w:rFonts w:ascii="Arial" w:hAnsi="Arial" w:cs="Arial"/>
                <w:sz w:val="20"/>
              </w:rPr>
              <w:t xml:space="preserve">The PBAC rejected the submission for PBS listing of ingenol for solar keratosis on the basis that the value of treating SKs was unknown. </w:t>
            </w:r>
          </w:p>
        </w:tc>
      </w:tr>
      <w:tr w:rsidR="00BC0474" w:rsidRPr="00CA293C" w:rsidTr="00826000">
        <w:tblPrEx>
          <w:tblCellMar>
            <w:top w:w="0" w:type="dxa"/>
            <w:bottom w:w="0" w:type="dxa"/>
          </w:tblCellMar>
        </w:tblPrEx>
        <w:trPr>
          <w:trHeight w:val="816"/>
        </w:trPr>
        <w:tc>
          <w:tcPr>
            <w:tcW w:w="2127" w:type="dxa"/>
            <w:vMerge/>
          </w:tcPr>
          <w:p w:rsidR="00BC0474" w:rsidRPr="0081702A" w:rsidRDefault="00BC0474" w:rsidP="006378CF">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BC0474" w:rsidRPr="0081702A" w:rsidRDefault="00BC0474" w:rsidP="006378CF">
            <w:pPr>
              <w:rPr>
                <w:rFonts w:ascii="Arial" w:hAnsi="Arial" w:cs="Arial"/>
                <w:sz w:val="20"/>
              </w:rPr>
            </w:pPr>
          </w:p>
        </w:tc>
        <w:tc>
          <w:tcPr>
            <w:tcW w:w="2126" w:type="dxa"/>
            <w:vMerge/>
          </w:tcPr>
          <w:p w:rsidR="00BC0474" w:rsidRPr="0081702A" w:rsidRDefault="00BC0474" w:rsidP="006378CF">
            <w:pPr>
              <w:rPr>
                <w:rFonts w:ascii="Arial" w:hAnsi="Arial" w:cs="Arial"/>
                <w:sz w:val="20"/>
              </w:rPr>
            </w:pPr>
          </w:p>
        </w:tc>
        <w:tc>
          <w:tcPr>
            <w:tcW w:w="2693" w:type="dxa"/>
          </w:tcPr>
          <w:p w:rsidR="00BC0474" w:rsidRPr="0081702A" w:rsidRDefault="00BC0474" w:rsidP="006378CF">
            <w:pPr>
              <w:pStyle w:val="ListBullet"/>
            </w:pPr>
          </w:p>
          <w:p w:rsidR="00BC0474" w:rsidRPr="0081702A" w:rsidRDefault="00BC0474" w:rsidP="006378CF">
            <w:pPr>
              <w:pStyle w:val="ListBullet"/>
            </w:pPr>
            <w:r w:rsidRPr="0081702A">
              <w:t xml:space="preserve">Comparator: </w:t>
            </w:r>
          </w:p>
          <w:p w:rsidR="00BC0474" w:rsidRPr="0081702A" w:rsidRDefault="00BC0474" w:rsidP="0044777F">
            <w:pPr>
              <w:rPr>
                <w:rFonts w:ascii="Arial" w:hAnsi="Arial" w:cs="Arial"/>
                <w:sz w:val="20"/>
              </w:rPr>
            </w:pPr>
            <w:r w:rsidRPr="0081702A">
              <w:rPr>
                <w:rFonts w:ascii="Arial" w:hAnsi="Arial" w:cs="Arial"/>
                <w:sz w:val="20"/>
              </w:rPr>
              <w:t xml:space="preserve">The resubmission proposed </w:t>
            </w:r>
            <w:r w:rsidR="007572F6" w:rsidRPr="0081702A">
              <w:rPr>
                <w:rFonts w:ascii="Arial" w:hAnsi="Arial" w:cs="Arial"/>
                <w:sz w:val="20"/>
              </w:rPr>
              <w:t>best supportive care</w:t>
            </w:r>
            <w:r w:rsidRPr="0081702A">
              <w:rPr>
                <w:rFonts w:ascii="Arial" w:hAnsi="Arial" w:cs="Arial"/>
                <w:sz w:val="20"/>
              </w:rPr>
              <w:t xml:space="preserve"> as the comparator.</w:t>
            </w:r>
          </w:p>
          <w:p w:rsidR="00BC0474" w:rsidRPr="0081702A" w:rsidRDefault="00BC0474" w:rsidP="006378CF">
            <w:pPr>
              <w:pStyle w:val="ListBullet"/>
            </w:pPr>
            <w:r w:rsidRPr="0081702A">
              <w:t xml:space="preserve"> </w:t>
            </w:r>
          </w:p>
          <w:p w:rsidR="00BC0474" w:rsidRPr="0081702A" w:rsidRDefault="00BC0474" w:rsidP="006378CF">
            <w:pPr>
              <w:pStyle w:val="ListBullet"/>
            </w:pPr>
          </w:p>
        </w:tc>
        <w:tc>
          <w:tcPr>
            <w:tcW w:w="4678" w:type="dxa"/>
          </w:tcPr>
          <w:p w:rsidR="009D1D30" w:rsidRPr="0081702A" w:rsidRDefault="009D1D30" w:rsidP="00826000">
            <w:pPr>
              <w:jc w:val="both"/>
              <w:rPr>
                <w:rFonts w:ascii="Arial" w:hAnsi="Arial" w:cs="Arial"/>
                <w:sz w:val="20"/>
              </w:rPr>
            </w:pPr>
            <w:r w:rsidRPr="0081702A">
              <w:rPr>
                <w:rFonts w:ascii="Arial" w:hAnsi="Arial" w:cs="Arial"/>
                <w:sz w:val="20"/>
              </w:rPr>
              <w:t xml:space="preserve">PBAC recalled that the resubmission </w:t>
            </w:r>
            <w:r w:rsidR="007572F6" w:rsidRPr="0081702A">
              <w:rPr>
                <w:rFonts w:ascii="Arial" w:hAnsi="Arial" w:cs="Arial"/>
                <w:sz w:val="20"/>
              </w:rPr>
              <w:t xml:space="preserve">in November 2013 </w:t>
            </w:r>
            <w:r w:rsidRPr="0081702A">
              <w:rPr>
                <w:rFonts w:ascii="Arial" w:hAnsi="Arial" w:cs="Arial"/>
                <w:sz w:val="20"/>
              </w:rPr>
              <w:t>nominated a ‘mixed comparator’ comprising three topical formulations (imiquimod, diclofenac 3% and 5-FU 5%) and ‘no treatment’, as the appropriate comparators. The PBAC considered imiquimod 5%, diclofenac 3% and 5-FU 5% were appropriate comparators for clinical purposes. T</w:t>
            </w:r>
            <w:r w:rsidR="007572F6" w:rsidRPr="0081702A">
              <w:rPr>
                <w:rFonts w:ascii="Arial" w:hAnsi="Arial" w:cs="Arial"/>
                <w:sz w:val="20"/>
              </w:rPr>
              <w:t xml:space="preserve">he PBAC considered that “no treatment” was not an appropriate clinical comparator, noting that patients with solar keratosis were not likely to go untreated given that there are several treatment options available. However, the committee considered that this comparison was informative for estimating the cost-effectiveness of ingenol mebutate on the PBS, in the absence of any relevant PBS-listed comparators. </w:t>
            </w:r>
          </w:p>
          <w:p w:rsidR="00BC0474" w:rsidRPr="0081702A" w:rsidRDefault="009D1D30" w:rsidP="00826000">
            <w:pPr>
              <w:jc w:val="both"/>
              <w:rPr>
                <w:rFonts w:ascii="Arial" w:hAnsi="Arial" w:cs="Arial"/>
                <w:sz w:val="20"/>
              </w:rPr>
            </w:pPr>
            <w:r w:rsidRPr="0081702A">
              <w:rPr>
                <w:rFonts w:ascii="Arial" w:hAnsi="Arial" w:cs="Arial"/>
                <w:sz w:val="20"/>
              </w:rPr>
              <w:t xml:space="preserve">In July 2014, the </w:t>
            </w:r>
            <w:r w:rsidR="00BC0474" w:rsidRPr="0081702A">
              <w:rPr>
                <w:rFonts w:ascii="Arial" w:hAnsi="Arial" w:cs="Arial"/>
                <w:sz w:val="20"/>
              </w:rPr>
              <w:t>PBAC recognised that patients may prefer treatment with three days of ingenol compared to comparators such as 5-FU cream or cryotherapy, and that this preference could drive utilisation.</w:t>
            </w:r>
          </w:p>
        </w:tc>
      </w:tr>
      <w:tr w:rsidR="00BC0474" w:rsidRPr="00CA293C" w:rsidTr="00826000">
        <w:tblPrEx>
          <w:tblCellMar>
            <w:top w:w="0" w:type="dxa"/>
            <w:bottom w:w="0" w:type="dxa"/>
          </w:tblCellMar>
        </w:tblPrEx>
        <w:trPr>
          <w:trHeight w:val="816"/>
        </w:trPr>
        <w:tc>
          <w:tcPr>
            <w:tcW w:w="2127" w:type="dxa"/>
            <w:vMerge/>
          </w:tcPr>
          <w:p w:rsidR="00BC0474" w:rsidRPr="0081702A" w:rsidRDefault="00BC0474" w:rsidP="006378CF">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BC0474" w:rsidRPr="0081702A" w:rsidRDefault="00BC0474" w:rsidP="006378CF">
            <w:pPr>
              <w:rPr>
                <w:rFonts w:ascii="Arial" w:hAnsi="Arial" w:cs="Arial"/>
                <w:sz w:val="20"/>
              </w:rPr>
            </w:pPr>
          </w:p>
        </w:tc>
        <w:tc>
          <w:tcPr>
            <w:tcW w:w="2126" w:type="dxa"/>
            <w:vMerge/>
          </w:tcPr>
          <w:p w:rsidR="00BC0474" w:rsidRPr="0081702A" w:rsidRDefault="00BC0474" w:rsidP="006378CF">
            <w:pPr>
              <w:rPr>
                <w:rFonts w:ascii="Arial" w:hAnsi="Arial" w:cs="Arial"/>
                <w:sz w:val="20"/>
              </w:rPr>
            </w:pPr>
          </w:p>
        </w:tc>
        <w:tc>
          <w:tcPr>
            <w:tcW w:w="2693" w:type="dxa"/>
          </w:tcPr>
          <w:p w:rsidR="00BC0474" w:rsidRPr="0081702A" w:rsidRDefault="00BC0474" w:rsidP="006378CF">
            <w:pPr>
              <w:pStyle w:val="ListBullet"/>
            </w:pPr>
            <w:r w:rsidRPr="0081702A">
              <w:t xml:space="preserve">Clinical claim:  </w:t>
            </w:r>
          </w:p>
          <w:p w:rsidR="00BC0474" w:rsidRPr="0081702A" w:rsidRDefault="00BC0474" w:rsidP="006378CF">
            <w:pPr>
              <w:pStyle w:val="ListBullet"/>
            </w:pPr>
            <w:r w:rsidRPr="0081702A">
              <w:t>No new clinical data were presented</w:t>
            </w:r>
            <w:r w:rsidR="007572F6" w:rsidRPr="0081702A">
              <w:t xml:space="preserve">. </w:t>
            </w:r>
          </w:p>
          <w:p w:rsidR="00BC0474" w:rsidRPr="0081702A" w:rsidRDefault="00BC0474" w:rsidP="006378CF">
            <w:pPr>
              <w:pStyle w:val="ListBullet"/>
            </w:pPr>
          </w:p>
        </w:tc>
        <w:tc>
          <w:tcPr>
            <w:tcW w:w="4678" w:type="dxa"/>
          </w:tcPr>
          <w:p w:rsidR="009D1D30" w:rsidRPr="0081702A" w:rsidRDefault="009D1D30" w:rsidP="00826000">
            <w:pPr>
              <w:jc w:val="both"/>
              <w:rPr>
                <w:rFonts w:ascii="Arial" w:hAnsi="Arial" w:cs="Arial"/>
                <w:sz w:val="20"/>
              </w:rPr>
            </w:pPr>
            <w:r w:rsidRPr="0081702A">
              <w:rPr>
                <w:rFonts w:ascii="Arial" w:hAnsi="Arial" w:cs="Arial"/>
                <w:sz w:val="20"/>
              </w:rPr>
              <w:t>In November 2013, the resubmission described ingenol mebutate as non-inferior to imiquimod 5% and 5</w:t>
            </w:r>
            <w:r w:rsidRPr="0081702A">
              <w:rPr>
                <w:rFonts w:ascii="MS Gothic" w:eastAsia="MS Gothic" w:hAnsi="MS Gothic" w:cs="MS Gothic" w:hint="eastAsia"/>
                <w:sz w:val="20"/>
              </w:rPr>
              <w:t>‑</w:t>
            </w:r>
            <w:r w:rsidRPr="0081702A">
              <w:rPr>
                <w:rFonts w:ascii="Arial" w:hAnsi="Arial" w:cs="Arial"/>
                <w:sz w:val="20"/>
              </w:rPr>
              <w:t xml:space="preserve">FU 5% and superior to diclofenac 3% for complete clearance of solar keratoses.  The PBAC considered these claims were reasonable, with the exception of the comparison versus 5-FU 5%. The resubmission described ingenol mebutate as non-inferior in terms of comparative safety over imiquimod 5%, diclofenac 3% and 5-FU 5%. The PBAC considered this claim to be reasonable. </w:t>
            </w:r>
          </w:p>
          <w:p w:rsidR="009D1D30" w:rsidRPr="0081702A" w:rsidRDefault="009D1D30" w:rsidP="00826000">
            <w:pPr>
              <w:jc w:val="both"/>
              <w:rPr>
                <w:rFonts w:ascii="Arial" w:hAnsi="Arial" w:cs="Arial"/>
                <w:sz w:val="20"/>
              </w:rPr>
            </w:pPr>
          </w:p>
          <w:p w:rsidR="00BC0474" w:rsidRDefault="009D1D30" w:rsidP="00826000">
            <w:pPr>
              <w:jc w:val="both"/>
              <w:rPr>
                <w:rFonts w:ascii="Arial" w:hAnsi="Arial" w:cs="Arial"/>
                <w:sz w:val="20"/>
              </w:rPr>
            </w:pPr>
            <w:r w:rsidRPr="0081702A">
              <w:rPr>
                <w:rFonts w:ascii="Arial" w:hAnsi="Arial" w:cs="Arial"/>
                <w:sz w:val="20"/>
              </w:rPr>
              <w:lastRenderedPageBreak/>
              <w:t>In July 2014, t</w:t>
            </w:r>
            <w:r w:rsidR="00BC0474" w:rsidRPr="0081702A">
              <w:rPr>
                <w:rFonts w:ascii="Arial" w:hAnsi="Arial" w:cs="Arial"/>
                <w:sz w:val="20"/>
              </w:rPr>
              <w:t>he PBAC recalled previous trial data (3 ingenol 0.015% (PEP005-015, PEP005-016, PEP005-025), plus 2 ingenol 0.05% trials (PEP005-014, PEP005-028) that demonstrated complete clearance of SK in 43% of ingenol treated patients compared to 4.3% in the placebo treated group.</w:t>
            </w:r>
          </w:p>
          <w:p w:rsidR="00826000" w:rsidRPr="0081702A" w:rsidRDefault="00826000" w:rsidP="00826000">
            <w:pPr>
              <w:jc w:val="both"/>
              <w:rPr>
                <w:rFonts w:ascii="Arial" w:hAnsi="Arial" w:cs="Arial"/>
                <w:sz w:val="20"/>
              </w:rPr>
            </w:pPr>
          </w:p>
        </w:tc>
      </w:tr>
      <w:tr w:rsidR="00BC0474" w:rsidRPr="00CA293C" w:rsidTr="00826000">
        <w:tblPrEx>
          <w:tblCellMar>
            <w:top w:w="0" w:type="dxa"/>
            <w:bottom w:w="0" w:type="dxa"/>
          </w:tblCellMar>
        </w:tblPrEx>
        <w:trPr>
          <w:trHeight w:val="816"/>
        </w:trPr>
        <w:tc>
          <w:tcPr>
            <w:tcW w:w="2127" w:type="dxa"/>
            <w:vMerge/>
          </w:tcPr>
          <w:p w:rsidR="00BC0474" w:rsidRPr="0081702A" w:rsidRDefault="00BC0474" w:rsidP="006378CF">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BC0474" w:rsidRPr="0081702A" w:rsidRDefault="00BC0474" w:rsidP="006378CF">
            <w:pPr>
              <w:rPr>
                <w:rFonts w:ascii="Arial" w:hAnsi="Arial" w:cs="Arial"/>
                <w:sz w:val="20"/>
              </w:rPr>
            </w:pPr>
          </w:p>
        </w:tc>
        <w:tc>
          <w:tcPr>
            <w:tcW w:w="2126" w:type="dxa"/>
            <w:vMerge/>
          </w:tcPr>
          <w:p w:rsidR="00BC0474" w:rsidRPr="0081702A" w:rsidRDefault="00BC0474" w:rsidP="006378CF">
            <w:pPr>
              <w:rPr>
                <w:rFonts w:ascii="Arial" w:hAnsi="Arial" w:cs="Arial"/>
                <w:sz w:val="20"/>
              </w:rPr>
            </w:pPr>
          </w:p>
        </w:tc>
        <w:tc>
          <w:tcPr>
            <w:tcW w:w="2693" w:type="dxa"/>
          </w:tcPr>
          <w:p w:rsidR="00BC0474" w:rsidRPr="0081702A" w:rsidRDefault="00BC0474" w:rsidP="006378CF">
            <w:pPr>
              <w:pStyle w:val="ListBullet"/>
            </w:pPr>
            <w:r w:rsidRPr="0081702A">
              <w:t>Economic claim:</w:t>
            </w:r>
          </w:p>
          <w:p w:rsidR="00BC0474" w:rsidRPr="0081702A" w:rsidRDefault="007572F6" w:rsidP="007C49CE">
            <w:pPr>
              <w:pStyle w:val="ListBullet"/>
            </w:pPr>
            <w:r w:rsidRPr="0081702A">
              <w:t>Cost utility analysis was adopted.</w:t>
            </w:r>
            <w:r w:rsidR="007C49CE" w:rsidRPr="0081702A">
              <w:t xml:space="preserve"> </w:t>
            </w:r>
          </w:p>
        </w:tc>
        <w:tc>
          <w:tcPr>
            <w:tcW w:w="4678" w:type="dxa"/>
          </w:tcPr>
          <w:p w:rsidR="00BC0474" w:rsidRPr="0081702A" w:rsidRDefault="00416C9D" w:rsidP="00826000">
            <w:pPr>
              <w:jc w:val="both"/>
              <w:rPr>
                <w:rFonts w:ascii="Arial" w:hAnsi="Arial" w:cs="Arial"/>
                <w:sz w:val="20"/>
              </w:rPr>
            </w:pPr>
            <w:r w:rsidRPr="0081702A">
              <w:rPr>
                <w:rFonts w:ascii="Arial" w:hAnsi="Arial" w:cs="Arial"/>
                <w:sz w:val="20"/>
              </w:rPr>
              <w:t xml:space="preserve">Not accepted. </w:t>
            </w:r>
            <w:r w:rsidR="007572F6" w:rsidRPr="0081702A">
              <w:rPr>
                <w:rFonts w:ascii="Arial" w:hAnsi="Arial" w:cs="Arial"/>
                <w:sz w:val="20"/>
              </w:rPr>
              <w:t xml:space="preserve">The economic model presented in this resubmission is the same model presented in the November 2013 submission without the offsets for the development and treatment of SCCs. </w:t>
            </w:r>
            <w:r w:rsidR="00BC0474" w:rsidRPr="0081702A">
              <w:rPr>
                <w:rFonts w:ascii="Arial" w:hAnsi="Arial" w:cs="Arial"/>
                <w:sz w:val="20"/>
              </w:rPr>
              <w:t>The PBAC considered that the lack of demonstrable improvement in quality of life outcomes related to SK clearance remains a concern, despite new sensitivity analyses. The PBAC noted that the utility gain in the sensitivity analysis implies that a 70 year old patient would be willing to forgo 6 months of survival in a 10 year life expectancy (for the outcome of clearance of SK). The PBAC considered this to be implausible.</w:t>
            </w:r>
          </w:p>
        </w:tc>
      </w:tr>
      <w:tr w:rsidR="00BC0474" w:rsidRPr="00CA293C" w:rsidTr="00826000">
        <w:tblPrEx>
          <w:tblCellMar>
            <w:top w:w="0" w:type="dxa"/>
            <w:bottom w:w="0" w:type="dxa"/>
          </w:tblCellMar>
        </w:tblPrEx>
        <w:trPr>
          <w:trHeight w:val="816"/>
        </w:trPr>
        <w:tc>
          <w:tcPr>
            <w:tcW w:w="2127" w:type="dxa"/>
            <w:vMerge/>
          </w:tcPr>
          <w:p w:rsidR="00BC0474" w:rsidRPr="0081702A" w:rsidRDefault="00BC0474" w:rsidP="006378CF">
            <w:pPr>
              <w:pStyle w:val="NormalWeb"/>
              <w:spacing w:before="240" w:beforeAutospacing="0" w:after="240" w:afterAutospacing="0" w:line="270" w:lineRule="atLeast"/>
              <w:textAlignment w:val="baseline"/>
              <w:rPr>
                <w:rFonts w:ascii="Arial" w:hAnsi="Arial" w:cs="Arial"/>
                <w:color w:val="000000"/>
                <w:sz w:val="20"/>
                <w:szCs w:val="20"/>
              </w:rPr>
            </w:pPr>
          </w:p>
        </w:tc>
        <w:tc>
          <w:tcPr>
            <w:tcW w:w="2126" w:type="dxa"/>
            <w:vMerge/>
          </w:tcPr>
          <w:p w:rsidR="00BC0474" w:rsidRPr="0081702A" w:rsidRDefault="00BC0474" w:rsidP="006378CF">
            <w:pPr>
              <w:rPr>
                <w:rFonts w:ascii="Arial" w:hAnsi="Arial" w:cs="Arial"/>
                <w:sz w:val="20"/>
              </w:rPr>
            </w:pPr>
          </w:p>
        </w:tc>
        <w:tc>
          <w:tcPr>
            <w:tcW w:w="2126" w:type="dxa"/>
            <w:vMerge/>
          </w:tcPr>
          <w:p w:rsidR="00BC0474" w:rsidRPr="0081702A" w:rsidRDefault="00BC0474" w:rsidP="006378CF">
            <w:pPr>
              <w:rPr>
                <w:rFonts w:ascii="Arial" w:hAnsi="Arial" w:cs="Arial"/>
                <w:sz w:val="20"/>
              </w:rPr>
            </w:pPr>
          </w:p>
        </w:tc>
        <w:tc>
          <w:tcPr>
            <w:tcW w:w="2693" w:type="dxa"/>
          </w:tcPr>
          <w:p w:rsidR="00BC0474" w:rsidRPr="0081702A" w:rsidRDefault="00BC0474" w:rsidP="006378CF">
            <w:pPr>
              <w:pStyle w:val="ListBullet"/>
            </w:pPr>
          </w:p>
          <w:p w:rsidR="00BC0474" w:rsidRPr="0081702A" w:rsidRDefault="00BC0474" w:rsidP="006378CF">
            <w:pPr>
              <w:pStyle w:val="ListBullet"/>
            </w:pPr>
            <w:r w:rsidRPr="0081702A">
              <w:t>Sponsor’s comments:</w:t>
            </w:r>
          </w:p>
          <w:p w:rsidR="00BC0474" w:rsidRPr="0081702A" w:rsidRDefault="00BC0474" w:rsidP="006378CF">
            <w:pPr>
              <w:pStyle w:val="ListBullet"/>
            </w:pPr>
          </w:p>
        </w:tc>
        <w:tc>
          <w:tcPr>
            <w:tcW w:w="4678" w:type="dxa"/>
          </w:tcPr>
          <w:p w:rsidR="00BC0474" w:rsidRPr="009F5E7E" w:rsidRDefault="009F5E7E" w:rsidP="006378CF">
            <w:pPr>
              <w:rPr>
                <w:rFonts w:ascii="Arial" w:hAnsi="Arial" w:cs="Arial"/>
                <w:sz w:val="20"/>
              </w:rPr>
            </w:pPr>
            <w:r w:rsidRPr="009F5E7E">
              <w:rPr>
                <w:rFonts w:ascii="Arial" w:hAnsi="Arial" w:cs="Arial"/>
                <w:iCs/>
                <w:sz w:val="20"/>
              </w:rPr>
              <w:t xml:space="preserve">The sponsor will be considering its position regarding any future course of action. </w:t>
            </w:r>
          </w:p>
        </w:tc>
      </w:tr>
    </w:tbl>
    <w:p w:rsidR="0078027D" w:rsidRPr="0010394D" w:rsidRDefault="0078027D" w:rsidP="0010394D">
      <w:pPr>
        <w:pStyle w:val="Title"/>
        <w:jc w:val="left"/>
      </w:pPr>
    </w:p>
    <w:sectPr w:rsidR="0078027D" w:rsidRPr="0010394D">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40" w:right="1440" w:bottom="175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B8" w:rsidRDefault="00E56DB8">
      <w:r>
        <w:separator/>
      </w:r>
    </w:p>
  </w:endnote>
  <w:endnote w:type="continuationSeparator" w:id="0">
    <w:p w:rsidR="00E56DB8" w:rsidRDefault="00E5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B8" w:rsidRDefault="00E56DB8">
      <w:r>
        <w:separator/>
      </w:r>
    </w:p>
  </w:footnote>
  <w:footnote w:type="continuationSeparator" w:id="0">
    <w:p w:rsidR="00E56DB8" w:rsidRDefault="00E56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47" w:rsidRDefault="00382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8"/>
  </w:num>
  <w:num w:numId="4">
    <w:abstractNumId w:val="7"/>
  </w:num>
  <w:num w:numId="5">
    <w:abstractNumId w:val="2"/>
  </w:num>
  <w:num w:numId="6">
    <w:abstractNumId w:val="10"/>
  </w:num>
  <w:num w:numId="7">
    <w:abstractNumId w:val="5"/>
  </w:num>
  <w:num w:numId="8">
    <w:abstractNumId w:val="3"/>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E49"/>
    <w:rsid w:val="00046D30"/>
    <w:rsid w:val="000632B7"/>
    <w:rsid w:val="00063F01"/>
    <w:rsid w:val="0009305C"/>
    <w:rsid w:val="000B4313"/>
    <w:rsid w:val="000B6738"/>
    <w:rsid w:val="000D1304"/>
    <w:rsid w:val="000D3717"/>
    <w:rsid w:val="000E406F"/>
    <w:rsid w:val="000E52C4"/>
    <w:rsid w:val="0010394D"/>
    <w:rsid w:val="00170906"/>
    <w:rsid w:val="001810B2"/>
    <w:rsid w:val="001C0908"/>
    <w:rsid w:val="001D38D0"/>
    <w:rsid w:val="001F5344"/>
    <w:rsid w:val="002007BA"/>
    <w:rsid w:val="00204DB4"/>
    <w:rsid w:val="00220228"/>
    <w:rsid w:val="00220C3F"/>
    <w:rsid w:val="00237031"/>
    <w:rsid w:val="00241E9E"/>
    <w:rsid w:val="002440EA"/>
    <w:rsid w:val="002460D4"/>
    <w:rsid w:val="00255313"/>
    <w:rsid w:val="00256ACE"/>
    <w:rsid w:val="002861D6"/>
    <w:rsid w:val="00287BC5"/>
    <w:rsid w:val="002A42C5"/>
    <w:rsid w:val="002A46E6"/>
    <w:rsid w:val="002A5152"/>
    <w:rsid w:val="002E5B33"/>
    <w:rsid w:val="002F0F71"/>
    <w:rsid w:val="002F5086"/>
    <w:rsid w:val="00302B1F"/>
    <w:rsid w:val="00303527"/>
    <w:rsid w:val="00305656"/>
    <w:rsid w:val="00312E87"/>
    <w:rsid w:val="00320F76"/>
    <w:rsid w:val="00322CA5"/>
    <w:rsid w:val="00367CA3"/>
    <w:rsid w:val="00382247"/>
    <w:rsid w:val="0039594A"/>
    <w:rsid w:val="0039641E"/>
    <w:rsid w:val="003B6CFA"/>
    <w:rsid w:val="003C3492"/>
    <w:rsid w:val="003E2DEC"/>
    <w:rsid w:val="003E3C69"/>
    <w:rsid w:val="003E5ACC"/>
    <w:rsid w:val="003F7763"/>
    <w:rsid w:val="00416C9D"/>
    <w:rsid w:val="0043706A"/>
    <w:rsid w:val="00446F57"/>
    <w:rsid w:val="0044777F"/>
    <w:rsid w:val="00467522"/>
    <w:rsid w:val="00475539"/>
    <w:rsid w:val="00477C5E"/>
    <w:rsid w:val="0049673E"/>
    <w:rsid w:val="004968F4"/>
    <w:rsid w:val="004A7506"/>
    <w:rsid w:val="004A76AD"/>
    <w:rsid w:val="004C0A09"/>
    <w:rsid w:val="004C3700"/>
    <w:rsid w:val="004D2DFC"/>
    <w:rsid w:val="004E4BB3"/>
    <w:rsid w:val="004E58AE"/>
    <w:rsid w:val="004E61E5"/>
    <w:rsid w:val="004E7F92"/>
    <w:rsid w:val="004F53A2"/>
    <w:rsid w:val="005156A1"/>
    <w:rsid w:val="00524927"/>
    <w:rsid w:val="005334F6"/>
    <w:rsid w:val="00533EC6"/>
    <w:rsid w:val="00551121"/>
    <w:rsid w:val="00556A91"/>
    <w:rsid w:val="00565922"/>
    <w:rsid w:val="00575B97"/>
    <w:rsid w:val="00583A1F"/>
    <w:rsid w:val="00591511"/>
    <w:rsid w:val="005A4700"/>
    <w:rsid w:val="005B1359"/>
    <w:rsid w:val="005C51C0"/>
    <w:rsid w:val="005C529C"/>
    <w:rsid w:val="005C583B"/>
    <w:rsid w:val="005D0350"/>
    <w:rsid w:val="0062060A"/>
    <w:rsid w:val="006227C5"/>
    <w:rsid w:val="00636B27"/>
    <w:rsid w:val="006378CF"/>
    <w:rsid w:val="00655D5C"/>
    <w:rsid w:val="00674FEC"/>
    <w:rsid w:val="00680915"/>
    <w:rsid w:val="006A4BE8"/>
    <w:rsid w:val="006C196C"/>
    <w:rsid w:val="006C1CD8"/>
    <w:rsid w:val="006F3F91"/>
    <w:rsid w:val="006F40D1"/>
    <w:rsid w:val="00704ABF"/>
    <w:rsid w:val="00704E74"/>
    <w:rsid w:val="00720097"/>
    <w:rsid w:val="00735D52"/>
    <w:rsid w:val="00751128"/>
    <w:rsid w:val="0075364D"/>
    <w:rsid w:val="007572F6"/>
    <w:rsid w:val="0076473F"/>
    <w:rsid w:val="00770B47"/>
    <w:rsid w:val="0078027D"/>
    <w:rsid w:val="00784382"/>
    <w:rsid w:val="0079164A"/>
    <w:rsid w:val="007A29FA"/>
    <w:rsid w:val="007A361E"/>
    <w:rsid w:val="007C0EDE"/>
    <w:rsid w:val="007C49CE"/>
    <w:rsid w:val="007D085A"/>
    <w:rsid w:val="0080031A"/>
    <w:rsid w:val="0080046E"/>
    <w:rsid w:val="008068F2"/>
    <w:rsid w:val="00815D6B"/>
    <w:rsid w:val="0081702A"/>
    <w:rsid w:val="00821E75"/>
    <w:rsid w:val="00826000"/>
    <w:rsid w:val="00842F8C"/>
    <w:rsid w:val="00850073"/>
    <w:rsid w:val="0086299E"/>
    <w:rsid w:val="0086603E"/>
    <w:rsid w:val="008A5929"/>
    <w:rsid w:val="008B7160"/>
    <w:rsid w:val="008C185A"/>
    <w:rsid w:val="008D676E"/>
    <w:rsid w:val="008D72BA"/>
    <w:rsid w:val="008E0965"/>
    <w:rsid w:val="009044AF"/>
    <w:rsid w:val="009224BE"/>
    <w:rsid w:val="00934AD5"/>
    <w:rsid w:val="00947987"/>
    <w:rsid w:val="00957F9F"/>
    <w:rsid w:val="00972B1B"/>
    <w:rsid w:val="00991AFC"/>
    <w:rsid w:val="009B2F04"/>
    <w:rsid w:val="009B6E95"/>
    <w:rsid w:val="009B7CBE"/>
    <w:rsid w:val="009C7FD0"/>
    <w:rsid w:val="009D1D30"/>
    <w:rsid w:val="009E299C"/>
    <w:rsid w:val="009E6539"/>
    <w:rsid w:val="009F0ED6"/>
    <w:rsid w:val="009F42BE"/>
    <w:rsid w:val="009F5E7E"/>
    <w:rsid w:val="00A07C14"/>
    <w:rsid w:val="00A42D88"/>
    <w:rsid w:val="00A55002"/>
    <w:rsid w:val="00A56ED7"/>
    <w:rsid w:val="00A62091"/>
    <w:rsid w:val="00A62D7E"/>
    <w:rsid w:val="00A74BD3"/>
    <w:rsid w:val="00A90F44"/>
    <w:rsid w:val="00A913CA"/>
    <w:rsid w:val="00AD3357"/>
    <w:rsid w:val="00AE346B"/>
    <w:rsid w:val="00AE3F52"/>
    <w:rsid w:val="00AF4A3C"/>
    <w:rsid w:val="00B26FF7"/>
    <w:rsid w:val="00B43E46"/>
    <w:rsid w:val="00B80FE3"/>
    <w:rsid w:val="00BC0474"/>
    <w:rsid w:val="00BC1FB7"/>
    <w:rsid w:val="00BC55C3"/>
    <w:rsid w:val="00BD6EBF"/>
    <w:rsid w:val="00BE58B8"/>
    <w:rsid w:val="00BE7D88"/>
    <w:rsid w:val="00C110F0"/>
    <w:rsid w:val="00C2561B"/>
    <w:rsid w:val="00C26A1C"/>
    <w:rsid w:val="00C333D1"/>
    <w:rsid w:val="00C355A7"/>
    <w:rsid w:val="00C4326C"/>
    <w:rsid w:val="00C44762"/>
    <w:rsid w:val="00C464A5"/>
    <w:rsid w:val="00C9450F"/>
    <w:rsid w:val="00C94D2C"/>
    <w:rsid w:val="00CA2B5C"/>
    <w:rsid w:val="00CD3345"/>
    <w:rsid w:val="00CE3D26"/>
    <w:rsid w:val="00D06895"/>
    <w:rsid w:val="00D230A2"/>
    <w:rsid w:val="00D3127D"/>
    <w:rsid w:val="00D641C2"/>
    <w:rsid w:val="00D65DDC"/>
    <w:rsid w:val="00D85166"/>
    <w:rsid w:val="00D905C6"/>
    <w:rsid w:val="00DB0BAD"/>
    <w:rsid w:val="00DB3394"/>
    <w:rsid w:val="00DB589E"/>
    <w:rsid w:val="00DB63C7"/>
    <w:rsid w:val="00DD5B1D"/>
    <w:rsid w:val="00DD66E2"/>
    <w:rsid w:val="00DE6421"/>
    <w:rsid w:val="00DF703C"/>
    <w:rsid w:val="00E16367"/>
    <w:rsid w:val="00E331E0"/>
    <w:rsid w:val="00E47E9A"/>
    <w:rsid w:val="00E508BC"/>
    <w:rsid w:val="00E56DB8"/>
    <w:rsid w:val="00E60ACD"/>
    <w:rsid w:val="00E77EAA"/>
    <w:rsid w:val="00E86609"/>
    <w:rsid w:val="00EA02A3"/>
    <w:rsid w:val="00EA6994"/>
    <w:rsid w:val="00EE1E65"/>
    <w:rsid w:val="00EE5442"/>
    <w:rsid w:val="00EF026E"/>
    <w:rsid w:val="00F20487"/>
    <w:rsid w:val="00F215D2"/>
    <w:rsid w:val="00F23F38"/>
    <w:rsid w:val="00F25545"/>
    <w:rsid w:val="00F40665"/>
    <w:rsid w:val="00F43732"/>
    <w:rsid w:val="00F52E0A"/>
    <w:rsid w:val="00F72B54"/>
    <w:rsid w:val="00F82673"/>
    <w:rsid w:val="00F83FA8"/>
    <w:rsid w:val="00F924D9"/>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ListBullet">
    <w:name w:val="List Bullet"/>
    <w:basedOn w:val="Normal"/>
    <w:autoRedefine/>
    <w:rsid w:val="009F0ED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ListBullet">
    <w:name w:val="List Bullet"/>
    <w:basedOn w:val="Normal"/>
    <w:autoRedefine/>
    <w:rsid w:val="009F0ED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Links>
    <vt:vector size="6" baseType="variant">
      <vt:variant>
        <vt:i4>7798824</vt:i4>
      </vt:variant>
      <vt:variant>
        <vt:i4>0</vt:i4>
      </vt:variant>
      <vt:variant>
        <vt:i4>0</vt:i4>
      </vt:variant>
      <vt:variant>
        <vt:i4>5</vt:i4>
      </vt:variant>
      <vt:variant>
        <vt:lpwstr>http://www.pbs.gov.au/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2014-08-22T01:35:00Z</dcterms:created>
  <dcterms:modified xsi:type="dcterms:W3CDTF">2014-08-22T01:35:00Z</dcterms:modified>
</cp:coreProperties>
</file>