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Pr="00784311" w:rsidRDefault="007D408D" w:rsidP="00F773FD">
      <w:pPr>
        <w:rPr>
          <w:rFonts w:ascii="Arial" w:hAnsi="Arial" w:cs="Arial"/>
        </w:rPr>
      </w:pPr>
      <w:bookmarkStart w:id="0" w:name="_GoBack"/>
      <w:bookmarkEnd w:id="0"/>
    </w:p>
    <w:p w:rsidR="00784311" w:rsidRPr="00784311" w:rsidRDefault="00784311" w:rsidP="00F773FD">
      <w:pPr>
        <w:rPr>
          <w:rFonts w:ascii="Arial" w:hAnsi="Arial" w:cs="Arial"/>
        </w:rPr>
      </w:pPr>
    </w:p>
    <w:tbl>
      <w:tblPr>
        <w:tblW w:w="1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2224"/>
        <w:gridCol w:w="2538"/>
        <w:gridCol w:w="2269"/>
        <w:gridCol w:w="2835"/>
        <w:gridCol w:w="5387"/>
      </w:tblGrid>
      <w:tr w:rsidR="001B73E2" w:rsidRPr="00784311" w:rsidTr="001B73E2">
        <w:trPr>
          <w:tblHeader/>
        </w:trPr>
        <w:tc>
          <w:tcPr>
            <w:tcW w:w="0" w:type="auto"/>
            <w:tcMar>
              <w:top w:w="28" w:type="dxa"/>
              <w:bottom w:w="28" w:type="dxa"/>
            </w:tcMar>
          </w:tcPr>
          <w:p w:rsidR="00EE7966" w:rsidRPr="00784311" w:rsidRDefault="00EE7966" w:rsidP="00F773FD">
            <w:pPr>
              <w:widowControl w:val="0"/>
              <w:jc w:val="center"/>
              <w:rPr>
                <w:rFonts w:ascii="Arial" w:hAnsi="Arial" w:cs="Arial"/>
                <w:b/>
              </w:rPr>
            </w:pPr>
            <w:r w:rsidRPr="00784311">
              <w:rPr>
                <w:rFonts w:ascii="Arial" w:hAnsi="Arial" w:cs="Arial"/>
                <w:b/>
              </w:rPr>
              <w:t>Drug Name, form(s), strength(s) and Sponsor</w:t>
            </w:r>
          </w:p>
        </w:tc>
        <w:tc>
          <w:tcPr>
            <w:tcW w:w="2538" w:type="dxa"/>
          </w:tcPr>
          <w:p w:rsidR="00EE7966" w:rsidRPr="00784311" w:rsidRDefault="00EE7966" w:rsidP="00F773FD">
            <w:pPr>
              <w:widowControl w:val="0"/>
              <w:jc w:val="center"/>
              <w:rPr>
                <w:rFonts w:ascii="Arial" w:hAnsi="Arial" w:cs="Arial"/>
                <w:b/>
                <w:snapToGrid w:val="0"/>
                <w:lang w:eastAsia="en-US"/>
              </w:rPr>
            </w:pPr>
            <w:r w:rsidRPr="00784311">
              <w:rPr>
                <w:rFonts w:ascii="Arial" w:hAnsi="Arial" w:cs="Arial"/>
                <w:b/>
                <w:snapToGrid w:val="0"/>
                <w:lang w:eastAsia="en-US"/>
              </w:rPr>
              <w:t>TGA Indication</w:t>
            </w:r>
          </w:p>
        </w:tc>
        <w:tc>
          <w:tcPr>
            <w:tcW w:w="2269" w:type="dxa"/>
            <w:tcMar>
              <w:top w:w="28" w:type="dxa"/>
              <w:bottom w:w="28" w:type="dxa"/>
            </w:tcMar>
          </w:tcPr>
          <w:p w:rsidR="00EE7966" w:rsidRPr="00784311" w:rsidRDefault="00EE7966" w:rsidP="00F773FD">
            <w:pPr>
              <w:widowControl w:val="0"/>
              <w:jc w:val="center"/>
              <w:rPr>
                <w:rFonts w:ascii="Arial" w:hAnsi="Arial" w:cs="Arial"/>
                <w:b/>
                <w:snapToGrid w:val="0"/>
                <w:lang w:eastAsia="en-US"/>
              </w:rPr>
            </w:pPr>
            <w:r w:rsidRPr="00784311">
              <w:rPr>
                <w:rFonts w:ascii="Arial" w:hAnsi="Arial" w:cs="Arial"/>
                <w:b/>
                <w:snapToGrid w:val="0"/>
                <w:lang w:eastAsia="en-US"/>
              </w:rPr>
              <w:t>Current PBS Listing</w:t>
            </w:r>
          </w:p>
          <w:p w:rsidR="00EE7966" w:rsidRPr="00784311" w:rsidRDefault="00EE7966" w:rsidP="00F773FD">
            <w:pPr>
              <w:widowControl w:val="0"/>
              <w:jc w:val="center"/>
              <w:rPr>
                <w:rFonts w:ascii="Arial" w:hAnsi="Arial" w:cs="Arial"/>
                <w:b/>
                <w:i/>
                <w:snapToGrid w:val="0"/>
                <w:lang w:eastAsia="en-US"/>
              </w:rPr>
            </w:pPr>
          </w:p>
        </w:tc>
        <w:tc>
          <w:tcPr>
            <w:tcW w:w="2835" w:type="dxa"/>
            <w:tcMar>
              <w:top w:w="28" w:type="dxa"/>
              <w:bottom w:w="28" w:type="dxa"/>
            </w:tcMar>
          </w:tcPr>
          <w:p w:rsidR="00EE7966" w:rsidRPr="00784311" w:rsidRDefault="00EE7966" w:rsidP="00F773FD">
            <w:pPr>
              <w:widowControl w:val="0"/>
              <w:jc w:val="center"/>
              <w:rPr>
                <w:rFonts w:ascii="Arial" w:hAnsi="Arial" w:cs="Arial"/>
                <w:b/>
                <w:snapToGrid w:val="0"/>
                <w:lang w:eastAsia="en-US"/>
              </w:rPr>
            </w:pPr>
            <w:r w:rsidRPr="00784311">
              <w:rPr>
                <w:rFonts w:ascii="Arial" w:hAnsi="Arial" w:cs="Arial"/>
                <w:b/>
                <w:snapToGrid w:val="0"/>
                <w:lang w:eastAsia="en-US"/>
              </w:rPr>
              <w:t>Listing requested by Sponsor / Purpose of Submission</w:t>
            </w:r>
          </w:p>
        </w:tc>
        <w:tc>
          <w:tcPr>
            <w:tcW w:w="5387" w:type="dxa"/>
            <w:vAlign w:val="center"/>
          </w:tcPr>
          <w:p w:rsidR="00EE7966" w:rsidRPr="00784311" w:rsidRDefault="00EE7966" w:rsidP="00F773FD">
            <w:pPr>
              <w:pStyle w:val="Header"/>
              <w:jc w:val="center"/>
              <w:rPr>
                <w:rFonts w:ascii="Arial" w:hAnsi="Arial" w:cs="Arial"/>
                <w:b/>
                <w:snapToGrid w:val="0"/>
                <w:lang w:eastAsia="en-US"/>
              </w:rPr>
            </w:pPr>
            <w:r w:rsidRPr="00784311">
              <w:rPr>
                <w:rFonts w:ascii="Arial" w:hAnsi="Arial" w:cs="Arial"/>
                <w:b/>
                <w:snapToGrid w:val="0"/>
                <w:lang w:eastAsia="en-US"/>
              </w:rPr>
              <w:t>PBAC Recommendation</w:t>
            </w:r>
          </w:p>
        </w:tc>
      </w:tr>
      <w:tr w:rsidR="001B73E2" w:rsidRPr="00784311" w:rsidTr="001B73E2">
        <w:tc>
          <w:tcPr>
            <w:tcW w:w="0" w:type="auto"/>
            <w:vMerge w:val="restart"/>
            <w:tcMar>
              <w:top w:w="28" w:type="dxa"/>
              <w:bottom w:w="28" w:type="dxa"/>
            </w:tcMar>
          </w:tcPr>
          <w:p w:rsidR="00A369F1" w:rsidRPr="00784311" w:rsidRDefault="00A369F1" w:rsidP="00F773FD">
            <w:pPr>
              <w:rPr>
                <w:rFonts w:ascii="Arial" w:hAnsi="Arial" w:cs="Arial"/>
              </w:rPr>
            </w:pPr>
            <w:r w:rsidRPr="00784311">
              <w:rPr>
                <w:rFonts w:ascii="Arial" w:hAnsi="Arial" w:cs="Arial"/>
              </w:rPr>
              <w:t>AFLIBERCEPT, 2 mg/0.05 mL injection, 1 x 0.05 mL vial and 2 mg/0.05 mL injection, 1 x 0.05 mL syringe</w:t>
            </w:r>
          </w:p>
          <w:p w:rsidR="00A369F1" w:rsidRPr="00784311" w:rsidRDefault="00A369F1" w:rsidP="00F773FD">
            <w:pPr>
              <w:rPr>
                <w:rFonts w:ascii="Arial" w:hAnsi="Arial" w:cs="Arial"/>
              </w:rPr>
            </w:pPr>
          </w:p>
          <w:p w:rsidR="00A369F1" w:rsidRPr="00784311" w:rsidRDefault="00A369F1" w:rsidP="00F773FD">
            <w:pPr>
              <w:rPr>
                <w:rFonts w:ascii="Arial" w:hAnsi="Arial" w:cs="Arial"/>
                <w:snapToGrid w:val="0"/>
                <w:vertAlign w:val="superscript"/>
                <w:lang w:eastAsia="en-US"/>
              </w:rPr>
            </w:pPr>
            <w:r w:rsidRPr="00784311">
              <w:rPr>
                <w:rFonts w:ascii="Arial" w:hAnsi="Arial" w:cs="Arial"/>
              </w:rPr>
              <w:t>Eylea</w:t>
            </w:r>
            <w:r w:rsidRPr="00784311">
              <w:rPr>
                <w:rFonts w:ascii="Arial" w:hAnsi="Arial" w:cs="Arial"/>
                <w:snapToGrid w:val="0"/>
                <w:vertAlign w:val="superscript"/>
                <w:lang w:eastAsia="en-US"/>
              </w:rPr>
              <w:t>®</w:t>
            </w:r>
          </w:p>
          <w:p w:rsidR="00A369F1" w:rsidRPr="00784311" w:rsidRDefault="00A369F1" w:rsidP="00F773FD">
            <w:pPr>
              <w:rPr>
                <w:rFonts w:ascii="Arial" w:hAnsi="Arial" w:cs="Arial"/>
                <w:snapToGrid w:val="0"/>
                <w:lang w:eastAsia="en-US"/>
              </w:rPr>
            </w:pP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Bayer Australia Ltd</w:t>
            </w:r>
          </w:p>
        </w:tc>
        <w:tc>
          <w:tcPr>
            <w:tcW w:w="2538" w:type="dxa"/>
            <w:vMerge w:val="restart"/>
          </w:tcPr>
          <w:p w:rsidR="00A369F1" w:rsidRPr="00784311" w:rsidRDefault="00A369F1" w:rsidP="00F773FD">
            <w:pPr>
              <w:pStyle w:val="Footer"/>
              <w:rPr>
                <w:rFonts w:ascii="Arial" w:hAnsi="Arial" w:cs="Arial"/>
              </w:rPr>
            </w:pPr>
            <w:r w:rsidRPr="00784311">
              <w:rPr>
                <w:rFonts w:ascii="Arial" w:hAnsi="Arial" w:cs="Arial"/>
              </w:rPr>
              <w:t>Indicated in adults for treatment of:</w:t>
            </w:r>
          </w:p>
          <w:p w:rsidR="00A369F1" w:rsidRPr="00784311" w:rsidRDefault="00A369F1" w:rsidP="00F773FD">
            <w:pPr>
              <w:pStyle w:val="Footer"/>
              <w:rPr>
                <w:rFonts w:ascii="Arial" w:hAnsi="Arial" w:cs="Arial"/>
              </w:rPr>
            </w:pPr>
            <w:r w:rsidRPr="00784311">
              <w:rPr>
                <w:rFonts w:ascii="Arial" w:hAnsi="Arial" w:cs="Arial"/>
              </w:rPr>
              <w:t>- neovascular (wet) age-related macular degeneration (wet AMD)</w:t>
            </w:r>
          </w:p>
          <w:p w:rsidR="00A369F1" w:rsidRPr="00784311" w:rsidRDefault="00A369F1" w:rsidP="00F773FD">
            <w:pPr>
              <w:pStyle w:val="Footer"/>
              <w:rPr>
                <w:rFonts w:ascii="Arial" w:hAnsi="Arial" w:cs="Arial"/>
              </w:rPr>
            </w:pPr>
            <w:r w:rsidRPr="00784311">
              <w:rPr>
                <w:rFonts w:ascii="Arial" w:hAnsi="Arial" w:cs="Arial"/>
              </w:rPr>
              <w:t>and</w:t>
            </w:r>
          </w:p>
          <w:p w:rsidR="00A369F1" w:rsidRPr="00784311" w:rsidRDefault="00A369F1" w:rsidP="00F773FD">
            <w:pPr>
              <w:pStyle w:val="Footer"/>
              <w:rPr>
                <w:rFonts w:ascii="Arial" w:hAnsi="Arial" w:cs="Arial"/>
              </w:rPr>
            </w:pPr>
            <w:r w:rsidRPr="00784311">
              <w:rPr>
                <w:rFonts w:ascii="Arial" w:hAnsi="Arial" w:cs="Arial"/>
              </w:rPr>
              <w:t>- visual impairment due to macular oedema secondary to central retinal vein occlusion (CRVO)</w:t>
            </w:r>
          </w:p>
        </w:tc>
        <w:tc>
          <w:tcPr>
            <w:tcW w:w="2269" w:type="dxa"/>
            <w:vMerge w:val="restart"/>
            <w:tcMar>
              <w:top w:w="28" w:type="dxa"/>
              <w:bottom w:w="28" w:type="dxa"/>
            </w:tcMar>
          </w:tcPr>
          <w:p w:rsidR="00A369F1" w:rsidRPr="00784311" w:rsidRDefault="00A369F1" w:rsidP="00F773FD">
            <w:pPr>
              <w:pStyle w:val="Footer"/>
              <w:rPr>
                <w:rFonts w:ascii="Arial" w:hAnsi="Arial" w:cs="Arial"/>
              </w:rPr>
            </w:pPr>
            <w:r w:rsidRPr="00784311">
              <w:rPr>
                <w:rFonts w:ascii="Arial" w:hAnsi="Arial" w:cs="Arial"/>
              </w:rPr>
              <w:t>Subfoveal choroidal neovascularisation (CNV) due to age-related macular degeneration (AMD)</w:t>
            </w: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rejected the submission on the basis of unacceptably high and likely underestimated cost-effectiveness for aflibercept compared with placebo, and on the basis of inadequate comparative data against compounded bevacizumab.</w:t>
            </w:r>
          </w:p>
          <w:p w:rsidR="00784311" w:rsidRPr="00784311" w:rsidRDefault="00784311" w:rsidP="00F773FD">
            <w:pPr>
              <w:widowControl w:val="0"/>
              <w:rPr>
                <w:rFonts w:ascii="Arial" w:hAnsi="Arial" w:cs="Arial"/>
                <w:snapToGrid w:val="0"/>
                <w:lang w:eastAsia="en-US"/>
              </w:rPr>
            </w:pPr>
          </w:p>
        </w:tc>
      </w:tr>
      <w:tr w:rsidR="001B73E2" w:rsidRPr="00784311" w:rsidTr="001B73E2">
        <w:tc>
          <w:tcPr>
            <w:tcW w:w="0" w:type="auto"/>
            <w:vMerge/>
            <w:tcMar>
              <w:top w:w="28" w:type="dxa"/>
              <w:bottom w:w="28" w:type="dxa"/>
            </w:tcMar>
          </w:tcPr>
          <w:p w:rsidR="00A369F1" w:rsidRPr="00784311" w:rsidRDefault="00A369F1" w:rsidP="00F773FD">
            <w:pPr>
              <w:rPr>
                <w:rFonts w:ascii="Arial" w:hAnsi="Arial" w:cs="Arial"/>
              </w:rPr>
            </w:pPr>
          </w:p>
        </w:tc>
        <w:tc>
          <w:tcPr>
            <w:tcW w:w="2538" w:type="dxa"/>
            <w:vMerge/>
          </w:tcPr>
          <w:p w:rsidR="00A369F1" w:rsidRPr="00784311" w:rsidRDefault="00A369F1" w:rsidP="00F773FD">
            <w:pPr>
              <w:pStyle w:val="Footer"/>
              <w:rPr>
                <w:rFonts w:ascii="Arial" w:hAnsi="Arial" w:cs="Arial"/>
              </w:rPr>
            </w:pPr>
          </w:p>
        </w:tc>
        <w:tc>
          <w:tcPr>
            <w:tcW w:w="2269" w:type="dxa"/>
            <w:vMerge/>
            <w:tcMar>
              <w:top w:w="28" w:type="dxa"/>
              <w:bottom w:w="28" w:type="dxa"/>
            </w:tcMar>
          </w:tcPr>
          <w:p w:rsidR="00A369F1" w:rsidRPr="00784311" w:rsidRDefault="00A369F1" w:rsidP="00F773FD">
            <w:pPr>
              <w:pStyle w:val="Footer"/>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Listing Requested:</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Re-submission to request Authority required General Schedule listing for the treatment of macular oedema following central retinal vein occlusion (CRVO).</w:t>
            </w:r>
          </w:p>
          <w:p w:rsidR="00784311" w:rsidRPr="00784311" w:rsidRDefault="00784311" w:rsidP="00F773FD">
            <w:pPr>
              <w:widowControl w:val="0"/>
              <w:rPr>
                <w:rFonts w:ascii="Arial" w:hAnsi="Arial" w:cs="Arial"/>
                <w:snapToGrid w:val="0"/>
                <w:lang w:eastAsia="en-US"/>
              </w:rPr>
            </w:pP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noted that the requested restriction remained unchanged from the July 2013 submission and includes a requirement that patients have confirmed central retinal thickening on optical coherence tomography (OCT) and that continuing treatment be guided by OCT.</w:t>
            </w:r>
          </w:p>
          <w:p w:rsidR="00A369F1" w:rsidRPr="00784311" w:rsidRDefault="00A369F1" w:rsidP="00F773FD">
            <w:pPr>
              <w:widowControl w:val="0"/>
              <w:rPr>
                <w:rFonts w:ascii="Arial" w:hAnsi="Arial" w:cs="Arial"/>
                <w:snapToGrid w:val="0"/>
                <w:lang w:eastAsia="en-US"/>
              </w:rPr>
            </w:pPr>
          </w:p>
        </w:tc>
      </w:tr>
      <w:tr w:rsidR="001B73E2" w:rsidRPr="00784311" w:rsidTr="001B73E2">
        <w:tc>
          <w:tcPr>
            <w:tcW w:w="0" w:type="auto"/>
            <w:vMerge/>
            <w:tcMar>
              <w:top w:w="28" w:type="dxa"/>
              <w:bottom w:w="28" w:type="dxa"/>
            </w:tcMar>
          </w:tcPr>
          <w:p w:rsidR="00A369F1" w:rsidRPr="00784311" w:rsidRDefault="00A369F1" w:rsidP="00F773FD">
            <w:pPr>
              <w:rPr>
                <w:rFonts w:ascii="Arial" w:hAnsi="Arial" w:cs="Arial"/>
              </w:rPr>
            </w:pPr>
          </w:p>
        </w:tc>
        <w:tc>
          <w:tcPr>
            <w:tcW w:w="2538" w:type="dxa"/>
            <w:vMerge/>
          </w:tcPr>
          <w:p w:rsidR="00A369F1" w:rsidRPr="00784311" w:rsidRDefault="00A369F1" w:rsidP="00F773FD">
            <w:pPr>
              <w:pStyle w:val="Footer"/>
              <w:rPr>
                <w:rFonts w:ascii="Arial" w:hAnsi="Arial" w:cs="Arial"/>
              </w:rPr>
            </w:pPr>
          </w:p>
        </w:tc>
        <w:tc>
          <w:tcPr>
            <w:tcW w:w="2269" w:type="dxa"/>
            <w:vMerge/>
            <w:tcMar>
              <w:top w:w="28" w:type="dxa"/>
              <w:bottom w:w="28" w:type="dxa"/>
            </w:tcMar>
          </w:tcPr>
          <w:p w:rsidR="00A369F1" w:rsidRPr="00784311" w:rsidRDefault="00A369F1" w:rsidP="00F773FD">
            <w:pPr>
              <w:pStyle w:val="Footer"/>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Comparator:</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Best supportive care in the absence of injected therapy</w:t>
            </w: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considered that best supportive care in the absence of injected therapy was a relevant comparator and that the submitted sham-controlled trials provided relevant information for PBAC to compare aflibercept with best supportive care.</w:t>
            </w:r>
          </w:p>
          <w:p w:rsidR="00A369F1" w:rsidRPr="00784311" w:rsidRDefault="00A369F1" w:rsidP="00F773FD">
            <w:pPr>
              <w:widowControl w:val="0"/>
              <w:rPr>
                <w:rFonts w:ascii="Arial" w:hAnsi="Arial" w:cs="Arial"/>
                <w:snapToGrid w:val="0"/>
                <w:lang w:eastAsia="en-US"/>
              </w:rPr>
            </w:pP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considered that compounded bevacizumab was also a relevant comparator because evidence of its current use in patients who would be eligible for PBS-subsidised aflibercept means that prescribers would replace compounded bevacizumab in practice with aflibercept if the PBS subsidises aflibercept.</w:t>
            </w:r>
          </w:p>
          <w:p w:rsidR="00A369F1" w:rsidRPr="00784311" w:rsidRDefault="00A369F1" w:rsidP="00F773FD">
            <w:pPr>
              <w:widowControl w:val="0"/>
              <w:rPr>
                <w:rFonts w:ascii="Arial" w:hAnsi="Arial" w:cs="Arial"/>
                <w:snapToGrid w:val="0"/>
                <w:lang w:eastAsia="en-US"/>
              </w:rPr>
            </w:pP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noted Departmental advice that, if compounded bevacizumab were to be considered for PBS listing, its pricing for PBS purposes would most likely reflect the approach to pricing already applied to bevacizumab as an oncology medicine through the Efficient Chemotherapy Funding Program.</w:t>
            </w:r>
          </w:p>
          <w:p w:rsidR="00784311" w:rsidRPr="00784311" w:rsidRDefault="00784311" w:rsidP="00F773FD">
            <w:pPr>
              <w:widowControl w:val="0"/>
              <w:rPr>
                <w:rFonts w:ascii="Arial" w:hAnsi="Arial" w:cs="Arial"/>
                <w:snapToGrid w:val="0"/>
                <w:lang w:eastAsia="en-US"/>
              </w:rPr>
            </w:pPr>
          </w:p>
          <w:p w:rsidR="00784311" w:rsidRPr="00784311" w:rsidRDefault="00784311" w:rsidP="00F773FD">
            <w:pPr>
              <w:widowControl w:val="0"/>
              <w:rPr>
                <w:rFonts w:ascii="Arial" w:hAnsi="Arial" w:cs="Arial"/>
                <w:snapToGrid w:val="0"/>
                <w:lang w:eastAsia="en-US"/>
              </w:rPr>
            </w:pPr>
          </w:p>
        </w:tc>
      </w:tr>
      <w:tr w:rsidR="001B73E2" w:rsidRPr="00784311" w:rsidTr="001B73E2">
        <w:tc>
          <w:tcPr>
            <w:tcW w:w="0" w:type="auto"/>
            <w:vMerge/>
            <w:tcMar>
              <w:top w:w="28" w:type="dxa"/>
              <w:bottom w:w="28" w:type="dxa"/>
            </w:tcMar>
          </w:tcPr>
          <w:p w:rsidR="00A369F1" w:rsidRPr="00784311" w:rsidRDefault="00A369F1" w:rsidP="00F773FD">
            <w:pPr>
              <w:rPr>
                <w:rFonts w:ascii="Arial" w:hAnsi="Arial" w:cs="Arial"/>
              </w:rPr>
            </w:pPr>
          </w:p>
        </w:tc>
        <w:tc>
          <w:tcPr>
            <w:tcW w:w="2538" w:type="dxa"/>
            <w:vMerge/>
          </w:tcPr>
          <w:p w:rsidR="00A369F1" w:rsidRPr="00784311" w:rsidRDefault="00A369F1" w:rsidP="00F773FD">
            <w:pPr>
              <w:pStyle w:val="Footer"/>
              <w:rPr>
                <w:rFonts w:ascii="Arial" w:hAnsi="Arial" w:cs="Arial"/>
              </w:rPr>
            </w:pPr>
          </w:p>
        </w:tc>
        <w:tc>
          <w:tcPr>
            <w:tcW w:w="2269" w:type="dxa"/>
            <w:vMerge/>
            <w:tcMar>
              <w:top w:w="28" w:type="dxa"/>
              <w:bottom w:w="28" w:type="dxa"/>
            </w:tcMar>
          </w:tcPr>
          <w:p w:rsidR="00A369F1" w:rsidRPr="00784311" w:rsidRDefault="00A369F1" w:rsidP="00F773FD">
            <w:pPr>
              <w:pStyle w:val="Footer"/>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Clinical claim:</w:t>
            </w:r>
          </w:p>
          <w:p w:rsidR="0078431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As in July 2013, the resubmission claimed that aflibercept has superior effectiveness with a similar safety profile compared to placebo, and non-inferior in terms of efficacy and safety compared to ranibizumab.</w:t>
            </w: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accepted these claims in July 2013. The PBAC saw no reason to change its previous conclusions in its consideration of the resubmission.</w:t>
            </w:r>
          </w:p>
        </w:tc>
      </w:tr>
      <w:tr w:rsidR="001B73E2" w:rsidRPr="00784311" w:rsidTr="001B73E2">
        <w:tc>
          <w:tcPr>
            <w:tcW w:w="0" w:type="auto"/>
            <w:vMerge/>
            <w:tcMar>
              <w:top w:w="28" w:type="dxa"/>
              <w:bottom w:w="28" w:type="dxa"/>
            </w:tcMar>
          </w:tcPr>
          <w:p w:rsidR="00A369F1" w:rsidRPr="00784311" w:rsidRDefault="00A369F1" w:rsidP="00F773FD">
            <w:pPr>
              <w:rPr>
                <w:rFonts w:ascii="Arial" w:hAnsi="Arial" w:cs="Arial"/>
              </w:rPr>
            </w:pPr>
          </w:p>
        </w:tc>
        <w:tc>
          <w:tcPr>
            <w:tcW w:w="2538" w:type="dxa"/>
            <w:vMerge/>
          </w:tcPr>
          <w:p w:rsidR="00A369F1" w:rsidRPr="00784311" w:rsidRDefault="00A369F1" w:rsidP="00F773FD">
            <w:pPr>
              <w:pStyle w:val="Footer"/>
              <w:rPr>
                <w:rFonts w:ascii="Arial" w:hAnsi="Arial" w:cs="Arial"/>
              </w:rPr>
            </w:pPr>
          </w:p>
        </w:tc>
        <w:tc>
          <w:tcPr>
            <w:tcW w:w="2269" w:type="dxa"/>
            <w:vMerge/>
            <w:tcMar>
              <w:top w:w="28" w:type="dxa"/>
              <w:bottom w:w="28" w:type="dxa"/>
            </w:tcMar>
          </w:tcPr>
          <w:p w:rsidR="00A369F1" w:rsidRPr="00784311" w:rsidRDefault="00A369F1" w:rsidP="00F773FD">
            <w:pPr>
              <w:pStyle w:val="Footer"/>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Economic claim:</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Cost-utility analysis compared to placebo.</w:t>
            </w: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considered that an inherent issue in the model structure was the link between best corrected visual acuity (BCVA) of the affected eye (which forms the basis of the transition probabilities used) and utility values which are affected by the overall BCVA of the patient. The PBAC considered that this leads to a significant overestimate of the utility benefits of aflibercept, therefore the resulting incremental cost-effectiveness over placebo is highly favourable to aflibercept.</w:t>
            </w:r>
          </w:p>
          <w:p w:rsidR="00A369F1" w:rsidRPr="00784311" w:rsidRDefault="00A369F1" w:rsidP="00F773FD">
            <w:pPr>
              <w:widowControl w:val="0"/>
              <w:rPr>
                <w:rFonts w:ascii="Arial" w:hAnsi="Arial" w:cs="Arial"/>
                <w:snapToGrid w:val="0"/>
                <w:lang w:eastAsia="en-US"/>
              </w:rPr>
            </w:pP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The PBAC considered that more extensive respecification of the base case would be needed to account for this structural issue given the paucity of data.</w:t>
            </w:r>
          </w:p>
          <w:p w:rsidR="00A369F1" w:rsidRPr="00784311" w:rsidRDefault="00A369F1" w:rsidP="00F773FD">
            <w:pPr>
              <w:widowControl w:val="0"/>
              <w:rPr>
                <w:rFonts w:ascii="Arial" w:hAnsi="Arial" w:cs="Arial"/>
                <w:snapToGrid w:val="0"/>
                <w:lang w:eastAsia="en-US"/>
              </w:rPr>
            </w:pP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Notwithstanding the inherent issue with the model structure in relation to the utility consequences of unilateral blindness being overestimated in the economic model, the PBAC further considered that the lifetime time horizon of the model was not adequately justified given the lack of knowledge of the long-term treatment effect and the potential for recurrence of CRVO.</w:t>
            </w:r>
          </w:p>
          <w:p w:rsidR="00A369F1" w:rsidRPr="00784311" w:rsidRDefault="00A369F1" w:rsidP="00F773FD">
            <w:pPr>
              <w:widowControl w:val="0"/>
              <w:rPr>
                <w:rFonts w:ascii="Arial" w:hAnsi="Arial" w:cs="Arial"/>
                <w:snapToGrid w:val="0"/>
                <w:lang w:eastAsia="en-US"/>
              </w:rPr>
            </w:pPr>
          </w:p>
        </w:tc>
      </w:tr>
      <w:tr w:rsidR="001B73E2" w:rsidRPr="00784311" w:rsidTr="001B73E2">
        <w:tc>
          <w:tcPr>
            <w:tcW w:w="0" w:type="auto"/>
            <w:vMerge/>
            <w:tcMar>
              <w:top w:w="28" w:type="dxa"/>
              <w:bottom w:w="28" w:type="dxa"/>
            </w:tcMar>
          </w:tcPr>
          <w:p w:rsidR="00A369F1" w:rsidRPr="00784311" w:rsidRDefault="00A369F1" w:rsidP="00F773FD">
            <w:pPr>
              <w:rPr>
                <w:rFonts w:ascii="Arial" w:hAnsi="Arial" w:cs="Arial"/>
              </w:rPr>
            </w:pPr>
          </w:p>
        </w:tc>
        <w:tc>
          <w:tcPr>
            <w:tcW w:w="2538" w:type="dxa"/>
            <w:vMerge/>
          </w:tcPr>
          <w:p w:rsidR="00A369F1" w:rsidRPr="00784311" w:rsidRDefault="00A369F1" w:rsidP="00F773FD">
            <w:pPr>
              <w:pStyle w:val="Footer"/>
              <w:rPr>
                <w:rFonts w:ascii="Arial" w:hAnsi="Arial" w:cs="Arial"/>
              </w:rPr>
            </w:pPr>
          </w:p>
        </w:tc>
        <w:tc>
          <w:tcPr>
            <w:tcW w:w="2269" w:type="dxa"/>
            <w:vMerge/>
            <w:tcMar>
              <w:top w:w="28" w:type="dxa"/>
              <w:bottom w:w="28" w:type="dxa"/>
            </w:tcMar>
          </w:tcPr>
          <w:p w:rsidR="00A369F1" w:rsidRPr="00784311" w:rsidRDefault="00A369F1" w:rsidP="00F773FD">
            <w:pPr>
              <w:pStyle w:val="Footer"/>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Sponsor’s comments:</w:t>
            </w:r>
          </w:p>
          <w:p w:rsidR="00A369F1" w:rsidRPr="00784311" w:rsidRDefault="00A369F1" w:rsidP="00F773FD">
            <w:pPr>
              <w:widowControl w:val="0"/>
              <w:rPr>
                <w:rFonts w:ascii="Arial" w:hAnsi="Arial" w:cs="Arial"/>
                <w:snapToGrid w:val="0"/>
                <w:lang w:eastAsia="en-US"/>
              </w:rPr>
            </w:pPr>
          </w:p>
        </w:tc>
        <w:tc>
          <w:tcPr>
            <w:tcW w:w="5387" w:type="dxa"/>
          </w:tcPr>
          <w:p w:rsidR="00A369F1" w:rsidRPr="00784311" w:rsidRDefault="00D0084B" w:rsidP="00F773FD">
            <w:pPr>
              <w:keepNext/>
              <w:rPr>
                <w:rFonts w:ascii="Arial" w:hAnsi="Arial" w:cs="Arial"/>
              </w:rPr>
            </w:pPr>
            <w:r w:rsidRPr="00784311">
              <w:rPr>
                <w:rFonts w:ascii="Arial" w:hAnsi="Arial" w:cs="Arial"/>
              </w:rPr>
              <w:t xml:space="preserve">Bayer is concerned that the PBAC considers a product that has not been approved, formulated or manufactured for use in eye disease in Australia as an appropriate comparator against a TGA approved treatment in the reimbursement assessment.   </w:t>
            </w:r>
          </w:p>
          <w:p w:rsidR="00784311" w:rsidRPr="00784311" w:rsidRDefault="00784311" w:rsidP="00F773FD">
            <w:pPr>
              <w:keepNext/>
              <w:rPr>
                <w:rFonts w:ascii="Arial" w:hAnsi="Arial" w:cs="Arial"/>
              </w:rPr>
            </w:pPr>
          </w:p>
        </w:tc>
      </w:tr>
      <w:tr w:rsidR="00784311" w:rsidRPr="00784311" w:rsidTr="001B73E2">
        <w:tc>
          <w:tcPr>
            <w:tcW w:w="0" w:type="auto"/>
            <w:vMerge w:val="restart"/>
            <w:tcMar>
              <w:top w:w="28" w:type="dxa"/>
              <w:bottom w:w="28" w:type="dxa"/>
            </w:tcMar>
          </w:tcPr>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lastRenderedPageBreak/>
              <w:t>BEVACIZUMAB, 100 mg/4 mL injection, 1 x 4mL vial and 400 mg/16 mL injection, 1x16 mL vial</w:t>
            </w:r>
          </w:p>
          <w:p w:rsidR="00784311" w:rsidRPr="00784311" w:rsidRDefault="00784311" w:rsidP="005D2119">
            <w:pPr>
              <w:tabs>
                <w:tab w:val="left" w:pos="4170"/>
              </w:tabs>
              <w:rPr>
                <w:rFonts w:ascii="Arial" w:hAnsi="Arial" w:cs="Arial"/>
                <w:snapToGrid w:val="0"/>
                <w:lang w:eastAsia="en-US"/>
              </w:rPr>
            </w:pP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Avastin</w:t>
            </w:r>
            <w:r w:rsidRPr="00784311">
              <w:rPr>
                <w:rFonts w:ascii="Arial" w:hAnsi="Arial" w:cs="Arial"/>
                <w:snapToGrid w:val="0"/>
                <w:vertAlign w:val="superscript"/>
                <w:lang w:eastAsia="en-US"/>
              </w:rPr>
              <w:t>®</w:t>
            </w:r>
          </w:p>
          <w:p w:rsidR="00784311" w:rsidRPr="00784311" w:rsidRDefault="00784311" w:rsidP="005D2119">
            <w:pPr>
              <w:tabs>
                <w:tab w:val="left" w:pos="4170"/>
              </w:tabs>
              <w:rPr>
                <w:rFonts w:ascii="Arial" w:hAnsi="Arial" w:cs="Arial"/>
                <w:snapToGrid w:val="0"/>
                <w:lang w:eastAsia="en-US"/>
              </w:rPr>
            </w:pPr>
          </w:p>
          <w:p w:rsidR="00784311" w:rsidRPr="00784311" w:rsidRDefault="00784311" w:rsidP="005D2119">
            <w:pPr>
              <w:pStyle w:val="Header"/>
              <w:widowControl w:val="0"/>
              <w:tabs>
                <w:tab w:val="clear" w:pos="4153"/>
                <w:tab w:val="clear" w:pos="8306"/>
              </w:tabs>
              <w:rPr>
                <w:rStyle w:val="st"/>
                <w:rFonts w:ascii="Arial" w:hAnsi="Arial" w:cs="Arial"/>
                <w:snapToGrid w:val="0"/>
                <w:lang w:eastAsia="en-US"/>
              </w:rPr>
            </w:pPr>
            <w:r w:rsidRPr="00784311">
              <w:rPr>
                <w:rFonts w:ascii="Arial" w:hAnsi="Arial" w:cs="Arial"/>
                <w:snapToGrid w:val="0"/>
                <w:lang w:eastAsia="en-US"/>
              </w:rPr>
              <w:t>Roche Products Pty Limited</w:t>
            </w:r>
          </w:p>
        </w:tc>
        <w:tc>
          <w:tcPr>
            <w:tcW w:w="2538" w:type="dxa"/>
            <w:vMerge w:val="restart"/>
          </w:tcPr>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Indicated in the treatment of:</w:t>
            </w: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 metastatic colorectal cancer</w:t>
            </w: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 locally recurrent or metastatic breast cancer</w:t>
            </w: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 unresectable advanced, metastatic or recurrent, non-squamous non-small cell lung cancer</w:t>
            </w: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 advanced and/or metastatic renal cell carcinoma</w:t>
            </w: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 grade IV glioma</w:t>
            </w: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 epithelial ovarian, fallopian tube or primary peritoneal cancer</w:t>
            </w:r>
          </w:p>
        </w:tc>
        <w:tc>
          <w:tcPr>
            <w:tcW w:w="2269" w:type="dxa"/>
            <w:vMerge w:val="restart"/>
            <w:tcMar>
              <w:top w:w="28" w:type="dxa"/>
              <w:bottom w:w="28" w:type="dxa"/>
            </w:tcMar>
          </w:tcPr>
          <w:p w:rsidR="00784311" w:rsidRPr="00784311" w:rsidRDefault="00784311" w:rsidP="005D2119">
            <w:pPr>
              <w:widowControl w:val="0"/>
              <w:rPr>
                <w:rFonts w:ascii="Arial" w:hAnsi="Arial" w:cs="Arial"/>
              </w:rPr>
            </w:pPr>
            <w:r w:rsidRPr="00784311">
              <w:rPr>
                <w:rFonts w:ascii="Arial" w:hAnsi="Arial" w:cs="Arial"/>
              </w:rPr>
              <w:t>Metastatic colorectal cancer</w:t>
            </w:r>
          </w:p>
        </w:tc>
        <w:tc>
          <w:tcPr>
            <w:tcW w:w="2835" w:type="dxa"/>
            <w:tcMar>
              <w:top w:w="28" w:type="dxa"/>
              <w:bottom w:w="28" w:type="dxa"/>
            </w:tcMar>
          </w:tcPr>
          <w:p w:rsidR="00784311" w:rsidRPr="00784311" w:rsidRDefault="00784311" w:rsidP="005D2119">
            <w:pPr>
              <w:pStyle w:val="Header"/>
              <w:widowControl w:val="0"/>
              <w:tabs>
                <w:tab w:val="clear" w:pos="4153"/>
                <w:tab w:val="clear" w:pos="8306"/>
              </w:tabs>
              <w:rPr>
                <w:rFonts w:ascii="Arial" w:hAnsi="Arial" w:cs="Arial"/>
                <w:snapToGrid w:val="0"/>
                <w:lang w:eastAsia="en-US"/>
              </w:rPr>
            </w:pPr>
          </w:p>
        </w:tc>
        <w:tc>
          <w:tcPr>
            <w:tcW w:w="5387" w:type="dxa"/>
          </w:tcPr>
          <w:p w:rsidR="00784311" w:rsidRPr="00784311" w:rsidRDefault="00784311" w:rsidP="005D2119">
            <w:pPr>
              <w:pStyle w:val="ListParagraph"/>
              <w:ind w:left="0"/>
              <w:jc w:val="both"/>
              <w:rPr>
                <w:rFonts w:ascii="Arial" w:hAnsi="Arial" w:cs="Arial"/>
                <w:sz w:val="20"/>
                <w:szCs w:val="20"/>
              </w:rPr>
            </w:pPr>
            <w:r w:rsidRPr="00784311">
              <w:rPr>
                <w:rFonts w:ascii="Arial" w:hAnsi="Arial" w:cs="Arial"/>
                <w:sz w:val="20"/>
                <w:szCs w:val="20"/>
              </w:rPr>
              <w:t>The PBAC rejected the resubmission because it did not accept the re-modelling proposed by the applicant and therefore did not accept that the reduced rebate was justified in terms of cost-effectiveness.  Accordingly, the PBAC rejected the ICERs generated by these modelling approaches, as unacceptably high. The PBAC therefore reiterated its November 2013 recommendation in relation to the appropriate base case of the economic model and the consequence for the pricing of bevacizumab for the proposed restriction.</w:t>
            </w:r>
          </w:p>
          <w:p w:rsidR="00784311" w:rsidRPr="00784311" w:rsidRDefault="00784311" w:rsidP="005D2119">
            <w:pPr>
              <w:pStyle w:val="Header"/>
              <w:widowControl w:val="0"/>
              <w:tabs>
                <w:tab w:val="clear" w:pos="4153"/>
                <w:tab w:val="clear" w:pos="8306"/>
              </w:tabs>
              <w:rPr>
                <w:rFonts w:ascii="Arial" w:hAnsi="Arial" w:cs="Arial"/>
                <w:snapToGrid w:val="0"/>
                <w:lang w:eastAsia="en-US"/>
              </w:rPr>
            </w:pPr>
          </w:p>
        </w:tc>
      </w:tr>
      <w:tr w:rsidR="00784311" w:rsidRPr="00784311" w:rsidTr="001B73E2">
        <w:tc>
          <w:tcPr>
            <w:tcW w:w="0" w:type="auto"/>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538" w:type="dxa"/>
            <w:vMerge/>
          </w:tcPr>
          <w:p w:rsidR="00784311" w:rsidRPr="00784311" w:rsidRDefault="00784311" w:rsidP="00F773FD">
            <w:pPr>
              <w:widowControl w:val="0"/>
              <w:rPr>
                <w:rFonts w:ascii="Arial" w:hAnsi="Arial" w:cs="Arial"/>
                <w:snapToGrid w:val="0"/>
                <w:lang w:eastAsia="en-US"/>
              </w:rPr>
            </w:pPr>
          </w:p>
        </w:tc>
        <w:tc>
          <w:tcPr>
            <w:tcW w:w="2269" w:type="dxa"/>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835" w:type="dxa"/>
            <w:tcMar>
              <w:top w:w="28" w:type="dxa"/>
              <w:bottom w:w="28" w:type="dxa"/>
            </w:tcMar>
          </w:tcPr>
          <w:p w:rsidR="00784311" w:rsidRPr="00784311" w:rsidRDefault="00784311" w:rsidP="00F773FD">
            <w:pPr>
              <w:pStyle w:val="Header"/>
              <w:widowControl w:val="0"/>
              <w:tabs>
                <w:tab w:val="clear" w:pos="4153"/>
                <w:tab w:val="clear" w:pos="8306"/>
              </w:tabs>
              <w:rPr>
                <w:rFonts w:ascii="Arial" w:hAnsi="Arial" w:cs="Arial"/>
                <w:snapToGrid w:val="0"/>
                <w:lang w:eastAsia="en-US"/>
              </w:rPr>
            </w:pPr>
            <w:r w:rsidRPr="00784311">
              <w:rPr>
                <w:rFonts w:ascii="Arial" w:hAnsi="Arial" w:cs="Arial"/>
                <w:snapToGrid w:val="0"/>
                <w:lang w:eastAsia="en-US"/>
              </w:rPr>
              <w:t>Listing Requested: To request listing as a Section 100 (Efficient Funding of Chemotherapy Program) +/- STREAMLINED benefit for the first-line treatment of advanced epithelial ovarian, fallopian tube, or primary peritoneal cancer.</w:t>
            </w:r>
          </w:p>
          <w:p w:rsidR="00784311" w:rsidRPr="00784311" w:rsidRDefault="00784311" w:rsidP="00F773FD">
            <w:pPr>
              <w:pStyle w:val="Header"/>
              <w:widowControl w:val="0"/>
              <w:tabs>
                <w:tab w:val="clear" w:pos="4153"/>
                <w:tab w:val="clear" w:pos="8306"/>
              </w:tabs>
              <w:rPr>
                <w:rFonts w:ascii="Arial" w:hAnsi="Arial" w:cs="Arial"/>
                <w:snapToGrid w:val="0"/>
                <w:lang w:eastAsia="en-US"/>
              </w:rPr>
            </w:pPr>
          </w:p>
        </w:tc>
        <w:tc>
          <w:tcPr>
            <w:tcW w:w="5387" w:type="dxa"/>
          </w:tcPr>
          <w:p w:rsidR="00784311" w:rsidRPr="00784311" w:rsidRDefault="00784311" w:rsidP="005D2119">
            <w:pPr>
              <w:pStyle w:val="ListParagraph"/>
              <w:ind w:left="0"/>
              <w:jc w:val="both"/>
              <w:rPr>
                <w:rFonts w:ascii="Arial" w:hAnsi="Arial" w:cs="Arial"/>
                <w:sz w:val="20"/>
                <w:szCs w:val="20"/>
              </w:rPr>
            </w:pPr>
            <w:r w:rsidRPr="00784311">
              <w:rPr>
                <w:rFonts w:ascii="Arial" w:hAnsi="Arial" w:cs="Arial"/>
                <w:sz w:val="20"/>
                <w:szCs w:val="20"/>
              </w:rPr>
              <w:t>The PBAC noted that the applicant had agreed to the wording of the PBS restrictions, the maximum amount per dispensing (reflecting a 7.5 mg/kg dose) and the numbers of repeats (allowing a maximum of 18 cycles of bevacizumab) as suggested by the November 2013 PBAC meeting.</w:t>
            </w:r>
          </w:p>
          <w:p w:rsidR="00784311" w:rsidRPr="00784311" w:rsidRDefault="00784311" w:rsidP="00F773FD">
            <w:pPr>
              <w:pStyle w:val="Header"/>
              <w:widowControl w:val="0"/>
              <w:tabs>
                <w:tab w:val="clear" w:pos="4153"/>
                <w:tab w:val="clear" w:pos="8306"/>
              </w:tabs>
              <w:rPr>
                <w:rFonts w:ascii="Arial" w:hAnsi="Arial" w:cs="Arial"/>
                <w:snapToGrid w:val="0"/>
                <w:lang w:eastAsia="en-US"/>
              </w:rPr>
            </w:pPr>
          </w:p>
        </w:tc>
      </w:tr>
      <w:tr w:rsidR="00784311" w:rsidRPr="00784311" w:rsidTr="001B73E2">
        <w:tc>
          <w:tcPr>
            <w:tcW w:w="0" w:type="auto"/>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538" w:type="dxa"/>
            <w:vMerge/>
          </w:tcPr>
          <w:p w:rsidR="00784311" w:rsidRPr="00784311" w:rsidRDefault="00784311" w:rsidP="00F773FD">
            <w:pPr>
              <w:widowControl w:val="0"/>
              <w:rPr>
                <w:rFonts w:ascii="Arial" w:hAnsi="Arial" w:cs="Arial"/>
                <w:snapToGrid w:val="0"/>
                <w:lang w:eastAsia="en-US"/>
              </w:rPr>
            </w:pPr>
          </w:p>
        </w:tc>
        <w:tc>
          <w:tcPr>
            <w:tcW w:w="2269" w:type="dxa"/>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835" w:type="dxa"/>
            <w:tcMar>
              <w:top w:w="28" w:type="dxa"/>
              <w:bottom w:w="28" w:type="dxa"/>
            </w:tcMar>
          </w:tcPr>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Comparator:</w:t>
            </w:r>
          </w:p>
          <w:p w:rsidR="00784311" w:rsidRPr="00784311" w:rsidRDefault="00784311" w:rsidP="00F773FD">
            <w:pPr>
              <w:widowControl w:val="0"/>
              <w:rPr>
                <w:rFonts w:ascii="Arial" w:hAnsi="Arial" w:cs="Arial"/>
                <w:snapToGrid w:val="0"/>
                <w:lang w:eastAsia="en-US"/>
              </w:rPr>
            </w:pPr>
            <w:r w:rsidRPr="00784311">
              <w:rPr>
                <w:rFonts w:ascii="Arial" w:hAnsi="Arial" w:cs="Arial"/>
                <w:snapToGrid w:val="0"/>
                <w:lang w:eastAsia="en-US"/>
              </w:rPr>
              <w:t>Doublet chemotherapy (as represented by carboplatin plus paclitaxel) alone</w:t>
            </w:r>
          </w:p>
          <w:p w:rsidR="00784311" w:rsidRPr="00784311" w:rsidRDefault="00784311" w:rsidP="00F773FD">
            <w:pPr>
              <w:widowControl w:val="0"/>
              <w:rPr>
                <w:rFonts w:ascii="Arial" w:hAnsi="Arial" w:cs="Arial"/>
                <w:snapToGrid w:val="0"/>
                <w:lang w:eastAsia="en-US"/>
              </w:rPr>
            </w:pPr>
          </w:p>
        </w:tc>
        <w:tc>
          <w:tcPr>
            <w:tcW w:w="5387" w:type="dxa"/>
          </w:tcPr>
          <w:p w:rsidR="00784311" w:rsidRPr="00784311" w:rsidRDefault="00784311" w:rsidP="00F773FD">
            <w:pPr>
              <w:pStyle w:val="Header"/>
              <w:widowControl w:val="0"/>
              <w:tabs>
                <w:tab w:val="clear" w:pos="4153"/>
                <w:tab w:val="clear" w:pos="8306"/>
              </w:tabs>
              <w:rPr>
                <w:rFonts w:ascii="Arial" w:hAnsi="Arial" w:cs="Arial"/>
                <w:snapToGrid w:val="0"/>
                <w:lang w:eastAsia="en-US"/>
              </w:rPr>
            </w:pPr>
            <w:r w:rsidRPr="00784311">
              <w:rPr>
                <w:rFonts w:ascii="Arial" w:hAnsi="Arial" w:cs="Arial"/>
                <w:snapToGrid w:val="0"/>
                <w:lang w:eastAsia="en-US"/>
              </w:rPr>
              <w:t>The PBAC had previously accepted doublet chemotherapy alone as the appropriate comparator.</w:t>
            </w:r>
          </w:p>
        </w:tc>
      </w:tr>
      <w:tr w:rsidR="00784311" w:rsidRPr="00784311" w:rsidTr="001B73E2">
        <w:tc>
          <w:tcPr>
            <w:tcW w:w="0" w:type="auto"/>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538" w:type="dxa"/>
            <w:vMerge/>
          </w:tcPr>
          <w:p w:rsidR="00784311" w:rsidRPr="00784311" w:rsidRDefault="00784311" w:rsidP="00F773FD">
            <w:pPr>
              <w:widowControl w:val="0"/>
              <w:rPr>
                <w:rFonts w:ascii="Arial" w:hAnsi="Arial" w:cs="Arial"/>
                <w:snapToGrid w:val="0"/>
                <w:lang w:eastAsia="en-US"/>
              </w:rPr>
            </w:pPr>
          </w:p>
        </w:tc>
        <w:tc>
          <w:tcPr>
            <w:tcW w:w="2269" w:type="dxa"/>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835" w:type="dxa"/>
            <w:tcMar>
              <w:top w:w="28" w:type="dxa"/>
              <w:bottom w:w="28" w:type="dxa"/>
            </w:tcMar>
          </w:tcPr>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Clinical claim:</w:t>
            </w:r>
          </w:p>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As in November 2013, the submission claimed that bevacizumab is superior in terms of effectiveness, but inferior in terms of safety.</w:t>
            </w:r>
          </w:p>
          <w:p w:rsidR="00784311" w:rsidRPr="00784311" w:rsidRDefault="00784311" w:rsidP="00F773FD">
            <w:pPr>
              <w:widowControl w:val="0"/>
              <w:rPr>
                <w:rFonts w:ascii="Arial" w:hAnsi="Arial" w:cs="Arial"/>
                <w:snapToGrid w:val="0"/>
                <w:lang w:eastAsia="en-US"/>
              </w:rPr>
            </w:pPr>
          </w:p>
        </w:tc>
        <w:tc>
          <w:tcPr>
            <w:tcW w:w="5387" w:type="dxa"/>
          </w:tcPr>
          <w:p w:rsidR="00784311" w:rsidRPr="00784311" w:rsidRDefault="00784311" w:rsidP="005A452E">
            <w:pPr>
              <w:pStyle w:val="Header"/>
              <w:widowControl w:val="0"/>
              <w:tabs>
                <w:tab w:val="clear" w:pos="4153"/>
                <w:tab w:val="clear" w:pos="8306"/>
              </w:tabs>
              <w:rPr>
                <w:rFonts w:ascii="Arial" w:hAnsi="Arial" w:cs="Arial"/>
              </w:rPr>
            </w:pPr>
            <w:r w:rsidRPr="00784311">
              <w:rPr>
                <w:rFonts w:ascii="Arial" w:hAnsi="Arial" w:cs="Arial"/>
              </w:rPr>
              <w:t>The PBAC again accepted the claims for bevacizumab as being superior in terms of effectiveness but inferior for safety, compared to doublet chemotherapy alone.  However the PBAC considered that the modelling approaches taken in the original submission, the resubmission and the pre-PBAC response all overestimated the incremental overall survival gain and the incremental QALYs gained.</w:t>
            </w:r>
          </w:p>
          <w:p w:rsidR="00784311" w:rsidRPr="00784311" w:rsidRDefault="00784311" w:rsidP="005A452E">
            <w:pPr>
              <w:pStyle w:val="Header"/>
              <w:widowControl w:val="0"/>
              <w:tabs>
                <w:tab w:val="clear" w:pos="4153"/>
                <w:tab w:val="clear" w:pos="8306"/>
              </w:tabs>
              <w:rPr>
                <w:rFonts w:ascii="Arial" w:hAnsi="Arial" w:cs="Arial"/>
              </w:rPr>
            </w:pPr>
          </w:p>
          <w:p w:rsidR="00784311" w:rsidRPr="00784311" w:rsidRDefault="00784311" w:rsidP="005A452E">
            <w:pPr>
              <w:pStyle w:val="Header"/>
              <w:widowControl w:val="0"/>
              <w:tabs>
                <w:tab w:val="clear" w:pos="4153"/>
                <w:tab w:val="clear" w:pos="8306"/>
              </w:tabs>
              <w:rPr>
                <w:rFonts w:ascii="Arial" w:hAnsi="Arial" w:cs="Arial"/>
                <w:snapToGrid w:val="0"/>
                <w:lang w:eastAsia="en-US"/>
              </w:rPr>
            </w:pPr>
          </w:p>
        </w:tc>
      </w:tr>
      <w:tr w:rsidR="00784311" w:rsidRPr="00784311" w:rsidTr="001B73E2">
        <w:tc>
          <w:tcPr>
            <w:tcW w:w="0" w:type="auto"/>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538" w:type="dxa"/>
            <w:vMerge/>
          </w:tcPr>
          <w:p w:rsidR="00784311" w:rsidRPr="00784311" w:rsidRDefault="00784311" w:rsidP="00F773FD">
            <w:pPr>
              <w:widowControl w:val="0"/>
              <w:rPr>
                <w:rFonts w:ascii="Arial" w:hAnsi="Arial" w:cs="Arial"/>
                <w:snapToGrid w:val="0"/>
                <w:lang w:eastAsia="en-US"/>
              </w:rPr>
            </w:pPr>
          </w:p>
        </w:tc>
        <w:tc>
          <w:tcPr>
            <w:tcW w:w="2269" w:type="dxa"/>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835" w:type="dxa"/>
            <w:tcMar>
              <w:top w:w="28" w:type="dxa"/>
              <w:bottom w:w="28" w:type="dxa"/>
            </w:tcMar>
          </w:tcPr>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Economic claim:</w:t>
            </w:r>
          </w:p>
          <w:p w:rsidR="00784311" w:rsidRPr="00784311" w:rsidRDefault="00784311" w:rsidP="00F773FD">
            <w:pPr>
              <w:widowControl w:val="0"/>
              <w:rPr>
                <w:rFonts w:ascii="Arial" w:hAnsi="Arial" w:cs="Arial"/>
                <w:snapToGrid w:val="0"/>
                <w:lang w:eastAsia="en-US"/>
              </w:rPr>
            </w:pPr>
            <w:r w:rsidRPr="00784311">
              <w:rPr>
                <w:rFonts w:ascii="Arial" w:hAnsi="Arial" w:cs="Arial"/>
                <w:snapToGrid w:val="0"/>
                <w:lang w:eastAsia="en-US"/>
              </w:rPr>
              <w:t>Cost-effective analysis compared to doublet chemotherapy alone</w:t>
            </w:r>
          </w:p>
        </w:tc>
        <w:tc>
          <w:tcPr>
            <w:tcW w:w="5387" w:type="dxa"/>
          </w:tcPr>
          <w:p w:rsidR="00784311" w:rsidRPr="00784311" w:rsidRDefault="00784311" w:rsidP="005D2119">
            <w:pPr>
              <w:pStyle w:val="ListParagraph"/>
              <w:ind w:left="0"/>
              <w:jc w:val="both"/>
              <w:rPr>
                <w:rFonts w:ascii="Arial" w:hAnsi="Arial" w:cs="Arial"/>
                <w:sz w:val="20"/>
                <w:szCs w:val="20"/>
              </w:rPr>
            </w:pPr>
            <w:r w:rsidRPr="00784311">
              <w:rPr>
                <w:rFonts w:ascii="Arial" w:hAnsi="Arial" w:cs="Arial"/>
                <w:sz w:val="20"/>
                <w:szCs w:val="20"/>
              </w:rPr>
              <w:t>The PBAC did not accept the ICERs of either the resubmission or the pre-PBAC response because the Committee rejected both of the modelling approaches used to estimate the incremental QALYs gained. The PBAC therefore reiterated its previous recommendation in relation to the appropriate base case of the economic model and the consequence for the pricing of bevacizumab for the proposed restriction.</w:t>
            </w:r>
          </w:p>
          <w:p w:rsidR="00784311" w:rsidRPr="00784311" w:rsidRDefault="00784311" w:rsidP="00F773FD">
            <w:pPr>
              <w:pStyle w:val="Header"/>
              <w:widowControl w:val="0"/>
              <w:tabs>
                <w:tab w:val="clear" w:pos="4153"/>
                <w:tab w:val="clear" w:pos="8306"/>
              </w:tabs>
              <w:rPr>
                <w:rFonts w:ascii="Arial" w:hAnsi="Arial" w:cs="Arial"/>
                <w:snapToGrid w:val="0"/>
                <w:lang w:eastAsia="en-US"/>
              </w:rPr>
            </w:pPr>
          </w:p>
        </w:tc>
      </w:tr>
      <w:tr w:rsidR="00784311" w:rsidRPr="00784311" w:rsidTr="00784311">
        <w:tc>
          <w:tcPr>
            <w:tcW w:w="0" w:type="auto"/>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538" w:type="dxa"/>
            <w:vMerge/>
          </w:tcPr>
          <w:p w:rsidR="00784311" w:rsidRPr="00784311" w:rsidRDefault="00784311" w:rsidP="00F773FD">
            <w:pPr>
              <w:widowControl w:val="0"/>
              <w:rPr>
                <w:rFonts w:ascii="Arial" w:hAnsi="Arial" w:cs="Arial"/>
                <w:snapToGrid w:val="0"/>
                <w:lang w:eastAsia="en-US"/>
              </w:rPr>
            </w:pPr>
          </w:p>
        </w:tc>
        <w:tc>
          <w:tcPr>
            <w:tcW w:w="2269" w:type="dxa"/>
            <w:vMerge/>
            <w:tcMar>
              <w:top w:w="28" w:type="dxa"/>
              <w:bottom w:w="28" w:type="dxa"/>
            </w:tcMar>
          </w:tcPr>
          <w:p w:rsidR="00784311" w:rsidRPr="00784311" w:rsidRDefault="00784311" w:rsidP="00F773FD">
            <w:pPr>
              <w:widowControl w:val="0"/>
              <w:rPr>
                <w:rFonts w:ascii="Arial" w:hAnsi="Arial" w:cs="Arial"/>
                <w:snapToGrid w:val="0"/>
                <w:lang w:eastAsia="en-US"/>
              </w:rPr>
            </w:pPr>
          </w:p>
        </w:tc>
        <w:tc>
          <w:tcPr>
            <w:tcW w:w="2835" w:type="dxa"/>
            <w:tcMar>
              <w:top w:w="28" w:type="dxa"/>
              <w:bottom w:w="28" w:type="dxa"/>
            </w:tcMar>
          </w:tcPr>
          <w:p w:rsidR="00784311" w:rsidRPr="00784311" w:rsidRDefault="00784311" w:rsidP="005D2119">
            <w:pPr>
              <w:widowControl w:val="0"/>
              <w:rPr>
                <w:rFonts w:ascii="Arial" w:hAnsi="Arial" w:cs="Arial"/>
                <w:snapToGrid w:val="0"/>
                <w:lang w:eastAsia="en-US"/>
              </w:rPr>
            </w:pPr>
            <w:r w:rsidRPr="00784311">
              <w:rPr>
                <w:rFonts w:ascii="Arial" w:hAnsi="Arial" w:cs="Arial"/>
                <w:snapToGrid w:val="0"/>
                <w:lang w:eastAsia="en-US"/>
              </w:rPr>
              <w:t>Sponsor’s comments:</w:t>
            </w:r>
          </w:p>
          <w:p w:rsidR="00784311" w:rsidRPr="00784311" w:rsidRDefault="00784311" w:rsidP="005D2119">
            <w:pPr>
              <w:widowControl w:val="0"/>
              <w:rPr>
                <w:rFonts w:ascii="Arial" w:hAnsi="Arial" w:cs="Arial"/>
                <w:snapToGrid w:val="0"/>
                <w:lang w:eastAsia="en-US"/>
              </w:rPr>
            </w:pPr>
          </w:p>
          <w:p w:rsidR="00784311" w:rsidRPr="00784311" w:rsidRDefault="00784311" w:rsidP="00F773FD">
            <w:pPr>
              <w:widowControl w:val="0"/>
              <w:rPr>
                <w:rFonts w:ascii="Arial" w:hAnsi="Arial" w:cs="Arial"/>
                <w:snapToGrid w:val="0"/>
                <w:lang w:eastAsia="en-US"/>
              </w:rPr>
            </w:pPr>
          </w:p>
        </w:tc>
        <w:tc>
          <w:tcPr>
            <w:tcW w:w="5387" w:type="dxa"/>
            <w:shd w:val="clear" w:color="auto" w:fill="auto"/>
          </w:tcPr>
          <w:p w:rsidR="00784311" w:rsidRPr="00784311" w:rsidRDefault="00784311" w:rsidP="00F773FD">
            <w:pPr>
              <w:pStyle w:val="Header"/>
              <w:widowControl w:val="0"/>
              <w:tabs>
                <w:tab w:val="clear" w:pos="4153"/>
                <w:tab w:val="clear" w:pos="8306"/>
              </w:tabs>
              <w:rPr>
                <w:rFonts w:ascii="Arial" w:hAnsi="Arial" w:cs="Arial"/>
                <w:snapToGrid w:val="0"/>
                <w:lang w:eastAsia="en-US"/>
              </w:rPr>
            </w:pPr>
            <w:r w:rsidRPr="00784311">
              <w:rPr>
                <w:rFonts w:ascii="Arial" w:hAnsi="Arial" w:cs="Arial"/>
                <w:snapToGrid w:val="0"/>
                <w:lang w:eastAsia="en-US"/>
              </w:rPr>
              <w:t>The sponsor will be considering its position with regard to any further course of action.</w:t>
            </w:r>
          </w:p>
        </w:tc>
      </w:tr>
      <w:tr w:rsidR="00BE4404" w:rsidRPr="00784311" w:rsidTr="001B73E2">
        <w:tc>
          <w:tcPr>
            <w:tcW w:w="0" w:type="auto"/>
            <w:vMerge w:val="restart"/>
            <w:tcMar>
              <w:top w:w="28" w:type="dxa"/>
              <w:bottom w:w="28" w:type="dxa"/>
            </w:tcMar>
          </w:tcPr>
          <w:p w:rsidR="00BE4404" w:rsidRPr="00341065" w:rsidRDefault="00BE4404" w:rsidP="00426AA1">
            <w:pPr>
              <w:widowControl w:val="0"/>
              <w:rPr>
                <w:rFonts w:ascii="Arial" w:hAnsi="Arial" w:cs="Arial"/>
                <w:snapToGrid w:val="0"/>
                <w:lang w:eastAsia="en-US"/>
              </w:rPr>
            </w:pPr>
            <w:r w:rsidRPr="00341065">
              <w:rPr>
                <w:rFonts w:ascii="Arial" w:hAnsi="Arial" w:cs="Arial"/>
                <w:snapToGrid w:val="0"/>
                <w:lang w:eastAsia="en-US"/>
              </w:rPr>
              <w:t>ERLOTINIB, 25 mg tablet, 30, 100 mg tablet, 30 and 150 mg tablet, 30</w:t>
            </w:r>
          </w:p>
          <w:p w:rsidR="00BE4404" w:rsidRPr="00341065" w:rsidRDefault="00BE4404" w:rsidP="00426AA1">
            <w:pPr>
              <w:widowControl w:val="0"/>
              <w:rPr>
                <w:rFonts w:ascii="Arial" w:hAnsi="Arial" w:cs="Arial"/>
                <w:snapToGrid w:val="0"/>
                <w:lang w:eastAsia="en-US"/>
              </w:rPr>
            </w:pPr>
          </w:p>
          <w:p w:rsidR="00BE4404" w:rsidRPr="00341065" w:rsidRDefault="00BE4404" w:rsidP="00426AA1">
            <w:pPr>
              <w:widowControl w:val="0"/>
              <w:rPr>
                <w:rFonts w:ascii="Arial" w:hAnsi="Arial" w:cs="Arial"/>
                <w:snapToGrid w:val="0"/>
                <w:lang w:eastAsia="en-US"/>
              </w:rPr>
            </w:pPr>
            <w:r w:rsidRPr="00341065">
              <w:rPr>
                <w:rFonts w:ascii="Arial" w:hAnsi="Arial" w:cs="Arial"/>
                <w:snapToGrid w:val="0"/>
                <w:lang w:eastAsia="en-US"/>
              </w:rPr>
              <w:t>Tarceva</w:t>
            </w:r>
            <w:r w:rsidRPr="00341065">
              <w:rPr>
                <w:rFonts w:ascii="Arial" w:hAnsi="Arial" w:cs="Arial"/>
                <w:snapToGrid w:val="0"/>
                <w:vertAlign w:val="superscript"/>
                <w:lang w:eastAsia="en-US"/>
              </w:rPr>
              <w:t>®</w:t>
            </w:r>
          </w:p>
          <w:p w:rsidR="00BE4404" w:rsidRPr="00341065" w:rsidRDefault="00BE4404" w:rsidP="00426AA1">
            <w:pPr>
              <w:widowControl w:val="0"/>
              <w:rPr>
                <w:rFonts w:ascii="Arial" w:hAnsi="Arial" w:cs="Arial"/>
                <w:snapToGrid w:val="0"/>
                <w:lang w:eastAsia="en-US"/>
              </w:rPr>
            </w:pPr>
          </w:p>
          <w:p w:rsidR="00BE4404" w:rsidRPr="00341065" w:rsidRDefault="00BE4404" w:rsidP="00426AA1">
            <w:pPr>
              <w:rPr>
                <w:rFonts w:ascii="Arial" w:hAnsi="Arial" w:cs="Arial"/>
              </w:rPr>
            </w:pPr>
            <w:r w:rsidRPr="00341065">
              <w:rPr>
                <w:rFonts w:ascii="Arial" w:hAnsi="Arial" w:cs="Arial"/>
              </w:rPr>
              <w:t>Roche Products Pty Limited</w:t>
            </w:r>
          </w:p>
          <w:p w:rsidR="00BE4404" w:rsidRPr="00341065" w:rsidRDefault="00BE4404" w:rsidP="00426AA1">
            <w:pPr>
              <w:widowControl w:val="0"/>
              <w:rPr>
                <w:rFonts w:ascii="Arial" w:hAnsi="Arial" w:cs="Arial"/>
                <w:snapToGrid w:val="0"/>
                <w:lang w:eastAsia="en-US"/>
              </w:rPr>
            </w:pPr>
          </w:p>
        </w:tc>
        <w:tc>
          <w:tcPr>
            <w:tcW w:w="2538" w:type="dxa"/>
            <w:vMerge w:val="restart"/>
          </w:tcPr>
          <w:p w:rsidR="00BE4404" w:rsidRPr="00341065" w:rsidRDefault="00BE4404" w:rsidP="00426AA1">
            <w:pPr>
              <w:autoSpaceDE w:val="0"/>
              <w:autoSpaceDN w:val="0"/>
              <w:adjustRightInd w:val="0"/>
              <w:rPr>
                <w:rFonts w:ascii="Arial" w:hAnsi="Arial" w:cs="Arial"/>
              </w:rPr>
            </w:pPr>
            <w:r w:rsidRPr="00341065">
              <w:rPr>
                <w:rFonts w:ascii="Arial" w:hAnsi="Arial" w:cs="Arial"/>
              </w:rPr>
              <w:t>Non-small cell lung cancer:</w:t>
            </w:r>
          </w:p>
          <w:p w:rsidR="00BE4404" w:rsidRPr="00341065" w:rsidRDefault="00BE4404" w:rsidP="00426AA1">
            <w:pPr>
              <w:autoSpaceDE w:val="0"/>
              <w:autoSpaceDN w:val="0"/>
              <w:adjustRightInd w:val="0"/>
              <w:rPr>
                <w:rFonts w:ascii="Arial" w:hAnsi="Arial" w:cs="Arial"/>
              </w:rPr>
            </w:pPr>
            <w:r w:rsidRPr="00341065">
              <w:rPr>
                <w:rFonts w:ascii="Arial" w:hAnsi="Arial" w:cs="Arial"/>
              </w:rPr>
              <w:t>- first-line treatment of patients with advanced (Stage IIIB) or metastatic (Stage IV) non-small cell lung cancer (NSCLC) with activating EGFR mutations.</w:t>
            </w:r>
          </w:p>
          <w:p w:rsidR="00BE4404" w:rsidRPr="00341065" w:rsidRDefault="00BE4404" w:rsidP="00426AA1">
            <w:pPr>
              <w:autoSpaceDE w:val="0"/>
              <w:autoSpaceDN w:val="0"/>
              <w:adjustRightInd w:val="0"/>
              <w:rPr>
                <w:rFonts w:ascii="Arial" w:hAnsi="Arial" w:cs="Arial"/>
              </w:rPr>
            </w:pPr>
            <w:r w:rsidRPr="00341065">
              <w:rPr>
                <w:rFonts w:ascii="Arial" w:hAnsi="Arial" w:cs="Arial"/>
              </w:rPr>
              <w:t>- maintenance therapy in patients with locally advanced or metastatic non-small cell lung cancer (NSCLC) who have not progressed on first-line chemotherapy.</w:t>
            </w:r>
          </w:p>
          <w:p w:rsidR="00BE4404" w:rsidRPr="00341065" w:rsidRDefault="00BE4404" w:rsidP="00426AA1">
            <w:pPr>
              <w:autoSpaceDE w:val="0"/>
              <w:autoSpaceDN w:val="0"/>
              <w:adjustRightInd w:val="0"/>
              <w:rPr>
                <w:rFonts w:ascii="Arial" w:hAnsi="Arial" w:cs="Arial"/>
              </w:rPr>
            </w:pPr>
            <w:r w:rsidRPr="00341065">
              <w:rPr>
                <w:rFonts w:ascii="Arial" w:hAnsi="Arial" w:cs="Arial"/>
              </w:rPr>
              <w:t>Efficacy is influenced by tumour characteristics.</w:t>
            </w:r>
          </w:p>
          <w:p w:rsidR="00BE4404" w:rsidRPr="00341065" w:rsidRDefault="00BE4404" w:rsidP="00426AA1">
            <w:pPr>
              <w:autoSpaceDE w:val="0"/>
              <w:autoSpaceDN w:val="0"/>
              <w:adjustRightInd w:val="0"/>
              <w:rPr>
                <w:rFonts w:ascii="Arial" w:hAnsi="Arial" w:cs="Arial"/>
              </w:rPr>
            </w:pPr>
            <w:r w:rsidRPr="00341065">
              <w:rPr>
                <w:rFonts w:ascii="Arial" w:hAnsi="Arial" w:cs="Arial"/>
              </w:rPr>
              <w:t>- treatment of patients with locally advanced or metastatic non-small cell lung cancer after failure of prior chemotherapy.</w:t>
            </w:r>
          </w:p>
          <w:p w:rsidR="00BE4404" w:rsidRPr="00341065" w:rsidRDefault="00BE4404" w:rsidP="00426AA1">
            <w:pPr>
              <w:autoSpaceDE w:val="0"/>
              <w:autoSpaceDN w:val="0"/>
              <w:adjustRightInd w:val="0"/>
              <w:rPr>
                <w:rFonts w:ascii="Arial" w:hAnsi="Arial" w:cs="Arial"/>
              </w:rPr>
            </w:pPr>
          </w:p>
          <w:p w:rsidR="00BE4404" w:rsidRPr="00341065" w:rsidRDefault="00BE4404" w:rsidP="00426AA1">
            <w:pPr>
              <w:autoSpaceDE w:val="0"/>
              <w:autoSpaceDN w:val="0"/>
              <w:adjustRightInd w:val="0"/>
              <w:rPr>
                <w:rFonts w:ascii="Arial" w:hAnsi="Arial" w:cs="Arial"/>
              </w:rPr>
            </w:pPr>
            <w:r w:rsidRPr="00341065">
              <w:rPr>
                <w:rFonts w:ascii="Arial" w:hAnsi="Arial" w:cs="Arial"/>
              </w:rPr>
              <w:t xml:space="preserve">The treatment of patients </w:t>
            </w:r>
            <w:r w:rsidRPr="00341065">
              <w:rPr>
                <w:rFonts w:ascii="Arial" w:hAnsi="Arial" w:cs="Arial"/>
              </w:rPr>
              <w:lastRenderedPageBreak/>
              <w:t>with locally advanced, unresectable or metastatic pancreatic cancer.</w:t>
            </w:r>
          </w:p>
        </w:tc>
        <w:tc>
          <w:tcPr>
            <w:tcW w:w="2269" w:type="dxa"/>
            <w:vMerge w:val="restart"/>
            <w:tcMar>
              <w:top w:w="28" w:type="dxa"/>
              <w:bottom w:w="28" w:type="dxa"/>
            </w:tcMar>
          </w:tcPr>
          <w:p w:rsidR="00BE4404" w:rsidRPr="00341065" w:rsidRDefault="00BE4404" w:rsidP="00426AA1">
            <w:pPr>
              <w:pStyle w:val="NormalWeb"/>
              <w:shd w:val="clear" w:color="auto" w:fill="FFFFFF"/>
              <w:spacing w:before="0" w:beforeAutospacing="0" w:after="0" w:afterAutospacing="0"/>
              <w:rPr>
                <w:rFonts w:ascii="Arial" w:hAnsi="Arial" w:cs="Arial"/>
                <w:sz w:val="20"/>
                <w:szCs w:val="20"/>
              </w:rPr>
            </w:pPr>
            <w:r w:rsidRPr="00341065">
              <w:rPr>
                <w:rFonts w:ascii="Arial" w:hAnsi="Arial" w:cs="Arial"/>
                <w:sz w:val="20"/>
                <w:szCs w:val="20"/>
              </w:rPr>
              <w:lastRenderedPageBreak/>
              <w:t>Stage IIIB (locally advanced) or Stage IV (metastatic) non-small cell lung cancer (NSCLC)</w:t>
            </w:r>
          </w:p>
          <w:p w:rsidR="00BE4404" w:rsidRPr="00341065" w:rsidRDefault="00BE4404" w:rsidP="00426AA1">
            <w:pPr>
              <w:widowControl w:val="0"/>
              <w:rPr>
                <w:rFonts w:ascii="Arial" w:hAnsi="Arial" w:cs="Arial"/>
                <w:snapToGrid w:val="0"/>
                <w:lang w:eastAsia="en-US"/>
              </w:rPr>
            </w:pPr>
          </w:p>
        </w:tc>
        <w:tc>
          <w:tcPr>
            <w:tcW w:w="2835" w:type="dxa"/>
            <w:tcMar>
              <w:top w:w="28" w:type="dxa"/>
              <w:bottom w:w="28" w:type="dxa"/>
            </w:tcMar>
          </w:tcPr>
          <w:p w:rsidR="00BE4404" w:rsidRPr="00341065" w:rsidRDefault="00BE4404" w:rsidP="00426AA1">
            <w:pPr>
              <w:widowControl w:val="0"/>
              <w:rPr>
                <w:rFonts w:ascii="Arial" w:hAnsi="Arial" w:cs="Arial"/>
                <w:snapToGrid w:val="0"/>
                <w:lang w:eastAsia="en-US"/>
              </w:rPr>
            </w:pPr>
          </w:p>
        </w:tc>
        <w:tc>
          <w:tcPr>
            <w:tcW w:w="5387" w:type="dxa"/>
          </w:tcPr>
          <w:p w:rsidR="00BE4404" w:rsidRPr="00341065" w:rsidRDefault="00BE4404" w:rsidP="00426AA1">
            <w:pPr>
              <w:pStyle w:val="ListParagraph"/>
              <w:ind w:left="0"/>
              <w:jc w:val="both"/>
              <w:rPr>
                <w:rFonts w:ascii="Arial" w:hAnsi="Arial"/>
                <w:sz w:val="22"/>
                <w:szCs w:val="22"/>
              </w:rPr>
            </w:pPr>
            <w:r w:rsidRPr="00341065">
              <w:rPr>
                <w:rFonts w:ascii="Arial" w:hAnsi="Arial"/>
                <w:sz w:val="22"/>
                <w:szCs w:val="22"/>
              </w:rPr>
              <w:t>The PBAC rejected the submission and recommended the deletion of the current last-line PBS restriction of erlotinib because of uncertain net clinical benefit and unacceptable cost-effectiveness.</w:t>
            </w:r>
          </w:p>
        </w:tc>
      </w:tr>
      <w:tr w:rsidR="00BE4404" w:rsidRPr="00784311" w:rsidTr="001B73E2">
        <w:tc>
          <w:tcPr>
            <w:tcW w:w="0" w:type="auto"/>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538" w:type="dxa"/>
            <w:vMerge/>
          </w:tcPr>
          <w:p w:rsidR="00BE4404" w:rsidRPr="00784311" w:rsidRDefault="00BE4404" w:rsidP="00F773FD">
            <w:pPr>
              <w:widowControl w:val="0"/>
              <w:rPr>
                <w:rFonts w:ascii="Arial" w:hAnsi="Arial" w:cs="Arial"/>
                <w:snapToGrid w:val="0"/>
                <w:lang w:eastAsia="en-US"/>
              </w:rPr>
            </w:pPr>
          </w:p>
        </w:tc>
        <w:tc>
          <w:tcPr>
            <w:tcW w:w="2269" w:type="dxa"/>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835" w:type="dxa"/>
            <w:tcMar>
              <w:top w:w="28" w:type="dxa"/>
              <w:bottom w:w="28" w:type="dxa"/>
            </w:tcMar>
          </w:tcPr>
          <w:p w:rsidR="00BE4404" w:rsidRPr="00341065" w:rsidRDefault="00BE4404" w:rsidP="00426AA1">
            <w:pPr>
              <w:widowControl w:val="0"/>
              <w:rPr>
                <w:rFonts w:ascii="Arial" w:hAnsi="Arial" w:cs="Arial"/>
                <w:snapToGrid w:val="0"/>
                <w:lang w:eastAsia="en-US"/>
              </w:rPr>
            </w:pPr>
            <w:r w:rsidRPr="00341065">
              <w:rPr>
                <w:rFonts w:ascii="Arial" w:hAnsi="Arial" w:cs="Arial"/>
                <w:snapToGrid w:val="0"/>
                <w:lang w:eastAsia="en-US"/>
              </w:rPr>
              <w:t xml:space="preserve">Listing Requested: </w:t>
            </w:r>
          </w:p>
          <w:p w:rsidR="00BE4404" w:rsidRPr="00784311" w:rsidRDefault="00BE4404" w:rsidP="00F773FD">
            <w:pPr>
              <w:widowControl w:val="0"/>
              <w:rPr>
                <w:rFonts w:ascii="Arial" w:hAnsi="Arial" w:cs="Arial"/>
                <w:snapToGrid w:val="0"/>
                <w:lang w:eastAsia="en-US"/>
              </w:rPr>
            </w:pPr>
            <w:r w:rsidRPr="00341065">
              <w:rPr>
                <w:rFonts w:ascii="Arial" w:hAnsi="Arial" w:cs="Arial"/>
                <w:snapToGrid w:val="0"/>
                <w:lang w:eastAsia="en-US"/>
              </w:rPr>
              <w:t>To request that the current Authority Required General Schedule listing for patients with locally advanced or metastatic (stage IIIB or IV) epidermal growth factor (EGFR) wild-type or unknown non-small cell lung cancer (NSCLC) who have progressed on prior platinum therapy and have reached a point where further cytotoxic therapy is not an option, is retained.</w:t>
            </w:r>
          </w:p>
        </w:tc>
        <w:tc>
          <w:tcPr>
            <w:tcW w:w="5387" w:type="dxa"/>
          </w:tcPr>
          <w:p w:rsidR="00BE4404" w:rsidRPr="00784311" w:rsidRDefault="00BE4404" w:rsidP="00F773FD">
            <w:pPr>
              <w:widowControl w:val="0"/>
              <w:rPr>
                <w:rFonts w:ascii="Arial" w:hAnsi="Arial" w:cs="Arial"/>
                <w:snapToGrid w:val="0"/>
                <w:lang w:eastAsia="en-US"/>
              </w:rPr>
            </w:pPr>
            <w:r w:rsidRPr="00341065">
              <w:rPr>
                <w:rFonts w:ascii="Arial" w:hAnsi="Arial"/>
                <w:sz w:val="22"/>
                <w:szCs w:val="22"/>
              </w:rPr>
              <w:t>The PBAC recalled that it had requested the submission in order to decide whether the evidence available supported the tighter last-line PBS restriction implemented following its out-of-session recommendation in late 2013 to list erlotinib in the PBS for patients with advanced NSCLC and an EGFR mutation without defining in which line of therapy it should be used. The PBAC accepted that the appropriate comparator was best supportive care (BSC) in the tighter last-line restriction.</w:t>
            </w:r>
          </w:p>
        </w:tc>
      </w:tr>
      <w:tr w:rsidR="00BE4404" w:rsidRPr="00784311" w:rsidTr="001B73E2">
        <w:tc>
          <w:tcPr>
            <w:tcW w:w="0" w:type="auto"/>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538" w:type="dxa"/>
            <w:vMerge/>
          </w:tcPr>
          <w:p w:rsidR="00BE4404" w:rsidRPr="00784311" w:rsidRDefault="00BE4404" w:rsidP="00F773FD">
            <w:pPr>
              <w:widowControl w:val="0"/>
              <w:rPr>
                <w:rFonts w:ascii="Arial" w:hAnsi="Arial" w:cs="Arial"/>
                <w:snapToGrid w:val="0"/>
                <w:lang w:eastAsia="en-US"/>
              </w:rPr>
            </w:pPr>
          </w:p>
        </w:tc>
        <w:tc>
          <w:tcPr>
            <w:tcW w:w="2269" w:type="dxa"/>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835" w:type="dxa"/>
            <w:tcMar>
              <w:top w:w="28" w:type="dxa"/>
              <w:bottom w:w="28" w:type="dxa"/>
            </w:tcMar>
          </w:tcPr>
          <w:p w:rsidR="00BE4404" w:rsidRPr="00341065" w:rsidRDefault="00BE4404" w:rsidP="00426AA1">
            <w:pPr>
              <w:widowControl w:val="0"/>
              <w:rPr>
                <w:rFonts w:ascii="Arial" w:hAnsi="Arial" w:cs="Arial"/>
                <w:snapToGrid w:val="0"/>
                <w:lang w:eastAsia="en-US"/>
              </w:rPr>
            </w:pPr>
            <w:r w:rsidRPr="00341065">
              <w:rPr>
                <w:rFonts w:ascii="Arial" w:hAnsi="Arial" w:cs="Arial"/>
                <w:snapToGrid w:val="0"/>
                <w:lang w:eastAsia="en-US"/>
              </w:rPr>
              <w:t>Comparator:</w:t>
            </w:r>
          </w:p>
          <w:p w:rsidR="00BE4404" w:rsidRPr="00784311" w:rsidRDefault="00BE4404" w:rsidP="00F773FD">
            <w:pPr>
              <w:widowControl w:val="0"/>
              <w:rPr>
                <w:rFonts w:ascii="Arial" w:hAnsi="Arial" w:cs="Arial"/>
                <w:snapToGrid w:val="0"/>
                <w:lang w:eastAsia="en-US"/>
              </w:rPr>
            </w:pPr>
            <w:r w:rsidRPr="00341065">
              <w:rPr>
                <w:rFonts w:ascii="Arial" w:hAnsi="Arial" w:cs="Arial"/>
                <w:snapToGrid w:val="0"/>
                <w:lang w:eastAsia="en-US"/>
              </w:rPr>
              <w:t>Best supportive care (BSC)</w:t>
            </w:r>
          </w:p>
        </w:tc>
        <w:tc>
          <w:tcPr>
            <w:tcW w:w="5387" w:type="dxa"/>
          </w:tcPr>
          <w:p w:rsidR="00BE4404" w:rsidRPr="00784311" w:rsidRDefault="00BE4404" w:rsidP="00F773FD">
            <w:pPr>
              <w:widowControl w:val="0"/>
              <w:rPr>
                <w:rFonts w:ascii="Arial" w:hAnsi="Arial" w:cs="Arial"/>
                <w:snapToGrid w:val="0"/>
                <w:lang w:eastAsia="en-US"/>
              </w:rPr>
            </w:pPr>
            <w:r w:rsidRPr="00341065">
              <w:rPr>
                <w:rFonts w:ascii="Arial" w:hAnsi="Arial" w:cs="Arial"/>
                <w:snapToGrid w:val="0"/>
                <w:lang w:eastAsia="en-US"/>
              </w:rPr>
              <w:t>The PBAC considered this to be appropriate.</w:t>
            </w:r>
          </w:p>
        </w:tc>
      </w:tr>
      <w:tr w:rsidR="00BE4404" w:rsidRPr="00784311" w:rsidTr="001B73E2">
        <w:tc>
          <w:tcPr>
            <w:tcW w:w="0" w:type="auto"/>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538" w:type="dxa"/>
            <w:vMerge/>
          </w:tcPr>
          <w:p w:rsidR="00BE4404" w:rsidRPr="00784311" w:rsidRDefault="00BE4404" w:rsidP="00F773FD">
            <w:pPr>
              <w:widowControl w:val="0"/>
              <w:rPr>
                <w:rFonts w:ascii="Arial" w:hAnsi="Arial" w:cs="Arial"/>
                <w:snapToGrid w:val="0"/>
                <w:lang w:eastAsia="en-US"/>
              </w:rPr>
            </w:pPr>
          </w:p>
        </w:tc>
        <w:tc>
          <w:tcPr>
            <w:tcW w:w="2269" w:type="dxa"/>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835" w:type="dxa"/>
            <w:tcMar>
              <w:top w:w="28" w:type="dxa"/>
              <w:bottom w:w="28" w:type="dxa"/>
            </w:tcMar>
          </w:tcPr>
          <w:p w:rsidR="00BE4404" w:rsidRPr="00341065" w:rsidRDefault="00BE4404" w:rsidP="00426AA1">
            <w:pPr>
              <w:widowControl w:val="0"/>
              <w:rPr>
                <w:rFonts w:ascii="Arial" w:hAnsi="Arial" w:cs="Arial"/>
                <w:snapToGrid w:val="0"/>
                <w:lang w:eastAsia="en-US"/>
              </w:rPr>
            </w:pPr>
            <w:r w:rsidRPr="00341065">
              <w:rPr>
                <w:rFonts w:ascii="Arial" w:hAnsi="Arial" w:cs="Arial"/>
                <w:snapToGrid w:val="0"/>
                <w:lang w:eastAsia="en-US"/>
              </w:rPr>
              <w:t>Clinical claim:</w:t>
            </w:r>
          </w:p>
          <w:p w:rsidR="00BE4404" w:rsidRPr="00784311" w:rsidRDefault="00BE4404" w:rsidP="00F773FD">
            <w:pPr>
              <w:widowControl w:val="0"/>
              <w:rPr>
                <w:rFonts w:ascii="Arial" w:hAnsi="Arial" w:cs="Arial"/>
                <w:snapToGrid w:val="0"/>
                <w:lang w:eastAsia="en-US"/>
              </w:rPr>
            </w:pPr>
            <w:r w:rsidRPr="00341065">
              <w:rPr>
                <w:rFonts w:ascii="Arial" w:hAnsi="Arial"/>
                <w:sz w:val="22"/>
                <w:szCs w:val="22"/>
              </w:rPr>
              <w:t xml:space="preserve">The submission claimed that erlotinib is superior in </w:t>
            </w:r>
            <w:r w:rsidRPr="00341065">
              <w:rPr>
                <w:rFonts w:ascii="Arial" w:hAnsi="Arial"/>
                <w:sz w:val="22"/>
                <w:szCs w:val="22"/>
              </w:rPr>
              <w:lastRenderedPageBreak/>
              <w:t>terms of comparative effectiveness and inferior in terms of comparative safety over best supportive care for the PBS population.</w:t>
            </w:r>
          </w:p>
        </w:tc>
        <w:tc>
          <w:tcPr>
            <w:tcW w:w="5387" w:type="dxa"/>
          </w:tcPr>
          <w:p w:rsidR="00BE4404" w:rsidRPr="00784311" w:rsidRDefault="00BE4404" w:rsidP="00F773FD">
            <w:pPr>
              <w:widowControl w:val="0"/>
              <w:rPr>
                <w:rFonts w:ascii="Arial" w:hAnsi="Arial" w:cs="Arial"/>
                <w:snapToGrid w:val="0"/>
                <w:lang w:eastAsia="en-US"/>
              </w:rPr>
            </w:pPr>
            <w:r w:rsidRPr="00341065">
              <w:rPr>
                <w:rFonts w:ascii="Arial" w:hAnsi="Arial"/>
                <w:sz w:val="22"/>
                <w:szCs w:val="22"/>
              </w:rPr>
              <w:lastRenderedPageBreak/>
              <w:t xml:space="preserve">The PBAC considered that the primary source of evidence presented (the BR.21 trial and various post </w:t>
            </w:r>
            <w:r w:rsidRPr="00341065">
              <w:rPr>
                <w:rFonts w:ascii="Arial" w:hAnsi="Arial"/>
                <w:sz w:val="22"/>
                <w:szCs w:val="22"/>
              </w:rPr>
              <w:lastRenderedPageBreak/>
              <w:t>hoc subgroup analyses) did not represent patients in modern day clinical practice and tended to overestimate the extent of benefit by failing to adequately exclude patients with EGFR mutation positive tumours. The PBAC considered that the estimated extent of benefit of erlotinib over BSC in BR.21, with a median PFS gain of 0.4 months, truncated mean PFS gain of 1.7 months, and overall survival g</w:t>
            </w:r>
            <w:r>
              <w:rPr>
                <w:rFonts w:ascii="Arial" w:hAnsi="Arial"/>
                <w:sz w:val="22"/>
                <w:szCs w:val="22"/>
              </w:rPr>
              <w:t xml:space="preserve">ain of up </w:t>
            </w:r>
            <w:r w:rsidRPr="00341065">
              <w:rPr>
                <w:rFonts w:ascii="Arial" w:hAnsi="Arial"/>
                <w:sz w:val="22"/>
                <w:szCs w:val="22"/>
              </w:rPr>
              <w:t>to 2 months, was small.</w:t>
            </w:r>
          </w:p>
        </w:tc>
      </w:tr>
      <w:tr w:rsidR="00BE4404" w:rsidRPr="00784311" w:rsidTr="001B73E2">
        <w:tc>
          <w:tcPr>
            <w:tcW w:w="0" w:type="auto"/>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538" w:type="dxa"/>
            <w:vMerge/>
          </w:tcPr>
          <w:p w:rsidR="00BE4404" w:rsidRPr="00784311" w:rsidRDefault="00BE4404" w:rsidP="00F773FD">
            <w:pPr>
              <w:widowControl w:val="0"/>
              <w:rPr>
                <w:rFonts w:ascii="Arial" w:hAnsi="Arial" w:cs="Arial"/>
                <w:snapToGrid w:val="0"/>
                <w:lang w:eastAsia="en-US"/>
              </w:rPr>
            </w:pPr>
          </w:p>
        </w:tc>
        <w:tc>
          <w:tcPr>
            <w:tcW w:w="2269" w:type="dxa"/>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835" w:type="dxa"/>
            <w:tcMar>
              <w:top w:w="28" w:type="dxa"/>
              <w:bottom w:w="28" w:type="dxa"/>
            </w:tcMar>
          </w:tcPr>
          <w:p w:rsidR="00BE4404" w:rsidRPr="00341065" w:rsidRDefault="00BE4404" w:rsidP="00426AA1">
            <w:pPr>
              <w:widowControl w:val="0"/>
              <w:rPr>
                <w:rFonts w:ascii="Arial" w:hAnsi="Arial" w:cs="Arial"/>
                <w:snapToGrid w:val="0"/>
                <w:lang w:eastAsia="en-US"/>
              </w:rPr>
            </w:pPr>
            <w:r w:rsidRPr="00341065">
              <w:rPr>
                <w:rFonts w:ascii="Arial" w:hAnsi="Arial" w:cs="Arial"/>
                <w:snapToGrid w:val="0"/>
                <w:lang w:eastAsia="en-US"/>
              </w:rPr>
              <w:t>Economic claim:</w:t>
            </w:r>
          </w:p>
          <w:p w:rsidR="00BE4404" w:rsidRPr="00341065" w:rsidRDefault="00BE4404" w:rsidP="00426AA1">
            <w:pPr>
              <w:pStyle w:val="ListParagraph"/>
              <w:ind w:left="0"/>
              <w:jc w:val="both"/>
              <w:rPr>
                <w:rFonts w:ascii="Arial" w:hAnsi="Arial"/>
                <w:sz w:val="22"/>
                <w:szCs w:val="22"/>
              </w:rPr>
            </w:pPr>
            <w:r w:rsidRPr="00341065">
              <w:rPr>
                <w:rFonts w:ascii="Arial" w:hAnsi="Arial"/>
                <w:sz w:val="22"/>
                <w:szCs w:val="22"/>
              </w:rPr>
              <w:t>A cost-utility of erlotinib over BSC in three different patient populations, each of which accepts an improved overall survival with erlotinib:</w:t>
            </w:r>
          </w:p>
          <w:p w:rsidR="00BE4404" w:rsidRPr="00341065" w:rsidRDefault="00BE4404" w:rsidP="00426AA1">
            <w:pPr>
              <w:pStyle w:val="ListParagraph"/>
              <w:numPr>
                <w:ilvl w:val="1"/>
                <w:numId w:val="18"/>
              </w:numPr>
              <w:jc w:val="both"/>
              <w:rPr>
                <w:rFonts w:ascii="Arial" w:hAnsi="Arial"/>
                <w:sz w:val="22"/>
                <w:szCs w:val="22"/>
              </w:rPr>
            </w:pPr>
            <w:r w:rsidRPr="00341065">
              <w:rPr>
                <w:rFonts w:ascii="Arial" w:hAnsi="Arial"/>
                <w:sz w:val="22"/>
                <w:szCs w:val="22"/>
              </w:rPr>
              <w:t>BR.21 ITT population;</w:t>
            </w:r>
          </w:p>
          <w:p w:rsidR="00BE4404" w:rsidRPr="00341065" w:rsidRDefault="00BE4404" w:rsidP="00426AA1">
            <w:pPr>
              <w:pStyle w:val="ListParagraph"/>
              <w:numPr>
                <w:ilvl w:val="1"/>
                <w:numId w:val="18"/>
              </w:numPr>
              <w:jc w:val="both"/>
              <w:rPr>
                <w:rFonts w:ascii="Arial" w:hAnsi="Arial"/>
                <w:sz w:val="22"/>
                <w:szCs w:val="22"/>
              </w:rPr>
            </w:pPr>
            <w:r w:rsidRPr="00341065">
              <w:rPr>
                <w:rFonts w:ascii="Arial" w:hAnsi="Arial"/>
                <w:sz w:val="22"/>
                <w:szCs w:val="22"/>
              </w:rPr>
              <w:t>BR.21 EGFR wild type or unknown; and</w:t>
            </w:r>
          </w:p>
          <w:p w:rsidR="00BE4404" w:rsidRPr="00341065" w:rsidRDefault="00BE4404" w:rsidP="00426AA1">
            <w:pPr>
              <w:pStyle w:val="ListParagraph"/>
              <w:numPr>
                <w:ilvl w:val="1"/>
                <w:numId w:val="18"/>
              </w:numPr>
              <w:jc w:val="both"/>
              <w:rPr>
                <w:rFonts w:ascii="Arial" w:hAnsi="Arial"/>
                <w:sz w:val="22"/>
                <w:szCs w:val="22"/>
              </w:rPr>
            </w:pPr>
            <w:r w:rsidRPr="00341065">
              <w:rPr>
                <w:rFonts w:ascii="Arial" w:hAnsi="Arial"/>
                <w:sz w:val="22"/>
                <w:szCs w:val="22"/>
              </w:rPr>
              <w:t>BR.21 squamous patients.</w:t>
            </w:r>
          </w:p>
          <w:p w:rsidR="00BE4404" w:rsidRPr="00784311" w:rsidRDefault="00BE4404" w:rsidP="00F773FD">
            <w:pPr>
              <w:widowControl w:val="0"/>
              <w:rPr>
                <w:rFonts w:ascii="Arial" w:hAnsi="Arial" w:cs="Arial"/>
                <w:snapToGrid w:val="0"/>
                <w:lang w:eastAsia="en-US"/>
              </w:rPr>
            </w:pPr>
          </w:p>
        </w:tc>
        <w:tc>
          <w:tcPr>
            <w:tcW w:w="5387" w:type="dxa"/>
          </w:tcPr>
          <w:p w:rsidR="00BE4404" w:rsidRPr="00341065" w:rsidRDefault="00BE4404" w:rsidP="00426AA1">
            <w:pPr>
              <w:widowControl w:val="0"/>
              <w:rPr>
                <w:rFonts w:ascii="Arial" w:hAnsi="Arial"/>
                <w:sz w:val="22"/>
                <w:szCs w:val="22"/>
              </w:rPr>
            </w:pPr>
            <w:r w:rsidRPr="00341065">
              <w:rPr>
                <w:rFonts w:ascii="Arial" w:hAnsi="Arial"/>
                <w:sz w:val="22"/>
                <w:szCs w:val="22"/>
              </w:rPr>
              <w:t>The PBAC considered that the first two population groups in the model are not representative of the intended PBS population and so considered only the third analysis.</w:t>
            </w:r>
          </w:p>
          <w:p w:rsidR="00BE4404" w:rsidRPr="00341065" w:rsidRDefault="00BE4404" w:rsidP="00426AA1">
            <w:pPr>
              <w:widowControl w:val="0"/>
              <w:rPr>
                <w:rFonts w:ascii="Arial" w:hAnsi="Arial"/>
                <w:sz w:val="22"/>
                <w:szCs w:val="22"/>
              </w:rPr>
            </w:pPr>
          </w:p>
          <w:p w:rsidR="00BE4404" w:rsidRPr="00341065" w:rsidRDefault="00BE4404" w:rsidP="00426AA1">
            <w:pPr>
              <w:pStyle w:val="ListParagraph"/>
              <w:ind w:left="0"/>
              <w:jc w:val="both"/>
              <w:rPr>
                <w:rFonts w:ascii="Arial" w:hAnsi="Arial"/>
                <w:sz w:val="22"/>
                <w:szCs w:val="22"/>
              </w:rPr>
            </w:pPr>
            <w:r w:rsidRPr="00341065">
              <w:rPr>
                <w:rFonts w:ascii="Arial" w:hAnsi="Arial"/>
                <w:sz w:val="22"/>
                <w:szCs w:val="22"/>
              </w:rPr>
              <w:t>The PBAC considered that, even were it to accept the claimed extent of benefit from the clinical evidence presented, the most likely ICER at the current erlotinib price was unacceptably high.</w:t>
            </w:r>
          </w:p>
          <w:p w:rsidR="00BE4404" w:rsidRPr="00784311" w:rsidRDefault="00BE4404" w:rsidP="00F773FD">
            <w:pPr>
              <w:widowControl w:val="0"/>
              <w:rPr>
                <w:rFonts w:ascii="Arial" w:hAnsi="Arial" w:cs="Arial"/>
                <w:snapToGrid w:val="0"/>
                <w:lang w:eastAsia="en-US"/>
              </w:rPr>
            </w:pPr>
          </w:p>
        </w:tc>
      </w:tr>
      <w:tr w:rsidR="00BE4404" w:rsidRPr="00784311" w:rsidTr="00784311">
        <w:tc>
          <w:tcPr>
            <w:tcW w:w="0" w:type="auto"/>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538" w:type="dxa"/>
            <w:vMerge/>
          </w:tcPr>
          <w:p w:rsidR="00BE4404" w:rsidRPr="00784311" w:rsidRDefault="00BE4404" w:rsidP="00F773FD">
            <w:pPr>
              <w:widowControl w:val="0"/>
              <w:rPr>
                <w:rFonts w:ascii="Arial" w:hAnsi="Arial" w:cs="Arial"/>
                <w:snapToGrid w:val="0"/>
                <w:lang w:eastAsia="en-US"/>
              </w:rPr>
            </w:pPr>
          </w:p>
        </w:tc>
        <w:tc>
          <w:tcPr>
            <w:tcW w:w="2269" w:type="dxa"/>
            <w:vMerge/>
            <w:tcMar>
              <w:top w:w="28" w:type="dxa"/>
              <w:bottom w:w="28" w:type="dxa"/>
            </w:tcMar>
          </w:tcPr>
          <w:p w:rsidR="00BE4404" w:rsidRPr="00784311" w:rsidRDefault="00BE4404" w:rsidP="00F773FD">
            <w:pPr>
              <w:widowControl w:val="0"/>
              <w:rPr>
                <w:rFonts w:ascii="Arial" w:hAnsi="Arial" w:cs="Arial"/>
                <w:snapToGrid w:val="0"/>
                <w:lang w:eastAsia="en-US"/>
              </w:rPr>
            </w:pPr>
          </w:p>
        </w:tc>
        <w:tc>
          <w:tcPr>
            <w:tcW w:w="2835" w:type="dxa"/>
            <w:tcMar>
              <w:top w:w="28" w:type="dxa"/>
              <w:bottom w:w="28" w:type="dxa"/>
            </w:tcMar>
          </w:tcPr>
          <w:p w:rsidR="00BE4404" w:rsidRPr="00341065" w:rsidRDefault="00BE4404" w:rsidP="00426AA1">
            <w:pPr>
              <w:widowControl w:val="0"/>
              <w:rPr>
                <w:rFonts w:ascii="Arial" w:hAnsi="Arial" w:cs="Arial"/>
                <w:snapToGrid w:val="0"/>
                <w:lang w:eastAsia="en-US"/>
              </w:rPr>
            </w:pPr>
            <w:r w:rsidRPr="00341065">
              <w:rPr>
                <w:rFonts w:ascii="Arial" w:hAnsi="Arial" w:cs="Arial"/>
                <w:snapToGrid w:val="0"/>
                <w:lang w:eastAsia="en-US"/>
              </w:rPr>
              <w:t>Sponsor comments:</w:t>
            </w:r>
          </w:p>
          <w:p w:rsidR="00BE4404" w:rsidRPr="00784311" w:rsidRDefault="00BE4404" w:rsidP="00F773FD">
            <w:pPr>
              <w:widowControl w:val="0"/>
              <w:rPr>
                <w:rFonts w:ascii="Arial" w:hAnsi="Arial" w:cs="Arial"/>
                <w:snapToGrid w:val="0"/>
                <w:lang w:eastAsia="en-US"/>
              </w:rPr>
            </w:pPr>
          </w:p>
        </w:tc>
        <w:tc>
          <w:tcPr>
            <w:tcW w:w="5387" w:type="dxa"/>
            <w:shd w:val="clear" w:color="auto" w:fill="auto"/>
          </w:tcPr>
          <w:p w:rsidR="00BE4404" w:rsidRPr="00784311" w:rsidRDefault="00BE4404" w:rsidP="00F773FD">
            <w:pPr>
              <w:widowControl w:val="0"/>
              <w:rPr>
                <w:rFonts w:ascii="Arial" w:hAnsi="Arial" w:cs="Arial"/>
                <w:snapToGrid w:val="0"/>
                <w:lang w:eastAsia="en-US"/>
              </w:rPr>
            </w:pPr>
            <w:r>
              <w:rPr>
                <w:rFonts w:ascii="Arial" w:hAnsi="Arial" w:cs="Arial"/>
                <w:snapToGrid w:val="0"/>
                <w:lang w:eastAsia="en-US"/>
              </w:rPr>
              <w:t>The sponsor disagrees with the PBAC’s recommendation.</w:t>
            </w:r>
          </w:p>
        </w:tc>
      </w:tr>
      <w:tr w:rsidR="001B73E2" w:rsidRPr="00784311" w:rsidTr="001B73E2">
        <w:tc>
          <w:tcPr>
            <w:tcW w:w="0" w:type="auto"/>
            <w:tcMar>
              <w:top w:w="28" w:type="dxa"/>
              <w:bottom w:w="28" w:type="dxa"/>
            </w:tcMar>
          </w:tcPr>
          <w:p w:rsidR="00A369F1" w:rsidRPr="00784311" w:rsidRDefault="00A369F1" w:rsidP="00F773FD">
            <w:pPr>
              <w:rPr>
                <w:rStyle w:val="st"/>
                <w:rFonts w:ascii="Arial" w:hAnsi="Arial" w:cs="Arial"/>
              </w:rPr>
            </w:pPr>
            <w:r w:rsidRPr="00784311">
              <w:rPr>
                <w:rStyle w:val="st"/>
                <w:rFonts w:ascii="Arial" w:hAnsi="Arial" w:cs="Arial"/>
              </w:rPr>
              <w:t>FAMPRIDINE, 10 mg tablet: modified release</w:t>
            </w:r>
          </w:p>
          <w:p w:rsidR="00A369F1" w:rsidRPr="00784311" w:rsidRDefault="00A369F1" w:rsidP="00F773FD">
            <w:pPr>
              <w:rPr>
                <w:rStyle w:val="st"/>
                <w:rFonts w:ascii="Arial" w:hAnsi="Arial" w:cs="Arial"/>
              </w:rPr>
            </w:pPr>
          </w:p>
          <w:p w:rsidR="00A369F1" w:rsidRPr="00784311" w:rsidRDefault="00A369F1" w:rsidP="00F773FD">
            <w:pPr>
              <w:rPr>
                <w:rStyle w:val="st"/>
                <w:rFonts w:ascii="Arial" w:hAnsi="Arial" w:cs="Arial"/>
              </w:rPr>
            </w:pPr>
            <w:r w:rsidRPr="00784311">
              <w:rPr>
                <w:rStyle w:val="st"/>
                <w:rFonts w:ascii="Arial" w:hAnsi="Arial" w:cs="Arial"/>
              </w:rPr>
              <w:t>Fampyra</w:t>
            </w:r>
            <w:r w:rsidRPr="00784311">
              <w:rPr>
                <w:rStyle w:val="st"/>
                <w:rFonts w:ascii="Arial" w:hAnsi="Arial" w:cs="Arial"/>
                <w:vertAlign w:val="superscript"/>
              </w:rPr>
              <w:t>®</w:t>
            </w:r>
          </w:p>
          <w:p w:rsidR="00A369F1" w:rsidRPr="00784311" w:rsidRDefault="00A369F1" w:rsidP="00F773FD">
            <w:pPr>
              <w:rPr>
                <w:rStyle w:val="st"/>
                <w:rFonts w:ascii="Arial" w:hAnsi="Arial" w:cs="Arial"/>
              </w:rPr>
            </w:pPr>
          </w:p>
          <w:p w:rsidR="00A369F1" w:rsidRPr="00784311" w:rsidRDefault="00A369F1" w:rsidP="00F773FD">
            <w:pPr>
              <w:rPr>
                <w:rStyle w:val="st"/>
                <w:rFonts w:ascii="Arial" w:hAnsi="Arial" w:cs="Arial"/>
              </w:rPr>
            </w:pPr>
            <w:r w:rsidRPr="00784311">
              <w:rPr>
                <w:rFonts w:ascii="Arial" w:hAnsi="Arial" w:cs="Arial"/>
              </w:rPr>
              <w:t xml:space="preserve">Biogen Idec Australia </w:t>
            </w:r>
            <w:r w:rsidRPr="00784311">
              <w:rPr>
                <w:rFonts w:ascii="Arial" w:hAnsi="Arial" w:cs="Arial"/>
              </w:rPr>
              <w:lastRenderedPageBreak/>
              <w:t>Pty Ltd</w:t>
            </w:r>
          </w:p>
        </w:tc>
        <w:tc>
          <w:tcPr>
            <w:tcW w:w="2538"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lastRenderedPageBreak/>
              <w:t xml:space="preserve">Indicated for the symptomatic improvement of walking ability in adult patients with multiple sclerosis (MS). </w:t>
            </w:r>
          </w:p>
        </w:tc>
        <w:tc>
          <w:tcPr>
            <w:tcW w:w="2269" w:type="dxa"/>
            <w:tcMar>
              <w:top w:w="28" w:type="dxa"/>
              <w:bottom w:w="28" w:type="dxa"/>
            </w:tcMar>
          </w:tcPr>
          <w:p w:rsidR="00A369F1" w:rsidRPr="00784311" w:rsidRDefault="00A369F1" w:rsidP="00F773FD">
            <w:pPr>
              <w:pStyle w:val="NormalWeb"/>
              <w:shd w:val="clear" w:color="auto" w:fill="FFFFFF"/>
              <w:spacing w:before="0" w:beforeAutospacing="0" w:after="0" w:afterAutospacing="0"/>
              <w:rPr>
                <w:rFonts w:ascii="Arial" w:hAnsi="Arial" w:cs="Arial"/>
                <w:strike/>
                <w:snapToGrid w:val="0"/>
                <w:sz w:val="20"/>
                <w:szCs w:val="20"/>
              </w:rPr>
            </w:pPr>
            <w:r w:rsidRPr="00784311">
              <w:rPr>
                <w:rFonts w:ascii="Arial" w:hAnsi="Arial" w:cs="Arial"/>
                <w:sz w:val="20"/>
                <w:szCs w:val="20"/>
              </w:rPr>
              <w:t>Not currently PBS listed</w:t>
            </w:r>
          </w:p>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rPr>
                <w:rFonts w:ascii="Arial" w:hAnsi="Arial" w:cs="Arial"/>
                <w:iCs/>
              </w:rPr>
            </w:pPr>
          </w:p>
        </w:tc>
        <w:tc>
          <w:tcPr>
            <w:tcW w:w="5387" w:type="dxa"/>
          </w:tcPr>
          <w:p w:rsidR="00A369F1" w:rsidRPr="00784311" w:rsidRDefault="00A369F1" w:rsidP="00F773FD">
            <w:pPr>
              <w:rPr>
                <w:rFonts w:ascii="Arial" w:hAnsi="Arial" w:cs="Arial"/>
                <w:iCs/>
              </w:rPr>
            </w:pPr>
            <w:r w:rsidRPr="00784311">
              <w:rPr>
                <w:rFonts w:ascii="Arial" w:hAnsi="Arial" w:cs="Arial"/>
                <w:iCs/>
              </w:rPr>
              <w:t xml:space="preserve">The PBAC rejected the submission on the basis of inadequate evidence of comparative effectiveness based on clinically meaningful outcome measures. Therefore the cost-effectiveness of fampridine compared to placebo had not been established. </w:t>
            </w:r>
          </w:p>
        </w:tc>
      </w:tr>
      <w:tr w:rsidR="001B73E2" w:rsidRPr="00784311" w:rsidTr="001B73E2">
        <w:tc>
          <w:tcPr>
            <w:tcW w:w="0" w:type="auto"/>
            <w:tcMar>
              <w:top w:w="28" w:type="dxa"/>
              <w:bottom w:w="28" w:type="dxa"/>
            </w:tcMar>
          </w:tcPr>
          <w:p w:rsidR="00A369F1" w:rsidRPr="00784311" w:rsidRDefault="00A369F1" w:rsidP="00F773FD">
            <w:pPr>
              <w:rPr>
                <w:rStyle w:val="st"/>
                <w:rFonts w:ascii="Arial" w:hAnsi="Arial" w:cs="Arial"/>
              </w:rPr>
            </w:pPr>
          </w:p>
        </w:tc>
        <w:tc>
          <w:tcPr>
            <w:tcW w:w="2538" w:type="dxa"/>
          </w:tcPr>
          <w:p w:rsidR="00A369F1" w:rsidRPr="00784311" w:rsidRDefault="00A369F1" w:rsidP="00F773FD">
            <w:pPr>
              <w:widowControl w:val="0"/>
              <w:rPr>
                <w:rFonts w:ascii="Arial" w:hAnsi="Arial" w:cs="Arial"/>
                <w:snapToGrid w:val="0"/>
                <w:lang w:eastAsia="en-US"/>
              </w:rPr>
            </w:pPr>
          </w:p>
        </w:tc>
        <w:tc>
          <w:tcPr>
            <w:tcW w:w="2269" w:type="dxa"/>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rPr>
                <w:rFonts w:ascii="Arial" w:hAnsi="Arial" w:cs="Arial"/>
                <w:snapToGrid w:val="0"/>
                <w:lang w:eastAsia="en-US"/>
              </w:rPr>
            </w:pPr>
            <w:r w:rsidRPr="00784311">
              <w:rPr>
                <w:rFonts w:ascii="Arial" w:hAnsi="Arial" w:cs="Arial"/>
                <w:snapToGrid w:val="0"/>
                <w:lang w:eastAsia="en-US"/>
              </w:rPr>
              <w:t xml:space="preserve">Listing Requested: </w:t>
            </w:r>
          </w:p>
          <w:p w:rsidR="00A369F1" w:rsidRPr="00784311" w:rsidRDefault="00A369F1" w:rsidP="00F773FD">
            <w:pPr>
              <w:rPr>
                <w:rFonts w:ascii="Arial" w:hAnsi="Arial" w:cs="Arial"/>
                <w:snapToGrid w:val="0"/>
                <w:lang w:eastAsia="en-US"/>
              </w:rPr>
            </w:pPr>
            <w:r w:rsidRPr="00784311">
              <w:rPr>
                <w:rFonts w:ascii="Arial" w:hAnsi="Arial" w:cs="Arial"/>
                <w:iCs/>
              </w:rPr>
              <w:t>Authority Required listing for the treatment for the symptomatic improvement of walking ability of an ambulatory patient with clinically definite multiple sclerosis who meets certain criteria.</w:t>
            </w:r>
          </w:p>
        </w:tc>
        <w:tc>
          <w:tcPr>
            <w:tcW w:w="5387" w:type="dxa"/>
          </w:tcPr>
          <w:p w:rsidR="00A369F1" w:rsidRDefault="00A369F1" w:rsidP="00F773FD">
            <w:pPr>
              <w:rPr>
                <w:rFonts w:ascii="Arial" w:hAnsi="Arial" w:cs="Arial"/>
                <w:iCs/>
              </w:rPr>
            </w:pPr>
            <w:r w:rsidRPr="00784311">
              <w:rPr>
                <w:rFonts w:ascii="Arial" w:hAnsi="Arial" w:cs="Arial"/>
                <w:iCs/>
              </w:rPr>
              <w:t xml:space="preserve">The PBAC noted that the proposed restriction had changed from the November 2012 submission. The requirement that the patient complete a timed 25-foot walk test (T25FW) had been replaced by use of the Expanded Disability Status Scale (EDSS) to demonstrate walking impairment as the requirement to qualify for trialling fampridine, as well as measurement using the 12-point Multiple Sclerosis Walking Scale (MSWS-12) to identify responders for continued treatment.  The PBAC recalled that it considered that the T25FW would be extremely difficult to rely on for differentiating responders and non-responders and that the T25FW is not routinely used in clinical practice.  The PBAC was not convinced that the use of these 2 new scales would significantly improve the reliability of the identification of responders and non-responders. </w:t>
            </w:r>
          </w:p>
          <w:p w:rsidR="00784311" w:rsidRPr="00784311" w:rsidRDefault="00784311" w:rsidP="00F773FD">
            <w:pPr>
              <w:rPr>
                <w:rFonts w:ascii="Arial" w:hAnsi="Arial" w:cs="Arial"/>
                <w:iCs/>
              </w:rPr>
            </w:pPr>
          </w:p>
        </w:tc>
      </w:tr>
      <w:tr w:rsidR="001B73E2" w:rsidRPr="00784311" w:rsidTr="001B73E2">
        <w:tc>
          <w:tcPr>
            <w:tcW w:w="0" w:type="auto"/>
            <w:tcMar>
              <w:top w:w="28" w:type="dxa"/>
              <w:bottom w:w="28" w:type="dxa"/>
            </w:tcMar>
          </w:tcPr>
          <w:p w:rsidR="00A369F1" w:rsidRPr="00784311" w:rsidRDefault="00A369F1" w:rsidP="00F773FD">
            <w:pPr>
              <w:rPr>
                <w:rStyle w:val="st"/>
                <w:rFonts w:ascii="Arial" w:hAnsi="Arial" w:cs="Arial"/>
              </w:rPr>
            </w:pPr>
          </w:p>
        </w:tc>
        <w:tc>
          <w:tcPr>
            <w:tcW w:w="2538" w:type="dxa"/>
          </w:tcPr>
          <w:p w:rsidR="00A369F1" w:rsidRPr="00784311" w:rsidRDefault="00A369F1" w:rsidP="00F773FD">
            <w:pPr>
              <w:widowControl w:val="0"/>
              <w:rPr>
                <w:rFonts w:ascii="Arial" w:hAnsi="Arial" w:cs="Arial"/>
                <w:snapToGrid w:val="0"/>
                <w:lang w:eastAsia="en-US"/>
              </w:rPr>
            </w:pPr>
          </w:p>
        </w:tc>
        <w:tc>
          <w:tcPr>
            <w:tcW w:w="2269" w:type="dxa"/>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Comparator: </w:t>
            </w:r>
          </w:p>
          <w:p w:rsidR="00A369F1" w:rsidRPr="00784311" w:rsidRDefault="00A369F1" w:rsidP="00F773FD">
            <w:pPr>
              <w:widowControl w:val="0"/>
              <w:rPr>
                <w:rFonts w:ascii="Arial" w:hAnsi="Arial" w:cs="Arial"/>
                <w:snapToGrid w:val="0"/>
                <w:lang w:eastAsia="en-US"/>
              </w:rPr>
            </w:pPr>
            <w:r w:rsidRPr="00784311">
              <w:rPr>
                <w:rFonts w:ascii="Arial" w:hAnsi="Arial" w:cs="Arial"/>
              </w:rPr>
              <w:t xml:space="preserve">Placebo, as a proxy for best supportive care. </w:t>
            </w:r>
          </w:p>
        </w:tc>
        <w:tc>
          <w:tcPr>
            <w:tcW w:w="5387" w:type="dxa"/>
          </w:tcPr>
          <w:p w:rsidR="00A369F1" w:rsidRPr="00784311" w:rsidRDefault="00A369F1" w:rsidP="00F773FD">
            <w:pPr>
              <w:rPr>
                <w:rFonts w:ascii="Arial" w:hAnsi="Arial" w:cs="Arial"/>
                <w:iCs/>
              </w:rPr>
            </w:pPr>
            <w:r w:rsidRPr="00784311">
              <w:rPr>
                <w:rFonts w:ascii="Arial" w:hAnsi="Arial" w:cs="Arial"/>
                <w:iCs/>
              </w:rPr>
              <w:t xml:space="preserve">The PBAC recalled that it had previously accepted placebo as an appropriate comparator. </w:t>
            </w:r>
          </w:p>
        </w:tc>
      </w:tr>
      <w:tr w:rsidR="001B73E2" w:rsidRPr="00784311" w:rsidTr="001B73E2">
        <w:tc>
          <w:tcPr>
            <w:tcW w:w="0" w:type="auto"/>
            <w:vMerge w:val="restart"/>
            <w:tcMar>
              <w:top w:w="28" w:type="dxa"/>
              <w:bottom w:w="28" w:type="dxa"/>
            </w:tcMar>
          </w:tcPr>
          <w:p w:rsidR="00A369F1" w:rsidRPr="00784311" w:rsidRDefault="00A369F1" w:rsidP="00F773FD">
            <w:pPr>
              <w:rPr>
                <w:rStyle w:val="st"/>
                <w:rFonts w:ascii="Arial" w:hAnsi="Arial" w:cs="Arial"/>
              </w:rPr>
            </w:pPr>
          </w:p>
        </w:tc>
        <w:tc>
          <w:tcPr>
            <w:tcW w:w="2538" w:type="dxa"/>
            <w:vMerge w:val="restart"/>
          </w:tcPr>
          <w:p w:rsidR="00A369F1" w:rsidRPr="00784311" w:rsidRDefault="00A369F1" w:rsidP="00F773FD">
            <w:pPr>
              <w:widowControl w:val="0"/>
              <w:rPr>
                <w:rFonts w:ascii="Arial" w:hAnsi="Arial" w:cs="Arial"/>
                <w:snapToGrid w:val="0"/>
                <w:lang w:eastAsia="en-US"/>
              </w:rPr>
            </w:pPr>
          </w:p>
        </w:tc>
        <w:tc>
          <w:tcPr>
            <w:tcW w:w="2269" w:type="dxa"/>
            <w:vMerge w:val="restart"/>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Clinical Claim:</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The re-submission described fampridine as superior in terms of comparative effectiveness and inferior in terms of comparative safety compared to placebo. </w:t>
            </w:r>
          </w:p>
        </w:tc>
        <w:tc>
          <w:tcPr>
            <w:tcW w:w="5387" w:type="dxa"/>
          </w:tcPr>
          <w:p w:rsidR="00A369F1" w:rsidRPr="00784311" w:rsidRDefault="00A369F1" w:rsidP="00F773FD">
            <w:pPr>
              <w:rPr>
                <w:rFonts w:ascii="Arial" w:hAnsi="Arial" w:cs="Arial"/>
                <w:iCs/>
              </w:rPr>
            </w:pPr>
            <w:r w:rsidRPr="00784311">
              <w:rPr>
                <w:rFonts w:ascii="Arial" w:hAnsi="Arial" w:cs="Arial"/>
                <w:iCs/>
              </w:rPr>
              <w:t xml:space="preserve">The PBAC considered that the claim of inferior comparative safety was reasonable.  With respect to comparative effectiveness, the PBAC considered the absolute treatment effect with fampridine is modest, and there is considerable doubt over whether it will be seen in practice.  </w:t>
            </w:r>
          </w:p>
        </w:tc>
      </w:tr>
      <w:tr w:rsidR="001B73E2" w:rsidRPr="00784311" w:rsidTr="001B73E2">
        <w:tc>
          <w:tcPr>
            <w:tcW w:w="0" w:type="auto"/>
            <w:vMerge/>
            <w:tcMar>
              <w:top w:w="28" w:type="dxa"/>
              <w:bottom w:w="28" w:type="dxa"/>
            </w:tcMar>
          </w:tcPr>
          <w:p w:rsidR="00A369F1" w:rsidRPr="00784311" w:rsidRDefault="00A369F1" w:rsidP="00F773FD">
            <w:pPr>
              <w:rPr>
                <w:rStyle w:val="st"/>
                <w:rFonts w:ascii="Arial" w:hAnsi="Arial" w:cs="Arial"/>
              </w:rPr>
            </w:pPr>
          </w:p>
        </w:tc>
        <w:tc>
          <w:tcPr>
            <w:tcW w:w="2538" w:type="dxa"/>
            <w:vMerge/>
          </w:tcPr>
          <w:p w:rsidR="00A369F1" w:rsidRPr="00784311" w:rsidRDefault="00A369F1" w:rsidP="00F773FD">
            <w:pPr>
              <w:widowControl w:val="0"/>
              <w:rPr>
                <w:rFonts w:ascii="Arial" w:hAnsi="Arial" w:cs="Arial"/>
                <w:snapToGrid w:val="0"/>
                <w:lang w:eastAsia="en-US"/>
              </w:rPr>
            </w:pPr>
          </w:p>
        </w:tc>
        <w:tc>
          <w:tcPr>
            <w:tcW w:w="2269" w:type="dxa"/>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Economic Claim:</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Cost-utility analysis of fampridine compared to placebo. </w:t>
            </w:r>
          </w:p>
        </w:tc>
        <w:tc>
          <w:tcPr>
            <w:tcW w:w="5387" w:type="dxa"/>
          </w:tcPr>
          <w:p w:rsidR="00A369F1" w:rsidRPr="00784311" w:rsidRDefault="00A369F1" w:rsidP="00F773FD">
            <w:pPr>
              <w:rPr>
                <w:rFonts w:ascii="Arial" w:hAnsi="Arial" w:cs="Arial"/>
                <w:iCs/>
              </w:rPr>
            </w:pPr>
            <w:r w:rsidRPr="00784311">
              <w:rPr>
                <w:rFonts w:ascii="Arial" w:hAnsi="Arial" w:cs="Arial"/>
                <w:iCs/>
              </w:rPr>
              <w:t xml:space="preserve">The PBAC did not consider the submission’s estimate of the incremental cost per QALY gained to be reliable and that at the price proposed, the ICER is likely to be unacceptably high. </w:t>
            </w:r>
          </w:p>
        </w:tc>
      </w:tr>
      <w:tr w:rsidR="001B73E2" w:rsidRPr="00784311" w:rsidTr="001B73E2">
        <w:tc>
          <w:tcPr>
            <w:tcW w:w="0" w:type="auto"/>
            <w:vMerge/>
            <w:tcMar>
              <w:top w:w="28" w:type="dxa"/>
              <w:bottom w:w="28" w:type="dxa"/>
            </w:tcMar>
          </w:tcPr>
          <w:p w:rsidR="00A369F1" w:rsidRPr="00784311" w:rsidRDefault="00A369F1" w:rsidP="00F773FD">
            <w:pPr>
              <w:rPr>
                <w:rStyle w:val="st"/>
                <w:rFonts w:ascii="Arial" w:hAnsi="Arial" w:cs="Arial"/>
              </w:rPr>
            </w:pPr>
          </w:p>
        </w:tc>
        <w:tc>
          <w:tcPr>
            <w:tcW w:w="2538" w:type="dxa"/>
            <w:vMerge/>
          </w:tcPr>
          <w:p w:rsidR="00A369F1" w:rsidRPr="00784311" w:rsidRDefault="00A369F1" w:rsidP="00F773FD">
            <w:pPr>
              <w:widowControl w:val="0"/>
              <w:rPr>
                <w:rFonts w:ascii="Arial" w:hAnsi="Arial" w:cs="Arial"/>
                <w:snapToGrid w:val="0"/>
                <w:lang w:eastAsia="en-US"/>
              </w:rPr>
            </w:pPr>
          </w:p>
        </w:tc>
        <w:tc>
          <w:tcPr>
            <w:tcW w:w="2269" w:type="dxa"/>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Sponsor’s comments:</w:t>
            </w:r>
          </w:p>
        </w:tc>
        <w:tc>
          <w:tcPr>
            <w:tcW w:w="5387" w:type="dxa"/>
          </w:tcPr>
          <w:p w:rsidR="00A369F1" w:rsidRPr="00784311" w:rsidRDefault="001B73E2" w:rsidP="00F773FD">
            <w:pPr>
              <w:rPr>
                <w:rFonts w:ascii="Arial" w:hAnsi="Arial" w:cs="Arial"/>
                <w:iCs/>
              </w:rPr>
            </w:pPr>
            <w:r w:rsidRPr="00784311">
              <w:rPr>
                <w:rStyle w:val="apple-style-span"/>
                <w:rFonts w:ascii="Arial" w:hAnsi="Arial" w:cs="Arial"/>
                <w:lang w:val="en-US"/>
              </w:rPr>
              <w:t xml:space="preserve">Biogen Idec is disappointed with the rejection made by the PBAC, and are concerned that people living with multiple sclerosis who experience mobility dysfunction will not be able to receive Fampyra under the Pharmaceutical </w:t>
            </w:r>
            <w:r w:rsidRPr="00784311">
              <w:rPr>
                <w:rStyle w:val="apple-style-span"/>
                <w:rFonts w:ascii="Arial" w:hAnsi="Arial" w:cs="Arial"/>
                <w:lang w:val="en-US"/>
              </w:rPr>
              <w:lastRenderedPageBreak/>
              <w:t>Benefits Scheme. We refer readers to our own web site for a more detailed commentary www.biogenidec.com.au </w:t>
            </w:r>
          </w:p>
        </w:tc>
      </w:tr>
      <w:tr w:rsidR="001B73E2" w:rsidRPr="00784311" w:rsidTr="001B73E2">
        <w:tc>
          <w:tcPr>
            <w:tcW w:w="0" w:type="auto"/>
            <w:vMerge w:val="restart"/>
            <w:tcMar>
              <w:top w:w="28" w:type="dxa"/>
              <w:bottom w:w="28" w:type="dxa"/>
            </w:tcMar>
          </w:tcPr>
          <w:p w:rsidR="00A369F1" w:rsidRPr="00784311" w:rsidRDefault="00A369F1" w:rsidP="00F773FD">
            <w:pPr>
              <w:rPr>
                <w:rStyle w:val="st"/>
                <w:rFonts w:ascii="Arial" w:hAnsi="Arial" w:cs="Arial"/>
              </w:rPr>
            </w:pPr>
            <w:r w:rsidRPr="00784311">
              <w:rPr>
                <w:rStyle w:val="st"/>
                <w:rFonts w:ascii="Arial" w:hAnsi="Arial" w:cs="Arial"/>
              </w:rPr>
              <w:lastRenderedPageBreak/>
              <w:t>FOLLITROPIN ALFA AND LUTOPIN ALFA, follitropin alfa 150 units + lutropin alfa 75 units [1 vial] (&amp;) inert substance dilent [1 vial], 1 pack</w:t>
            </w:r>
          </w:p>
          <w:p w:rsidR="00A369F1" w:rsidRPr="00784311" w:rsidRDefault="00A369F1" w:rsidP="00F773FD">
            <w:pPr>
              <w:rPr>
                <w:rStyle w:val="st"/>
                <w:rFonts w:ascii="Arial" w:hAnsi="Arial" w:cs="Arial"/>
              </w:rPr>
            </w:pPr>
          </w:p>
          <w:p w:rsidR="00A369F1" w:rsidRPr="00784311" w:rsidRDefault="00A369F1" w:rsidP="00F773FD">
            <w:pPr>
              <w:rPr>
                <w:rStyle w:val="st"/>
                <w:rFonts w:ascii="Arial" w:hAnsi="Arial" w:cs="Arial"/>
              </w:rPr>
            </w:pPr>
            <w:r w:rsidRPr="00784311">
              <w:rPr>
                <w:rStyle w:val="st"/>
                <w:rFonts w:ascii="Arial" w:hAnsi="Arial" w:cs="Arial"/>
              </w:rPr>
              <w:t>Pergoveris</w:t>
            </w:r>
            <w:r w:rsidRPr="00784311">
              <w:rPr>
                <w:rStyle w:val="st"/>
                <w:rFonts w:ascii="Arial" w:hAnsi="Arial" w:cs="Arial"/>
                <w:vertAlign w:val="superscript"/>
              </w:rPr>
              <w:t>®</w:t>
            </w:r>
          </w:p>
          <w:p w:rsidR="00A369F1" w:rsidRPr="00784311" w:rsidRDefault="00A369F1" w:rsidP="00F773FD">
            <w:pPr>
              <w:rPr>
                <w:rFonts w:ascii="Arial" w:hAnsi="Arial" w:cs="Arial"/>
              </w:rPr>
            </w:pPr>
          </w:p>
          <w:p w:rsidR="00A369F1" w:rsidRPr="00784311" w:rsidRDefault="00A369F1" w:rsidP="00F773FD">
            <w:pPr>
              <w:rPr>
                <w:rFonts w:ascii="Arial" w:hAnsi="Arial" w:cs="Arial"/>
              </w:rPr>
            </w:pPr>
            <w:r w:rsidRPr="00784311">
              <w:rPr>
                <w:rFonts w:ascii="Arial" w:hAnsi="Arial" w:cs="Arial"/>
              </w:rPr>
              <w:t xml:space="preserve">Merck Serono Australia Pty Ltd </w:t>
            </w:r>
          </w:p>
          <w:p w:rsidR="00A369F1" w:rsidRPr="00784311" w:rsidRDefault="00A369F1" w:rsidP="00F773FD">
            <w:pPr>
              <w:rPr>
                <w:rStyle w:val="st"/>
                <w:rFonts w:ascii="Arial" w:hAnsi="Arial" w:cs="Arial"/>
              </w:rPr>
            </w:pPr>
          </w:p>
        </w:tc>
        <w:tc>
          <w:tcPr>
            <w:tcW w:w="2538" w:type="dxa"/>
            <w:vMerge w:val="restart"/>
          </w:tcPr>
          <w:p w:rsidR="00A369F1" w:rsidRPr="00784311" w:rsidRDefault="00A369F1" w:rsidP="00F773FD">
            <w:pPr>
              <w:autoSpaceDE w:val="0"/>
              <w:autoSpaceDN w:val="0"/>
              <w:adjustRightInd w:val="0"/>
              <w:rPr>
                <w:rFonts w:ascii="Arial" w:hAnsi="Arial" w:cs="Arial"/>
              </w:rPr>
            </w:pPr>
            <w:r w:rsidRPr="00784311">
              <w:rPr>
                <w:rFonts w:ascii="Arial" w:hAnsi="Arial" w:cs="Arial"/>
              </w:rPr>
              <w:t>Indicated for the stimulation of follicular development in women with severe luteinising hormone (LH) and follicle stimulating hormone (FSH) deficiency. In clinical trials, these patients were defined by an endogenous serum LH of less than 1.2 IU/L.</w:t>
            </w:r>
          </w:p>
        </w:tc>
        <w:tc>
          <w:tcPr>
            <w:tcW w:w="2269" w:type="dxa"/>
            <w:vMerge w:val="restart"/>
            <w:tcMar>
              <w:top w:w="28" w:type="dxa"/>
              <w:bottom w:w="28" w:type="dxa"/>
            </w:tcMar>
          </w:tcPr>
          <w:p w:rsidR="00A369F1" w:rsidRPr="00784311" w:rsidRDefault="00A369F1" w:rsidP="00F773FD">
            <w:pPr>
              <w:pStyle w:val="NormalWeb"/>
              <w:shd w:val="clear" w:color="auto" w:fill="FFFFFF"/>
              <w:spacing w:before="0" w:beforeAutospacing="0" w:after="0" w:afterAutospacing="0"/>
              <w:rPr>
                <w:rFonts w:ascii="Arial" w:hAnsi="Arial" w:cs="Arial"/>
                <w:strike/>
                <w:snapToGrid w:val="0"/>
                <w:sz w:val="20"/>
                <w:szCs w:val="20"/>
              </w:rPr>
            </w:pPr>
            <w:r w:rsidRPr="00784311">
              <w:rPr>
                <w:rFonts w:ascii="Arial" w:hAnsi="Arial" w:cs="Arial"/>
                <w:sz w:val="20"/>
                <w:szCs w:val="20"/>
              </w:rPr>
              <w:t>Not currently PBS listed</w:t>
            </w:r>
          </w:p>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rPr>
                <w:rFonts w:ascii="Arial" w:hAnsi="Arial" w:cs="Arial"/>
                <w:iCs/>
              </w:rPr>
            </w:pPr>
          </w:p>
        </w:tc>
        <w:tc>
          <w:tcPr>
            <w:tcW w:w="5387" w:type="dxa"/>
          </w:tcPr>
          <w:p w:rsidR="00A369F1" w:rsidRPr="00784311" w:rsidRDefault="00A369F1" w:rsidP="00F773FD">
            <w:pPr>
              <w:pStyle w:val="ListParagraph"/>
              <w:ind w:left="0"/>
              <w:jc w:val="both"/>
              <w:rPr>
                <w:rFonts w:ascii="Arial" w:hAnsi="Arial" w:cs="Arial"/>
                <w:sz w:val="20"/>
                <w:szCs w:val="20"/>
              </w:rPr>
            </w:pPr>
            <w:r w:rsidRPr="00784311">
              <w:rPr>
                <w:rFonts w:ascii="Arial" w:hAnsi="Arial" w:cs="Arial"/>
                <w:sz w:val="20"/>
                <w:szCs w:val="20"/>
              </w:rPr>
              <w:t>The PBAC rejected the submission to list follitropin alfa + lutropin alfa fixed does combination (FDC) on the Section 100 IVF/GIFT Programme.  The PBAC considered that the submission had not established the comparative effectiveness and safety of the FDC</w:t>
            </w:r>
            <w:r w:rsidR="0089755D" w:rsidRPr="00784311">
              <w:rPr>
                <w:rFonts w:ascii="Arial" w:hAnsi="Arial" w:cs="Arial"/>
                <w:sz w:val="20"/>
                <w:szCs w:val="20"/>
              </w:rPr>
              <w:t xml:space="preserve"> to either follitropin alfa given alone or the components - follitropin alfa and lutropin alfa- given separately or other products containing human menopausal gonadotrophin.</w:t>
            </w:r>
          </w:p>
        </w:tc>
      </w:tr>
      <w:tr w:rsidR="001B73E2" w:rsidRPr="00784311" w:rsidTr="001B73E2">
        <w:tc>
          <w:tcPr>
            <w:tcW w:w="0" w:type="auto"/>
            <w:vMerge/>
            <w:tcMar>
              <w:top w:w="28" w:type="dxa"/>
              <w:bottom w:w="28" w:type="dxa"/>
            </w:tcMar>
          </w:tcPr>
          <w:p w:rsidR="00A369F1" w:rsidRPr="00784311" w:rsidRDefault="00A369F1" w:rsidP="00F773FD">
            <w:pPr>
              <w:rPr>
                <w:rStyle w:val="st"/>
                <w:rFonts w:ascii="Arial" w:hAnsi="Arial" w:cs="Arial"/>
              </w:rPr>
            </w:pPr>
          </w:p>
        </w:tc>
        <w:tc>
          <w:tcPr>
            <w:tcW w:w="2538" w:type="dxa"/>
            <w:vMerge/>
          </w:tcPr>
          <w:p w:rsidR="00A369F1" w:rsidRPr="00784311" w:rsidRDefault="00A369F1" w:rsidP="00F773FD">
            <w:pPr>
              <w:widowControl w:val="0"/>
              <w:rPr>
                <w:rFonts w:ascii="Arial" w:hAnsi="Arial" w:cs="Arial"/>
                <w:snapToGrid w:val="0"/>
                <w:lang w:eastAsia="en-US"/>
              </w:rPr>
            </w:pPr>
          </w:p>
        </w:tc>
        <w:tc>
          <w:tcPr>
            <w:tcW w:w="2269" w:type="dxa"/>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rPr>
                <w:rFonts w:ascii="Arial" w:hAnsi="Arial" w:cs="Arial"/>
                <w:snapToGrid w:val="0"/>
                <w:lang w:eastAsia="en-US"/>
              </w:rPr>
            </w:pPr>
            <w:r w:rsidRPr="00784311">
              <w:rPr>
                <w:rFonts w:ascii="Arial" w:hAnsi="Arial" w:cs="Arial"/>
                <w:snapToGrid w:val="0"/>
                <w:lang w:eastAsia="en-US"/>
              </w:rPr>
              <w:t xml:space="preserve">Listing Requested: </w:t>
            </w:r>
          </w:p>
          <w:p w:rsidR="00A369F1" w:rsidRPr="00784311" w:rsidRDefault="00A369F1" w:rsidP="00F773FD">
            <w:pPr>
              <w:rPr>
                <w:rFonts w:ascii="Arial" w:hAnsi="Arial" w:cs="Arial"/>
                <w:iCs/>
              </w:rPr>
            </w:pPr>
            <w:r w:rsidRPr="00784311">
              <w:rPr>
                <w:rFonts w:ascii="Arial" w:hAnsi="Arial" w:cs="Arial"/>
                <w:iCs/>
              </w:rPr>
              <w:t>Section 100 In Vitro Fertilisation / Gamete Intrafallopian Transfer (IVF/GIFT) Programme listing for the treatment of patients who are receiving medical treatment as described in items 13200, 13201, 13202 or 13203 of the Medicare Benefits Schedule and who have severe LH deficiency.</w:t>
            </w:r>
          </w:p>
        </w:tc>
        <w:tc>
          <w:tcPr>
            <w:tcW w:w="5387" w:type="dxa"/>
          </w:tcPr>
          <w:p w:rsidR="00A369F1" w:rsidRPr="00784311" w:rsidRDefault="00A369F1" w:rsidP="00F773FD">
            <w:pPr>
              <w:rPr>
                <w:rFonts w:ascii="Arial" w:hAnsi="Arial" w:cs="Arial"/>
                <w:iCs/>
              </w:rPr>
            </w:pPr>
          </w:p>
        </w:tc>
      </w:tr>
      <w:tr w:rsidR="001B73E2" w:rsidRPr="00784311" w:rsidTr="001B73E2">
        <w:tc>
          <w:tcPr>
            <w:tcW w:w="0" w:type="auto"/>
            <w:vMerge/>
            <w:tcMar>
              <w:top w:w="28" w:type="dxa"/>
              <w:bottom w:w="28" w:type="dxa"/>
            </w:tcMar>
          </w:tcPr>
          <w:p w:rsidR="00A369F1" w:rsidRPr="00784311" w:rsidRDefault="00A369F1" w:rsidP="00F773FD">
            <w:pPr>
              <w:rPr>
                <w:rStyle w:val="st"/>
                <w:rFonts w:ascii="Arial" w:hAnsi="Arial" w:cs="Arial"/>
              </w:rPr>
            </w:pPr>
          </w:p>
        </w:tc>
        <w:tc>
          <w:tcPr>
            <w:tcW w:w="2538" w:type="dxa"/>
            <w:vMerge/>
          </w:tcPr>
          <w:p w:rsidR="00A369F1" w:rsidRPr="00784311" w:rsidRDefault="00A369F1" w:rsidP="00F773FD">
            <w:pPr>
              <w:widowControl w:val="0"/>
              <w:rPr>
                <w:rFonts w:ascii="Arial" w:hAnsi="Arial" w:cs="Arial"/>
                <w:snapToGrid w:val="0"/>
                <w:lang w:eastAsia="en-US"/>
              </w:rPr>
            </w:pPr>
          </w:p>
        </w:tc>
        <w:tc>
          <w:tcPr>
            <w:tcW w:w="2269" w:type="dxa"/>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Comparator:</w:t>
            </w:r>
          </w:p>
          <w:p w:rsidR="00A369F1" w:rsidRPr="00784311" w:rsidRDefault="00A369F1" w:rsidP="00F773FD">
            <w:pPr>
              <w:widowControl w:val="0"/>
              <w:rPr>
                <w:rFonts w:ascii="Arial" w:hAnsi="Arial" w:cs="Arial"/>
              </w:rPr>
            </w:pPr>
            <w:r w:rsidRPr="00784311">
              <w:rPr>
                <w:rFonts w:ascii="Arial" w:hAnsi="Arial" w:cs="Arial"/>
              </w:rPr>
              <w:t>The submission nominated follitropin alfa, one component of the FDC product, as the main comparator.</w:t>
            </w:r>
          </w:p>
          <w:p w:rsidR="00A369F1" w:rsidRPr="00784311" w:rsidRDefault="00A369F1" w:rsidP="00F773FD">
            <w:pPr>
              <w:widowControl w:val="0"/>
              <w:rPr>
                <w:rFonts w:ascii="Arial" w:hAnsi="Arial" w:cs="Arial"/>
              </w:rPr>
            </w:pPr>
          </w:p>
          <w:p w:rsidR="00A369F1" w:rsidRPr="00784311" w:rsidRDefault="00A369F1" w:rsidP="00F773FD">
            <w:pPr>
              <w:widowControl w:val="0"/>
              <w:rPr>
                <w:rFonts w:ascii="Arial" w:hAnsi="Arial" w:cs="Arial"/>
              </w:rPr>
            </w:pPr>
            <w:r w:rsidRPr="00784311">
              <w:rPr>
                <w:rFonts w:ascii="Arial" w:hAnsi="Arial" w:cs="Arial"/>
              </w:rPr>
              <w:t xml:space="preserve">The submission also considered human menopausal gonadotropin (hMG) as an additional but minor comparator. </w:t>
            </w:r>
          </w:p>
          <w:p w:rsidR="00A369F1" w:rsidRPr="00784311" w:rsidRDefault="00A369F1" w:rsidP="00F773FD">
            <w:pPr>
              <w:widowControl w:val="0"/>
              <w:rPr>
                <w:rFonts w:ascii="Arial" w:hAnsi="Arial" w:cs="Arial"/>
                <w:snapToGrid w:val="0"/>
                <w:lang w:eastAsia="en-US"/>
              </w:rPr>
            </w:pPr>
          </w:p>
        </w:tc>
        <w:tc>
          <w:tcPr>
            <w:tcW w:w="5387" w:type="dxa"/>
          </w:tcPr>
          <w:p w:rsidR="00A369F1" w:rsidRPr="00784311" w:rsidRDefault="00A369F1" w:rsidP="00F773FD">
            <w:pPr>
              <w:pStyle w:val="ListParagraph"/>
              <w:ind w:left="0"/>
              <w:jc w:val="both"/>
              <w:rPr>
                <w:rFonts w:ascii="Arial" w:hAnsi="Arial" w:cs="Arial"/>
                <w:sz w:val="20"/>
                <w:szCs w:val="20"/>
              </w:rPr>
            </w:pPr>
            <w:r w:rsidRPr="00784311">
              <w:rPr>
                <w:rFonts w:ascii="Arial" w:hAnsi="Arial" w:cs="Arial"/>
                <w:sz w:val="20"/>
                <w:szCs w:val="20"/>
              </w:rPr>
              <w:t>The PBAC did not agree that the correct comparator was follitropin alfa.  The PBAC considered that the comparator should include both FSH and LH.</w:t>
            </w:r>
          </w:p>
        </w:tc>
      </w:tr>
      <w:tr w:rsidR="001B73E2" w:rsidRPr="00784311" w:rsidTr="001B73E2">
        <w:tc>
          <w:tcPr>
            <w:tcW w:w="0" w:type="auto"/>
            <w:vMerge/>
            <w:tcMar>
              <w:top w:w="28" w:type="dxa"/>
              <w:bottom w:w="28" w:type="dxa"/>
            </w:tcMar>
          </w:tcPr>
          <w:p w:rsidR="00A369F1" w:rsidRPr="00784311" w:rsidRDefault="00A369F1" w:rsidP="00F773FD">
            <w:pPr>
              <w:rPr>
                <w:rStyle w:val="st"/>
                <w:rFonts w:ascii="Arial" w:hAnsi="Arial" w:cs="Arial"/>
              </w:rPr>
            </w:pPr>
          </w:p>
        </w:tc>
        <w:tc>
          <w:tcPr>
            <w:tcW w:w="2538" w:type="dxa"/>
            <w:vMerge/>
          </w:tcPr>
          <w:p w:rsidR="00A369F1" w:rsidRPr="00784311" w:rsidRDefault="00A369F1" w:rsidP="00F773FD">
            <w:pPr>
              <w:widowControl w:val="0"/>
              <w:rPr>
                <w:rFonts w:ascii="Arial" w:hAnsi="Arial" w:cs="Arial"/>
                <w:snapToGrid w:val="0"/>
                <w:lang w:eastAsia="en-US"/>
              </w:rPr>
            </w:pPr>
          </w:p>
        </w:tc>
        <w:tc>
          <w:tcPr>
            <w:tcW w:w="2269" w:type="dxa"/>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Clinical claim:</w:t>
            </w:r>
          </w:p>
          <w:p w:rsidR="00A369F1" w:rsidRPr="00784311" w:rsidRDefault="00A369F1" w:rsidP="001032C8">
            <w:pPr>
              <w:pStyle w:val="ListParagraph"/>
              <w:ind w:left="0"/>
              <w:jc w:val="both"/>
              <w:rPr>
                <w:rFonts w:ascii="Arial" w:hAnsi="Arial" w:cs="Arial"/>
                <w:sz w:val="20"/>
                <w:szCs w:val="20"/>
              </w:rPr>
            </w:pPr>
            <w:r w:rsidRPr="00784311">
              <w:rPr>
                <w:rFonts w:ascii="Arial" w:hAnsi="Arial" w:cs="Arial"/>
                <w:sz w:val="20"/>
                <w:szCs w:val="20"/>
              </w:rPr>
              <w:lastRenderedPageBreak/>
              <w:t xml:space="preserve">The submission claimed that LH and FSH, when given concomitantly, were superior to FSH administered alone in women with LH deficiency. </w:t>
            </w:r>
          </w:p>
        </w:tc>
        <w:tc>
          <w:tcPr>
            <w:tcW w:w="5387" w:type="dxa"/>
          </w:tcPr>
          <w:p w:rsidR="00A369F1" w:rsidRPr="00784311" w:rsidRDefault="00A369F1" w:rsidP="00F773FD">
            <w:pPr>
              <w:rPr>
                <w:rFonts w:ascii="Arial" w:hAnsi="Arial" w:cs="Arial"/>
                <w:iCs/>
              </w:rPr>
            </w:pPr>
            <w:r w:rsidRPr="00784311">
              <w:rPr>
                <w:rFonts w:ascii="Arial" w:hAnsi="Arial" w:cs="Arial"/>
                <w:iCs/>
              </w:rPr>
              <w:lastRenderedPageBreak/>
              <w:t xml:space="preserve">The PBAC noted that this superiority claim related only to </w:t>
            </w:r>
            <w:r w:rsidRPr="00784311">
              <w:rPr>
                <w:rFonts w:ascii="Arial" w:hAnsi="Arial" w:cs="Arial"/>
                <w:iCs/>
              </w:rPr>
              <w:lastRenderedPageBreak/>
              <w:t>the surrogate endpoint of follicular stimulation (or overstimulation) rather than for pregnancy outcomes.</w:t>
            </w:r>
            <w:r w:rsidRPr="00784311">
              <w:rPr>
                <w:rFonts w:ascii="Arial" w:hAnsi="Arial" w:cs="Arial"/>
                <w:b/>
                <w:iCs/>
              </w:rPr>
              <w:t xml:space="preserve"> </w:t>
            </w:r>
          </w:p>
          <w:p w:rsidR="00A369F1" w:rsidRDefault="00A369F1" w:rsidP="00F773FD">
            <w:pPr>
              <w:rPr>
                <w:rFonts w:ascii="Arial" w:hAnsi="Arial" w:cs="Arial"/>
                <w:iCs/>
              </w:rPr>
            </w:pPr>
            <w:r w:rsidRPr="00784311">
              <w:rPr>
                <w:rFonts w:ascii="Arial" w:hAnsi="Arial" w:cs="Arial"/>
                <w:iCs/>
              </w:rPr>
              <w:t xml:space="preserve">The PBAC considered that the comparative safety of follitropin alfa +lutropin alfa was a concern, particularly the risk of ovarian hyperstimulation syndrome (OHSS). </w:t>
            </w:r>
          </w:p>
          <w:p w:rsidR="00784311" w:rsidRPr="00784311" w:rsidRDefault="00784311" w:rsidP="00F773FD">
            <w:pPr>
              <w:rPr>
                <w:rFonts w:ascii="Arial" w:hAnsi="Arial" w:cs="Arial"/>
                <w:iCs/>
              </w:rPr>
            </w:pPr>
          </w:p>
        </w:tc>
      </w:tr>
      <w:tr w:rsidR="001B73E2" w:rsidRPr="00784311" w:rsidTr="001B73E2">
        <w:tc>
          <w:tcPr>
            <w:tcW w:w="0" w:type="auto"/>
            <w:vMerge/>
            <w:tcMar>
              <w:top w:w="28" w:type="dxa"/>
              <w:bottom w:w="28" w:type="dxa"/>
            </w:tcMar>
          </w:tcPr>
          <w:p w:rsidR="00A369F1" w:rsidRPr="00784311" w:rsidRDefault="00A369F1" w:rsidP="00F773FD">
            <w:pPr>
              <w:rPr>
                <w:rStyle w:val="st"/>
                <w:rFonts w:ascii="Arial" w:hAnsi="Arial" w:cs="Arial"/>
              </w:rPr>
            </w:pPr>
          </w:p>
        </w:tc>
        <w:tc>
          <w:tcPr>
            <w:tcW w:w="2538" w:type="dxa"/>
            <w:vMerge/>
          </w:tcPr>
          <w:p w:rsidR="00A369F1" w:rsidRPr="00784311" w:rsidRDefault="00A369F1" w:rsidP="00F773FD">
            <w:pPr>
              <w:widowControl w:val="0"/>
              <w:rPr>
                <w:rFonts w:ascii="Arial" w:hAnsi="Arial" w:cs="Arial"/>
                <w:snapToGrid w:val="0"/>
                <w:lang w:eastAsia="en-US"/>
              </w:rPr>
            </w:pPr>
          </w:p>
        </w:tc>
        <w:tc>
          <w:tcPr>
            <w:tcW w:w="2269" w:type="dxa"/>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Economic claim:</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The submission proposed that the cost of follitropin alfa + lutropin alfa FDC will be the same as the cost of rFSH alone, with the cost of the rLH component to be covered by the sponsor at no additional cost to Government. </w:t>
            </w:r>
          </w:p>
          <w:p w:rsidR="00A369F1" w:rsidRPr="00784311" w:rsidRDefault="00A369F1" w:rsidP="00F773FD">
            <w:pPr>
              <w:widowControl w:val="0"/>
              <w:rPr>
                <w:rFonts w:ascii="Arial" w:hAnsi="Arial" w:cs="Arial"/>
                <w:snapToGrid w:val="0"/>
                <w:lang w:eastAsia="en-US"/>
              </w:rPr>
            </w:pP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A formal cost-minimisation analysis for the comparison between follitropin alfa + lutropin alfa FDC and its individual components administered concomitantly was not presented in the submission.</w:t>
            </w:r>
          </w:p>
        </w:tc>
        <w:tc>
          <w:tcPr>
            <w:tcW w:w="5387" w:type="dxa"/>
          </w:tcPr>
          <w:p w:rsidR="00A369F1" w:rsidRPr="00784311" w:rsidRDefault="00A369F1" w:rsidP="00F773FD">
            <w:pPr>
              <w:rPr>
                <w:rFonts w:ascii="Arial" w:hAnsi="Arial" w:cs="Arial"/>
                <w:iCs/>
              </w:rPr>
            </w:pPr>
            <w:r w:rsidRPr="00784311">
              <w:rPr>
                <w:rFonts w:ascii="Arial" w:hAnsi="Arial" w:cs="Arial"/>
                <w:iCs/>
              </w:rPr>
              <w:t>The PBAC considered that a cost-minimisation approach would be reasonable only when the efficacy and safety of follitropin alfa + lutropin alfa FDC are non-inferior to rFSH and rLH administered concomitantly in the population with severe LH deficiency. However, the submission did not present clinical data for this comparison.</w:t>
            </w:r>
          </w:p>
          <w:p w:rsidR="00A369F1" w:rsidRPr="00784311" w:rsidRDefault="00A369F1" w:rsidP="00F773FD">
            <w:pPr>
              <w:rPr>
                <w:rFonts w:ascii="Arial" w:hAnsi="Arial" w:cs="Arial"/>
                <w:iCs/>
              </w:rPr>
            </w:pPr>
            <w:r w:rsidRPr="00784311">
              <w:rPr>
                <w:rFonts w:ascii="Arial" w:hAnsi="Arial" w:cs="Arial"/>
                <w:iCs/>
              </w:rPr>
              <w:t>The submission did not provide an economic evaluation for the comparison between follitropin alfa + lutropin alfa FDC and human menopausal gonadotropin (hMG).</w:t>
            </w:r>
          </w:p>
        </w:tc>
      </w:tr>
      <w:tr w:rsidR="001B73E2" w:rsidRPr="00784311" w:rsidTr="001B73E2">
        <w:tc>
          <w:tcPr>
            <w:tcW w:w="0" w:type="auto"/>
            <w:vMerge/>
            <w:tcMar>
              <w:top w:w="28" w:type="dxa"/>
              <w:bottom w:w="28" w:type="dxa"/>
            </w:tcMar>
          </w:tcPr>
          <w:p w:rsidR="00A369F1" w:rsidRPr="00784311" w:rsidRDefault="00A369F1" w:rsidP="00F773FD">
            <w:pPr>
              <w:rPr>
                <w:rStyle w:val="st"/>
                <w:rFonts w:ascii="Arial" w:hAnsi="Arial" w:cs="Arial"/>
              </w:rPr>
            </w:pPr>
          </w:p>
        </w:tc>
        <w:tc>
          <w:tcPr>
            <w:tcW w:w="2538" w:type="dxa"/>
            <w:vMerge/>
          </w:tcPr>
          <w:p w:rsidR="00A369F1" w:rsidRPr="00784311" w:rsidRDefault="00A369F1" w:rsidP="00F773FD">
            <w:pPr>
              <w:widowControl w:val="0"/>
              <w:rPr>
                <w:rFonts w:ascii="Arial" w:hAnsi="Arial" w:cs="Arial"/>
                <w:snapToGrid w:val="0"/>
                <w:lang w:eastAsia="en-US"/>
              </w:rPr>
            </w:pPr>
          </w:p>
        </w:tc>
        <w:tc>
          <w:tcPr>
            <w:tcW w:w="2269" w:type="dxa"/>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Sponsor’s comments:</w:t>
            </w:r>
          </w:p>
        </w:tc>
        <w:tc>
          <w:tcPr>
            <w:tcW w:w="5387" w:type="dxa"/>
          </w:tcPr>
          <w:p w:rsidR="00A369F1" w:rsidRDefault="00BE2DF9" w:rsidP="00F773FD">
            <w:pPr>
              <w:rPr>
                <w:rFonts w:ascii="Arial" w:hAnsi="Arial" w:cs="Arial"/>
                <w:iCs/>
              </w:rPr>
            </w:pPr>
            <w:r w:rsidRPr="00784311">
              <w:rPr>
                <w:rFonts w:ascii="Arial" w:hAnsi="Arial" w:cs="Arial"/>
                <w:iCs/>
              </w:rPr>
              <w:t>The sponsor needs to clarify the decision with the PBAC and is committed to pursue reimbursement of Pergoveris for women with severe LH deficiency.</w:t>
            </w:r>
          </w:p>
          <w:p w:rsidR="00784311" w:rsidRPr="00784311" w:rsidRDefault="00784311" w:rsidP="00F773FD">
            <w:pPr>
              <w:rPr>
                <w:rFonts w:ascii="Arial" w:hAnsi="Arial" w:cs="Arial"/>
                <w:iCs/>
              </w:rPr>
            </w:pPr>
          </w:p>
        </w:tc>
      </w:tr>
      <w:tr w:rsidR="001B73E2" w:rsidRPr="00784311" w:rsidTr="001B73E2">
        <w:tc>
          <w:tcPr>
            <w:tcW w:w="0" w:type="auto"/>
            <w:vMerge w:val="restart"/>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LENALIDOMIDE, 5 mg capsule, 21, 10 mg capsule, 21, 15 mg capsule, 21 and 25 mg capsule, 21</w:t>
            </w:r>
          </w:p>
          <w:p w:rsidR="00A369F1" w:rsidRPr="00784311" w:rsidRDefault="00A369F1" w:rsidP="00F773FD">
            <w:pPr>
              <w:rPr>
                <w:rFonts w:ascii="Arial" w:hAnsi="Arial" w:cs="Arial"/>
                <w:snapToGrid w:val="0"/>
                <w:lang w:eastAsia="en-US"/>
              </w:rPr>
            </w:pPr>
          </w:p>
          <w:p w:rsidR="00A369F1" w:rsidRPr="00784311" w:rsidRDefault="00A369F1" w:rsidP="00F773FD">
            <w:pPr>
              <w:widowControl w:val="0"/>
              <w:rPr>
                <w:rFonts w:ascii="Arial" w:hAnsi="Arial" w:cs="Arial"/>
                <w:snapToGrid w:val="0"/>
                <w:vertAlign w:val="superscript"/>
                <w:lang w:eastAsia="en-US"/>
              </w:rPr>
            </w:pPr>
            <w:r w:rsidRPr="00784311">
              <w:rPr>
                <w:rFonts w:ascii="Arial" w:hAnsi="Arial" w:cs="Arial"/>
                <w:snapToGrid w:val="0"/>
                <w:lang w:eastAsia="en-US"/>
              </w:rPr>
              <w:t>Revlimid</w:t>
            </w:r>
            <w:r w:rsidRPr="00784311">
              <w:rPr>
                <w:rFonts w:ascii="Arial" w:hAnsi="Arial" w:cs="Arial"/>
                <w:snapToGrid w:val="0"/>
                <w:vertAlign w:val="superscript"/>
                <w:lang w:eastAsia="en-US"/>
              </w:rPr>
              <w:t>®</w:t>
            </w:r>
          </w:p>
          <w:p w:rsidR="00A369F1" w:rsidRPr="00784311" w:rsidRDefault="00A369F1" w:rsidP="00F773FD">
            <w:pPr>
              <w:rPr>
                <w:rFonts w:ascii="Arial" w:hAnsi="Arial" w:cs="Arial"/>
                <w:snapToGrid w:val="0"/>
                <w:lang w:eastAsia="en-US"/>
              </w:rPr>
            </w:pPr>
          </w:p>
          <w:p w:rsidR="00A369F1" w:rsidRPr="00784311" w:rsidRDefault="00A369F1" w:rsidP="00F773FD">
            <w:pPr>
              <w:pStyle w:val="Header"/>
              <w:widowControl w:val="0"/>
              <w:tabs>
                <w:tab w:val="clear" w:pos="4153"/>
                <w:tab w:val="clear" w:pos="8306"/>
              </w:tabs>
              <w:rPr>
                <w:rStyle w:val="st"/>
                <w:rFonts w:ascii="Arial" w:hAnsi="Arial" w:cs="Arial"/>
                <w:snapToGrid w:val="0"/>
                <w:lang w:eastAsia="en-US"/>
              </w:rPr>
            </w:pPr>
            <w:r w:rsidRPr="00784311">
              <w:rPr>
                <w:rFonts w:ascii="Arial" w:hAnsi="Arial" w:cs="Arial"/>
                <w:snapToGrid w:val="0"/>
                <w:lang w:eastAsia="en-US"/>
              </w:rPr>
              <w:lastRenderedPageBreak/>
              <w:t>Celgene Pty Ltd</w:t>
            </w:r>
          </w:p>
        </w:tc>
        <w:tc>
          <w:tcPr>
            <w:tcW w:w="2538" w:type="dxa"/>
            <w:vMerge w:val="restart"/>
          </w:tcPr>
          <w:p w:rsidR="00A369F1" w:rsidRPr="00784311" w:rsidRDefault="00A369F1" w:rsidP="001032C8">
            <w:pPr>
              <w:widowControl w:val="0"/>
              <w:rPr>
                <w:rFonts w:ascii="Arial" w:hAnsi="Arial" w:cs="Arial"/>
              </w:rPr>
            </w:pPr>
            <w:r w:rsidRPr="00784311">
              <w:rPr>
                <w:rFonts w:ascii="Arial" w:hAnsi="Arial" w:cs="Arial"/>
              </w:rPr>
              <w:lastRenderedPageBreak/>
              <w:t xml:space="preserve">Lenalidomide was TGA registered on 20 December 2007 and is currently indicated for the treatment of multiple myeloma patients whose disease has progressed after one therapy, in </w:t>
            </w:r>
            <w:r w:rsidRPr="00784311">
              <w:rPr>
                <w:rFonts w:ascii="Arial" w:hAnsi="Arial" w:cs="Arial"/>
              </w:rPr>
              <w:lastRenderedPageBreak/>
              <w:t xml:space="preserve">combination with dexamethasone and for the treatment of patients with transfusion dependent anaemia due to low or intermediate 1 risk myelodysplastic syndromes associated with a deletion 5q cytogenetic abnormality with or without additional cytogenetic abnormalities. </w:t>
            </w:r>
          </w:p>
        </w:tc>
        <w:tc>
          <w:tcPr>
            <w:tcW w:w="2269" w:type="dxa"/>
            <w:vMerge w:val="restart"/>
            <w:tcMar>
              <w:top w:w="28" w:type="dxa"/>
              <w:bottom w:w="28" w:type="dxa"/>
            </w:tcMar>
          </w:tcPr>
          <w:p w:rsidR="00A369F1" w:rsidRPr="00784311" w:rsidRDefault="00A369F1" w:rsidP="00F773FD">
            <w:pPr>
              <w:widowControl w:val="0"/>
              <w:rPr>
                <w:rFonts w:ascii="Arial" w:hAnsi="Arial" w:cs="Arial"/>
              </w:rPr>
            </w:pPr>
            <w:r w:rsidRPr="00784311">
              <w:rPr>
                <w:rFonts w:ascii="Arial" w:hAnsi="Arial" w:cs="Arial"/>
              </w:rPr>
              <w:lastRenderedPageBreak/>
              <w:t>Section 100 – Highly Specialised Drugs Program</w:t>
            </w:r>
          </w:p>
          <w:p w:rsidR="00A369F1" w:rsidRPr="00784311" w:rsidRDefault="00A369F1" w:rsidP="00F773FD">
            <w:pPr>
              <w:widowControl w:val="0"/>
              <w:rPr>
                <w:rFonts w:ascii="Arial" w:hAnsi="Arial" w:cs="Arial"/>
              </w:rPr>
            </w:pPr>
          </w:p>
          <w:p w:rsidR="00A369F1" w:rsidRPr="00784311" w:rsidRDefault="00A369F1" w:rsidP="00F773FD">
            <w:pPr>
              <w:widowControl w:val="0"/>
              <w:rPr>
                <w:rFonts w:ascii="Arial" w:hAnsi="Arial" w:cs="Arial"/>
              </w:rPr>
            </w:pPr>
            <w:hyperlink r:id="rId9" w:history="1">
              <w:r w:rsidRPr="00784311">
                <w:rPr>
                  <w:rStyle w:val="Hyperlink"/>
                  <w:rFonts w:ascii="Arial" w:hAnsi="Arial" w:cs="Arial"/>
                  <w:color w:val="auto"/>
                </w:rPr>
                <w:t>Authority Required</w:t>
              </w:r>
            </w:hyperlink>
          </w:p>
          <w:p w:rsidR="00A369F1" w:rsidRPr="00784311" w:rsidRDefault="00A369F1" w:rsidP="00F773FD">
            <w:pPr>
              <w:widowControl w:val="0"/>
              <w:rPr>
                <w:rFonts w:ascii="Arial" w:hAnsi="Arial" w:cs="Arial"/>
              </w:rPr>
            </w:pPr>
            <w:r w:rsidRPr="00784311">
              <w:rPr>
                <w:rFonts w:ascii="Arial" w:hAnsi="Arial" w:cs="Arial"/>
              </w:rPr>
              <w:t>Multiple myeloma</w:t>
            </w:r>
          </w:p>
          <w:p w:rsidR="00A369F1" w:rsidRPr="00784311" w:rsidRDefault="00A369F1" w:rsidP="00F773FD">
            <w:pPr>
              <w:widowControl w:val="0"/>
              <w:rPr>
                <w:rFonts w:ascii="Arial" w:hAnsi="Arial" w:cs="Arial"/>
              </w:rPr>
            </w:pPr>
          </w:p>
          <w:p w:rsidR="00A369F1" w:rsidRPr="00784311" w:rsidRDefault="00A369F1" w:rsidP="00F773FD">
            <w:pPr>
              <w:widowControl w:val="0"/>
              <w:rPr>
                <w:rFonts w:ascii="Arial" w:hAnsi="Arial" w:cs="Arial"/>
              </w:rPr>
            </w:pPr>
            <w:r w:rsidRPr="00784311">
              <w:rPr>
                <w:rFonts w:ascii="Arial" w:hAnsi="Arial" w:cs="Arial"/>
              </w:rPr>
              <w:t xml:space="preserve">Treatment Phase: </w:t>
            </w:r>
            <w:r w:rsidRPr="00784311">
              <w:rPr>
                <w:rFonts w:ascii="Arial" w:hAnsi="Arial" w:cs="Arial"/>
              </w:rPr>
              <w:lastRenderedPageBreak/>
              <w:t>Initial PBS-subsidised treatment</w:t>
            </w:r>
          </w:p>
          <w:p w:rsidR="00A369F1" w:rsidRPr="00784311" w:rsidRDefault="00A369F1" w:rsidP="00F773FD">
            <w:pPr>
              <w:widowControl w:val="0"/>
              <w:rPr>
                <w:rFonts w:ascii="Arial" w:hAnsi="Arial" w:cs="Arial"/>
                <w:bCs/>
              </w:rPr>
            </w:pPr>
          </w:p>
          <w:p w:rsidR="00A369F1" w:rsidRPr="00784311" w:rsidRDefault="00A369F1" w:rsidP="00F773FD">
            <w:pPr>
              <w:widowControl w:val="0"/>
              <w:rPr>
                <w:rFonts w:ascii="Arial" w:hAnsi="Arial" w:cs="Arial"/>
              </w:rPr>
            </w:pPr>
            <w:r w:rsidRPr="00784311">
              <w:rPr>
                <w:rFonts w:ascii="Arial" w:hAnsi="Arial" w:cs="Arial"/>
                <w:bCs/>
              </w:rPr>
              <w:t>Clinical criteria:</w:t>
            </w:r>
          </w:p>
          <w:p w:rsidR="00A369F1" w:rsidRPr="00784311" w:rsidRDefault="00A369F1" w:rsidP="00F773FD">
            <w:pPr>
              <w:widowControl w:val="0"/>
              <w:rPr>
                <w:rFonts w:ascii="Arial" w:hAnsi="Arial" w:cs="Arial"/>
              </w:rPr>
            </w:pPr>
            <w:r w:rsidRPr="00784311">
              <w:rPr>
                <w:rFonts w:ascii="Arial" w:hAnsi="Arial" w:cs="Arial"/>
              </w:rPr>
              <w:t>The condition must be confirmed by a histological diagnosis,</w:t>
            </w:r>
          </w:p>
          <w:p w:rsidR="00A369F1" w:rsidRPr="00784311" w:rsidRDefault="00A369F1" w:rsidP="00F773FD">
            <w:pPr>
              <w:widowControl w:val="0"/>
              <w:rPr>
                <w:rFonts w:ascii="Arial" w:hAnsi="Arial" w:cs="Arial"/>
              </w:rPr>
            </w:pPr>
            <w:r w:rsidRPr="00784311">
              <w:rPr>
                <w:rFonts w:ascii="Arial" w:hAnsi="Arial" w:cs="Arial"/>
                <w:bCs/>
              </w:rPr>
              <w:t>AND</w:t>
            </w:r>
          </w:p>
          <w:p w:rsidR="00A369F1" w:rsidRPr="00784311" w:rsidRDefault="00A369F1" w:rsidP="00F773FD">
            <w:pPr>
              <w:widowControl w:val="0"/>
              <w:rPr>
                <w:rFonts w:ascii="Arial" w:hAnsi="Arial" w:cs="Arial"/>
              </w:rPr>
            </w:pPr>
            <w:r w:rsidRPr="00784311">
              <w:rPr>
                <w:rFonts w:ascii="Arial" w:hAnsi="Arial" w:cs="Arial"/>
              </w:rPr>
              <w:t>The treatment must be as monotherapy; OR</w:t>
            </w:r>
          </w:p>
          <w:p w:rsidR="00A369F1" w:rsidRPr="00784311" w:rsidRDefault="00A369F1" w:rsidP="00F773FD">
            <w:pPr>
              <w:widowControl w:val="0"/>
              <w:rPr>
                <w:rFonts w:ascii="Arial" w:hAnsi="Arial" w:cs="Arial"/>
              </w:rPr>
            </w:pPr>
            <w:r w:rsidRPr="00784311">
              <w:rPr>
                <w:rFonts w:ascii="Arial" w:hAnsi="Arial" w:cs="Arial"/>
              </w:rPr>
              <w:t>The treatment must be in combination with dexamethasone,</w:t>
            </w:r>
          </w:p>
          <w:p w:rsidR="00A369F1" w:rsidRPr="00784311" w:rsidRDefault="00A369F1" w:rsidP="00F773FD">
            <w:pPr>
              <w:widowControl w:val="0"/>
              <w:rPr>
                <w:rFonts w:ascii="Arial" w:hAnsi="Arial" w:cs="Arial"/>
              </w:rPr>
            </w:pPr>
            <w:r w:rsidRPr="00784311">
              <w:rPr>
                <w:rFonts w:ascii="Arial" w:hAnsi="Arial" w:cs="Arial"/>
                <w:bCs/>
              </w:rPr>
              <w:t>AND</w:t>
            </w:r>
          </w:p>
          <w:p w:rsidR="00A369F1" w:rsidRPr="00784311" w:rsidRDefault="00A369F1" w:rsidP="00F773FD">
            <w:pPr>
              <w:widowControl w:val="0"/>
              <w:rPr>
                <w:rFonts w:ascii="Arial" w:hAnsi="Arial" w:cs="Arial"/>
              </w:rPr>
            </w:pPr>
            <w:r w:rsidRPr="00784311">
              <w:rPr>
                <w:rFonts w:ascii="Arial" w:hAnsi="Arial" w:cs="Arial"/>
              </w:rPr>
              <w:t>Patient must have progressive disease after at least one prior therapy,</w:t>
            </w:r>
          </w:p>
          <w:p w:rsidR="00A369F1" w:rsidRPr="00784311" w:rsidRDefault="00A369F1" w:rsidP="00F773FD">
            <w:pPr>
              <w:widowControl w:val="0"/>
              <w:rPr>
                <w:rFonts w:ascii="Arial" w:hAnsi="Arial" w:cs="Arial"/>
              </w:rPr>
            </w:pPr>
            <w:r w:rsidRPr="00784311">
              <w:rPr>
                <w:rFonts w:ascii="Arial" w:hAnsi="Arial" w:cs="Arial"/>
                <w:bCs/>
              </w:rPr>
              <w:t>AND</w:t>
            </w:r>
          </w:p>
          <w:p w:rsidR="00A369F1" w:rsidRPr="00784311" w:rsidRDefault="00A369F1" w:rsidP="00F773FD">
            <w:pPr>
              <w:widowControl w:val="0"/>
              <w:rPr>
                <w:rFonts w:ascii="Arial" w:hAnsi="Arial" w:cs="Arial"/>
              </w:rPr>
            </w:pPr>
            <w:r w:rsidRPr="00784311">
              <w:rPr>
                <w:rFonts w:ascii="Arial" w:hAnsi="Arial" w:cs="Arial"/>
              </w:rPr>
              <w:t>Patient must have undergone or be ineligible for a primary stem cell transplant,</w:t>
            </w:r>
          </w:p>
          <w:p w:rsidR="00A369F1" w:rsidRPr="00784311" w:rsidRDefault="00A369F1" w:rsidP="00F773FD">
            <w:pPr>
              <w:widowControl w:val="0"/>
              <w:rPr>
                <w:rFonts w:ascii="Arial" w:hAnsi="Arial" w:cs="Arial"/>
              </w:rPr>
            </w:pPr>
            <w:r w:rsidRPr="00784311">
              <w:rPr>
                <w:rFonts w:ascii="Arial" w:hAnsi="Arial" w:cs="Arial"/>
                <w:bCs/>
              </w:rPr>
              <w:t>AND</w:t>
            </w:r>
          </w:p>
          <w:p w:rsidR="00A369F1" w:rsidRPr="00784311" w:rsidRDefault="00A369F1" w:rsidP="00F773FD">
            <w:pPr>
              <w:widowControl w:val="0"/>
              <w:rPr>
                <w:rFonts w:ascii="Arial" w:hAnsi="Arial" w:cs="Arial"/>
                <w:b/>
                <w:i/>
              </w:rPr>
            </w:pPr>
            <w:r w:rsidRPr="00784311">
              <w:rPr>
                <w:rFonts w:ascii="Arial" w:hAnsi="Arial" w:cs="Arial"/>
              </w:rPr>
              <w:t xml:space="preserve">Patient must have experienced treatment failure after a trial of at least four (4) weeks of thalidomide at a dose of at least 100 mg daily or have failed to achieve at least a minimal response after eight (8) or more weeks of thalidomide-based therapy for progressive disease, </w:t>
            </w:r>
            <w:r w:rsidRPr="00784311">
              <w:rPr>
                <w:rFonts w:ascii="Arial" w:hAnsi="Arial" w:cs="Arial"/>
                <w:b/>
                <w:i/>
              </w:rPr>
              <w:lastRenderedPageBreak/>
              <w:t>OR</w:t>
            </w:r>
          </w:p>
          <w:p w:rsidR="00A369F1" w:rsidRPr="00784311" w:rsidRDefault="00A369F1" w:rsidP="00F773FD">
            <w:pPr>
              <w:widowControl w:val="0"/>
              <w:rPr>
                <w:rFonts w:ascii="Arial" w:hAnsi="Arial" w:cs="Arial"/>
                <w:b/>
                <w:bCs/>
                <w:i/>
                <w:iCs/>
              </w:rPr>
            </w:pPr>
            <w:r w:rsidRPr="00784311">
              <w:rPr>
                <w:rFonts w:ascii="Arial" w:hAnsi="Arial" w:cs="Arial"/>
                <w:b/>
                <w:bCs/>
                <w:i/>
                <w:iCs/>
              </w:rPr>
              <w:t>Patient must have experienced treatment failure after a trial of at least three (3) weeks of bortezomib (or other protesome inhibitor) of at least 1.3 mg/m</w:t>
            </w:r>
            <w:r w:rsidRPr="00784311">
              <w:rPr>
                <w:rFonts w:ascii="Arial" w:hAnsi="Arial" w:cs="Arial"/>
                <w:b/>
                <w:bCs/>
                <w:i/>
                <w:iCs/>
                <w:vertAlign w:val="superscript"/>
              </w:rPr>
              <w:t>2</w:t>
            </w:r>
            <w:r w:rsidRPr="00784311">
              <w:rPr>
                <w:rFonts w:ascii="Arial" w:hAnsi="Arial" w:cs="Arial"/>
                <w:b/>
                <w:bCs/>
                <w:i/>
                <w:iCs/>
              </w:rPr>
              <w:t xml:space="preserve"> twice weekly or failed to achieve at least a minimal response after three (3) more weeks of bortezomib therapy (or other protesome inhibitor) for progressive disease.</w:t>
            </w:r>
          </w:p>
          <w:p w:rsidR="00A369F1" w:rsidRPr="00784311" w:rsidRDefault="00A369F1" w:rsidP="00F773FD">
            <w:pPr>
              <w:widowControl w:val="0"/>
              <w:rPr>
                <w:rFonts w:ascii="Arial" w:hAnsi="Arial" w:cs="Arial"/>
              </w:rPr>
            </w:pPr>
            <w:r w:rsidRPr="00784311">
              <w:rPr>
                <w:rFonts w:ascii="Arial" w:hAnsi="Arial" w:cs="Arial"/>
                <w:bCs/>
              </w:rPr>
              <w:t>AND</w:t>
            </w:r>
          </w:p>
          <w:p w:rsidR="00A369F1" w:rsidRPr="00784311" w:rsidRDefault="00A369F1" w:rsidP="00F773FD">
            <w:pPr>
              <w:widowControl w:val="0"/>
              <w:rPr>
                <w:rFonts w:ascii="Arial" w:hAnsi="Arial" w:cs="Arial"/>
              </w:rPr>
            </w:pPr>
            <w:r w:rsidRPr="00784311">
              <w:rPr>
                <w:rFonts w:ascii="Arial" w:hAnsi="Arial" w:cs="Arial"/>
              </w:rPr>
              <w:t xml:space="preserve">Patient must not be receiving concomitant PBS-subsidised bortezomib </w:t>
            </w:r>
            <w:r w:rsidRPr="00784311">
              <w:rPr>
                <w:rFonts w:ascii="Arial" w:hAnsi="Arial" w:cs="Arial"/>
                <w:b/>
                <w:i/>
              </w:rPr>
              <w:t>(or other protesome inhibitor)</w:t>
            </w:r>
            <w:r w:rsidRPr="00784311">
              <w:rPr>
                <w:rFonts w:ascii="Arial" w:hAnsi="Arial" w:cs="Arial"/>
              </w:rPr>
              <w:t>.</w:t>
            </w:r>
          </w:p>
        </w:tc>
        <w:tc>
          <w:tcPr>
            <w:tcW w:w="2835" w:type="dxa"/>
            <w:tcMar>
              <w:top w:w="28" w:type="dxa"/>
              <w:bottom w:w="28" w:type="dxa"/>
            </w:tcMar>
          </w:tcPr>
          <w:p w:rsidR="00A369F1" w:rsidRPr="00784311" w:rsidRDefault="00A369F1" w:rsidP="00F773FD">
            <w:pPr>
              <w:widowControl w:val="0"/>
              <w:rPr>
                <w:rFonts w:ascii="Arial" w:hAnsi="Arial" w:cs="Arial"/>
                <w:iCs/>
              </w:rPr>
            </w:pPr>
          </w:p>
        </w:tc>
        <w:tc>
          <w:tcPr>
            <w:tcW w:w="5387" w:type="dxa"/>
          </w:tcPr>
          <w:p w:rsidR="00A369F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The PBAC rejected the submission on the basis of the absence of the relevant economic comparison of lenalidomide to re-treatment with bortezomib or treatment with thalidomide. </w:t>
            </w:r>
          </w:p>
          <w:p w:rsidR="00784311" w:rsidRPr="00784311" w:rsidRDefault="00784311" w:rsidP="00F773FD">
            <w:pPr>
              <w:widowControl w:val="0"/>
              <w:rPr>
                <w:rFonts w:ascii="Arial" w:hAnsi="Arial" w:cs="Arial"/>
                <w:snapToGrid w:val="0"/>
                <w:lang w:eastAsia="en-US"/>
              </w:rPr>
            </w:pPr>
          </w:p>
        </w:tc>
      </w:tr>
      <w:tr w:rsidR="001B73E2" w:rsidRPr="00784311" w:rsidTr="001B73E2">
        <w:tc>
          <w:tcPr>
            <w:tcW w:w="0" w:type="auto"/>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538" w:type="dxa"/>
            <w:vMerge/>
          </w:tcPr>
          <w:p w:rsidR="00A369F1" w:rsidRPr="00784311" w:rsidRDefault="00A369F1" w:rsidP="00F773FD">
            <w:pPr>
              <w:widowControl w:val="0"/>
              <w:rPr>
                <w:rFonts w:ascii="Arial" w:hAnsi="Arial" w:cs="Arial"/>
              </w:rPr>
            </w:pPr>
          </w:p>
        </w:tc>
        <w:tc>
          <w:tcPr>
            <w:tcW w:w="2269" w:type="dxa"/>
            <w:vMerge/>
            <w:tcMar>
              <w:top w:w="28" w:type="dxa"/>
              <w:bottom w:w="28" w:type="dxa"/>
            </w:tcMar>
          </w:tcPr>
          <w:p w:rsidR="00A369F1" w:rsidRPr="00784311" w:rsidRDefault="00A369F1" w:rsidP="00F773FD">
            <w:pPr>
              <w:widowControl w:val="0"/>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Listing Requested: </w:t>
            </w:r>
          </w:p>
          <w:p w:rsidR="00A369F1" w:rsidRPr="00784311" w:rsidRDefault="00A369F1" w:rsidP="00F773FD">
            <w:pPr>
              <w:widowControl w:val="0"/>
              <w:rPr>
                <w:rFonts w:ascii="Arial" w:hAnsi="Arial" w:cs="Arial"/>
                <w:iCs/>
              </w:rPr>
            </w:pPr>
          </w:p>
          <w:p w:rsidR="00A369F1" w:rsidRDefault="00A369F1" w:rsidP="00F773FD">
            <w:pPr>
              <w:widowControl w:val="0"/>
              <w:rPr>
                <w:rFonts w:ascii="Arial" w:hAnsi="Arial" w:cs="Arial"/>
                <w:b/>
                <w:iCs/>
              </w:rPr>
            </w:pPr>
            <w:r w:rsidRPr="00784311">
              <w:rPr>
                <w:rFonts w:ascii="Arial" w:hAnsi="Arial" w:cs="Arial"/>
                <w:iCs/>
              </w:rPr>
              <w:t xml:space="preserve">The minor resubmission </w:t>
            </w:r>
            <w:r w:rsidRPr="00784311">
              <w:rPr>
                <w:rFonts w:ascii="Arial" w:hAnsi="Arial" w:cs="Arial"/>
                <w:iCs/>
              </w:rPr>
              <w:lastRenderedPageBreak/>
              <w:t>sought to amend the current Section 100 (Highly Specialised Drugs Program) listing that requires prior treatment failure with thalidomide, to wording that requires prior treatment failure with thalidomide or bortezomib in patients with multiple myeloma (MM).</w:t>
            </w:r>
            <w:r w:rsidRPr="00784311">
              <w:rPr>
                <w:rFonts w:ascii="Arial" w:hAnsi="Arial" w:cs="Arial"/>
                <w:b/>
                <w:iCs/>
              </w:rPr>
              <w:t xml:space="preserve"> </w:t>
            </w:r>
          </w:p>
          <w:p w:rsidR="00784311" w:rsidRPr="00784311" w:rsidRDefault="00784311" w:rsidP="00F773FD">
            <w:pPr>
              <w:widowControl w:val="0"/>
              <w:rPr>
                <w:rFonts w:ascii="Arial" w:hAnsi="Arial" w:cs="Arial"/>
                <w:iCs/>
              </w:rPr>
            </w:pP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lastRenderedPageBreak/>
              <w:t xml:space="preserve">The PBAC considered that the proposed change to the restriction is currently not supported by the evidence. Whilst there may be valid clinical grounds for clinicians to </w:t>
            </w:r>
            <w:r w:rsidRPr="00784311">
              <w:rPr>
                <w:rFonts w:ascii="Arial" w:hAnsi="Arial" w:cs="Arial"/>
                <w:snapToGrid w:val="0"/>
                <w:lang w:eastAsia="en-US"/>
              </w:rPr>
              <w:lastRenderedPageBreak/>
              <w:t xml:space="preserve">be able to prescribe lenalidomide upon disease progression after initial therapy with bortezomib, or for disease refractory to first-line bortezomib therapy, an assessment of comparative cost-effectiveness with either bortezomib re-treatment or thalidomide treatment, as appropriate, had not yet been considered and accepted by the PBAC. </w:t>
            </w:r>
          </w:p>
        </w:tc>
      </w:tr>
      <w:tr w:rsidR="001B73E2" w:rsidRPr="00784311" w:rsidTr="00784311">
        <w:trPr>
          <w:trHeight w:val="1267"/>
        </w:trPr>
        <w:tc>
          <w:tcPr>
            <w:tcW w:w="0" w:type="auto"/>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538" w:type="dxa"/>
            <w:vMerge/>
          </w:tcPr>
          <w:p w:rsidR="00A369F1" w:rsidRPr="00784311" w:rsidRDefault="00A369F1" w:rsidP="00F773FD">
            <w:pPr>
              <w:widowControl w:val="0"/>
              <w:rPr>
                <w:rFonts w:ascii="Arial" w:hAnsi="Arial" w:cs="Arial"/>
              </w:rPr>
            </w:pPr>
          </w:p>
        </w:tc>
        <w:tc>
          <w:tcPr>
            <w:tcW w:w="2269" w:type="dxa"/>
            <w:vMerge/>
            <w:tcMar>
              <w:top w:w="28" w:type="dxa"/>
              <w:bottom w:w="28" w:type="dxa"/>
            </w:tcMar>
          </w:tcPr>
          <w:p w:rsidR="00A369F1" w:rsidRPr="00784311" w:rsidRDefault="00A369F1" w:rsidP="00F773FD">
            <w:pPr>
              <w:widowControl w:val="0"/>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Comparator:</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As a minor submission, the resubmission did not formally nominate a comparator for economic comparison. </w:t>
            </w: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The PBAC considered that a formal economic comparison should be presented for consideration in which bortezomib in the re-treatment setting is the comparator.  Alternatively, a formal economic comparison in which thalidomide is the comparator could be considered. </w:t>
            </w:r>
          </w:p>
        </w:tc>
      </w:tr>
      <w:tr w:rsidR="001B73E2" w:rsidRPr="00784311" w:rsidTr="001B73E2">
        <w:tc>
          <w:tcPr>
            <w:tcW w:w="0" w:type="auto"/>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538" w:type="dxa"/>
            <w:vMerge/>
          </w:tcPr>
          <w:p w:rsidR="00A369F1" w:rsidRPr="00784311" w:rsidRDefault="00A369F1" w:rsidP="00F773FD">
            <w:pPr>
              <w:widowControl w:val="0"/>
              <w:rPr>
                <w:rFonts w:ascii="Arial" w:hAnsi="Arial" w:cs="Arial"/>
              </w:rPr>
            </w:pPr>
          </w:p>
        </w:tc>
        <w:tc>
          <w:tcPr>
            <w:tcW w:w="2269" w:type="dxa"/>
            <w:vMerge/>
            <w:tcMar>
              <w:top w:w="28" w:type="dxa"/>
              <w:bottom w:w="28" w:type="dxa"/>
            </w:tcMar>
          </w:tcPr>
          <w:p w:rsidR="00A369F1" w:rsidRPr="00784311" w:rsidRDefault="00A369F1" w:rsidP="00F773FD">
            <w:pPr>
              <w:widowControl w:val="0"/>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Clinical claim:</w:t>
            </w:r>
          </w:p>
          <w:p w:rsidR="00A369F1" w:rsidRDefault="00A369F1" w:rsidP="00F773FD">
            <w:pPr>
              <w:widowControl w:val="0"/>
              <w:rPr>
                <w:rFonts w:ascii="Arial" w:hAnsi="Arial" w:cs="Arial"/>
                <w:snapToGrid w:val="0"/>
                <w:lang w:eastAsia="en-US"/>
              </w:rPr>
            </w:pPr>
            <w:r w:rsidRPr="00784311">
              <w:rPr>
                <w:rFonts w:ascii="Arial" w:hAnsi="Arial" w:cs="Arial"/>
                <w:snapToGrid w:val="0"/>
                <w:lang w:eastAsia="en-US"/>
              </w:rPr>
              <w:t>Regardless of the number of prior therapies, the use of lenalidomide following bortezomib is associated with a response in a higher proportion of patients than those treated with thalidomide or those who received re</w:t>
            </w:r>
            <w:r w:rsidRPr="00784311">
              <w:rPr>
                <w:rFonts w:ascii="Cambria Math" w:hAnsi="Cambria Math" w:cs="Cambria Math"/>
                <w:snapToGrid w:val="0"/>
                <w:lang w:eastAsia="en-US"/>
              </w:rPr>
              <w:t>‐</w:t>
            </w:r>
            <w:r w:rsidRPr="00784311">
              <w:rPr>
                <w:rFonts w:ascii="Arial" w:hAnsi="Arial" w:cs="Arial"/>
                <w:snapToGrid w:val="0"/>
                <w:lang w:eastAsia="en-US"/>
              </w:rPr>
              <w:t xml:space="preserve">treatment with bortezomib. Also, neurotoxic effects from both bortezomib and thalidomide would be reduced due to reduced exposure to these drugs. </w:t>
            </w:r>
          </w:p>
          <w:p w:rsidR="00784311" w:rsidRPr="00784311" w:rsidRDefault="00784311" w:rsidP="00F773FD">
            <w:pPr>
              <w:widowControl w:val="0"/>
              <w:rPr>
                <w:rFonts w:ascii="Arial" w:hAnsi="Arial" w:cs="Arial"/>
                <w:snapToGrid w:val="0"/>
                <w:lang w:eastAsia="en-US"/>
              </w:rPr>
            </w:pP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The PBAC considered that there may be clinical grounds for clinicians to wish to prescribe lenalidomide following progression with the use of bortezomib. However, as presented in a minor submission, conclusions on the relevant comparisons of lenalidomide to re-treatment with bortezomib or to treatment with thalidomide were not possible. </w:t>
            </w:r>
          </w:p>
        </w:tc>
      </w:tr>
      <w:tr w:rsidR="001B73E2" w:rsidRPr="00784311" w:rsidTr="001B73E2">
        <w:tc>
          <w:tcPr>
            <w:tcW w:w="0" w:type="auto"/>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538" w:type="dxa"/>
            <w:vMerge/>
          </w:tcPr>
          <w:p w:rsidR="00A369F1" w:rsidRPr="00784311" w:rsidRDefault="00A369F1" w:rsidP="00F773FD">
            <w:pPr>
              <w:widowControl w:val="0"/>
              <w:rPr>
                <w:rFonts w:ascii="Arial" w:hAnsi="Arial" w:cs="Arial"/>
              </w:rPr>
            </w:pPr>
          </w:p>
        </w:tc>
        <w:tc>
          <w:tcPr>
            <w:tcW w:w="2269" w:type="dxa"/>
            <w:vMerge/>
            <w:tcMar>
              <w:top w:w="28" w:type="dxa"/>
              <w:bottom w:w="28" w:type="dxa"/>
            </w:tcMar>
          </w:tcPr>
          <w:p w:rsidR="00A369F1" w:rsidRPr="00784311" w:rsidRDefault="00A369F1" w:rsidP="00F773FD">
            <w:pPr>
              <w:widowControl w:val="0"/>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Economic claim:</w:t>
            </w:r>
          </w:p>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 xml:space="preserve">The minor resubmission maintained that cost effectiveness for lenalidomide </w:t>
            </w:r>
            <w:r w:rsidRPr="00784311">
              <w:rPr>
                <w:rFonts w:ascii="Arial" w:hAnsi="Arial" w:cs="Arial"/>
                <w:snapToGrid w:val="0"/>
                <w:lang w:eastAsia="en-US"/>
              </w:rPr>
              <w:lastRenderedPageBreak/>
              <w:t>has been previously established in relapsed/refractory disease and that cost effectiveness has also been established for use of lenalidomide post bortezomib by association when bortezomib was PBS listed for newly diagnosed multiple myeloma on a cost</w:t>
            </w:r>
            <w:r w:rsidRPr="00784311">
              <w:rPr>
                <w:rFonts w:ascii="Cambria Math" w:hAnsi="Cambria Math" w:cs="Cambria Math"/>
                <w:snapToGrid w:val="0"/>
                <w:lang w:eastAsia="en-US"/>
              </w:rPr>
              <w:t>‐</w:t>
            </w:r>
            <w:r w:rsidRPr="00784311">
              <w:rPr>
                <w:rFonts w:ascii="Arial" w:hAnsi="Arial" w:cs="Arial"/>
                <w:snapToGrid w:val="0"/>
                <w:lang w:eastAsia="en-US"/>
              </w:rPr>
              <w:t>minimisation basis with thalidomide.</w:t>
            </w:r>
            <w:r w:rsidRPr="00784311">
              <w:rPr>
                <w:rFonts w:ascii="Arial" w:hAnsi="Arial" w:cs="Arial"/>
                <w:b/>
                <w:snapToGrid w:val="0"/>
                <w:lang w:eastAsia="en-US"/>
              </w:rPr>
              <w:t xml:space="preserve"> </w:t>
            </w:r>
          </w:p>
        </w:tc>
        <w:tc>
          <w:tcPr>
            <w:tcW w:w="5387" w:type="dxa"/>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lastRenderedPageBreak/>
              <w:t xml:space="preserve">The PBAC considered that a formal economic comparison should be presented for consideration in which lenalidomide is compared to re-treatment with bortezomib, and/or with treatment with thalidomide, consistent with its </w:t>
            </w:r>
            <w:r w:rsidRPr="00784311">
              <w:rPr>
                <w:rFonts w:ascii="Arial" w:hAnsi="Arial" w:cs="Arial"/>
                <w:snapToGrid w:val="0"/>
                <w:lang w:eastAsia="en-US"/>
              </w:rPr>
              <w:lastRenderedPageBreak/>
              <w:t xml:space="preserve">previous consideration from March 2013. The PBAC recalled that in March 2013, a cost-effectiveness analysis comparing lenalidomide to thalidomide in the re-treatment setting was not presented and that such a comparison remains an option for the sponsor. </w:t>
            </w:r>
          </w:p>
        </w:tc>
      </w:tr>
      <w:tr w:rsidR="001B73E2" w:rsidRPr="00784311" w:rsidTr="001B73E2">
        <w:tc>
          <w:tcPr>
            <w:tcW w:w="0" w:type="auto"/>
            <w:vMerge/>
            <w:tcMar>
              <w:top w:w="28" w:type="dxa"/>
              <w:bottom w:w="28" w:type="dxa"/>
            </w:tcMar>
          </w:tcPr>
          <w:p w:rsidR="00A369F1" w:rsidRPr="00784311" w:rsidRDefault="00A369F1" w:rsidP="00F773FD">
            <w:pPr>
              <w:widowControl w:val="0"/>
              <w:rPr>
                <w:rFonts w:ascii="Arial" w:hAnsi="Arial" w:cs="Arial"/>
                <w:snapToGrid w:val="0"/>
                <w:lang w:eastAsia="en-US"/>
              </w:rPr>
            </w:pPr>
          </w:p>
        </w:tc>
        <w:tc>
          <w:tcPr>
            <w:tcW w:w="2538" w:type="dxa"/>
            <w:vMerge/>
          </w:tcPr>
          <w:p w:rsidR="00A369F1" w:rsidRPr="00784311" w:rsidRDefault="00A369F1" w:rsidP="00F773FD">
            <w:pPr>
              <w:widowControl w:val="0"/>
              <w:rPr>
                <w:rFonts w:ascii="Arial" w:hAnsi="Arial" w:cs="Arial"/>
              </w:rPr>
            </w:pPr>
          </w:p>
        </w:tc>
        <w:tc>
          <w:tcPr>
            <w:tcW w:w="2269" w:type="dxa"/>
            <w:vMerge/>
            <w:tcMar>
              <w:top w:w="28" w:type="dxa"/>
              <w:bottom w:w="28" w:type="dxa"/>
            </w:tcMar>
          </w:tcPr>
          <w:p w:rsidR="00A369F1" w:rsidRPr="00784311" w:rsidRDefault="00A369F1" w:rsidP="00F773FD">
            <w:pPr>
              <w:widowControl w:val="0"/>
              <w:rPr>
                <w:rFonts w:ascii="Arial" w:hAnsi="Arial" w:cs="Arial"/>
              </w:rPr>
            </w:pPr>
          </w:p>
        </w:tc>
        <w:tc>
          <w:tcPr>
            <w:tcW w:w="2835" w:type="dxa"/>
            <w:tcMar>
              <w:top w:w="28" w:type="dxa"/>
              <w:bottom w:w="28" w:type="dxa"/>
            </w:tcMar>
          </w:tcPr>
          <w:p w:rsidR="00A369F1" w:rsidRPr="00784311" w:rsidRDefault="00A369F1" w:rsidP="00F773FD">
            <w:pPr>
              <w:widowControl w:val="0"/>
              <w:rPr>
                <w:rFonts w:ascii="Arial" w:hAnsi="Arial" w:cs="Arial"/>
                <w:snapToGrid w:val="0"/>
                <w:lang w:eastAsia="en-US"/>
              </w:rPr>
            </w:pPr>
            <w:r w:rsidRPr="00784311">
              <w:rPr>
                <w:rFonts w:ascii="Arial" w:hAnsi="Arial" w:cs="Arial"/>
                <w:snapToGrid w:val="0"/>
                <w:lang w:eastAsia="en-US"/>
              </w:rPr>
              <w:t>Sponsor’s comments:</w:t>
            </w:r>
          </w:p>
        </w:tc>
        <w:tc>
          <w:tcPr>
            <w:tcW w:w="5387" w:type="dxa"/>
          </w:tcPr>
          <w:p w:rsidR="00A369F1" w:rsidRPr="00784311" w:rsidRDefault="00E90AAC" w:rsidP="00F773FD">
            <w:pPr>
              <w:widowControl w:val="0"/>
              <w:rPr>
                <w:rFonts w:ascii="Arial" w:hAnsi="Arial" w:cs="Arial"/>
                <w:b/>
                <w:snapToGrid w:val="0"/>
                <w:lang w:eastAsia="en-US"/>
              </w:rPr>
            </w:pPr>
            <w:r w:rsidRPr="00784311">
              <w:rPr>
                <w:rFonts w:ascii="Arial" w:hAnsi="Arial" w:cs="Arial"/>
                <w:snapToGrid w:val="0"/>
                <w:lang w:eastAsia="en-US"/>
              </w:rPr>
              <w:t>The sponsor strongly agrees with the PBAC that there are valid clinical grounds for use of lenalidomide upon disease progression post initial therapy with bortezomib or for disease refractory to first line bortezomib.  The sponsor maintains that prior to PBS listing of bortezomib in the newly diagnosed multiple myeloma setting, cost-effectiveness for lenalidomide had been established for the wider multiple myeloma patient population with relapsed refractory disease. Furthermore, Celgene is not able to meet the PBAC’s request for comparative cost-effectiveness with either bortezomib re-treatment or thalidomide in relapsed or refractory multiple myeloma post bortezomib, due to the lack of availability of this specific data set.  Despite this, Celgene is committed to ensure that the barrier to patient access for lenalidomide in this setting, is removed.</w:t>
            </w:r>
          </w:p>
        </w:tc>
      </w:tr>
    </w:tbl>
    <w:p w:rsidR="00C26FE5" w:rsidRPr="00784311" w:rsidRDefault="00C26FE5" w:rsidP="00F773FD">
      <w:pPr>
        <w:tabs>
          <w:tab w:val="left" w:pos="5210"/>
        </w:tabs>
        <w:rPr>
          <w:rFonts w:ascii="Arial" w:hAnsi="Arial" w:cs="Arial"/>
          <w:lang w:val="en-US"/>
        </w:rPr>
      </w:pPr>
    </w:p>
    <w:sectPr w:rsidR="00C26FE5" w:rsidRPr="00784311" w:rsidSect="007D408D">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AA1" w:rsidRDefault="00426AA1">
      <w:r>
        <w:separator/>
      </w:r>
    </w:p>
  </w:endnote>
  <w:endnote w:type="continuationSeparator" w:id="0">
    <w:p w:rsidR="00426AA1" w:rsidRDefault="0042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C2" w:rsidRDefault="006B41C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41C2" w:rsidRDefault="006B41C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C2" w:rsidRPr="001B73E2" w:rsidRDefault="006B41C2" w:rsidP="00FE2A81">
    <w:pPr>
      <w:pStyle w:val="Footer"/>
      <w:framePr w:wrap="around" w:vAnchor="text" w:hAnchor="margin" w:xAlign="right" w:y="1"/>
      <w:rPr>
        <w:rStyle w:val="PageNumber"/>
        <w:rFonts w:ascii="Arial" w:hAnsi="Arial" w:cs="Arial"/>
      </w:rPr>
    </w:pPr>
    <w:r w:rsidRPr="001B73E2">
      <w:rPr>
        <w:rStyle w:val="PageNumber"/>
        <w:rFonts w:ascii="Arial" w:hAnsi="Arial" w:cs="Arial"/>
      </w:rPr>
      <w:fldChar w:fldCharType="begin"/>
    </w:r>
    <w:r w:rsidRPr="001B73E2">
      <w:rPr>
        <w:rStyle w:val="PageNumber"/>
        <w:rFonts w:ascii="Arial" w:hAnsi="Arial" w:cs="Arial"/>
      </w:rPr>
      <w:instrText xml:space="preserve">PAGE  </w:instrText>
    </w:r>
    <w:r w:rsidRPr="001B73E2">
      <w:rPr>
        <w:rStyle w:val="PageNumber"/>
        <w:rFonts w:ascii="Arial" w:hAnsi="Arial" w:cs="Arial"/>
      </w:rPr>
      <w:fldChar w:fldCharType="separate"/>
    </w:r>
    <w:r w:rsidR="007B1E2A">
      <w:rPr>
        <w:rStyle w:val="PageNumber"/>
        <w:rFonts w:ascii="Arial" w:hAnsi="Arial" w:cs="Arial"/>
        <w:noProof/>
      </w:rPr>
      <w:t>4</w:t>
    </w:r>
    <w:r w:rsidRPr="001B73E2">
      <w:rPr>
        <w:rStyle w:val="PageNumber"/>
        <w:rFonts w:ascii="Arial" w:hAnsi="Arial" w:cs="Arial"/>
      </w:rPr>
      <w:fldChar w:fldCharType="end"/>
    </w:r>
  </w:p>
  <w:p w:rsidR="006B41C2" w:rsidRDefault="006B41C2"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2A" w:rsidRDefault="007B1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AA1" w:rsidRDefault="00426AA1">
      <w:r>
        <w:separator/>
      </w:r>
    </w:p>
  </w:footnote>
  <w:footnote w:type="continuationSeparator" w:id="0">
    <w:p w:rsidR="00426AA1" w:rsidRDefault="00426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2A" w:rsidRDefault="007B1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C2" w:rsidRPr="00816EFE" w:rsidRDefault="006B41C2" w:rsidP="00816EFE">
    <w:pPr>
      <w:pStyle w:val="Header"/>
      <w:jc w:val="center"/>
      <w:rPr>
        <w:rFonts w:ascii="Arial" w:hAnsi="Arial" w:cs="Arial"/>
        <w:b/>
      </w:rPr>
    </w:pPr>
    <w:r>
      <w:rPr>
        <w:rFonts w:ascii="Arial" w:hAnsi="Arial" w:cs="Arial"/>
        <w:b/>
        <w:snapToGrid w:val="0"/>
        <w:lang w:eastAsia="en-US"/>
      </w:rPr>
      <w:t xml:space="preserve">March 2014 PBAC Meeting Outcomes – </w:t>
    </w:r>
    <w:r w:rsidRPr="00C51685">
      <w:rPr>
        <w:rFonts w:ascii="Arial" w:hAnsi="Arial" w:cs="Arial"/>
        <w:b/>
      </w:rPr>
      <w:t>"Subsequent" decisions not to recommend</w:t>
    </w:r>
  </w:p>
  <w:p w:rsidR="006B41C2" w:rsidRDefault="006B41C2"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2A" w:rsidRDefault="007B1E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18E19C2"/>
    <w:multiLevelType w:val="multilevel"/>
    <w:tmpl w:val="D586254C"/>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801984"/>
    <w:multiLevelType w:val="hybridMultilevel"/>
    <w:tmpl w:val="DD94F34C"/>
    <w:lvl w:ilvl="0" w:tplc="70B087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9F5632"/>
    <w:multiLevelType w:val="hybridMultilevel"/>
    <w:tmpl w:val="74F66688"/>
    <w:lvl w:ilvl="0" w:tplc="6E02C97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FF2C65"/>
    <w:multiLevelType w:val="hybridMultilevel"/>
    <w:tmpl w:val="5642780E"/>
    <w:lvl w:ilvl="0" w:tplc="0196599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B866EF"/>
    <w:multiLevelType w:val="hybridMultilevel"/>
    <w:tmpl w:val="02B40EEC"/>
    <w:lvl w:ilvl="0" w:tplc="D9AE71C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C07338D"/>
    <w:multiLevelType w:val="multilevel"/>
    <w:tmpl w:val="C178CAB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29C5809"/>
    <w:multiLevelType w:val="multilevel"/>
    <w:tmpl w:val="53240434"/>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4D033C"/>
    <w:multiLevelType w:val="multilevel"/>
    <w:tmpl w:val="E2405B8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14"/>
  </w:num>
  <w:num w:numId="4">
    <w:abstractNumId w:val="10"/>
  </w:num>
  <w:num w:numId="5">
    <w:abstractNumId w:val="8"/>
  </w:num>
  <w:num w:numId="6">
    <w:abstractNumId w:val="2"/>
  </w:num>
  <w:num w:numId="7">
    <w:abstractNumId w:val="1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3"/>
  </w:num>
  <w:num w:numId="12">
    <w:abstractNumId w:val="4"/>
  </w:num>
  <w:num w:numId="13">
    <w:abstractNumId w:val="6"/>
  </w:num>
  <w:num w:numId="14">
    <w:abstractNumId w:val="12"/>
  </w:num>
  <w:num w:numId="15">
    <w:abstractNumId w:val="17"/>
  </w:num>
  <w:num w:numId="16">
    <w:abstractNumId w:val="1"/>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E93"/>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9ED"/>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648"/>
    <w:rsid w:val="00044BB4"/>
    <w:rsid w:val="00046725"/>
    <w:rsid w:val="000468C0"/>
    <w:rsid w:val="00046DA2"/>
    <w:rsid w:val="00050762"/>
    <w:rsid w:val="000507B9"/>
    <w:rsid w:val="00051AF5"/>
    <w:rsid w:val="00053F2C"/>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67BA"/>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B48"/>
    <w:rsid w:val="000C661A"/>
    <w:rsid w:val="000C77A9"/>
    <w:rsid w:val="000D077C"/>
    <w:rsid w:val="000D0D8B"/>
    <w:rsid w:val="000D14F1"/>
    <w:rsid w:val="000D1C61"/>
    <w:rsid w:val="000D2AFE"/>
    <w:rsid w:val="000D2D84"/>
    <w:rsid w:val="000D3190"/>
    <w:rsid w:val="000D3ECA"/>
    <w:rsid w:val="000D418F"/>
    <w:rsid w:val="000D4551"/>
    <w:rsid w:val="000D5D71"/>
    <w:rsid w:val="000D5EFB"/>
    <w:rsid w:val="000D6416"/>
    <w:rsid w:val="000D69E7"/>
    <w:rsid w:val="000D7F3B"/>
    <w:rsid w:val="000E055E"/>
    <w:rsid w:val="000E0C55"/>
    <w:rsid w:val="000E1259"/>
    <w:rsid w:val="000E12D5"/>
    <w:rsid w:val="000E15F8"/>
    <w:rsid w:val="000E21D8"/>
    <w:rsid w:val="000E2C73"/>
    <w:rsid w:val="000E2C8F"/>
    <w:rsid w:val="000E2EA3"/>
    <w:rsid w:val="000E4B3E"/>
    <w:rsid w:val="000E539F"/>
    <w:rsid w:val="000E6CF9"/>
    <w:rsid w:val="000E723B"/>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2C8"/>
    <w:rsid w:val="001038BB"/>
    <w:rsid w:val="00103B4D"/>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C88"/>
    <w:rsid w:val="00151D35"/>
    <w:rsid w:val="00152387"/>
    <w:rsid w:val="00152A0C"/>
    <w:rsid w:val="00153424"/>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4F0"/>
    <w:rsid w:val="001B5950"/>
    <w:rsid w:val="001B6AAD"/>
    <w:rsid w:val="001B71B5"/>
    <w:rsid w:val="001B73E2"/>
    <w:rsid w:val="001B78E2"/>
    <w:rsid w:val="001B7BF2"/>
    <w:rsid w:val="001B7EED"/>
    <w:rsid w:val="001C0289"/>
    <w:rsid w:val="001C181C"/>
    <w:rsid w:val="001C27AF"/>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411C"/>
    <w:rsid w:val="001E5979"/>
    <w:rsid w:val="001E5C38"/>
    <w:rsid w:val="001E776D"/>
    <w:rsid w:val="001E77D9"/>
    <w:rsid w:val="001F0D67"/>
    <w:rsid w:val="001F1A00"/>
    <w:rsid w:val="001F1B8A"/>
    <w:rsid w:val="001F2058"/>
    <w:rsid w:val="001F23BC"/>
    <w:rsid w:val="001F29C8"/>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2DDC"/>
    <w:rsid w:val="0020322B"/>
    <w:rsid w:val="002032C8"/>
    <w:rsid w:val="00203A75"/>
    <w:rsid w:val="0020409B"/>
    <w:rsid w:val="002060A5"/>
    <w:rsid w:val="002070E4"/>
    <w:rsid w:val="0020721C"/>
    <w:rsid w:val="002072C3"/>
    <w:rsid w:val="0020790A"/>
    <w:rsid w:val="00207E86"/>
    <w:rsid w:val="00210594"/>
    <w:rsid w:val="00210F65"/>
    <w:rsid w:val="00211C9F"/>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27F7E"/>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DF"/>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6B9"/>
    <w:rsid w:val="00302C73"/>
    <w:rsid w:val="003035B2"/>
    <w:rsid w:val="00303733"/>
    <w:rsid w:val="00303A2F"/>
    <w:rsid w:val="00303C94"/>
    <w:rsid w:val="00304BF7"/>
    <w:rsid w:val="00304FE8"/>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06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44B"/>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FD7"/>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20584"/>
    <w:rsid w:val="00421048"/>
    <w:rsid w:val="00422A93"/>
    <w:rsid w:val="00422BB1"/>
    <w:rsid w:val="00424D21"/>
    <w:rsid w:val="00424F3C"/>
    <w:rsid w:val="00425C24"/>
    <w:rsid w:val="00426AA1"/>
    <w:rsid w:val="004273BF"/>
    <w:rsid w:val="004311FF"/>
    <w:rsid w:val="004314B6"/>
    <w:rsid w:val="00432447"/>
    <w:rsid w:val="00432D97"/>
    <w:rsid w:val="00432F21"/>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538C"/>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C4F"/>
    <w:rsid w:val="004F7D7B"/>
    <w:rsid w:val="00501659"/>
    <w:rsid w:val="00501733"/>
    <w:rsid w:val="00501B75"/>
    <w:rsid w:val="00501C39"/>
    <w:rsid w:val="00502203"/>
    <w:rsid w:val="005027B8"/>
    <w:rsid w:val="00503F42"/>
    <w:rsid w:val="00505A66"/>
    <w:rsid w:val="00506576"/>
    <w:rsid w:val="00506710"/>
    <w:rsid w:val="00506E86"/>
    <w:rsid w:val="0050702C"/>
    <w:rsid w:val="0050723E"/>
    <w:rsid w:val="00507403"/>
    <w:rsid w:val="00507430"/>
    <w:rsid w:val="005101E5"/>
    <w:rsid w:val="00511D75"/>
    <w:rsid w:val="00512232"/>
    <w:rsid w:val="00513B7E"/>
    <w:rsid w:val="00514597"/>
    <w:rsid w:val="005148D0"/>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182"/>
    <w:rsid w:val="00550292"/>
    <w:rsid w:val="00551309"/>
    <w:rsid w:val="00551E62"/>
    <w:rsid w:val="00552426"/>
    <w:rsid w:val="00552F1A"/>
    <w:rsid w:val="0055363B"/>
    <w:rsid w:val="00553693"/>
    <w:rsid w:val="00553934"/>
    <w:rsid w:val="00553B71"/>
    <w:rsid w:val="00554C4D"/>
    <w:rsid w:val="005550A5"/>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E4D"/>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2E"/>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119"/>
    <w:rsid w:val="005D2E2B"/>
    <w:rsid w:val="005D3D10"/>
    <w:rsid w:val="005D6E2B"/>
    <w:rsid w:val="005D71BB"/>
    <w:rsid w:val="005E07F3"/>
    <w:rsid w:val="005E0823"/>
    <w:rsid w:val="005E1008"/>
    <w:rsid w:val="005E11E2"/>
    <w:rsid w:val="005E170E"/>
    <w:rsid w:val="005E1DDB"/>
    <w:rsid w:val="005E1F3F"/>
    <w:rsid w:val="005E250E"/>
    <w:rsid w:val="005E34C1"/>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FEB"/>
    <w:rsid w:val="006348ED"/>
    <w:rsid w:val="00636A18"/>
    <w:rsid w:val="00636C52"/>
    <w:rsid w:val="0063771E"/>
    <w:rsid w:val="006406A6"/>
    <w:rsid w:val="00640A5A"/>
    <w:rsid w:val="00640E6C"/>
    <w:rsid w:val="006414AF"/>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77C7C"/>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1C2"/>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4ACA"/>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27FC9"/>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6A73"/>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1988"/>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311"/>
    <w:rsid w:val="007847D1"/>
    <w:rsid w:val="00784924"/>
    <w:rsid w:val="00785D82"/>
    <w:rsid w:val="0078647B"/>
    <w:rsid w:val="00786ED4"/>
    <w:rsid w:val="0078716F"/>
    <w:rsid w:val="007873C8"/>
    <w:rsid w:val="0078793D"/>
    <w:rsid w:val="00790F50"/>
    <w:rsid w:val="00791374"/>
    <w:rsid w:val="00792B66"/>
    <w:rsid w:val="007931E9"/>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1E2A"/>
    <w:rsid w:val="007B2177"/>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6EFE"/>
    <w:rsid w:val="00817452"/>
    <w:rsid w:val="008174D6"/>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BD8"/>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55D"/>
    <w:rsid w:val="00897911"/>
    <w:rsid w:val="00897B11"/>
    <w:rsid w:val="008A03BE"/>
    <w:rsid w:val="008A1C8E"/>
    <w:rsid w:val="008A2377"/>
    <w:rsid w:val="008A2E17"/>
    <w:rsid w:val="008A344E"/>
    <w:rsid w:val="008A3721"/>
    <w:rsid w:val="008A382F"/>
    <w:rsid w:val="008A39A0"/>
    <w:rsid w:val="008A39AD"/>
    <w:rsid w:val="008A3DB6"/>
    <w:rsid w:val="008A5453"/>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417"/>
    <w:rsid w:val="008D1714"/>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1459"/>
    <w:rsid w:val="00901C47"/>
    <w:rsid w:val="0090328B"/>
    <w:rsid w:val="009032E9"/>
    <w:rsid w:val="00903EFE"/>
    <w:rsid w:val="009040EB"/>
    <w:rsid w:val="0090437C"/>
    <w:rsid w:val="0090472D"/>
    <w:rsid w:val="0090518E"/>
    <w:rsid w:val="0090563D"/>
    <w:rsid w:val="00906EF4"/>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BCB"/>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9A"/>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5BAE"/>
    <w:rsid w:val="009E5BF5"/>
    <w:rsid w:val="009E5D18"/>
    <w:rsid w:val="009E5F8E"/>
    <w:rsid w:val="009E699D"/>
    <w:rsid w:val="009F1904"/>
    <w:rsid w:val="009F209E"/>
    <w:rsid w:val="009F2446"/>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F1"/>
    <w:rsid w:val="00A36EBD"/>
    <w:rsid w:val="00A40F98"/>
    <w:rsid w:val="00A43813"/>
    <w:rsid w:val="00A43D47"/>
    <w:rsid w:val="00A440A6"/>
    <w:rsid w:val="00A456D2"/>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432F"/>
    <w:rsid w:val="00B043ED"/>
    <w:rsid w:val="00B0543B"/>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1EC"/>
    <w:rsid w:val="00B15491"/>
    <w:rsid w:val="00B1562F"/>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17DC"/>
    <w:rsid w:val="00B31E48"/>
    <w:rsid w:val="00B327F4"/>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5D3D"/>
    <w:rsid w:val="00B46975"/>
    <w:rsid w:val="00B472EC"/>
    <w:rsid w:val="00B473CD"/>
    <w:rsid w:val="00B52046"/>
    <w:rsid w:val="00B5259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751"/>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1B3F"/>
    <w:rsid w:val="00BD33A9"/>
    <w:rsid w:val="00BD33BE"/>
    <w:rsid w:val="00BD3792"/>
    <w:rsid w:val="00BD3C72"/>
    <w:rsid w:val="00BD4E12"/>
    <w:rsid w:val="00BD5D4E"/>
    <w:rsid w:val="00BD7991"/>
    <w:rsid w:val="00BE0BDD"/>
    <w:rsid w:val="00BE21E3"/>
    <w:rsid w:val="00BE2DF9"/>
    <w:rsid w:val="00BE305B"/>
    <w:rsid w:val="00BE4404"/>
    <w:rsid w:val="00BE5F4E"/>
    <w:rsid w:val="00BE62B2"/>
    <w:rsid w:val="00BE6350"/>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3BA"/>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084B"/>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18E"/>
    <w:rsid w:val="00D17335"/>
    <w:rsid w:val="00D2079E"/>
    <w:rsid w:val="00D21356"/>
    <w:rsid w:val="00D216EE"/>
    <w:rsid w:val="00D220B5"/>
    <w:rsid w:val="00D22C90"/>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F19"/>
    <w:rsid w:val="00D7752B"/>
    <w:rsid w:val="00D77AD8"/>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B7EEE"/>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0222"/>
    <w:rsid w:val="00E111E7"/>
    <w:rsid w:val="00E111F8"/>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227"/>
    <w:rsid w:val="00E32715"/>
    <w:rsid w:val="00E32D36"/>
    <w:rsid w:val="00E334B8"/>
    <w:rsid w:val="00E33C3F"/>
    <w:rsid w:val="00E3511E"/>
    <w:rsid w:val="00E36F8A"/>
    <w:rsid w:val="00E37A6A"/>
    <w:rsid w:val="00E37CC3"/>
    <w:rsid w:val="00E40479"/>
    <w:rsid w:val="00E40FB5"/>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0AAC"/>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1903"/>
    <w:rsid w:val="00EA1A5A"/>
    <w:rsid w:val="00EA2FC0"/>
    <w:rsid w:val="00EA3F5C"/>
    <w:rsid w:val="00EA4397"/>
    <w:rsid w:val="00EA499D"/>
    <w:rsid w:val="00EA4FFF"/>
    <w:rsid w:val="00EA54AD"/>
    <w:rsid w:val="00EA557B"/>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966"/>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1D7B"/>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7C49"/>
    <w:rsid w:val="00F57D6B"/>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51"/>
    <w:rsid w:val="00F73999"/>
    <w:rsid w:val="00F73AB3"/>
    <w:rsid w:val="00F73AB7"/>
    <w:rsid w:val="00F7566A"/>
    <w:rsid w:val="00F76268"/>
    <w:rsid w:val="00F76CF3"/>
    <w:rsid w:val="00F76DA3"/>
    <w:rsid w:val="00F773FD"/>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E7E66"/>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FE7E66"/>
    <w:pPr>
      <w:ind w:left="720"/>
      <w:contextualSpacing/>
    </w:pPr>
    <w:rPr>
      <w:sz w:val="24"/>
      <w:szCs w:val="24"/>
    </w:rPr>
  </w:style>
  <w:style w:type="character" w:customStyle="1" w:styleId="apple-style-span">
    <w:name w:val="apple-style-span"/>
    <w:rsid w:val="001B73E2"/>
  </w:style>
  <w:style w:type="character" w:customStyle="1" w:styleId="ListParagraphChar">
    <w:name w:val="List Paragraph Char"/>
    <w:link w:val="ListParagraph"/>
    <w:uiPriority w:val="34"/>
    <w:rsid w:val="00E102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uiPriority w:val="99"/>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FE7E66"/>
    <w:pPr>
      <w:ind w:left="720"/>
      <w:contextualSpacing/>
    </w:pPr>
    <w:rPr>
      <w:sz w:val="24"/>
      <w:szCs w:val="24"/>
    </w:rPr>
  </w:style>
  <w:style w:type="character" w:customStyle="1" w:styleId="apple-style-span">
    <w:name w:val="apple-style-span"/>
    <w:rsid w:val="001B73E2"/>
  </w:style>
  <w:style w:type="character" w:customStyle="1" w:styleId="ListParagraphChar">
    <w:name w:val="List Paragraph Char"/>
    <w:link w:val="ListParagraph"/>
    <w:uiPriority w:val="34"/>
    <w:rsid w:val="00E102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665896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435915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7321884">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310169">
      <w:bodyDiv w:val="1"/>
      <w:marLeft w:val="0"/>
      <w:marRight w:val="0"/>
      <w:marTop w:val="0"/>
      <w:marBottom w:val="0"/>
      <w:divBdr>
        <w:top w:val="none" w:sz="0" w:space="0" w:color="auto"/>
        <w:left w:val="none" w:sz="0" w:space="0" w:color="auto"/>
        <w:bottom w:val="none" w:sz="0" w:space="0" w:color="auto"/>
        <w:right w:val="none" w:sz="0" w:space="0" w:color="auto"/>
      </w:divBdr>
      <w:divsChild>
        <w:div w:id="1888640869">
          <w:marLeft w:val="0"/>
          <w:marRight w:val="0"/>
          <w:marTop w:val="0"/>
          <w:marBottom w:val="0"/>
          <w:divBdr>
            <w:top w:val="none" w:sz="0" w:space="0" w:color="auto"/>
            <w:left w:val="none" w:sz="0" w:space="0" w:color="auto"/>
            <w:bottom w:val="none" w:sz="0" w:space="0" w:color="auto"/>
            <w:right w:val="none" w:sz="0" w:space="0" w:color="auto"/>
          </w:divBdr>
          <w:divsChild>
            <w:div w:id="31660163">
              <w:marLeft w:val="0"/>
              <w:marRight w:val="0"/>
              <w:marTop w:val="0"/>
              <w:marBottom w:val="0"/>
              <w:divBdr>
                <w:top w:val="none" w:sz="0" w:space="0" w:color="auto"/>
                <w:left w:val="none" w:sz="0" w:space="0" w:color="auto"/>
                <w:bottom w:val="none" w:sz="0" w:space="0" w:color="auto"/>
                <w:right w:val="none" w:sz="0" w:space="0" w:color="auto"/>
              </w:divBdr>
              <w:divsChild>
                <w:div w:id="1380278776">
                  <w:marLeft w:val="0"/>
                  <w:marRight w:val="0"/>
                  <w:marTop w:val="0"/>
                  <w:marBottom w:val="0"/>
                  <w:divBdr>
                    <w:top w:val="none" w:sz="0" w:space="0" w:color="auto"/>
                    <w:left w:val="none" w:sz="0" w:space="0" w:color="auto"/>
                    <w:bottom w:val="none" w:sz="0" w:space="0" w:color="auto"/>
                    <w:right w:val="none" w:sz="0" w:space="0" w:color="auto"/>
                  </w:divBdr>
                  <w:divsChild>
                    <w:div w:id="1295286105">
                      <w:marLeft w:val="0"/>
                      <w:marRight w:val="0"/>
                      <w:marTop w:val="0"/>
                      <w:marBottom w:val="0"/>
                      <w:divBdr>
                        <w:top w:val="none" w:sz="0" w:space="0" w:color="auto"/>
                        <w:left w:val="none" w:sz="0" w:space="0" w:color="auto"/>
                        <w:bottom w:val="none" w:sz="0" w:space="0" w:color="auto"/>
                        <w:right w:val="none" w:sz="0" w:space="0" w:color="auto"/>
                      </w:divBdr>
                      <w:divsChild>
                        <w:div w:id="14179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7D14-211C-4828-B77A-8D0621E92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CharactersWithSpaces>
  <SharedDoc>false</SharedDoc>
  <HLinks>
    <vt:vector size="6" baseType="variant">
      <vt:variant>
        <vt:i4>5308503</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2014-04-28T03:11:00Z</dcterms:created>
  <dcterms:modified xsi:type="dcterms:W3CDTF">2014-04-28T03:11:00Z</dcterms:modified>
</cp:coreProperties>
</file>