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ACA6E" w14:textId="77777777" w:rsidR="000E2F09" w:rsidRDefault="000E2F09" w:rsidP="007B4423">
      <w:pPr>
        <w:pStyle w:val="Title"/>
      </w:pPr>
      <w:r w:rsidRPr="0066451A">
        <w:t>Pharmaceutical Benefits Advisory Committee (PBAC)</w:t>
      </w:r>
    </w:p>
    <w:p w14:paraId="6E849C4C" w14:textId="77777777" w:rsidR="005D4886" w:rsidRDefault="005D4886" w:rsidP="005D4886">
      <w:pPr>
        <w:jc w:val="center"/>
        <w:rPr>
          <w:rFonts w:asciiTheme="minorHAnsi" w:eastAsiaTheme="majorEastAsia" w:hAnsiTheme="minorHAnsi" w:cstheme="minorHAnsi"/>
          <w:b/>
          <w:spacing w:val="5"/>
          <w:kern w:val="28"/>
          <w:sz w:val="36"/>
          <w:szCs w:val="36"/>
        </w:rPr>
      </w:pPr>
    </w:p>
    <w:p w14:paraId="706D149B" w14:textId="31234668" w:rsidR="00235C2E" w:rsidRDefault="005D4886" w:rsidP="007B4423">
      <w:pPr>
        <w:pStyle w:val="Title"/>
      </w:pPr>
      <w:r w:rsidRPr="005D4886">
        <w:t>PD-1 and PD-L1 checkpoint inhibitor immunotherapies</w:t>
      </w:r>
      <w:r w:rsidR="00235C2E">
        <w:t>: options</w:t>
      </w:r>
      <w:r w:rsidRPr="005D4886">
        <w:t xml:space="preserve"> </w:t>
      </w:r>
      <w:r w:rsidR="00235C2E">
        <w:t xml:space="preserve">for </w:t>
      </w:r>
      <w:r w:rsidRPr="005D4886">
        <w:t xml:space="preserve">subsidy </w:t>
      </w:r>
      <w:r w:rsidR="00235C2E">
        <w:t xml:space="preserve">consideration for </w:t>
      </w:r>
      <w:r w:rsidRPr="005D4886">
        <w:t>multiple cancer types</w:t>
      </w:r>
    </w:p>
    <w:p w14:paraId="23BC6809" w14:textId="77777777" w:rsidR="00235C2E" w:rsidRDefault="00235C2E" w:rsidP="005D4886">
      <w:pPr>
        <w:jc w:val="center"/>
        <w:rPr>
          <w:rFonts w:asciiTheme="minorHAnsi" w:eastAsiaTheme="majorEastAsia" w:hAnsiTheme="minorHAnsi" w:cstheme="minorHAnsi"/>
          <w:b/>
          <w:spacing w:val="5"/>
          <w:kern w:val="28"/>
          <w:sz w:val="36"/>
          <w:szCs w:val="36"/>
        </w:rPr>
      </w:pPr>
    </w:p>
    <w:p w14:paraId="0DEFE023" w14:textId="5B66934C" w:rsidR="005D4886" w:rsidRPr="0066451A" w:rsidRDefault="005D4886" w:rsidP="007B4423">
      <w:pPr>
        <w:pStyle w:val="Title"/>
      </w:pPr>
      <w:r w:rsidRPr="005D4886">
        <w:t xml:space="preserve">Background </w:t>
      </w:r>
      <w:r w:rsidR="00BE1E25">
        <w:t>to invitation for submissions</w:t>
      </w:r>
    </w:p>
    <w:p w14:paraId="46766167" w14:textId="77777777" w:rsidR="000E2F09" w:rsidRDefault="000E2F09" w:rsidP="007B4423">
      <w:pPr>
        <w:pStyle w:val="Title"/>
      </w:pPr>
      <w:r w:rsidRPr="0066451A">
        <w:t>Ma</w:t>
      </w:r>
      <w:bookmarkStart w:id="0" w:name="_GoBack"/>
      <w:bookmarkEnd w:id="0"/>
      <w:r w:rsidRPr="0066451A">
        <w:t>y 2018</w:t>
      </w:r>
    </w:p>
    <w:p w14:paraId="46837938" w14:textId="77777777" w:rsidR="008B2A93" w:rsidRDefault="008B2A93" w:rsidP="00417BF5">
      <w:pPr>
        <w:rPr>
          <w:rFonts w:asciiTheme="minorHAnsi" w:eastAsiaTheme="majorEastAsia" w:hAnsiTheme="minorHAnsi" w:cstheme="minorHAnsi"/>
          <w:b/>
          <w:spacing w:val="5"/>
          <w:kern w:val="28"/>
        </w:rPr>
      </w:pPr>
    </w:p>
    <w:tbl>
      <w:tblPr>
        <w:tblStyle w:val="TableGrid"/>
        <w:tblW w:w="0" w:type="auto"/>
        <w:tblLook w:val="04A0" w:firstRow="1" w:lastRow="0" w:firstColumn="1" w:lastColumn="0" w:noHBand="0" w:noVBand="1"/>
        <w:tblCaption w:val="Key information for submissions table"/>
        <w:tblDescription w:val="Text box containing the submission due date, recommending use of the template, outlining the email address that submissions are to be sent to."/>
      </w:tblPr>
      <w:tblGrid>
        <w:gridCol w:w="9286"/>
      </w:tblGrid>
      <w:tr w:rsidR="00B14F0B" w14:paraId="29B5C5BF" w14:textId="77777777" w:rsidTr="009C14A2">
        <w:trPr>
          <w:trHeight w:val="2517"/>
          <w:tblHeader/>
        </w:trPr>
        <w:tc>
          <w:tcPr>
            <w:tcW w:w="9286" w:type="dxa"/>
          </w:tcPr>
          <w:p w14:paraId="3CCE3A27" w14:textId="2B267AC7" w:rsidR="00B14F0B" w:rsidRDefault="00B14F0B" w:rsidP="00417BF5">
            <w:pPr>
              <w:rPr>
                <w:rFonts w:asciiTheme="minorHAnsi" w:eastAsiaTheme="majorEastAsia" w:hAnsiTheme="minorHAnsi" w:cstheme="minorHAnsi"/>
                <w:b/>
                <w:spacing w:val="5"/>
                <w:kern w:val="28"/>
              </w:rPr>
            </w:pPr>
          </w:p>
          <w:p w14:paraId="4E99B7B8" w14:textId="31181787" w:rsidR="00B14F0B" w:rsidRDefault="00B14F0B" w:rsidP="00417BF5">
            <w:pPr>
              <w:rPr>
                <w:rFonts w:asciiTheme="minorHAnsi" w:eastAsiaTheme="majorEastAsia" w:hAnsiTheme="minorHAnsi" w:cstheme="minorHAnsi"/>
                <w:b/>
                <w:spacing w:val="5"/>
                <w:kern w:val="28"/>
              </w:rPr>
            </w:pPr>
            <w:r>
              <w:rPr>
                <w:rFonts w:asciiTheme="minorHAnsi" w:eastAsiaTheme="majorEastAsia" w:hAnsiTheme="minorHAnsi" w:cstheme="minorHAnsi"/>
                <w:b/>
                <w:spacing w:val="5"/>
                <w:kern w:val="28"/>
              </w:rPr>
              <w:t xml:space="preserve">Submissions should be made in writing by </w:t>
            </w:r>
            <w:r w:rsidR="00E6004B">
              <w:rPr>
                <w:rFonts w:asciiTheme="minorHAnsi" w:eastAsiaTheme="majorEastAsia" w:hAnsiTheme="minorHAnsi" w:cstheme="minorHAnsi"/>
                <w:b/>
                <w:spacing w:val="5"/>
                <w:kern w:val="28"/>
              </w:rPr>
              <w:t>5 pm AEST 2</w:t>
            </w:r>
            <w:r w:rsidR="001B251E">
              <w:rPr>
                <w:rFonts w:asciiTheme="minorHAnsi" w:eastAsiaTheme="majorEastAsia" w:hAnsiTheme="minorHAnsi" w:cstheme="minorHAnsi"/>
                <w:b/>
                <w:spacing w:val="5"/>
                <w:kern w:val="28"/>
              </w:rPr>
              <w:t>9</w:t>
            </w:r>
            <w:r w:rsidR="00E6004B">
              <w:rPr>
                <w:rFonts w:asciiTheme="minorHAnsi" w:eastAsiaTheme="majorEastAsia" w:hAnsiTheme="minorHAnsi" w:cstheme="minorHAnsi"/>
                <w:b/>
                <w:spacing w:val="5"/>
                <w:kern w:val="28"/>
              </w:rPr>
              <w:t xml:space="preserve"> </w:t>
            </w:r>
            <w:r>
              <w:rPr>
                <w:rFonts w:asciiTheme="minorHAnsi" w:eastAsiaTheme="majorEastAsia" w:hAnsiTheme="minorHAnsi" w:cstheme="minorHAnsi"/>
                <w:b/>
                <w:spacing w:val="5"/>
                <w:kern w:val="28"/>
              </w:rPr>
              <w:t>June 2018,</w:t>
            </w:r>
          </w:p>
          <w:p w14:paraId="7A29E79B" w14:textId="77777777" w:rsidR="00B14F0B" w:rsidRDefault="00B14F0B" w:rsidP="00417BF5">
            <w:pPr>
              <w:rPr>
                <w:rFonts w:asciiTheme="minorHAnsi" w:eastAsiaTheme="majorEastAsia" w:hAnsiTheme="minorHAnsi" w:cstheme="minorHAnsi"/>
                <w:b/>
                <w:spacing w:val="5"/>
                <w:kern w:val="28"/>
              </w:rPr>
            </w:pPr>
          </w:p>
          <w:p w14:paraId="34A71660" w14:textId="5959CF02" w:rsidR="00B14F0B" w:rsidRDefault="00B14F0B" w:rsidP="00417BF5">
            <w:pPr>
              <w:rPr>
                <w:rFonts w:asciiTheme="minorHAnsi" w:eastAsiaTheme="majorEastAsia" w:hAnsiTheme="minorHAnsi" w:cstheme="minorHAnsi"/>
                <w:b/>
                <w:spacing w:val="5"/>
                <w:kern w:val="28"/>
              </w:rPr>
            </w:pPr>
            <w:r>
              <w:rPr>
                <w:rFonts w:asciiTheme="minorHAnsi" w:eastAsiaTheme="majorEastAsia" w:hAnsiTheme="minorHAnsi" w:cstheme="minorHAnsi"/>
                <w:b/>
                <w:spacing w:val="5"/>
                <w:kern w:val="28"/>
              </w:rPr>
              <w:t xml:space="preserve">Please use the </w:t>
            </w:r>
            <w:hyperlink r:id="rId9" w:history="1">
              <w:r w:rsidRPr="00800BA8">
                <w:rPr>
                  <w:rStyle w:val="Hyperlink"/>
                  <w:rFonts w:asciiTheme="minorHAnsi" w:eastAsiaTheme="majorEastAsia" w:hAnsiTheme="minorHAnsi" w:cstheme="minorHAnsi"/>
                  <w:b/>
                  <w:spacing w:val="5"/>
                  <w:kern w:val="28"/>
                </w:rPr>
                <w:t>template</w:t>
              </w:r>
            </w:hyperlink>
            <w:r>
              <w:rPr>
                <w:rFonts w:asciiTheme="minorHAnsi" w:eastAsiaTheme="majorEastAsia" w:hAnsiTheme="minorHAnsi" w:cstheme="minorHAnsi"/>
                <w:b/>
                <w:spacing w:val="5"/>
                <w:kern w:val="28"/>
              </w:rPr>
              <w:t xml:space="preserve"> provided</w:t>
            </w:r>
            <w:r w:rsidR="00800BA8">
              <w:rPr>
                <w:rFonts w:asciiTheme="minorHAnsi" w:eastAsiaTheme="majorEastAsia" w:hAnsiTheme="minorHAnsi" w:cstheme="minorHAnsi"/>
                <w:b/>
                <w:spacing w:val="5"/>
                <w:kern w:val="28"/>
              </w:rPr>
              <w:t>.</w:t>
            </w:r>
            <w:r>
              <w:rPr>
                <w:rFonts w:asciiTheme="minorHAnsi" w:eastAsiaTheme="majorEastAsia" w:hAnsiTheme="minorHAnsi" w:cstheme="minorHAnsi"/>
                <w:b/>
                <w:spacing w:val="5"/>
                <w:kern w:val="28"/>
              </w:rPr>
              <w:t xml:space="preserve"> </w:t>
            </w:r>
          </w:p>
          <w:p w14:paraId="09123E77" w14:textId="77777777" w:rsidR="00B14F0B" w:rsidRDefault="00B14F0B" w:rsidP="00417BF5">
            <w:pPr>
              <w:rPr>
                <w:rFonts w:asciiTheme="minorHAnsi" w:eastAsiaTheme="majorEastAsia" w:hAnsiTheme="minorHAnsi" w:cstheme="minorHAnsi"/>
                <w:b/>
                <w:spacing w:val="5"/>
                <w:kern w:val="28"/>
              </w:rPr>
            </w:pPr>
          </w:p>
          <w:p w14:paraId="1A39816A" w14:textId="77777777" w:rsidR="001B251E" w:rsidRDefault="00B14F0B" w:rsidP="00417BF5">
            <w:pPr>
              <w:rPr>
                <w:rStyle w:val="Hyperlink"/>
                <w:rFonts w:asciiTheme="minorHAnsi" w:eastAsiaTheme="majorEastAsia" w:hAnsiTheme="minorHAnsi" w:cstheme="minorHAnsi"/>
                <w:b/>
                <w:spacing w:val="5"/>
                <w:kern w:val="28"/>
              </w:rPr>
            </w:pPr>
            <w:r>
              <w:rPr>
                <w:rFonts w:asciiTheme="minorHAnsi" w:eastAsiaTheme="majorEastAsia" w:hAnsiTheme="minorHAnsi" w:cstheme="minorHAnsi"/>
                <w:b/>
                <w:spacing w:val="5"/>
                <w:kern w:val="28"/>
              </w:rPr>
              <w:t xml:space="preserve">Submissions should be sent to </w:t>
            </w:r>
            <w:hyperlink r:id="rId10" w:history="1">
              <w:r w:rsidRPr="00AD2201">
                <w:rPr>
                  <w:rStyle w:val="Hyperlink"/>
                  <w:rFonts w:asciiTheme="minorHAnsi" w:eastAsiaTheme="majorEastAsia" w:hAnsiTheme="minorHAnsi" w:cstheme="minorHAnsi"/>
                  <w:b/>
                  <w:spacing w:val="5"/>
                  <w:kern w:val="28"/>
                </w:rPr>
                <w:t>pbac@health.gov.au</w:t>
              </w:r>
            </w:hyperlink>
            <w:r w:rsidR="001B251E">
              <w:rPr>
                <w:rStyle w:val="Hyperlink"/>
                <w:rFonts w:asciiTheme="minorHAnsi" w:eastAsiaTheme="majorEastAsia" w:hAnsiTheme="minorHAnsi" w:cstheme="minorHAnsi"/>
                <w:b/>
                <w:spacing w:val="5"/>
                <w:kern w:val="28"/>
              </w:rPr>
              <w:t>.</w:t>
            </w:r>
          </w:p>
          <w:p w14:paraId="7E40F1C4" w14:textId="77777777" w:rsidR="001B251E" w:rsidRDefault="001B251E" w:rsidP="00417BF5">
            <w:pPr>
              <w:rPr>
                <w:rStyle w:val="Hyperlink"/>
                <w:rFonts w:asciiTheme="minorHAnsi" w:eastAsiaTheme="majorEastAsia" w:hAnsiTheme="minorHAnsi" w:cstheme="minorHAnsi"/>
                <w:b/>
                <w:spacing w:val="5"/>
                <w:kern w:val="28"/>
              </w:rPr>
            </w:pPr>
          </w:p>
          <w:p w14:paraId="5F240350" w14:textId="74B40552" w:rsidR="00B14F0B" w:rsidRDefault="00B14F0B" w:rsidP="00417BF5">
            <w:pPr>
              <w:rPr>
                <w:rFonts w:asciiTheme="minorHAnsi" w:eastAsiaTheme="majorEastAsia" w:hAnsiTheme="minorHAnsi" w:cstheme="minorHAnsi"/>
                <w:b/>
                <w:spacing w:val="5"/>
                <w:kern w:val="28"/>
              </w:rPr>
            </w:pPr>
            <w:r>
              <w:rPr>
                <w:rFonts w:asciiTheme="minorHAnsi" w:eastAsiaTheme="majorEastAsia" w:hAnsiTheme="minorHAnsi" w:cstheme="minorHAnsi"/>
                <w:b/>
                <w:spacing w:val="5"/>
                <w:kern w:val="28"/>
              </w:rPr>
              <w:t>The outcomes of the PBAC’s considerations will be published through the PBS website.</w:t>
            </w:r>
          </w:p>
          <w:p w14:paraId="039FEF8E" w14:textId="77777777" w:rsidR="00B14F0B" w:rsidRDefault="00B14F0B" w:rsidP="00417BF5">
            <w:pPr>
              <w:rPr>
                <w:rFonts w:asciiTheme="minorHAnsi" w:eastAsiaTheme="majorEastAsia" w:hAnsiTheme="minorHAnsi" w:cstheme="minorHAnsi"/>
                <w:b/>
                <w:spacing w:val="5"/>
                <w:kern w:val="28"/>
              </w:rPr>
            </w:pPr>
          </w:p>
        </w:tc>
      </w:tr>
    </w:tbl>
    <w:p w14:paraId="0C1D3D94" w14:textId="77777777" w:rsidR="003A48B3" w:rsidRDefault="003A48B3" w:rsidP="00417BF5">
      <w:pPr>
        <w:pStyle w:val="PBACHeading1"/>
        <w:spacing w:before="240" w:after="120"/>
        <w:ind w:left="709" w:hanging="709"/>
        <w:rPr>
          <w:rFonts w:asciiTheme="minorHAnsi" w:hAnsiTheme="minorHAnsi" w:cstheme="minorHAnsi"/>
          <w:sz w:val="32"/>
          <w:szCs w:val="32"/>
        </w:rPr>
      </w:pPr>
      <w:r>
        <w:rPr>
          <w:rFonts w:asciiTheme="minorHAnsi" w:hAnsiTheme="minorHAnsi" w:cstheme="minorHAnsi"/>
          <w:sz w:val="32"/>
          <w:szCs w:val="32"/>
        </w:rPr>
        <w:t>Introduction</w:t>
      </w:r>
    </w:p>
    <w:p w14:paraId="58CFFB68" w14:textId="56D2E757" w:rsidR="003A48B3" w:rsidRPr="009E07DE" w:rsidRDefault="003A48B3" w:rsidP="003A48B3">
      <w:pPr>
        <w:pStyle w:val="ListParagraph"/>
        <w:numPr>
          <w:ilvl w:val="1"/>
          <w:numId w:val="2"/>
        </w:numPr>
        <w:jc w:val="left"/>
        <w:rPr>
          <w:rFonts w:asciiTheme="minorHAnsi" w:eastAsiaTheme="minorHAnsi" w:hAnsiTheme="minorHAnsi" w:cstheme="minorHAnsi"/>
          <w:szCs w:val="22"/>
        </w:rPr>
      </w:pPr>
      <w:r w:rsidRPr="00D64270">
        <w:rPr>
          <w:rFonts w:asciiTheme="minorHAnsi" w:eastAsiaTheme="minorHAnsi" w:hAnsiTheme="minorHAnsi" w:cstheme="minorHAnsi"/>
          <w:szCs w:val="22"/>
        </w:rPr>
        <w:t>The Hon. Minister Hunt, Minister for Health</w:t>
      </w:r>
      <w:r w:rsidRPr="009E07DE">
        <w:rPr>
          <w:rFonts w:asciiTheme="minorHAnsi" w:eastAsiaTheme="minorHAnsi" w:hAnsiTheme="minorHAnsi" w:cstheme="minorHAnsi"/>
          <w:szCs w:val="22"/>
        </w:rPr>
        <w:t xml:space="preserve"> requested the Pharmaceutical Benefits Advisory Committee (PBAC)</w:t>
      </w:r>
      <w:r w:rsidR="006D30CB">
        <w:rPr>
          <w:rFonts w:asciiTheme="minorHAnsi" w:eastAsiaTheme="minorHAnsi" w:hAnsiTheme="minorHAnsi" w:cstheme="minorHAnsi"/>
          <w:szCs w:val="22"/>
        </w:rPr>
        <w:t xml:space="preserve"> to</w:t>
      </w:r>
      <w:r w:rsidRPr="009E07DE">
        <w:rPr>
          <w:rFonts w:asciiTheme="minorHAnsi" w:eastAsiaTheme="minorHAnsi" w:hAnsiTheme="minorHAnsi" w:cstheme="minorHAnsi"/>
          <w:szCs w:val="22"/>
        </w:rPr>
        <w:t xml:space="preserve"> provide advice for consideration of options for listing PD-1 and PD-L1 checkpoint inhibitors for the treatment of multiple cancer indications on the PBS.</w:t>
      </w:r>
    </w:p>
    <w:p w14:paraId="3DEC97CD" w14:textId="77777777" w:rsidR="003A48B3" w:rsidRPr="009E07DE" w:rsidRDefault="003A48B3" w:rsidP="00193801">
      <w:pPr>
        <w:pStyle w:val="ListParagraph"/>
        <w:jc w:val="left"/>
        <w:rPr>
          <w:rFonts w:asciiTheme="minorHAnsi" w:eastAsiaTheme="minorHAnsi" w:hAnsiTheme="minorHAnsi" w:cstheme="minorHAnsi"/>
          <w:szCs w:val="22"/>
        </w:rPr>
      </w:pPr>
    </w:p>
    <w:p w14:paraId="550A67B7" w14:textId="38FEFF39" w:rsidR="008A50F1" w:rsidRPr="0066451A" w:rsidRDefault="004C3121" w:rsidP="00417BF5">
      <w:pPr>
        <w:pStyle w:val="PBACHeading1"/>
        <w:spacing w:before="240" w:after="120"/>
        <w:ind w:left="709" w:hanging="709"/>
        <w:rPr>
          <w:rFonts w:asciiTheme="minorHAnsi" w:hAnsiTheme="minorHAnsi" w:cstheme="minorHAnsi"/>
          <w:sz w:val="32"/>
          <w:szCs w:val="32"/>
        </w:rPr>
      </w:pPr>
      <w:r>
        <w:rPr>
          <w:rFonts w:asciiTheme="minorHAnsi" w:hAnsiTheme="minorHAnsi" w:cstheme="minorHAnsi"/>
          <w:sz w:val="32"/>
          <w:szCs w:val="32"/>
        </w:rPr>
        <w:t>Background</w:t>
      </w:r>
    </w:p>
    <w:p w14:paraId="0B39C973" w14:textId="34588B19" w:rsidR="00F82A0C" w:rsidRPr="009C14A2" w:rsidRDefault="00F82A0C"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Cancer occurs when cells grow in an uncontrolled way. These abnormal cells can damage or invade the surrounding tissues, or spread to other parts of the body, causing further damage.</w:t>
      </w:r>
    </w:p>
    <w:p w14:paraId="42F1FED1" w14:textId="77777777" w:rsidR="00241FCE" w:rsidRPr="009C14A2" w:rsidRDefault="00241FCE" w:rsidP="009C14A2">
      <w:pPr>
        <w:pStyle w:val="ListParagraph"/>
        <w:jc w:val="left"/>
        <w:rPr>
          <w:rFonts w:asciiTheme="minorHAnsi" w:eastAsiaTheme="minorHAnsi" w:hAnsiTheme="minorHAnsi" w:cstheme="minorHAnsi"/>
          <w:szCs w:val="22"/>
        </w:rPr>
      </w:pPr>
    </w:p>
    <w:p w14:paraId="58C9810D" w14:textId="77777777" w:rsidR="00F82A0C" w:rsidRPr="009C14A2" w:rsidRDefault="00F82A0C"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There are many different types of cancer, and usually they are named for the organ or cell type of the primary cancer. For example, bladder cancer starts in the bladder, prostate cancer starts in the prostate, lung cancer starts in the lung</w:t>
      </w:r>
      <w:r w:rsidR="00B103FC" w:rsidRPr="009C14A2">
        <w:rPr>
          <w:rFonts w:eastAsiaTheme="minorHAnsi"/>
          <w:szCs w:val="22"/>
          <w:vertAlign w:val="superscript"/>
        </w:rPr>
        <w:endnoteReference w:id="1"/>
      </w:r>
      <w:r w:rsidR="00B103FC" w:rsidRPr="009C14A2">
        <w:rPr>
          <w:rFonts w:asciiTheme="minorHAnsi" w:eastAsiaTheme="minorHAnsi" w:hAnsiTheme="minorHAnsi" w:cstheme="minorHAnsi"/>
          <w:szCs w:val="22"/>
        </w:rPr>
        <w:t>.</w:t>
      </w:r>
    </w:p>
    <w:p w14:paraId="4568A37E" w14:textId="77777777" w:rsidR="00241FCE" w:rsidRPr="005D4886" w:rsidRDefault="00241FCE" w:rsidP="00417BF5">
      <w:pPr>
        <w:pStyle w:val="ListParagraph"/>
        <w:jc w:val="left"/>
        <w:rPr>
          <w:rFonts w:asciiTheme="minorHAnsi" w:eastAsiaTheme="minorHAnsi" w:hAnsiTheme="minorHAnsi" w:cstheme="minorHAnsi"/>
          <w:b/>
          <w:szCs w:val="22"/>
        </w:rPr>
      </w:pPr>
    </w:p>
    <w:p w14:paraId="5A54F575" w14:textId="1081B1B9" w:rsidR="006F2AF6" w:rsidRPr="009C14A2" w:rsidRDefault="0032610D"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Checkpoi</w:t>
      </w:r>
      <w:r w:rsidR="00DD4313" w:rsidRPr="009C14A2">
        <w:rPr>
          <w:rFonts w:asciiTheme="minorHAnsi" w:eastAsiaTheme="minorHAnsi" w:hAnsiTheme="minorHAnsi" w:cstheme="minorHAnsi"/>
          <w:szCs w:val="22"/>
        </w:rPr>
        <w:t xml:space="preserve">nt inhibitors </w:t>
      </w:r>
      <w:r w:rsidR="006D30CB" w:rsidRPr="009C14A2">
        <w:rPr>
          <w:rFonts w:asciiTheme="minorHAnsi" w:eastAsiaTheme="minorHAnsi" w:hAnsiTheme="minorHAnsi" w:cstheme="minorHAnsi"/>
          <w:szCs w:val="22"/>
        </w:rPr>
        <w:t xml:space="preserve">medicines </w:t>
      </w:r>
      <w:r w:rsidR="00DD4313" w:rsidRPr="009C14A2">
        <w:rPr>
          <w:rFonts w:asciiTheme="minorHAnsi" w:eastAsiaTheme="minorHAnsi" w:hAnsiTheme="minorHAnsi" w:cstheme="minorHAnsi"/>
          <w:szCs w:val="22"/>
        </w:rPr>
        <w:t>are</w:t>
      </w:r>
      <w:r w:rsidR="006D30CB" w:rsidRPr="009C14A2">
        <w:rPr>
          <w:rFonts w:asciiTheme="minorHAnsi" w:eastAsiaTheme="minorHAnsi" w:hAnsiTheme="minorHAnsi" w:cstheme="minorHAnsi"/>
          <w:szCs w:val="22"/>
        </w:rPr>
        <w:t xml:space="preserve"> </w:t>
      </w:r>
      <w:r w:rsidR="00DD4313" w:rsidRPr="009C14A2">
        <w:rPr>
          <w:rFonts w:asciiTheme="minorHAnsi" w:eastAsiaTheme="minorHAnsi" w:hAnsiTheme="minorHAnsi" w:cstheme="minorHAnsi"/>
          <w:szCs w:val="22"/>
        </w:rPr>
        <w:t xml:space="preserve">a type of </w:t>
      </w:r>
      <w:r w:rsidR="006D30CB" w:rsidRPr="009C14A2">
        <w:rPr>
          <w:rFonts w:asciiTheme="minorHAnsi" w:eastAsiaTheme="minorHAnsi" w:hAnsiTheme="minorHAnsi" w:cstheme="minorHAnsi"/>
          <w:szCs w:val="22"/>
        </w:rPr>
        <w:t>immunotherapy. Checkpoint inhibitors</w:t>
      </w:r>
      <w:r w:rsidRPr="009C14A2">
        <w:rPr>
          <w:rFonts w:asciiTheme="minorHAnsi" w:eastAsiaTheme="minorHAnsi" w:hAnsiTheme="minorHAnsi" w:cstheme="minorHAnsi"/>
          <w:szCs w:val="22"/>
        </w:rPr>
        <w:t xml:space="preserve"> block certain proteins made by some types of immune system cells, such as T cells</w:t>
      </w:r>
      <w:r w:rsidR="007968F0" w:rsidRPr="009C14A2">
        <w:rPr>
          <w:rFonts w:asciiTheme="minorHAnsi" w:eastAsiaTheme="minorHAnsi" w:hAnsiTheme="minorHAnsi" w:cstheme="minorHAnsi"/>
          <w:szCs w:val="22"/>
        </w:rPr>
        <w:t xml:space="preserve"> and some cancers. </w:t>
      </w:r>
      <w:r w:rsidRPr="009C14A2">
        <w:rPr>
          <w:rFonts w:asciiTheme="minorHAnsi" w:eastAsiaTheme="minorHAnsi" w:hAnsiTheme="minorHAnsi" w:cstheme="minorHAnsi"/>
          <w:szCs w:val="22"/>
        </w:rPr>
        <w:t xml:space="preserve"> When these proteins are blocked, the immune system can attack the cancer.  </w:t>
      </w:r>
      <w:r w:rsidR="007968F0" w:rsidRPr="009C14A2">
        <w:rPr>
          <w:rFonts w:asciiTheme="minorHAnsi" w:eastAsiaTheme="minorHAnsi" w:hAnsiTheme="minorHAnsi" w:cstheme="minorHAnsi"/>
          <w:szCs w:val="22"/>
        </w:rPr>
        <w:t>Ex</w:t>
      </w:r>
      <w:r w:rsidR="00DD4313" w:rsidRPr="009C14A2">
        <w:rPr>
          <w:rFonts w:asciiTheme="minorHAnsi" w:eastAsiaTheme="minorHAnsi" w:hAnsiTheme="minorHAnsi" w:cstheme="minorHAnsi"/>
          <w:szCs w:val="22"/>
        </w:rPr>
        <w:t xml:space="preserve">amples of checkpoint inhibitor medicines </w:t>
      </w:r>
      <w:r w:rsidR="007968F0" w:rsidRPr="009C14A2">
        <w:rPr>
          <w:rFonts w:asciiTheme="minorHAnsi" w:eastAsiaTheme="minorHAnsi" w:hAnsiTheme="minorHAnsi" w:cstheme="minorHAnsi"/>
          <w:szCs w:val="22"/>
        </w:rPr>
        <w:t xml:space="preserve">include nivolumab (Opdivo®) and pembrolizumab (Keytruda®) which block the PD-1 protein and </w:t>
      </w:r>
      <w:proofErr w:type="spellStart"/>
      <w:r w:rsidR="006F2AF6" w:rsidRPr="009C14A2">
        <w:rPr>
          <w:rFonts w:asciiTheme="minorHAnsi" w:eastAsiaTheme="minorHAnsi" w:hAnsiTheme="minorHAnsi" w:cstheme="minorHAnsi"/>
          <w:szCs w:val="22"/>
        </w:rPr>
        <w:t>atezolizumab</w:t>
      </w:r>
      <w:proofErr w:type="spellEnd"/>
      <w:r w:rsidR="006F2AF6" w:rsidRPr="009C14A2">
        <w:rPr>
          <w:rFonts w:asciiTheme="minorHAnsi" w:eastAsiaTheme="minorHAnsi" w:hAnsiTheme="minorHAnsi" w:cstheme="minorHAnsi"/>
          <w:szCs w:val="22"/>
        </w:rPr>
        <w:t xml:space="preserve"> (</w:t>
      </w:r>
      <w:proofErr w:type="spellStart"/>
      <w:r w:rsidR="006F2AF6" w:rsidRPr="009C14A2">
        <w:rPr>
          <w:rFonts w:asciiTheme="minorHAnsi" w:eastAsiaTheme="minorHAnsi" w:hAnsiTheme="minorHAnsi" w:cstheme="minorHAnsi"/>
          <w:szCs w:val="22"/>
        </w:rPr>
        <w:t>Tecentriq</w:t>
      </w:r>
      <w:proofErr w:type="spellEnd"/>
      <w:r w:rsidR="006F2AF6" w:rsidRPr="009C14A2">
        <w:rPr>
          <w:rFonts w:asciiTheme="minorHAnsi" w:eastAsiaTheme="minorHAnsi" w:hAnsiTheme="minorHAnsi" w:cstheme="minorHAnsi"/>
          <w:szCs w:val="22"/>
        </w:rPr>
        <w:t xml:space="preserve">®), </w:t>
      </w:r>
      <w:proofErr w:type="spellStart"/>
      <w:r w:rsidR="006F2AF6" w:rsidRPr="009C14A2">
        <w:rPr>
          <w:rFonts w:asciiTheme="minorHAnsi" w:eastAsiaTheme="minorHAnsi" w:hAnsiTheme="minorHAnsi" w:cstheme="minorHAnsi"/>
          <w:szCs w:val="22"/>
        </w:rPr>
        <w:t>avelumab</w:t>
      </w:r>
      <w:proofErr w:type="spellEnd"/>
      <w:r w:rsidR="006F2AF6" w:rsidRPr="009C14A2">
        <w:rPr>
          <w:rFonts w:asciiTheme="minorHAnsi" w:eastAsiaTheme="minorHAnsi" w:hAnsiTheme="minorHAnsi" w:cstheme="minorHAnsi"/>
          <w:szCs w:val="22"/>
        </w:rPr>
        <w:t xml:space="preserve"> (</w:t>
      </w:r>
      <w:proofErr w:type="spellStart"/>
      <w:r w:rsidR="006F2AF6" w:rsidRPr="009C14A2">
        <w:rPr>
          <w:rFonts w:asciiTheme="minorHAnsi" w:eastAsiaTheme="minorHAnsi" w:hAnsiTheme="minorHAnsi" w:cstheme="minorHAnsi"/>
          <w:szCs w:val="22"/>
        </w:rPr>
        <w:t>Bavencio</w:t>
      </w:r>
      <w:proofErr w:type="spellEnd"/>
      <w:r w:rsidR="006F2AF6" w:rsidRPr="009C14A2">
        <w:rPr>
          <w:rFonts w:asciiTheme="minorHAnsi" w:eastAsiaTheme="minorHAnsi" w:hAnsiTheme="minorHAnsi" w:cstheme="minorHAnsi"/>
          <w:szCs w:val="22"/>
        </w:rPr>
        <w:t xml:space="preserve">®), and </w:t>
      </w:r>
      <w:proofErr w:type="spellStart"/>
      <w:r w:rsidR="006F2AF6" w:rsidRPr="009C14A2">
        <w:rPr>
          <w:rFonts w:asciiTheme="minorHAnsi" w:eastAsiaTheme="minorHAnsi" w:hAnsiTheme="minorHAnsi" w:cstheme="minorHAnsi"/>
          <w:szCs w:val="22"/>
        </w:rPr>
        <w:t>durvalumab</w:t>
      </w:r>
      <w:proofErr w:type="spellEnd"/>
      <w:r w:rsidR="006F2AF6" w:rsidRPr="009C14A2">
        <w:rPr>
          <w:rFonts w:asciiTheme="minorHAnsi" w:eastAsiaTheme="minorHAnsi" w:hAnsiTheme="minorHAnsi" w:cstheme="minorHAnsi"/>
          <w:szCs w:val="22"/>
        </w:rPr>
        <w:t xml:space="preserve"> (</w:t>
      </w:r>
      <w:proofErr w:type="spellStart"/>
      <w:r w:rsidR="006F2AF6" w:rsidRPr="009C14A2">
        <w:rPr>
          <w:rFonts w:asciiTheme="minorHAnsi" w:eastAsiaTheme="minorHAnsi" w:hAnsiTheme="minorHAnsi" w:cstheme="minorHAnsi"/>
          <w:szCs w:val="22"/>
        </w:rPr>
        <w:t>Imfinzi</w:t>
      </w:r>
      <w:proofErr w:type="spellEnd"/>
      <w:r w:rsidR="006F2AF6" w:rsidRPr="009C14A2">
        <w:rPr>
          <w:rFonts w:asciiTheme="minorHAnsi" w:eastAsiaTheme="minorHAnsi" w:hAnsiTheme="minorHAnsi" w:cstheme="minorHAnsi"/>
          <w:szCs w:val="22"/>
        </w:rPr>
        <w:t xml:space="preserve">®) </w:t>
      </w:r>
      <w:r w:rsidR="006B58CF" w:rsidRPr="009C14A2">
        <w:rPr>
          <w:rFonts w:asciiTheme="minorHAnsi" w:eastAsiaTheme="minorHAnsi" w:hAnsiTheme="minorHAnsi" w:cstheme="minorHAnsi"/>
          <w:szCs w:val="22"/>
        </w:rPr>
        <w:t>which</w:t>
      </w:r>
      <w:r w:rsidR="006F2AF6" w:rsidRPr="009C14A2">
        <w:rPr>
          <w:rFonts w:asciiTheme="minorHAnsi" w:eastAsiaTheme="minorHAnsi" w:hAnsiTheme="minorHAnsi" w:cstheme="minorHAnsi"/>
          <w:szCs w:val="22"/>
        </w:rPr>
        <w:t xml:space="preserve"> block the PD-L1 protein.</w:t>
      </w:r>
    </w:p>
    <w:p w14:paraId="08597DCC" w14:textId="77777777" w:rsidR="00BA4069" w:rsidRPr="005D4886" w:rsidRDefault="00BA4069" w:rsidP="00417BF5">
      <w:pPr>
        <w:pStyle w:val="ListParagraph"/>
        <w:jc w:val="left"/>
        <w:rPr>
          <w:rFonts w:asciiTheme="minorHAnsi" w:eastAsiaTheme="minorHAnsi" w:hAnsiTheme="minorHAnsi" w:cstheme="minorHAnsi"/>
          <w:b/>
          <w:szCs w:val="22"/>
        </w:rPr>
      </w:pPr>
    </w:p>
    <w:p w14:paraId="6C3BAAFC" w14:textId="151C15E9" w:rsidR="0095782E" w:rsidRPr="009C14A2" w:rsidRDefault="0095782E"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Checkpoint inhibitors have been shown to produce good responses in some cancers b</w:t>
      </w:r>
      <w:r w:rsidR="00737287" w:rsidRPr="009C14A2">
        <w:rPr>
          <w:rFonts w:asciiTheme="minorHAnsi" w:eastAsiaTheme="minorHAnsi" w:hAnsiTheme="minorHAnsi" w:cstheme="minorHAnsi"/>
          <w:szCs w:val="22"/>
        </w:rPr>
        <w:t>ut not in all cancers and not in</w:t>
      </w:r>
      <w:r w:rsidRPr="009C14A2">
        <w:rPr>
          <w:rFonts w:asciiTheme="minorHAnsi" w:eastAsiaTheme="minorHAnsi" w:hAnsiTheme="minorHAnsi" w:cstheme="minorHAnsi"/>
          <w:szCs w:val="22"/>
        </w:rPr>
        <w:t xml:space="preserve"> all patients. </w:t>
      </w:r>
      <w:r w:rsidR="006D30CB" w:rsidRPr="009C14A2">
        <w:rPr>
          <w:rFonts w:asciiTheme="minorHAnsi" w:eastAsiaTheme="minorHAnsi" w:hAnsiTheme="minorHAnsi" w:cstheme="minorHAnsi"/>
          <w:szCs w:val="22"/>
        </w:rPr>
        <w:t>Testing for biomarkers including PD-L1</w:t>
      </w:r>
      <w:r w:rsidR="00737287" w:rsidRPr="009C14A2">
        <w:rPr>
          <w:rFonts w:asciiTheme="minorHAnsi" w:eastAsiaTheme="minorHAnsi" w:hAnsiTheme="minorHAnsi" w:cstheme="minorHAnsi"/>
          <w:szCs w:val="22"/>
        </w:rPr>
        <w:t xml:space="preserve"> and TMB (tumour mutational burden)</w:t>
      </w:r>
      <w:r w:rsidR="006D30CB" w:rsidRPr="009C14A2">
        <w:rPr>
          <w:rFonts w:asciiTheme="minorHAnsi" w:eastAsiaTheme="minorHAnsi" w:hAnsiTheme="minorHAnsi" w:cstheme="minorHAnsi"/>
          <w:szCs w:val="22"/>
        </w:rPr>
        <w:t xml:space="preserve"> may be useful in some cancers but the results are variable</w:t>
      </w:r>
      <w:r w:rsidR="00737287" w:rsidRPr="009C14A2">
        <w:rPr>
          <w:rFonts w:asciiTheme="minorHAnsi" w:eastAsiaTheme="minorHAnsi" w:hAnsiTheme="minorHAnsi" w:cstheme="minorHAnsi"/>
          <w:szCs w:val="22"/>
        </w:rPr>
        <w:t xml:space="preserve"> and research is still being undertaken to identify and validate accurate biomarkers</w:t>
      </w:r>
      <w:r w:rsidR="006D30CB" w:rsidRPr="009C14A2">
        <w:rPr>
          <w:rFonts w:asciiTheme="minorHAnsi" w:eastAsiaTheme="minorHAnsi" w:hAnsiTheme="minorHAnsi" w:cstheme="minorHAnsi"/>
          <w:szCs w:val="22"/>
        </w:rPr>
        <w:t xml:space="preserve">. </w:t>
      </w:r>
      <w:r w:rsidRPr="009C14A2">
        <w:rPr>
          <w:rFonts w:asciiTheme="minorHAnsi" w:eastAsiaTheme="minorHAnsi" w:hAnsiTheme="minorHAnsi" w:cstheme="minorHAnsi"/>
          <w:szCs w:val="22"/>
        </w:rPr>
        <w:t xml:space="preserve"> Clinical studies of checkpoint inhibitors are continuing in a range of different cancers</w:t>
      </w:r>
      <w:r w:rsidR="000F165D" w:rsidRPr="009C14A2">
        <w:rPr>
          <w:rFonts w:asciiTheme="minorHAnsi" w:eastAsiaTheme="minorHAnsi" w:hAnsiTheme="minorHAnsi" w:cstheme="minorHAnsi"/>
          <w:szCs w:val="22"/>
        </w:rPr>
        <w:t>.</w:t>
      </w:r>
      <w:r w:rsidRPr="009C14A2">
        <w:rPr>
          <w:rFonts w:asciiTheme="minorHAnsi" w:eastAsiaTheme="minorHAnsi" w:hAnsiTheme="minorHAnsi" w:cstheme="minorHAnsi"/>
          <w:szCs w:val="22"/>
        </w:rPr>
        <w:t xml:space="preserve">  In some studies, the checkpoint inhibitor is </w:t>
      </w:r>
      <w:r w:rsidR="00737287" w:rsidRPr="009C14A2">
        <w:rPr>
          <w:rFonts w:asciiTheme="minorHAnsi" w:eastAsiaTheme="minorHAnsi" w:hAnsiTheme="minorHAnsi" w:cstheme="minorHAnsi"/>
          <w:szCs w:val="22"/>
        </w:rPr>
        <w:t xml:space="preserve">used as monotherapy, and in others </w:t>
      </w:r>
      <w:r w:rsidRPr="009C14A2">
        <w:rPr>
          <w:rFonts w:asciiTheme="minorHAnsi" w:eastAsiaTheme="minorHAnsi" w:hAnsiTheme="minorHAnsi" w:cstheme="minorHAnsi"/>
          <w:szCs w:val="22"/>
        </w:rPr>
        <w:t xml:space="preserve">combined with </w:t>
      </w:r>
      <w:r w:rsidR="00737287" w:rsidRPr="009C14A2">
        <w:rPr>
          <w:rFonts w:asciiTheme="minorHAnsi" w:eastAsiaTheme="minorHAnsi" w:hAnsiTheme="minorHAnsi" w:cstheme="minorHAnsi"/>
          <w:szCs w:val="22"/>
        </w:rPr>
        <w:t>anti-</w:t>
      </w:r>
      <w:r w:rsidRPr="009C14A2">
        <w:rPr>
          <w:rFonts w:asciiTheme="minorHAnsi" w:eastAsiaTheme="minorHAnsi" w:hAnsiTheme="minorHAnsi" w:cstheme="minorHAnsi"/>
          <w:szCs w:val="22"/>
        </w:rPr>
        <w:t>cancer</w:t>
      </w:r>
      <w:r w:rsidR="002575D3" w:rsidRPr="009C14A2">
        <w:rPr>
          <w:rFonts w:asciiTheme="minorHAnsi" w:eastAsiaTheme="minorHAnsi" w:hAnsiTheme="minorHAnsi" w:cstheme="minorHAnsi"/>
          <w:szCs w:val="22"/>
        </w:rPr>
        <w:t xml:space="preserve"> </w:t>
      </w:r>
      <w:r w:rsidR="00737287" w:rsidRPr="009C14A2">
        <w:rPr>
          <w:rFonts w:asciiTheme="minorHAnsi" w:eastAsiaTheme="minorHAnsi" w:hAnsiTheme="minorHAnsi" w:cstheme="minorHAnsi"/>
          <w:szCs w:val="22"/>
        </w:rPr>
        <w:lastRenderedPageBreak/>
        <w:t>therapy such as chemotherapy or radiotherapy</w:t>
      </w:r>
      <w:r w:rsidR="00DB2EE9" w:rsidRPr="009C14A2">
        <w:rPr>
          <w:rFonts w:asciiTheme="minorHAnsi" w:eastAsiaTheme="minorHAnsi" w:hAnsiTheme="minorHAnsi" w:cstheme="minorHAnsi"/>
          <w:szCs w:val="22"/>
        </w:rPr>
        <w:t>.</w:t>
      </w:r>
      <w:r w:rsidR="000F165D" w:rsidRPr="009C14A2">
        <w:rPr>
          <w:rFonts w:asciiTheme="minorHAnsi" w:eastAsiaTheme="minorHAnsi" w:hAnsiTheme="minorHAnsi" w:cstheme="minorHAnsi"/>
          <w:szCs w:val="22"/>
        </w:rPr>
        <w:t xml:space="preserve">  Importantly, checkpoint inhibitor therapy</w:t>
      </w:r>
      <w:r w:rsidR="00737287" w:rsidRPr="009C14A2">
        <w:rPr>
          <w:rFonts w:asciiTheme="minorHAnsi" w:eastAsiaTheme="minorHAnsi" w:hAnsiTheme="minorHAnsi" w:cstheme="minorHAnsi"/>
          <w:szCs w:val="22"/>
        </w:rPr>
        <w:t xml:space="preserve"> has been shown to be ineffective in some types</w:t>
      </w:r>
      <w:r w:rsidR="00BE1E25" w:rsidRPr="009C14A2">
        <w:rPr>
          <w:rFonts w:asciiTheme="minorHAnsi" w:eastAsiaTheme="minorHAnsi" w:hAnsiTheme="minorHAnsi" w:cstheme="minorHAnsi"/>
          <w:szCs w:val="22"/>
        </w:rPr>
        <w:t xml:space="preserve"> of cancer</w:t>
      </w:r>
      <w:r w:rsidR="00737287" w:rsidRPr="009C14A2">
        <w:rPr>
          <w:rFonts w:asciiTheme="minorHAnsi" w:eastAsiaTheme="minorHAnsi" w:hAnsiTheme="minorHAnsi" w:cstheme="minorHAnsi"/>
          <w:szCs w:val="22"/>
        </w:rPr>
        <w:t xml:space="preserve"> and in some </w:t>
      </w:r>
      <w:r w:rsidR="00BE1E25" w:rsidRPr="009C14A2">
        <w:rPr>
          <w:rFonts w:asciiTheme="minorHAnsi" w:eastAsiaTheme="minorHAnsi" w:hAnsiTheme="minorHAnsi" w:cstheme="minorHAnsi"/>
          <w:szCs w:val="22"/>
        </w:rPr>
        <w:t xml:space="preserve">other </w:t>
      </w:r>
      <w:r w:rsidR="00737287" w:rsidRPr="009C14A2">
        <w:rPr>
          <w:rFonts w:asciiTheme="minorHAnsi" w:eastAsiaTheme="minorHAnsi" w:hAnsiTheme="minorHAnsi" w:cstheme="minorHAnsi"/>
          <w:szCs w:val="22"/>
        </w:rPr>
        <w:t xml:space="preserve">cancer types, </w:t>
      </w:r>
      <w:r w:rsidR="000750FC" w:rsidRPr="009C14A2">
        <w:rPr>
          <w:rFonts w:asciiTheme="minorHAnsi" w:eastAsiaTheme="minorHAnsi" w:hAnsiTheme="minorHAnsi" w:cstheme="minorHAnsi"/>
          <w:szCs w:val="22"/>
        </w:rPr>
        <w:t xml:space="preserve">to be </w:t>
      </w:r>
      <w:r w:rsidR="00737287" w:rsidRPr="009C14A2">
        <w:rPr>
          <w:rFonts w:asciiTheme="minorHAnsi" w:eastAsiaTheme="minorHAnsi" w:hAnsiTheme="minorHAnsi" w:cstheme="minorHAnsi"/>
          <w:szCs w:val="22"/>
        </w:rPr>
        <w:t>less effective than standard anti-cancer therapies</w:t>
      </w:r>
      <w:r w:rsidR="000F165D" w:rsidRPr="009C14A2">
        <w:rPr>
          <w:rFonts w:asciiTheme="minorHAnsi" w:eastAsiaTheme="minorHAnsi" w:hAnsiTheme="minorHAnsi" w:cstheme="minorHAnsi"/>
          <w:szCs w:val="22"/>
        </w:rPr>
        <w:t>.</w:t>
      </w:r>
    </w:p>
    <w:p w14:paraId="481B885F" w14:textId="77777777" w:rsidR="006D30CB" w:rsidRPr="005D4886" w:rsidRDefault="006D30CB" w:rsidP="00417BF5">
      <w:pPr>
        <w:pStyle w:val="ListParagraph"/>
        <w:jc w:val="left"/>
        <w:rPr>
          <w:rFonts w:asciiTheme="minorHAnsi" w:eastAsiaTheme="minorHAnsi" w:hAnsiTheme="minorHAnsi" w:cstheme="minorHAnsi"/>
          <w:b/>
          <w:szCs w:val="22"/>
        </w:rPr>
      </w:pPr>
    </w:p>
    <w:p w14:paraId="634B840B" w14:textId="6BA7DD91" w:rsidR="00B103FC" w:rsidRPr="009C14A2" w:rsidRDefault="006F2AF6"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 xml:space="preserve">The Pharmaceutical Benefits Scheme (PBS) currently provides subsidised access to checkpoint inhibitors for certain patients with </w:t>
      </w:r>
      <w:r w:rsidR="0095782E" w:rsidRPr="009C14A2">
        <w:rPr>
          <w:rFonts w:asciiTheme="minorHAnsi" w:eastAsiaTheme="minorHAnsi" w:hAnsiTheme="minorHAnsi" w:cstheme="minorHAnsi"/>
          <w:szCs w:val="22"/>
        </w:rPr>
        <w:t xml:space="preserve">classical </w:t>
      </w:r>
      <w:r w:rsidRPr="009C14A2">
        <w:rPr>
          <w:rFonts w:asciiTheme="minorHAnsi" w:eastAsiaTheme="minorHAnsi" w:hAnsiTheme="minorHAnsi" w:cstheme="minorHAnsi"/>
          <w:szCs w:val="22"/>
        </w:rPr>
        <w:t xml:space="preserve">Hodgkin lymphoma, lung cancer, kidney cancer and melanoma. </w:t>
      </w:r>
      <w:r w:rsidR="00845D6C" w:rsidRPr="009C14A2">
        <w:rPr>
          <w:rFonts w:asciiTheme="minorHAnsi" w:eastAsiaTheme="minorHAnsi" w:hAnsiTheme="minorHAnsi" w:cstheme="minorHAnsi"/>
          <w:szCs w:val="22"/>
        </w:rPr>
        <w:t>Subsidy is available for people whose cancer is advanced or metastatic or has relapsed following other treatments.</w:t>
      </w:r>
      <w:r w:rsidR="007968F0" w:rsidRPr="009C14A2">
        <w:rPr>
          <w:rFonts w:asciiTheme="minorHAnsi" w:eastAsiaTheme="minorHAnsi" w:hAnsiTheme="minorHAnsi" w:cstheme="minorHAnsi"/>
          <w:szCs w:val="22"/>
        </w:rPr>
        <w:t xml:space="preserve"> </w:t>
      </w:r>
      <w:r w:rsidRPr="009C14A2">
        <w:rPr>
          <w:rFonts w:asciiTheme="minorHAnsi" w:eastAsiaTheme="minorHAnsi" w:hAnsiTheme="minorHAnsi" w:cstheme="minorHAnsi"/>
          <w:szCs w:val="22"/>
        </w:rPr>
        <w:t>It is expected that PBS subsidy may soon be extended to provide access to certain patients with head and neck cancer</w:t>
      </w:r>
      <w:r w:rsidR="00B103FC" w:rsidRPr="009C14A2">
        <w:rPr>
          <w:rFonts w:eastAsiaTheme="minorHAnsi"/>
          <w:szCs w:val="22"/>
          <w:vertAlign w:val="superscript"/>
        </w:rPr>
        <w:endnoteReference w:id="2"/>
      </w:r>
      <w:r w:rsidR="00B103FC" w:rsidRPr="009C14A2">
        <w:rPr>
          <w:rFonts w:asciiTheme="minorHAnsi" w:eastAsiaTheme="minorHAnsi" w:hAnsiTheme="minorHAnsi" w:cstheme="minorHAnsi"/>
          <w:szCs w:val="22"/>
        </w:rPr>
        <w:t xml:space="preserve">. </w:t>
      </w:r>
      <w:r w:rsidR="00737287" w:rsidRPr="009C14A2">
        <w:rPr>
          <w:rFonts w:asciiTheme="minorHAnsi" w:eastAsiaTheme="minorHAnsi" w:hAnsiTheme="minorHAnsi" w:cstheme="minorHAnsi"/>
          <w:szCs w:val="22"/>
        </w:rPr>
        <w:t>In these types</w:t>
      </w:r>
      <w:r w:rsidR="00BE1E25" w:rsidRPr="009C14A2">
        <w:rPr>
          <w:rFonts w:asciiTheme="minorHAnsi" w:eastAsiaTheme="minorHAnsi" w:hAnsiTheme="minorHAnsi" w:cstheme="minorHAnsi"/>
          <w:szCs w:val="22"/>
        </w:rPr>
        <w:t xml:space="preserve"> of cancer</w:t>
      </w:r>
      <w:r w:rsidR="00737287" w:rsidRPr="009C14A2">
        <w:rPr>
          <w:rFonts w:asciiTheme="minorHAnsi" w:eastAsiaTheme="minorHAnsi" w:hAnsiTheme="minorHAnsi" w:cstheme="minorHAnsi"/>
          <w:szCs w:val="22"/>
        </w:rPr>
        <w:t xml:space="preserve">, evidence from clinical trials has demonstrated </w:t>
      </w:r>
      <w:r w:rsidR="0085692A" w:rsidRPr="009C14A2">
        <w:rPr>
          <w:rFonts w:asciiTheme="minorHAnsi" w:eastAsiaTheme="minorHAnsi" w:hAnsiTheme="minorHAnsi" w:cstheme="minorHAnsi"/>
          <w:szCs w:val="22"/>
        </w:rPr>
        <w:t xml:space="preserve">effectiveness and </w:t>
      </w:r>
      <w:r w:rsidR="00737287" w:rsidRPr="009C14A2">
        <w:rPr>
          <w:rFonts w:asciiTheme="minorHAnsi" w:eastAsiaTheme="minorHAnsi" w:hAnsiTheme="minorHAnsi" w:cstheme="minorHAnsi"/>
          <w:szCs w:val="22"/>
        </w:rPr>
        <w:t>benefit of checkpoint inhibitors</w:t>
      </w:r>
      <w:r w:rsidR="0085692A" w:rsidRPr="009C14A2">
        <w:rPr>
          <w:rFonts w:asciiTheme="minorHAnsi" w:eastAsiaTheme="minorHAnsi" w:hAnsiTheme="minorHAnsi" w:cstheme="minorHAnsi"/>
          <w:szCs w:val="22"/>
        </w:rPr>
        <w:t xml:space="preserve"> compared to prior standard of care therapy.</w:t>
      </w:r>
    </w:p>
    <w:p w14:paraId="63158A89" w14:textId="77777777" w:rsidR="00B103FC" w:rsidRPr="009C14A2" w:rsidRDefault="00B103FC" w:rsidP="009C14A2">
      <w:pPr>
        <w:pStyle w:val="ListParagraph"/>
        <w:jc w:val="left"/>
        <w:rPr>
          <w:rFonts w:asciiTheme="minorHAnsi" w:eastAsiaTheme="minorHAnsi" w:hAnsiTheme="minorHAnsi" w:cstheme="minorHAnsi"/>
          <w:szCs w:val="22"/>
        </w:rPr>
      </w:pPr>
    </w:p>
    <w:p w14:paraId="1832D2C5" w14:textId="06BF8C89" w:rsidR="00193801" w:rsidRPr="009C14A2" w:rsidRDefault="00B103FC"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 xml:space="preserve">Applications for PBS subsidy of PD-1 and PD-L1 checkpoint inhibitors for certain patients with Merkel Cell Cancer and bladder cancer are currently being considered by the Pharmaceutical Benefits Advisory Committee (PBAC).  </w:t>
      </w:r>
      <w:r w:rsidR="0085692A" w:rsidRPr="009C14A2">
        <w:rPr>
          <w:rFonts w:asciiTheme="minorHAnsi" w:eastAsiaTheme="minorHAnsi" w:hAnsiTheme="minorHAnsi" w:cstheme="minorHAnsi"/>
          <w:szCs w:val="22"/>
        </w:rPr>
        <w:t>Also under consideration are a</w:t>
      </w:r>
      <w:r w:rsidRPr="009C14A2">
        <w:rPr>
          <w:rFonts w:asciiTheme="minorHAnsi" w:eastAsiaTheme="minorHAnsi" w:hAnsiTheme="minorHAnsi" w:cstheme="minorHAnsi"/>
          <w:szCs w:val="22"/>
        </w:rPr>
        <w:t xml:space="preserve">pplications to expand the patient groups eligible for subsidised access to PD-1 and PD-L1 checkpoint inhibitors for melanoma and lung cancer, and to allow combined use of a checkpoint inhibitor and </w:t>
      </w:r>
      <w:proofErr w:type="spellStart"/>
      <w:r w:rsidRPr="009C14A2">
        <w:rPr>
          <w:rFonts w:asciiTheme="minorHAnsi" w:eastAsiaTheme="minorHAnsi" w:hAnsiTheme="minorHAnsi" w:cstheme="minorHAnsi"/>
          <w:szCs w:val="22"/>
        </w:rPr>
        <w:t>ipilimumab</w:t>
      </w:r>
      <w:proofErr w:type="spellEnd"/>
      <w:r w:rsidRPr="009C14A2">
        <w:rPr>
          <w:rFonts w:asciiTheme="minorHAnsi" w:eastAsiaTheme="minorHAnsi" w:hAnsiTheme="minorHAnsi" w:cstheme="minorHAnsi"/>
          <w:szCs w:val="22"/>
        </w:rPr>
        <w:t xml:space="preserve"> (</w:t>
      </w:r>
      <w:proofErr w:type="spellStart"/>
      <w:r w:rsidRPr="009C14A2">
        <w:rPr>
          <w:rFonts w:asciiTheme="minorHAnsi" w:eastAsiaTheme="minorHAnsi" w:hAnsiTheme="minorHAnsi" w:cstheme="minorHAnsi"/>
          <w:szCs w:val="22"/>
        </w:rPr>
        <w:t>Yervoy</w:t>
      </w:r>
      <w:proofErr w:type="spellEnd"/>
      <w:r w:rsidRPr="009C14A2">
        <w:rPr>
          <w:rFonts w:asciiTheme="minorHAnsi" w:eastAsiaTheme="minorHAnsi" w:hAnsiTheme="minorHAnsi" w:cstheme="minorHAnsi"/>
          <w:szCs w:val="22"/>
        </w:rPr>
        <w:t>®) in some melanoma and kidney cancer patients</w:t>
      </w:r>
      <w:r w:rsidR="00BE1E25" w:rsidRPr="009C14A2">
        <w:rPr>
          <w:rFonts w:eastAsiaTheme="minorHAnsi"/>
          <w:szCs w:val="22"/>
          <w:vertAlign w:val="superscript"/>
        </w:rPr>
        <w:endnoteReference w:id="3"/>
      </w:r>
      <w:r w:rsidR="0085692A" w:rsidRPr="009C14A2">
        <w:rPr>
          <w:rFonts w:asciiTheme="minorHAnsi" w:eastAsiaTheme="minorHAnsi" w:hAnsiTheme="minorHAnsi" w:cstheme="minorHAnsi"/>
          <w:szCs w:val="22"/>
        </w:rPr>
        <w:t>.</w:t>
      </w:r>
    </w:p>
    <w:p w14:paraId="4152EAC9" w14:textId="77777777" w:rsidR="00175529" w:rsidRDefault="00175529" w:rsidP="007B4423">
      <w:pPr>
        <w:rPr>
          <w:rFonts w:eastAsiaTheme="minorHAnsi"/>
        </w:rPr>
      </w:pPr>
    </w:p>
    <w:p w14:paraId="70CC9C37" w14:textId="1E6651B5" w:rsidR="00D64270" w:rsidRPr="009C14A2" w:rsidRDefault="00452398"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 xml:space="preserve">The PBAC is aware that the Department has received two preliminary </w:t>
      </w:r>
      <w:r w:rsidR="00193801" w:rsidRPr="009C14A2">
        <w:rPr>
          <w:rFonts w:asciiTheme="minorHAnsi" w:eastAsiaTheme="minorHAnsi" w:hAnsiTheme="minorHAnsi" w:cstheme="minorHAnsi"/>
          <w:szCs w:val="22"/>
        </w:rPr>
        <w:t>proposals for multi-tumour approaches</w:t>
      </w:r>
      <w:r w:rsidRPr="009C14A2">
        <w:rPr>
          <w:rFonts w:asciiTheme="minorHAnsi" w:eastAsiaTheme="minorHAnsi" w:hAnsiTheme="minorHAnsi" w:cstheme="minorHAnsi"/>
          <w:szCs w:val="22"/>
        </w:rPr>
        <w:t xml:space="preserve">. </w:t>
      </w:r>
      <w:r w:rsidR="00193801" w:rsidRPr="009C14A2">
        <w:rPr>
          <w:rFonts w:asciiTheme="minorHAnsi" w:eastAsiaTheme="minorHAnsi" w:hAnsiTheme="minorHAnsi" w:cstheme="minorHAnsi"/>
          <w:szCs w:val="22"/>
        </w:rPr>
        <w:t xml:space="preserve">  One propos</w:t>
      </w:r>
      <w:r w:rsidRPr="009C14A2">
        <w:rPr>
          <w:rFonts w:asciiTheme="minorHAnsi" w:eastAsiaTheme="minorHAnsi" w:hAnsiTheme="minorHAnsi" w:cstheme="minorHAnsi"/>
          <w:szCs w:val="22"/>
        </w:rPr>
        <w:t>al makes</w:t>
      </w:r>
      <w:r w:rsidR="00193801" w:rsidRPr="009C14A2">
        <w:rPr>
          <w:rFonts w:asciiTheme="minorHAnsi" w:eastAsiaTheme="minorHAnsi" w:hAnsiTheme="minorHAnsi" w:cstheme="minorHAnsi"/>
          <w:szCs w:val="22"/>
        </w:rPr>
        <w:t xml:space="preserve"> no changes to the PBAC process.  The second </w:t>
      </w:r>
      <w:r w:rsidRPr="009C14A2">
        <w:rPr>
          <w:rFonts w:asciiTheme="minorHAnsi" w:eastAsiaTheme="minorHAnsi" w:hAnsiTheme="minorHAnsi" w:cstheme="minorHAnsi"/>
          <w:szCs w:val="22"/>
        </w:rPr>
        <w:t>proposal</w:t>
      </w:r>
      <w:r w:rsidR="00193801" w:rsidRPr="009C14A2">
        <w:rPr>
          <w:rFonts w:asciiTheme="minorHAnsi" w:eastAsiaTheme="minorHAnsi" w:hAnsiTheme="minorHAnsi" w:cstheme="minorHAnsi"/>
          <w:szCs w:val="22"/>
        </w:rPr>
        <w:t xml:space="preserve"> </w:t>
      </w:r>
      <w:r w:rsidRPr="009C14A2">
        <w:rPr>
          <w:rFonts w:asciiTheme="minorHAnsi" w:eastAsiaTheme="minorHAnsi" w:hAnsiTheme="minorHAnsi" w:cstheme="minorHAnsi"/>
          <w:szCs w:val="22"/>
        </w:rPr>
        <w:t>sees the</w:t>
      </w:r>
      <w:r w:rsidR="00193801" w:rsidRPr="009C14A2">
        <w:rPr>
          <w:rFonts w:asciiTheme="minorHAnsi" w:eastAsiaTheme="minorHAnsi" w:hAnsiTheme="minorHAnsi" w:cstheme="minorHAnsi"/>
          <w:szCs w:val="22"/>
        </w:rPr>
        <w:t xml:space="preserve"> PBAC </w:t>
      </w:r>
      <w:r w:rsidR="00D64270" w:rsidRPr="009C14A2">
        <w:rPr>
          <w:rFonts w:asciiTheme="minorHAnsi" w:eastAsiaTheme="minorHAnsi" w:hAnsiTheme="minorHAnsi" w:cstheme="minorHAnsi"/>
          <w:szCs w:val="22"/>
        </w:rPr>
        <w:t>determine</w:t>
      </w:r>
      <w:r w:rsidR="00193801" w:rsidRPr="009C14A2">
        <w:rPr>
          <w:rFonts w:asciiTheme="minorHAnsi" w:eastAsiaTheme="minorHAnsi" w:hAnsiTheme="minorHAnsi" w:cstheme="minorHAnsi"/>
          <w:szCs w:val="22"/>
        </w:rPr>
        <w:t xml:space="preserve"> an </w:t>
      </w:r>
      <w:r w:rsidR="00D64270" w:rsidRPr="009C14A2">
        <w:rPr>
          <w:rFonts w:asciiTheme="minorHAnsi" w:eastAsiaTheme="minorHAnsi" w:hAnsiTheme="minorHAnsi" w:cstheme="minorHAnsi"/>
          <w:szCs w:val="22"/>
        </w:rPr>
        <w:t xml:space="preserve">average price for this class of medicines that would apply to a pre-specified range of indications for a pre-specified period of time.  Medicines in the class would then be added to the PBS as soon as practical following registration.  The </w:t>
      </w:r>
      <w:r w:rsidRPr="009C14A2">
        <w:rPr>
          <w:rFonts w:asciiTheme="minorHAnsi" w:eastAsiaTheme="minorHAnsi" w:hAnsiTheme="minorHAnsi" w:cstheme="minorHAnsi"/>
          <w:szCs w:val="22"/>
        </w:rPr>
        <w:t>proposal</w:t>
      </w:r>
      <w:r w:rsidR="00D64270" w:rsidRPr="009C14A2">
        <w:rPr>
          <w:rFonts w:asciiTheme="minorHAnsi" w:eastAsiaTheme="minorHAnsi" w:hAnsiTheme="minorHAnsi" w:cstheme="minorHAnsi"/>
          <w:szCs w:val="22"/>
        </w:rPr>
        <w:t xml:space="preserve"> does not detail how the PBAC would determine the average price.</w:t>
      </w:r>
    </w:p>
    <w:p w14:paraId="7491E336" w14:textId="77777777" w:rsidR="00D64270" w:rsidRPr="009C14A2" w:rsidRDefault="00D64270" w:rsidP="009C14A2">
      <w:pPr>
        <w:pStyle w:val="ListParagraph"/>
        <w:jc w:val="left"/>
        <w:rPr>
          <w:rFonts w:asciiTheme="minorHAnsi" w:eastAsiaTheme="minorHAnsi" w:hAnsiTheme="minorHAnsi" w:cstheme="minorHAnsi"/>
          <w:szCs w:val="22"/>
        </w:rPr>
      </w:pPr>
    </w:p>
    <w:p w14:paraId="1BC68AED" w14:textId="077FD6FC" w:rsidR="006D30CB" w:rsidRPr="009C14A2" w:rsidRDefault="00D64270"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Both propos</w:t>
      </w:r>
      <w:r w:rsidR="00452398" w:rsidRPr="009C14A2">
        <w:rPr>
          <w:rFonts w:asciiTheme="minorHAnsi" w:eastAsiaTheme="minorHAnsi" w:hAnsiTheme="minorHAnsi" w:cstheme="minorHAnsi"/>
          <w:szCs w:val="22"/>
        </w:rPr>
        <w:t>als suggest</w:t>
      </w:r>
      <w:r w:rsidRPr="009C14A2">
        <w:rPr>
          <w:rFonts w:asciiTheme="minorHAnsi" w:eastAsiaTheme="minorHAnsi" w:hAnsiTheme="minorHAnsi" w:cstheme="minorHAnsi"/>
          <w:szCs w:val="22"/>
        </w:rPr>
        <w:t xml:space="preserve"> price-volume arrangements to manage the overall cost to Government.  Pre-specifying a price volume arrangement has the potential to simplify Government processes after a positive PBAC recommendation, but requires agreement on a range of matters that are usually considered within the PBAC evaluation process.</w:t>
      </w:r>
    </w:p>
    <w:p w14:paraId="2ACC66C3" w14:textId="77777777" w:rsidR="006D30CB" w:rsidRPr="009C14A2" w:rsidRDefault="006D30CB" w:rsidP="009C14A2">
      <w:pPr>
        <w:pStyle w:val="ListParagraph"/>
        <w:jc w:val="left"/>
        <w:rPr>
          <w:rFonts w:asciiTheme="minorHAnsi" w:eastAsiaTheme="minorHAnsi" w:hAnsiTheme="minorHAnsi" w:cstheme="minorHAnsi"/>
          <w:szCs w:val="22"/>
        </w:rPr>
      </w:pPr>
    </w:p>
    <w:p w14:paraId="718F7A6D" w14:textId="269EFF74" w:rsidR="00175529" w:rsidRPr="009C14A2" w:rsidRDefault="006D30CB" w:rsidP="009C14A2">
      <w:pPr>
        <w:pStyle w:val="ListParagraph"/>
        <w:numPr>
          <w:ilvl w:val="1"/>
          <w:numId w:val="2"/>
        </w:numPr>
        <w:jc w:val="left"/>
        <w:rPr>
          <w:rFonts w:asciiTheme="minorHAnsi" w:eastAsiaTheme="minorHAnsi" w:hAnsiTheme="minorHAnsi" w:cstheme="minorHAnsi"/>
          <w:szCs w:val="22"/>
        </w:rPr>
      </w:pPr>
      <w:r w:rsidRPr="009C14A2">
        <w:rPr>
          <w:rFonts w:asciiTheme="minorHAnsi" w:eastAsiaTheme="minorHAnsi" w:hAnsiTheme="minorHAnsi" w:cstheme="minorHAnsi"/>
          <w:szCs w:val="22"/>
        </w:rPr>
        <w:t>It has also been proposed</w:t>
      </w:r>
      <w:r w:rsidR="0036736B" w:rsidRPr="009C14A2">
        <w:rPr>
          <w:rFonts w:asciiTheme="minorHAnsi" w:eastAsiaTheme="minorHAnsi" w:hAnsiTheme="minorHAnsi" w:cstheme="minorHAnsi"/>
          <w:szCs w:val="22"/>
        </w:rPr>
        <w:t xml:space="preserve"> by some stakeholders</w:t>
      </w:r>
      <w:r w:rsidRPr="009C14A2">
        <w:rPr>
          <w:rFonts w:asciiTheme="minorHAnsi" w:eastAsiaTheme="minorHAnsi" w:hAnsiTheme="minorHAnsi" w:cstheme="minorHAnsi"/>
          <w:szCs w:val="22"/>
        </w:rPr>
        <w:t xml:space="preserve"> that a multi-tumour approach should allow</w:t>
      </w:r>
      <w:r w:rsidR="000D1EED" w:rsidRPr="009C14A2">
        <w:rPr>
          <w:rFonts w:asciiTheme="minorHAnsi" w:eastAsiaTheme="minorHAnsi" w:hAnsiTheme="minorHAnsi" w:cstheme="minorHAnsi"/>
          <w:szCs w:val="22"/>
        </w:rPr>
        <w:t xml:space="preserve"> subsidised</w:t>
      </w:r>
      <w:r w:rsidRPr="009C14A2">
        <w:rPr>
          <w:rFonts w:asciiTheme="minorHAnsi" w:eastAsiaTheme="minorHAnsi" w:hAnsiTheme="minorHAnsi" w:cstheme="minorHAnsi"/>
          <w:szCs w:val="22"/>
        </w:rPr>
        <w:t xml:space="preserve"> access to PD-1 and PD</w:t>
      </w:r>
      <w:r w:rsidRPr="009C14A2">
        <w:rPr>
          <w:rFonts w:asciiTheme="minorHAnsi" w:eastAsiaTheme="minorHAnsi" w:hAnsiTheme="minorHAnsi" w:cstheme="minorHAnsi"/>
          <w:szCs w:val="22"/>
        </w:rPr>
        <w:noBreakHyphen/>
        <w:t xml:space="preserve">L1 inhibitors to patients with rarer cancers where </w:t>
      </w:r>
      <w:r w:rsidR="00494AA2" w:rsidRPr="009C14A2">
        <w:rPr>
          <w:rFonts w:asciiTheme="minorHAnsi" w:eastAsiaTheme="minorHAnsi" w:hAnsiTheme="minorHAnsi" w:cstheme="minorHAnsi"/>
          <w:szCs w:val="22"/>
        </w:rPr>
        <w:t xml:space="preserve">usual </w:t>
      </w:r>
      <w:r w:rsidRPr="009C14A2">
        <w:rPr>
          <w:rFonts w:asciiTheme="minorHAnsi" w:eastAsiaTheme="minorHAnsi" w:hAnsiTheme="minorHAnsi" w:cstheme="minorHAnsi"/>
          <w:szCs w:val="22"/>
        </w:rPr>
        <w:t>evidence of effectiveness may take a long time to gather</w:t>
      </w:r>
      <w:r w:rsidR="00BE1E25" w:rsidRPr="009C14A2">
        <w:rPr>
          <w:rFonts w:asciiTheme="minorHAnsi" w:eastAsiaTheme="minorHAnsi" w:hAnsiTheme="minorHAnsi" w:cstheme="minorHAnsi"/>
          <w:szCs w:val="22"/>
        </w:rPr>
        <w:t>.</w:t>
      </w:r>
    </w:p>
    <w:p w14:paraId="527E350C" w14:textId="77777777" w:rsidR="00D64270" w:rsidRDefault="00D64270" w:rsidP="007B4423">
      <w:pPr>
        <w:rPr>
          <w:rFonts w:eastAsiaTheme="minorHAnsi"/>
        </w:rPr>
      </w:pPr>
    </w:p>
    <w:p w14:paraId="4EC5F73C" w14:textId="77777777" w:rsidR="00B103FC" w:rsidRDefault="00B103FC" w:rsidP="00417BF5">
      <w:pPr>
        <w:pStyle w:val="PBACHeading1"/>
        <w:spacing w:before="240" w:after="120"/>
        <w:ind w:left="709" w:hanging="709"/>
        <w:rPr>
          <w:rFonts w:asciiTheme="minorHAnsi" w:hAnsiTheme="minorHAnsi" w:cstheme="minorHAnsi"/>
          <w:sz w:val="32"/>
          <w:szCs w:val="32"/>
        </w:rPr>
      </w:pPr>
      <w:r w:rsidRPr="0066451A">
        <w:rPr>
          <w:rFonts w:asciiTheme="minorHAnsi" w:hAnsiTheme="minorHAnsi" w:cstheme="minorHAnsi"/>
          <w:sz w:val="32"/>
          <w:szCs w:val="32"/>
        </w:rPr>
        <w:t xml:space="preserve">Health Technology Assessment (HTA) </w:t>
      </w:r>
      <w:r>
        <w:rPr>
          <w:rFonts w:asciiTheme="minorHAnsi" w:hAnsiTheme="minorHAnsi" w:cstheme="minorHAnsi"/>
          <w:sz w:val="32"/>
          <w:szCs w:val="32"/>
        </w:rPr>
        <w:t xml:space="preserve"> and the Pharmaceutical Benefits Advisory Committee (PBAC)</w:t>
      </w:r>
    </w:p>
    <w:p w14:paraId="1BAA8587" w14:textId="77777777" w:rsidR="00B103FC" w:rsidRPr="00291F38" w:rsidRDefault="00B103FC" w:rsidP="00291F38">
      <w:pPr>
        <w:pStyle w:val="ListParagraph"/>
        <w:widowControl/>
        <w:numPr>
          <w:ilvl w:val="1"/>
          <w:numId w:val="2"/>
        </w:numPr>
        <w:spacing w:before="120" w:after="160"/>
        <w:jc w:val="left"/>
        <w:rPr>
          <w:rFonts w:asciiTheme="minorHAnsi" w:hAnsiTheme="minorHAnsi" w:cstheme="minorHAnsi"/>
          <w:szCs w:val="22"/>
        </w:rPr>
      </w:pPr>
      <w:r w:rsidRPr="005D4886">
        <w:rPr>
          <w:rFonts w:asciiTheme="minorHAnsi" w:eastAsiaTheme="minorHAnsi" w:hAnsiTheme="minorHAnsi" w:cstheme="minorHAnsi"/>
          <w:snapToGrid/>
          <w:szCs w:val="22"/>
        </w:rPr>
        <w:t>The HTA process plays a vital role in ensuring the Australian Governments’ objective of delivering a safe, effective and efficient health care system. </w:t>
      </w:r>
      <w:r>
        <w:rPr>
          <w:rFonts w:asciiTheme="minorHAnsi" w:eastAsiaTheme="minorHAnsi" w:hAnsiTheme="minorHAnsi" w:cstheme="minorHAnsi"/>
          <w:snapToGrid/>
          <w:szCs w:val="22"/>
        </w:rPr>
        <w:t xml:space="preserve">The goal of </w:t>
      </w:r>
      <w:r w:rsidR="00291F38" w:rsidRPr="00291F38">
        <w:rPr>
          <w:rFonts w:asciiTheme="minorHAnsi" w:eastAsiaTheme="minorHAnsi" w:hAnsiTheme="minorHAnsi" w:cstheme="minorHAnsi"/>
          <w:snapToGrid/>
          <w:szCs w:val="22"/>
        </w:rPr>
        <w:t>Australian Government</w:t>
      </w:r>
      <w:r>
        <w:rPr>
          <w:rFonts w:asciiTheme="minorHAnsi" w:eastAsiaTheme="minorHAnsi" w:hAnsiTheme="minorHAnsi" w:cstheme="minorHAnsi"/>
          <w:snapToGrid/>
          <w:szCs w:val="22"/>
        </w:rPr>
        <w:t xml:space="preserve"> HTA processes is to maximise beneficial health outcomes to the Australian population within the overall funds available, whilst being cognisant of the other important goals of the health system.</w:t>
      </w:r>
      <w:r>
        <w:rPr>
          <w:rStyle w:val="EndnoteReference"/>
          <w:rFonts w:asciiTheme="minorHAnsi" w:eastAsiaTheme="minorHAnsi" w:hAnsiTheme="minorHAnsi" w:cstheme="minorHAnsi"/>
          <w:snapToGrid/>
          <w:szCs w:val="22"/>
        </w:rPr>
        <w:endnoteReference w:id="4"/>
      </w:r>
      <w:r w:rsidRPr="005D4886">
        <w:rPr>
          <w:rFonts w:asciiTheme="minorHAnsi" w:eastAsiaTheme="minorHAnsi" w:hAnsiTheme="minorHAnsi" w:cstheme="minorHAnsi"/>
          <w:snapToGrid/>
          <w:szCs w:val="22"/>
        </w:rPr>
        <w:t xml:space="preserve"> </w:t>
      </w:r>
    </w:p>
    <w:p w14:paraId="77D13F84" w14:textId="77777777" w:rsidR="00B103FC" w:rsidRPr="00291F38" w:rsidRDefault="00B103FC" w:rsidP="00291F38">
      <w:pPr>
        <w:pStyle w:val="ListParagraph"/>
        <w:widowControl/>
        <w:spacing w:before="120" w:after="160"/>
        <w:jc w:val="left"/>
        <w:rPr>
          <w:rFonts w:asciiTheme="minorHAnsi" w:hAnsiTheme="minorHAnsi" w:cstheme="minorHAnsi"/>
          <w:szCs w:val="22"/>
        </w:rPr>
      </w:pPr>
    </w:p>
    <w:p w14:paraId="317EA2FD" w14:textId="77777777" w:rsidR="00B103FC" w:rsidRPr="00291F38" w:rsidRDefault="00B103FC" w:rsidP="00417BF5">
      <w:pPr>
        <w:pStyle w:val="ListParagraph"/>
        <w:widowControl/>
        <w:numPr>
          <w:ilvl w:val="1"/>
          <w:numId w:val="2"/>
        </w:numPr>
        <w:spacing w:before="120" w:after="160"/>
        <w:jc w:val="left"/>
        <w:rPr>
          <w:rFonts w:asciiTheme="minorHAnsi" w:hAnsiTheme="minorHAnsi" w:cstheme="minorHAnsi"/>
          <w:szCs w:val="22"/>
        </w:rPr>
      </w:pPr>
      <w:r w:rsidRPr="005D4886">
        <w:rPr>
          <w:rFonts w:asciiTheme="minorHAnsi" w:eastAsiaTheme="minorHAnsi" w:hAnsiTheme="minorHAnsi" w:cstheme="minorHAnsi"/>
          <w:snapToGrid/>
          <w:szCs w:val="22"/>
        </w:rPr>
        <w:t>The purpose of</w:t>
      </w:r>
      <w:r>
        <w:rPr>
          <w:rFonts w:asciiTheme="minorHAnsi" w:eastAsiaTheme="minorHAnsi" w:hAnsiTheme="minorHAnsi" w:cstheme="minorHAnsi"/>
          <w:snapToGrid/>
          <w:szCs w:val="22"/>
        </w:rPr>
        <w:t xml:space="preserve"> </w:t>
      </w:r>
      <w:r w:rsidR="00291F38">
        <w:rPr>
          <w:rFonts w:asciiTheme="minorHAnsi" w:eastAsiaTheme="minorHAnsi" w:hAnsiTheme="minorHAnsi" w:cstheme="minorHAnsi"/>
          <w:snapToGrid/>
          <w:szCs w:val="22"/>
        </w:rPr>
        <w:t>Australian Government</w:t>
      </w:r>
      <w:r w:rsidR="00291F38" w:rsidRPr="005D4886">
        <w:rPr>
          <w:rFonts w:asciiTheme="minorHAnsi" w:eastAsiaTheme="minorHAnsi" w:hAnsiTheme="minorHAnsi" w:cstheme="minorHAnsi"/>
          <w:snapToGrid/>
          <w:szCs w:val="22"/>
        </w:rPr>
        <w:t xml:space="preserve"> </w:t>
      </w:r>
      <w:r w:rsidRPr="005D4886">
        <w:rPr>
          <w:rFonts w:asciiTheme="minorHAnsi" w:eastAsiaTheme="minorHAnsi" w:hAnsiTheme="minorHAnsi" w:cstheme="minorHAnsi"/>
          <w:snapToGrid/>
          <w:szCs w:val="22"/>
        </w:rPr>
        <w:t xml:space="preserve">HTA </w:t>
      </w:r>
      <w:r>
        <w:rPr>
          <w:rFonts w:asciiTheme="minorHAnsi" w:eastAsiaTheme="minorHAnsi" w:hAnsiTheme="minorHAnsi" w:cstheme="minorHAnsi"/>
          <w:snapToGrid/>
          <w:szCs w:val="22"/>
        </w:rPr>
        <w:t xml:space="preserve">processes </w:t>
      </w:r>
      <w:r w:rsidRPr="005D4886">
        <w:rPr>
          <w:rFonts w:asciiTheme="minorHAnsi" w:eastAsiaTheme="minorHAnsi" w:hAnsiTheme="minorHAnsi" w:cstheme="minorHAnsi"/>
          <w:snapToGrid/>
          <w:szCs w:val="22"/>
        </w:rPr>
        <w:t xml:space="preserve">is to provide policy-makers, funders, health professionals and health consumers with the necessary information to understand the benefits and comparative value of </w:t>
      </w:r>
      <w:r>
        <w:rPr>
          <w:rFonts w:asciiTheme="minorHAnsi" w:eastAsiaTheme="minorHAnsi" w:hAnsiTheme="minorHAnsi" w:cstheme="minorHAnsi"/>
          <w:snapToGrid/>
          <w:szCs w:val="22"/>
        </w:rPr>
        <w:t xml:space="preserve">all </w:t>
      </w:r>
      <w:r w:rsidRPr="005D4886">
        <w:rPr>
          <w:rFonts w:asciiTheme="minorHAnsi" w:eastAsiaTheme="minorHAnsi" w:hAnsiTheme="minorHAnsi" w:cstheme="minorHAnsi"/>
          <w:snapToGrid/>
          <w:szCs w:val="22"/>
        </w:rPr>
        <w:t xml:space="preserve">health technologies and procedures. </w:t>
      </w:r>
    </w:p>
    <w:p w14:paraId="623F9D73" w14:textId="77777777" w:rsidR="00B103FC" w:rsidRPr="00291F38" w:rsidRDefault="00B103FC" w:rsidP="00291F38">
      <w:pPr>
        <w:pStyle w:val="ListParagraph"/>
        <w:widowControl/>
        <w:spacing w:before="120" w:after="160"/>
        <w:jc w:val="left"/>
        <w:rPr>
          <w:rFonts w:asciiTheme="minorHAnsi" w:hAnsiTheme="minorHAnsi" w:cstheme="minorHAnsi"/>
          <w:szCs w:val="22"/>
        </w:rPr>
      </w:pPr>
    </w:p>
    <w:p w14:paraId="3D8820F1" w14:textId="3F2D4CF8" w:rsidR="008A1956" w:rsidRPr="005D4886" w:rsidRDefault="00B103FC" w:rsidP="00291F38">
      <w:pPr>
        <w:pStyle w:val="ListParagraph"/>
        <w:widowControl/>
        <w:numPr>
          <w:ilvl w:val="1"/>
          <w:numId w:val="2"/>
        </w:numPr>
        <w:spacing w:before="120" w:after="160"/>
        <w:jc w:val="left"/>
        <w:rPr>
          <w:rFonts w:asciiTheme="minorHAnsi" w:hAnsiTheme="minorHAnsi" w:cstheme="minorHAnsi"/>
          <w:szCs w:val="22"/>
        </w:rPr>
      </w:pPr>
      <w:r>
        <w:rPr>
          <w:rFonts w:asciiTheme="minorHAnsi" w:eastAsiaTheme="minorHAnsi" w:hAnsiTheme="minorHAnsi" w:cstheme="minorHAnsi"/>
          <w:snapToGrid/>
          <w:szCs w:val="22"/>
        </w:rPr>
        <w:lastRenderedPageBreak/>
        <w:t xml:space="preserve">The </w:t>
      </w:r>
      <w:r w:rsidR="00291F38" w:rsidRPr="00291F38">
        <w:rPr>
          <w:rFonts w:asciiTheme="minorHAnsi" w:eastAsiaTheme="minorHAnsi" w:hAnsiTheme="minorHAnsi" w:cstheme="minorHAnsi"/>
          <w:snapToGrid/>
          <w:szCs w:val="22"/>
        </w:rPr>
        <w:t xml:space="preserve">Australian Government </w:t>
      </w:r>
      <w:r>
        <w:rPr>
          <w:rFonts w:asciiTheme="minorHAnsi" w:eastAsiaTheme="minorHAnsi" w:hAnsiTheme="minorHAnsi" w:cstheme="minorHAnsi"/>
          <w:snapToGrid/>
          <w:szCs w:val="22"/>
        </w:rPr>
        <w:t>HTA processes aim to use the best available evidence and efficient methods to inform robust decisions about the subsidised use of health technologies. This contributes to a sustainable health system through informing evidence based decisions about the subsidised use of health technologies.</w:t>
      </w:r>
      <w:r>
        <w:rPr>
          <w:rStyle w:val="EndnoteReference"/>
          <w:rFonts w:asciiTheme="minorHAnsi" w:eastAsiaTheme="minorHAnsi" w:hAnsiTheme="minorHAnsi" w:cstheme="minorHAnsi"/>
          <w:snapToGrid/>
          <w:szCs w:val="22"/>
        </w:rPr>
        <w:endnoteReference w:id="5"/>
      </w:r>
      <w:r>
        <w:rPr>
          <w:rFonts w:asciiTheme="minorHAnsi" w:eastAsiaTheme="minorHAnsi" w:hAnsiTheme="minorHAnsi" w:cstheme="minorHAnsi"/>
          <w:snapToGrid/>
          <w:szCs w:val="22"/>
        </w:rPr>
        <w:t xml:space="preserve"> These health technologies include </w:t>
      </w:r>
      <w:r w:rsidRPr="005D4886">
        <w:rPr>
          <w:rFonts w:asciiTheme="minorHAnsi" w:eastAsiaTheme="minorHAnsi" w:hAnsiTheme="minorHAnsi" w:cstheme="minorHAnsi"/>
          <w:snapToGrid/>
          <w:szCs w:val="22"/>
        </w:rPr>
        <w:t>pharmaceuticals (including vaccines), diagnostic tests, medical devices, surgically implanted prostheses, medical procedures and public health interventions</w:t>
      </w:r>
      <w:r w:rsidRPr="005D4886">
        <w:rPr>
          <w:rStyle w:val="EndnoteReference"/>
          <w:rFonts w:asciiTheme="minorHAnsi" w:eastAsiaTheme="minorHAnsi" w:hAnsiTheme="minorHAnsi" w:cstheme="minorHAnsi"/>
          <w:snapToGrid/>
          <w:szCs w:val="22"/>
        </w:rPr>
        <w:endnoteReference w:id="6"/>
      </w:r>
      <w:r w:rsidRPr="005D4886">
        <w:rPr>
          <w:rFonts w:asciiTheme="minorHAnsi" w:eastAsiaTheme="minorHAnsi" w:hAnsiTheme="minorHAnsi" w:cstheme="minorHAnsi"/>
          <w:snapToGrid/>
          <w:szCs w:val="22"/>
        </w:rPr>
        <w:t>.</w:t>
      </w:r>
    </w:p>
    <w:p w14:paraId="2A648110" w14:textId="77777777" w:rsidR="00913BBF" w:rsidRPr="005D4886" w:rsidRDefault="00913BBF" w:rsidP="00417BF5">
      <w:pPr>
        <w:pStyle w:val="ListParagraph"/>
        <w:widowControl/>
        <w:spacing w:before="120" w:after="160"/>
        <w:jc w:val="left"/>
        <w:rPr>
          <w:rFonts w:asciiTheme="minorHAnsi" w:hAnsiTheme="minorHAnsi" w:cstheme="minorHAnsi"/>
          <w:szCs w:val="22"/>
        </w:rPr>
      </w:pPr>
    </w:p>
    <w:p w14:paraId="6CB80F89" w14:textId="72F8980C" w:rsidR="003335DD" w:rsidRPr="005D4886" w:rsidRDefault="003335DD" w:rsidP="00417BF5">
      <w:pPr>
        <w:pStyle w:val="ListParagraph"/>
        <w:widowControl/>
        <w:numPr>
          <w:ilvl w:val="1"/>
          <w:numId w:val="2"/>
        </w:numPr>
        <w:spacing w:before="120" w:after="160"/>
        <w:jc w:val="left"/>
        <w:rPr>
          <w:rFonts w:asciiTheme="minorHAnsi" w:eastAsiaTheme="minorHAnsi" w:hAnsiTheme="minorHAnsi" w:cstheme="minorHAnsi"/>
          <w:snapToGrid/>
          <w:szCs w:val="22"/>
        </w:rPr>
      </w:pPr>
      <w:r w:rsidRPr="005D4886">
        <w:rPr>
          <w:rFonts w:asciiTheme="minorHAnsi" w:eastAsiaTheme="minorHAnsi" w:hAnsiTheme="minorHAnsi" w:cstheme="minorHAnsi"/>
          <w:snapToGrid/>
          <w:szCs w:val="22"/>
        </w:rPr>
        <w:t>The PBAC is an indepen</w:t>
      </w:r>
      <w:r w:rsidR="00000689" w:rsidRPr="005D4886">
        <w:rPr>
          <w:rFonts w:asciiTheme="minorHAnsi" w:eastAsiaTheme="minorHAnsi" w:hAnsiTheme="minorHAnsi" w:cstheme="minorHAnsi"/>
          <w:snapToGrid/>
          <w:szCs w:val="22"/>
        </w:rPr>
        <w:t>dent expe</w:t>
      </w:r>
      <w:r w:rsidR="003B5CA5">
        <w:rPr>
          <w:rFonts w:asciiTheme="minorHAnsi" w:eastAsiaTheme="minorHAnsi" w:hAnsiTheme="minorHAnsi" w:cstheme="minorHAnsi"/>
          <w:snapToGrid/>
          <w:szCs w:val="22"/>
        </w:rPr>
        <w:t>r</w:t>
      </w:r>
      <w:r w:rsidR="00000689" w:rsidRPr="005D4886">
        <w:rPr>
          <w:rFonts w:asciiTheme="minorHAnsi" w:eastAsiaTheme="minorHAnsi" w:hAnsiTheme="minorHAnsi" w:cstheme="minorHAnsi"/>
          <w:snapToGrid/>
          <w:szCs w:val="22"/>
        </w:rPr>
        <w:t xml:space="preserve">t </w:t>
      </w:r>
      <w:r w:rsidR="00F87C1C">
        <w:rPr>
          <w:rFonts w:asciiTheme="minorHAnsi" w:eastAsiaTheme="minorHAnsi" w:hAnsiTheme="minorHAnsi" w:cstheme="minorHAnsi"/>
          <w:snapToGrid/>
          <w:szCs w:val="22"/>
        </w:rPr>
        <w:t xml:space="preserve">advisory </w:t>
      </w:r>
      <w:r w:rsidR="00BA5EE4">
        <w:rPr>
          <w:rFonts w:asciiTheme="minorHAnsi" w:eastAsiaTheme="minorHAnsi" w:hAnsiTheme="minorHAnsi" w:cstheme="minorHAnsi"/>
          <w:snapToGrid/>
          <w:szCs w:val="22"/>
        </w:rPr>
        <w:t>c</w:t>
      </w:r>
      <w:r w:rsidR="00000689" w:rsidRPr="005D4886">
        <w:rPr>
          <w:rFonts w:asciiTheme="minorHAnsi" w:eastAsiaTheme="minorHAnsi" w:hAnsiTheme="minorHAnsi" w:cstheme="minorHAnsi"/>
          <w:snapToGrid/>
          <w:szCs w:val="22"/>
        </w:rPr>
        <w:t xml:space="preserve">ommittee with expertise in clinical and health economic and consumer matters.  The PBAC is established under the </w:t>
      </w:r>
      <w:r w:rsidR="00000689" w:rsidRPr="005D4886">
        <w:rPr>
          <w:rFonts w:asciiTheme="minorHAnsi" w:eastAsiaTheme="minorHAnsi" w:hAnsiTheme="minorHAnsi" w:cstheme="minorHAnsi"/>
          <w:i/>
          <w:snapToGrid/>
          <w:szCs w:val="22"/>
        </w:rPr>
        <w:t>National Health Act 1953</w:t>
      </w:r>
      <w:r w:rsidR="006D30CB">
        <w:rPr>
          <w:rFonts w:asciiTheme="minorHAnsi" w:eastAsiaTheme="minorHAnsi" w:hAnsiTheme="minorHAnsi" w:cstheme="minorHAnsi"/>
          <w:i/>
          <w:snapToGrid/>
          <w:szCs w:val="22"/>
        </w:rPr>
        <w:t>.</w:t>
      </w:r>
      <w:r w:rsidR="00417BF5" w:rsidRPr="005D4886">
        <w:rPr>
          <w:rFonts w:asciiTheme="minorHAnsi" w:eastAsiaTheme="minorHAnsi" w:hAnsiTheme="minorHAnsi" w:cstheme="minorHAnsi"/>
          <w:snapToGrid/>
          <w:szCs w:val="22"/>
        </w:rPr>
        <w:t xml:space="preserve">  The Minister cannot subsidise a medicine through the </w:t>
      </w:r>
      <w:r w:rsidR="006D30CB">
        <w:rPr>
          <w:rFonts w:asciiTheme="minorHAnsi" w:eastAsiaTheme="minorHAnsi" w:hAnsiTheme="minorHAnsi" w:cstheme="minorHAnsi"/>
          <w:snapToGrid/>
          <w:szCs w:val="22"/>
        </w:rPr>
        <w:t>PBS</w:t>
      </w:r>
      <w:r w:rsidR="00417BF5" w:rsidRPr="005D4886">
        <w:rPr>
          <w:rFonts w:asciiTheme="minorHAnsi" w:eastAsiaTheme="minorHAnsi" w:hAnsiTheme="minorHAnsi" w:cstheme="minorHAnsi"/>
          <w:snapToGrid/>
          <w:szCs w:val="22"/>
        </w:rPr>
        <w:t xml:space="preserve"> without a recommendation from the PBAC.</w:t>
      </w:r>
    </w:p>
    <w:p w14:paraId="6C38FAF8" w14:textId="77777777" w:rsidR="003335DD" w:rsidRPr="005D4886" w:rsidRDefault="003335DD" w:rsidP="00417BF5">
      <w:pPr>
        <w:pStyle w:val="ListParagraph"/>
        <w:jc w:val="left"/>
        <w:rPr>
          <w:rFonts w:asciiTheme="minorHAnsi" w:eastAsiaTheme="minorHAnsi" w:hAnsiTheme="minorHAnsi" w:cstheme="minorHAnsi"/>
          <w:snapToGrid/>
          <w:szCs w:val="22"/>
        </w:rPr>
      </w:pPr>
    </w:p>
    <w:p w14:paraId="6100F434" w14:textId="02720AE4" w:rsidR="00B103FC" w:rsidRDefault="006953C9" w:rsidP="00417BF5">
      <w:pPr>
        <w:pStyle w:val="ListParagraph"/>
        <w:widowControl/>
        <w:numPr>
          <w:ilvl w:val="1"/>
          <w:numId w:val="2"/>
        </w:numPr>
        <w:spacing w:before="120" w:after="160"/>
        <w:jc w:val="left"/>
        <w:rPr>
          <w:rFonts w:asciiTheme="minorHAnsi" w:eastAsiaTheme="minorHAnsi" w:hAnsiTheme="minorHAnsi" w:cstheme="minorHAnsi"/>
          <w:snapToGrid/>
          <w:szCs w:val="22"/>
        </w:rPr>
      </w:pPr>
      <w:r w:rsidRPr="005D4886">
        <w:rPr>
          <w:rFonts w:asciiTheme="minorHAnsi" w:eastAsiaTheme="minorHAnsi" w:hAnsiTheme="minorHAnsi" w:cstheme="minorHAnsi"/>
          <w:snapToGrid/>
          <w:szCs w:val="22"/>
        </w:rPr>
        <w:t xml:space="preserve">Australia has one of the fastest </w:t>
      </w:r>
      <w:r w:rsidR="00F87C1C">
        <w:rPr>
          <w:rFonts w:asciiTheme="minorHAnsi" w:eastAsiaTheme="minorHAnsi" w:hAnsiTheme="minorHAnsi" w:cstheme="minorHAnsi"/>
          <w:snapToGrid/>
          <w:szCs w:val="22"/>
        </w:rPr>
        <w:t xml:space="preserve">HTA </w:t>
      </w:r>
      <w:r w:rsidR="005704E1">
        <w:rPr>
          <w:rFonts w:asciiTheme="minorHAnsi" w:eastAsiaTheme="minorHAnsi" w:hAnsiTheme="minorHAnsi" w:cstheme="minorHAnsi"/>
          <w:snapToGrid/>
          <w:szCs w:val="22"/>
        </w:rPr>
        <w:t xml:space="preserve">processes </w:t>
      </w:r>
      <w:r w:rsidR="00F87C1C">
        <w:rPr>
          <w:rFonts w:asciiTheme="minorHAnsi" w:eastAsiaTheme="minorHAnsi" w:hAnsiTheme="minorHAnsi" w:cstheme="minorHAnsi"/>
          <w:snapToGrid/>
          <w:szCs w:val="22"/>
        </w:rPr>
        <w:t>for</w:t>
      </w:r>
      <w:r w:rsidRPr="005D4886">
        <w:rPr>
          <w:rFonts w:asciiTheme="minorHAnsi" w:eastAsiaTheme="minorHAnsi" w:hAnsiTheme="minorHAnsi" w:cstheme="minorHAnsi"/>
          <w:snapToGrid/>
          <w:szCs w:val="22"/>
        </w:rPr>
        <w:t xml:space="preserve"> reimbursement decision</w:t>
      </w:r>
      <w:r w:rsidR="005704E1">
        <w:rPr>
          <w:rFonts w:asciiTheme="minorHAnsi" w:eastAsiaTheme="minorHAnsi" w:hAnsiTheme="minorHAnsi" w:cstheme="minorHAnsi"/>
          <w:snapToGrid/>
          <w:szCs w:val="22"/>
        </w:rPr>
        <w:t>s</w:t>
      </w:r>
      <w:r w:rsidRPr="005D4886">
        <w:rPr>
          <w:rFonts w:asciiTheme="minorHAnsi" w:eastAsiaTheme="minorHAnsi" w:hAnsiTheme="minorHAnsi" w:cstheme="minorHAnsi"/>
          <w:snapToGrid/>
          <w:szCs w:val="22"/>
        </w:rPr>
        <w:t xml:space="preserve"> </w:t>
      </w:r>
      <w:r w:rsidR="00E901C1" w:rsidRPr="005D4886">
        <w:rPr>
          <w:rFonts w:asciiTheme="minorHAnsi" w:eastAsiaTheme="minorHAnsi" w:hAnsiTheme="minorHAnsi" w:cstheme="minorHAnsi"/>
          <w:snapToGrid/>
          <w:szCs w:val="22"/>
        </w:rPr>
        <w:t xml:space="preserve">for medicines </w:t>
      </w:r>
      <w:r w:rsidRPr="005D4886">
        <w:rPr>
          <w:rFonts w:asciiTheme="minorHAnsi" w:eastAsiaTheme="minorHAnsi" w:hAnsiTheme="minorHAnsi" w:cstheme="minorHAnsi"/>
          <w:snapToGrid/>
          <w:szCs w:val="22"/>
        </w:rPr>
        <w:t xml:space="preserve">in the world, comparing favourably with other </w:t>
      </w:r>
      <w:r w:rsidR="004211C0" w:rsidRPr="005D4886">
        <w:rPr>
          <w:rFonts w:asciiTheme="minorHAnsi" w:eastAsiaTheme="minorHAnsi" w:hAnsiTheme="minorHAnsi" w:cstheme="minorHAnsi"/>
          <w:snapToGrid/>
          <w:szCs w:val="22"/>
        </w:rPr>
        <w:t>Organisation for Economic Co-operation and Development (</w:t>
      </w:r>
      <w:r w:rsidRPr="005D4886">
        <w:rPr>
          <w:rFonts w:asciiTheme="minorHAnsi" w:eastAsiaTheme="minorHAnsi" w:hAnsiTheme="minorHAnsi" w:cstheme="minorHAnsi"/>
          <w:snapToGrid/>
          <w:szCs w:val="22"/>
        </w:rPr>
        <w:t>OECD</w:t>
      </w:r>
      <w:r w:rsidR="004211C0" w:rsidRPr="005D4886">
        <w:rPr>
          <w:rFonts w:asciiTheme="minorHAnsi" w:eastAsiaTheme="minorHAnsi" w:hAnsiTheme="minorHAnsi" w:cstheme="minorHAnsi"/>
          <w:snapToGrid/>
          <w:szCs w:val="22"/>
        </w:rPr>
        <w:t>)</w:t>
      </w:r>
      <w:r w:rsidRPr="005D4886">
        <w:rPr>
          <w:rFonts w:asciiTheme="minorHAnsi" w:eastAsiaTheme="minorHAnsi" w:hAnsiTheme="minorHAnsi" w:cstheme="minorHAnsi"/>
          <w:snapToGrid/>
          <w:szCs w:val="22"/>
        </w:rPr>
        <w:t xml:space="preserve"> countries in terms of the time from submission to the first reimbursement decision and the percentage of medicines recommended for reimbursement in the same year as the medicine</w:t>
      </w:r>
      <w:r w:rsidR="00D04470" w:rsidRPr="005D4886">
        <w:rPr>
          <w:rFonts w:asciiTheme="minorHAnsi" w:eastAsiaTheme="minorHAnsi" w:hAnsiTheme="minorHAnsi" w:cstheme="minorHAnsi"/>
          <w:snapToGrid/>
          <w:szCs w:val="22"/>
        </w:rPr>
        <w:t>’</w:t>
      </w:r>
      <w:r w:rsidRPr="005D4886">
        <w:rPr>
          <w:rFonts w:asciiTheme="minorHAnsi" w:eastAsiaTheme="minorHAnsi" w:hAnsiTheme="minorHAnsi" w:cstheme="minorHAnsi"/>
          <w:snapToGrid/>
          <w:szCs w:val="22"/>
        </w:rPr>
        <w:t>s regulatory approval.</w:t>
      </w:r>
      <w:r w:rsidR="00B103FC" w:rsidRPr="005D4886">
        <w:rPr>
          <w:rFonts w:asciiTheme="minorHAnsi" w:eastAsiaTheme="minorHAnsi" w:hAnsiTheme="minorHAnsi" w:cstheme="minorHAnsi"/>
          <w:snapToGrid/>
          <w:szCs w:val="22"/>
          <w:vertAlign w:val="superscript"/>
        </w:rPr>
        <w:endnoteReference w:id="7"/>
      </w:r>
    </w:p>
    <w:p w14:paraId="7CA54F52" w14:textId="77777777" w:rsidR="00E7389E" w:rsidRPr="005D4886" w:rsidRDefault="00E7389E" w:rsidP="00193801">
      <w:pPr>
        <w:pStyle w:val="ListParagraph"/>
        <w:widowControl/>
        <w:spacing w:before="120" w:after="160"/>
        <w:jc w:val="left"/>
        <w:rPr>
          <w:rFonts w:asciiTheme="minorHAnsi" w:eastAsiaTheme="minorHAnsi" w:hAnsiTheme="minorHAnsi" w:cstheme="minorHAnsi"/>
          <w:snapToGrid/>
          <w:szCs w:val="22"/>
        </w:rPr>
      </w:pPr>
    </w:p>
    <w:p w14:paraId="6CE0F439" w14:textId="6A7B9670" w:rsidR="00B103FC" w:rsidRPr="005D4886" w:rsidRDefault="00B103FC" w:rsidP="00417BF5">
      <w:pPr>
        <w:pStyle w:val="ListParagraph"/>
        <w:widowControl/>
        <w:numPr>
          <w:ilvl w:val="1"/>
          <w:numId w:val="2"/>
        </w:numPr>
        <w:spacing w:before="120" w:after="160"/>
        <w:jc w:val="left"/>
        <w:rPr>
          <w:rFonts w:asciiTheme="minorHAnsi" w:eastAsiaTheme="minorHAnsi" w:hAnsiTheme="minorHAnsi" w:cstheme="minorHAnsi"/>
          <w:snapToGrid/>
          <w:szCs w:val="22"/>
        </w:rPr>
      </w:pPr>
      <w:r w:rsidRPr="005D4886">
        <w:rPr>
          <w:rFonts w:asciiTheme="minorHAnsi" w:eastAsiaTheme="minorHAnsi" w:hAnsiTheme="minorHAnsi" w:cstheme="minorHAnsi"/>
          <w:snapToGrid/>
          <w:szCs w:val="22"/>
        </w:rPr>
        <w:t>When considering a medicine for subsidy through the PBS, the PBAC is required by law to give consideration to the effectiveness and cost of the medicine (cost-effectiveness), including by comparing the effectiveness and cost with that of alternative treatments</w:t>
      </w:r>
      <w:r w:rsidR="008611FA">
        <w:rPr>
          <w:rFonts w:asciiTheme="minorHAnsi" w:eastAsiaTheme="minorHAnsi" w:hAnsiTheme="minorHAnsi" w:cstheme="minorHAnsi"/>
          <w:snapToGrid/>
          <w:szCs w:val="22"/>
        </w:rPr>
        <w:t>. The PBAC cannot recommend a medicine for subsidy unless it is satisfied that it is cost-effective</w:t>
      </w:r>
      <w:r>
        <w:rPr>
          <w:rStyle w:val="EndnoteReference"/>
          <w:rFonts w:asciiTheme="minorHAnsi" w:eastAsiaTheme="minorHAnsi" w:hAnsiTheme="minorHAnsi" w:cstheme="minorHAnsi"/>
          <w:snapToGrid/>
          <w:szCs w:val="22"/>
        </w:rPr>
        <w:endnoteReference w:id="8"/>
      </w:r>
      <w:r w:rsidRPr="005D4886">
        <w:rPr>
          <w:rFonts w:asciiTheme="minorHAnsi" w:eastAsiaTheme="minorHAnsi" w:hAnsiTheme="minorHAnsi" w:cstheme="minorHAnsi"/>
          <w:snapToGrid/>
          <w:szCs w:val="22"/>
        </w:rPr>
        <w:t>.</w:t>
      </w:r>
    </w:p>
    <w:p w14:paraId="0D061D3B" w14:textId="77777777" w:rsidR="00B103FC" w:rsidRPr="005D4886" w:rsidRDefault="00B103FC" w:rsidP="00417BF5">
      <w:pPr>
        <w:pStyle w:val="ListParagraph"/>
        <w:jc w:val="left"/>
        <w:rPr>
          <w:rFonts w:asciiTheme="minorHAnsi" w:eastAsiaTheme="minorHAnsi" w:hAnsiTheme="minorHAnsi" w:cstheme="minorHAnsi"/>
          <w:snapToGrid/>
          <w:color w:val="FF0000"/>
          <w:szCs w:val="22"/>
        </w:rPr>
      </w:pPr>
    </w:p>
    <w:p w14:paraId="3E9C10EA" w14:textId="2B361CA8" w:rsidR="00B103FC" w:rsidRPr="005D4886" w:rsidRDefault="00B103FC" w:rsidP="00417BF5">
      <w:pPr>
        <w:pStyle w:val="ListParagraph"/>
        <w:widowControl/>
        <w:numPr>
          <w:ilvl w:val="1"/>
          <w:numId w:val="2"/>
        </w:numPr>
        <w:spacing w:before="120" w:after="160"/>
        <w:jc w:val="left"/>
        <w:rPr>
          <w:rFonts w:asciiTheme="minorHAnsi" w:eastAsiaTheme="minorHAnsi" w:hAnsiTheme="minorHAnsi" w:cstheme="minorHAnsi"/>
          <w:snapToGrid/>
          <w:szCs w:val="22"/>
        </w:rPr>
      </w:pPr>
      <w:r w:rsidRPr="005D4886">
        <w:rPr>
          <w:rFonts w:asciiTheme="minorHAnsi" w:eastAsiaTheme="minorHAnsi" w:hAnsiTheme="minorHAnsi" w:cstheme="minorHAnsi"/>
          <w:snapToGrid/>
          <w:szCs w:val="22"/>
        </w:rPr>
        <w:t xml:space="preserve">Where the PBAC is of the </w:t>
      </w:r>
      <w:r>
        <w:rPr>
          <w:rFonts w:asciiTheme="minorHAnsi" w:eastAsiaTheme="minorHAnsi" w:hAnsiTheme="minorHAnsi" w:cstheme="minorHAnsi"/>
          <w:snapToGrid/>
          <w:szCs w:val="22"/>
        </w:rPr>
        <w:t>view</w:t>
      </w:r>
      <w:r w:rsidRPr="005D4886">
        <w:rPr>
          <w:rFonts w:asciiTheme="minorHAnsi" w:eastAsiaTheme="minorHAnsi" w:hAnsiTheme="minorHAnsi" w:cstheme="minorHAnsi"/>
          <w:snapToGrid/>
          <w:szCs w:val="22"/>
        </w:rPr>
        <w:t xml:space="preserve"> that a medicine should be made available </w:t>
      </w:r>
      <w:r w:rsidR="00BE1E25">
        <w:rPr>
          <w:rFonts w:asciiTheme="minorHAnsi" w:eastAsiaTheme="minorHAnsi" w:hAnsiTheme="minorHAnsi" w:cstheme="minorHAnsi"/>
          <w:snapToGrid/>
          <w:szCs w:val="22"/>
        </w:rPr>
        <w:t>on the PBS</w:t>
      </w:r>
      <w:r w:rsidRPr="005D4886">
        <w:rPr>
          <w:rFonts w:asciiTheme="minorHAnsi" w:eastAsiaTheme="minorHAnsi" w:hAnsiTheme="minorHAnsi" w:cstheme="minorHAnsi"/>
          <w:snapToGrid/>
          <w:szCs w:val="22"/>
        </w:rPr>
        <w:t>, but only for certain uses (circumstances), the Committee speci</w:t>
      </w:r>
      <w:r w:rsidR="00BE1E25">
        <w:rPr>
          <w:rFonts w:asciiTheme="minorHAnsi" w:eastAsiaTheme="minorHAnsi" w:hAnsiTheme="minorHAnsi" w:cstheme="minorHAnsi"/>
          <w:snapToGrid/>
          <w:szCs w:val="22"/>
        </w:rPr>
        <w:t>es</w:t>
      </w:r>
      <w:r w:rsidRPr="005D4886">
        <w:rPr>
          <w:rFonts w:asciiTheme="minorHAnsi" w:eastAsiaTheme="minorHAnsi" w:hAnsiTheme="minorHAnsi" w:cstheme="minorHAnsi"/>
          <w:snapToGrid/>
          <w:szCs w:val="22"/>
        </w:rPr>
        <w:t xml:space="preserve"> those uses.</w:t>
      </w:r>
    </w:p>
    <w:p w14:paraId="0441A87E" w14:textId="77777777" w:rsidR="00B103FC" w:rsidRPr="005D4886" w:rsidRDefault="00B103FC" w:rsidP="00417BF5">
      <w:pPr>
        <w:pStyle w:val="ListParagraph"/>
        <w:jc w:val="left"/>
        <w:rPr>
          <w:rFonts w:asciiTheme="minorHAnsi" w:eastAsiaTheme="minorHAnsi" w:hAnsiTheme="minorHAnsi" w:cstheme="minorHAnsi"/>
          <w:snapToGrid/>
          <w:szCs w:val="22"/>
        </w:rPr>
      </w:pPr>
    </w:p>
    <w:p w14:paraId="65E9A830" w14:textId="0D335121" w:rsidR="00B103FC" w:rsidRPr="005D4886" w:rsidRDefault="00B103FC" w:rsidP="00417BF5">
      <w:pPr>
        <w:pStyle w:val="ListParagraph"/>
        <w:widowControl/>
        <w:numPr>
          <w:ilvl w:val="1"/>
          <w:numId w:val="2"/>
        </w:numPr>
        <w:spacing w:before="120" w:after="160"/>
        <w:jc w:val="left"/>
        <w:rPr>
          <w:rFonts w:asciiTheme="minorHAnsi" w:eastAsiaTheme="minorHAnsi" w:hAnsiTheme="minorHAnsi" w:cstheme="minorHAnsi"/>
          <w:snapToGrid/>
          <w:szCs w:val="22"/>
        </w:rPr>
      </w:pPr>
      <w:r w:rsidRPr="005D4886">
        <w:rPr>
          <w:rFonts w:asciiTheme="minorHAnsi" w:eastAsiaTheme="minorHAnsi" w:hAnsiTheme="minorHAnsi" w:cstheme="minorHAnsi"/>
          <w:snapToGrid/>
          <w:szCs w:val="22"/>
        </w:rPr>
        <w:t xml:space="preserve">The cost-effectiveness of </w:t>
      </w:r>
      <w:r w:rsidR="008611FA">
        <w:rPr>
          <w:rFonts w:asciiTheme="minorHAnsi" w:eastAsiaTheme="minorHAnsi" w:hAnsiTheme="minorHAnsi" w:cstheme="minorHAnsi"/>
          <w:snapToGrid/>
          <w:szCs w:val="22"/>
        </w:rPr>
        <w:t>the same</w:t>
      </w:r>
      <w:r w:rsidRPr="005D4886">
        <w:rPr>
          <w:rFonts w:asciiTheme="minorHAnsi" w:eastAsiaTheme="minorHAnsi" w:hAnsiTheme="minorHAnsi" w:cstheme="minorHAnsi"/>
          <w:snapToGrid/>
          <w:szCs w:val="22"/>
        </w:rPr>
        <w:t xml:space="preserve"> medicine </w:t>
      </w:r>
      <w:r>
        <w:rPr>
          <w:rFonts w:asciiTheme="minorHAnsi" w:eastAsiaTheme="minorHAnsi" w:hAnsiTheme="minorHAnsi" w:cstheme="minorHAnsi"/>
          <w:snapToGrid/>
          <w:szCs w:val="22"/>
        </w:rPr>
        <w:t xml:space="preserve">used to treat </w:t>
      </w:r>
      <w:r w:rsidRPr="005D4886">
        <w:rPr>
          <w:rFonts w:asciiTheme="minorHAnsi" w:eastAsiaTheme="minorHAnsi" w:hAnsiTheme="minorHAnsi" w:cstheme="minorHAnsi"/>
          <w:snapToGrid/>
          <w:szCs w:val="22"/>
        </w:rPr>
        <w:t xml:space="preserve">different cancer types can vary significantly. This is because of a range of factors including: differences in the natural history of different cancers, differences in </w:t>
      </w:r>
      <w:r>
        <w:rPr>
          <w:rFonts w:asciiTheme="minorHAnsi" w:eastAsiaTheme="minorHAnsi" w:hAnsiTheme="minorHAnsi" w:cstheme="minorHAnsi"/>
          <w:snapToGrid/>
          <w:szCs w:val="22"/>
        </w:rPr>
        <w:t xml:space="preserve">patient </w:t>
      </w:r>
      <w:r w:rsidRPr="005D4886">
        <w:rPr>
          <w:rFonts w:asciiTheme="minorHAnsi" w:eastAsiaTheme="minorHAnsi" w:hAnsiTheme="minorHAnsi" w:cstheme="minorHAnsi"/>
          <w:snapToGrid/>
          <w:szCs w:val="22"/>
        </w:rPr>
        <w:t>response to the same medicine and differences in the treatments</w:t>
      </w:r>
      <w:r>
        <w:rPr>
          <w:rFonts w:asciiTheme="minorHAnsi" w:eastAsiaTheme="minorHAnsi" w:hAnsiTheme="minorHAnsi" w:cstheme="minorHAnsi"/>
          <w:snapToGrid/>
          <w:szCs w:val="22"/>
        </w:rPr>
        <w:t xml:space="preserve"> already available for different cancers.</w:t>
      </w:r>
      <w:r w:rsidRPr="005D4886">
        <w:rPr>
          <w:rFonts w:asciiTheme="minorHAnsi" w:eastAsiaTheme="minorHAnsi" w:hAnsiTheme="minorHAnsi" w:cstheme="minorHAnsi"/>
          <w:snapToGrid/>
          <w:szCs w:val="22"/>
        </w:rPr>
        <w:t xml:space="preserve">  These factors mean that the PBAC </w:t>
      </w:r>
      <w:r w:rsidR="008611FA">
        <w:rPr>
          <w:rFonts w:asciiTheme="minorHAnsi" w:eastAsiaTheme="minorHAnsi" w:hAnsiTheme="minorHAnsi" w:cstheme="minorHAnsi"/>
          <w:snapToGrid/>
          <w:szCs w:val="22"/>
        </w:rPr>
        <w:t xml:space="preserve">usually </w:t>
      </w:r>
      <w:r w:rsidRPr="005D4886">
        <w:rPr>
          <w:rFonts w:asciiTheme="minorHAnsi" w:eastAsiaTheme="minorHAnsi" w:hAnsiTheme="minorHAnsi" w:cstheme="minorHAnsi"/>
          <w:snapToGrid/>
          <w:szCs w:val="22"/>
        </w:rPr>
        <w:t>has</w:t>
      </w:r>
      <w:r>
        <w:rPr>
          <w:rFonts w:asciiTheme="minorHAnsi" w:eastAsiaTheme="minorHAnsi" w:hAnsiTheme="minorHAnsi" w:cstheme="minorHAnsi"/>
          <w:snapToGrid/>
          <w:szCs w:val="22"/>
        </w:rPr>
        <w:t xml:space="preserve"> to evaluate each medicine separately for each indication or cancer type.</w:t>
      </w:r>
    </w:p>
    <w:p w14:paraId="4FE61F0A" w14:textId="77777777" w:rsidR="00B103FC" w:rsidRPr="005D4886" w:rsidRDefault="00B103FC" w:rsidP="00417BF5">
      <w:pPr>
        <w:pStyle w:val="ListParagraph"/>
        <w:jc w:val="left"/>
        <w:rPr>
          <w:rFonts w:asciiTheme="minorHAnsi" w:eastAsiaTheme="minorHAnsi" w:hAnsiTheme="minorHAnsi" w:cstheme="minorHAnsi"/>
          <w:snapToGrid/>
          <w:szCs w:val="22"/>
        </w:rPr>
      </w:pPr>
    </w:p>
    <w:p w14:paraId="53DD0B74" w14:textId="12865A7F" w:rsidR="00B103FC" w:rsidRDefault="00B103FC" w:rsidP="009C3E38">
      <w:pPr>
        <w:pStyle w:val="ListParagraph"/>
        <w:widowControl/>
        <w:numPr>
          <w:ilvl w:val="1"/>
          <w:numId w:val="2"/>
        </w:numPr>
        <w:spacing w:before="120" w:after="160"/>
        <w:jc w:val="left"/>
        <w:rPr>
          <w:rFonts w:asciiTheme="minorHAnsi" w:eastAsiaTheme="minorHAnsi" w:hAnsiTheme="minorHAnsi" w:cstheme="minorHAnsi"/>
          <w:snapToGrid/>
          <w:szCs w:val="22"/>
        </w:rPr>
      </w:pPr>
      <w:r w:rsidRPr="007C3154">
        <w:rPr>
          <w:rFonts w:asciiTheme="minorHAnsi" w:eastAsiaTheme="minorHAnsi" w:hAnsiTheme="minorHAnsi" w:cstheme="minorHAnsi"/>
          <w:snapToGrid/>
          <w:szCs w:val="22"/>
        </w:rPr>
        <w:t xml:space="preserve">The PBAC has already noted that while it is likely that PD-1 and PD-L1 checkpoint inhibitors will be useful for treating a range of cancers, the limited trial results </w:t>
      </w:r>
      <w:r w:rsidR="008611FA" w:rsidRPr="005D2934">
        <w:rPr>
          <w:rFonts w:asciiTheme="minorHAnsi" w:eastAsiaTheme="minorHAnsi" w:hAnsiTheme="minorHAnsi" w:cstheme="minorHAnsi"/>
          <w:snapToGrid/>
          <w:szCs w:val="22"/>
        </w:rPr>
        <w:t xml:space="preserve">submitted to the Committee </w:t>
      </w:r>
      <w:r w:rsidR="009B48D5" w:rsidRPr="009C3E38">
        <w:rPr>
          <w:rFonts w:asciiTheme="minorHAnsi" w:eastAsiaTheme="minorHAnsi" w:hAnsiTheme="minorHAnsi" w:cstheme="minorHAnsi"/>
          <w:snapToGrid/>
          <w:szCs w:val="22"/>
        </w:rPr>
        <w:t>t</w:t>
      </w:r>
      <w:r w:rsidRPr="009C3E38">
        <w:rPr>
          <w:rFonts w:asciiTheme="minorHAnsi" w:eastAsiaTheme="minorHAnsi" w:hAnsiTheme="minorHAnsi" w:cstheme="minorHAnsi"/>
          <w:snapToGrid/>
          <w:szCs w:val="22"/>
        </w:rPr>
        <w:t xml:space="preserve">o date (see Table 1) suggest that treatment responses are </w:t>
      </w:r>
      <w:r w:rsidR="00407E48" w:rsidRPr="009C3E38">
        <w:rPr>
          <w:rFonts w:asciiTheme="minorHAnsi" w:eastAsiaTheme="minorHAnsi" w:hAnsiTheme="minorHAnsi" w:cstheme="minorHAnsi"/>
          <w:snapToGrid/>
          <w:szCs w:val="22"/>
        </w:rPr>
        <w:t>highly variable</w:t>
      </w:r>
      <w:r w:rsidRPr="009C3E38">
        <w:rPr>
          <w:rFonts w:asciiTheme="minorHAnsi" w:eastAsiaTheme="minorHAnsi" w:hAnsiTheme="minorHAnsi" w:cstheme="minorHAnsi"/>
          <w:snapToGrid/>
          <w:szCs w:val="22"/>
        </w:rPr>
        <w:t xml:space="preserve"> across different types of cancers, different ages</w:t>
      </w:r>
      <w:r w:rsidR="006D72EA" w:rsidRPr="009C3E38">
        <w:rPr>
          <w:rFonts w:asciiTheme="minorHAnsi" w:eastAsiaTheme="minorHAnsi" w:hAnsiTheme="minorHAnsi" w:cstheme="minorHAnsi"/>
          <w:snapToGrid/>
          <w:szCs w:val="22"/>
        </w:rPr>
        <w:t>,</w:t>
      </w:r>
      <w:r w:rsidRPr="009C3E38">
        <w:rPr>
          <w:rFonts w:asciiTheme="minorHAnsi" w:eastAsiaTheme="minorHAnsi" w:hAnsiTheme="minorHAnsi" w:cstheme="minorHAnsi"/>
          <w:snapToGrid/>
          <w:szCs w:val="22"/>
        </w:rPr>
        <w:t xml:space="preserve"> different patient population</w:t>
      </w:r>
      <w:r w:rsidR="006D72EA" w:rsidRPr="009C3E38">
        <w:rPr>
          <w:rFonts w:asciiTheme="minorHAnsi" w:eastAsiaTheme="minorHAnsi" w:hAnsiTheme="minorHAnsi" w:cstheme="minorHAnsi"/>
          <w:snapToGrid/>
          <w:szCs w:val="22"/>
        </w:rPr>
        <w:t>s, and different comparators</w:t>
      </w:r>
      <w:r w:rsidRPr="009C3E38">
        <w:rPr>
          <w:rFonts w:asciiTheme="minorHAnsi" w:eastAsiaTheme="minorHAnsi" w:hAnsiTheme="minorHAnsi" w:cstheme="minorHAnsi"/>
          <w:snapToGrid/>
          <w:szCs w:val="22"/>
        </w:rPr>
        <w:t xml:space="preserve">. </w:t>
      </w:r>
      <w:r w:rsidR="008611FA" w:rsidRPr="009C3E38">
        <w:rPr>
          <w:rFonts w:asciiTheme="minorHAnsi" w:eastAsiaTheme="minorHAnsi" w:hAnsiTheme="minorHAnsi" w:cstheme="minorHAnsi"/>
          <w:snapToGrid/>
          <w:szCs w:val="22"/>
        </w:rPr>
        <w:t>Consequently</w:t>
      </w:r>
      <w:r w:rsidR="009B48D5" w:rsidRPr="009C3E38">
        <w:rPr>
          <w:rFonts w:asciiTheme="minorHAnsi" w:eastAsiaTheme="minorHAnsi" w:hAnsiTheme="minorHAnsi" w:cstheme="minorHAnsi"/>
          <w:snapToGrid/>
          <w:szCs w:val="22"/>
        </w:rPr>
        <w:t>,</w:t>
      </w:r>
      <w:r w:rsidR="008611FA" w:rsidRPr="009C3E38">
        <w:rPr>
          <w:rFonts w:asciiTheme="minorHAnsi" w:eastAsiaTheme="minorHAnsi" w:hAnsiTheme="minorHAnsi" w:cstheme="minorHAnsi"/>
          <w:snapToGrid/>
          <w:szCs w:val="22"/>
        </w:rPr>
        <w:t xml:space="preserve"> the relative effectiveness and safety of the same medicine will vary and the medicine </w:t>
      </w:r>
      <w:r w:rsidR="007C3154" w:rsidRPr="009C3E38">
        <w:rPr>
          <w:rFonts w:asciiTheme="minorHAnsi" w:eastAsiaTheme="minorHAnsi" w:hAnsiTheme="minorHAnsi" w:cstheme="minorHAnsi"/>
          <w:snapToGrid/>
          <w:szCs w:val="22"/>
        </w:rPr>
        <w:t xml:space="preserve">will </w:t>
      </w:r>
      <w:r w:rsidR="008611FA" w:rsidRPr="009C3E38">
        <w:rPr>
          <w:rFonts w:asciiTheme="minorHAnsi" w:eastAsiaTheme="minorHAnsi" w:hAnsiTheme="minorHAnsi" w:cstheme="minorHAnsi"/>
          <w:snapToGrid/>
          <w:szCs w:val="22"/>
        </w:rPr>
        <w:t xml:space="preserve">not have the same value for money in all cancers. </w:t>
      </w:r>
      <w:r w:rsidRPr="009C3E38">
        <w:rPr>
          <w:rFonts w:asciiTheme="minorHAnsi" w:eastAsiaTheme="minorHAnsi" w:hAnsiTheme="minorHAnsi" w:cstheme="minorHAnsi"/>
          <w:snapToGrid/>
          <w:szCs w:val="22"/>
        </w:rPr>
        <w:t>Th</w:t>
      </w:r>
      <w:r w:rsidR="008611FA" w:rsidRPr="009C3E38">
        <w:rPr>
          <w:rFonts w:asciiTheme="minorHAnsi" w:eastAsiaTheme="minorHAnsi" w:hAnsiTheme="minorHAnsi" w:cstheme="minorHAnsi"/>
          <w:snapToGrid/>
          <w:szCs w:val="22"/>
        </w:rPr>
        <w:t xml:space="preserve">ere is also the </w:t>
      </w:r>
      <w:r w:rsidRPr="009C3E38">
        <w:rPr>
          <w:rFonts w:asciiTheme="minorHAnsi" w:eastAsiaTheme="minorHAnsi" w:hAnsiTheme="minorHAnsi" w:cstheme="minorHAnsi"/>
          <w:snapToGrid/>
          <w:szCs w:val="22"/>
        </w:rPr>
        <w:t xml:space="preserve">risk </w:t>
      </w:r>
      <w:r w:rsidR="008611FA" w:rsidRPr="009C3E38">
        <w:rPr>
          <w:rFonts w:asciiTheme="minorHAnsi" w:eastAsiaTheme="minorHAnsi" w:hAnsiTheme="minorHAnsi" w:cstheme="minorHAnsi"/>
          <w:snapToGrid/>
          <w:szCs w:val="22"/>
        </w:rPr>
        <w:t xml:space="preserve">that </w:t>
      </w:r>
      <w:r w:rsidRPr="009C3E38">
        <w:rPr>
          <w:rFonts w:asciiTheme="minorHAnsi" w:eastAsiaTheme="minorHAnsi" w:hAnsiTheme="minorHAnsi" w:cstheme="minorHAnsi"/>
          <w:snapToGrid/>
          <w:szCs w:val="22"/>
        </w:rPr>
        <w:t xml:space="preserve">patients </w:t>
      </w:r>
      <w:r w:rsidR="008611FA" w:rsidRPr="009C3E38">
        <w:rPr>
          <w:rFonts w:asciiTheme="minorHAnsi" w:eastAsiaTheme="minorHAnsi" w:hAnsiTheme="minorHAnsi" w:cstheme="minorHAnsi"/>
          <w:snapToGrid/>
          <w:szCs w:val="22"/>
        </w:rPr>
        <w:t>will be</w:t>
      </w:r>
      <w:r w:rsidRPr="009C3E38">
        <w:rPr>
          <w:rFonts w:asciiTheme="minorHAnsi" w:eastAsiaTheme="minorHAnsi" w:hAnsiTheme="minorHAnsi" w:cstheme="minorHAnsi"/>
          <w:snapToGrid/>
          <w:szCs w:val="22"/>
        </w:rPr>
        <w:t xml:space="preserve"> exposed to ineffective or harmful therapy</w:t>
      </w:r>
      <w:r w:rsidRPr="009973D9">
        <w:rPr>
          <w:rFonts w:eastAsiaTheme="minorHAnsi"/>
          <w:vertAlign w:val="superscript"/>
        </w:rPr>
        <w:endnoteReference w:id="9"/>
      </w:r>
      <w:r w:rsidR="009973D9">
        <w:rPr>
          <w:rFonts w:asciiTheme="minorHAnsi" w:eastAsiaTheme="minorHAnsi" w:hAnsiTheme="minorHAnsi" w:cstheme="minorHAnsi"/>
          <w:snapToGrid/>
          <w:szCs w:val="22"/>
        </w:rPr>
        <w:t>,</w:t>
      </w:r>
      <w:r w:rsidR="00407E48" w:rsidRPr="007C3154">
        <w:rPr>
          <w:rFonts w:asciiTheme="minorHAnsi" w:eastAsiaTheme="minorHAnsi" w:hAnsiTheme="minorHAnsi" w:cstheme="minorHAnsi"/>
          <w:snapToGrid/>
          <w:szCs w:val="22"/>
        </w:rPr>
        <w:t xml:space="preserve"> </w:t>
      </w:r>
      <w:r w:rsidR="007C3154">
        <w:rPr>
          <w:rFonts w:asciiTheme="minorHAnsi" w:eastAsiaTheme="minorHAnsi" w:hAnsiTheme="minorHAnsi" w:cstheme="minorHAnsi"/>
          <w:snapToGrid/>
          <w:szCs w:val="22"/>
        </w:rPr>
        <w:t xml:space="preserve">compared with standard of care </w:t>
      </w:r>
      <w:r w:rsidR="007C3154" w:rsidRPr="007C3154">
        <w:rPr>
          <w:rFonts w:asciiTheme="minorHAnsi" w:eastAsiaTheme="minorHAnsi" w:hAnsiTheme="minorHAnsi" w:cstheme="minorHAnsi"/>
          <w:snapToGrid/>
          <w:szCs w:val="22"/>
        </w:rPr>
        <w:t xml:space="preserve">cancer treatments (chemotherapy, targeted therapy and radiation). </w:t>
      </w:r>
    </w:p>
    <w:p w14:paraId="4A9D5847" w14:textId="77777777" w:rsidR="00494AA2" w:rsidRPr="007C3154" w:rsidRDefault="00494AA2" w:rsidP="007C3154">
      <w:pPr>
        <w:pStyle w:val="ListParagraph"/>
        <w:rPr>
          <w:rFonts w:asciiTheme="minorHAnsi" w:eastAsiaTheme="minorHAnsi" w:hAnsiTheme="minorHAnsi" w:cstheme="minorHAnsi"/>
          <w:snapToGrid/>
          <w:szCs w:val="22"/>
        </w:rPr>
      </w:pPr>
    </w:p>
    <w:p w14:paraId="620D43D2" w14:textId="3DEABC37" w:rsidR="00B103FC" w:rsidRPr="00334179" w:rsidRDefault="00B049E3" w:rsidP="00334179">
      <w:pPr>
        <w:pStyle w:val="ListParagraph"/>
        <w:widowControl/>
        <w:numPr>
          <w:ilvl w:val="1"/>
          <w:numId w:val="2"/>
        </w:numPr>
        <w:spacing w:before="120" w:after="160"/>
        <w:jc w:val="left"/>
        <w:rPr>
          <w:rFonts w:asciiTheme="minorHAnsi" w:eastAsiaTheme="minorHAnsi" w:hAnsiTheme="minorHAnsi" w:cstheme="minorHAnsi"/>
          <w:snapToGrid/>
          <w:szCs w:val="22"/>
        </w:rPr>
      </w:pPr>
      <w:r>
        <w:rPr>
          <w:rFonts w:asciiTheme="minorHAnsi" w:eastAsiaTheme="minorHAnsi" w:hAnsiTheme="minorHAnsi" w:cstheme="minorHAnsi"/>
          <w:snapToGrid/>
          <w:szCs w:val="22"/>
        </w:rPr>
        <w:t xml:space="preserve">Additionally, </w:t>
      </w:r>
      <w:r w:rsidR="005D2934">
        <w:rPr>
          <w:rFonts w:asciiTheme="minorHAnsi" w:eastAsiaTheme="minorHAnsi" w:hAnsiTheme="minorHAnsi" w:cstheme="minorHAnsi"/>
          <w:snapToGrid/>
          <w:szCs w:val="22"/>
        </w:rPr>
        <w:t xml:space="preserve">there is an inconsistent and highly variable relationship between the presence of </w:t>
      </w:r>
      <w:r w:rsidRPr="00334179">
        <w:rPr>
          <w:rFonts w:asciiTheme="minorHAnsi" w:eastAsiaTheme="minorHAnsi" w:hAnsiTheme="minorHAnsi" w:cstheme="minorHAnsi"/>
          <w:snapToGrid/>
          <w:szCs w:val="22"/>
        </w:rPr>
        <w:t xml:space="preserve">PDL1 tumour expression </w:t>
      </w:r>
      <w:r w:rsidR="005D2934">
        <w:rPr>
          <w:rFonts w:asciiTheme="minorHAnsi" w:eastAsiaTheme="minorHAnsi" w:hAnsiTheme="minorHAnsi" w:cstheme="minorHAnsi"/>
          <w:snapToGrid/>
          <w:szCs w:val="22"/>
        </w:rPr>
        <w:t xml:space="preserve">and response to immunotherapy for different cancer types. </w:t>
      </w:r>
      <w:r w:rsidR="00334179" w:rsidRPr="00334179">
        <w:rPr>
          <w:rFonts w:asciiTheme="minorHAnsi" w:eastAsiaTheme="minorHAnsi" w:hAnsiTheme="minorHAnsi" w:cstheme="minorHAnsi"/>
          <w:snapToGrid/>
          <w:szCs w:val="22"/>
        </w:rPr>
        <w:t xml:space="preserve">It is not possible to use </w:t>
      </w:r>
      <w:r>
        <w:rPr>
          <w:rFonts w:asciiTheme="minorHAnsi" w:eastAsiaTheme="minorHAnsi" w:hAnsiTheme="minorHAnsi" w:cstheme="minorHAnsi"/>
          <w:snapToGrid/>
          <w:szCs w:val="22"/>
        </w:rPr>
        <w:t>PDL1</w:t>
      </w:r>
      <w:r w:rsidR="00334179" w:rsidRPr="00334179">
        <w:rPr>
          <w:rFonts w:asciiTheme="minorHAnsi" w:eastAsiaTheme="minorHAnsi" w:hAnsiTheme="minorHAnsi" w:cstheme="minorHAnsi"/>
          <w:snapToGrid/>
          <w:szCs w:val="22"/>
        </w:rPr>
        <w:t xml:space="preserve"> </w:t>
      </w:r>
      <w:r w:rsidR="005D2934">
        <w:rPr>
          <w:rFonts w:asciiTheme="minorHAnsi" w:eastAsiaTheme="minorHAnsi" w:hAnsiTheme="minorHAnsi" w:cstheme="minorHAnsi"/>
          <w:snapToGrid/>
          <w:szCs w:val="22"/>
        </w:rPr>
        <w:t>expression</w:t>
      </w:r>
      <w:r w:rsidR="005D2934" w:rsidRPr="00334179">
        <w:rPr>
          <w:rFonts w:asciiTheme="minorHAnsi" w:eastAsiaTheme="minorHAnsi" w:hAnsiTheme="minorHAnsi" w:cstheme="minorHAnsi"/>
          <w:snapToGrid/>
          <w:szCs w:val="22"/>
        </w:rPr>
        <w:t xml:space="preserve"> </w:t>
      </w:r>
      <w:r w:rsidR="00334179" w:rsidRPr="00334179">
        <w:rPr>
          <w:rFonts w:asciiTheme="minorHAnsi" w:eastAsiaTheme="minorHAnsi" w:hAnsiTheme="minorHAnsi" w:cstheme="minorHAnsi"/>
          <w:snapToGrid/>
          <w:szCs w:val="22"/>
        </w:rPr>
        <w:t xml:space="preserve">as a reliable way of </w:t>
      </w:r>
      <w:r w:rsidR="00703179">
        <w:rPr>
          <w:rFonts w:asciiTheme="minorHAnsi" w:eastAsiaTheme="minorHAnsi" w:hAnsiTheme="minorHAnsi" w:cstheme="minorHAnsi"/>
          <w:snapToGrid/>
          <w:szCs w:val="22"/>
        </w:rPr>
        <w:t>predicting which cancer</w:t>
      </w:r>
      <w:r w:rsidR="00703179" w:rsidRPr="00334179">
        <w:rPr>
          <w:rFonts w:asciiTheme="minorHAnsi" w:eastAsiaTheme="minorHAnsi" w:hAnsiTheme="minorHAnsi" w:cstheme="minorHAnsi"/>
          <w:snapToGrid/>
          <w:szCs w:val="22"/>
        </w:rPr>
        <w:t xml:space="preserve"> </w:t>
      </w:r>
      <w:r w:rsidR="00334179" w:rsidRPr="00334179">
        <w:rPr>
          <w:rFonts w:asciiTheme="minorHAnsi" w:eastAsiaTheme="minorHAnsi" w:hAnsiTheme="minorHAnsi" w:cstheme="minorHAnsi"/>
          <w:snapToGrid/>
          <w:szCs w:val="22"/>
        </w:rPr>
        <w:t>patients w</w:t>
      </w:r>
      <w:r w:rsidR="0085692A">
        <w:rPr>
          <w:rFonts w:asciiTheme="minorHAnsi" w:eastAsiaTheme="minorHAnsi" w:hAnsiTheme="minorHAnsi" w:cstheme="minorHAnsi"/>
          <w:snapToGrid/>
          <w:szCs w:val="22"/>
        </w:rPr>
        <w:t>ill</w:t>
      </w:r>
      <w:r w:rsidR="00334179" w:rsidRPr="00334179">
        <w:rPr>
          <w:rFonts w:asciiTheme="minorHAnsi" w:eastAsiaTheme="minorHAnsi" w:hAnsiTheme="minorHAnsi" w:cstheme="minorHAnsi"/>
          <w:snapToGrid/>
          <w:szCs w:val="22"/>
        </w:rPr>
        <w:t xml:space="preserve"> respond to immunotherapy. </w:t>
      </w:r>
      <w:r w:rsidR="00B103FC" w:rsidRPr="00334179">
        <w:rPr>
          <w:rFonts w:asciiTheme="minorHAnsi" w:eastAsiaTheme="minorHAnsi" w:hAnsiTheme="minorHAnsi" w:cstheme="minorHAnsi"/>
          <w:snapToGrid/>
          <w:szCs w:val="22"/>
        </w:rPr>
        <w:t xml:space="preserve">This highlights the complexities for </w:t>
      </w:r>
      <w:r w:rsidR="00147C0A">
        <w:rPr>
          <w:rFonts w:asciiTheme="minorHAnsi" w:eastAsiaTheme="minorHAnsi" w:hAnsiTheme="minorHAnsi" w:cstheme="minorHAnsi"/>
          <w:snapToGrid/>
          <w:szCs w:val="22"/>
        </w:rPr>
        <w:t>identifying</w:t>
      </w:r>
      <w:r w:rsidR="00B103FC" w:rsidRPr="00334179">
        <w:rPr>
          <w:rFonts w:asciiTheme="minorHAnsi" w:eastAsiaTheme="minorHAnsi" w:hAnsiTheme="minorHAnsi" w:cstheme="minorHAnsi"/>
          <w:snapToGrid/>
          <w:szCs w:val="22"/>
        </w:rPr>
        <w:t xml:space="preserve"> optimal target populations and then predicting their probable responses to treatment.</w:t>
      </w:r>
    </w:p>
    <w:p w14:paraId="31EFB199" w14:textId="77777777" w:rsidR="00B103FC" w:rsidRPr="00291F38" w:rsidRDefault="00B103FC" w:rsidP="00291F38">
      <w:pPr>
        <w:pStyle w:val="ListParagraph"/>
        <w:rPr>
          <w:rFonts w:asciiTheme="minorHAnsi" w:eastAsiaTheme="minorHAnsi" w:hAnsiTheme="minorHAnsi" w:cstheme="minorHAnsi"/>
          <w:snapToGrid/>
          <w:szCs w:val="22"/>
        </w:rPr>
      </w:pPr>
    </w:p>
    <w:p w14:paraId="7C91726D" w14:textId="0DF69460" w:rsidR="008611FA" w:rsidRPr="00F544D1" w:rsidRDefault="00B103FC" w:rsidP="00175529">
      <w:pPr>
        <w:pStyle w:val="ListParagraph"/>
        <w:widowControl/>
        <w:numPr>
          <w:ilvl w:val="1"/>
          <w:numId w:val="2"/>
        </w:numPr>
        <w:spacing w:before="120" w:after="160"/>
        <w:jc w:val="left"/>
        <w:rPr>
          <w:rFonts w:asciiTheme="minorHAnsi" w:eastAsiaTheme="minorHAnsi" w:hAnsiTheme="minorHAnsi" w:cstheme="minorHAnsi"/>
          <w:snapToGrid/>
          <w:szCs w:val="22"/>
        </w:rPr>
      </w:pPr>
      <w:r w:rsidRPr="00E7195F">
        <w:rPr>
          <w:rFonts w:asciiTheme="minorHAnsi" w:eastAsiaTheme="minorHAnsi" w:hAnsiTheme="minorHAnsi" w:cstheme="minorHAnsi"/>
          <w:snapToGrid/>
          <w:szCs w:val="22"/>
        </w:rPr>
        <w:t xml:space="preserve">Moreover, in most cases, results from trials </w:t>
      </w:r>
      <w:r w:rsidR="0085692A" w:rsidRPr="00E7195F">
        <w:rPr>
          <w:rFonts w:asciiTheme="minorHAnsi" w:eastAsiaTheme="minorHAnsi" w:hAnsiTheme="minorHAnsi" w:cstheme="minorHAnsi"/>
          <w:snapToGrid/>
          <w:szCs w:val="22"/>
        </w:rPr>
        <w:t>a</w:t>
      </w:r>
      <w:r w:rsidRPr="00E7195F">
        <w:rPr>
          <w:rFonts w:asciiTheme="minorHAnsi" w:eastAsiaTheme="minorHAnsi" w:hAnsiTheme="minorHAnsi" w:cstheme="minorHAnsi"/>
          <w:snapToGrid/>
          <w:szCs w:val="22"/>
        </w:rPr>
        <w:t xml:space="preserve">re still early in terms of estimating overall and comparative benefits, factors of key importance for PBS reimbursement decision-making </w:t>
      </w:r>
      <w:r w:rsidRPr="00E7195F">
        <w:rPr>
          <w:rFonts w:asciiTheme="minorHAnsi" w:eastAsiaTheme="minorHAnsi" w:hAnsiTheme="minorHAnsi" w:cstheme="minorHAnsi"/>
          <w:snapToGrid/>
          <w:szCs w:val="22"/>
        </w:rPr>
        <w:lastRenderedPageBreak/>
        <w:t xml:space="preserve">under the </w:t>
      </w:r>
      <w:r w:rsidRPr="00175529">
        <w:rPr>
          <w:rFonts w:asciiTheme="minorHAnsi" w:eastAsiaTheme="minorHAnsi" w:hAnsiTheme="minorHAnsi" w:cstheme="minorHAnsi"/>
          <w:i/>
          <w:snapToGrid/>
          <w:szCs w:val="22"/>
        </w:rPr>
        <w:t>National Health Act 1953</w:t>
      </w:r>
      <w:r w:rsidRPr="00175529">
        <w:rPr>
          <w:rFonts w:asciiTheme="minorHAnsi" w:eastAsiaTheme="minorHAnsi" w:hAnsiTheme="minorHAnsi" w:cstheme="minorHAnsi"/>
          <w:snapToGrid/>
          <w:szCs w:val="22"/>
        </w:rPr>
        <w:t xml:space="preserve">. </w:t>
      </w:r>
      <w:r w:rsidR="008611FA" w:rsidRPr="00175529">
        <w:rPr>
          <w:rFonts w:asciiTheme="minorHAnsi" w:eastAsiaTheme="minorHAnsi" w:hAnsiTheme="minorHAnsi" w:cstheme="minorHAnsi"/>
          <w:snapToGrid/>
          <w:szCs w:val="22"/>
        </w:rPr>
        <w:t xml:space="preserve">The early information that is available from clinical </w:t>
      </w:r>
      <w:r w:rsidR="008611FA" w:rsidRPr="00CA5AA0">
        <w:rPr>
          <w:rFonts w:asciiTheme="minorHAnsi" w:eastAsiaTheme="minorHAnsi" w:hAnsiTheme="minorHAnsi" w:cstheme="minorHAnsi"/>
          <w:snapToGrid/>
          <w:szCs w:val="22"/>
        </w:rPr>
        <w:t>studies can be limited to tumour response or progression-free survival data.  Although these measures are both important, they do not always translate to an improvement in overall patient survival</w:t>
      </w:r>
      <w:r w:rsidR="00703179">
        <w:rPr>
          <w:rFonts w:asciiTheme="minorHAnsi" w:eastAsiaTheme="minorHAnsi" w:hAnsiTheme="minorHAnsi" w:cstheme="minorHAnsi"/>
          <w:snapToGrid/>
          <w:szCs w:val="22"/>
        </w:rPr>
        <w:t>,</w:t>
      </w:r>
      <w:r w:rsidR="00C8536E" w:rsidRPr="00CA5AA0">
        <w:rPr>
          <w:rFonts w:asciiTheme="minorHAnsi" w:eastAsiaTheme="minorHAnsi" w:hAnsiTheme="minorHAnsi" w:cstheme="minorHAnsi"/>
          <w:snapToGrid/>
          <w:szCs w:val="22"/>
        </w:rPr>
        <w:t xml:space="preserve"> or length of life</w:t>
      </w:r>
      <w:r w:rsidR="00703179">
        <w:rPr>
          <w:rFonts w:asciiTheme="minorHAnsi" w:eastAsiaTheme="minorHAnsi" w:hAnsiTheme="minorHAnsi" w:cstheme="minorHAnsi"/>
          <w:snapToGrid/>
          <w:szCs w:val="22"/>
        </w:rPr>
        <w:t>, or to an improvement in quality of life</w:t>
      </w:r>
      <w:r w:rsidR="00C8536E" w:rsidRPr="00CA5AA0">
        <w:rPr>
          <w:rFonts w:asciiTheme="minorHAnsi" w:eastAsiaTheme="minorHAnsi" w:hAnsiTheme="minorHAnsi" w:cstheme="minorHAnsi"/>
          <w:snapToGrid/>
          <w:szCs w:val="22"/>
        </w:rPr>
        <w:t>.</w:t>
      </w:r>
      <w:r w:rsidR="00E7195F" w:rsidRPr="00CA5AA0">
        <w:rPr>
          <w:rFonts w:asciiTheme="minorHAnsi" w:eastAsiaTheme="minorHAnsi" w:hAnsiTheme="minorHAnsi" w:cstheme="minorHAnsi"/>
          <w:snapToGrid/>
          <w:szCs w:val="22"/>
        </w:rPr>
        <w:t xml:space="preserve">  </w:t>
      </w:r>
      <w:r w:rsidR="00E7195F" w:rsidRPr="00F544D1">
        <w:rPr>
          <w:rFonts w:asciiTheme="minorHAnsi" w:eastAsiaTheme="minorHAnsi" w:hAnsiTheme="minorHAnsi" w:cstheme="minorHAnsi"/>
          <w:snapToGrid/>
          <w:szCs w:val="22"/>
        </w:rPr>
        <w:t xml:space="preserve">The available information for PD-1 and PD-L1 inhibitors also suggests that </w:t>
      </w:r>
      <w:r w:rsidR="005B6D3A" w:rsidRPr="00F544D1">
        <w:rPr>
          <w:rFonts w:asciiTheme="minorHAnsi" w:eastAsiaTheme="minorHAnsi" w:hAnsiTheme="minorHAnsi" w:cstheme="minorHAnsi"/>
          <w:snapToGrid/>
          <w:szCs w:val="22"/>
        </w:rPr>
        <w:t xml:space="preserve">often </w:t>
      </w:r>
      <w:r w:rsidR="00E7195F" w:rsidRPr="00F544D1">
        <w:rPr>
          <w:rFonts w:asciiTheme="minorHAnsi" w:eastAsiaTheme="minorHAnsi" w:hAnsiTheme="minorHAnsi" w:cstheme="minorHAnsi"/>
          <w:snapToGrid/>
          <w:szCs w:val="22"/>
        </w:rPr>
        <w:t xml:space="preserve">only a </w:t>
      </w:r>
      <w:r w:rsidR="00175529" w:rsidRPr="00F544D1">
        <w:rPr>
          <w:rFonts w:asciiTheme="minorHAnsi" w:eastAsiaTheme="minorHAnsi" w:hAnsiTheme="minorHAnsi" w:cstheme="minorHAnsi"/>
          <w:snapToGrid/>
          <w:szCs w:val="22"/>
        </w:rPr>
        <w:t xml:space="preserve">small </w:t>
      </w:r>
      <w:r w:rsidR="00E7195F" w:rsidRPr="00F544D1">
        <w:rPr>
          <w:rFonts w:asciiTheme="minorHAnsi" w:eastAsiaTheme="minorHAnsi" w:hAnsiTheme="minorHAnsi" w:cstheme="minorHAnsi"/>
          <w:snapToGrid/>
          <w:szCs w:val="22"/>
        </w:rPr>
        <w:t>fraction of patients will experience a long-term durable response</w:t>
      </w:r>
      <w:r w:rsidR="00E5079A" w:rsidRPr="00CA5AA0">
        <w:rPr>
          <w:rFonts w:asciiTheme="minorHAnsi" w:eastAsiaTheme="minorHAnsi" w:hAnsiTheme="minorHAnsi" w:cstheme="minorHAnsi"/>
          <w:snapToGrid/>
          <w:szCs w:val="22"/>
        </w:rPr>
        <w:t>.</w:t>
      </w:r>
      <w:r w:rsidR="00175529" w:rsidRPr="00CA5AA0">
        <w:rPr>
          <w:rStyle w:val="EndnoteReference"/>
          <w:rFonts w:asciiTheme="minorHAnsi" w:eastAsiaTheme="minorHAnsi" w:hAnsiTheme="minorHAnsi" w:cstheme="minorHAnsi"/>
          <w:snapToGrid/>
          <w:szCs w:val="22"/>
        </w:rPr>
        <w:endnoteReference w:id="10"/>
      </w:r>
    </w:p>
    <w:p w14:paraId="232C0AEB" w14:textId="77777777" w:rsidR="00E7195F" w:rsidRPr="00E7195F" w:rsidRDefault="00E7195F" w:rsidP="00175529">
      <w:pPr>
        <w:pStyle w:val="ListParagraph"/>
        <w:widowControl/>
        <w:spacing w:before="120" w:after="160"/>
        <w:jc w:val="left"/>
        <w:rPr>
          <w:rFonts w:asciiTheme="minorHAnsi" w:eastAsiaTheme="minorHAnsi" w:hAnsiTheme="minorHAnsi" w:cstheme="minorHAnsi"/>
          <w:snapToGrid/>
          <w:szCs w:val="22"/>
        </w:rPr>
      </w:pPr>
    </w:p>
    <w:p w14:paraId="72DFB828" w14:textId="2B4ABB21" w:rsidR="00B103FC" w:rsidRDefault="00B103FC" w:rsidP="00417BF5">
      <w:pPr>
        <w:pStyle w:val="ListParagraph"/>
        <w:widowControl/>
        <w:numPr>
          <w:ilvl w:val="1"/>
          <w:numId w:val="2"/>
        </w:numPr>
        <w:spacing w:before="120" w:after="160"/>
        <w:jc w:val="left"/>
        <w:rPr>
          <w:rFonts w:asciiTheme="minorHAnsi" w:eastAsiaTheme="minorHAnsi" w:hAnsiTheme="minorHAnsi" w:cstheme="minorHAnsi"/>
          <w:snapToGrid/>
          <w:szCs w:val="22"/>
        </w:rPr>
        <w:sectPr w:rsidR="00B103FC" w:rsidSect="00291F38">
          <w:headerReference w:type="even" r:id="rId11"/>
          <w:headerReference w:type="default" r:id="rId12"/>
          <w:footerReference w:type="even" r:id="rId13"/>
          <w:footerReference w:type="default" r:id="rId14"/>
          <w:headerReference w:type="first" r:id="rId15"/>
          <w:footerReference w:type="first" r:id="rId16"/>
          <w:pgSz w:w="11906" w:h="16838" w:code="9"/>
          <w:pgMar w:top="1304" w:right="1418" w:bottom="1134" w:left="1418" w:header="567" w:footer="1134" w:gutter="0"/>
          <w:pgNumType w:start="1"/>
          <w:cols w:space="708"/>
          <w:titlePg/>
          <w:docGrid w:linePitch="360"/>
        </w:sectPr>
      </w:pPr>
      <w:r>
        <w:rPr>
          <w:rFonts w:asciiTheme="minorHAnsi" w:eastAsiaTheme="minorHAnsi" w:hAnsiTheme="minorHAnsi" w:cstheme="minorHAnsi"/>
          <w:snapToGrid/>
          <w:szCs w:val="22"/>
        </w:rPr>
        <w:t xml:space="preserve">The reliance on data from early studies can be misleading.  The potential benefits may be exaggerated and </w:t>
      </w:r>
      <w:r w:rsidR="00B049E3">
        <w:rPr>
          <w:rFonts w:asciiTheme="minorHAnsi" w:eastAsiaTheme="minorHAnsi" w:hAnsiTheme="minorHAnsi" w:cstheme="minorHAnsi"/>
          <w:snapToGrid/>
          <w:szCs w:val="22"/>
        </w:rPr>
        <w:t xml:space="preserve">consequently </w:t>
      </w:r>
      <w:r>
        <w:rPr>
          <w:rFonts w:asciiTheme="minorHAnsi" w:eastAsiaTheme="minorHAnsi" w:hAnsiTheme="minorHAnsi" w:cstheme="minorHAnsi"/>
          <w:snapToGrid/>
          <w:szCs w:val="22"/>
        </w:rPr>
        <w:t>be found to be smaller when longer term data becomes available. Safety problems may not yet be revealed which would have been observed through longer term pathways.</w:t>
      </w:r>
      <w:r>
        <w:rPr>
          <w:rStyle w:val="EndnoteReference"/>
          <w:rFonts w:asciiTheme="minorHAnsi" w:eastAsiaTheme="minorHAnsi" w:hAnsiTheme="minorHAnsi" w:cstheme="minorHAnsi"/>
          <w:snapToGrid/>
          <w:szCs w:val="22"/>
        </w:rPr>
        <w:endnoteReference w:id="11"/>
      </w:r>
      <w:r>
        <w:rPr>
          <w:rFonts w:asciiTheme="minorHAnsi" w:eastAsiaTheme="minorHAnsi" w:hAnsiTheme="minorHAnsi" w:cstheme="minorHAnsi"/>
          <w:snapToGrid/>
          <w:szCs w:val="22"/>
        </w:rPr>
        <w:t xml:space="preserve"> </w:t>
      </w:r>
      <w:r w:rsidR="00DB2EE9">
        <w:rPr>
          <w:rFonts w:asciiTheme="minorHAnsi" w:eastAsiaTheme="minorHAnsi" w:hAnsiTheme="minorHAnsi" w:cstheme="minorHAnsi"/>
          <w:snapToGrid/>
          <w:szCs w:val="22"/>
        </w:rPr>
        <w:t xml:space="preserve"> The converse may also be true.</w:t>
      </w:r>
    </w:p>
    <w:p w14:paraId="0BA8BA6A" w14:textId="41464DFA" w:rsidR="00B103FC" w:rsidRDefault="00B103FC" w:rsidP="00B103FC">
      <w:r w:rsidRPr="003C606C">
        <w:rPr>
          <w:rFonts w:asciiTheme="minorHAnsi" w:hAnsiTheme="minorHAnsi"/>
          <w:b/>
        </w:rPr>
        <w:lastRenderedPageBreak/>
        <w:t>Summary of data available to PBAC at the time it</w:t>
      </w:r>
      <w:r w:rsidR="00DB6BBB">
        <w:rPr>
          <w:rFonts w:asciiTheme="minorHAnsi" w:hAnsiTheme="minorHAnsi"/>
          <w:b/>
        </w:rPr>
        <w:t xml:space="preserve"> first</w:t>
      </w:r>
      <w:r w:rsidRPr="003C606C">
        <w:rPr>
          <w:rFonts w:asciiTheme="minorHAnsi" w:hAnsiTheme="minorHAnsi"/>
          <w:b/>
        </w:rPr>
        <w:t xml:space="preserve"> recommended/deferred</w:t>
      </w:r>
      <w:r w:rsidRPr="003C606C">
        <w:rPr>
          <w:rStyle w:val="FootnoteReference"/>
          <w:rFonts w:asciiTheme="minorHAnsi" w:hAnsiTheme="minorHAnsi"/>
          <w:b/>
        </w:rPr>
        <w:footnoteReference w:id="1"/>
      </w:r>
      <w:r w:rsidRPr="003C606C">
        <w:rPr>
          <w:rFonts w:asciiTheme="minorHAnsi" w:hAnsiTheme="minorHAnsi"/>
          <w:b/>
        </w:rPr>
        <w:t xml:space="preserve"> subsidy</w:t>
      </w:r>
    </w:p>
    <w:tbl>
      <w:tblPr>
        <w:tblStyle w:val="TableClassic2"/>
        <w:tblW w:w="0" w:type="auto"/>
        <w:tblLook w:val="04A0" w:firstRow="1" w:lastRow="0" w:firstColumn="1" w:lastColumn="0" w:noHBand="0" w:noVBand="1"/>
        <w:tblCaption w:val="Summary of data available to PBAC at the time it first recommended/deferred subsidy"/>
        <w:tblDescription w:val="Table containing a summary of data available to PBAC at the time it first recommended/deferred subsidy for PBS listed PD-1 and PD-L1 checkpoint inhibitor immunotherapies"/>
      </w:tblPr>
      <w:tblGrid>
        <w:gridCol w:w="2024"/>
        <w:gridCol w:w="2025"/>
        <w:gridCol w:w="2025"/>
        <w:gridCol w:w="2025"/>
        <w:gridCol w:w="2025"/>
        <w:gridCol w:w="2025"/>
        <w:gridCol w:w="2025"/>
      </w:tblGrid>
      <w:tr w:rsidR="00B103FC" w:rsidRPr="006D04A6" w14:paraId="75A8CE00" w14:textId="77777777" w:rsidTr="009C14A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24" w:type="dxa"/>
          </w:tcPr>
          <w:p w14:paraId="63042CED" w14:textId="77777777" w:rsidR="00B103FC" w:rsidRPr="00130FCD" w:rsidRDefault="00B103FC" w:rsidP="007C3154">
            <w:pPr>
              <w:rPr>
                <w:rFonts w:asciiTheme="minorHAnsi" w:hAnsiTheme="minorHAnsi"/>
                <w:sz w:val="22"/>
                <w:szCs w:val="22"/>
              </w:rPr>
            </w:pPr>
          </w:p>
        </w:tc>
        <w:tc>
          <w:tcPr>
            <w:tcW w:w="2025" w:type="dxa"/>
          </w:tcPr>
          <w:p w14:paraId="323C77AF" w14:textId="77777777" w:rsidR="00B103FC" w:rsidRPr="00130FCD" w:rsidRDefault="00B103FC" w:rsidP="007C3154">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Melanoma</w:t>
            </w:r>
          </w:p>
        </w:tc>
        <w:tc>
          <w:tcPr>
            <w:tcW w:w="2025" w:type="dxa"/>
          </w:tcPr>
          <w:p w14:paraId="54C84A84" w14:textId="77777777" w:rsidR="00B103FC" w:rsidRPr="00130FCD" w:rsidRDefault="00B103FC" w:rsidP="007C3154">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 xml:space="preserve">Lung First Line </w:t>
            </w:r>
          </w:p>
        </w:tc>
        <w:tc>
          <w:tcPr>
            <w:tcW w:w="2025" w:type="dxa"/>
          </w:tcPr>
          <w:p w14:paraId="22DF90E8" w14:textId="77777777" w:rsidR="00B103FC" w:rsidRPr="00130FCD" w:rsidRDefault="00B103FC" w:rsidP="007C3154">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Lung Second Line</w:t>
            </w:r>
          </w:p>
        </w:tc>
        <w:tc>
          <w:tcPr>
            <w:tcW w:w="2025" w:type="dxa"/>
          </w:tcPr>
          <w:p w14:paraId="75C6DDC8" w14:textId="77777777" w:rsidR="00B103FC" w:rsidRPr="00130FCD" w:rsidRDefault="00B103FC" w:rsidP="007C3154">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Kidney</w:t>
            </w:r>
          </w:p>
        </w:tc>
        <w:tc>
          <w:tcPr>
            <w:tcW w:w="2025" w:type="dxa"/>
          </w:tcPr>
          <w:p w14:paraId="69374920" w14:textId="77777777" w:rsidR="00B103FC" w:rsidRPr="00130FCD" w:rsidRDefault="00B103FC" w:rsidP="007C3154">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Hodgkin disease</w:t>
            </w:r>
          </w:p>
        </w:tc>
        <w:tc>
          <w:tcPr>
            <w:tcW w:w="2025" w:type="dxa"/>
          </w:tcPr>
          <w:p w14:paraId="08FD3A0E" w14:textId="77777777" w:rsidR="00B103FC" w:rsidRPr="00130FCD" w:rsidRDefault="00B103FC" w:rsidP="007C3154">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Head and Neck Cancer</w:t>
            </w:r>
          </w:p>
        </w:tc>
      </w:tr>
      <w:tr w:rsidR="00B103FC" w:rsidRPr="006D04A6" w14:paraId="08876F9B" w14:textId="77777777" w:rsidTr="007C3154">
        <w:tc>
          <w:tcPr>
            <w:cnfStyle w:val="001000000000" w:firstRow="0" w:lastRow="0" w:firstColumn="1" w:lastColumn="0" w:oddVBand="0" w:evenVBand="0" w:oddHBand="0" w:evenHBand="0" w:firstRowFirstColumn="0" w:firstRowLastColumn="0" w:lastRowFirstColumn="0" w:lastRowLastColumn="0"/>
            <w:tcW w:w="2024" w:type="dxa"/>
          </w:tcPr>
          <w:p w14:paraId="67F3C890" w14:textId="77777777" w:rsidR="00B103FC" w:rsidRPr="00130FCD" w:rsidRDefault="00B103FC">
            <w:pPr>
              <w:spacing w:after="120"/>
              <w:rPr>
                <w:rFonts w:asciiTheme="minorHAnsi" w:hAnsiTheme="minorHAnsi"/>
                <w:sz w:val="22"/>
                <w:szCs w:val="22"/>
              </w:rPr>
            </w:pPr>
            <w:r w:rsidRPr="00130FCD">
              <w:rPr>
                <w:rFonts w:asciiTheme="minorHAnsi" w:hAnsiTheme="minorHAnsi"/>
                <w:sz w:val="22"/>
                <w:szCs w:val="22"/>
              </w:rPr>
              <w:t>Medicine</w:t>
            </w:r>
          </w:p>
        </w:tc>
        <w:tc>
          <w:tcPr>
            <w:tcW w:w="2025" w:type="dxa"/>
          </w:tcPr>
          <w:p w14:paraId="0E62322E"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Pembrolizumab</w:t>
            </w:r>
            <w:r w:rsidRPr="00130FCD">
              <w:rPr>
                <w:rStyle w:val="FootnoteReference"/>
                <w:rFonts w:asciiTheme="minorHAnsi" w:hAnsiTheme="minorHAnsi"/>
                <w:sz w:val="22"/>
                <w:szCs w:val="22"/>
              </w:rPr>
              <w:footnoteReference w:id="2"/>
            </w:r>
          </w:p>
        </w:tc>
        <w:tc>
          <w:tcPr>
            <w:tcW w:w="2025" w:type="dxa"/>
          </w:tcPr>
          <w:p w14:paraId="682BB778"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Pembrolizumab</w:t>
            </w:r>
            <w:r w:rsidRPr="00130FCD">
              <w:rPr>
                <w:rFonts w:asciiTheme="minorHAnsi" w:hAnsiTheme="minorHAnsi"/>
                <w:sz w:val="22"/>
                <w:szCs w:val="22"/>
                <w:vertAlign w:val="superscript"/>
              </w:rPr>
              <w:t>1</w:t>
            </w:r>
          </w:p>
        </w:tc>
        <w:tc>
          <w:tcPr>
            <w:tcW w:w="2025" w:type="dxa"/>
          </w:tcPr>
          <w:p w14:paraId="702A6F9A"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Nivolumab</w:t>
            </w:r>
            <w:r w:rsidRPr="00130FCD">
              <w:rPr>
                <w:rFonts w:asciiTheme="minorHAnsi" w:hAnsiTheme="minorHAnsi"/>
                <w:sz w:val="22"/>
                <w:szCs w:val="22"/>
                <w:vertAlign w:val="superscript"/>
              </w:rPr>
              <w:t>1,</w:t>
            </w:r>
            <w:r w:rsidRPr="00130FCD">
              <w:rPr>
                <w:rStyle w:val="FootnoteReference"/>
                <w:rFonts w:asciiTheme="minorHAnsi" w:hAnsiTheme="minorHAnsi"/>
                <w:sz w:val="22"/>
                <w:szCs w:val="22"/>
              </w:rPr>
              <w:footnoteReference w:id="3"/>
            </w:r>
          </w:p>
        </w:tc>
        <w:tc>
          <w:tcPr>
            <w:tcW w:w="2025" w:type="dxa"/>
          </w:tcPr>
          <w:p w14:paraId="27084E33"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Nivolumab</w:t>
            </w:r>
          </w:p>
        </w:tc>
        <w:tc>
          <w:tcPr>
            <w:tcW w:w="2025" w:type="dxa"/>
          </w:tcPr>
          <w:p w14:paraId="04ACB9B2"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Pembrolizumab</w:t>
            </w:r>
          </w:p>
        </w:tc>
        <w:tc>
          <w:tcPr>
            <w:tcW w:w="2025" w:type="dxa"/>
          </w:tcPr>
          <w:p w14:paraId="715C99DC"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Nivolumab</w:t>
            </w:r>
          </w:p>
        </w:tc>
      </w:tr>
      <w:tr w:rsidR="00B103FC" w:rsidRPr="006D04A6" w14:paraId="66938620" w14:textId="77777777" w:rsidTr="007C3154">
        <w:tc>
          <w:tcPr>
            <w:cnfStyle w:val="001000000000" w:firstRow="0" w:lastRow="0" w:firstColumn="1" w:lastColumn="0" w:oddVBand="0" w:evenVBand="0" w:oddHBand="0" w:evenHBand="0" w:firstRowFirstColumn="0" w:firstRowLastColumn="0" w:lastRowFirstColumn="0" w:lastRowLastColumn="0"/>
            <w:tcW w:w="2024" w:type="dxa"/>
          </w:tcPr>
          <w:p w14:paraId="4ED14953" w14:textId="77777777" w:rsidR="00B103FC" w:rsidRPr="00130FCD" w:rsidRDefault="00B103FC">
            <w:pPr>
              <w:spacing w:after="120"/>
              <w:rPr>
                <w:rFonts w:asciiTheme="minorHAnsi" w:hAnsiTheme="minorHAnsi"/>
                <w:sz w:val="22"/>
                <w:szCs w:val="22"/>
              </w:rPr>
            </w:pPr>
            <w:r w:rsidRPr="00130FCD">
              <w:rPr>
                <w:rFonts w:asciiTheme="minorHAnsi" w:hAnsiTheme="minorHAnsi"/>
                <w:sz w:val="22"/>
                <w:szCs w:val="22"/>
              </w:rPr>
              <w:t>PSD</w:t>
            </w:r>
          </w:p>
        </w:tc>
        <w:tc>
          <w:tcPr>
            <w:tcW w:w="2025" w:type="dxa"/>
          </w:tcPr>
          <w:p w14:paraId="4DF6E1F3"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March 2015</w:t>
            </w:r>
          </w:p>
        </w:tc>
        <w:tc>
          <w:tcPr>
            <w:tcW w:w="2025" w:type="dxa"/>
          </w:tcPr>
          <w:p w14:paraId="1346F73B"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November 2017</w:t>
            </w:r>
          </w:p>
        </w:tc>
        <w:tc>
          <w:tcPr>
            <w:tcW w:w="2025" w:type="dxa"/>
          </w:tcPr>
          <w:p w14:paraId="24873EA5"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November 2016</w:t>
            </w:r>
          </w:p>
        </w:tc>
        <w:tc>
          <w:tcPr>
            <w:tcW w:w="2025" w:type="dxa"/>
          </w:tcPr>
          <w:p w14:paraId="737AF9DC"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March 2017</w:t>
            </w:r>
          </w:p>
        </w:tc>
        <w:tc>
          <w:tcPr>
            <w:tcW w:w="2025" w:type="dxa"/>
          </w:tcPr>
          <w:p w14:paraId="4FD0566C"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July 2017</w:t>
            </w:r>
          </w:p>
        </w:tc>
        <w:tc>
          <w:tcPr>
            <w:tcW w:w="2025" w:type="dxa"/>
          </w:tcPr>
          <w:p w14:paraId="06903D7D"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November 2017</w:t>
            </w:r>
            <w:r>
              <w:rPr>
                <w:rStyle w:val="FootnoteReference"/>
                <w:rFonts w:asciiTheme="minorHAnsi" w:hAnsiTheme="minorHAnsi"/>
                <w:sz w:val="22"/>
                <w:szCs w:val="22"/>
              </w:rPr>
              <w:footnoteReference w:id="4"/>
            </w:r>
          </w:p>
        </w:tc>
      </w:tr>
      <w:tr w:rsidR="00B103FC" w:rsidRPr="006D04A6" w14:paraId="31D75367" w14:textId="77777777" w:rsidTr="007C3154">
        <w:tc>
          <w:tcPr>
            <w:cnfStyle w:val="001000000000" w:firstRow="0" w:lastRow="0" w:firstColumn="1" w:lastColumn="0" w:oddVBand="0" w:evenVBand="0" w:oddHBand="0" w:evenHBand="0" w:firstRowFirstColumn="0" w:firstRowLastColumn="0" w:lastRowFirstColumn="0" w:lastRowLastColumn="0"/>
            <w:tcW w:w="2024" w:type="dxa"/>
          </w:tcPr>
          <w:p w14:paraId="448D6FC9" w14:textId="77777777" w:rsidR="00B103FC" w:rsidRPr="00130FCD" w:rsidRDefault="00B103FC">
            <w:pPr>
              <w:spacing w:after="120"/>
              <w:rPr>
                <w:rFonts w:asciiTheme="minorHAnsi" w:hAnsiTheme="minorHAnsi"/>
                <w:sz w:val="22"/>
                <w:szCs w:val="22"/>
              </w:rPr>
            </w:pPr>
            <w:r w:rsidRPr="00130FCD">
              <w:rPr>
                <w:rFonts w:asciiTheme="minorHAnsi" w:hAnsiTheme="minorHAnsi"/>
                <w:sz w:val="22"/>
                <w:szCs w:val="22"/>
              </w:rPr>
              <w:t>Age cohort studied</w:t>
            </w:r>
          </w:p>
        </w:tc>
        <w:tc>
          <w:tcPr>
            <w:tcW w:w="2025" w:type="dxa"/>
          </w:tcPr>
          <w:p w14:paraId="01065D05"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Mean 60 years</w:t>
            </w:r>
          </w:p>
        </w:tc>
        <w:tc>
          <w:tcPr>
            <w:tcW w:w="2025" w:type="dxa"/>
          </w:tcPr>
          <w:p w14:paraId="6C2B4AFA"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Mean 64 years</w:t>
            </w:r>
          </w:p>
        </w:tc>
        <w:tc>
          <w:tcPr>
            <w:tcW w:w="2025" w:type="dxa"/>
          </w:tcPr>
          <w:p w14:paraId="53E84192"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Mean  62 years</w:t>
            </w:r>
          </w:p>
        </w:tc>
        <w:tc>
          <w:tcPr>
            <w:tcW w:w="2025" w:type="dxa"/>
          </w:tcPr>
          <w:p w14:paraId="102860DF"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Mean 60 years</w:t>
            </w:r>
          </w:p>
        </w:tc>
        <w:tc>
          <w:tcPr>
            <w:tcW w:w="2025" w:type="dxa"/>
          </w:tcPr>
          <w:p w14:paraId="781914E3"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Mean 40 years</w:t>
            </w:r>
          </w:p>
        </w:tc>
        <w:tc>
          <w:tcPr>
            <w:tcW w:w="2025" w:type="dxa"/>
          </w:tcPr>
          <w:p w14:paraId="75434C69"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Mean 59 years</w:t>
            </w:r>
          </w:p>
        </w:tc>
      </w:tr>
      <w:tr w:rsidR="00B103FC" w:rsidRPr="006D04A6" w14:paraId="534F9C3A" w14:textId="77777777" w:rsidTr="007C3154">
        <w:tc>
          <w:tcPr>
            <w:cnfStyle w:val="001000000000" w:firstRow="0" w:lastRow="0" w:firstColumn="1" w:lastColumn="0" w:oddVBand="0" w:evenVBand="0" w:oddHBand="0" w:evenHBand="0" w:firstRowFirstColumn="0" w:firstRowLastColumn="0" w:lastRowFirstColumn="0" w:lastRowLastColumn="0"/>
            <w:tcW w:w="2024" w:type="dxa"/>
          </w:tcPr>
          <w:p w14:paraId="2CA7689E" w14:textId="77777777" w:rsidR="00B103FC" w:rsidRPr="00130FCD" w:rsidRDefault="00B103FC">
            <w:pPr>
              <w:spacing w:after="120"/>
              <w:rPr>
                <w:rFonts w:asciiTheme="minorHAnsi" w:hAnsiTheme="minorHAnsi"/>
                <w:sz w:val="22"/>
                <w:szCs w:val="22"/>
              </w:rPr>
            </w:pPr>
            <w:r w:rsidRPr="00130FCD">
              <w:rPr>
                <w:rFonts w:asciiTheme="minorHAnsi" w:hAnsiTheme="minorHAnsi"/>
                <w:sz w:val="22"/>
                <w:szCs w:val="22"/>
              </w:rPr>
              <w:t>Comparator</w:t>
            </w:r>
          </w:p>
        </w:tc>
        <w:tc>
          <w:tcPr>
            <w:tcW w:w="2025" w:type="dxa"/>
          </w:tcPr>
          <w:p w14:paraId="2D6532D7"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Ipilimumab</w:t>
            </w:r>
          </w:p>
        </w:tc>
        <w:tc>
          <w:tcPr>
            <w:tcW w:w="2025" w:type="dxa"/>
          </w:tcPr>
          <w:p w14:paraId="1E5C39D9"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Platinum based doublet chemotherapy</w:t>
            </w:r>
          </w:p>
        </w:tc>
        <w:tc>
          <w:tcPr>
            <w:tcW w:w="2025" w:type="dxa"/>
          </w:tcPr>
          <w:p w14:paraId="53240835"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Docetaxel (squamous)</w:t>
            </w:r>
          </w:p>
          <w:p w14:paraId="285BB2F2"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roofErr w:type="spellStart"/>
            <w:r w:rsidRPr="00130FCD">
              <w:rPr>
                <w:rFonts w:asciiTheme="minorHAnsi" w:hAnsiTheme="minorHAnsi"/>
                <w:sz w:val="22"/>
                <w:szCs w:val="22"/>
              </w:rPr>
              <w:t>Pemetrexed</w:t>
            </w:r>
            <w:proofErr w:type="spellEnd"/>
            <w:r w:rsidRPr="00130FCD">
              <w:rPr>
                <w:rFonts w:asciiTheme="minorHAnsi" w:hAnsiTheme="minorHAnsi"/>
                <w:sz w:val="22"/>
                <w:szCs w:val="22"/>
              </w:rPr>
              <w:t xml:space="preserve"> (non-squamous)</w:t>
            </w:r>
          </w:p>
        </w:tc>
        <w:tc>
          <w:tcPr>
            <w:tcW w:w="2025" w:type="dxa"/>
          </w:tcPr>
          <w:p w14:paraId="60ECB1A6"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roofErr w:type="spellStart"/>
            <w:r w:rsidRPr="00130FCD">
              <w:rPr>
                <w:rFonts w:asciiTheme="minorHAnsi" w:hAnsiTheme="minorHAnsi"/>
                <w:sz w:val="22"/>
                <w:szCs w:val="22"/>
              </w:rPr>
              <w:t>Everolimus</w:t>
            </w:r>
            <w:proofErr w:type="spellEnd"/>
          </w:p>
        </w:tc>
        <w:tc>
          <w:tcPr>
            <w:tcW w:w="2025" w:type="dxa"/>
          </w:tcPr>
          <w:p w14:paraId="73680EEF"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Brentuximab vedotin</w:t>
            </w:r>
          </w:p>
        </w:tc>
        <w:tc>
          <w:tcPr>
            <w:tcW w:w="2025" w:type="dxa"/>
          </w:tcPr>
          <w:p w14:paraId="7A11DAA9" w14:textId="77777777" w:rsidR="00B103FC" w:rsidRDefault="00B103FC" w:rsidP="00CA5AA0">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Standard of Care:</w:t>
            </w:r>
          </w:p>
          <w:p w14:paraId="19FE7EB5" w14:textId="77777777" w:rsidR="00B103FC" w:rsidRPr="00130FCD" w:rsidRDefault="00B103FC" w:rsidP="00CA5AA0">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Paclitaxel, docetaxel, methotrexate  or </w:t>
            </w:r>
            <w:proofErr w:type="spellStart"/>
            <w:r>
              <w:rPr>
                <w:rFonts w:asciiTheme="minorHAnsi" w:hAnsiTheme="minorHAnsi"/>
                <w:sz w:val="22"/>
                <w:szCs w:val="22"/>
              </w:rPr>
              <w:t>capecitabine</w:t>
            </w:r>
            <w:proofErr w:type="spellEnd"/>
          </w:p>
        </w:tc>
      </w:tr>
      <w:tr w:rsidR="00B103FC" w:rsidRPr="006D04A6" w14:paraId="5765FC4E" w14:textId="77777777" w:rsidTr="007C3154">
        <w:tc>
          <w:tcPr>
            <w:cnfStyle w:val="001000000000" w:firstRow="0" w:lastRow="0" w:firstColumn="1" w:lastColumn="0" w:oddVBand="0" w:evenVBand="0" w:oddHBand="0" w:evenHBand="0" w:firstRowFirstColumn="0" w:firstRowLastColumn="0" w:lastRowFirstColumn="0" w:lastRowLastColumn="0"/>
            <w:tcW w:w="2024" w:type="dxa"/>
          </w:tcPr>
          <w:p w14:paraId="302938EF" w14:textId="77777777" w:rsidR="00B103FC" w:rsidRPr="00130FCD" w:rsidRDefault="00B103FC" w:rsidP="00ED661F">
            <w:pPr>
              <w:spacing w:after="120"/>
              <w:rPr>
                <w:rFonts w:asciiTheme="minorHAnsi" w:hAnsiTheme="minorHAnsi"/>
                <w:sz w:val="22"/>
                <w:szCs w:val="22"/>
              </w:rPr>
            </w:pPr>
            <w:r w:rsidRPr="00130FCD">
              <w:rPr>
                <w:rFonts w:asciiTheme="minorHAnsi" w:hAnsiTheme="minorHAnsi"/>
                <w:sz w:val="22"/>
                <w:szCs w:val="22"/>
              </w:rPr>
              <w:t>Outcome vs comparator</w:t>
            </w:r>
          </w:p>
        </w:tc>
        <w:tc>
          <w:tcPr>
            <w:tcW w:w="2025" w:type="dxa"/>
          </w:tcPr>
          <w:p w14:paraId="2227526E" w14:textId="5DBA67D6" w:rsidR="00B103FC" w:rsidRPr="00CA5AA0" w:rsidRDefault="000F2606"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 xml:space="preserve">Final </w:t>
            </w:r>
            <w:r w:rsidR="00E5079A" w:rsidRPr="00CA5AA0">
              <w:rPr>
                <w:rFonts w:asciiTheme="minorHAnsi" w:hAnsiTheme="minorHAnsi"/>
                <w:sz w:val="22"/>
                <w:szCs w:val="22"/>
              </w:rPr>
              <w:t>OS</w:t>
            </w:r>
            <w:r w:rsidR="002D1F9F" w:rsidRPr="00CA5AA0">
              <w:rPr>
                <w:rFonts w:asciiTheme="minorHAnsi" w:hAnsiTheme="minorHAnsi"/>
                <w:sz w:val="22"/>
                <w:szCs w:val="22"/>
              </w:rPr>
              <w:t xml:space="preserve"> </w:t>
            </w:r>
            <w:r w:rsidR="00E5079A" w:rsidRPr="00CA5AA0">
              <w:rPr>
                <w:rFonts w:asciiTheme="minorHAnsi" w:hAnsiTheme="minorHAnsi"/>
                <w:sz w:val="22"/>
                <w:szCs w:val="22"/>
              </w:rPr>
              <w:t xml:space="preserve">data not available </w:t>
            </w:r>
          </w:p>
          <w:p w14:paraId="39FED9DD" w14:textId="13603428" w:rsidR="00E5079A" w:rsidRPr="00CA5AA0" w:rsidRDefault="00417136" w:rsidP="00CA5AA0">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 xml:space="preserve">Early data: </w:t>
            </w:r>
            <w:r w:rsidR="000F2606" w:rsidRPr="00CA5AA0">
              <w:rPr>
                <w:rFonts w:asciiTheme="minorHAnsi" w:hAnsiTheme="minorHAnsi"/>
                <w:sz w:val="22"/>
                <w:szCs w:val="22"/>
              </w:rPr>
              <w:t>For every 100 patients treated</w:t>
            </w:r>
            <w:r w:rsidR="002D1F9F" w:rsidRPr="00CA5AA0">
              <w:rPr>
                <w:rFonts w:asciiTheme="minorHAnsi" w:hAnsiTheme="minorHAnsi"/>
                <w:sz w:val="22"/>
                <w:szCs w:val="22"/>
              </w:rPr>
              <w:t>,</w:t>
            </w:r>
            <w:r w:rsidR="000F2606" w:rsidRPr="00CA5AA0">
              <w:rPr>
                <w:rFonts w:asciiTheme="minorHAnsi" w:hAnsiTheme="minorHAnsi"/>
                <w:sz w:val="22"/>
                <w:szCs w:val="22"/>
              </w:rPr>
              <w:t xml:space="preserve"> </w:t>
            </w:r>
            <w:r w:rsidR="002D1F9F" w:rsidRPr="00CA5AA0">
              <w:rPr>
                <w:rFonts w:asciiTheme="minorHAnsi" w:hAnsiTheme="minorHAnsi"/>
                <w:sz w:val="22"/>
                <w:szCs w:val="22"/>
              </w:rPr>
              <w:t>10-13 more will be alive</w:t>
            </w:r>
            <w:r w:rsidR="000F2606" w:rsidRPr="00CA5AA0">
              <w:rPr>
                <w:rFonts w:asciiTheme="minorHAnsi" w:hAnsiTheme="minorHAnsi"/>
                <w:sz w:val="22"/>
                <w:szCs w:val="22"/>
              </w:rPr>
              <w:t xml:space="preserve"> at 6 months.</w:t>
            </w:r>
          </w:p>
        </w:tc>
        <w:tc>
          <w:tcPr>
            <w:tcW w:w="2025" w:type="dxa"/>
          </w:tcPr>
          <w:p w14:paraId="0AFE7931" w14:textId="5F7BFC61" w:rsidR="00417136" w:rsidRPr="00CA5AA0" w:rsidRDefault="00417136" w:rsidP="00417136">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Final OS data not available</w:t>
            </w:r>
          </w:p>
          <w:p w14:paraId="00F8CBA1" w14:textId="22501DD2" w:rsidR="00B103FC" w:rsidRPr="00CA5AA0" w:rsidRDefault="00417136" w:rsidP="00845D6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 xml:space="preserve">Early data: </w:t>
            </w:r>
            <w:r w:rsidR="00845D6C">
              <w:rPr>
                <w:rFonts w:asciiTheme="minorHAnsi" w:hAnsiTheme="minorHAnsi"/>
                <w:sz w:val="22"/>
                <w:szCs w:val="22"/>
              </w:rPr>
              <w:t>For every 100 patients treated, 15 more will be alive at 1 year.</w:t>
            </w:r>
            <w:r w:rsidR="00F61191" w:rsidRPr="00CA5AA0">
              <w:rPr>
                <w:rFonts w:asciiTheme="minorHAnsi" w:hAnsiTheme="minorHAnsi"/>
                <w:sz w:val="22"/>
                <w:szCs w:val="22"/>
              </w:rPr>
              <w:t xml:space="preserve"> </w:t>
            </w:r>
          </w:p>
        </w:tc>
        <w:tc>
          <w:tcPr>
            <w:tcW w:w="2025" w:type="dxa"/>
          </w:tcPr>
          <w:p w14:paraId="19544F8C" w14:textId="25EBA84D" w:rsidR="002D1F9F" w:rsidRPr="00CA5AA0" w:rsidRDefault="002D1F9F"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 xml:space="preserve">For every 100 patients treated, 15 - 16 </w:t>
            </w:r>
            <w:r w:rsidR="00353E8A">
              <w:rPr>
                <w:rFonts w:asciiTheme="minorHAnsi" w:hAnsiTheme="minorHAnsi"/>
                <w:sz w:val="22"/>
                <w:szCs w:val="22"/>
              </w:rPr>
              <w:t xml:space="preserve">more </w:t>
            </w:r>
            <w:r w:rsidRPr="00CA5AA0">
              <w:rPr>
                <w:rFonts w:asciiTheme="minorHAnsi" w:hAnsiTheme="minorHAnsi"/>
                <w:sz w:val="22"/>
                <w:szCs w:val="22"/>
              </w:rPr>
              <w:t>will be alive at 18 months compared to docetaxel.</w:t>
            </w:r>
          </w:p>
          <w:p w14:paraId="63A898E2" w14:textId="527C7A83" w:rsidR="002D1F9F" w:rsidRPr="00CA5AA0" w:rsidRDefault="002D1F9F"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 xml:space="preserve">Comparison versus </w:t>
            </w:r>
            <w:proofErr w:type="spellStart"/>
            <w:r w:rsidRPr="00CA5AA0">
              <w:rPr>
                <w:rFonts w:asciiTheme="minorHAnsi" w:hAnsiTheme="minorHAnsi"/>
                <w:sz w:val="22"/>
                <w:szCs w:val="22"/>
              </w:rPr>
              <w:t>pemetrexed</w:t>
            </w:r>
            <w:proofErr w:type="spellEnd"/>
            <w:r w:rsidRPr="00CA5AA0">
              <w:rPr>
                <w:rFonts w:asciiTheme="minorHAnsi" w:hAnsiTheme="minorHAnsi"/>
                <w:sz w:val="22"/>
                <w:szCs w:val="22"/>
              </w:rPr>
              <w:t xml:space="preserve"> not available.</w:t>
            </w:r>
          </w:p>
        </w:tc>
        <w:tc>
          <w:tcPr>
            <w:tcW w:w="2025" w:type="dxa"/>
          </w:tcPr>
          <w:p w14:paraId="55FDF530" w14:textId="6A02F374" w:rsidR="00B103FC" w:rsidRPr="00CA5AA0" w:rsidRDefault="00845D6C" w:rsidP="00BF63B7">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For every 100 patients treated, 9 more will be alive at 1 year.</w:t>
            </w:r>
          </w:p>
        </w:tc>
        <w:tc>
          <w:tcPr>
            <w:tcW w:w="2025" w:type="dxa"/>
          </w:tcPr>
          <w:p w14:paraId="37229EA8" w14:textId="193CBD8B" w:rsidR="00B103FC" w:rsidRPr="00CA5AA0" w:rsidRDefault="00615595" w:rsidP="00CA5AA0">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Similar clinical benefit</w:t>
            </w:r>
            <w:r w:rsidR="00E5079A" w:rsidRPr="00CA5AA0">
              <w:rPr>
                <w:rFonts w:asciiTheme="minorHAnsi" w:hAnsiTheme="minorHAnsi"/>
                <w:sz w:val="22"/>
                <w:szCs w:val="22"/>
              </w:rPr>
              <w:t xml:space="preserve"> to </w:t>
            </w:r>
            <w:proofErr w:type="spellStart"/>
            <w:r w:rsidR="00E5079A" w:rsidRPr="00CA5AA0">
              <w:rPr>
                <w:rFonts w:asciiTheme="minorHAnsi" w:hAnsiTheme="minorHAnsi"/>
                <w:sz w:val="22"/>
                <w:szCs w:val="22"/>
              </w:rPr>
              <w:t>brentuximab</w:t>
            </w:r>
            <w:proofErr w:type="spellEnd"/>
            <w:r w:rsidR="00E5079A" w:rsidRPr="00CA5AA0">
              <w:rPr>
                <w:rFonts w:asciiTheme="minorHAnsi" w:hAnsiTheme="minorHAnsi"/>
                <w:sz w:val="22"/>
                <w:szCs w:val="22"/>
              </w:rPr>
              <w:t xml:space="preserve"> </w:t>
            </w:r>
            <w:proofErr w:type="spellStart"/>
            <w:r w:rsidR="00E5079A" w:rsidRPr="00CA5AA0">
              <w:rPr>
                <w:rFonts w:asciiTheme="minorHAnsi" w:hAnsiTheme="minorHAnsi"/>
                <w:sz w:val="22"/>
                <w:szCs w:val="22"/>
              </w:rPr>
              <w:t>vedotin</w:t>
            </w:r>
            <w:proofErr w:type="spellEnd"/>
            <w:r w:rsidR="00E5079A" w:rsidRPr="00CA5AA0">
              <w:rPr>
                <w:rFonts w:asciiTheme="minorHAnsi" w:hAnsiTheme="minorHAnsi"/>
                <w:sz w:val="22"/>
                <w:szCs w:val="22"/>
              </w:rPr>
              <w:t>.</w:t>
            </w:r>
            <w:r w:rsidR="00CA5AA0" w:rsidRPr="00CA5AA0" w:rsidDel="00CA5AA0">
              <w:rPr>
                <w:rFonts w:asciiTheme="minorHAnsi" w:hAnsiTheme="minorHAnsi"/>
                <w:sz w:val="22"/>
                <w:szCs w:val="22"/>
              </w:rPr>
              <w:t xml:space="preserve"> </w:t>
            </w:r>
          </w:p>
        </w:tc>
        <w:tc>
          <w:tcPr>
            <w:tcW w:w="2025" w:type="dxa"/>
          </w:tcPr>
          <w:p w14:paraId="462D6AC6" w14:textId="75459FD1" w:rsidR="00B103FC" w:rsidRPr="00CA5AA0"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A5AA0">
              <w:rPr>
                <w:rFonts w:asciiTheme="minorHAnsi" w:hAnsiTheme="minorHAnsi"/>
                <w:sz w:val="22"/>
                <w:szCs w:val="22"/>
              </w:rPr>
              <w:t>Not available</w:t>
            </w:r>
            <w:r w:rsidR="00E5079A" w:rsidRPr="00CA5AA0">
              <w:rPr>
                <w:rFonts w:asciiTheme="minorHAnsi" w:hAnsiTheme="minorHAnsi"/>
                <w:sz w:val="22"/>
                <w:szCs w:val="22"/>
              </w:rPr>
              <w:t xml:space="preserve"> for publication.</w:t>
            </w:r>
          </w:p>
        </w:tc>
      </w:tr>
      <w:tr w:rsidR="00B103FC" w:rsidRPr="006D04A6" w14:paraId="20E24E0D" w14:textId="77777777" w:rsidTr="007C3154">
        <w:tc>
          <w:tcPr>
            <w:cnfStyle w:val="001000000000" w:firstRow="0" w:lastRow="0" w:firstColumn="1" w:lastColumn="0" w:oddVBand="0" w:evenVBand="0" w:oddHBand="0" w:evenHBand="0" w:firstRowFirstColumn="0" w:firstRowLastColumn="0" w:lastRowFirstColumn="0" w:lastRowLastColumn="0"/>
            <w:tcW w:w="2024" w:type="dxa"/>
          </w:tcPr>
          <w:p w14:paraId="6C94E641" w14:textId="77777777" w:rsidR="00B103FC" w:rsidRPr="00130FCD" w:rsidRDefault="00B103FC" w:rsidP="00ED661F">
            <w:pPr>
              <w:spacing w:after="120"/>
              <w:rPr>
                <w:rFonts w:asciiTheme="minorHAnsi" w:hAnsiTheme="minorHAnsi"/>
                <w:sz w:val="22"/>
                <w:szCs w:val="22"/>
              </w:rPr>
            </w:pPr>
            <w:r w:rsidRPr="00130FCD">
              <w:rPr>
                <w:rFonts w:asciiTheme="minorHAnsi" w:hAnsiTheme="minorHAnsi"/>
                <w:sz w:val="22"/>
                <w:szCs w:val="22"/>
              </w:rPr>
              <w:t>PDL1 marker</w:t>
            </w:r>
          </w:p>
        </w:tc>
        <w:tc>
          <w:tcPr>
            <w:tcW w:w="2025" w:type="dxa"/>
          </w:tcPr>
          <w:p w14:paraId="27523258"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No</w:t>
            </w:r>
          </w:p>
        </w:tc>
        <w:tc>
          <w:tcPr>
            <w:tcW w:w="2025" w:type="dxa"/>
          </w:tcPr>
          <w:p w14:paraId="17620EA5"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Yes ≥ 50%</w:t>
            </w:r>
          </w:p>
        </w:tc>
        <w:tc>
          <w:tcPr>
            <w:tcW w:w="2025" w:type="dxa"/>
          </w:tcPr>
          <w:p w14:paraId="27D89E05"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No</w:t>
            </w:r>
          </w:p>
        </w:tc>
        <w:tc>
          <w:tcPr>
            <w:tcW w:w="2025" w:type="dxa"/>
          </w:tcPr>
          <w:p w14:paraId="3C32E3A2"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No</w:t>
            </w:r>
          </w:p>
        </w:tc>
        <w:tc>
          <w:tcPr>
            <w:tcW w:w="2025" w:type="dxa"/>
          </w:tcPr>
          <w:p w14:paraId="07539213"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No</w:t>
            </w:r>
          </w:p>
        </w:tc>
        <w:tc>
          <w:tcPr>
            <w:tcW w:w="2025" w:type="dxa"/>
          </w:tcPr>
          <w:p w14:paraId="2C179CAC" w14:textId="77777777" w:rsidR="00B103FC" w:rsidRPr="00130FCD" w:rsidRDefault="00B103FC" w:rsidP="00ED661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30FCD">
              <w:rPr>
                <w:rFonts w:asciiTheme="minorHAnsi" w:hAnsiTheme="minorHAnsi"/>
                <w:sz w:val="22"/>
                <w:szCs w:val="22"/>
              </w:rPr>
              <w:t>No</w:t>
            </w:r>
          </w:p>
        </w:tc>
      </w:tr>
    </w:tbl>
    <w:p w14:paraId="331C4487" w14:textId="4F1AB84B" w:rsidR="00B103FC" w:rsidRDefault="00B103FC">
      <w:pPr>
        <w:rPr>
          <w:rFonts w:asciiTheme="minorHAnsi" w:eastAsiaTheme="minorHAnsi" w:hAnsiTheme="minorHAnsi" w:cstheme="minorHAnsi"/>
          <w:szCs w:val="22"/>
        </w:rPr>
        <w:sectPr w:rsidR="00B103FC" w:rsidSect="00FC3345">
          <w:pgSz w:w="16838" w:h="11906" w:orient="landscape" w:code="9"/>
          <w:pgMar w:top="1304" w:right="1304" w:bottom="1304" w:left="1134" w:header="567" w:footer="850" w:gutter="0"/>
          <w:cols w:space="708"/>
          <w:titlePg/>
          <w:docGrid w:linePitch="360"/>
        </w:sectPr>
      </w:pPr>
      <w:r w:rsidRPr="00130FCD">
        <w:rPr>
          <w:rFonts w:asciiTheme="minorHAnsi" w:hAnsiTheme="minorHAnsi"/>
          <w:sz w:val="20"/>
          <w:szCs w:val="20"/>
        </w:rPr>
        <w:t xml:space="preserve">Data extracted from Public Summary Documents (PSD) available at </w:t>
      </w:r>
      <w:hyperlink r:id="rId17" w:history="1">
        <w:r w:rsidRPr="00130FCD">
          <w:rPr>
            <w:rStyle w:val="Hyperlink"/>
            <w:rFonts w:asciiTheme="minorHAnsi" w:hAnsiTheme="minorHAnsi"/>
            <w:sz w:val="20"/>
            <w:szCs w:val="20"/>
          </w:rPr>
          <w:t>www.pbs.gov.au</w:t>
        </w:r>
      </w:hyperlink>
      <w:r w:rsidR="00F544D1">
        <w:rPr>
          <w:rStyle w:val="Hyperlink"/>
          <w:rFonts w:asciiTheme="minorHAnsi" w:hAnsiTheme="minorHAnsi"/>
          <w:sz w:val="20"/>
          <w:szCs w:val="20"/>
        </w:rPr>
        <w:t xml:space="preserve">; </w:t>
      </w:r>
      <w:r w:rsidRPr="00130FCD">
        <w:rPr>
          <w:rFonts w:asciiTheme="minorHAnsi" w:hAnsiTheme="minorHAnsi"/>
          <w:sz w:val="20"/>
          <w:szCs w:val="20"/>
        </w:rPr>
        <w:t xml:space="preserve">OS = overall survival. </w:t>
      </w:r>
      <w:r>
        <w:rPr>
          <w:rFonts w:asciiTheme="minorHAnsi" w:eastAsiaTheme="minorHAnsi" w:hAnsiTheme="minorHAnsi" w:cstheme="minorHAnsi"/>
          <w:szCs w:val="22"/>
        </w:rPr>
        <w:br w:type="page"/>
      </w:r>
    </w:p>
    <w:p w14:paraId="5E7DC5E2" w14:textId="77777777" w:rsidR="000B558D" w:rsidRPr="00970F28" w:rsidRDefault="004C3121" w:rsidP="00417BF5">
      <w:pPr>
        <w:pStyle w:val="Heading1"/>
        <w:keepNext/>
        <w:keepLines/>
        <w:widowControl/>
        <w:numPr>
          <w:ilvl w:val="0"/>
          <w:numId w:val="2"/>
        </w:numPr>
        <w:spacing w:before="240" w:after="120"/>
        <w:ind w:left="709" w:hanging="709"/>
        <w:contextualSpacing w:val="0"/>
        <w:jc w:val="left"/>
        <w:rPr>
          <w:rFonts w:asciiTheme="minorHAnsi" w:hAnsiTheme="minorHAnsi" w:cstheme="minorHAnsi"/>
          <w:sz w:val="32"/>
          <w:szCs w:val="32"/>
        </w:rPr>
      </w:pPr>
      <w:r>
        <w:rPr>
          <w:rFonts w:asciiTheme="minorHAnsi" w:hAnsiTheme="minorHAnsi" w:cstheme="minorHAnsi"/>
          <w:sz w:val="32"/>
          <w:szCs w:val="32"/>
        </w:rPr>
        <w:lastRenderedPageBreak/>
        <w:t>August 2018 PBAC special meeting</w:t>
      </w:r>
    </w:p>
    <w:p w14:paraId="1A1D5CF3" w14:textId="77777777" w:rsidR="00B813B7" w:rsidRDefault="00970F28" w:rsidP="00417BF5">
      <w:pPr>
        <w:pStyle w:val="ListParagraph"/>
        <w:numPr>
          <w:ilvl w:val="1"/>
          <w:numId w:val="2"/>
        </w:numPr>
        <w:jc w:val="left"/>
        <w:rPr>
          <w:rFonts w:asciiTheme="minorHAnsi" w:eastAsiaTheme="minorHAnsi" w:hAnsiTheme="minorHAnsi" w:cstheme="minorHAnsi"/>
          <w:snapToGrid/>
          <w:szCs w:val="22"/>
        </w:rPr>
      </w:pPr>
      <w:r w:rsidRPr="005D4886">
        <w:rPr>
          <w:rFonts w:asciiTheme="minorHAnsi" w:eastAsiaTheme="minorHAnsi" w:hAnsiTheme="minorHAnsi" w:cstheme="minorHAnsi"/>
          <w:snapToGrid/>
          <w:szCs w:val="22"/>
        </w:rPr>
        <w:t>The purpose of the August</w:t>
      </w:r>
      <w:r w:rsidR="00334179">
        <w:rPr>
          <w:rFonts w:asciiTheme="minorHAnsi" w:eastAsiaTheme="minorHAnsi" w:hAnsiTheme="minorHAnsi" w:cstheme="minorHAnsi"/>
          <w:snapToGrid/>
          <w:szCs w:val="22"/>
        </w:rPr>
        <w:t xml:space="preserve"> 2018</w:t>
      </w:r>
      <w:r w:rsidRPr="005D4886">
        <w:rPr>
          <w:rFonts w:asciiTheme="minorHAnsi" w:eastAsiaTheme="minorHAnsi" w:hAnsiTheme="minorHAnsi" w:cstheme="minorHAnsi"/>
          <w:snapToGrid/>
          <w:szCs w:val="22"/>
        </w:rPr>
        <w:t xml:space="preserve"> </w:t>
      </w:r>
      <w:r w:rsidR="00EB738C">
        <w:rPr>
          <w:rFonts w:asciiTheme="minorHAnsi" w:eastAsiaTheme="minorHAnsi" w:hAnsiTheme="minorHAnsi" w:cstheme="minorHAnsi"/>
          <w:snapToGrid/>
          <w:szCs w:val="22"/>
        </w:rPr>
        <w:t xml:space="preserve">PBAC </w:t>
      </w:r>
      <w:r w:rsidRPr="005D4886">
        <w:rPr>
          <w:rFonts w:asciiTheme="minorHAnsi" w:eastAsiaTheme="minorHAnsi" w:hAnsiTheme="minorHAnsi" w:cstheme="minorHAnsi"/>
          <w:snapToGrid/>
          <w:szCs w:val="22"/>
        </w:rPr>
        <w:t xml:space="preserve">special meeting is to allow the </w:t>
      </w:r>
      <w:r w:rsidR="00EB738C">
        <w:rPr>
          <w:rFonts w:asciiTheme="minorHAnsi" w:eastAsiaTheme="minorHAnsi" w:hAnsiTheme="minorHAnsi" w:cstheme="minorHAnsi"/>
          <w:snapToGrid/>
          <w:szCs w:val="22"/>
        </w:rPr>
        <w:t>Committee</w:t>
      </w:r>
      <w:r w:rsidRPr="005D4886">
        <w:rPr>
          <w:rFonts w:asciiTheme="minorHAnsi" w:eastAsiaTheme="minorHAnsi" w:hAnsiTheme="minorHAnsi" w:cstheme="minorHAnsi"/>
          <w:snapToGrid/>
          <w:szCs w:val="22"/>
        </w:rPr>
        <w:t xml:space="preserve"> to consider </w:t>
      </w:r>
      <w:r w:rsidR="00EB738C">
        <w:rPr>
          <w:rFonts w:asciiTheme="minorHAnsi" w:eastAsiaTheme="minorHAnsi" w:hAnsiTheme="minorHAnsi" w:cstheme="minorHAnsi"/>
          <w:snapToGrid/>
          <w:szCs w:val="22"/>
        </w:rPr>
        <w:t xml:space="preserve">potential </w:t>
      </w:r>
      <w:r w:rsidRPr="005D4886">
        <w:rPr>
          <w:rFonts w:asciiTheme="minorHAnsi" w:eastAsiaTheme="minorHAnsi" w:hAnsiTheme="minorHAnsi" w:cstheme="minorHAnsi"/>
          <w:snapToGrid/>
          <w:szCs w:val="22"/>
        </w:rPr>
        <w:t>future options for the evaluation and consideration of PD-1 and PD-L1 checkpoint inhibitor</w:t>
      </w:r>
      <w:r w:rsidR="00EB738C">
        <w:rPr>
          <w:rFonts w:asciiTheme="minorHAnsi" w:eastAsiaTheme="minorHAnsi" w:hAnsiTheme="minorHAnsi" w:cstheme="minorHAnsi"/>
          <w:snapToGrid/>
          <w:szCs w:val="22"/>
        </w:rPr>
        <w:t>s</w:t>
      </w:r>
      <w:r w:rsidRPr="005D4886">
        <w:rPr>
          <w:rFonts w:asciiTheme="minorHAnsi" w:eastAsiaTheme="minorHAnsi" w:hAnsiTheme="minorHAnsi" w:cstheme="minorHAnsi"/>
          <w:snapToGrid/>
          <w:szCs w:val="22"/>
        </w:rPr>
        <w:t xml:space="preserve"> for multiple cancer types</w:t>
      </w:r>
      <w:r w:rsidR="00EB738C">
        <w:rPr>
          <w:rFonts w:asciiTheme="minorHAnsi" w:eastAsiaTheme="minorHAnsi" w:hAnsiTheme="minorHAnsi" w:cstheme="minorHAnsi"/>
          <w:snapToGrid/>
          <w:szCs w:val="22"/>
        </w:rPr>
        <w:t xml:space="preserve">. </w:t>
      </w:r>
    </w:p>
    <w:p w14:paraId="738394B1" w14:textId="77777777" w:rsidR="00DB2EE9" w:rsidRDefault="00DB2EE9" w:rsidP="00B14F0B">
      <w:pPr>
        <w:pStyle w:val="ListParagraph"/>
        <w:jc w:val="left"/>
        <w:rPr>
          <w:rFonts w:asciiTheme="minorHAnsi" w:eastAsiaTheme="minorHAnsi" w:hAnsiTheme="minorHAnsi" w:cstheme="minorHAnsi"/>
          <w:snapToGrid/>
          <w:szCs w:val="22"/>
        </w:rPr>
      </w:pPr>
    </w:p>
    <w:p w14:paraId="19EC2FE8" w14:textId="59F23760" w:rsidR="0050042B" w:rsidRDefault="00B813B7" w:rsidP="00417BF5">
      <w:pPr>
        <w:pStyle w:val="ListParagraph"/>
        <w:numPr>
          <w:ilvl w:val="1"/>
          <w:numId w:val="2"/>
        </w:numPr>
        <w:jc w:val="left"/>
        <w:rPr>
          <w:rFonts w:asciiTheme="minorHAnsi" w:eastAsiaTheme="minorHAnsi" w:hAnsiTheme="minorHAnsi" w:cstheme="minorHAnsi"/>
          <w:snapToGrid/>
          <w:szCs w:val="22"/>
        </w:rPr>
      </w:pPr>
      <w:r>
        <w:rPr>
          <w:rFonts w:asciiTheme="minorHAnsi" w:eastAsiaTheme="minorHAnsi" w:hAnsiTheme="minorHAnsi" w:cstheme="minorHAnsi"/>
          <w:snapToGrid/>
          <w:szCs w:val="22"/>
        </w:rPr>
        <w:t>In its considerations the Committee will</w:t>
      </w:r>
      <w:r w:rsidR="005227A4">
        <w:rPr>
          <w:rFonts w:asciiTheme="minorHAnsi" w:eastAsiaTheme="minorHAnsi" w:hAnsiTheme="minorHAnsi" w:cstheme="minorHAnsi"/>
          <w:snapToGrid/>
          <w:szCs w:val="22"/>
        </w:rPr>
        <w:t xml:space="preserve"> take account </w:t>
      </w:r>
      <w:r w:rsidR="00DB2EE9">
        <w:rPr>
          <w:rFonts w:asciiTheme="minorHAnsi" w:eastAsiaTheme="minorHAnsi" w:hAnsiTheme="minorHAnsi" w:cstheme="minorHAnsi"/>
          <w:snapToGrid/>
          <w:szCs w:val="22"/>
        </w:rPr>
        <w:t>of</w:t>
      </w:r>
      <w:r w:rsidR="004D3694">
        <w:rPr>
          <w:rFonts w:asciiTheme="minorHAnsi" w:eastAsiaTheme="minorHAnsi" w:hAnsiTheme="minorHAnsi" w:cstheme="minorHAnsi"/>
          <w:snapToGrid/>
          <w:szCs w:val="22"/>
        </w:rPr>
        <w:t xml:space="preserve"> the tensions </w:t>
      </w:r>
      <w:r w:rsidR="0050042B">
        <w:rPr>
          <w:rFonts w:asciiTheme="minorHAnsi" w:eastAsiaTheme="minorHAnsi" w:hAnsiTheme="minorHAnsi" w:cstheme="minorHAnsi"/>
          <w:snapToGrid/>
          <w:szCs w:val="22"/>
        </w:rPr>
        <w:t xml:space="preserve">existing between the demands for adapting the reimbursement pathways for multiple tumour medicines, while balancing the uncertainties in the clinical </w:t>
      </w:r>
      <w:r w:rsidR="00B049E3">
        <w:rPr>
          <w:rFonts w:asciiTheme="minorHAnsi" w:eastAsiaTheme="minorHAnsi" w:hAnsiTheme="minorHAnsi" w:cstheme="minorHAnsi"/>
          <w:snapToGrid/>
          <w:szCs w:val="22"/>
        </w:rPr>
        <w:t>and/</w:t>
      </w:r>
      <w:r w:rsidR="0050042B">
        <w:rPr>
          <w:rFonts w:asciiTheme="minorHAnsi" w:eastAsiaTheme="minorHAnsi" w:hAnsiTheme="minorHAnsi" w:cstheme="minorHAnsi"/>
          <w:snapToGrid/>
          <w:szCs w:val="22"/>
        </w:rPr>
        <w:t>or economic evidence base.</w:t>
      </w:r>
    </w:p>
    <w:p w14:paraId="14F69673" w14:textId="77777777" w:rsidR="00DB2EE9" w:rsidRDefault="00DB2EE9" w:rsidP="00B14F0B">
      <w:pPr>
        <w:pStyle w:val="ListParagraph"/>
        <w:jc w:val="left"/>
        <w:rPr>
          <w:rFonts w:asciiTheme="minorHAnsi" w:eastAsiaTheme="minorHAnsi" w:hAnsiTheme="minorHAnsi" w:cstheme="minorHAnsi"/>
          <w:snapToGrid/>
          <w:szCs w:val="22"/>
        </w:rPr>
      </w:pPr>
    </w:p>
    <w:p w14:paraId="52F671F9" w14:textId="77777777" w:rsidR="00B813B7" w:rsidRDefault="0050042B" w:rsidP="00417BF5">
      <w:pPr>
        <w:pStyle w:val="ListParagraph"/>
        <w:numPr>
          <w:ilvl w:val="1"/>
          <w:numId w:val="2"/>
        </w:numPr>
        <w:jc w:val="left"/>
        <w:rPr>
          <w:rFonts w:asciiTheme="minorHAnsi" w:eastAsiaTheme="minorHAnsi" w:hAnsiTheme="minorHAnsi" w:cstheme="minorHAnsi"/>
          <w:snapToGrid/>
          <w:szCs w:val="22"/>
        </w:rPr>
      </w:pPr>
      <w:r>
        <w:rPr>
          <w:rFonts w:asciiTheme="minorHAnsi" w:eastAsiaTheme="minorHAnsi" w:hAnsiTheme="minorHAnsi" w:cstheme="minorHAnsi"/>
          <w:snapToGrid/>
          <w:szCs w:val="22"/>
        </w:rPr>
        <w:t xml:space="preserve">The Committee will also </w:t>
      </w:r>
      <w:r w:rsidR="00907254">
        <w:rPr>
          <w:rFonts w:asciiTheme="minorHAnsi" w:eastAsiaTheme="minorHAnsi" w:hAnsiTheme="minorHAnsi" w:cstheme="minorHAnsi"/>
          <w:snapToGrid/>
          <w:szCs w:val="22"/>
        </w:rPr>
        <w:t>consider</w:t>
      </w:r>
      <w:r w:rsidR="0085492B">
        <w:rPr>
          <w:rFonts w:asciiTheme="minorHAnsi" w:eastAsiaTheme="minorHAnsi" w:hAnsiTheme="minorHAnsi" w:cstheme="minorHAnsi"/>
          <w:snapToGrid/>
          <w:szCs w:val="22"/>
        </w:rPr>
        <w:t xml:space="preserve"> </w:t>
      </w:r>
      <w:r>
        <w:rPr>
          <w:rFonts w:asciiTheme="minorHAnsi" w:eastAsiaTheme="minorHAnsi" w:hAnsiTheme="minorHAnsi" w:cstheme="minorHAnsi"/>
          <w:snapToGrid/>
          <w:szCs w:val="22"/>
        </w:rPr>
        <w:t>patient and community interests including timely access to new medicines</w:t>
      </w:r>
      <w:r w:rsidR="00B813B7">
        <w:rPr>
          <w:rFonts w:asciiTheme="minorHAnsi" w:eastAsiaTheme="minorHAnsi" w:hAnsiTheme="minorHAnsi" w:cstheme="minorHAnsi"/>
          <w:snapToGrid/>
          <w:szCs w:val="22"/>
        </w:rPr>
        <w:t>, unmet clinical need and the principles of equitable access</w:t>
      </w:r>
      <w:r>
        <w:rPr>
          <w:rFonts w:asciiTheme="minorHAnsi" w:eastAsiaTheme="minorHAnsi" w:hAnsiTheme="minorHAnsi" w:cstheme="minorHAnsi"/>
          <w:snapToGrid/>
          <w:szCs w:val="22"/>
        </w:rPr>
        <w:t xml:space="preserve"> and affordability for improved </w:t>
      </w:r>
      <w:r w:rsidR="00B813B7">
        <w:rPr>
          <w:rFonts w:asciiTheme="minorHAnsi" w:eastAsiaTheme="minorHAnsi" w:hAnsiTheme="minorHAnsi" w:cstheme="minorHAnsi"/>
          <w:snapToGrid/>
          <w:szCs w:val="22"/>
        </w:rPr>
        <w:t xml:space="preserve">health outcomes across all </w:t>
      </w:r>
      <w:r>
        <w:rPr>
          <w:rFonts w:asciiTheme="minorHAnsi" w:eastAsiaTheme="minorHAnsi" w:hAnsiTheme="minorHAnsi" w:cstheme="minorHAnsi"/>
          <w:snapToGrid/>
          <w:szCs w:val="22"/>
        </w:rPr>
        <w:t>disease</w:t>
      </w:r>
      <w:r w:rsidR="00B813B7">
        <w:rPr>
          <w:rFonts w:asciiTheme="minorHAnsi" w:eastAsiaTheme="minorHAnsi" w:hAnsiTheme="minorHAnsi" w:cstheme="minorHAnsi"/>
          <w:snapToGrid/>
          <w:szCs w:val="22"/>
        </w:rPr>
        <w:t xml:space="preserve"> groups.</w:t>
      </w:r>
    </w:p>
    <w:p w14:paraId="537F4023" w14:textId="77777777" w:rsidR="00DB2EE9" w:rsidRDefault="00DB2EE9" w:rsidP="00B14F0B">
      <w:pPr>
        <w:pStyle w:val="ListParagraph"/>
        <w:jc w:val="left"/>
        <w:rPr>
          <w:rFonts w:asciiTheme="minorHAnsi" w:eastAsiaTheme="minorHAnsi" w:hAnsiTheme="minorHAnsi" w:cstheme="minorHAnsi"/>
          <w:snapToGrid/>
          <w:szCs w:val="22"/>
        </w:rPr>
      </w:pPr>
    </w:p>
    <w:p w14:paraId="53CC6105" w14:textId="077F1077" w:rsidR="0085492B" w:rsidRPr="00F544D1" w:rsidRDefault="00BA5EE4" w:rsidP="0085492B">
      <w:pPr>
        <w:pStyle w:val="ListParagraph"/>
        <w:numPr>
          <w:ilvl w:val="1"/>
          <w:numId w:val="2"/>
        </w:numPr>
        <w:jc w:val="left"/>
        <w:rPr>
          <w:rFonts w:asciiTheme="minorHAnsi" w:eastAsiaTheme="minorHAnsi" w:hAnsiTheme="minorHAnsi" w:cstheme="minorHAnsi"/>
          <w:snapToGrid/>
          <w:szCs w:val="22"/>
        </w:rPr>
      </w:pPr>
      <w:r w:rsidRPr="00CA5AA0">
        <w:rPr>
          <w:rFonts w:asciiTheme="minorHAnsi" w:eastAsiaTheme="minorHAnsi" w:hAnsiTheme="minorHAnsi" w:cstheme="minorHAnsi"/>
          <w:snapToGrid/>
          <w:szCs w:val="22"/>
        </w:rPr>
        <w:t>Any</w:t>
      </w:r>
      <w:r w:rsidR="00EB738C" w:rsidRPr="00F544D1">
        <w:rPr>
          <w:rFonts w:asciiTheme="minorHAnsi" w:eastAsiaTheme="minorHAnsi" w:hAnsiTheme="minorHAnsi" w:cstheme="minorHAnsi"/>
          <w:snapToGrid/>
          <w:szCs w:val="22"/>
        </w:rPr>
        <w:t xml:space="preserve"> options</w:t>
      </w:r>
      <w:r w:rsidR="00DB2EE9" w:rsidRPr="00F544D1">
        <w:rPr>
          <w:rFonts w:asciiTheme="minorHAnsi" w:eastAsiaTheme="minorHAnsi" w:hAnsiTheme="minorHAnsi" w:cstheme="minorHAnsi"/>
          <w:snapToGrid/>
          <w:szCs w:val="22"/>
        </w:rPr>
        <w:t xml:space="preserve"> put to the Minister</w:t>
      </w:r>
      <w:r w:rsidR="00EB738C" w:rsidRPr="00F544D1">
        <w:rPr>
          <w:rFonts w:asciiTheme="minorHAnsi" w:eastAsiaTheme="minorHAnsi" w:hAnsiTheme="minorHAnsi" w:cstheme="minorHAnsi"/>
          <w:snapToGrid/>
          <w:szCs w:val="22"/>
        </w:rPr>
        <w:t xml:space="preserve"> </w:t>
      </w:r>
      <w:r w:rsidR="0050042B" w:rsidRPr="00F544D1">
        <w:rPr>
          <w:rFonts w:asciiTheme="minorHAnsi" w:eastAsiaTheme="minorHAnsi" w:hAnsiTheme="minorHAnsi" w:cstheme="minorHAnsi"/>
          <w:snapToGrid/>
          <w:szCs w:val="22"/>
        </w:rPr>
        <w:t>will also</w:t>
      </w:r>
      <w:r w:rsidR="00DB2EE9" w:rsidRPr="00F544D1">
        <w:rPr>
          <w:rFonts w:asciiTheme="minorHAnsi" w:eastAsiaTheme="minorHAnsi" w:hAnsiTheme="minorHAnsi" w:cstheme="minorHAnsi"/>
          <w:snapToGrid/>
          <w:szCs w:val="22"/>
        </w:rPr>
        <w:t xml:space="preserve"> need to</w:t>
      </w:r>
      <w:r w:rsidR="0050042B" w:rsidRPr="00F544D1">
        <w:rPr>
          <w:rFonts w:asciiTheme="minorHAnsi" w:eastAsiaTheme="minorHAnsi" w:hAnsiTheme="minorHAnsi" w:cstheme="minorHAnsi"/>
          <w:snapToGrid/>
          <w:szCs w:val="22"/>
        </w:rPr>
        <w:t xml:space="preserve"> </w:t>
      </w:r>
      <w:r w:rsidR="00EB738C" w:rsidRPr="00F544D1">
        <w:rPr>
          <w:rFonts w:asciiTheme="minorHAnsi" w:eastAsiaTheme="minorHAnsi" w:hAnsiTheme="minorHAnsi" w:cstheme="minorHAnsi"/>
          <w:snapToGrid/>
          <w:szCs w:val="22"/>
        </w:rPr>
        <w:t xml:space="preserve">meet the core objectives of the </w:t>
      </w:r>
      <w:r w:rsidR="00907254" w:rsidRPr="00F544D1">
        <w:rPr>
          <w:rFonts w:asciiTheme="minorHAnsi" w:eastAsiaTheme="minorHAnsi" w:hAnsiTheme="minorHAnsi" w:cstheme="minorHAnsi"/>
          <w:snapToGrid/>
          <w:szCs w:val="22"/>
        </w:rPr>
        <w:t>Australian Government</w:t>
      </w:r>
      <w:r w:rsidR="00EB738C" w:rsidRPr="00F544D1">
        <w:rPr>
          <w:rFonts w:asciiTheme="minorHAnsi" w:eastAsiaTheme="minorHAnsi" w:hAnsiTheme="minorHAnsi" w:cstheme="minorHAnsi"/>
          <w:snapToGrid/>
          <w:szCs w:val="22"/>
        </w:rPr>
        <w:t xml:space="preserve"> HTA framework</w:t>
      </w:r>
      <w:r w:rsidR="000750FC" w:rsidRPr="00F544D1">
        <w:rPr>
          <w:rFonts w:asciiTheme="minorHAnsi" w:eastAsiaTheme="minorHAnsi" w:hAnsiTheme="minorHAnsi" w:cstheme="minorHAnsi"/>
          <w:snapToGrid/>
          <w:szCs w:val="22"/>
        </w:rPr>
        <w:t xml:space="preserve"> and take into account the role of the Therapeutic Goods Administration in approving medicines for marketing in Australia</w:t>
      </w:r>
      <w:r w:rsidR="001B251E" w:rsidRPr="00CA5AA0">
        <w:rPr>
          <w:rFonts w:asciiTheme="minorHAnsi" w:eastAsiaTheme="minorHAnsi" w:hAnsiTheme="minorHAnsi" w:cstheme="minorHAnsi"/>
          <w:snapToGrid/>
          <w:szCs w:val="22"/>
        </w:rPr>
        <w:t>,</w:t>
      </w:r>
      <w:r w:rsidR="00EB738C" w:rsidRPr="00F544D1">
        <w:rPr>
          <w:rFonts w:asciiTheme="minorHAnsi" w:eastAsiaTheme="minorHAnsi" w:hAnsiTheme="minorHAnsi" w:cstheme="minorHAnsi"/>
          <w:snapToGrid/>
          <w:szCs w:val="22"/>
        </w:rPr>
        <w:t xml:space="preserve"> </w:t>
      </w:r>
      <w:r w:rsidR="00970F28" w:rsidRPr="00F544D1">
        <w:rPr>
          <w:rFonts w:asciiTheme="minorHAnsi" w:eastAsiaTheme="minorHAnsi" w:hAnsiTheme="minorHAnsi" w:cstheme="minorHAnsi"/>
          <w:snapToGrid/>
          <w:szCs w:val="22"/>
        </w:rPr>
        <w:t xml:space="preserve">whilst allowing the PBAC to meet its statutory obligations. Those obligations are set out in Section 101 of the </w:t>
      </w:r>
      <w:r w:rsidR="00970F28" w:rsidRPr="00F544D1">
        <w:rPr>
          <w:rFonts w:asciiTheme="minorHAnsi" w:eastAsiaTheme="minorHAnsi" w:hAnsiTheme="minorHAnsi" w:cstheme="minorHAnsi"/>
          <w:i/>
          <w:snapToGrid/>
          <w:szCs w:val="22"/>
        </w:rPr>
        <w:t>National Health Act 1953.</w:t>
      </w:r>
      <w:r w:rsidR="00970F28" w:rsidRPr="00F544D1">
        <w:rPr>
          <w:rFonts w:asciiTheme="minorHAnsi" w:eastAsiaTheme="minorHAnsi" w:hAnsiTheme="minorHAnsi" w:cstheme="minorHAnsi"/>
          <w:snapToGrid/>
          <w:szCs w:val="22"/>
        </w:rPr>
        <w:t xml:space="preserve"> Further information</w:t>
      </w:r>
      <w:r w:rsidR="006B58CF" w:rsidRPr="00F544D1">
        <w:rPr>
          <w:rFonts w:asciiTheme="minorHAnsi" w:eastAsiaTheme="minorHAnsi" w:hAnsiTheme="minorHAnsi" w:cstheme="minorHAnsi"/>
          <w:snapToGrid/>
          <w:szCs w:val="22"/>
        </w:rPr>
        <w:t xml:space="preserve"> on current PBAC evidentiary requirements </w:t>
      </w:r>
      <w:r w:rsidR="00970F28" w:rsidRPr="00F544D1">
        <w:rPr>
          <w:rFonts w:asciiTheme="minorHAnsi" w:eastAsiaTheme="minorHAnsi" w:hAnsiTheme="minorHAnsi" w:cstheme="minorHAnsi"/>
          <w:snapToGrid/>
          <w:szCs w:val="22"/>
        </w:rPr>
        <w:t xml:space="preserve">can be found in the Guidelines for Submissions to the PBAC, available at </w:t>
      </w:r>
      <w:hyperlink r:id="rId18" w:history="1">
        <w:r w:rsidR="0085492B" w:rsidRPr="00F544D1">
          <w:rPr>
            <w:rStyle w:val="Hyperlink"/>
            <w:rFonts w:asciiTheme="minorHAnsi" w:eastAsiaTheme="minorHAnsi" w:hAnsiTheme="minorHAnsi" w:cstheme="minorHAnsi"/>
            <w:snapToGrid/>
            <w:szCs w:val="22"/>
          </w:rPr>
          <w:t>https://pbac.pbs.gov.au/</w:t>
        </w:r>
      </w:hyperlink>
      <w:r w:rsidR="0085492B" w:rsidRPr="00F544D1">
        <w:rPr>
          <w:rFonts w:asciiTheme="minorHAnsi" w:eastAsiaTheme="minorHAnsi" w:hAnsiTheme="minorHAnsi" w:cstheme="minorHAnsi"/>
          <w:snapToGrid/>
          <w:szCs w:val="22"/>
        </w:rPr>
        <w:t>.</w:t>
      </w:r>
    </w:p>
    <w:p w14:paraId="62B2E2A4" w14:textId="77777777" w:rsidR="00DB2EE9" w:rsidRDefault="00DB2EE9" w:rsidP="00B14F0B">
      <w:pPr>
        <w:pStyle w:val="ListParagraph"/>
        <w:jc w:val="left"/>
        <w:rPr>
          <w:rFonts w:asciiTheme="minorHAnsi" w:eastAsiaTheme="minorHAnsi" w:hAnsiTheme="minorHAnsi" w:cstheme="minorHAnsi"/>
          <w:snapToGrid/>
          <w:szCs w:val="22"/>
        </w:rPr>
      </w:pPr>
    </w:p>
    <w:p w14:paraId="03ADA804" w14:textId="77777777" w:rsidR="00493AF1" w:rsidRDefault="002E683D" w:rsidP="00B14F0B">
      <w:pPr>
        <w:pStyle w:val="ListParagraph"/>
        <w:widowControl/>
        <w:numPr>
          <w:ilvl w:val="1"/>
          <w:numId w:val="2"/>
        </w:numPr>
        <w:spacing w:before="120" w:after="160"/>
        <w:jc w:val="left"/>
        <w:rPr>
          <w:rFonts w:asciiTheme="minorHAnsi" w:eastAsiaTheme="minorHAnsi" w:hAnsiTheme="minorHAnsi" w:cstheme="minorHAnsi"/>
          <w:snapToGrid/>
          <w:szCs w:val="22"/>
        </w:rPr>
      </w:pPr>
      <w:r w:rsidRPr="005D4886">
        <w:rPr>
          <w:rFonts w:asciiTheme="minorHAnsi" w:eastAsiaTheme="minorHAnsi" w:hAnsiTheme="minorHAnsi" w:cstheme="minorHAnsi"/>
          <w:snapToGrid/>
          <w:szCs w:val="22"/>
        </w:rPr>
        <w:t>The PBAC reimbursement decision process works on a 17-week cycle (85 business days) from submission to PBAC consideration</w:t>
      </w:r>
      <w:r>
        <w:rPr>
          <w:rFonts w:asciiTheme="minorHAnsi" w:eastAsiaTheme="minorHAnsi" w:hAnsiTheme="minorHAnsi" w:cstheme="minorHAnsi"/>
          <w:snapToGrid/>
          <w:szCs w:val="22"/>
        </w:rPr>
        <w:t xml:space="preserve"> and decision</w:t>
      </w:r>
      <w:r w:rsidRPr="005D4886">
        <w:rPr>
          <w:rFonts w:asciiTheme="minorHAnsi" w:eastAsiaTheme="minorHAnsi" w:hAnsiTheme="minorHAnsi" w:cstheme="minorHAnsi"/>
          <w:snapToGrid/>
          <w:szCs w:val="22"/>
        </w:rPr>
        <w:t xml:space="preserve">. </w:t>
      </w:r>
      <w:r>
        <w:rPr>
          <w:rFonts w:asciiTheme="minorHAnsi" w:eastAsiaTheme="minorHAnsi" w:hAnsiTheme="minorHAnsi" w:cstheme="minorHAnsi"/>
          <w:snapToGrid/>
          <w:szCs w:val="22"/>
        </w:rPr>
        <w:t xml:space="preserve">Any process </w:t>
      </w:r>
      <w:r w:rsidR="00B14F0B">
        <w:rPr>
          <w:rFonts w:asciiTheme="minorHAnsi" w:eastAsiaTheme="minorHAnsi" w:hAnsiTheme="minorHAnsi" w:cstheme="minorHAnsi"/>
          <w:snapToGrid/>
          <w:szCs w:val="22"/>
        </w:rPr>
        <w:t xml:space="preserve">designed to </w:t>
      </w:r>
      <w:r w:rsidR="00B14F0B" w:rsidRPr="00B14F0B">
        <w:rPr>
          <w:rFonts w:asciiTheme="minorHAnsi" w:eastAsiaTheme="minorHAnsi" w:hAnsiTheme="minorHAnsi" w:cstheme="minorHAnsi"/>
          <w:snapToGrid/>
          <w:szCs w:val="22"/>
        </w:rPr>
        <w:t xml:space="preserve">fast track / accelerate access </w:t>
      </w:r>
      <w:r w:rsidR="00B14F0B">
        <w:rPr>
          <w:rFonts w:asciiTheme="minorHAnsi" w:eastAsiaTheme="minorHAnsi" w:hAnsiTheme="minorHAnsi" w:cstheme="minorHAnsi"/>
          <w:snapToGrid/>
          <w:szCs w:val="22"/>
        </w:rPr>
        <w:t>will need to</w:t>
      </w:r>
      <w:r>
        <w:rPr>
          <w:rFonts w:asciiTheme="minorHAnsi" w:eastAsiaTheme="minorHAnsi" w:hAnsiTheme="minorHAnsi" w:cstheme="minorHAnsi"/>
          <w:snapToGrid/>
          <w:szCs w:val="22"/>
        </w:rPr>
        <w:t xml:space="preserve"> be integrated within the existing</w:t>
      </w:r>
      <w:r w:rsidR="00B14F0B">
        <w:rPr>
          <w:rFonts w:asciiTheme="minorHAnsi" w:eastAsiaTheme="minorHAnsi" w:hAnsiTheme="minorHAnsi" w:cstheme="minorHAnsi"/>
          <w:snapToGrid/>
          <w:szCs w:val="22"/>
        </w:rPr>
        <w:t xml:space="preserve"> regulatory and</w:t>
      </w:r>
      <w:r>
        <w:rPr>
          <w:rFonts w:asciiTheme="minorHAnsi" w:eastAsiaTheme="minorHAnsi" w:hAnsiTheme="minorHAnsi" w:cstheme="minorHAnsi"/>
          <w:snapToGrid/>
          <w:szCs w:val="22"/>
        </w:rPr>
        <w:t xml:space="preserve"> reimbursement framework for medicines</w:t>
      </w:r>
      <w:r w:rsidR="00B14F0B">
        <w:rPr>
          <w:rFonts w:asciiTheme="minorHAnsi" w:eastAsiaTheme="minorHAnsi" w:hAnsiTheme="minorHAnsi" w:cstheme="minorHAnsi"/>
          <w:snapToGrid/>
          <w:szCs w:val="22"/>
        </w:rPr>
        <w:t xml:space="preserve"> and</w:t>
      </w:r>
      <w:r>
        <w:rPr>
          <w:rFonts w:asciiTheme="minorHAnsi" w:eastAsiaTheme="minorHAnsi" w:hAnsiTheme="minorHAnsi" w:cstheme="minorHAnsi"/>
          <w:snapToGrid/>
          <w:szCs w:val="22"/>
        </w:rPr>
        <w:t xml:space="preserve"> will necessarily require additional resources, timeline flexibilities and new criteria for engagement with all stakeholders. </w:t>
      </w:r>
    </w:p>
    <w:p w14:paraId="38134D49" w14:textId="77777777" w:rsidR="00DB2EE9" w:rsidRDefault="00DB2EE9" w:rsidP="00B14F0B">
      <w:pPr>
        <w:pStyle w:val="ListParagraph"/>
        <w:widowControl/>
        <w:spacing w:before="120" w:after="160"/>
        <w:jc w:val="left"/>
        <w:rPr>
          <w:rFonts w:asciiTheme="minorHAnsi" w:eastAsiaTheme="minorHAnsi" w:hAnsiTheme="minorHAnsi" w:cstheme="minorHAnsi"/>
          <w:snapToGrid/>
          <w:szCs w:val="22"/>
        </w:rPr>
      </w:pPr>
    </w:p>
    <w:p w14:paraId="5788CD53" w14:textId="77777777" w:rsidR="002E683D" w:rsidRPr="009973D9" w:rsidRDefault="002E683D" w:rsidP="002E683D">
      <w:pPr>
        <w:pStyle w:val="ListParagraph"/>
        <w:widowControl/>
        <w:numPr>
          <w:ilvl w:val="1"/>
          <w:numId w:val="2"/>
        </w:numPr>
        <w:spacing w:before="120" w:after="160"/>
        <w:jc w:val="left"/>
        <w:rPr>
          <w:rFonts w:asciiTheme="minorHAnsi" w:eastAsiaTheme="minorHAnsi" w:hAnsiTheme="minorHAnsi" w:cstheme="minorHAnsi"/>
          <w:snapToGrid/>
          <w:szCs w:val="22"/>
        </w:rPr>
      </w:pPr>
      <w:r w:rsidRPr="009973D9">
        <w:rPr>
          <w:rFonts w:asciiTheme="minorHAnsi" w:eastAsiaTheme="minorHAnsi" w:hAnsiTheme="minorHAnsi" w:cstheme="minorHAnsi"/>
          <w:snapToGrid/>
          <w:szCs w:val="22"/>
        </w:rPr>
        <w:t>These investments would require justification on the basis of certain medicines / clinical interventions being deemed to address a high unmet need, balanced with cost effectiveness and affordability.</w:t>
      </w:r>
    </w:p>
    <w:p w14:paraId="3639C0E5" w14:textId="77777777" w:rsidR="0085492B" w:rsidRPr="009973D9" w:rsidRDefault="0085492B" w:rsidP="00291F38">
      <w:pPr>
        <w:pStyle w:val="ListParagraph"/>
        <w:rPr>
          <w:rFonts w:asciiTheme="minorHAnsi" w:eastAsiaTheme="minorHAnsi" w:hAnsiTheme="minorHAnsi" w:cstheme="minorHAnsi"/>
          <w:snapToGrid/>
          <w:szCs w:val="22"/>
        </w:rPr>
      </w:pPr>
    </w:p>
    <w:p w14:paraId="60A9DF91" w14:textId="77777777" w:rsidR="0085492B" w:rsidRPr="009973D9" w:rsidRDefault="00B738AF" w:rsidP="00B738AF">
      <w:pPr>
        <w:pStyle w:val="ListParagraph"/>
        <w:widowControl/>
        <w:numPr>
          <w:ilvl w:val="1"/>
          <w:numId w:val="2"/>
        </w:numPr>
        <w:spacing w:before="120" w:after="160"/>
        <w:jc w:val="left"/>
        <w:rPr>
          <w:rFonts w:asciiTheme="minorHAnsi" w:eastAsiaTheme="minorHAnsi" w:hAnsiTheme="minorHAnsi" w:cstheme="minorHAnsi"/>
          <w:snapToGrid/>
          <w:szCs w:val="22"/>
        </w:rPr>
      </w:pPr>
      <w:r w:rsidRPr="009973D9">
        <w:rPr>
          <w:rFonts w:asciiTheme="minorHAnsi" w:eastAsiaTheme="minorHAnsi" w:hAnsiTheme="minorHAnsi" w:cstheme="minorHAnsi"/>
          <w:snapToGrid/>
          <w:szCs w:val="22"/>
        </w:rPr>
        <w:t>The success of any approach that is adopted will also depend on the willingness of sponsors to accept prices and listing conditions that reflect the PBAC’s view of the available evidence.</w:t>
      </w:r>
    </w:p>
    <w:p w14:paraId="6FF2975D" w14:textId="77777777" w:rsidR="00A3452D" w:rsidRPr="009973D9" w:rsidRDefault="00EB738C" w:rsidP="00417BF5">
      <w:pPr>
        <w:pStyle w:val="ListParagraph"/>
        <w:jc w:val="left"/>
        <w:rPr>
          <w:rFonts w:asciiTheme="minorHAnsi" w:eastAsiaTheme="minorHAnsi" w:hAnsiTheme="minorHAnsi" w:cstheme="minorHAnsi"/>
          <w:snapToGrid/>
          <w:szCs w:val="22"/>
        </w:rPr>
      </w:pPr>
      <w:r w:rsidRPr="009973D9">
        <w:rPr>
          <w:rFonts w:asciiTheme="minorHAnsi" w:eastAsiaTheme="minorHAnsi" w:hAnsiTheme="minorHAnsi" w:cstheme="minorHAnsi"/>
          <w:snapToGrid/>
          <w:szCs w:val="22"/>
        </w:rPr>
        <w:t xml:space="preserve"> </w:t>
      </w:r>
    </w:p>
    <w:p w14:paraId="48A5B4E2" w14:textId="0E4A1DE1" w:rsidR="00E82A37" w:rsidRPr="009973D9" w:rsidRDefault="00A3452D" w:rsidP="00417BF5">
      <w:pPr>
        <w:pStyle w:val="ListParagraph"/>
        <w:numPr>
          <w:ilvl w:val="1"/>
          <w:numId w:val="2"/>
        </w:numPr>
        <w:jc w:val="left"/>
        <w:rPr>
          <w:rFonts w:asciiTheme="minorHAnsi" w:eastAsiaTheme="minorHAnsi" w:hAnsiTheme="minorHAnsi" w:cstheme="minorHAnsi"/>
          <w:snapToGrid/>
          <w:szCs w:val="22"/>
        </w:rPr>
      </w:pPr>
      <w:r w:rsidRPr="009973D9">
        <w:rPr>
          <w:rFonts w:asciiTheme="minorHAnsi" w:eastAsiaTheme="minorHAnsi" w:hAnsiTheme="minorHAnsi" w:cstheme="minorHAnsi"/>
          <w:snapToGrid/>
          <w:szCs w:val="22"/>
        </w:rPr>
        <w:t xml:space="preserve">Options that require changes to the </w:t>
      </w:r>
      <w:r w:rsidR="00E82A37" w:rsidRPr="009973D9">
        <w:rPr>
          <w:rFonts w:asciiTheme="minorHAnsi" w:eastAsiaTheme="minorHAnsi" w:hAnsiTheme="minorHAnsi" w:cstheme="minorHAnsi"/>
          <w:snapToGrid/>
          <w:szCs w:val="22"/>
        </w:rPr>
        <w:t xml:space="preserve">regulatory framework in which the PBAC operates will need to be considered by Government and are beyond the scope of what PBAC can provide advice on </w:t>
      </w:r>
      <w:r w:rsidR="00334179" w:rsidRPr="009973D9">
        <w:rPr>
          <w:rFonts w:asciiTheme="minorHAnsi" w:eastAsiaTheme="minorHAnsi" w:hAnsiTheme="minorHAnsi" w:cstheme="minorHAnsi"/>
          <w:snapToGrid/>
          <w:szCs w:val="22"/>
        </w:rPr>
        <w:t xml:space="preserve">through </w:t>
      </w:r>
      <w:r w:rsidR="00E82A37" w:rsidRPr="009973D9">
        <w:rPr>
          <w:rFonts w:asciiTheme="minorHAnsi" w:eastAsiaTheme="minorHAnsi" w:hAnsiTheme="minorHAnsi" w:cstheme="minorHAnsi"/>
          <w:snapToGrid/>
          <w:szCs w:val="22"/>
        </w:rPr>
        <w:t>its August</w:t>
      </w:r>
      <w:r w:rsidR="00334179" w:rsidRPr="009973D9">
        <w:rPr>
          <w:rFonts w:asciiTheme="minorHAnsi" w:eastAsiaTheme="minorHAnsi" w:hAnsiTheme="minorHAnsi" w:cstheme="minorHAnsi"/>
          <w:snapToGrid/>
          <w:szCs w:val="22"/>
        </w:rPr>
        <w:t xml:space="preserve"> 2018</w:t>
      </w:r>
      <w:r w:rsidR="00E82A37" w:rsidRPr="009973D9">
        <w:rPr>
          <w:rFonts w:asciiTheme="minorHAnsi" w:eastAsiaTheme="minorHAnsi" w:hAnsiTheme="minorHAnsi" w:cstheme="minorHAnsi"/>
          <w:snapToGrid/>
          <w:szCs w:val="22"/>
        </w:rPr>
        <w:t xml:space="preserve"> special meeting.</w:t>
      </w:r>
    </w:p>
    <w:p w14:paraId="181923BC" w14:textId="77777777" w:rsidR="00DB2EE9" w:rsidRPr="009973D9" w:rsidRDefault="00DB2EE9" w:rsidP="00417BF5">
      <w:pPr>
        <w:pStyle w:val="ListParagraph"/>
        <w:jc w:val="left"/>
        <w:rPr>
          <w:rFonts w:asciiTheme="minorHAnsi" w:eastAsiaTheme="minorHAnsi" w:hAnsiTheme="minorHAnsi" w:cstheme="minorHAnsi"/>
          <w:snapToGrid/>
          <w:szCs w:val="22"/>
        </w:rPr>
      </w:pPr>
    </w:p>
    <w:p w14:paraId="177CB0C7" w14:textId="0526E834" w:rsidR="004C3121" w:rsidRPr="009973D9" w:rsidRDefault="004C3121" w:rsidP="00B14F0B">
      <w:pPr>
        <w:pStyle w:val="ListParagraph"/>
        <w:numPr>
          <w:ilvl w:val="1"/>
          <w:numId w:val="2"/>
        </w:numPr>
        <w:jc w:val="left"/>
        <w:rPr>
          <w:rFonts w:asciiTheme="minorHAnsi" w:eastAsiaTheme="minorHAnsi" w:hAnsiTheme="minorHAnsi" w:cstheme="minorHAnsi"/>
          <w:snapToGrid/>
          <w:szCs w:val="22"/>
        </w:rPr>
      </w:pPr>
      <w:r w:rsidRPr="009973D9">
        <w:rPr>
          <w:rFonts w:asciiTheme="minorHAnsi" w:eastAsiaTheme="minorHAnsi" w:hAnsiTheme="minorHAnsi" w:cstheme="minorHAnsi"/>
          <w:snapToGrid/>
          <w:szCs w:val="22"/>
        </w:rPr>
        <w:t xml:space="preserve">The Committee </w:t>
      </w:r>
      <w:r w:rsidR="006A7C4C" w:rsidRPr="009973D9">
        <w:rPr>
          <w:rFonts w:asciiTheme="minorHAnsi" w:eastAsiaTheme="minorHAnsi" w:hAnsiTheme="minorHAnsi" w:cstheme="minorHAnsi"/>
          <w:snapToGrid/>
          <w:szCs w:val="22"/>
        </w:rPr>
        <w:t xml:space="preserve">is </w:t>
      </w:r>
      <w:r w:rsidRPr="009973D9">
        <w:rPr>
          <w:rFonts w:asciiTheme="minorHAnsi" w:eastAsiaTheme="minorHAnsi" w:hAnsiTheme="minorHAnsi" w:cstheme="minorHAnsi"/>
          <w:snapToGrid/>
          <w:szCs w:val="22"/>
        </w:rPr>
        <w:t>invit</w:t>
      </w:r>
      <w:r w:rsidR="006A7C4C" w:rsidRPr="009973D9">
        <w:rPr>
          <w:rFonts w:asciiTheme="minorHAnsi" w:eastAsiaTheme="minorHAnsi" w:hAnsiTheme="minorHAnsi" w:cstheme="minorHAnsi"/>
          <w:snapToGrid/>
          <w:szCs w:val="22"/>
        </w:rPr>
        <w:t>ing</w:t>
      </w:r>
      <w:r w:rsidRPr="009973D9">
        <w:rPr>
          <w:rFonts w:asciiTheme="minorHAnsi" w:eastAsiaTheme="minorHAnsi" w:hAnsiTheme="minorHAnsi" w:cstheme="minorHAnsi"/>
          <w:snapToGrid/>
          <w:szCs w:val="22"/>
        </w:rPr>
        <w:t xml:space="preserve"> </w:t>
      </w:r>
      <w:r w:rsidR="00BA5EE4" w:rsidRPr="009973D9">
        <w:rPr>
          <w:rFonts w:asciiTheme="minorHAnsi" w:eastAsiaTheme="minorHAnsi" w:hAnsiTheme="minorHAnsi" w:cstheme="minorHAnsi"/>
          <w:snapToGrid/>
          <w:szCs w:val="22"/>
        </w:rPr>
        <w:t>submissions</w:t>
      </w:r>
      <w:r w:rsidR="00DB2EE9" w:rsidRPr="009973D9">
        <w:rPr>
          <w:rFonts w:asciiTheme="minorHAnsi" w:eastAsiaTheme="minorHAnsi" w:hAnsiTheme="minorHAnsi" w:cstheme="minorHAnsi"/>
          <w:snapToGrid/>
          <w:szCs w:val="22"/>
        </w:rPr>
        <w:t xml:space="preserve"> from interested parties</w:t>
      </w:r>
      <w:r w:rsidR="00235C2E" w:rsidRPr="009973D9">
        <w:rPr>
          <w:rFonts w:asciiTheme="minorHAnsi" w:eastAsiaTheme="minorHAnsi" w:hAnsiTheme="minorHAnsi" w:cstheme="minorHAnsi"/>
          <w:snapToGrid/>
          <w:szCs w:val="22"/>
        </w:rPr>
        <w:t xml:space="preserve"> ahead of the August meeting. </w:t>
      </w:r>
    </w:p>
    <w:p w14:paraId="25966EBA" w14:textId="77777777" w:rsidR="004C3121" w:rsidRPr="009973D9" w:rsidRDefault="004C3121" w:rsidP="00417BF5">
      <w:pPr>
        <w:pStyle w:val="ListParagraph"/>
        <w:jc w:val="left"/>
        <w:rPr>
          <w:rFonts w:asciiTheme="minorHAnsi" w:eastAsiaTheme="minorHAnsi" w:hAnsiTheme="minorHAnsi" w:cstheme="minorHAnsi"/>
          <w:snapToGrid/>
          <w:szCs w:val="22"/>
        </w:rPr>
      </w:pPr>
    </w:p>
    <w:p w14:paraId="1722A466" w14:textId="77777777" w:rsidR="00E82A37" w:rsidRPr="005D4886" w:rsidRDefault="00E82A37" w:rsidP="00417BF5">
      <w:pPr>
        <w:pStyle w:val="ListParagraph"/>
        <w:widowControl/>
        <w:numPr>
          <w:ilvl w:val="1"/>
          <w:numId w:val="2"/>
        </w:numPr>
        <w:spacing w:before="120" w:after="160"/>
        <w:jc w:val="left"/>
        <w:rPr>
          <w:rFonts w:asciiTheme="minorHAnsi" w:eastAsiaTheme="minorHAnsi" w:hAnsiTheme="minorHAnsi" w:cstheme="minorHAnsi"/>
          <w:snapToGrid/>
          <w:szCs w:val="22"/>
        </w:rPr>
      </w:pPr>
      <w:r w:rsidRPr="009973D9">
        <w:rPr>
          <w:rFonts w:asciiTheme="minorHAnsi" w:eastAsiaTheme="minorHAnsi" w:hAnsiTheme="minorHAnsi" w:cstheme="minorHAnsi"/>
          <w:snapToGrid/>
          <w:szCs w:val="22"/>
        </w:rPr>
        <w:t>The following questions are designed to provide a framework for submissions to the PBAC on this matter and for the PBAC’s considerations of those submissions.  These questions are not</w:t>
      </w:r>
      <w:r w:rsidRPr="005D4886">
        <w:rPr>
          <w:rFonts w:asciiTheme="minorHAnsi" w:eastAsiaTheme="minorHAnsi" w:hAnsiTheme="minorHAnsi" w:cstheme="minorHAnsi"/>
          <w:snapToGrid/>
          <w:szCs w:val="22"/>
        </w:rPr>
        <w:t xml:space="preserve"> intended to be exhaustive. </w:t>
      </w:r>
    </w:p>
    <w:p w14:paraId="270993D4" w14:textId="77777777" w:rsidR="00A77872" w:rsidRPr="0091681B" w:rsidRDefault="00A77872" w:rsidP="00417BF5">
      <w:pPr>
        <w:pStyle w:val="ListParagraph"/>
        <w:widowControl/>
        <w:tabs>
          <w:tab w:val="left" w:pos="0"/>
        </w:tabs>
        <w:spacing w:before="120" w:after="160"/>
        <w:jc w:val="left"/>
        <w:rPr>
          <w:rFonts w:asciiTheme="minorHAnsi" w:eastAsiaTheme="minorHAnsi" w:hAnsiTheme="minorHAnsi" w:cstheme="minorHAnsi"/>
          <w:snapToGrid/>
          <w:sz w:val="24"/>
          <w:szCs w:val="22"/>
          <w:highlight w:val="yellow"/>
        </w:rPr>
      </w:pPr>
    </w:p>
    <w:tbl>
      <w:tblPr>
        <w:tblpPr w:leftFromText="180" w:rightFromText="180" w:vertAnchor="text" w:horzAnchor="margin" w:tblpXSpec="center" w:tblpY="5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top w:w="119" w:type="dxa"/>
        </w:tblCellMar>
        <w:tblLook w:val="04A0" w:firstRow="1" w:lastRow="0" w:firstColumn="1" w:lastColumn="0" w:noHBand="0" w:noVBand="1"/>
        <w:tblCaption w:val="A box for examples"/>
        <w:tblDescription w:val="Example boxes provide examples of how particular changes would work in practice or the types of circumstances the changes are intended to address."/>
      </w:tblPr>
      <w:tblGrid>
        <w:gridCol w:w="9781"/>
      </w:tblGrid>
      <w:tr w:rsidR="00A77872" w:rsidRPr="0066451A" w14:paraId="3F7CD79C" w14:textId="77777777" w:rsidTr="00EF6595">
        <w:trPr>
          <w:cantSplit/>
          <w:trHeight w:val="14901"/>
        </w:trPr>
        <w:tc>
          <w:tcPr>
            <w:tcW w:w="9781" w:type="dxa"/>
            <w:shd w:val="clear" w:color="auto" w:fill="FFFF99"/>
          </w:tcPr>
          <w:p w14:paraId="3578FD64" w14:textId="77777777" w:rsidR="00A77872" w:rsidRPr="00D64270" w:rsidRDefault="005E2EA1" w:rsidP="00417BF5">
            <w:pPr>
              <w:pStyle w:val="ListParagraph"/>
              <w:spacing w:after="120"/>
              <w:ind w:left="0"/>
              <w:contextualSpacing w:val="0"/>
              <w:jc w:val="left"/>
              <w:rPr>
                <w:rFonts w:asciiTheme="minorHAnsi" w:hAnsiTheme="minorHAnsi" w:cstheme="minorHAnsi"/>
                <w:b/>
                <w:sz w:val="20"/>
              </w:rPr>
            </w:pPr>
            <w:r w:rsidRPr="00D64270">
              <w:rPr>
                <w:rFonts w:asciiTheme="minorHAnsi" w:hAnsiTheme="minorHAnsi" w:cstheme="minorHAnsi"/>
                <w:b/>
                <w:sz w:val="20"/>
              </w:rPr>
              <w:lastRenderedPageBreak/>
              <w:t>Broad</w:t>
            </w:r>
            <w:r w:rsidR="00A77872" w:rsidRPr="00D64270">
              <w:rPr>
                <w:rFonts w:asciiTheme="minorHAnsi" w:hAnsiTheme="minorHAnsi" w:cstheme="minorHAnsi"/>
                <w:b/>
                <w:sz w:val="20"/>
              </w:rPr>
              <w:t xml:space="preserve"> </w:t>
            </w:r>
            <w:r w:rsidR="001219C2" w:rsidRPr="00D64270">
              <w:rPr>
                <w:rFonts w:asciiTheme="minorHAnsi" w:hAnsiTheme="minorHAnsi" w:cstheme="minorHAnsi"/>
                <w:b/>
                <w:sz w:val="20"/>
              </w:rPr>
              <w:t>questions for consideration</w:t>
            </w:r>
            <w:r w:rsidR="00A77872" w:rsidRPr="00D64270">
              <w:rPr>
                <w:rFonts w:asciiTheme="minorHAnsi" w:hAnsiTheme="minorHAnsi" w:cstheme="minorHAnsi"/>
                <w:b/>
                <w:sz w:val="20"/>
              </w:rPr>
              <w:t xml:space="preserve"> </w:t>
            </w:r>
            <w:r w:rsidR="0091681B" w:rsidRPr="00D64270">
              <w:rPr>
                <w:rFonts w:asciiTheme="minorHAnsi" w:hAnsiTheme="minorHAnsi" w:cstheme="minorHAnsi"/>
                <w:b/>
                <w:sz w:val="20"/>
              </w:rPr>
              <w:t>in preparing submissions to the PBAC</w:t>
            </w:r>
          </w:p>
          <w:p w14:paraId="7D9DA2D7" w14:textId="77777777" w:rsidR="0091681B" w:rsidRPr="006542BF" w:rsidRDefault="0091681B" w:rsidP="00EF6595">
            <w:pPr>
              <w:pStyle w:val="ListParagraph"/>
              <w:widowControl/>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What do you</w:t>
            </w:r>
            <w:r w:rsidR="00B47877" w:rsidRPr="006542BF">
              <w:rPr>
                <w:rFonts w:asciiTheme="minorHAnsi" w:hAnsiTheme="minorHAnsi" w:cstheme="minorHAnsi"/>
                <w:sz w:val="20"/>
              </w:rPr>
              <w:t>/your organisation</w:t>
            </w:r>
            <w:r w:rsidRPr="006542BF">
              <w:rPr>
                <w:rFonts w:asciiTheme="minorHAnsi" w:hAnsiTheme="minorHAnsi" w:cstheme="minorHAnsi"/>
                <w:sz w:val="20"/>
              </w:rPr>
              <w:t xml:space="preserve"> see as the potential advantages of the PBAC considering the PD-1 and PD-L1 checkpoint inhibitors for multi-tumour listings?</w:t>
            </w:r>
          </w:p>
          <w:p w14:paraId="237D172E" w14:textId="3F486202" w:rsidR="0091681B" w:rsidRPr="006542BF" w:rsidRDefault="0091681B" w:rsidP="00EF6595">
            <w:pPr>
              <w:pStyle w:val="ListParagraph"/>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What do you</w:t>
            </w:r>
            <w:r w:rsidR="00B47877" w:rsidRPr="006542BF">
              <w:rPr>
                <w:rFonts w:asciiTheme="minorHAnsi" w:hAnsiTheme="minorHAnsi" w:cstheme="minorHAnsi"/>
                <w:sz w:val="20"/>
              </w:rPr>
              <w:t>/your organisation</w:t>
            </w:r>
            <w:r w:rsidRPr="006542BF">
              <w:rPr>
                <w:rFonts w:asciiTheme="minorHAnsi" w:hAnsiTheme="minorHAnsi" w:cstheme="minorHAnsi"/>
                <w:sz w:val="20"/>
              </w:rPr>
              <w:t xml:space="preserve"> see as the potential disadvantages of the PBAC considering</w:t>
            </w:r>
            <w:r w:rsidRPr="006542BF">
              <w:rPr>
                <w:sz w:val="20"/>
              </w:rPr>
              <w:t xml:space="preserve"> </w:t>
            </w:r>
            <w:r w:rsidRPr="006542BF">
              <w:rPr>
                <w:rFonts w:asciiTheme="minorHAnsi" w:hAnsiTheme="minorHAnsi" w:cstheme="minorHAnsi"/>
                <w:sz w:val="20"/>
              </w:rPr>
              <w:t>the PD-1 and PD-L1 checkpoint inhibitors for multi-tumour listings?</w:t>
            </w:r>
          </w:p>
          <w:p w14:paraId="10EF09F8" w14:textId="399B6220" w:rsidR="000F165D" w:rsidRPr="006542BF" w:rsidRDefault="000F165D" w:rsidP="00EF6595">
            <w:pPr>
              <w:pStyle w:val="ListParagraph"/>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 xml:space="preserve">What is urgent </w:t>
            </w:r>
            <w:r w:rsidR="00334179">
              <w:rPr>
                <w:rFonts w:asciiTheme="minorHAnsi" w:hAnsiTheme="minorHAnsi" w:cstheme="minorHAnsi"/>
                <w:sz w:val="20"/>
              </w:rPr>
              <w:t xml:space="preserve">unmet </w:t>
            </w:r>
            <w:r w:rsidRPr="006542BF">
              <w:rPr>
                <w:rFonts w:asciiTheme="minorHAnsi" w:hAnsiTheme="minorHAnsi" w:cstheme="minorHAnsi"/>
                <w:sz w:val="20"/>
              </w:rPr>
              <w:t xml:space="preserve">clinical need? How should it be established? For which patient groups? </w:t>
            </w:r>
          </w:p>
          <w:p w14:paraId="3D5E22CB" w14:textId="77777777" w:rsidR="0091681B" w:rsidRPr="006542BF" w:rsidRDefault="0091681B" w:rsidP="00EF6595">
            <w:pPr>
              <w:pStyle w:val="ListParagraph"/>
              <w:widowControl/>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What is the minimum level of evidence of effectiveness that you</w:t>
            </w:r>
            <w:r w:rsidR="00B47877" w:rsidRPr="006542BF">
              <w:rPr>
                <w:rFonts w:asciiTheme="minorHAnsi" w:hAnsiTheme="minorHAnsi" w:cstheme="minorHAnsi"/>
                <w:sz w:val="20"/>
              </w:rPr>
              <w:t>/your organisation</w:t>
            </w:r>
            <w:r w:rsidRPr="006542BF">
              <w:rPr>
                <w:rFonts w:asciiTheme="minorHAnsi" w:hAnsiTheme="minorHAnsi" w:cstheme="minorHAnsi"/>
                <w:sz w:val="20"/>
              </w:rPr>
              <w:t xml:space="preserve"> think should be required before a </w:t>
            </w:r>
            <w:r w:rsidR="007752E6" w:rsidRPr="006542BF">
              <w:rPr>
                <w:rFonts w:asciiTheme="minorHAnsi" w:hAnsiTheme="minorHAnsi" w:cstheme="minorHAnsi"/>
                <w:sz w:val="20"/>
              </w:rPr>
              <w:t>PD-1 and PD-L1 checkpoint inhibitors</w:t>
            </w:r>
            <w:r w:rsidRPr="006542BF">
              <w:rPr>
                <w:rFonts w:asciiTheme="minorHAnsi" w:hAnsiTheme="minorHAnsi" w:cstheme="minorHAnsi"/>
                <w:sz w:val="20"/>
              </w:rPr>
              <w:t xml:space="preserve"> is considered fo</w:t>
            </w:r>
            <w:r w:rsidR="00B47877" w:rsidRPr="006542BF">
              <w:rPr>
                <w:rFonts w:asciiTheme="minorHAnsi" w:hAnsiTheme="minorHAnsi" w:cstheme="minorHAnsi"/>
                <w:sz w:val="20"/>
              </w:rPr>
              <w:t xml:space="preserve">r subsidy for a particular kind </w:t>
            </w:r>
            <w:r w:rsidRPr="006542BF">
              <w:rPr>
                <w:rFonts w:asciiTheme="minorHAnsi" w:hAnsiTheme="minorHAnsi" w:cstheme="minorHAnsi"/>
                <w:sz w:val="20"/>
              </w:rPr>
              <w:t>of cancer?</w:t>
            </w:r>
            <w:r w:rsidR="00B47877" w:rsidRPr="006542BF">
              <w:rPr>
                <w:rFonts w:asciiTheme="minorHAnsi" w:hAnsiTheme="minorHAnsi" w:cstheme="minorHAnsi"/>
                <w:sz w:val="20"/>
              </w:rPr>
              <w:t xml:space="preserve">  Why?</w:t>
            </w:r>
          </w:p>
          <w:p w14:paraId="5F69AC52" w14:textId="0E42938B" w:rsidR="0091681B" w:rsidRPr="006542BF" w:rsidRDefault="00B47877" w:rsidP="00EF6595">
            <w:pPr>
              <w:pStyle w:val="ListParagraph"/>
              <w:widowControl/>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Do you/your organisation think</w:t>
            </w:r>
            <w:r w:rsidR="0091681B" w:rsidRPr="006542BF">
              <w:rPr>
                <w:rFonts w:asciiTheme="minorHAnsi" w:hAnsiTheme="minorHAnsi" w:cstheme="minorHAnsi"/>
                <w:sz w:val="20"/>
              </w:rPr>
              <w:t xml:space="preserve"> i</w:t>
            </w:r>
            <w:r w:rsidRPr="006542BF">
              <w:rPr>
                <w:rFonts w:asciiTheme="minorHAnsi" w:hAnsiTheme="minorHAnsi" w:cstheme="minorHAnsi"/>
                <w:sz w:val="20"/>
              </w:rPr>
              <w:t>t is possible</w:t>
            </w:r>
            <w:r w:rsidR="0091681B" w:rsidRPr="006542BF">
              <w:rPr>
                <w:rFonts w:asciiTheme="minorHAnsi" w:hAnsiTheme="minorHAnsi" w:cstheme="minorHAnsi"/>
                <w:sz w:val="20"/>
              </w:rPr>
              <w:t xml:space="preserve"> for the PBAC to be able extrapolate</w:t>
            </w:r>
            <w:r w:rsidR="008258EB" w:rsidRPr="006542BF">
              <w:rPr>
                <w:rFonts w:asciiTheme="minorHAnsi" w:hAnsiTheme="minorHAnsi" w:cstheme="minorHAnsi"/>
                <w:sz w:val="20"/>
              </w:rPr>
              <w:t>,</w:t>
            </w:r>
            <w:r w:rsidRPr="006542BF">
              <w:rPr>
                <w:rFonts w:asciiTheme="minorHAnsi" w:hAnsiTheme="minorHAnsi" w:cstheme="minorHAnsi"/>
                <w:sz w:val="20"/>
              </w:rPr>
              <w:t xml:space="preserve"> or apply</w:t>
            </w:r>
            <w:r w:rsidR="008258EB" w:rsidRPr="006542BF">
              <w:rPr>
                <w:rFonts w:asciiTheme="minorHAnsi" w:hAnsiTheme="minorHAnsi" w:cstheme="minorHAnsi"/>
                <w:sz w:val="20"/>
              </w:rPr>
              <w:t>,</w:t>
            </w:r>
            <w:r w:rsidRPr="006542BF">
              <w:rPr>
                <w:rFonts w:asciiTheme="minorHAnsi" w:hAnsiTheme="minorHAnsi" w:cstheme="minorHAnsi"/>
                <w:sz w:val="20"/>
              </w:rPr>
              <w:t xml:space="preserve"> the evidence of effectiveness of a checkpoint inhibitor in one kind of cancer to another kind of</w:t>
            </w:r>
            <w:r w:rsidR="0091681B" w:rsidRPr="006542BF">
              <w:rPr>
                <w:rFonts w:asciiTheme="minorHAnsi" w:hAnsiTheme="minorHAnsi" w:cstheme="minorHAnsi"/>
                <w:sz w:val="20"/>
              </w:rPr>
              <w:t xml:space="preserve"> </w:t>
            </w:r>
            <w:r w:rsidRPr="006542BF">
              <w:rPr>
                <w:rFonts w:asciiTheme="minorHAnsi" w:hAnsiTheme="minorHAnsi" w:cstheme="minorHAnsi"/>
                <w:sz w:val="20"/>
              </w:rPr>
              <w:t>cancer</w:t>
            </w:r>
            <w:r w:rsidR="00845D6C">
              <w:rPr>
                <w:rFonts w:asciiTheme="minorHAnsi" w:hAnsiTheme="minorHAnsi" w:cstheme="minorHAnsi"/>
                <w:sz w:val="20"/>
              </w:rPr>
              <w:t>, or from late stage cancer to early stage cancer</w:t>
            </w:r>
            <w:r w:rsidRPr="006542BF">
              <w:rPr>
                <w:rFonts w:asciiTheme="minorHAnsi" w:hAnsiTheme="minorHAnsi" w:cstheme="minorHAnsi"/>
                <w:sz w:val="20"/>
              </w:rPr>
              <w:t>?  Why?</w:t>
            </w:r>
            <w:r w:rsidR="00DD7B71" w:rsidRPr="006542BF">
              <w:rPr>
                <w:rFonts w:asciiTheme="minorHAnsi" w:hAnsiTheme="minorHAnsi" w:cstheme="minorHAnsi"/>
                <w:sz w:val="20"/>
              </w:rPr>
              <w:t xml:space="preserve"> How?</w:t>
            </w:r>
          </w:p>
          <w:p w14:paraId="7404B92D" w14:textId="1E3B4931" w:rsidR="0091681B" w:rsidRPr="006542BF" w:rsidRDefault="00B47877" w:rsidP="00EF6595">
            <w:pPr>
              <w:pStyle w:val="ListParagraph"/>
              <w:widowControl/>
              <w:numPr>
                <w:ilvl w:val="0"/>
                <w:numId w:val="5"/>
              </w:numPr>
              <w:ind w:left="284" w:hanging="284"/>
              <w:contextualSpacing w:val="0"/>
              <w:jc w:val="left"/>
              <w:rPr>
                <w:rFonts w:asciiTheme="minorHAnsi" w:hAnsiTheme="minorHAnsi" w:cstheme="minorHAnsi"/>
                <w:sz w:val="20"/>
              </w:rPr>
            </w:pPr>
            <w:r w:rsidRPr="006542BF">
              <w:rPr>
                <w:rFonts w:asciiTheme="minorHAnsi" w:hAnsiTheme="minorHAnsi" w:cstheme="minorHAnsi"/>
                <w:sz w:val="20"/>
              </w:rPr>
              <w:t xml:space="preserve">Do you/your organisation think it is possible </w:t>
            </w:r>
            <w:r w:rsidR="00FE1578">
              <w:rPr>
                <w:rFonts w:asciiTheme="minorHAnsi" w:hAnsiTheme="minorHAnsi" w:cstheme="minorHAnsi"/>
                <w:sz w:val="20"/>
              </w:rPr>
              <w:t>for</w:t>
            </w:r>
            <w:r w:rsidRPr="006542BF">
              <w:rPr>
                <w:rFonts w:asciiTheme="minorHAnsi" w:hAnsiTheme="minorHAnsi" w:cstheme="minorHAnsi"/>
                <w:sz w:val="20"/>
              </w:rPr>
              <w:t xml:space="preserve"> PBAC to satisfy itself that treatment with a PD</w:t>
            </w:r>
            <w:r w:rsidR="00EF7812" w:rsidRPr="006542BF">
              <w:rPr>
                <w:rFonts w:asciiTheme="minorHAnsi" w:hAnsiTheme="minorHAnsi" w:cstheme="minorHAnsi"/>
                <w:sz w:val="20"/>
              </w:rPr>
              <w:t>-</w:t>
            </w:r>
            <w:r w:rsidRPr="006542BF">
              <w:rPr>
                <w:rFonts w:asciiTheme="minorHAnsi" w:hAnsiTheme="minorHAnsi" w:cstheme="minorHAnsi"/>
                <w:sz w:val="20"/>
              </w:rPr>
              <w:t>1</w:t>
            </w:r>
            <w:r w:rsidR="00EF7812" w:rsidRPr="006542BF">
              <w:rPr>
                <w:rFonts w:asciiTheme="minorHAnsi" w:hAnsiTheme="minorHAnsi" w:cstheme="minorHAnsi"/>
                <w:sz w:val="20"/>
              </w:rPr>
              <w:t xml:space="preserve"> or</w:t>
            </w:r>
            <w:r w:rsidRPr="006542BF">
              <w:rPr>
                <w:rFonts w:asciiTheme="minorHAnsi" w:hAnsiTheme="minorHAnsi" w:cstheme="minorHAnsi"/>
                <w:sz w:val="20"/>
              </w:rPr>
              <w:t xml:space="preserve"> PD</w:t>
            </w:r>
            <w:r w:rsidR="00EF7812" w:rsidRPr="006542BF">
              <w:rPr>
                <w:rFonts w:asciiTheme="minorHAnsi" w:hAnsiTheme="minorHAnsi" w:cstheme="minorHAnsi"/>
                <w:sz w:val="20"/>
              </w:rPr>
              <w:t>-</w:t>
            </w:r>
            <w:r w:rsidRPr="006542BF">
              <w:rPr>
                <w:rFonts w:asciiTheme="minorHAnsi" w:hAnsiTheme="minorHAnsi" w:cstheme="minorHAnsi"/>
                <w:sz w:val="20"/>
              </w:rPr>
              <w:t xml:space="preserve">L1 checkpoint inhibitor is cost-effective without an economic model that is specific to that kind of cancer? </w:t>
            </w:r>
            <w:r w:rsidR="00B049E3">
              <w:rPr>
                <w:rFonts w:asciiTheme="minorHAnsi" w:hAnsiTheme="minorHAnsi" w:cstheme="minorHAnsi"/>
                <w:sz w:val="20"/>
              </w:rPr>
              <w:t xml:space="preserve"> How?</w:t>
            </w:r>
          </w:p>
          <w:p w14:paraId="7939CC12" w14:textId="0B9D4B1D" w:rsidR="00B47877" w:rsidRPr="006542BF" w:rsidRDefault="00B47877" w:rsidP="00EF6595">
            <w:pPr>
              <w:pStyle w:val="ListParagraph"/>
              <w:numPr>
                <w:ilvl w:val="0"/>
                <w:numId w:val="16"/>
              </w:numPr>
              <w:ind w:left="567" w:firstLine="0"/>
              <w:contextualSpacing w:val="0"/>
              <w:jc w:val="left"/>
              <w:rPr>
                <w:rFonts w:asciiTheme="minorHAnsi" w:hAnsiTheme="minorHAnsi" w:cstheme="minorHAnsi"/>
                <w:sz w:val="20"/>
              </w:rPr>
            </w:pPr>
            <w:r w:rsidRPr="006542BF">
              <w:rPr>
                <w:rFonts w:asciiTheme="minorHAnsi" w:hAnsiTheme="minorHAnsi" w:cstheme="minorHAnsi"/>
                <w:sz w:val="20"/>
              </w:rPr>
              <w:t>Is it possible to group different cancer</w:t>
            </w:r>
            <w:r w:rsidR="00334179">
              <w:rPr>
                <w:rFonts w:asciiTheme="minorHAnsi" w:hAnsiTheme="minorHAnsi" w:cstheme="minorHAnsi"/>
                <w:sz w:val="20"/>
              </w:rPr>
              <w:t xml:space="preserve"> types</w:t>
            </w:r>
            <w:r w:rsidRPr="006542BF">
              <w:rPr>
                <w:rFonts w:asciiTheme="minorHAnsi" w:hAnsiTheme="minorHAnsi" w:cstheme="minorHAnsi"/>
                <w:sz w:val="20"/>
              </w:rPr>
              <w:t xml:space="preserve"> together based on particular characteristics that are similar, and construct a single model for the group?</w:t>
            </w:r>
          </w:p>
          <w:p w14:paraId="66C92FCF" w14:textId="1FDDCAD2" w:rsidR="00E7195F" w:rsidRPr="008179A9" w:rsidRDefault="00B47877" w:rsidP="00EF6595">
            <w:pPr>
              <w:pStyle w:val="ListParagraph"/>
              <w:numPr>
                <w:ilvl w:val="0"/>
                <w:numId w:val="16"/>
              </w:numPr>
              <w:spacing w:after="160"/>
              <w:ind w:left="567" w:firstLine="0"/>
              <w:contextualSpacing w:val="0"/>
              <w:jc w:val="left"/>
              <w:rPr>
                <w:rFonts w:asciiTheme="minorHAnsi" w:hAnsiTheme="minorHAnsi" w:cstheme="minorHAnsi"/>
                <w:sz w:val="20"/>
              </w:rPr>
            </w:pPr>
            <w:r w:rsidRPr="006542BF">
              <w:rPr>
                <w:rFonts w:asciiTheme="minorHAnsi" w:hAnsiTheme="minorHAnsi" w:cstheme="minorHAnsi"/>
                <w:sz w:val="20"/>
              </w:rPr>
              <w:t>Are other approaches to establishing cost-effectiveness</w:t>
            </w:r>
            <w:r w:rsidR="00334179">
              <w:rPr>
                <w:rFonts w:asciiTheme="minorHAnsi" w:hAnsiTheme="minorHAnsi" w:cstheme="minorHAnsi"/>
                <w:sz w:val="20"/>
              </w:rPr>
              <w:t xml:space="preserve"> across cancer types</w:t>
            </w:r>
            <w:r w:rsidRPr="006542BF">
              <w:rPr>
                <w:rFonts w:asciiTheme="minorHAnsi" w:hAnsiTheme="minorHAnsi" w:cstheme="minorHAnsi"/>
                <w:sz w:val="20"/>
              </w:rPr>
              <w:t xml:space="preserve"> possible?</w:t>
            </w:r>
            <w:r w:rsidR="00B049E3">
              <w:rPr>
                <w:rFonts w:asciiTheme="minorHAnsi" w:hAnsiTheme="minorHAnsi" w:cstheme="minorHAnsi"/>
                <w:sz w:val="20"/>
              </w:rPr>
              <w:t xml:space="preserve"> What</w:t>
            </w:r>
            <w:r w:rsidR="002575D3">
              <w:rPr>
                <w:rFonts w:asciiTheme="minorHAnsi" w:hAnsiTheme="minorHAnsi" w:cstheme="minorHAnsi"/>
                <w:sz w:val="20"/>
              </w:rPr>
              <w:t xml:space="preserve"> are those</w:t>
            </w:r>
            <w:r w:rsidR="00B049E3">
              <w:rPr>
                <w:rFonts w:asciiTheme="minorHAnsi" w:hAnsiTheme="minorHAnsi" w:cstheme="minorHAnsi"/>
                <w:sz w:val="20"/>
              </w:rPr>
              <w:t xml:space="preserve"> approaches and how</w:t>
            </w:r>
            <w:r w:rsidR="002575D3">
              <w:rPr>
                <w:rFonts w:asciiTheme="minorHAnsi" w:hAnsiTheme="minorHAnsi" w:cstheme="minorHAnsi"/>
                <w:sz w:val="20"/>
              </w:rPr>
              <w:t xml:space="preserve"> would they operate</w:t>
            </w:r>
            <w:r w:rsidR="00B049E3">
              <w:rPr>
                <w:rFonts w:asciiTheme="minorHAnsi" w:hAnsiTheme="minorHAnsi" w:cstheme="minorHAnsi"/>
                <w:sz w:val="20"/>
              </w:rPr>
              <w:t>?</w:t>
            </w:r>
          </w:p>
          <w:p w14:paraId="1ABAAE83" w14:textId="4A403B3D" w:rsidR="00E7195F" w:rsidRPr="00F544D1" w:rsidRDefault="00E7195F" w:rsidP="00EF6595">
            <w:pPr>
              <w:pStyle w:val="ListParagraph"/>
              <w:widowControl/>
              <w:numPr>
                <w:ilvl w:val="0"/>
                <w:numId w:val="5"/>
              </w:numPr>
              <w:spacing w:after="160"/>
              <w:ind w:left="284" w:hanging="284"/>
              <w:contextualSpacing w:val="0"/>
              <w:jc w:val="left"/>
              <w:rPr>
                <w:rFonts w:asciiTheme="minorHAnsi" w:hAnsiTheme="minorHAnsi" w:cstheme="minorHAnsi"/>
                <w:sz w:val="20"/>
              </w:rPr>
            </w:pPr>
            <w:r w:rsidRPr="00F544D1">
              <w:rPr>
                <w:rFonts w:asciiTheme="minorHAnsi" w:hAnsiTheme="minorHAnsi" w:cstheme="minorHAnsi"/>
                <w:sz w:val="20"/>
              </w:rPr>
              <w:t>What do you</w:t>
            </w:r>
            <w:r w:rsidR="00147C0A" w:rsidRPr="00F544D1">
              <w:rPr>
                <w:rFonts w:asciiTheme="minorHAnsi" w:hAnsiTheme="minorHAnsi" w:cstheme="minorHAnsi"/>
                <w:sz w:val="20"/>
              </w:rPr>
              <w:t>/your organisation</w:t>
            </w:r>
            <w:r w:rsidRPr="00F544D1">
              <w:rPr>
                <w:rFonts w:asciiTheme="minorHAnsi" w:hAnsiTheme="minorHAnsi" w:cstheme="minorHAnsi"/>
                <w:sz w:val="20"/>
              </w:rPr>
              <w:t xml:space="preserve"> think is a reasonable subsidy price </w:t>
            </w:r>
            <w:r w:rsidR="000750FC" w:rsidRPr="00F544D1">
              <w:rPr>
                <w:rFonts w:asciiTheme="minorHAnsi" w:hAnsiTheme="minorHAnsi" w:cstheme="minorHAnsi"/>
                <w:sz w:val="20"/>
              </w:rPr>
              <w:t>for Go</w:t>
            </w:r>
            <w:r w:rsidRPr="00F544D1">
              <w:rPr>
                <w:rFonts w:asciiTheme="minorHAnsi" w:hAnsiTheme="minorHAnsi" w:cstheme="minorHAnsi"/>
                <w:sz w:val="20"/>
              </w:rPr>
              <w:t>vernment to pay for</w:t>
            </w:r>
            <w:r w:rsidRPr="00F544D1">
              <w:t xml:space="preserve"> </w:t>
            </w:r>
            <w:r w:rsidRPr="00F544D1">
              <w:rPr>
                <w:rFonts w:asciiTheme="minorHAnsi" w:hAnsiTheme="minorHAnsi" w:cstheme="minorHAnsi"/>
                <w:sz w:val="20"/>
              </w:rPr>
              <w:t xml:space="preserve">a PD-1 or PD-L1 medicines for cancer </w:t>
            </w:r>
            <w:r w:rsidR="00494AA2" w:rsidRPr="00F544D1">
              <w:rPr>
                <w:rFonts w:asciiTheme="minorHAnsi" w:hAnsiTheme="minorHAnsi" w:cstheme="minorHAnsi"/>
                <w:sz w:val="20"/>
              </w:rPr>
              <w:t xml:space="preserve">types </w:t>
            </w:r>
            <w:r w:rsidRPr="00F544D1">
              <w:rPr>
                <w:rFonts w:asciiTheme="minorHAnsi" w:hAnsiTheme="minorHAnsi" w:cstheme="minorHAnsi"/>
                <w:sz w:val="20"/>
              </w:rPr>
              <w:t>where the benefit is</w:t>
            </w:r>
            <w:r w:rsidR="000750FC" w:rsidRPr="00F544D1">
              <w:rPr>
                <w:rFonts w:asciiTheme="minorHAnsi" w:hAnsiTheme="minorHAnsi" w:cstheme="minorHAnsi"/>
                <w:sz w:val="20"/>
              </w:rPr>
              <w:t xml:space="preserve"> potentially</w:t>
            </w:r>
            <w:r w:rsidRPr="00F544D1">
              <w:rPr>
                <w:rFonts w:asciiTheme="minorHAnsi" w:hAnsiTheme="minorHAnsi" w:cstheme="minorHAnsi"/>
                <w:sz w:val="20"/>
              </w:rPr>
              <w:t xml:space="preserve"> very modest?</w:t>
            </w:r>
          </w:p>
          <w:p w14:paraId="537C92CD" w14:textId="63738E1A" w:rsidR="00452398" w:rsidRPr="006542BF" w:rsidRDefault="00452398" w:rsidP="00EF6595">
            <w:pPr>
              <w:pStyle w:val="ListParagraph"/>
              <w:widowControl/>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 xml:space="preserve">Do you/your organisation </w:t>
            </w:r>
            <w:r w:rsidR="00FE1578">
              <w:rPr>
                <w:rFonts w:asciiTheme="minorHAnsi" w:hAnsiTheme="minorHAnsi" w:cstheme="minorHAnsi"/>
                <w:sz w:val="20"/>
              </w:rPr>
              <w:t xml:space="preserve">think </w:t>
            </w:r>
            <w:r w:rsidRPr="006542BF">
              <w:rPr>
                <w:rFonts w:asciiTheme="minorHAnsi" w:hAnsiTheme="minorHAnsi" w:cstheme="minorHAnsi"/>
                <w:sz w:val="20"/>
              </w:rPr>
              <w:t>PD-1 and PD-L1 medic</w:t>
            </w:r>
            <w:r w:rsidR="00334179">
              <w:rPr>
                <w:rFonts w:asciiTheme="minorHAnsi" w:hAnsiTheme="minorHAnsi" w:cstheme="minorHAnsi"/>
                <w:sz w:val="20"/>
              </w:rPr>
              <w:t>in</w:t>
            </w:r>
            <w:r w:rsidRPr="006542BF">
              <w:rPr>
                <w:rFonts w:asciiTheme="minorHAnsi" w:hAnsiTheme="minorHAnsi" w:cstheme="minorHAnsi"/>
                <w:sz w:val="20"/>
              </w:rPr>
              <w:t>es</w:t>
            </w:r>
            <w:r w:rsidR="00334179">
              <w:rPr>
                <w:rFonts w:asciiTheme="minorHAnsi" w:hAnsiTheme="minorHAnsi" w:cstheme="minorHAnsi"/>
                <w:sz w:val="20"/>
              </w:rPr>
              <w:t xml:space="preserve"> should be made</w:t>
            </w:r>
            <w:r w:rsidRPr="006542BF">
              <w:rPr>
                <w:rFonts w:asciiTheme="minorHAnsi" w:hAnsiTheme="minorHAnsi" w:cstheme="minorHAnsi"/>
                <w:sz w:val="20"/>
              </w:rPr>
              <w:t xml:space="preserve"> available to all patients whose cancers display a particular biomarke</w:t>
            </w:r>
            <w:r w:rsidR="00334179">
              <w:rPr>
                <w:rFonts w:asciiTheme="minorHAnsi" w:hAnsiTheme="minorHAnsi" w:cstheme="minorHAnsi"/>
                <w:sz w:val="20"/>
              </w:rPr>
              <w:t>r</w:t>
            </w:r>
            <w:r w:rsidRPr="006542BF">
              <w:rPr>
                <w:rFonts w:asciiTheme="minorHAnsi" w:hAnsiTheme="minorHAnsi" w:cstheme="minorHAnsi"/>
                <w:sz w:val="20"/>
              </w:rPr>
              <w:t xml:space="preserve">? </w:t>
            </w:r>
            <w:r w:rsidR="006542BF" w:rsidRPr="006542BF">
              <w:rPr>
                <w:rFonts w:asciiTheme="minorHAnsi" w:hAnsiTheme="minorHAnsi" w:cstheme="minorHAnsi"/>
                <w:sz w:val="20"/>
              </w:rPr>
              <w:t>Why?</w:t>
            </w:r>
            <w:r w:rsidR="00FE1578">
              <w:rPr>
                <w:rFonts w:asciiTheme="minorHAnsi" w:hAnsiTheme="minorHAnsi" w:cstheme="minorHAnsi"/>
                <w:sz w:val="20"/>
              </w:rPr>
              <w:t xml:space="preserve"> Which biomarker?</w:t>
            </w:r>
          </w:p>
          <w:p w14:paraId="6D18B21D" w14:textId="631F6937" w:rsidR="00B47877" w:rsidRDefault="00B47877" w:rsidP="00EF6595">
            <w:pPr>
              <w:pStyle w:val="ListParagraph"/>
              <w:widowControl/>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 xml:space="preserve">Do you/your organisation think it is appropriate for the PBAC to extrapolate the evidence from one PD-1 or PD-L1 checkpoint inhibitor to other medicines in the same </w:t>
            </w:r>
            <w:proofErr w:type="gramStart"/>
            <w:r w:rsidRPr="006542BF">
              <w:rPr>
                <w:rFonts w:asciiTheme="minorHAnsi" w:hAnsiTheme="minorHAnsi" w:cstheme="minorHAnsi"/>
                <w:sz w:val="20"/>
              </w:rPr>
              <w:t>class(</w:t>
            </w:r>
            <w:proofErr w:type="spellStart"/>
            <w:proofErr w:type="gramEnd"/>
            <w:r w:rsidRPr="006542BF">
              <w:rPr>
                <w:rFonts w:asciiTheme="minorHAnsi" w:hAnsiTheme="minorHAnsi" w:cstheme="minorHAnsi"/>
                <w:sz w:val="20"/>
              </w:rPr>
              <w:t>es</w:t>
            </w:r>
            <w:proofErr w:type="spellEnd"/>
            <w:r w:rsidRPr="006542BF">
              <w:rPr>
                <w:rFonts w:asciiTheme="minorHAnsi" w:hAnsiTheme="minorHAnsi" w:cstheme="minorHAnsi"/>
                <w:sz w:val="20"/>
              </w:rPr>
              <w:t xml:space="preserve">).  This could provide </w:t>
            </w:r>
            <w:r w:rsidR="0079293A" w:rsidRPr="006542BF">
              <w:rPr>
                <w:rFonts w:asciiTheme="minorHAnsi" w:hAnsiTheme="minorHAnsi" w:cstheme="minorHAnsi"/>
                <w:sz w:val="20"/>
              </w:rPr>
              <w:t xml:space="preserve">patients with more choice and give </w:t>
            </w:r>
            <w:r w:rsidRPr="006542BF">
              <w:rPr>
                <w:rFonts w:asciiTheme="minorHAnsi" w:hAnsiTheme="minorHAnsi" w:cstheme="minorHAnsi"/>
                <w:sz w:val="20"/>
              </w:rPr>
              <w:t xml:space="preserve">Government </w:t>
            </w:r>
            <w:r w:rsidR="0079293A" w:rsidRPr="006542BF">
              <w:rPr>
                <w:rFonts w:asciiTheme="minorHAnsi" w:hAnsiTheme="minorHAnsi" w:cstheme="minorHAnsi"/>
                <w:sz w:val="20"/>
              </w:rPr>
              <w:t xml:space="preserve">the opportunity </w:t>
            </w:r>
            <w:r w:rsidRPr="006542BF">
              <w:rPr>
                <w:rFonts w:asciiTheme="minorHAnsi" w:hAnsiTheme="minorHAnsi" w:cstheme="minorHAnsi"/>
                <w:sz w:val="20"/>
              </w:rPr>
              <w:t xml:space="preserve">to negotiate better subsidy prices by utilising the competition between </w:t>
            </w:r>
            <w:r w:rsidR="00F22C32" w:rsidRPr="006542BF">
              <w:rPr>
                <w:rFonts w:asciiTheme="minorHAnsi" w:hAnsiTheme="minorHAnsi" w:cstheme="minorHAnsi"/>
                <w:sz w:val="20"/>
              </w:rPr>
              <w:t xml:space="preserve">sponsors of </w:t>
            </w:r>
            <w:r w:rsidR="00EF7812" w:rsidRPr="006542BF">
              <w:rPr>
                <w:rFonts w:asciiTheme="minorHAnsi" w:hAnsiTheme="minorHAnsi" w:cstheme="minorHAnsi"/>
                <w:sz w:val="20"/>
              </w:rPr>
              <w:t>medicines</w:t>
            </w:r>
            <w:r w:rsidRPr="006542BF">
              <w:rPr>
                <w:rFonts w:asciiTheme="minorHAnsi" w:hAnsiTheme="minorHAnsi" w:cstheme="minorHAnsi"/>
                <w:sz w:val="20"/>
              </w:rPr>
              <w:t>.</w:t>
            </w:r>
          </w:p>
          <w:p w14:paraId="22ED81A7" w14:textId="5510EBF0" w:rsidR="00B509D2" w:rsidRDefault="00B509D2" w:rsidP="00EF6595">
            <w:pPr>
              <w:pStyle w:val="ListParagraph"/>
              <w:numPr>
                <w:ilvl w:val="0"/>
                <w:numId w:val="5"/>
              </w:numPr>
              <w:spacing w:after="160"/>
              <w:ind w:left="284" w:hanging="284"/>
              <w:rPr>
                <w:rFonts w:asciiTheme="minorHAnsi" w:hAnsiTheme="minorHAnsi" w:cstheme="minorHAnsi"/>
                <w:sz w:val="20"/>
              </w:rPr>
            </w:pPr>
            <w:r w:rsidRPr="00B509D2">
              <w:rPr>
                <w:rFonts w:asciiTheme="minorHAnsi" w:hAnsiTheme="minorHAnsi" w:cstheme="minorHAnsi"/>
                <w:sz w:val="20"/>
              </w:rPr>
              <w:t xml:space="preserve">Do you/your organisation think that different evidentiary requirements are appropriate for rare cancers? How do you think cost-effectiveness should be established in this case?  </w:t>
            </w:r>
          </w:p>
          <w:p w14:paraId="6775F519" w14:textId="6F066F1B" w:rsidR="00264D1A" w:rsidRPr="006542BF" w:rsidRDefault="00264D1A" w:rsidP="00EF6595">
            <w:pPr>
              <w:pStyle w:val="ListParagraph"/>
              <w:widowControl/>
              <w:numPr>
                <w:ilvl w:val="0"/>
                <w:numId w:val="5"/>
              </w:numPr>
              <w:spacing w:after="160"/>
              <w:ind w:left="284" w:hanging="284"/>
              <w:contextualSpacing w:val="0"/>
              <w:jc w:val="left"/>
              <w:rPr>
                <w:rFonts w:asciiTheme="minorHAnsi" w:hAnsiTheme="minorHAnsi" w:cstheme="minorHAnsi"/>
                <w:sz w:val="20"/>
              </w:rPr>
            </w:pPr>
            <w:r w:rsidRPr="006542BF">
              <w:rPr>
                <w:rFonts w:asciiTheme="minorHAnsi" w:hAnsiTheme="minorHAnsi" w:cstheme="minorHAnsi"/>
                <w:sz w:val="20"/>
              </w:rPr>
              <w:t>Do you/your organisation think PBAC should set aside one</w:t>
            </w:r>
            <w:r w:rsidR="00334179">
              <w:rPr>
                <w:rFonts w:asciiTheme="minorHAnsi" w:hAnsiTheme="minorHAnsi" w:cstheme="minorHAnsi"/>
                <w:sz w:val="20"/>
              </w:rPr>
              <w:t xml:space="preserve"> of its</w:t>
            </w:r>
            <w:r w:rsidRPr="006542BF">
              <w:rPr>
                <w:rFonts w:asciiTheme="minorHAnsi" w:hAnsiTheme="minorHAnsi" w:cstheme="minorHAnsi"/>
                <w:sz w:val="20"/>
              </w:rPr>
              <w:t xml:space="preserve"> meeting</w:t>
            </w:r>
            <w:r w:rsidR="00334179">
              <w:rPr>
                <w:rFonts w:asciiTheme="minorHAnsi" w:hAnsiTheme="minorHAnsi" w:cstheme="minorHAnsi"/>
                <w:sz w:val="20"/>
              </w:rPr>
              <w:t>s each</w:t>
            </w:r>
            <w:r w:rsidRPr="006542BF">
              <w:rPr>
                <w:rFonts w:asciiTheme="minorHAnsi" w:hAnsiTheme="minorHAnsi" w:cstheme="minorHAnsi"/>
                <w:sz w:val="20"/>
              </w:rPr>
              <w:t xml:space="preserve"> year to consider only PD-1 or PD-L1 inhibitors for cancer?  (This would mean no other submissions for other medicines</w:t>
            </w:r>
            <w:r w:rsidR="00B049E3">
              <w:rPr>
                <w:rFonts w:asciiTheme="minorHAnsi" w:hAnsiTheme="minorHAnsi" w:cstheme="minorHAnsi"/>
                <w:sz w:val="20"/>
              </w:rPr>
              <w:t>, including other cancer medicines,</w:t>
            </w:r>
            <w:r w:rsidRPr="006542BF">
              <w:rPr>
                <w:rFonts w:asciiTheme="minorHAnsi" w:hAnsiTheme="minorHAnsi" w:cstheme="minorHAnsi"/>
                <w:sz w:val="20"/>
              </w:rPr>
              <w:t xml:space="preserve"> or other diseases would be considered at that meeting.)</w:t>
            </w:r>
          </w:p>
          <w:p w14:paraId="0778D40B" w14:textId="1FDB2458" w:rsidR="00F22C32" w:rsidRPr="006542BF" w:rsidRDefault="00F22C32" w:rsidP="00EF6595">
            <w:pPr>
              <w:pStyle w:val="ListParagraph"/>
              <w:widowControl/>
              <w:numPr>
                <w:ilvl w:val="0"/>
                <w:numId w:val="5"/>
              </w:numPr>
              <w:ind w:left="284" w:hanging="284"/>
              <w:contextualSpacing w:val="0"/>
              <w:jc w:val="left"/>
              <w:rPr>
                <w:rFonts w:asciiTheme="minorHAnsi" w:hAnsiTheme="minorHAnsi" w:cstheme="minorHAnsi"/>
                <w:sz w:val="20"/>
              </w:rPr>
            </w:pPr>
            <w:r w:rsidRPr="006542BF">
              <w:rPr>
                <w:rFonts w:asciiTheme="minorHAnsi" w:hAnsiTheme="minorHAnsi" w:cstheme="minorHAnsi"/>
                <w:sz w:val="20"/>
              </w:rPr>
              <w:t xml:space="preserve">If </w:t>
            </w:r>
            <w:r w:rsidR="000750FC">
              <w:rPr>
                <w:rFonts w:asciiTheme="minorHAnsi" w:hAnsiTheme="minorHAnsi" w:cstheme="minorHAnsi"/>
                <w:sz w:val="20"/>
              </w:rPr>
              <w:t>limited</w:t>
            </w:r>
            <w:r w:rsidRPr="006542BF">
              <w:rPr>
                <w:rFonts w:asciiTheme="minorHAnsi" w:hAnsiTheme="minorHAnsi" w:cstheme="minorHAnsi"/>
                <w:sz w:val="20"/>
              </w:rPr>
              <w:t xml:space="preserve"> evidence </w:t>
            </w:r>
            <w:r w:rsidR="000750FC">
              <w:rPr>
                <w:rFonts w:asciiTheme="minorHAnsi" w:hAnsiTheme="minorHAnsi" w:cstheme="minorHAnsi"/>
                <w:sz w:val="20"/>
              </w:rPr>
              <w:t>is available at the time</w:t>
            </w:r>
            <w:r w:rsidRPr="006542BF">
              <w:rPr>
                <w:rFonts w:asciiTheme="minorHAnsi" w:hAnsiTheme="minorHAnsi" w:cstheme="minorHAnsi"/>
                <w:sz w:val="20"/>
              </w:rPr>
              <w:t xml:space="preserve"> </w:t>
            </w:r>
            <w:r w:rsidR="00147C0A">
              <w:rPr>
                <w:rFonts w:asciiTheme="minorHAnsi" w:hAnsiTheme="minorHAnsi" w:cstheme="minorHAnsi"/>
                <w:sz w:val="20"/>
              </w:rPr>
              <w:t xml:space="preserve">of </w:t>
            </w:r>
            <w:r w:rsidRPr="006542BF">
              <w:rPr>
                <w:rFonts w:asciiTheme="minorHAnsi" w:hAnsiTheme="minorHAnsi" w:cstheme="minorHAnsi"/>
                <w:sz w:val="20"/>
              </w:rPr>
              <w:t>subsidy</w:t>
            </w:r>
            <w:r w:rsidR="00DD7B71" w:rsidRPr="006542BF">
              <w:rPr>
                <w:rFonts w:asciiTheme="minorHAnsi" w:hAnsiTheme="minorHAnsi" w:cstheme="minorHAnsi"/>
                <w:sz w:val="20"/>
              </w:rPr>
              <w:t xml:space="preserve"> of a PD-1 or PD-L1 inhibitor for </w:t>
            </w:r>
            <w:r w:rsidR="00147C0A">
              <w:rPr>
                <w:rFonts w:asciiTheme="minorHAnsi" w:hAnsiTheme="minorHAnsi" w:cstheme="minorHAnsi"/>
                <w:sz w:val="20"/>
              </w:rPr>
              <w:t xml:space="preserve">a type of </w:t>
            </w:r>
            <w:proofErr w:type="gramStart"/>
            <w:r w:rsidR="00DD7B71" w:rsidRPr="006542BF">
              <w:rPr>
                <w:rFonts w:asciiTheme="minorHAnsi" w:hAnsiTheme="minorHAnsi" w:cstheme="minorHAnsi"/>
                <w:sz w:val="20"/>
              </w:rPr>
              <w:t>cancer</w:t>
            </w:r>
            <w:r w:rsidR="008179A9">
              <w:rPr>
                <w:rFonts w:asciiTheme="minorHAnsi" w:hAnsiTheme="minorHAnsi" w:cstheme="minorHAnsi"/>
                <w:sz w:val="20"/>
              </w:rPr>
              <w:t xml:space="preserve">  </w:t>
            </w:r>
            <w:r w:rsidRPr="006542BF">
              <w:rPr>
                <w:rFonts w:asciiTheme="minorHAnsi" w:hAnsiTheme="minorHAnsi" w:cstheme="minorHAnsi"/>
                <w:sz w:val="20"/>
              </w:rPr>
              <w:t>,</w:t>
            </w:r>
            <w:proofErr w:type="gramEnd"/>
            <w:r w:rsidRPr="006542BF">
              <w:rPr>
                <w:rFonts w:asciiTheme="minorHAnsi" w:hAnsiTheme="minorHAnsi" w:cstheme="minorHAnsi"/>
                <w:sz w:val="20"/>
              </w:rPr>
              <w:t xml:space="preserve"> what do you</w:t>
            </w:r>
            <w:r w:rsidR="00147C0A">
              <w:rPr>
                <w:rFonts w:asciiTheme="minorHAnsi" w:hAnsiTheme="minorHAnsi" w:cstheme="minorHAnsi"/>
                <w:sz w:val="20"/>
              </w:rPr>
              <w:t>/your organisation</w:t>
            </w:r>
            <w:r w:rsidRPr="006542BF">
              <w:rPr>
                <w:rFonts w:asciiTheme="minorHAnsi" w:hAnsiTheme="minorHAnsi" w:cstheme="minorHAnsi"/>
                <w:sz w:val="20"/>
              </w:rPr>
              <w:t xml:space="preserve"> think should happen after</w:t>
            </w:r>
            <w:r w:rsidR="008179A9">
              <w:rPr>
                <w:rFonts w:asciiTheme="minorHAnsi" w:hAnsiTheme="minorHAnsi" w:cstheme="minorHAnsi"/>
                <w:sz w:val="20"/>
              </w:rPr>
              <w:t>wards</w:t>
            </w:r>
            <w:r w:rsidRPr="006542BF">
              <w:rPr>
                <w:rFonts w:asciiTheme="minorHAnsi" w:hAnsiTheme="minorHAnsi" w:cstheme="minorHAnsi"/>
                <w:sz w:val="20"/>
              </w:rPr>
              <w:t>?</w:t>
            </w:r>
          </w:p>
          <w:p w14:paraId="416B5647" w14:textId="77777777" w:rsidR="00F22C32" w:rsidRPr="006542BF" w:rsidRDefault="00F22C32" w:rsidP="00EF6595">
            <w:pPr>
              <w:pStyle w:val="ListParagraph"/>
              <w:numPr>
                <w:ilvl w:val="0"/>
                <w:numId w:val="16"/>
              </w:numPr>
              <w:ind w:left="567" w:firstLine="0"/>
              <w:contextualSpacing w:val="0"/>
              <w:jc w:val="left"/>
              <w:rPr>
                <w:rFonts w:asciiTheme="minorHAnsi" w:hAnsiTheme="minorHAnsi" w:cstheme="minorHAnsi"/>
                <w:sz w:val="20"/>
              </w:rPr>
            </w:pPr>
            <w:r w:rsidRPr="006542BF">
              <w:rPr>
                <w:rFonts w:asciiTheme="minorHAnsi" w:hAnsiTheme="minorHAnsi" w:cstheme="minorHAnsi"/>
                <w:sz w:val="20"/>
              </w:rPr>
              <w:t>Should sponsors be required to collect more evidence?</w:t>
            </w:r>
          </w:p>
          <w:p w14:paraId="4DD9C90B" w14:textId="764D9ED3" w:rsidR="008258EB" w:rsidRPr="006542BF" w:rsidRDefault="00F22C32" w:rsidP="00EF6595">
            <w:pPr>
              <w:pStyle w:val="ListParagraph"/>
              <w:numPr>
                <w:ilvl w:val="0"/>
                <w:numId w:val="16"/>
              </w:numPr>
              <w:ind w:left="567" w:firstLine="0"/>
              <w:contextualSpacing w:val="0"/>
              <w:jc w:val="left"/>
              <w:rPr>
                <w:rFonts w:asciiTheme="minorHAnsi" w:hAnsiTheme="minorHAnsi" w:cstheme="minorHAnsi"/>
                <w:sz w:val="20"/>
              </w:rPr>
            </w:pPr>
            <w:r w:rsidRPr="006542BF">
              <w:rPr>
                <w:rFonts w:asciiTheme="minorHAnsi" w:hAnsiTheme="minorHAnsi" w:cstheme="minorHAnsi"/>
                <w:sz w:val="20"/>
              </w:rPr>
              <w:t>What should happen if the new evidence shows the medicine is less effective</w:t>
            </w:r>
            <w:r w:rsidR="005227A4" w:rsidRPr="006542BF">
              <w:rPr>
                <w:rFonts w:asciiTheme="minorHAnsi" w:hAnsiTheme="minorHAnsi" w:cstheme="minorHAnsi"/>
                <w:sz w:val="20"/>
              </w:rPr>
              <w:t xml:space="preserve"> or </w:t>
            </w:r>
            <w:r w:rsidR="006A7C4C">
              <w:rPr>
                <w:rFonts w:asciiTheme="minorHAnsi" w:hAnsiTheme="minorHAnsi" w:cstheme="minorHAnsi"/>
                <w:sz w:val="20"/>
              </w:rPr>
              <w:t>has greater safety risks</w:t>
            </w:r>
            <w:r w:rsidR="006A7C4C" w:rsidRPr="006542BF">
              <w:rPr>
                <w:rFonts w:asciiTheme="minorHAnsi" w:hAnsiTheme="minorHAnsi" w:cstheme="minorHAnsi"/>
                <w:sz w:val="20"/>
              </w:rPr>
              <w:t xml:space="preserve"> </w:t>
            </w:r>
            <w:proofErr w:type="gramStart"/>
            <w:r w:rsidRPr="006542BF">
              <w:rPr>
                <w:rFonts w:asciiTheme="minorHAnsi" w:hAnsiTheme="minorHAnsi" w:cstheme="minorHAnsi"/>
                <w:sz w:val="20"/>
              </w:rPr>
              <w:t>than  expected</w:t>
            </w:r>
            <w:proofErr w:type="gramEnd"/>
            <w:r w:rsidRPr="006542BF">
              <w:rPr>
                <w:rFonts w:asciiTheme="minorHAnsi" w:hAnsiTheme="minorHAnsi" w:cstheme="minorHAnsi"/>
                <w:sz w:val="20"/>
              </w:rPr>
              <w:t xml:space="preserve">? </w:t>
            </w:r>
          </w:p>
          <w:p w14:paraId="37029060" w14:textId="77777777" w:rsidR="00F22C32" w:rsidRDefault="00F22C32" w:rsidP="00EF6595">
            <w:pPr>
              <w:pStyle w:val="ListParagraph"/>
              <w:numPr>
                <w:ilvl w:val="0"/>
                <w:numId w:val="16"/>
              </w:numPr>
              <w:ind w:left="567" w:firstLine="0"/>
              <w:contextualSpacing w:val="0"/>
              <w:jc w:val="left"/>
              <w:rPr>
                <w:rFonts w:asciiTheme="minorHAnsi" w:hAnsiTheme="minorHAnsi" w:cstheme="minorHAnsi"/>
                <w:sz w:val="20"/>
              </w:rPr>
            </w:pPr>
            <w:r w:rsidRPr="006542BF">
              <w:rPr>
                <w:rFonts w:asciiTheme="minorHAnsi" w:hAnsiTheme="minorHAnsi" w:cstheme="minorHAnsi"/>
                <w:sz w:val="20"/>
              </w:rPr>
              <w:t>Should the medicine continue to be subsidised but at a price commensurate with its benefit? Should the sponsor be compelled to continue to make the medicine available even if it thinks the price is too low?</w:t>
            </w:r>
          </w:p>
          <w:p w14:paraId="6094D4AD" w14:textId="77777777" w:rsidR="00EF6595" w:rsidRPr="006542BF" w:rsidRDefault="00EF6595" w:rsidP="00EF6595">
            <w:pPr>
              <w:pStyle w:val="ListParagraph"/>
              <w:ind w:left="567"/>
              <w:contextualSpacing w:val="0"/>
              <w:jc w:val="left"/>
              <w:rPr>
                <w:rFonts w:asciiTheme="minorHAnsi" w:hAnsiTheme="minorHAnsi" w:cstheme="minorHAnsi"/>
                <w:sz w:val="20"/>
              </w:rPr>
            </w:pPr>
          </w:p>
          <w:p w14:paraId="672EA044" w14:textId="27C8C165" w:rsidR="00DB6BBB" w:rsidRPr="00DB6BBB" w:rsidRDefault="00F22C32" w:rsidP="00EF6595">
            <w:pPr>
              <w:pStyle w:val="ListParagraph"/>
              <w:numPr>
                <w:ilvl w:val="0"/>
                <w:numId w:val="5"/>
              </w:numPr>
              <w:spacing w:after="160"/>
              <w:rPr>
                <w:rFonts w:asciiTheme="minorHAnsi" w:hAnsiTheme="minorHAnsi" w:cstheme="minorHAnsi"/>
                <w:sz w:val="20"/>
              </w:rPr>
            </w:pPr>
            <w:r w:rsidRPr="00DB6BBB">
              <w:rPr>
                <w:rFonts w:asciiTheme="minorHAnsi" w:hAnsiTheme="minorHAnsi" w:cstheme="minorHAnsi"/>
                <w:b/>
                <w:sz w:val="20"/>
              </w:rPr>
              <w:t>(For industry</w:t>
            </w:r>
            <w:r w:rsidR="008258EB" w:rsidRPr="00DB6BBB">
              <w:rPr>
                <w:rFonts w:asciiTheme="minorHAnsi" w:hAnsiTheme="minorHAnsi" w:cstheme="minorHAnsi"/>
                <w:b/>
                <w:sz w:val="20"/>
              </w:rPr>
              <w:t>/clinical groups</w:t>
            </w:r>
            <w:r w:rsidRPr="00DB6BBB">
              <w:rPr>
                <w:rFonts w:asciiTheme="minorHAnsi" w:hAnsiTheme="minorHAnsi" w:cstheme="minorHAnsi"/>
                <w:b/>
                <w:sz w:val="20"/>
              </w:rPr>
              <w:t>)</w:t>
            </w:r>
            <w:r w:rsidRPr="00DB6BBB">
              <w:rPr>
                <w:rFonts w:asciiTheme="minorHAnsi" w:hAnsiTheme="minorHAnsi" w:cstheme="minorHAnsi"/>
                <w:sz w:val="20"/>
              </w:rPr>
              <w:t xml:space="preserve"> </w:t>
            </w:r>
            <w:r w:rsidR="00DB6BBB" w:rsidRPr="00DB6BBB">
              <w:rPr>
                <w:rFonts w:asciiTheme="minorHAnsi" w:hAnsiTheme="minorHAnsi" w:cstheme="minorHAnsi"/>
                <w:sz w:val="20"/>
              </w:rPr>
              <w:t xml:space="preserve">Clinical study information: (Please use the template provided </w:t>
            </w:r>
            <w:r w:rsidR="00DB6BBB">
              <w:rPr>
                <w:rFonts w:asciiTheme="minorHAnsi" w:hAnsiTheme="minorHAnsi" w:cstheme="minorHAnsi"/>
                <w:sz w:val="20"/>
              </w:rPr>
              <w:t>for</w:t>
            </w:r>
            <w:r w:rsidR="00DB6BBB" w:rsidRPr="00DB6BBB">
              <w:rPr>
                <w:rFonts w:asciiTheme="minorHAnsi" w:hAnsiTheme="minorHAnsi" w:cstheme="minorHAnsi"/>
                <w:sz w:val="20"/>
              </w:rPr>
              <w:t xml:space="preserve"> this information.)</w:t>
            </w:r>
          </w:p>
          <w:p w14:paraId="7AFDD85F" w14:textId="77777777" w:rsidR="00DB6BBB" w:rsidRPr="00DB6BBB" w:rsidRDefault="00B509D2" w:rsidP="00EF6595">
            <w:pPr>
              <w:pStyle w:val="ListParagraph"/>
              <w:numPr>
                <w:ilvl w:val="0"/>
                <w:numId w:val="16"/>
              </w:numPr>
              <w:ind w:left="567" w:firstLine="0"/>
              <w:contextualSpacing w:val="0"/>
              <w:jc w:val="left"/>
              <w:rPr>
                <w:rFonts w:asciiTheme="minorHAnsi" w:hAnsiTheme="minorHAnsi" w:cstheme="minorHAnsi"/>
                <w:sz w:val="20"/>
              </w:rPr>
            </w:pPr>
            <w:r>
              <w:rPr>
                <w:rFonts w:asciiTheme="minorHAnsi" w:hAnsiTheme="minorHAnsi" w:cstheme="minorHAnsi"/>
                <w:sz w:val="20"/>
              </w:rPr>
              <w:t xml:space="preserve">In what indications has your organisation completed clinical trials with a PD-1 and PDL1 inhibitor? Please include both positive and negative studies.  </w:t>
            </w:r>
          </w:p>
          <w:p w14:paraId="1FE40BDB" w14:textId="77777777" w:rsidR="00DB6BBB" w:rsidRPr="00DB6BBB" w:rsidRDefault="00F22C32" w:rsidP="00EF6595">
            <w:pPr>
              <w:pStyle w:val="ListParagraph"/>
              <w:numPr>
                <w:ilvl w:val="0"/>
                <w:numId w:val="16"/>
              </w:numPr>
              <w:ind w:left="567" w:firstLine="0"/>
              <w:contextualSpacing w:val="0"/>
              <w:jc w:val="left"/>
              <w:rPr>
                <w:rFonts w:asciiTheme="minorHAnsi" w:hAnsiTheme="minorHAnsi" w:cstheme="minorHAnsi"/>
                <w:sz w:val="20"/>
              </w:rPr>
            </w:pPr>
            <w:r w:rsidRPr="006542BF">
              <w:rPr>
                <w:rFonts w:asciiTheme="minorHAnsi" w:hAnsiTheme="minorHAnsi" w:cstheme="minorHAnsi"/>
                <w:sz w:val="20"/>
              </w:rPr>
              <w:t>In what indications is your organisation currently conducting</w:t>
            </w:r>
            <w:r w:rsidR="00B509D2">
              <w:rPr>
                <w:rFonts w:asciiTheme="minorHAnsi" w:hAnsiTheme="minorHAnsi" w:cstheme="minorHAnsi"/>
                <w:sz w:val="20"/>
              </w:rPr>
              <w:t xml:space="preserve"> or planning to conduct</w:t>
            </w:r>
            <w:r w:rsidRPr="006542BF">
              <w:rPr>
                <w:rFonts w:asciiTheme="minorHAnsi" w:hAnsiTheme="minorHAnsi" w:cstheme="minorHAnsi"/>
                <w:sz w:val="20"/>
              </w:rPr>
              <w:t xml:space="preserve"> clinical trials with PD-1 or PD-L1 inhibitors?  If usual PBAC processes were to be followed, when would you expect to </w:t>
            </w:r>
            <w:r w:rsidR="00264D1A" w:rsidRPr="006542BF">
              <w:rPr>
                <w:rFonts w:asciiTheme="minorHAnsi" w:hAnsiTheme="minorHAnsi" w:cstheme="minorHAnsi"/>
                <w:sz w:val="20"/>
              </w:rPr>
              <w:t>make</w:t>
            </w:r>
            <w:r w:rsidRPr="006542BF">
              <w:rPr>
                <w:rFonts w:asciiTheme="minorHAnsi" w:hAnsiTheme="minorHAnsi" w:cstheme="minorHAnsi"/>
                <w:sz w:val="20"/>
              </w:rPr>
              <w:t xml:space="preserve"> an application for subsidy for these indications</w:t>
            </w:r>
            <w:r w:rsidR="008258EB" w:rsidRPr="006542BF">
              <w:rPr>
                <w:rFonts w:asciiTheme="minorHAnsi" w:hAnsiTheme="minorHAnsi" w:cstheme="minorHAnsi"/>
                <w:sz w:val="20"/>
              </w:rPr>
              <w:t>?</w:t>
            </w:r>
          </w:p>
          <w:p w14:paraId="1A0DBFF4" w14:textId="416BA6F2" w:rsidR="00D628EF" w:rsidRPr="008179A9" w:rsidRDefault="00DB6BBB" w:rsidP="003E234D">
            <w:pPr>
              <w:pStyle w:val="ListParagraph"/>
              <w:numPr>
                <w:ilvl w:val="0"/>
                <w:numId w:val="16"/>
              </w:numPr>
              <w:spacing w:after="160"/>
              <w:ind w:left="567" w:firstLine="0"/>
              <w:contextualSpacing w:val="0"/>
              <w:jc w:val="left"/>
              <w:rPr>
                <w:rFonts w:asciiTheme="minorHAnsi" w:hAnsiTheme="minorHAnsi" w:cstheme="minorHAnsi"/>
                <w:b/>
                <w:sz w:val="20"/>
              </w:rPr>
            </w:pPr>
            <w:r w:rsidRPr="00F544D1">
              <w:rPr>
                <w:rFonts w:asciiTheme="minorHAnsi" w:hAnsiTheme="minorHAnsi" w:cstheme="minorHAnsi"/>
                <w:sz w:val="20"/>
              </w:rPr>
              <w:t>How does your organisation decide which indications to study and which to prioritise for registration or subsidy?</w:t>
            </w:r>
            <w:r w:rsidR="00D628EF" w:rsidRPr="00F544D1" w:rsidDel="00DB6BBB">
              <w:rPr>
                <w:rFonts w:asciiTheme="minorHAnsi" w:hAnsiTheme="minorHAnsi" w:cstheme="minorHAnsi"/>
                <w:sz w:val="20"/>
              </w:rPr>
              <w:t xml:space="preserve"> </w:t>
            </w:r>
          </w:p>
          <w:p w14:paraId="7A1A77C8" w14:textId="59F0774A" w:rsidR="00B509D2" w:rsidRPr="00ED661F" w:rsidRDefault="00D628EF" w:rsidP="00EF6595">
            <w:pPr>
              <w:pStyle w:val="ListParagraph"/>
              <w:numPr>
                <w:ilvl w:val="0"/>
                <w:numId w:val="5"/>
              </w:numPr>
              <w:spacing w:after="160"/>
              <w:rPr>
                <w:rFonts w:asciiTheme="minorHAnsi" w:hAnsiTheme="minorHAnsi" w:cstheme="minorHAnsi"/>
                <w:sz w:val="20"/>
              </w:rPr>
            </w:pPr>
            <w:r w:rsidRPr="00ED661F">
              <w:rPr>
                <w:rFonts w:asciiTheme="minorHAnsi" w:hAnsiTheme="minorHAnsi" w:cstheme="minorHAnsi"/>
                <w:sz w:val="20"/>
              </w:rPr>
              <w:t>A</w:t>
            </w:r>
            <w:r w:rsidR="00B509D2" w:rsidRPr="00ED661F">
              <w:rPr>
                <w:rFonts w:asciiTheme="minorHAnsi" w:hAnsiTheme="minorHAnsi" w:cstheme="minorHAnsi"/>
                <w:sz w:val="20"/>
              </w:rPr>
              <w:t>re there effective international models for multi-tumour subsidy that could be applied in Australia within the current regulatory framework?</w:t>
            </w:r>
          </w:p>
          <w:p w14:paraId="16C0D27D" w14:textId="77777777" w:rsidR="00E5079A" w:rsidRPr="00E5079A" w:rsidRDefault="00E5079A" w:rsidP="00EF6595">
            <w:pPr>
              <w:pStyle w:val="ListParagraph"/>
              <w:spacing w:after="160"/>
              <w:ind w:left="284"/>
              <w:rPr>
                <w:rFonts w:asciiTheme="minorHAnsi" w:hAnsiTheme="minorHAnsi" w:cstheme="minorHAnsi"/>
                <w:sz w:val="20"/>
              </w:rPr>
            </w:pPr>
          </w:p>
          <w:p w14:paraId="02E68A10" w14:textId="2007C237" w:rsidR="001219C2" w:rsidRPr="006542BF" w:rsidRDefault="00F22C32" w:rsidP="00EF6595">
            <w:pPr>
              <w:pStyle w:val="ListParagraph"/>
              <w:widowControl/>
              <w:numPr>
                <w:ilvl w:val="0"/>
                <w:numId w:val="5"/>
              </w:numPr>
              <w:spacing w:after="160"/>
              <w:contextualSpacing w:val="0"/>
              <w:jc w:val="left"/>
              <w:rPr>
                <w:rFonts w:asciiTheme="minorHAnsi" w:hAnsiTheme="minorHAnsi" w:cstheme="minorHAnsi"/>
                <w:sz w:val="20"/>
              </w:rPr>
            </w:pPr>
            <w:r w:rsidRPr="006542BF">
              <w:rPr>
                <w:rFonts w:asciiTheme="minorHAnsi" w:hAnsiTheme="minorHAnsi" w:cstheme="minorHAnsi"/>
                <w:b/>
                <w:sz w:val="20"/>
              </w:rPr>
              <w:t xml:space="preserve">(For </w:t>
            </w:r>
            <w:r w:rsidR="001219C2" w:rsidRPr="006542BF">
              <w:rPr>
                <w:rFonts w:asciiTheme="minorHAnsi" w:hAnsiTheme="minorHAnsi" w:cstheme="minorHAnsi"/>
                <w:b/>
                <w:sz w:val="20"/>
              </w:rPr>
              <w:t>Industry</w:t>
            </w:r>
            <w:r w:rsidRPr="006542BF">
              <w:rPr>
                <w:rFonts w:asciiTheme="minorHAnsi" w:hAnsiTheme="minorHAnsi" w:cstheme="minorHAnsi"/>
                <w:b/>
                <w:sz w:val="20"/>
              </w:rPr>
              <w:t>)</w:t>
            </w:r>
            <w:r w:rsidRPr="006542BF">
              <w:rPr>
                <w:rFonts w:asciiTheme="minorHAnsi" w:hAnsiTheme="minorHAnsi" w:cstheme="minorHAnsi"/>
                <w:sz w:val="20"/>
              </w:rPr>
              <w:t xml:space="preserve"> W</w:t>
            </w:r>
            <w:r w:rsidR="001219C2" w:rsidRPr="006542BF">
              <w:rPr>
                <w:rFonts w:asciiTheme="minorHAnsi" w:hAnsiTheme="minorHAnsi" w:cstheme="minorHAnsi"/>
                <w:sz w:val="20"/>
              </w:rPr>
              <w:t xml:space="preserve">hat information can you provide regarding </w:t>
            </w:r>
            <w:r w:rsidR="008258EB" w:rsidRPr="006542BF">
              <w:rPr>
                <w:rFonts w:asciiTheme="minorHAnsi" w:hAnsiTheme="minorHAnsi" w:cstheme="minorHAnsi"/>
                <w:sz w:val="20"/>
              </w:rPr>
              <w:t xml:space="preserve">established </w:t>
            </w:r>
            <w:r w:rsidR="001219C2" w:rsidRPr="006542BF">
              <w:rPr>
                <w:rFonts w:asciiTheme="minorHAnsi" w:hAnsiTheme="minorHAnsi" w:cstheme="minorHAnsi"/>
                <w:sz w:val="20"/>
              </w:rPr>
              <w:t xml:space="preserve">international agreements for </w:t>
            </w:r>
            <w:r w:rsidR="008258EB" w:rsidRPr="006542BF">
              <w:rPr>
                <w:rFonts w:asciiTheme="minorHAnsi" w:hAnsiTheme="minorHAnsi" w:cstheme="minorHAnsi"/>
                <w:sz w:val="20"/>
              </w:rPr>
              <w:t>multi</w:t>
            </w:r>
            <w:r w:rsidR="001219C2" w:rsidRPr="006542BF">
              <w:rPr>
                <w:rFonts w:asciiTheme="minorHAnsi" w:hAnsiTheme="minorHAnsi" w:cstheme="minorHAnsi"/>
                <w:sz w:val="20"/>
              </w:rPr>
              <w:t xml:space="preserve">-tumour </w:t>
            </w:r>
            <w:r w:rsidR="008258EB" w:rsidRPr="006542BF">
              <w:rPr>
                <w:rFonts w:asciiTheme="minorHAnsi" w:hAnsiTheme="minorHAnsi" w:cstheme="minorHAnsi"/>
                <w:sz w:val="20"/>
              </w:rPr>
              <w:t>subsidy</w:t>
            </w:r>
            <w:r w:rsidR="00C8509E" w:rsidRPr="006542BF">
              <w:rPr>
                <w:rFonts w:asciiTheme="minorHAnsi" w:hAnsiTheme="minorHAnsi" w:cstheme="minorHAnsi"/>
                <w:sz w:val="20"/>
              </w:rPr>
              <w:t xml:space="preserve"> and how could these apply in the Australian </w:t>
            </w:r>
            <w:r w:rsidRPr="006542BF">
              <w:rPr>
                <w:rFonts w:asciiTheme="minorHAnsi" w:hAnsiTheme="minorHAnsi" w:cstheme="minorHAnsi"/>
                <w:sz w:val="20"/>
              </w:rPr>
              <w:t xml:space="preserve">regulatory </w:t>
            </w:r>
            <w:r w:rsidR="00C8509E" w:rsidRPr="006542BF">
              <w:rPr>
                <w:rFonts w:asciiTheme="minorHAnsi" w:hAnsiTheme="minorHAnsi" w:cstheme="minorHAnsi"/>
                <w:sz w:val="20"/>
              </w:rPr>
              <w:t>context</w:t>
            </w:r>
            <w:r w:rsidR="001219C2" w:rsidRPr="006542BF">
              <w:rPr>
                <w:rFonts w:asciiTheme="minorHAnsi" w:hAnsiTheme="minorHAnsi" w:cstheme="minorHAnsi"/>
                <w:sz w:val="20"/>
              </w:rPr>
              <w:t>?</w:t>
            </w:r>
          </w:p>
          <w:p w14:paraId="1F594A1C" w14:textId="36AA3710" w:rsidR="00362898" w:rsidRPr="00ED661F" w:rsidRDefault="00EF7812" w:rsidP="00EF6595">
            <w:pPr>
              <w:pStyle w:val="ListParagraph"/>
              <w:numPr>
                <w:ilvl w:val="0"/>
                <w:numId w:val="5"/>
              </w:numPr>
              <w:spacing w:after="160"/>
              <w:ind w:left="357" w:hanging="357"/>
              <w:rPr>
                <w:rFonts w:asciiTheme="minorHAnsi" w:hAnsiTheme="minorHAnsi" w:cstheme="minorHAnsi"/>
                <w:sz w:val="20"/>
              </w:rPr>
            </w:pPr>
            <w:r w:rsidRPr="00ED661F">
              <w:rPr>
                <w:rFonts w:asciiTheme="minorHAnsi" w:hAnsiTheme="minorHAnsi" w:cstheme="minorHAnsi"/>
                <w:sz w:val="20"/>
              </w:rPr>
              <w:t>Is there anything else you/your organisation would like to add?</w:t>
            </w:r>
          </w:p>
        </w:tc>
      </w:tr>
    </w:tbl>
    <w:p w14:paraId="664A8CF6" w14:textId="77777777" w:rsidR="00B66074" w:rsidRPr="0066451A" w:rsidRDefault="00B66074">
      <w:pPr>
        <w:rPr>
          <w:rFonts w:asciiTheme="minorHAnsi" w:hAnsiTheme="minorHAnsi" w:cstheme="minorHAnsi"/>
          <w:sz w:val="20"/>
          <w:szCs w:val="20"/>
        </w:rPr>
      </w:pPr>
    </w:p>
    <w:sectPr w:rsidR="00B66074" w:rsidRPr="0066451A" w:rsidSect="00FC3345">
      <w:footerReference w:type="first" r:id="rId19"/>
      <w:pgSz w:w="11906" w:h="16838" w:code="9"/>
      <w:pgMar w:top="1304" w:right="1418" w:bottom="1134" w:left="1418" w:header="567" w:footer="113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29A89B" w15:done="0"/>
  <w15:commentEx w15:paraId="56E98226" w15:done="0"/>
  <w15:commentEx w15:paraId="046AE2DE" w15:paraIdParent="56E98226" w15:done="0"/>
  <w15:commentEx w15:paraId="4FE333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9A89B" w16cid:durableId="1EA70D46"/>
  <w16cid:commentId w16cid:paraId="56E98226" w16cid:durableId="1EA6F83F"/>
  <w16cid:commentId w16cid:paraId="046AE2DE" w16cid:durableId="1EA712C4"/>
  <w16cid:commentId w16cid:paraId="4FE333CE" w16cid:durableId="1EA715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28865" w14:textId="77777777" w:rsidR="00E63DCE" w:rsidRDefault="00E63DCE">
      <w:r>
        <w:separator/>
      </w:r>
    </w:p>
    <w:p w14:paraId="04B74D28" w14:textId="77777777" w:rsidR="00E63DCE" w:rsidRDefault="00E63DCE"/>
  </w:endnote>
  <w:endnote w:type="continuationSeparator" w:id="0">
    <w:p w14:paraId="32B1D5C5" w14:textId="77777777" w:rsidR="00E63DCE" w:rsidRDefault="00E63DCE">
      <w:r>
        <w:continuationSeparator/>
      </w:r>
    </w:p>
    <w:p w14:paraId="6B62B2FE" w14:textId="77777777" w:rsidR="00E63DCE" w:rsidRDefault="00E63DCE"/>
  </w:endnote>
  <w:endnote w:id="1">
    <w:p w14:paraId="7F30DCC8" w14:textId="77777777"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www.canceraustralia.gov.au/affected-cancer/what-cancer; accessed 30 April 2018</w:t>
      </w:r>
    </w:p>
  </w:endnote>
  <w:endnote w:id="2">
    <w:p w14:paraId="1092D8E0" w14:textId="77777777"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w:t>
      </w:r>
      <w:proofErr w:type="gramStart"/>
      <w:r w:rsidRPr="00147C0A">
        <w:rPr>
          <w:rFonts w:asciiTheme="minorHAnsi" w:hAnsiTheme="minorHAnsi"/>
          <w:sz w:val="18"/>
          <w:szCs w:val="18"/>
        </w:rPr>
        <w:t>Recommended for PBS subsidy in March 2018.</w:t>
      </w:r>
      <w:proofErr w:type="gramEnd"/>
      <w:r w:rsidRPr="00147C0A">
        <w:rPr>
          <w:rFonts w:asciiTheme="minorHAnsi" w:hAnsiTheme="minorHAnsi"/>
          <w:sz w:val="18"/>
          <w:szCs w:val="18"/>
        </w:rPr>
        <w:t xml:space="preserve"> Progress to listing requires sponsor and Government agreement</w:t>
      </w:r>
    </w:p>
  </w:endnote>
  <w:endnote w:id="3">
    <w:p w14:paraId="7D7F23C1" w14:textId="38C420CC"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http://www.pbs.gov.au/info/industry/listing/elements/pbac-meetings/agenda/july-2018-pbac-meeting-agenda</w:t>
      </w:r>
    </w:p>
  </w:endnote>
  <w:endnote w:id="4">
    <w:p w14:paraId="6C96B25C" w14:textId="77777777"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w:t>
      </w:r>
      <w:proofErr w:type="gramStart"/>
      <w:r w:rsidRPr="00147C0A">
        <w:rPr>
          <w:rFonts w:asciiTheme="minorHAnsi" w:hAnsiTheme="minorHAnsi"/>
          <w:sz w:val="18"/>
          <w:szCs w:val="18"/>
        </w:rPr>
        <w:t>Department of Health &amp; Ageing; 2009.</w:t>
      </w:r>
      <w:proofErr w:type="gramEnd"/>
      <w:r w:rsidRPr="00147C0A">
        <w:rPr>
          <w:rFonts w:asciiTheme="minorHAnsi" w:hAnsiTheme="minorHAnsi"/>
          <w:sz w:val="18"/>
          <w:szCs w:val="18"/>
        </w:rPr>
        <w:t xml:space="preserve"> Review of HTA in Australia</w:t>
      </w:r>
    </w:p>
  </w:endnote>
  <w:endnote w:id="5">
    <w:p w14:paraId="6C455AF8" w14:textId="77777777" w:rsidR="007C3154" w:rsidRPr="00147C0A" w:rsidRDefault="007C3154">
      <w:pPr>
        <w:pStyle w:val="EndnoteText"/>
        <w:rPr>
          <w:rFonts w:asciiTheme="minorHAnsi" w:hAnsiTheme="minorHAnsi"/>
          <w:sz w:val="18"/>
          <w:szCs w:val="18"/>
        </w:rPr>
      </w:pPr>
      <w:r w:rsidRPr="00147C0A">
        <w:rPr>
          <w:rFonts w:asciiTheme="minorHAnsi" w:hAnsiTheme="minorHAnsi"/>
          <w:sz w:val="18"/>
          <w:szCs w:val="18"/>
        </w:rPr>
        <w:endnoteRef/>
      </w:r>
      <w:r w:rsidRPr="00147C0A">
        <w:rPr>
          <w:rFonts w:asciiTheme="minorHAnsi" w:hAnsiTheme="minorHAnsi"/>
          <w:sz w:val="18"/>
          <w:szCs w:val="18"/>
        </w:rPr>
        <w:t xml:space="preserve"> Ibid;</w:t>
      </w:r>
    </w:p>
  </w:endnote>
  <w:endnote w:id="6">
    <w:p w14:paraId="3BBFDD7F" w14:textId="77777777" w:rsidR="007C3154" w:rsidRPr="00147C0A" w:rsidRDefault="007C3154">
      <w:pPr>
        <w:pStyle w:val="EndnoteText"/>
        <w:rPr>
          <w:rFonts w:asciiTheme="minorHAnsi" w:hAnsiTheme="minorHAnsi"/>
          <w:sz w:val="18"/>
          <w:szCs w:val="18"/>
        </w:rPr>
      </w:pPr>
      <w:r w:rsidRPr="00147C0A">
        <w:rPr>
          <w:rFonts w:asciiTheme="minorHAnsi" w:hAnsiTheme="minorHAnsi"/>
          <w:sz w:val="18"/>
          <w:szCs w:val="18"/>
        </w:rPr>
        <w:endnoteRef/>
      </w:r>
      <w:r w:rsidRPr="00147C0A">
        <w:rPr>
          <w:rFonts w:asciiTheme="minorHAnsi" w:hAnsiTheme="minorHAnsi"/>
          <w:sz w:val="18"/>
          <w:szCs w:val="18"/>
        </w:rPr>
        <w:t xml:space="preserve"> Department of Health, About Health Technology Assessment, </w:t>
      </w:r>
      <w:hyperlink r:id="rId1" w:history="1">
        <w:r w:rsidRPr="00147C0A">
          <w:rPr>
            <w:rStyle w:val="Hyperlink"/>
            <w:rFonts w:asciiTheme="minorHAnsi" w:hAnsiTheme="minorHAnsi"/>
            <w:sz w:val="18"/>
            <w:szCs w:val="18"/>
          </w:rPr>
          <w:t>http://www.health.gov.au/internet/hta/publishing.nsf/Content/about-1</w:t>
        </w:r>
      </w:hyperlink>
      <w:r w:rsidRPr="00147C0A">
        <w:rPr>
          <w:rFonts w:asciiTheme="minorHAnsi" w:hAnsiTheme="minorHAnsi"/>
          <w:sz w:val="18"/>
          <w:szCs w:val="18"/>
        </w:rPr>
        <w:t xml:space="preserve"> </w:t>
      </w:r>
    </w:p>
  </w:endnote>
  <w:endnote w:id="7">
    <w:p w14:paraId="4AA11F49" w14:textId="77777777" w:rsidR="007C3154" w:rsidRPr="00147C0A" w:rsidRDefault="007C3154" w:rsidP="006953C9">
      <w:pPr>
        <w:pStyle w:val="EndnoteText"/>
        <w:rPr>
          <w:rFonts w:asciiTheme="minorHAnsi" w:hAnsiTheme="minorHAnsi" w:cs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w:t>
      </w:r>
      <w:hyperlink r:id="rId2" w:history="1">
        <w:r w:rsidRPr="00147C0A">
          <w:rPr>
            <w:rStyle w:val="Hyperlink"/>
            <w:rFonts w:asciiTheme="minorHAnsi" w:hAnsiTheme="minorHAnsi" w:cstheme="minorHAnsi"/>
            <w:color w:val="000000"/>
            <w:sz w:val="18"/>
            <w:szCs w:val="18"/>
            <w:bdr w:val="none" w:sz="0" w:space="0" w:color="auto" w:frame="1"/>
          </w:rPr>
          <w:t>Review of HTA outcomes and timelines in Australia, Canada and Europe 2014-2015 (</w:t>
        </w:r>
        <w:r w:rsidRPr="00147C0A">
          <w:rPr>
            <w:rFonts w:asciiTheme="minorHAnsi" w:hAnsiTheme="minorHAnsi" w:cstheme="minorHAnsi"/>
            <w:color w:val="000000"/>
            <w:sz w:val="18"/>
            <w:szCs w:val="18"/>
          </w:rPr>
          <w:t xml:space="preserve">Centre for Innovation in Regulatory Science (CIRS) </w:t>
        </w:r>
        <w:r w:rsidRPr="00147C0A">
          <w:rPr>
            <w:rStyle w:val="Hyperlink"/>
            <w:rFonts w:asciiTheme="minorHAnsi" w:hAnsiTheme="minorHAnsi" w:cstheme="minorHAnsi"/>
            <w:color w:val="000000"/>
            <w:sz w:val="18"/>
            <w:szCs w:val="18"/>
            <w:bdr w:val="none" w:sz="0" w:space="0" w:color="auto" w:frame="1"/>
          </w:rPr>
          <w:t>R&amp;D Briefing 64)</w:t>
        </w:r>
      </w:hyperlink>
    </w:p>
  </w:endnote>
  <w:endnote w:id="8">
    <w:p w14:paraId="223A1EAB" w14:textId="26D336D8"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w:t>
      </w:r>
      <w:r w:rsidRPr="00EF6595">
        <w:rPr>
          <w:rFonts w:asciiTheme="minorHAnsi" w:hAnsiTheme="minorHAnsi"/>
          <w:i/>
          <w:sz w:val="18"/>
          <w:szCs w:val="18"/>
        </w:rPr>
        <w:t>National Health Act 1953</w:t>
      </w:r>
      <w:r w:rsidRPr="00147C0A">
        <w:rPr>
          <w:rFonts w:asciiTheme="minorHAnsi" w:hAnsiTheme="minorHAnsi"/>
          <w:sz w:val="18"/>
          <w:szCs w:val="18"/>
        </w:rPr>
        <w:t>, section 101(3)</w:t>
      </w:r>
    </w:p>
  </w:endnote>
  <w:endnote w:id="9">
    <w:p w14:paraId="2AB75639" w14:textId="77777777"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Example: 2008: Bevacizumab was granted accelerated approval by the US FDA for the treatment of metastatic breast cancer. However, approval was revoked in 2011 when further follow up showed little benefit and several side effects / toxicities.</w:t>
      </w:r>
    </w:p>
  </w:endnote>
  <w:endnote w:id="10">
    <w:p w14:paraId="04911529" w14:textId="6483EDF9"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w:t>
      </w:r>
      <w:hyperlink r:id="rId3" w:history="1">
        <w:r w:rsidRPr="00147C0A">
          <w:rPr>
            <w:rStyle w:val="Hyperlink"/>
            <w:rFonts w:asciiTheme="minorHAnsi" w:hAnsiTheme="minorHAnsi"/>
            <w:sz w:val="18"/>
            <w:szCs w:val="18"/>
          </w:rPr>
          <w:t>http://ascopubs.org/doi/abs/10.1200/JCO.2016.34.15_suppl.9503</w:t>
        </w:r>
      </w:hyperlink>
      <w:r w:rsidRPr="00147C0A">
        <w:rPr>
          <w:rFonts w:asciiTheme="minorHAnsi" w:hAnsiTheme="minorHAnsi"/>
          <w:sz w:val="18"/>
          <w:szCs w:val="18"/>
        </w:rPr>
        <w:t>; https://www.onclive.com/conference-coverage/aacr-2017/fiveyear-survival-rate-an-impressive-16-with-nivolumab-in-advanced-nsclc</w:t>
      </w:r>
    </w:p>
  </w:endnote>
  <w:endnote w:id="11">
    <w:p w14:paraId="567382DA" w14:textId="77777777" w:rsidR="007C3154" w:rsidRPr="00147C0A" w:rsidRDefault="007C3154">
      <w:pPr>
        <w:pStyle w:val="EndnoteText"/>
        <w:rPr>
          <w:rFonts w:asciiTheme="minorHAnsi" w:hAnsiTheme="minorHAnsi"/>
          <w:sz w:val="18"/>
          <w:szCs w:val="18"/>
        </w:rPr>
      </w:pPr>
      <w:r w:rsidRPr="00147C0A">
        <w:rPr>
          <w:rStyle w:val="EndnoteReference"/>
          <w:rFonts w:asciiTheme="minorHAnsi" w:hAnsiTheme="minorHAnsi"/>
          <w:sz w:val="18"/>
          <w:szCs w:val="18"/>
        </w:rPr>
        <w:endnoteRef/>
      </w:r>
      <w:r w:rsidRPr="00147C0A">
        <w:rPr>
          <w:rFonts w:asciiTheme="minorHAnsi" w:hAnsiTheme="minorHAnsi"/>
          <w:sz w:val="18"/>
          <w:szCs w:val="18"/>
        </w:rPr>
        <w:t xml:space="preserve"> BMJ 2017; 359: j5387; 22 November,2017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86C4" w14:textId="77777777" w:rsidR="00E63581" w:rsidRDefault="00E63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1CB64" w14:textId="7C70C419" w:rsidR="007C3154" w:rsidRDefault="007C3154">
    <w:pPr>
      <w:pStyle w:val="Footer"/>
      <w:jc w:val="right"/>
    </w:pPr>
  </w:p>
  <w:p w14:paraId="4D5C2A22" w14:textId="2740AFAF" w:rsidR="009C3E38" w:rsidRPr="009C3E38" w:rsidRDefault="009C3E38" w:rsidP="009C3E38">
    <w:pPr>
      <w:pStyle w:val="Footer"/>
      <w:tabs>
        <w:tab w:val="left" w:pos="1213"/>
      </w:tabs>
      <w:jc w:val="both"/>
      <w:rPr>
        <w:rFonts w:asciiTheme="minorHAnsi" w:hAnsiTheme="minorHAnsi" w:cs="Arial"/>
        <w:b/>
        <w:sz w:val="20"/>
        <w:szCs w:val="20"/>
      </w:rPr>
    </w:pPr>
    <w:r w:rsidRPr="009C3E38">
      <w:rPr>
        <w:rFonts w:asciiTheme="minorHAnsi" w:hAnsiTheme="minorHAnsi" w:cs="Arial"/>
        <w:b/>
        <w:sz w:val="20"/>
        <w:szCs w:val="20"/>
      </w:rPr>
      <w:t>August 2018 PBAC special meeting: background for individuals and organisations making submissions</w:t>
    </w:r>
  </w:p>
  <w:p w14:paraId="29447AA5" w14:textId="52E5F115" w:rsidR="007C3154" w:rsidRPr="005E1333" w:rsidRDefault="009C3E38" w:rsidP="009C3E38">
    <w:pPr>
      <w:pStyle w:val="Footer"/>
      <w:tabs>
        <w:tab w:val="left" w:pos="1213"/>
      </w:tabs>
      <w:rPr>
        <w:rFonts w:asciiTheme="minorHAnsi" w:hAnsiTheme="minorHAnsi" w:cs="Arial"/>
        <w:b/>
        <w:szCs w:val="20"/>
      </w:rPr>
    </w:pPr>
    <w:r>
      <w:rPr>
        <w:rFonts w:asciiTheme="minorHAnsi" w:hAnsiTheme="minorHAnsi" w:cs="Arial"/>
        <w:b/>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BA729" w14:textId="0E11F149" w:rsidR="007C3154" w:rsidRPr="00291F38" w:rsidRDefault="007C3154">
    <w:pPr>
      <w:pStyle w:val="Footer"/>
      <w:jc w:val="right"/>
      <w:rPr>
        <w:rFonts w:ascii="Calibri" w:hAnsi="Calibri"/>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D260" w14:textId="757CDDE7" w:rsidR="009C3E38" w:rsidRDefault="009C3E38" w:rsidP="009C3E38">
    <w:pPr>
      <w:pStyle w:val="Footer"/>
      <w:jc w:val="right"/>
      <w:rPr>
        <w:rFonts w:ascii="Calibri" w:hAnsi="Calibri"/>
        <w:noProof/>
        <w:sz w:val="20"/>
        <w:szCs w:val="20"/>
      </w:rPr>
    </w:pPr>
  </w:p>
  <w:p w14:paraId="4136DA6F" w14:textId="66A6E4E3" w:rsidR="009C3E38" w:rsidRPr="009C3E38" w:rsidRDefault="009C3E38" w:rsidP="009C3E38">
    <w:pPr>
      <w:pStyle w:val="Footer"/>
      <w:tabs>
        <w:tab w:val="left" w:pos="1213"/>
      </w:tabs>
      <w:jc w:val="both"/>
      <w:rPr>
        <w:rFonts w:asciiTheme="minorHAnsi" w:hAnsiTheme="minorHAnsi" w:cs="Arial"/>
        <w:b/>
        <w:sz w:val="20"/>
        <w:szCs w:val="20"/>
      </w:rPr>
    </w:pPr>
    <w:r w:rsidRPr="009C3E38">
      <w:rPr>
        <w:rFonts w:asciiTheme="minorHAnsi" w:hAnsiTheme="minorHAnsi" w:cs="Arial"/>
        <w:b/>
        <w:sz w:val="20"/>
        <w:szCs w:val="20"/>
      </w:rPr>
      <w:t xml:space="preserve"> August 2018 PBAC special meeting: background for individuals and organisations making submissions</w:t>
    </w:r>
  </w:p>
  <w:p w14:paraId="471D9C92" w14:textId="627DC9E9" w:rsidR="007C3154" w:rsidRPr="00FC3345" w:rsidRDefault="007C3154" w:rsidP="009C3E38">
    <w:pPr>
      <w:pStyle w:val="Footer"/>
      <w:jc w:val="right"/>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17A1D" w14:textId="77777777" w:rsidR="00E63DCE" w:rsidRDefault="00E63DCE">
      <w:r>
        <w:separator/>
      </w:r>
    </w:p>
    <w:p w14:paraId="309670BF" w14:textId="77777777" w:rsidR="00E63DCE" w:rsidRDefault="00E63DCE"/>
  </w:footnote>
  <w:footnote w:type="continuationSeparator" w:id="0">
    <w:p w14:paraId="634CFCE5" w14:textId="77777777" w:rsidR="00E63DCE" w:rsidRDefault="00E63DCE">
      <w:r>
        <w:continuationSeparator/>
      </w:r>
    </w:p>
    <w:p w14:paraId="1B8EBC5A" w14:textId="77777777" w:rsidR="00E63DCE" w:rsidRDefault="00E63DCE"/>
  </w:footnote>
  <w:footnote w:id="1">
    <w:p w14:paraId="29D587BD" w14:textId="412A3AE6" w:rsidR="007C3154" w:rsidRPr="00215242" w:rsidRDefault="007C3154" w:rsidP="00B103FC">
      <w:pPr>
        <w:pStyle w:val="FootnoteText"/>
        <w:rPr>
          <w:rFonts w:asciiTheme="minorHAnsi" w:hAnsiTheme="minorHAnsi"/>
        </w:rPr>
      </w:pPr>
      <w:r w:rsidRPr="003C606C">
        <w:rPr>
          <w:rStyle w:val="FootnoteReference"/>
          <w:rFonts w:asciiTheme="minorHAnsi" w:hAnsiTheme="minorHAnsi"/>
        </w:rPr>
        <w:footnoteRef/>
      </w:r>
      <w:r w:rsidRPr="003C606C">
        <w:rPr>
          <w:rFonts w:asciiTheme="minorHAnsi" w:hAnsiTheme="minorHAnsi"/>
        </w:rPr>
        <w:t xml:space="preserve"> For the </w:t>
      </w:r>
      <w:r w:rsidRPr="00215242">
        <w:rPr>
          <w:rFonts w:asciiTheme="minorHAnsi" w:hAnsiTheme="minorHAnsi"/>
        </w:rPr>
        <w:t>two deferred submissions (nivolumab lung November 2016, and pembrolizumab lung March 2018) the outstanding issues were not related to the clinical data</w:t>
      </w:r>
    </w:p>
  </w:footnote>
  <w:footnote w:id="2">
    <w:p w14:paraId="7FC52A75" w14:textId="77777777" w:rsidR="007C3154" w:rsidRPr="00215242" w:rsidRDefault="007C3154" w:rsidP="00B103FC">
      <w:pPr>
        <w:pStyle w:val="FootnoteText"/>
        <w:rPr>
          <w:rFonts w:asciiTheme="minorHAnsi" w:hAnsiTheme="minorHAnsi"/>
        </w:rPr>
      </w:pPr>
      <w:r w:rsidRPr="00215242">
        <w:rPr>
          <w:rStyle w:val="FootnoteReference"/>
          <w:rFonts w:asciiTheme="minorHAnsi" w:hAnsiTheme="minorHAnsi"/>
        </w:rPr>
        <w:footnoteRef/>
      </w:r>
      <w:r w:rsidRPr="00215242">
        <w:rPr>
          <w:rFonts w:asciiTheme="minorHAnsi" w:hAnsiTheme="minorHAnsi"/>
        </w:rPr>
        <w:t xml:space="preserve"> Nivolumab was recommended for subsidy on a cost-minimisation basis with pemb</w:t>
      </w:r>
      <w:r>
        <w:rPr>
          <w:rFonts w:asciiTheme="minorHAnsi" w:hAnsiTheme="minorHAnsi"/>
        </w:rPr>
        <w:t>rolizumab. Results</w:t>
      </w:r>
      <w:r w:rsidRPr="00215242">
        <w:rPr>
          <w:rFonts w:asciiTheme="minorHAnsi" w:hAnsiTheme="minorHAnsi"/>
        </w:rPr>
        <w:t xml:space="preserve"> not separately reported here.</w:t>
      </w:r>
    </w:p>
  </w:footnote>
  <w:footnote w:id="3">
    <w:p w14:paraId="49FAD1AD" w14:textId="77777777" w:rsidR="007C3154" w:rsidRPr="00215242" w:rsidRDefault="007C3154" w:rsidP="00B103FC">
      <w:pPr>
        <w:pStyle w:val="FootnoteText"/>
        <w:rPr>
          <w:rFonts w:asciiTheme="minorHAnsi" w:hAnsiTheme="minorHAnsi"/>
        </w:rPr>
      </w:pPr>
      <w:r w:rsidRPr="00215242">
        <w:rPr>
          <w:rStyle w:val="FootnoteReference"/>
          <w:rFonts w:asciiTheme="minorHAnsi" w:hAnsiTheme="minorHAnsi"/>
        </w:rPr>
        <w:footnoteRef/>
      </w:r>
      <w:r w:rsidRPr="00215242">
        <w:rPr>
          <w:rFonts w:asciiTheme="minorHAnsi" w:hAnsiTheme="minorHAnsi"/>
        </w:rPr>
        <w:t xml:space="preserve"> </w:t>
      </w:r>
      <w:proofErr w:type="spellStart"/>
      <w:r w:rsidRPr="00215242">
        <w:rPr>
          <w:rFonts w:asciiTheme="minorHAnsi" w:hAnsiTheme="minorHAnsi"/>
        </w:rPr>
        <w:t>Ate</w:t>
      </w:r>
      <w:r>
        <w:rPr>
          <w:rFonts w:asciiTheme="minorHAnsi" w:hAnsiTheme="minorHAnsi"/>
        </w:rPr>
        <w:t>zolizumab</w:t>
      </w:r>
      <w:proofErr w:type="spellEnd"/>
      <w:r>
        <w:rPr>
          <w:rFonts w:asciiTheme="minorHAnsi" w:hAnsiTheme="minorHAnsi"/>
        </w:rPr>
        <w:t xml:space="preserve"> </w:t>
      </w:r>
      <w:r w:rsidRPr="00215242">
        <w:rPr>
          <w:rFonts w:asciiTheme="minorHAnsi" w:hAnsiTheme="minorHAnsi"/>
        </w:rPr>
        <w:t>was recommended for subsidy of a cost-minimisation b</w:t>
      </w:r>
      <w:r>
        <w:rPr>
          <w:rFonts w:asciiTheme="minorHAnsi" w:hAnsiTheme="minorHAnsi"/>
        </w:rPr>
        <w:t>asis with nivolumab. Results</w:t>
      </w:r>
      <w:r w:rsidRPr="00215242">
        <w:rPr>
          <w:rFonts w:asciiTheme="minorHAnsi" w:hAnsiTheme="minorHAnsi"/>
        </w:rPr>
        <w:t xml:space="preserve"> not separately</w:t>
      </w:r>
      <w:r>
        <w:rPr>
          <w:rFonts w:asciiTheme="minorHAnsi" w:hAnsiTheme="minorHAnsi"/>
        </w:rPr>
        <w:t xml:space="preserve"> reported here.</w:t>
      </w:r>
    </w:p>
  </w:footnote>
  <w:footnote w:id="4">
    <w:p w14:paraId="364AA766" w14:textId="593186D3" w:rsidR="007C3154" w:rsidRPr="00215242" w:rsidRDefault="007C3154" w:rsidP="00B103FC">
      <w:pPr>
        <w:pStyle w:val="FootnoteText"/>
        <w:rPr>
          <w:rFonts w:asciiTheme="minorHAnsi" w:hAnsiTheme="minorHAnsi"/>
        </w:rPr>
      </w:pPr>
      <w:r w:rsidRPr="00215242">
        <w:rPr>
          <w:rStyle w:val="FootnoteReference"/>
          <w:rFonts w:asciiTheme="minorHAnsi" w:hAnsiTheme="minorHAnsi"/>
        </w:rPr>
        <w:footnoteRef/>
      </w:r>
      <w:r w:rsidRPr="00215242">
        <w:rPr>
          <w:rFonts w:asciiTheme="minorHAnsi" w:hAnsiTheme="minorHAnsi"/>
        </w:rPr>
        <w:t xml:space="preserve"> </w:t>
      </w:r>
      <w:proofErr w:type="gramStart"/>
      <w:r>
        <w:rPr>
          <w:rFonts w:asciiTheme="minorHAnsi" w:hAnsiTheme="minorHAnsi"/>
        </w:rPr>
        <w:t>Taken from November 2017 PSD</w:t>
      </w:r>
      <w:r w:rsidR="00703179">
        <w:rPr>
          <w:rFonts w:asciiTheme="minorHAnsi" w:hAnsiTheme="minorHAnsi"/>
        </w:rPr>
        <w:t xml:space="preserve"> when</w:t>
      </w:r>
      <w:r>
        <w:rPr>
          <w:rFonts w:asciiTheme="minorHAnsi" w:hAnsiTheme="minorHAnsi"/>
        </w:rPr>
        <w:t xml:space="preserve"> </w:t>
      </w:r>
      <w:r w:rsidRPr="00215242">
        <w:rPr>
          <w:rFonts w:asciiTheme="minorHAnsi" w:hAnsiTheme="minorHAnsi"/>
        </w:rPr>
        <w:t>nivolumab</w:t>
      </w:r>
      <w:r w:rsidR="009665A9">
        <w:rPr>
          <w:rFonts w:asciiTheme="minorHAnsi" w:hAnsiTheme="minorHAnsi"/>
        </w:rPr>
        <w:t xml:space="preserve"> was</w:t>
      </w:r>
      <w:r w:rsidRPr="00215242">
        <w:rPr>
          <w:rFonts w:asciiTheme="minorHAnsi" w:hAnsiTheme="minorHAnsi"/>
        </w:rPr>
        <w:t xml:space="preserve"> rejected</w:t>
      </w:r>
      <w:r w:rsidR="00EF6595">
        <w:rPr>
          <w:rFonts w:asciiTheme="minorHAnsi" w:hAnsiTheme="minorHAnsi"/>
        </w:rPr>
        <w:t xml:space="preserve"> by the PBAC</w:t>
      </w:r>
      <w:r w:rsidR="009665A9">
        <w:rPr>
          <w:rFonts w:asciiTheme="minorHAnsi" w:hAnsiTheme="minorHAnsi"/>
        </w:rPr>
        <w:t xml:space="preserve"> for this indication</w:t>
      </w:r>
      <w:r w:rsidRPr="00215242">
        <w:rPr>
          <w:rFonts w:asciiTheme="minorHAnsi" w:hAnsiTheme="minorHAnsi"/>
        </w:rPr>
        <w:t>.</w:t>
      </w:r>
      <w:proofErr w:type="gramEnd"/>
      <w:r w:rsidRPr="00215242">
        <w:rPr>
          <w:rFonts w:asciiTheme="minorHAnsi" w:hAnsiTheme="minorHAnsi"/>
        </w:rPr>
        <w:t xml:space="preserve">  PSD for March 2018 PBAC consideration not published.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810B9" w14:textId="77777777" w:rsidR="00E63581" w:rsidRDefault="00E63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01D5" w14:textId="77777777" w:rsidR="00E63581" w:rsidRDefault="00E63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D5AA" w14:textId="6DD2DDB9" w:rsidR="007C3154" w:rsidRPr="00B103FC" w:rsidRDefault="007C3154" w:rsidP="00B103FC">
    <w:pPr>
      <w:tabs>
        <w:tab w:val="center" w:pos="4153"/>
        <w:tab w:val="right" w:pos="8306"/>
      </w:tabs>
      <w:jc w:val="center"/>
      <w:rPr>
        <w:rFonts w:asciiTheme="minorHAnsi" w:hAnsiTheme="minorHAnsi" w:cs="Arial"/>
        <w:b/>
        <w:sz w:val="18"/>
        <w:szCs w:val="18"/>
      </w:rPr>
    </w:pPr>
  </w:p>
  <w:p w14:paraId="01CC932F" w14:textId="77777777" w:rsidR="007C3154" w:rsidRPr="00B103FC" w:rsidRDefault="007C3154" w:rsidP="00B103FC">
    <w:pPr>
      <w:tabs>
        <w:tab w:val="center" w:pos="4153"/>
        <w:tab w:val="right" w:pos="8306"/>
      </w:tabs>
      <w:jc w:val="center"/>
      <w:rPr>
        <w:rFonts w:asciiTheme="minorHAnsi" w:hAnsiTheme="minorHAnsi" w:cs="Arial"/>
        <w:b/>
        <w:sz w:val="18"/>
        <w:szCs w:val="18"/>
      </w:rPr>
    </w:pPr>
  </w:p>
  <w:p w14:paraId="20371CEF" w14:textId="77777777" w:rsidR="007C3154" w:rsidRDefault="007C3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nsid w:val="00B67FEC"/>
    <w:multiLevelType w:val="hybridMultilevel"/>
    <w:tmpl w:val="97EEF9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3264BC"/>
    <w:multiLevelType w:val="hybridMultilevel"/>
    <w:tmpl w:val="983018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0ADA7503"/>
    <w:multiLevelType w:val="hybridMultilevel"/>
    <w:tmpl w:val="8A1244B6"/>
    <w:lvl w:ilvl="0" w:tplc="0C09000F">
      <w:start w:val="1"/>
      <w:numFmt w:val="decimal"/>
      <w:lvlText w:val="%1."/>
      <w:lvlJc w:val="left"/>
      <w:pPr>
        <w:ind w:left="928" w:hanging="360"/>
      </w:pPr>
      <w:rPr>
        <w:rFonts w:hint="default"/>
      </w:rPr>
    </w:lvl>
    <w:lvl w:ilvl="1" w:tplc="BE7C28AA">
      <w:start w:val="1"/>
      <w:numFmt w:val="decimal"/>
      <w:lvlText w:val="%2."/>
      <w:lvlJc w:val="left"/>
      <w:pPr>
        <w:ind w:left="1648" w:hanging="360"/>
      </w:pPr>
      <w:rPr>
        <w:rFonts w:hint="default"/>
        <w:b w:val="0"/>
        <w:i w:val="0"/>
        <w:color w:val="auto"/>
        <w:sz w:val="22"/>
        <w:szCs w:val="22"/>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
    <w:nsid w:val="0E4C37D9"/>
    <w:multiLevelType w:val="hybridMultilevel"/>
    <w:tmpl w:val="66EA7ACE"/>
    <w:lvl w:ilvl="0" w:tplc="0C09000F">
      <w:start w:val="1"/>
      <w:numFmt w:val="decimal"/>
      <w:lvlText w:val="%1."/>
      <w:lvlJc w:val="left"/>
      <w:pPr>
        <w:ind w:left="928" w:hanging="360"/>
      </w:pPr>
      <w:rPr>
        <w:rFonts w:hint="default"/>
      </w:rPr>
    </w:lvl>
    <w:lvl w:ilvl="1" w:tplc="0C090001">
      <w:start w:val="1"/>
      <w:numFmt w:val="bullet"/>
      <w:lvlText w:val=""/>
      <w:lvlJc w:val="left"/>
      <w:pPr>
        <w:ind w:left="1648" w:hanging="360"/>
      </w:pPr>
      <w:rPr>
        <w:rFonts w:ascii="Symbol" w:hAnsi="Symbol" w:hint="default"/>
        <w:b w:val="0"/>
        <w:i w:val="0"/>
        <w:color w:val="auto"/>
        <w:sz w:val="22"/>
        <w:szCs w:val="22"/>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nsid w:val="3ED40A32"/>
    <w:multiLevelType w:val="hybridMultilevel"/>
    <w:tmpl w:val="70B8C34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43265835"/>
    <w:multiLevelType w:val="multilevel"/>
    <w:tmpl w:val="E6D2A6CC"/>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82E32B6"/>
    <w:multiLevelType w:val="multilevel"/>
    <w:tmpl w:val="7682D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A397754"/>
    <w:multiLevelType w:val="multilevel"/>
    <w:tmpl w:val="687CCE2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ED01E5B"/>
    <w:multiLevelType w:val="hybridMultilevel"/>
    <w:tmpl w:val="84D2DFC6"/>
    <w:lvl w:ilvl="0" w:tplc="ED6246E8">
      <w:start w:val="1"/>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7BB334C"/>
    <w:multiLevelType w:val="hybridMultilevel"/>
    <w:tmpl w:val="9AA63AC6"/>
    <w:lvl w:ilvl="0" w:tplc="07D26450">
      <w:start w:val="1"/>
      <w:numFmt w:val="decimal"/>
      <w:lvlText w:val="%1."/>
      <w:lvlJc w:val="left"/>
      <w:pPr>
        <w:ind w:left="360" w:hanging="360"/>
      </w:pPr>
      <w:rPr>
        <w:rFonts w:hint="default"/>
        <w:b w:val="0"/>
      </w:rPr>
    </w:lvl>
    <w:lvl w:ilvl="1" w:tplc="BE7C28AA">
      <w:start w:val="1"/>
      <w:numFmt w:val="decimal"/>
      <w:lvlText w:val="%2."/>
      <w:lvlJc w:val="left"/>
      <w:pPr>
        <w:ind w:left="1648" w:hanging="360"/>
      </w:pPr>
      <w:rPr>
        <w:rFonts w:hint="default"/>
        <w:b w:val="0"/>
        <w:i w:val="0"/>
        <w:color w:val="auto"/>
        <w:sz w:val="22"/>
        <w:szCs w:val="22"/>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1">
    <w:nsid w:val="68403F77"/>
    <w:multiLevelType w:val="hybridMultilevel"/>
    <w:tmpl w:val="D87454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68FB34C9"/>
    <w:multiLevelType w:val="multilevel"/>
    <w:tmpl w:val="71ECEAB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75E2CB5"/>
    <w:multiLevelType w:val="multilevel"/>
    <w:tmpl w:val="0D943FB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4D033C"/>
    <w:multiLevelType w:val="multilevel"/>
    <w:tmpl w:val="B4B4046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AFB528E"/>
    <w:multiLevelType w:val="hybridMultilevel"/>
    <w:tmpl w:val="C5BA0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CE077E"/>
    <w:multiLevelType w:val="multilevel"/>
    <w:tmpl w:val="A0289D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8"/>
  </w:num>
  <w:num w:numId="4">
    <w:abstractNumId w:val="13"/>
  </w:num>
  <w:num w:numId="5">
    <w:abstractNumId w:val="10"/>
  </w:num>
  <w:num w:numId="6">
    <w:abstractNumId w:val="6"/>
  </w:num>
  <w:num w:numId="7">
    <w:abstractNumId w:val="15"/>
  </w:num>
  <w:num w:numId="8">
    <w:abstractNumId w:val="12"/>
  </w:num>
  <w:num w:numId="9">
    <w:abstractNumId w:val="7"/>
  </w:num>
  <w:num w:numId="10">
    <w:abstractNumId w:val="3"/>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2"/>
  </w:num>
  <w:num w:numId="16">
    <w:abstractNumId w:val="5"/>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1"/>
  </w:num>
  <w:num w:numId="28">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689"/>
    <w:rsid w:val="00001A3D"/>
    <w:rsid w:val="000025AD"/>
    <w:rsid w:val="0000335D"/>
    <w:rsid w:val="00020682"/>
    <w:rsid w:val="00021BA1"/>
    <w:rsid w:val="0002464A"/>
    <w:rsid w:val="000247EC"/>
    <w:rsid w:val="0003106B"/>
    <w:rsid w:val="00040CDB"/>
    <w:rsid w:val="00040E9C"/>
    <w:rsid w:val="000421A1"/>
    <w:rsid w:val="0004240E"/>
    <w:rsid w:val="00045E26"/>
    <w:rsid w:val="000514B5"/>
    <w:rsid w:val="00060E64"/>
    <w:rsid w:val="00066755"/>
    <w:rsid w:val="000750FC"/>
    <w:rsid w:val="00077143"/>
    <w:rsid w:val="0007743E"/>
    <w:rsid w:val="00082169"/>
    <w:rsid w:val="0008545A"/>
    <w:rsid w:val="00092C8B"/>
    <w:rsid w:val="000969AD"/>
    <w:rsid w:val="000A54FF"/>
    <w:rsid w:val="000B43D7"/>
    <w:rsid w:val="000B558D"/>
    <w:rsid w:val="000C3489"/>
    <w:rsid w:val="000C6996"/>
    <w:rsid w:val="000D0F0D"/>
    <w:rsid w:val="000D1EED"/>
    <w:rsid w:val="000D23BA"/>
    <w:rsid w:val="000D2A08"/>
    <w:rsid w:val="000E2F09"/>
    <w:rsid w:val="000E54A6"/>
    <w:rsid w:val="000E681E"/>
    <w:rsid w:val="000F0003"/>
    <w:rsid w:val="000F165D"/>
    <w:rsid w:val="000F2606"/>
    <w:rsid w:val="000F4E6A"/>
    <w:rsid w:val="00104227"/>
    <w:rsid w:val="001107BF"/>
    <w:rsid w:val="00110EA6"/>
    <w:rsid w:val="001153EB"/>
    <w:rsid w:val="00115D7A"/>
    <w:rsid w:val="001219C2"/>
    <w:rsid w:val="0012417C"/>
    <w:rsid w:val="00142395"/>
    <w:rsid w:val="00142714"/>
    <w:rsid w:val="001452ED"/>
    <w:rsid w:val="00147C0A"/>
    <w:rsid w:val="00155C48"/>
    <w:rsid w:val="00163329"/>
    <w:rsid w:val="00164623"/>
    <w:rsid w:val="00165B64"/>
    <w:rsid w:val="0017158B"/>
    <w:rsid w:val="00175529"/>
    <w:rsid w:val="00176169"/>
    <w:rsid w:val="001816FA"/>
    <w:rsid w:val="001830CE"/>
    <w:rsid w:val="0018643B"/>
    <w:rsid w:val="001927B2"/>
    <w:rsid w:val="00193801"/>
    <w:rsid w:val="00196307"/>
    <w:rsid w:val="001A33EA"/>
    <w:rsid w:val="001B017F"/>
    <w:rsid w:val="001B251E"/>
    <w:rsid w:val="001B2BBC"/>
    <w:rsid w:val="001B5077"/>
    <w:rsid w:val="001B5129"/>
    <w:rsid w:val="001C1195"/>
    <w:rsid w:val="001C6968"/>
    <w:rsid w:val="001F1802"/>
    <w:rsid w:val="001F1850"/>
    <w:rsid w:val="00203FAC"/>
    <w:rsid w:val="00207443"/>
    <w:rsid w:val="00213CFB"/>
    <w:rsid w:val="00217BE1"/>
    <w:rsid w:val="002210D0"/>
    <w:rsid w:val="002323F6"/>
    <w:rsid w:val="00235C2E"/>
    <w:rsid w:val="00241FCE"/>
    <w:rsid w:val="002457A9"/>
    <w:rsid w:val="002575D3"/>
    <w:rsid w:val="00264D1A"/>
    <w:rsid w:val="002707AD"/>
    <w:rsid w:val="00271BA1"/>
    <w:rsid w:val="002762FA"/>
    <w:rsid w:val="00277505"/>
    <w:rsid w:val="00291F38"/>
    <w:rsid w:val="0029458F"/>
    <w:rsid w:val="002A030D"/>
    <w:rsid w:val="002A104C"/>
    <w:rsid w:val="002A4960"/>
    <w:rsid w:val="002A4AAD"/>
    <w:rsid w:val="002A5A33"/>
    <w:rsid w:val="002B1AE6"/>
    <w:rsid w:val="002B2DE8"/>
    <w:rsid w:val="002B30F8"/>
    <w:rsid w:val="002B5596"/>
    <w:rsid w:val="002C212F"/>
    <w:rsid w:val="002C3B77"/>
    <w:rsid w:val="002C4C6D"/>
    <w:rsid w:val="002D1F9F"/>
    <w:rsid w:val="002D4543"/>
    <w:rsid w:val="002E2030"/>
    <w:rsid w:val="002E2470"/>
    <w:rsid w:val="002E3153"/>
    <w:rsid w:val="002E5B2F"/>
    <w:rsid w:val="002E683D"/>
    <w:rsid w:val="002E72CA"/>
    <w:rsid w:val="00300AD6"/>
    <w:rsid w:val="003168CE"/>
    <w:rsid w:val="00317C6C"/>
    <w:rsid w:val="003207AE"/>
    <w:rsid w:val="0032610D"/>
    <w:rsid w:val="00326E79"/>
    <w:rsid w:val="003335DD"/>
    <w:rsid w:val="00334179"/>
    <w:rsid w:val="0033518A"/>
    <w:rsid w:val="003367EF"/>
    <w:rsid w:val="00341AE4"/>
    <w:rsid w:val="00344FF6"/>
    <w:rsid w:val="00353E8A"/>
    <w:rsid w:val="00362898"/>
    <w:rsid w:val="0036736B"/>
    <w:rsid w:val="003872CF"/>
    <w:rsid w:val="0039383B"/>
    <w:rsid w:val="0039782C"/>
    <w:rsid w:val="003A42C5"/>
    <w:rsid w:val="003A48B3"/>
    <w:rsid w:val="003A5B4A"/>
    <w:rsid w:val="003B23C5"/>
    <w:rsid w:val="003B2A75"/>
    <w:rsid w:val="003B5CA5"/>
    <w:rsid w:val="003B6124"/>
    <w:rsid w:val="003B6924"/>
    <w:rsid w:val="003C070C"/>
    <w:rsid w:val="003C2FB5"/>
    <w:rsid w:val="003D4AC4"/>
    <w:rsid w:val="003D63B7"/>
    <w:rsid w:val="003E0B8B"/>
    <w:rsid w:val="003E234D"/>
    <w:rsid w:val="003E468B"/>
    <w:rsid w:val="003F1368"/>
    <w:rsid w:val="003F3228"/>
    <w:rsid w:val="003F5C8C"/>
    <w:rsid w:val="00400EE1"/>
    <w:rsid w:val="00402654"/>
    <w:rsid w:val="00407E48"/>
    <w:rsid w:val="00417136"/>
    <w:rsid w:val="00417BF5"/>
    <w:rsid w:val="004211C0"/>
    <w:rsid w:val="004252EC"/>
    <w:rsid w:val="004423B3"/>
    <w:rsid w:val="004465BD"/>
    <w:rsid w:val="00452398"/>
    <w:rsid w:val="00452661"/>
    <w:rsid w:val="00454B05"/>
    <w:rsid w:val="00460AD6"/>
    <w:rsid w:val="00466ADA"/>
    <w:rsid w:val="00476245"/>
    <w:rsid w:val="00483035"/>
    <w:rsid w:val="00485940"/>
    <w:rsid w:val="00493AF1"/>
    <w:rsid w:val="00494AA2"/>
    <w:rsid w:val="004A2484"/>
    <w:rsid w:val="004A30C1"/>
    <w:rsid w:val="004A4F24"/>
    <w:rsid w:val="004A5A85"/>
    <w:rsid w:val="004A71D1"/>
    <w:rsid w:val="004B52B5"/>
    <w:rsid w:val="004B5640"/>
    <w:rsid w:val="004C1BD7"/>
    <w:rsid w:val="004C3121"/>
    <w:rsid w:val="004C31FE"/>
    <w:rsid w:val="004C5785"/>
    <w:rsid w:val="004C691D"/>
    <w:rsid w:val="004C6C07"/>
    <w:rsid w:val="004D00FF"/>
    <w:rsid w:val="004D3694"/>
    <w:rsid w:val="004E692D"/>
    <w:rsid w:val="004E7797"/>
    <w:rsid w:val="004F4537"/>
    <w:rsid w:val="0050042B"/>
    <w:rsid w:val="00501554"/>
    <w:rsid w:val="00514CD7"/>
    <w:rsid w:val="00521E74"/>
    <w:rsid w:val="005227A4"/>
    <w:rsid w:val="005319B2"/>
    <w:rsid w:val="00532402"/>
    <w:rsid w:val="00532C74"/>
    <w:rsid w:val="00534E2E"/>
    <w:rsid w:val="00536422"/>
    <w:rsid w:val="00544552"/>
    <w:rsid w:val="0056229A"/>
    <w:rsid w:val="005641BE"/>
    <w:rsid w:val="00564513"/>
    <w:rsid w:val="005704E1"/>
    <w:rsid w:val="00577C4D"/>
    <w:rsid w:val="00581932"/>
    <w:rsid w:val="005963BB"/>
    <w:rsid w:val="005A3173"/>
    <w:rsid w:val="005A3223"/>
    <w:rsid w:val="005A3DA3"/>
    <w:rsid w:val="005A4B67"/>
    <w:rsid w:val="005A52C4"/>
    <w:rsid w:val="005B3474"/>
    <w:rsid w:val="005B6D3A"/>
    <w:rsid w:val="005D03AB"/>
    <w:rsid w:val="005D2934"/>
    <w:rsid w:val="005D335B"/>
    <w:rsid w:val="005D4886"/>
    <w:rsid w:val="005D5017"/>
    <w:rsid w:val="005E1333"/>
    <w:rsid w:val="005E2EA1"/>
    <w:rsid w:val="00601A91"/>
    <w:rsid w:val="00602BA3"/>
    <w:rsid w:val="00612E34"/>
    <w:rsid w:val="00614159"/>
    <w:rsid w:val="00615595"/>
    <w:rsid w:val="00617C00"/>
    <w:rsid w:val="006263BF"/>
    <w:rsid w:val="0062748A"/>
    <w:rsid w:val="00630A2C"/>
    <w:rsid w:val="0063682E"/>
    <w:rsid w:val="006436CD"/>
    <w:rsid w:val="00651169"/>
    <w:rsid w:val="00653D69"/>
    <w:rsid w:val="006542BF"/>
    <w:rsid w:val="006569FC"/>
    <w:rsid w:val="0066451A"/>
    <w:rsid w:val="006670BE"/>
    <w:rsid w:val="00670A76"/>
    <w:rsid w:val="006711AA"/>
    <w:rsid w:val="00672B57"/>
    <w:rsid w:val="00673042"/>
    <w:rsid w:val="00675622"/>
    <w:rsid w:val="00683970"/>
    <w:rsid w:val="00686307"/>
    <w:rsid w:val="006906DB"/>
    <w:rsid w:val="00691E6C"/>
    <w:rsid w:val="00694621"/>
    <w:rsid w:val="006953C9"/>
    <w:rsid w:val="00696129"/>
    <w:rsid w:val="00697CF2"/>
    <w:rsid w:val="006A12A5"/>
    <w:rsid w:val="006A48D1"/>
    <w:rsid w:val="006A7C4C"/>
    <w:rsid w:val="006B0D94"/>
    <w:rsid w:val="006B485D"/>
    <w:rsid w:val="006B58CF"/>
    <w:rsid w:val="006C3B7A"/>
    <w:rsid w:val="006C708E"/>
    <w:rsid w:val="006D1075"/>
    <w:rsid w:val="006D23C3"/>
    <w:rsid w:val="006D30CB"/>
    <w:rsid w:val="006D6EC7"/>
    <w:rsid w:val="006D72EA"/>
    <w:rsid w:val="006F124C"/>
    <w:rsid w:val="006F2AF6"/>
    <w:rsid w:val="006F5125"/>
    <w:rsid w:val="00702B6F"/>
    <w:rsid w:val="00703179"/>
    <w:rsid w:val="0070358F"/>
    <w:rsid w:val="007065BA"/>
    <w:rsid w:val="0071340B"/>
    <w:rsid w:val="007174BB"/>
    <w:rsid w:val="0072025D"/>
    <w:rsid w:val="0072429C"/>
    <w:rsid w:val="00726EE6"/>
    <w:rsid w:val="007353D3"/>
    <w:rsid w:val="00737287"/>
    <w:rsid w:val="007372D9"/>
    <w:rsid w:val="0076420C"/>
    <w:rsid w:val="00765198"/>
    <w:rsid w:val="007752E6"/>
    <w:rsid w:val="007753C2"/>
    <w:rsid w:val="0077572E"/>
    <w:rsid w:val="00782FEC"/>
    <w:rsid w:val="007838B8"/>
    <w:rsid w:val="0079293A"/>
    <w:rsid w:val="007968F0"/>
    <w:rsid w:val="007B4423"/>
    <w:rsid w:val="007C0F57"/>
    <w:rsid w:val="007C3154"/>
    <w:rsid w:val="007C40B6"/>
    <w:rsid w:val="007C729F"/>
    <w:rsid w:val="007E198A"/>
    <w:rsid w:val="007E1D28"/>
    <w:rsid w:val="007E663B"/>
    <w:rsid w:val="007F2641"/>
    <w:rsid w:val="007F2DE7"/>
    <w:rsid w:val="007F7C36"/>
    <w:rsid w:val="00800BA8"/>
    <w:rsid w:val="00801A0F"/>
    <w:rsid w:val="00803206"/>
    <w:rsid w:val="00806796"/>
    <w:rsid w:val="008151D6"/>
    <w:rsid w:val="008179A9"/>
    <w:rsid w:val="008258EB"/>
    <w:rsid w:val="00826F6D"/>
    <w:rsid w:val="008306F3"/>
    <w:rsid w:val="00837813"/>
    <w:rsid w:val="00845D6C"/>
    <w:rsid w:val="0085492B"/>
    <w:rsid w:val="0085692A"/>
    <w:rsid w:val="00856DDD"/>
    <w:rsid w:val="008611FA"/>
    <w:rsid w:val="00863E68"/>
    <w:rsid w:val="00875779"/>
    <w:rsid w:val="00882085"/>
    <w:rsid w:val="00883188"/>
    <w:rsid w:val="00897D58"/>
    <w:rsid w:val="00897F22"/>
    <w:rsid w:val="008A1956"/>
    <w:rsid w:val="008A4937"/>
    <w:rsid w:val="008A50F1"/>
    <w:rsid w:val="008B2A93"/>
    <w:rsid w:val="008D1B5C"/>
    <w:rsid w:val="008D3C82"/>
    <w:rsid w:val="008D447E"/>
    <w:rsid w:val="008D72AE"/>
    <w:rsid w:val="008D7A41"/>
    <w:rsid w:val="008E3680"/>
    <w:rsid w:val="008E3711"/>
    <w:rsid w:val="008E5870"/>
    <w:rsid w:val="008F1434"/>
    <w:rsid w:val="008F64E8"/>
    <w:rsid w:val="008F7355"/>
    <w:rsid w:val="009067B7"/>
    <w:rsid w:val="00907254"/>
    <w:rsid w:val="0091220E"/>
    <w:rsid w:val="009126F4"/>
    <w:rsid w:val="00913BBF"/>
    <w:rsid w:val="0091681B"/>
    <w:rsid w:val="00930937"/>
    <w:rsid w:val="00933E6C"/>
    <w:rsid w:val="00937958"/>
    <w:rsid w:val="00942160"/>
    <w:rsid w:val="0095146F"/>
    <w:rsid w:val="00956FD1"/>
    <w:rsid w:val="0095782E"/>
    <w:rsid w:val="009602C5"/>
    <w:rsid w:val="00962223"/>
    <w:rsid w:val="009665A9"/>
    <w:rsid w:val="00966D0D"/>
    <w:rsid w:val="00970F28"/>
    <w:rsid w:val="00973C69"/>
    <w:rsid w:val="00974C21"/>
    <w:rsid w:val="009973D9"/>
    <w:rsid w:val="009A7E75"/>
    <w:rsid w:val="009B0F67"/>
    <w:rsid w:val="009B48D5"/>
    <w:rsid w:val="009C14A2"/>
    <w:rsid w:val="009C3E38"/>
    <w:rsid w:val="009C703C"/>
    <w:rsid w:val="009D3CAA"/>
    <w:rsid w:val="009D668A"/>
    <w:rsid w:val="009E07DE"/>
    <w:rsid w:val="009E65AF"/>
    <w:rsid w:val="009F1EAD"/>
    <w:rsid w:val="009F4E46"/>
    <w:rsid w:val="009F5B65"/>
    <w:rsid w:val="009F5F2E"/>
    <w:rsid w:val="00A0011E"/>
    <w:rsid w:val="00A05667"/>
    <w:rsid w:val="00A06225"/>
    <w:rsid w:val="00A128E6"/>
    <w:rsid w:val="00A15083"/>
    <w:rsid w:val="00A3207B"/>
    <w:rsid w:val="00A3440D"/>
    <w:rsid w:val="00A3452D"/>
    <w:rsid w:val="00A34E6C"/>
    <w:rsid w:val="00A3603C"/>
    <w:rsid w:val="00A37C8D"/>
    <w:rsid w:val="00A5273B"/>
    <w:rsid w:val="00A53A9D"/>
    <w:rsid w:val="00A55FEE"/>
    <w:rsid w:val="00A61C88"/>
    <w:rsid w:val="00A62C1A"/>
    <w:rsid w:val="00A6426D"/>
    <w:rsid w:val="00A648BE"/>
    <w:rsid w:val="00A665C1"/>
    <w:rsid w:val="00A70622"/>
    <w:rsid w:val="00A70977"/>
    <w:rsid w:val="00A77613"/>
    <w:rsid w:val="00A77872"/>
    <w:rsid w:val="00A812F4"/>
    <w:rsid w:val="00A8390C"/>
    <w:rsid w:val="00A928BD"/>
    <w:rsid w:val="00A9516C"/>
    <w:rsid w:val="00A96320"/>
    <w:rsid w:val="00A968C6"/>
    <w:rsid w:val="00AA4D1C"/>
    <w:rsid w:val="00AA5C5A"/>
    <w:rsid w:val="00AA73B2"/>
    <w:rsid w:val="00AC193C"/>
    <w:rsid w:val="00AC3BA0"/>
    <w:rsid w:val="00AC5206"/>
    <w:rsid w:val="00AD3584"/>
    <w:rsid w:val="00AE11A5"/>
    <w:rsid w:val="00AE13E2"/>
    <w:rsid w:val="00AE22D3"/>
    <w:rsid w:val="00AE75FB"/>
    <w:rsid w:val="00AF62DF"/>
    <w:rsid w:val="00AF68CC"/>
    <w:rsid w:val="00B049E3"/>
    <w:rsid w:val="00B103FC"/>
    <w:rsid w:val="00B1059E"/>
    <w:rsid w:val="00B13C2C"/>
    <w:rsid w:val="00B14F0B"/>
    <w:rsid w:val="00B176C8"/>
    <w:rsid w:val="00B205AA"/>
    <w:rsid w:val="00B22E84"/>
    <w:rsid w:val="00B25F75"/>
    <w:rsid w:val="00B26B3F"/>
    <w:rsid w:val="00B43E90"/>
    <w:rsid w:val="00B467DC"/>
    <w:rsid w:val="00B47877"/>
    <w:rsid w:val="00B509D2"/>
    <w:rsid w:val="00B5452B"/>
    <w:rsid w:val="00B56118"/>
    <w:rsid w:val="00B66074"/>
    <w:rsid w:val="00B6773F"/>
    <w:rsid w:val="00B738AF"/>
    <w:rsid w:val="00B801BA"/>
    <w:rsid w:val="00B813B7"/>
    <w:rsid w:val="00B84D5C"/>
    <w:rsid w:val="00BA1786"/>
    <w:rsid w:val="00BA4069"/>
    <w:rsid w:val="00BA5EE4"/>
    <w:rsid w:val="00BA7985"/>
    <w:rsid w:val="00BB221E"/>
    <w:rsid w:val="00BB4FAF"/>
    <w:rsid w:val="00BB5926"/>
    <w:rsid w:val="00BB69F5"/>
    <w:rsid w:val="00BB7EC3"/>
    <w:rsid w:val="00BC4B9A"/>
    <w:rsid w:val="00BD784C"/>
    <w:rsid w:val="00BE1E25"/>
    <w:rsid w:val="00BE4623"/>
    <w:rsid w:val="00BF4CB6"/>
    <w:rsid w:val="00BF63B7"/>
    <w:rsid w:val="00C00DA7"/>
    <w:rsid w:val="00C11EC8"/>
    <w:rsid w:val="00C12768"/>
    <w:rsid w:val="00C251B8"/>
    <w:rsid w:val="00C27795"/>
    <w:rsid w:val="00C2786D"/>
    <w:rsid w:val="00C27B58"/>
    <w:rsid w:val="00C33653"/>
    <w:rsid w:val="00C35996"/>
    <w:rsid w:val="00C41876"/>
    <w:rsid w:val="00C4747E"/>
    <w:rsid w:val="00C5342C"/>
    <w:rsid w:val="00C603D4"/>
    <w:rsid w:val="00C6256A"/>
    <w:rsid w:val="00C74B6A"/>
    <w:rsid w:val="00C77891"/>
    <w:rsid w:val="00C8509E"/>
    <w:rsid w:val="00C8536E"/>
    <w:rsid w:val="00C91449"/>
    <w:rsid w:val="00C92D10"/>
    <w:rsid w:val="00C96DF3"/>
    <w:rsid w:val="00CA5AA0"/>
    <w:rsid w:val="00CD7C10"/>
    <w:rsid w:val="00CE10C4"/>
    <w:rsid w:val="00CE27B5"/>
    <w:rsid w:val="00D0321E"/>
    <w:rsid w:val="00D04470"/>
    <w:rsid w:val="00D1455A"/>
    <w:rsid w:val="00D20EED"/>
    <w:rsid w:val="00D21265"/>
    <w:rsid w:val="00D25471"/>
    <w:rsid w:val="00D31150"/>
    <w:rsid w:val="00D3138B"/>
    <w:rsid w:val="00D3280C"/>
    <w:rsid w:val="00D3406A"/>
    <w:rsid w:val="00D4572C"/>
    <w:rsid w:val="00D469B2"/>
    <w:rsid w:val="00D6095B"/>
    <w:rsid w:val="00D628EF"/>
    <w:rsid w:val="00D64270"/>
    <w:rsid w:val="00D65F82"/>
    <w:rsid w:val="00D67862"/>
    <w:rsid w:val="00D741EB"/>
    <w:rsid w:val="00D83605"/>
    <w:rsid w:val="00D84934"/>
    <w:rsid w:val="00D852C1"/>
    <w:rsid w:val="00D91271"/>
    <w:rsid w:val="00DA2CB5"/>
    <w:rsid w:val="00DA4BAC"/>
    <w:rsid w:val="00DB2EE9"/>
    <w:rsid w:val="00DB6BBB"/>
    <w:rsid w:val="00DC22AB"/>
    <w:rsid w:val="00DD4313"/>
    <w:rsid w:val="00DD7B71"/>
    <w:rsid w:val="00DE4209"/>
    <w:rsid w:val="00DE6D27"/>
    <w:rsid w:val="00DF217D"/>
    <w:rsid w:val="00DF26A7"/>
    <w:rsid w:val="00DF58AC"/>
    <w:rsid w:val="00DF76B1"/>
    <w:rsid w:val="00E139B9"/>
    <w:rsid w:val="00E14FE6"/>
    <w:rsid w:val="00E15627"/>
    <w:rsid w:val="00E164B3"/>
    <w:rsid w:val="00E16910"/>
    <w:rsid w:val="00E2531A"/>
    <w:rsid w:val="00E42BDB"/>
    <w:rsid w:val="00E454C8"/>
    <w:rsid w:val="00E45F96"/>
    <w:rsid w:val="00E5079A"/>
    <w:rsid w:val="00E57EEB"/>
    <w:rsid w:val="00E6004B"/>
    <w:rsid w:val="00E62D94"/>
    <w:rsid w:val="00E63581"/>
    <w:rsid w:val="00E63DCE"/>
    <w:rsid w:val="00E65E54"/>
    <w:rsid w:val="00E6703B"/>
    <w:rsid w:val="00E67EAD"/>
    <w:rsid w:val="00E7195F"/>
    <w:rsid w:val="00E737BE"/>
    <w:rsid w:val="00E7389E"/>
    <w:rsid w:val="00E80155"/>
    <w:rsid w:val="00E818F1"/>
    <w:rsid w:val="00E82A37"/>
    <w:rsid w:val="00E848C0"/>
    <w:rsid w:val="00E901C1"/>
    <w:rsid w:val="00E91B96"/>
    <w:rsid w:val="00E941A1"/>
    <w:rsid w:val="00E95CE3"/>
    <w:rsid w:val="00EA2825"/>
    <w:rsid w:val="00EB0B63"/>
    <w:rsid w:val="00EB5088"/>
    <w:rsid w:val="00EB5F6F"/>
    <w:rsid w:val="00EB738C"/>
    <w:rsid w:val="00EC61D6"/>
    <w:rsid w:val="00ED1644"/>
    <w:rsid w:val="00ED2593"/>
    <w:rsid w:val="00ED6170"/>
    <w:rsid w:val="00ED661F"/>
    <w:rsid w:val="00ED7D9C"/>
    <w:rsid w:val="00EE412A"/>
    <w:rsid w:val="00EF44A0"/>
    <w:rsid w:val="00EF4FED"/>
    <w:rsid w:val="00EF6595"/>
    <w:rsid w:val="00EF7812"/>
    <w:rsid w:val="00F050BD"/>
    <w:rsid w:val="00F05657"/>
    <w:rsid w:val="00F108E1"/>
    <w:rsid w:val="00F15A50"/>
    <w:rsid w:val="00F22C32"/>
    <w:rsid w:val="00F25578"/>
    <w:rsid w:val="00F258E5"/>
    <w:rsid w:val="00F300BC"/>
    <w:rsid w:val="00F3334E"/>
    <w:rsid w:val="00F36CCB"/>
    <w:rsid w:val="00F374E5"/>
    <w:rsid w:val="00F417A3"/>
    <w:rsid w:val="00F43AF2"/>
    <w:rsid w:val="00F46B32"/>
    <w:rsid w:val="00F50EC4"/>
    <w:rsid w:val="00F544D1"/>
    <w:rsid w:val="00F550CF"/>
    <w:rsid w:val="00F57A6D"/>
    <w:rsid w:val="00F60191"/>
    <w:rsid w:val="00F61191"/>
    <w:rsid w:val="00F638CC"/>
    <w:rsid w:val="00F64CC1"/>
    <w:rsid w:val="00F65DC6"/>
    <w:rsid w:val="00F72317"/>
    <w:rsid w:val="00F80475"/>
    <w:rsid w:val="00F8247A"/>
    <w:rsid w:val="00F82A0C"/>
    <w:rsid w:val="00F86A01"/>
    <w:rsid w:val="00F87C1C"/>
    <w:rsid w:val="00F93EF6"/>
    <w:rsid w:val="00F9629A"/>
    <w:rsid w:val="00F97EFC"/>
    <w:rsid w:val="00FA5883"/>
    <w:rsid w:val="00FA6055"/>
    <w:rsid w:val="00FA64BD"/>
    <w:rsid w:val="00FB322F"/>
    <w:rsid w:val="00FB442F"/>
    <w:rsid w:val="00FC1929"/>
    <w:rsid w:val="00FC3345"/>
    <w:rsid w:val="00FC5B46"/>
    <w:rsid w:val="00FD02D7"/>
    <w:rsid w:val="00FD6D8E"/>
    <w:rsid w:val="00FD7394"/>
    <w:rsid w:val="00FE0E94"/>
    <w:rsid w:val="00FE1578"/>
    <w:rsid w:val="00FF00BD"/>
    <w:rsid w:val="00FF1ED4"/>
    <w:rsid w:val="00FF2801"/>
    <w:rsid w:val="00FF5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A2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7B4423"/>
    <w:pPr>
      <w:jc w:val="center"/>
    </w:pPr>
    <w:rPr>
      <w:rFonts w:asciiTheme="minorHAnsi" w:eastAsiaTheme="majorEastAsia" w:hAnsiTheme="minorHAnsi" w:cstheme="minorHAnsi"/>
      <w:b/>
      <w:spacing w:val="5"/>
      <w:kern w:val="28"/>
      <w:sz w:val="36"/>
      <w:szCs w:val="36"/>
    </w:rPr>
  </w:style>
  <w:style w:type="paragraph" w:styleId="ListNumber">
    <w:name w:val="List Number"/>
    <w:basedOn w:val="Normal"/>
    <w:rsid w:val="004A2484"/>
    <w:pPr>
      <w:numPr>
        <w:numId w:val="1"/>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7B4423"/>
    <w:rPr>
      <w:rFonts w:asciiTheme="minorHAnsi" w:eastAsiaTheme="majorEastAsia" w:hAnsiTheme="minorHAnsi" w:cstheme="minorHAnsi"/>
      <w:b/>
      <w:spacing w:val="5"/>
      <w:kern w:val="28"/>
      <w:sz w:val="36"/>
      <w:szCs w:val="36"/>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2"/>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NormalWeb">
    <w:name w:val="Normal (Web)"/>
    <w:basedOn w:val="Normal"/>
    <w:uiPriority w:val="99"/>
    <w:unhideWhenUsed/>
    <w:rsid w:val="000E2F09"/>
    <w:pPr>
      <w:spacing w:after="150"/>
    </w:pPr>
    <w:rPr>
      <w:color w:val="222222"/>
    </w:rPr>
  </w:style>
  <w:style w:type="character" w:styleId="FootnoteReference">
    <w:name w:val="footnote reference"/>
    <w:basedOn w:val="DefaultParagraphFont"/>
    <w:rsid w:val="00782FEC"/>
    <w:rPr>
      <w:vertAlign w:val="superscript"/>
    </w:rPr>
  </w:style>
  <w:style w:type="paragraph" w:styleId="FootnoteText">
    <w:name w:val="footnote text"/>
    <w:basedOn w:val="Normal"/>
    <w:link w:val="FootnoteTextChar"/>
    <w:rsid w:val="00EB5F6F"/>
    <w:rPr>
      <w:rFonts w:eastAsia="Calibri"/>
      <w:sz w:val="20"/>
      <w:szCs w:val="20"/>
    </w:rPr>
  </w:style>
  <w:style w:type="character" w:customStyle="1" w:styleId="FootnoteTextChar">
    <w:name w:val="Footnote Text Char"/>
    <w:basedOn w:val="DefaultParagraphFont"/>
    <w:link w:val="FootnoteText"/>
    <w:rsid w:val="00EB5F6F"/>
    <w:rPr>
      <w:rFonts w:eastAsia="Calibri"/>
    </w:rPr>
  </w:style>
  <w:style w:type="paragraph" w:styleId="Revision">
    <w:name w:val="Revision"/>
    <w:hidden/>
    <w:uiPriority w:val="71"/>
    <w:rsid w:val="000A54FF"/>
    <w:rPr>
      <w:sz w:val="24"/>
      <w:szCs w:val="24"/>
    </w:rPr>
  </w:style>
  <w:style w:type="paragraph" w:styleId="EndnoteText">
    <w:name w:val="endnote text"/>
    <w:basedOn w:val="Normal"/>
    <w:link w:val="EndnoteTextChar"/>
    <w:rsid w:val="0032610D"/>
    <w:rPr>
      <w:sz w:val="20"/>
      <w:szCs w:val="20"/>
    </w:rPr>
  </w:style>
  <w:style w:type="character" w:customStyle="1" w:styleId="EndnoteTextChar">
    <w:name w:val="Endnote Text Char"/>
    <w:basedOn w:val="DefaultParagraphFont"/>
    <w:link w:val="EndnoteText"/>
    <w:rsid w:val="0032610D"/>
  </w:style>
  <w:style w:type="character" w:styleId="EndnoteReference">
    <w:name w:val="endnote reference"/>
    <w:basedOn w:val="DefaultParagraphFont"/>
    <w:rsid w:val="0032610D"/>
    <w:rPr>
      <w:vertAlign w:val="superscript"/>
    </w:rPr>
  </w:style>
  <w:style w:type="table" w:styleId="TableClassic2">
    <w:name w:val="Table Classic 2"/>
    <w:basedOn w:val="TableNormal"/>
    <w:rsid w:val="00B103F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7B4423"/>
    <w:pPr>
      <w:jc w:val="center"/>
    </w:pPr>
    <w:rPr>
      <w:rFonts w:asciiTheme="minorHAnsi" w:eastAsiaTheme="majorEastAsia" w:hAnsiTheme="minorHAnsi" w:cstheme="minorHAnsi"/>
      <w:b/>
      <w:spacing w:val="5"/>
      <w:kern w:val="28"/>
      <w:sz w:val="36"/>
      <w:szCs w:val="36"/>
    </w:rPr>
  </w:style>
  <w:style w:type="paragraph" w:styleId="ListNumber">
    <w:name w:val="List Number"/>
    <w:basedOn w:val="Normal"/>
    <w:rsid w:val="004A2484"/>
    <w:pPr>
      <w:numPr>
        <w:numId w:val="1"/>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7B4423"/>
    <w:rPr>
      <w:rFonts w:asciiTheme="minorHAnsi" w:eastAsiaTheme="majorEastAsia" w:hAnsiTheme="minorHAnsi" w:cstheme="minorHAnsi"/>
      <w:b/>
      <w:spacing w:val="5"/>
      <w:kern w:val="28"/>
      <w:sz w:val="36"/>
      <w:szCs w:val="36"/>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2"/>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NormalWeb">
    <w:name w:val="Normal (Web)"/>
    <w:basedOn w:val="Normal"/>
    <w:uiPriority w:val="99"/>
    <w:unhideWhenUsed/>
    <w:rsid w:val="000E2F09"/>
    <w:pPr>
      <w:spacing w:after="150"/>
    </w:pPr>
    <w:rPr>
      <w:color w:val="222222"/>
    </w:rPr>
  </w:style>
  <w:style w:type="character" w:styleId="FootnoteReference">
    <w:name w:val="footnote reference"/>
    <w:basedOn w:val="DefaultParagraphFont"/>
    <w:rsid w:val="00782FEC"/>
    <w:rPr>
      <w:vertAlign w:val="superscript"/>
    </w:rPr>
  </w:style>
  <w:style w:type="paragraph" w:styleId="FootnoteText">
    <w:name w:val="footnote text"/>
    <w:basedOn w:val="Normal"/>
    <w:link w:val="FootnoteTextChar"/>
    <w:rsid w:val="00EB5F6F"/>
    <w:rPr>
      <w:rFonts w:eastAsia="Calibri"/>
      <w:sz w:val="20"/>
      <w:szCs w:val="20"/>
    </w:rPr>
  </w:style>
  <w:style w:type="character" w:customStyle="1" w:styleId="FootnoteTextChar">
    <w:name w:val="Footnote Text Char"/>
    <w:basedOn w:val="DefaultParagraphFont"/>
    <w:link w:val="FootnoteText"/>
    <w:rsid w:val="00EB5F6F"/>
    <w:rPr>
      <w:rFonts w:eastAsia="Calibri"/>
    </w:rPr>
  </w:style>
  <w:style w:type="paragraph" w:styleId="Revision">
    <w:name w:val="Revision"/>
    <w:hidden/>
    <w:uiPriority w:val="71"/>
    <w:rsid w:val="000A54FF"/>
    <w:rPr>
      <w:sz w:val="24"/>
      <w:szCs w:val="24"/>
    </w:rPr>
  </w:style>
  <w:style w:type="paragraph" w:styleId="EndnoteText">
    <w:name w:val="endnote text"/>
    <w:basedOn w:val="Normal"/>
    <w:link w:val="EndnoteTextChar"/>
    <w:rsid w:val="0032610D"/>
    <w:rPr>
      <w:sz w:val="20"/>
      <w:szCs w:val="20"/>
    </w:rPr>
  </w:style>
  <w:style w:type="character" w:customStyle="1" w:styleId="EndnoteTextChar">
    <w:name w:val="Endnote Text Char"/>
    <w:basedOn w:val="DefaultParagraphFont"/>
    <w:link w:val="EndnoteText"/>
    <w:rsid w:val="0032610D"/>
  </w:style>
  <w:style w:type="character" w:styleId="EndnoteReference">
    <w:name w:val="endnote reference"/>
    <w:basedOn w:val="DefaultParagraphFont"/>
    <w:rsid w:val="0032610D"/>
    <w:rPr>
      <w:vertAlign w:val="superscript"/>
    </w:rPr>
  </w:style>
  <w:style w:type="table" w:styleId="TableClassic2">
    <w:name w:val="Table Classic 2"/>
    <w:basedOn w:val="TableNormal"/>
    <w:rsid w:val="00B103F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84357817">
      <w:bodyDiv w:val="1"/>
      <w:marLeft w:val="0"/>
      <w:marRight w:val="0"/>
      <w:marTop w:val="0"/>
      <w:marBottom w:val="0"/>
      <w:divBdr>
        <w:top w:val="none" w:sz="0" w:space="0" w:color="auto"/>
        <w:left w:val="none" w:sz="0" w:space="0" w:color="auto"/>
        <w:bottom w:val="none" w:sz="0" w:space="0" w:color="auto"/>
        <w:right w:val="none" w:sz="0" w:space="0" w:color="auto"/>
      </w:divBdr>
      <w:divsChild>
        <w:div w:id="692926940">
          <w:marLeft w:val="0"/>
          <w:marRight w:val="0"/>
          <w:marTop w:val="0"/>
          <w:marBottom w:val="0"/>
          <w:divBdr>
            <w:top w:val="none" w:sz="0" w:space="0" w:color="auto"/>
            <w:left w:val="none" w:sz="0" w:space="0" w:color="auto"/>
            <w:bottom w:val="none" w:sz="0" w:space="0" w:color="auto"/>
            <w:right w:val="none" w:sz="0" w:space="0" w:color="auto"/>
          </w:divBdr>
          <w:divsChild>
            <w:div w:id="1836065705">
              <w:marLeft w:val="0"/>
              <w:marRight w:val="0"/>
              <w:marTop w:val="0"/>
              <w:marBottom w:val="0"/>
              <w:divBdr>
                <w:top w:val="none" w:sz="0" w:space="0" w:color="auto"/>
                <w:left w:val="none" w:sz="0" w:space="0" w:color="auto"/>
                <w:bottom w:val="none" w:sz="0" w:space="0" w:color="auto"/>
                <w:right w:val="none" w:sz="0" w:space="0" w:color="auto"/>
              </w:divBdr>
              <w:divsChild>
                <w:div w:id="2007248328">
                  <w:marLeft w:val="0"/>
                  <w:marRight w:val="0"/>
                  <w:marTop w:val="0"/>
                  <w:marBottom w:val="0"/>
                  <w:divBdr>
                    <w:top w:val="none" w:sz="0" w:space="0" w:color="auto"/>
                    <w:left w:val="none" w:sz="0" w:space="0" w:color="auto"/>
                    <w:bottom w:val="none" w:sz="0" w:space="0" w:color="auto"/>
                    <w:right w:val="none" w:sz="0" w:space="0" w:color="auto"/>
                  </w:divBdr>
                  <w:divsChild>
                    <w:div w:id="1445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17670">
      <w:bodyDiv w:val="1"/>
      <w:marLeft w:val="0"/>
      <w:marRight w:val="0"/>
      <w:marTop w:val="0"/>
      <w:marBottom w:val="0"/>
      <w:divBdr>
        <w:top w:val="none" w:sz="0" w:space="0" w:color="auto"/>
        <w:left w:val="none" w:sz="0" w:space="0" w:color="auto"/>
        <w:bottom w:val="none" w:sz="0" w:space="0" w:color="auto"/>
        <w:right w:val="none" w:sz="0" w:space="0" w:color="auto"/>
      </w:divBdr>
    </w:div>
    <w:div w:id="1509247097">
      <w:bodyDiv w:val="1"/>
      <w:marLeft w:val="0"/>
      <w:marRight w:val="0"/>
      <w:marTop w:val="0"/>
      <w:marBottom w:val="0"/>
      <w:divBdr>
        <w:top w:val="none" w:sz="0" w:space="0" w:color="auto"/>
        <w:left w:val="none" w:sz="0" w:space="0" w:color="auto"/>
        <w:bottom w:val="none" w:sz="0" w:space="0" w:color="auto"/>
        <w:right w:val="none" w:sz="0" w:space="0" w:color="auto"/>
      </w:divBdr>
    </w:div>
    <w:div w:id="155033635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97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pbac.pbs.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pbs.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mailto:pbac@health.gov.a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pbs.gov.au/info/industry/listing/elements/pbac-meetings/agenda/august-2018-pbac-special-meeting" TargetMode="External"/><Relationship Id="rId14" Type="http://schemas.openxmlformats.org/officeDocument/2006/relationships/footer" Target="footer2.xml"/><Relationship Id="rId22" Type="http://schemas.microsoft.com/office/2016/09/relationships/commentsIds" Target="commentsIds.xml"/></Relationships>
</file>

<file path=word/_rels/endnotes.xml.rels><?xml version="1.0" encoding="UTF-8" standalone="yes"?>
<Relationships xmlns="http://schemas.openxmlformats.org/package/2006/relationships"><Relationship Id="rId3" Type="http://schemas.openxmlformats.org/officeDocument/2006/relationships/hyperlink" Target="http://ascopubs.org/doi/abs/10.1200/JCO.2016.34.15_suppl.9503" TargetMode="External"/><Relationship Id="rId2" Type="http://schemas.openxmlformats.org/officeDocument/2006/relationships/hyperlink" Target="http://info.clarivate.com/_Verify?cn=LS%20Thought%20Leadership%20Awareness_Campaigns_LS_2018&amp;cid=70139000001IVQc&amp;doc=http://www.cirsci.org/wp-content/uploads/2017/11/CIRS-HTADock-briefing-RDB64_Release-Oct-2017.pdf&amp;desc=CIRS_HTA_Dock-briefing&amp;rt=LSConnect&amp;product=CRI&amp;sbu=Life%20Sciences" TargetMode="External"/><Relationship Id="rId1" Type="http://schemas.openxmlformats.org/officeDocument/2006/relationships/hyperlink" Target="http://www.health.gov.au/internet/hta/publishing.nsf/Content/abou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6A6C-63E4-40E6-95F2-289B118C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88AF301D.dotm</Template>
  <TotalTime>0</TotalTime>
  <Pages>8</Pages>
  <Words>2736</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2018-05-21T00:49:00Z</dcterms:created>
  <dcterms:modified xsi:type="dcterms:W3CDTF">2018-05-21T01:47:00Z</dcterms:modified>
</cp:coreProperties>
</file>