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E9514B">
        <w:tc>
          <w:tcPr>
            <w:tcW w:w="15012" w:type="dxa"/>
          </w:tcPr>
          <w:p w14:paraId="1A44A257" w14:textId="6608BC74" w:rsidR="00FC7ABA" w:rsidRPr="00655551" w:rsidRDefault="00FC7ABA" w:rsidP="00FC7ABA">
            <w:pPr>
              <w:widowControl w:val="0"/>
              <w:rPr>
                <w:rFonts w:ascii="Arial" w:hAnsi="Arial" w:cs="Arial"/>
                <w:snapToGrid w:val="0"/>
                <w:lang w:eastAsia="en-US"/>
              </w:rPr>
            </w:pPr>
            <w:r w:rsidRPr="00655551">
              <w:rPr>
                <w:rFonts w:ascii="Arial" w:hAnsi="Arial" w:cs="Arial"/>
                <w:snapToGrid w:val="0"/>
                <w:lang w:eastAsia="en-US"/>
              </w:rPr>
              <w:t xml:space="preserve">The PBAC </w:t>
            </w:r>
            <w:r>
              <w:rPr>
                <w:rFonts w:ascii="Arial" w:hAnsi="Arial" w:cs="Arial"/>
                <w:snapToGrid w:val="0"/>
                <w:lang w:eastAsia="en-US"/>
              </w:rPr>
              <w:t xml:space="preserve">Intracycle </w:t>
            </w:r>
            <w:r w:rsidRPr="00655551">
              <w:rPr>
                <w:rFonts w:ascii="Arial" w:hAnsi="Arial" w:cs="Arial"/>
                <w:snapToGrid w:val="0"/>
                <w:lang w:eastAsia="en-US"/>
              </w:rPr>
              <w:t>agenda primarily consists of applications relating to the listing of a drug or vaccine on the PBS or the National Immunisation Program.</w:t>
            </w:r>
          </w:p>
          <w:p w14:paraId="56149FC6" w14:textId="77777777" w:rsidR="00FC7ABA" w:rsidRPr="00655551" w:rsidRDefault="00FC7ABA" w:rsidP="00FC7ABA">
            <w:pPr>
              <w:widowControl w:val="0"/>
              <w:rPr>
                <w:rFonts w:ascii="Arial" w:hAnsi="Arial" w:cs="Arial"/>
              </w:rPr>
            </w:pPr>
          </w:p>
          <w:p w14:paraId="7042434C" w14:textId="77777777" w:rsidR="00FC7ABA" w:rsidRPr="00655551" w:rsidRDefault="00FC7ABA" w:rsidP="00FC7ABA">
            <w:pPr>
              <w:widowControl w:val="0"/>
              <w:rPr>
                <w:rFonts w:ascii="Arial" w:hAnsi="Arial" w:cs="Arial"/>
                <w:snapToGrid w:val="0"/>
                <w:lang w:eastAsia="en-US"/>
              </w:rPr>
            </w:pPr>
            <w:r w:rsidRPr="00655551">
              <w:rPr>
                <w:rFonts w:ascii="Arial" w:hAnsi="Arial" w:cs="Arial"/>
                <w:snapToGrid w:val="0"/>
                <w:lang w:eastAsia="en-US"/>
              </w:rPr>
              <w:t>The PBAC agenda consists of the following:</w:t>
            </w:r>
          </w:p>
          <w:p w14:paraId="391CA8AE"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1 Minutes of Previous Meeting</w:t>
            </w:r>
          </w:p>
          <w:p w14:paraId="1B7FEE9C"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2 Chairman’s report (verbal)</w:t>
            </w:r>
          </w:p>
          <w:p w14:paraId="15F19085" w14:textId="77777777" w:rsidR="00FC7ABA" w:rsidRPr="00655551" w:rsidRDefault="00FC7ABA" w:rsidP="00FC7ABA">
            <w:pPr>
              <w:widowControl w:val="0"/>
              <w:tabs>
                <w:tab w:val="left" w:pos="9990"/>
              </w:tabs>
              <w:rPr>
                <w:rFonts w:ascii="Arial" w:hAnsi="Arial" w:cs="Arial"/>
                <w:b/>
                <w:snapToGrid w:val="0"/>
                <w:lang w:eastAsia="en-US"/>
              </w:rPr>
            </w:pPr>
            <w:r w:rsidRPr="00655551">
              <w:rPr>
                <w:rFonts w:ascii="Arial" w:hAnsi="Arial" w:cs="Arial"/>
                <w:b/>
                <w:snapToGrid w:val="0"/>
                <w:lang w:eastAsia="en-US"/>
              </w:rPr>
              <w:t>3 Matters arising from the minutes</w:t>
            </w:r>
            <w:r>
              <w:rPr>
                <w:rFonts w:ascii="Arial" w:hAnsi="Arial" w:cs="Arial"/>
                <w:b/>
                <w:snapToGrid w:val="0"/>
                <w:lang w:eastAsia="en-US"/>
              </w:rPr>
              <w:tab/>
            </w:r>
          </w:p>
          <w:p w14:paraId="357B3FBA" w14:textId="307D0D5A"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4 Matters arising/outstanding</w:t>
            </w:r>
          </w:p>
          <w:p w14:paraId="5448A3D4"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7 Resubmissions</w:t>
            </w:r>
          </w:p>
          <w:p w14:paraId="01C1CD04" w14:textId="77777777" w:rsidR="00FC7ABA" w:rsidRPr="00655551" w:rsidRDefault="00FC7ABA" w:rsidP="00FC7ABA">
            <w:pPr>
              <w:widowControl w:val="0"/>
              <w:rPr>
                <w:rFonts w:ascii="Arial" w:hAnsi="Arial" w:cs="Arial"/>
                <w:b/>
                <w:snapToGrid w:val="0"/>
                <w:lang w:eastAsia="en-US"/>
              </w:rPr>
            </w:pPr>
            <w:r w:rsidRPr="005D0956">
              <w:rPr>
                <w:rFonts w:ascii="Arial" w:hAnsi="Arial" w:cs="Arial"/>
                <w:b/>
                <w:snapToGrid w:val="0"/>
                <w:lang w:eastAsia="en-US"/>
              </w:rPr>
              <w:t>8 Pricing Matters</w:t>
            </w:r>
          </w:p>
          <w:p w14:paraId="02E2D37F"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9 Matters relating to PBS review</w:t>
            </w:r>
          </w:p>
          <w:p w14:paraId="52D855BA"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10 Subcommittee and Working Party reports</w:t>
            </w:r>
          </w:p>
          <w:p w14:paraId="505D9FF3"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11 Other business</w:t>
            </w:r>
          </w:p>
          <w:p w14:paraId="32CE083E"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12 Correspondence</w:t>
            </w:r>
          </w:p>
          <w:p w14:paraId="251EF9A2" w14:textId="77777777" w:rsidR="00FC7ABA" w:rsidRPr="00655551" w:rsidRDefault="00FC7ABA" w:rsidP="00FC7ABA">
            <w:pPr>
              <w:widowControl w:val="0"/>
              <w:rPr>
                <w:rFonts w:ascii="Arial" w:hAnsi="Arial" w:cs="Arial"/>
                <w:snapToGrid w:val="0"/>
                <w:lang w:eastAsia="en-US"/>
              </w:rPr>
            </w:pPr>
            <w:r w:rsidRPr="00655551">
              <w:rPr>
                <w:rFonts w:ascii="Arial" w:hAnsi="Arial" w:cs="Arial"/>
                <w:b/>
                <w:snapToGrid w:val="0"/>
                <w:lang w:eastAsia="en-US"/>
              </w:rPr>
              <w:t>13 Further information</w:t>
            </w:r>
          </w:p>
          <w:p w14:paraId="305B7DCA"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14 Late papers</w:t>
            </w:r>
          </w:p>
          <w:p w14:paraId="40F5823A" w14:textId="77777777" w:rsidR="00FC7ABA" w:rsidRPr="00655551" w:rsidRDefault="00FC7ABA" w:rsidP="00FC7ABA">
            <w:pPr>
              <w:widowControl w:val="0"/>
              <w:rPr>
                <w:rFonts w:ascii="Arial" w:hAnsi="Arial" w:cs="Arial"/>
                <w:b/>
                <w:snapToGrid w:val="0"/>
                <w:lang w:eastAsia="en-US"/>
              </w:rPr>
            </w:pPr>
            <w:r w:rsidRPr="00655551">
              <w:rPr>
                <w:rFonts w:ascii="Arial" w:hAnsi="Arial" w:cs="Arial"/>
                <w:b/>
                <w:snapToGrid w:val="0"/>
                <w:lang w:eastAsia="en-US"/>
              </w:rPr>
              <w:t>15 Tabled papers</w:t>
            </w:r>
          </w:p>
          <w:p w14:paraId="2591CEBA" w14:textId="1ECEA7B2" w:rsidR="00FC7ABA" w:rsidRDefault="00FC7ABA" w:rsidP="00FC7ABA">
            <w:pPr>
              <w:widowControl w:val="0"/>
              <w:rPr>
                <w:rFonts w:ascii="Arial" w:hAnsi="Arial" w:cs="Arial"/>
                <w:snapToGrid w:val="0"/>
                <w:lang w:eastAsia="en-US"/>
              </w:rPr>
            </w:pPr>
          </w:p>
          <w:p w14:paraId="1AD2A9F4" w14:textId="2FEA8784" w:rsidR="00FC7ABA" w:rsidRDefault="002E1342" w:rsidP="00FC7ABA">
            <w:pPr>
              <w:widowControl w:val="0"/>
              <w:rPr>
                <w:rFonts w:ascii="Arial" w:hAnsi="Arial" w:cs="Arial"/>
                <w:snapToGrid w:val="0"/>
                <w:lang w:eastAsia="en-US"/>
              </w:rPr>
            </w:pPr>
            <w:r w:rsidRPr="002E1342">
              <w:rPr>
                <w:rFonts w:ascii="Arial" w:hAnsi="Arial" w:cs="Arial"/>
                <w:snapToGrid w:val="0"/>
                <w:lang w:eastAsia="en-US"/>
              </w:rPr>
              <w:t>Consumer</w:t>
            </w:r>
            <w:r>
              <w:rPr>
                <w:rFonts w:ascii="Arial" w:hAnsi="Arial" w:cs="Arial"/>
                <w:snapToGrid w:val="0"/>
                <w:lang w:eastAsia="en-US"/>
              </w:rPr>
              <w:t xml:space="preserve"> comments</w:t>
            </w:r>
            <w:r w:rsidRPr="002E1342">
              <w:rPr>
                <w:rFonts w:ascii="Arial" w:hAnsi="Arial" w:cs="Arial"/>
                <w:snapToGrid w:val="0"/>
                <w:lang w:eastAsia="en-US"/>
              </w:rPr>
              <w:t xml:space="preserve"> </w:t>
            </w:r>
            <w:r w:rsidR="00A1791B">
              <w:rPr>
                <w:rFonts w:ascii="Arial" w:hAnsi="Arial" w:cs="Arial"/>
                <w:snapToGrid w:val="0"/>
                <w:lang w:eastAsia="en-US"/>
              </w:rPr>
              <w:t xml:space="preserve">already </w:t>
            </w:r>
            <w:r w:rsidRPr="002E1342">
              <w:rPr>
                <w:rFonts w:ascii="Arial" w:hAnsi="Arial" w:cs="Arial"/>
                <w:snapToGrid w:val="0"/>
                <w:lang w:eastAsia="en-US"/>
              </w:rPr>
              <w:t>received for drug submissions have been retained and will be considered</w:t>
            </w:r>
            <w:r w:rsidR="00332A58">
              <w:rPr>
                <w:rFonts w:ascii="Arial" w:hAnsi="Arial" w:cs="Arial"/>
                <w:snapToGrid w:val="0"/>
                <w:lang w:eastAsia="en-US"/>
              </w:rPr>
              <w:t>.</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w:t>
            </w:r>
            <w:proofErr w:type="gramStart"/>
            <w:r w:rsidRPr="00655551">
              <w:rPr>
                <w:rFonts w:ascii="Arial" w:hAnsi="Arial" w:cs="Arial"/>
              </w:rPr>
              <w:t>uses;</w:t>
            </w:r>
            <w:proofErr w:type="gramEnd"/>
            <w:r w:rsidRPr="00655551">
              <w:rPr>
                <w:rFonts w:ascii="Arial" w:hAnsi="Arial" w:cs="Arial"/>
              </w:rPr>
              <w:t xml:space="preserve">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5599ED59" w14:textId="77777777" w:rsidR="006F1D37" w:rsidRPr="00655551" w:rsidRDefault="006F1D37" w:rsidP="00E9514B">
            <w:pPr>
              <w:widowControl w:val="0"/>
              <w:rPr>
                <w:rFonts w:ascii="Arial" w:hAnsi="Arial" w:cs="Arial"/>
                <w:snapToGrid w:val="0"/>
                <w:lang w:eastAsia="en-US"/>
              </w:rPr>
            </w:pPr>
          </w:p>
          <w:p w14:paraId="79E15FCF" w14:textId="77777777"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010DD8" w:rsidRPr="00655551" w14:paraId="35F194AC" w14:textId="77777777" w:rsidTr="002A7C66">
        <w:trPr>
          <w:cantSplit/>
          <w:trHeight w:val="1281"/>
        </w:trPr>
        <w:tc>
          <w:tcPr>
            <w:tcW w:w="1675" w:type="pct"/>
            <w:shd w:val="clear" w:color="auto" w:fill="auto"/>
            <w:vAlign w:val="center"/>
          </w:tcPr>
          <w:p w14:paraId="28C44A3F" w14:textId="23408FF4" w:rsidR="00010DD8" w:rsidRPr="00817645" w:rsidRDefault="00010DD8" w:rsidP="00010DD8">
            <w:pPr>
              <w:jc w:val="center"/>
              <w:rPr>
                <w:rFonts w:ascii="Arial" w:hAnsi="Arial" w:cs="Arial"/>
                <w:color w:val="000000"/>
              </w:rPr>
            </w:pPr>
            <w:r w:rsidRPr="00817645">
              <w:rPr>
                <w:rFonts w:ascii="Arial" w:hAnsi="Arial" w:cs="Arial"/>
                <w:color w:val="000000"/>
              </w:rPr>
              <w:t>LORLATINIB</w:t>
            </w:r>
          </w:p>
          <w:p w14:paraId="7EDF5AB4" w14:textId="77777777" w:rsidR="00010DD8" w:rsidRPr="00817645" w:rsidRDefault="00010DD8" w:rsidP="00010DD8">
            <w:pPr>
              <w:jc w:val="center"/>
              <w:rPr>
                <w:rFonts w:ascii="Arial" w:hAnsi="Arial" w:cs="Arial"/>
                <w:color w:val="000000"/>
              </w:rPr>
            </w:pPr>
          </w:p>
          <w:p w14:paraId="5E97BEAF" w14:textId="59A7AE24" w:rsidR="00010DD8" w:rsidRPr="00817645" w:rsidRDefault="00010DD8" w:rsidP="00010DD8">
            <w:pPr>
              <w:jc w:val="center"/>
              <w:rPr>
                <w:rFonts w:ascii="Arial" w:hAnsi="Arial" w:cs="Arial"/>
                <w:color w:val="000000"/>
              </w:rPr>
            </w:pPr>
            <w:r w:rsidRPr="00817645">
              <w:rPr>
                <w:rFonts w:ascii="Arial" w:hAnsi="Arial" w:cs="Arial"/>
                <w:color w:val="000000"/>
              </w:rPr>
              <w:t>Tablet 25 mg</w:t>
            </w:r>
            <w:r w:rsidRPr="00817645">
              <w:rPr>
                <w:rFonts w:ascii="Arial" w:hAnsi="Arial" w:cs="Arial"/>
                <w:color w:val="000000"/>
              </w:rPr>
              <w:br/>
              <w:t>Tablet 100 mg</w:t>
            </w:r>
          </w:p>
          <w:p w14:paraId="1DF167D1" w14:textId="77777777" w:rsidR="00010DD8" w:rsidRPr="00817645" w:rsidRDefault="00010DD8" w:rsidP="00010DD8">
            <w:pPr>
              <w:jc w:val="center"/>
              <w:rPr>
                <w:rFonts w:ascii="Arial" w:hAnsi="Arial" w:cs="Arial"/>
                <w:color w:val="000000"/>
              </w:rPr>
            </w:pPr>
          </w:p>
          <w:p w14:paraId="357D8FF4" w14:textId="1B7BFA07" w:rsidR="00010DD8" w:rsidRPr="00817645" w:rsidRDefault="00010DD8" w:rsidP="00010DD8">
            <w:pPr>
              <w:jc w:val="center"/>
              <w:rPr>
                <w:rFonts w:ascii="Arial" w:hAnsi="Arial" w:cs="Arial"/>
                <w:color w:val="000000"/>
              </w:rPr>
            </w:pPr>
            <w:proofErr w:type="spellStart"/>
            <w:r w:rsidRPr="00817645">
              <w:rPr>
                <w:rFonts w:ascii="Arial" w:hAnsi="Arial" w:cs="Arial"/>
                <w:color w:val="000000"/>
              </w:rPr>
              <w:t>Lorviqua</w:t>
            </w:r>
            <w:proofErr w:type="spellEnd"/>
            <w:r w:rsidRPr="00817645">
              <w:rPr>
                <w:rFonts w:ascii="Arial" w:hAnsi="Arial" w:cs="Arial"/>
                <w:color w:val="000000"/>
              </w:rPr>
              <w:t>®</w:t>
            </w:r>
          </w:p>
          <w:p w14:paraId="56B23CF4" w14:textId="77777777" w:rsidR="00010DD8" w:rsidRPr="00817645" w:rsidRDefault="00010DD8" w:rsidP="00010DD8">
            <w:pPr>
              <w:jc w:val="center"/>
              <w:rPr>
                <w:rFonts w:ascii="Arial" w:hAnsi="Arial" w:cs="Arial"/>
                <w:color w:val="000000"/>
              </w:rPr>
            </w:pPr>
          </w:p>
          <w:p w14:paraId="562F768E" w14:textId="77777777" w:rsidR="00010DD8" w:rsidRPr="00817645" w:rsidRDefault="00010DD8" w:rsidP="00010DD8">
            <w:pPr>
              <w:jc w:val="center"/>
              <w:rPr>
                <w:rFonts w:ascii="Arial" w:hAnsi="Arial" w:cs="Arial"/>
                <w:color w:val="000000"/>
              </w:rPr>
            </w:pPr>
            <w:r w:rsidRPr="00817645">
              <w:rPr>
                <w:rFonts w:ascii="Arial" w:hAnsi="Arial" w:cs="Arial"/>
                <w:color w:val="000000"/>
              </w:rPr>
              <w:t>Pfizer Australia Pty Ltd</w:t>
            </w:r>
          </w:p>
          <w:p w14:paraId="3D7F04B1" w14:textId="77777777" w:rsidR="00010DD8" w:rsidRPr="00817645" w:rsidRDefault="00010DD8" w:rsidP="00010DD8">
            <w:pPr>
              <w:jc w:val="center"/>
              <w:rPr>
                <w:rFonts w:ascii="Arial" w:hAnsi="Arial" w:cs="Arial"/>
                <w:color w:val="000000"/>
              </w:rPr>
            </w:pPr>
          </w:p>
          <w:p w14:paraId="5C029A98" w14:textId="10A2CC2F" w:rsidR="00010DD8" w:rsidRPr="00817645" w:rsidRDefault="00010DD8" w:rsidP="00817645">
            <w:pPr>
              <w:jc w:val="center"/>
              <w:rPr>
                <w:rFonts w:ascii="Arial" w:hAnsi="Arial" w:cs="Arial"/>
                <w:color w:val="000000"/>
              </w:rPr>
            </w:pPr>
            <w:r w:rsidRPr="00817645">
              <w:rPr>
                <w:rFonts w:ascii="Arial" w:hAnsi="Arial" w:cs="Arial"/>
                <w:color w:val="000000"/>
              </w:rPr>
              <w:t>(Change to PBS listing)</w:t>
            </w:r>
          </w:p>
          <w:p w14:paraId="214A7C5F" w14:textId="77777777" w:rsidR="00010DD8" w:rsidRPr="00817645" w:rsidRDefault="00010DD8" w:rsidP="00E9514B">
            <w:pPr>
              <w:jc w:val="center"/>
              <w:rPr>
                <w:rFonts w:ascii="Arial" w:hAnsi="Arial" w:cs="Arial"/>
                <w:color w:val="000000"/>
              </w:rPr>
            </w:pPr>
          </w:p>
        </w:tc>
        <w:tc>
          <w:tcPr>
            <w:tcW w:w="1246" w:type="pct"/>
            <w:shd w:val="clear" w:color="auto" w:fill="auto"/>
            <w:vAlign w:val="center"/>
          </w:tcPr>
          <w:p w14:paraId="4192153D" w14:textId="71589233" w:rsidR="00010DD8" w:rsidRPr="00817645" w:rsidRDefault="00010DD8" w:rsidP="00E9514B">
            <w:pPr>
              <w:jc w:val="center"/>
              <w:rPr>
                <w:rFonts w:ascii="Arial" w:hAnsi="Arial" w:cs="Arial"/>
                <w:color w:val="000000"/>
              </w:rPr>
            </w:pPr>
            <w:r w:rsidRPr="00817645">
              <w:rPr>
                <w:rFonts w:ascii="Arial" w:hAnsi="Arial" w:cs="Arial"/>
                <w:color w:val="000000"/>
              </w:rPr>
              <w:t>Locally advanced (stage IIIB) or metastatic (stage IV) anaplastic lymphoma kinase (ALK)-positive non</w:t>
            </w:r>
            <w:r w:rsidR="005F1D82">
              <w:rPr>
                <w:rFonts w:ascii="Arial" w:hAnsi="Arial" w:cs="Arial"/>
                <w:color w:val="000000"/>
              </w:rPr>
              <w:noBreakHyphen/>
            </w:r>
            <w:r w:rsidRPr="00817645">
              <w:rPr>
                <w:rFonts w:ascii="Arial" w:hAnsi="Arial" w:cs="Arial"/>
                <w:color w:val="000000"/>
              </w:rPr>
              <w:t>small cell lung cancer (NSCLC)</w:t>
            </w:r>
          </w:p>
        </w:tc>
        <w:tc>
          <w:tcPr>
            <w:tcW w:w="2079" w:type="pct"/>
            <w:shd w:val="clear" w:color="auto" w:fill="auto"/>
            <w:vAlign w:val="center"/>
          </w:tcPr>
          <w:p w14:paraId="403D0564" w14:textId="77777777" w:rsidR="00010DD8" w:rsidRPr="00817645" w:rsidRDefault="00010DD8" w:rsidP="00010DD8">
            <w:pPr>
              <w:jc w:val="center"/>
              <w:rPr>
                <w:rFonts w:ascii="Arial" w:hAnsi="Arial" w:cs="Arial"/>
                <w:color w:val="000000"/>
              </w:rPr>
            </w:pPr>
            <w:r w:rsidRPr="00817645">
              <w:rPr>
                <w:rFonts w:ascii="Arial" w:hAnsi="Arial" w:cs="Arial"/>
                <w:color w:val="000000"/>
              </w:rPr>
              <w:t>To request a General Schedule, Authority Required (online/telephone) listing for the treatment of locally advanced (Stage IIIB) or metastatic (Stage IV) ALK-positive NSCLC in patients who have not received prior treatment with an ALK inhibitor.</w:t>
            </w:r>
          </w:p>
          <w:p w14:paraId="1C459F00" w14:textId="77777777" w:rsidR="00010DD8" w:rsidRPr="00817645" w:rsidRDefault="00010DD8" w:rsidP="00E9514B">
            <w:pPr>
              <w:jc w:val="center"/>
              <w:rPr>
                <w:rFonts w:ascii="Arial" w:hAnsi="Arial" w:cs="Arial"/>
              </w:rPr>
            </w:pPr>
          </w:p>
        </w:tc>
      </w:tr>
      <w:tr w:rsidR="00982948" w:rsidRPr="00655551" w14:paraId="104C597F" w14:textId="77777777" w:rsidTr="002A7C66">
        <w:trPr>
          <w:cantSplit/>
          <w:trHeight w:val="1281"/>
        </w:trPr>
        <w:tc>
          <w:tcPr>
            <w:tcW w:w="1675" w:type="pct"/>
            <w:shd w:val="clear" w:color="auto" w:fill="auto"/>
            <w:vAlign w:val="center"/>
          </w:tcPr>
          <w:p w14:paraId="1863BC92" w14:textId="7B47BAF2" w:rsidR="00982948" w:rsidRPr="00655551" w:rsidRDefault="001A7E67" w:rsidP="00E9514B">
            <w:pPr>
              <w:jc w:val="center"/>
              <w:rPr>
                <w:rFonts w:ascii="Arial" w:hAnsi="Arial" w:cs="Arial"/>
              </w:rPr>
            </w:pPr>
            <w:r w:rsidRPr="001A7E67">
              <w:rPr>
                <w:rFonts w:ascii="Arial" w:hAnsi="Arial" w:cs="Arial"/>
                <w:color w:val="000000"/>
              </w:rPr>
              <w:t>LUMACAFTOR + IVACAFTOR</w:t>
            </w:r>
          </w:p>
          <w:p w14:paraId="0E18CC0B" w14:textId="77777777" w:rsidR="001A7E67" w:rsidRDefault="001A7E67" w:rsidP="00E9514B">
            <w:pPr>
              <w:jc w:val="center"/>
              <w:rPr>
                <w:rFonts w:ascii="Arial" w:hAnsi="Arial" w:cs="Arial"/>
                <w:color w:val="000000"/>
              </w:rPr>
            </w:pPr>
          </w:p>
          <w:p w14:paraId="2915A7D6" w14:textId="68586DFA" w:rsidR="00982948" w:rsidRDefault="001A7E67" w:rsidP="00E9514B">
            <w:pPr>
              <w:jc w:val="center"/>
              <w:rPr>
                <w:rFonts w:ascii="Arial" w:hAnsi="Arial" w:cs="Arial"/>
                <w:color w:val="000000"/>
              </w:rPr>
            </w:pPr>
            <w:r w:rsidRPr="001A7E67">
              <w:rPr>
                <w:rFonts w:ascii="Arial" w:hAnsi="Arial" w:cs="Arial"/>
                <w:color w:val="000000"/>
              </w:rPr>
              <w:t>Tablet containing lumacaftor 100 mg with ivacaftor 125 mg</w:t>
            </w:r>
          </w:p>
          <w:p w14:paraId="23800190" w14:textId="77777777" w:rsidR="001A7E67" w:rsidRPr="00655551" w:rsidRDefault="001A7E67" w:rsidP="00E9514B">
            <w:pPr>
              <w:jc w:val="center"/>
              <w:rPr>
                <w:rFonts w:ascii="Arial" w:hAnsi="Arial" w:cs="Arial"/>
                <w:color w:val="000000"/>
              </w:rPr>
            </w:pPr>
          </w:p>
          <w:p w14:paraId="3ED4886C" w14:textId="0EFAB087" w:rsidR="00982948" w:rsidRPr="00655551" w:rsidRDefault="001A7E67" w:rsidP="00E9514B">
            <w:pPr>
              <w:jc w:val="center"/>
              <w:rPr>
                <w:rFonts w:ascii="Arial" w:hAnsi="Arial" w:cs="Arial"/>
                <w:color w:val="000000"/>
              </w:rPr>
            </w:pPr>
            <w:proofErr w:type="spellStart"/>
            <w:r>
              <w:rPr>
                <w:rFonts w:ascii="Arial" w:hAnsi="Arial" w:cs="Arial"/>
                <w:color w:val="000000"/>
              </w:rPr>
              <w:t>Orkambi</w:t>
            </w:r>
            <w:proofErr w:type="spellEnd"/>
            <w:r>
              <w:rPr>
                <w:rFonts w:ascii="Arial" w:hAnsi="Arial" w:cs="Arial"/>
                <w:color w:val="000000"/>
              </w:rPr>
              <w:t>®</w:t>
            </w:r>
          </w:p>
          <w:p w14:paraId="7A825C3D" w14:textId="77777777" w:rsidR="00982948" w:rsidRPr="00655551" w:rsidRDefault="00982948" w:rsidP="00E9514B">
            <w:pPr>
              <w:jc w:val="center"/>
              <w:rPr>
                <w:rFonts w:ascii="Arial" w:hAnsi="Arial" w:cs="Arial"/>
                <w:color w:val="000000"/>
              </w:rPr>
            </w:pPr>
          </w:p>
          <w:p w14:paraId="28307958" w14:textId="77777777" w:rsidR="00982948" w:rsidRDefault="001A7E67" w:rsidP="00E9514B">
            <w:pPr>
              <w:jc w:val="center"/>
              <w:rPr>
                <w:rFonts w:ascii="Arial" w:hAnsi="Arial" w:cs="Arial"/>
                <w:color w:val="000000"/>
              </w:rPr>
            </w:pPr>
            <w:r w:rsidRPr="001A7E67">
              <w:rPr>
                <w:rFonts w:ascii="Arial" w:hAnsi="Arial" w:cs="Arial"/>
                <w:color w:val="000000"/>
              </w:rPr>
              <w:t>Vertex Pharmaceuticals (Australia) Pty. Ltd.</w:t>
            </w:r>
          </w:p>
          <w:p w14:paraId="6B30ACD9" w14:textId="77777777" w:rsidR="001A7E67" w:rsidRDefault="001A7E67" w:rsidP="00E9514B">
            <w:pPr>
              <w:jc w:val="center"/>
              <w:rPr>
                <w:rFonts w:ascii="Arial" w:hAnsi="Arial" w:cs="Arial"/>
                <w:color w:val="000000"/>
              </w:rPr>
            </w:pPr>
          </w:p>
          <w:p w14:paraId="76199B86" w14:textId="66ABE302" w:rsidR="001A7E67" w:rsidRPr="00655551" w:rsidRDefault="001A7E67" w:rsidP="00E9514B">
            <w:pPr>
              <w:jc w:val="center"/>
              <w:rPr>
                <w:rFonts w:ascii="Arial" w:hAnsi="Arial" w:cs="Arial"/>
                <w:color w:val="000000"/>
              </w:rPr>
            </w:pPr>
          </w:p>
        </w:tc>
        <w:tc>
          <w:tcPr>
            <w:tcW w:w="1246" w:type="pct"/>
            <w:shd w:val="clear" w:color="auto" w:fill="auto"/>
            <w:vAlign w:val="center"/>
          </w:tcPr>
          <w:p w14:paraId="4F705E30" w14:textId="61CF6300" w:rsidR="00982948" w:rsidRPr="00655551" w:rsidRDefault="00AC5C20" w:rsidP="00E9514B">
            <w:pPr>
              <w:jc w:val="center"/>
              <w:rPr>
                <w:rFonts w:ascii="Arial" w:hAnsi="Arial" w:cs="Arial"/>
                <w:color w:val="000000"/>
              </w:rPr>
            </w:pPr>
            <w:r>
              <w:rPr>
                <w:rFonts w:ascii="Arial" w:hAnsi="Arial" w:cs="Arial"/>
                <w:color w:val="000000"/>
              </w:rPr>
              <w:t>Cystic fibrosis</w:t>
            </w:r>
          </w:p>
          <w:p w14:paraId="24DA30AE" w14:textId="77777777" w:rsidR="00982948" w:rsidRPr="00655551" w:rsidRDefault="00982948" w:rsidP="00E9514B">
            <w:pPr>
              <w:jc w:val="center"/>
              <w:rPr>
                <w:rFonts w:ascii="Arial" w:hAnsi="Arial" w:cs="Arial"/>
                <w:bCs/>
                <w:color w:val="000000"/>
              </w:rPr>
            </w:pPr>
          </w:p>
        </w:tc>
        <w:tc>
          <w:tcPr>
            <w:tcW w:w="2079" w:type="pct"/>
            <w:shd w:val="clear" w:color="auto" w:fill="auto"/>
            <w:vAlign w:val="center"/>
          </w:tcPr>
          <w:p w14:paraId="618A437F" w14:textId="795CF4FF" w:rsidR="00982948" w:rsidRPr="00655551" w:rsidRDefault="00AC5C20" w:rsidP="00E9514B">
            <w:pPr>
              <w:jc w:val="center"/>
              <w:rPr>
                <w:rFonts w:ascii="Arial" w:hAnsi="Arial" w:cs="Arial"/>
                <w:bCs/>
                <w:color w:val="000000"/>
              </w:rPr>
            </w:pPr>
            <w:r w:rsidRPr="00AC5C20">
              <w:rPr>
                <w:rFonts w:ascii="Arial" w:hAnsi="Arial" w:cs="Arial"/>
              </w:rPr>
              <w:t xml:space="preserve">To provide additional data as specified in the </w:t>
            </w:r>
            <w:r w:rsidR="005F1D82">
              <w:rPr>
                <w:rFonts w:ascii="Arial" w:hAnsi="Arial" w:cs="Arial"/>
              </w:rPr>
              <w:t>Managed Access Program</w:t>
            </w:r>
            <w:r w:rsidR="001A7E67">
              <w:rPr>
                <w:rFonts w:ascii="Arial" w:hAnsi="Arial" w:cs="Arial"/>
              </w:rPr>
              <w:t>.</w:t>
            </w:r>
          </w:p>
        </w:tc>
      </w:tr>
      <w:tr w:rsidR="00982948" w:rsidRPr="00655551" w14:paraId="759FCBA8" w14:textId="77777777" w:rsidTr="002A7C66">
        <w:trPr>
          <w:cantSplit/>
          <w:trHeight w:val="1281"/>
        </w:trPr>
        <w:tc>
          <w:tcPr>
            <w:tcW w:w="1675" w:type="pct"/>
            <w:shd w:val="clear" w:color="auto" w:fill="auto"/>
            <w:vAlign w:val="center"/>
          </w:tcPr>
          <w:p w14:paraId="2B1BDC2F" w14:textId="35F51D2B" w:rsidR="00982948" w:rsidRDefault="002A7C66" w:rsidP="00D94A0C">
            <w:pPr>
              <w:jc w:val="center"/>
              <w:rPr>
                <w:rFonts w:ascii="Arial" w:hAnsi="Arial" w:cs="Arial"/>
                <w:color w:val="000000"/>
              </w:rPr>
            </w:pPr>
            <w:r w:rsidRPr="002A7C66">
              <w:rPr>
                <w:rFonts w:ascii="Arial" w:hAnsi="Arial" w:cs="Arial"/>
                <w:color w:val="000000"/>
              </w:rPr>
              <w:lastRenderedPageBreak/>
              <w:t>ELEXACAFTOR/TEZECAFTOR/IVACAFTOR</w:t>
            </w:r>
          </w:p>
          <w:p w14:paraId="176CD07E" w14:textId="77777777" w:rsidR="002A7C66" w:rsidRPr="00655551" w:rsidRDefault="002A7C66" w:rsidP="00D94A0C">
            <w:pPr>
              <w:jc w:val="center"/>
              <w:rPr>
                <w:rFonts w:ascii="Arial" w:hAnsi="Arial" w:cs="Arial"/>
              </w:rPr>
            </w:pPr>
          </w:p>
          <w:p w14:paraId="6E6BCDC7" w14:textId="44872B65" w:rsidR="00982948" w:rsidRDefault="002A7C66" w:rsidP="00D94A0C">
            <w:pPr>
              <w:jc w:val="center"/>
              <w:rPr>
                <w:rFonts w:ascii="Arial" w:hAnsi="Arial" w:cs="Arial"/>
                <w:color w:val="000000"/>
              </w:rPr>
            </w:pPr>
            <w:r w:rsidRPr="002A7C66">
              <w:rPr>
                <w:rFonts w:ascii="Arial" w:hAnsi="Arial" w:cs="Arial"/>
                <w:color w:val="000000"/>
              </w:rPr>
              <w:t xml:space="preserve">Pack containing 56 tablets of </w:t>
            </w:r>
            <w:proofErr w:type="spellStart"/>
            <w:r w:rsidRPr="002A7C66">
              <w:rPr>
                <w:rFonts w:ascii="Arial" w:hAnsi="Arial" w:cs="Arial"/>
                <w:color w:val="000000"/>
              </w:rPr>
              <w:t>elexacaftor</w:t>
            </w:r>
            <w:proofErr w:type="spellEnd"/>
            <w:r w:rsidRPr="002A7C66">
              <w:rPr>
                <w:rFonts w:ascii="Arial" w:hAnsi="Arial" w:cs="Arial"/>
                <w:color w:val="000000"/>
              </w:rPr>
              <w:t xml:space="preserve"> 100 mg with </w:t>
            </w:r>
            <w:proofErr w:type="spellStart"/>
            <w:r w:rsidRPr="002A7C66">
              <w:rPr>
                <w:rFonts w:ascii="Arial" w:hAnsi="Arial" w:cs="Arial"/>
                <w:color w:val="000000"/>
              </w:rPr>
              <w:t>tezacaftor</w:t>
            </w:r>
            <w:proofErr w:type="spellEnd"/>
            <w:r w:rsidRPr="002A7C66">
              <w:rPr>
                <w:rFonts w:ascii="Arial" w:hAnsi="Arial" w:cs="Arial"/>
                <w:color w:val="000000"/>
              </w:rPr>
              <w:t xml:space="preserve"> 50 mg and ivacaftor 75 mg and 28 tablets of ivacaftor 150 mg</w:t>
            </w:r>
          </w:p>
          <w:p w14:paraId="10988F52" w14:textId="77777777" w:rsidR="002A7C66" w:rsidRPr="00655551" w:rsidRDefault="002A7C66" w:rsidP="00D94A0C">
            <w:pPr>
              <w:jc w:val="center"/>
              <w:rPr>
                <w:rFonts w:ascii="Arial" w:hAnsi="Arial" w:cs="Arial"/>
                <w:color w:val="000000"/>
              </w:rPr>
            </w:pPr>
          </w:p>
          <w:p w14:paraId="38C24E91" w14:textId="28842206" w:rsidR="00982948" w:rsidRPr="00655551" w:rsidRDefault="002A7C66" w:rsidP="00D94A0C">
            <w:pPr>
              <w:jc w:val="center"/>
              <w:rPr>
                <w:rFonts w:ascii="Arial" w:hAnsi="Arial" w:cs="Arial"/>
                <w:color w:val="000000"/>
              </w:rPr>
            </w:pPr>
            <w:proofErr w:type="spellStart"/>
            <w:r>
              <w:rPr>
                <w:rFonts w:ascii="Arial" w:hAnsi="Arial" w:cs="Arial"/>
                <w:color w:val="000000"/>
              </w:rPr>
              <w:t>Trikafta</w:t>
            </w:r>
            <w:proofErr w:type="spellEnd"/>
            <w:r>
              <w:rPr>
                <w:rFonts w:ascii="Arial" w:hAnsi="Arial" w:cs="Arial"/>
                <w:color w:val="000000"/>
              </w:rPr>
              <w:t>®</w:t>
            </w:r>
          </w:p>
          <w:p w14:paraId="114CF382" w14:textId="77777777" w:rsidR="00982948" w:rsidRPr="00655551" w:rsidRDefault="00982948" w:rsidP="00D94A0C">
            <w:pPr>
              <w:jc w:val="center"/>
              <w:rPr>
                <w:rFonts w:ascii="Arial" w:hAnsi="Arial" w:cs="Arial"/>
                <w:color w:val="000000"/>
              </w:rPr>
            </w:pPr>
          </w:p>
          <w:p w14:paraId="0F4F063A" w14:textId="77777777" w:rsidR="00982948" w:rsidRDefault="009C573F" w:rsidP="00D94A0C">
            <w:pPr>
              <w:jc w:val="center"/>
              <w:rPr>
                <w:rFonts w:ascii="Arial" w:hAnsi="Arial" w:cs="Arial"/>
                <w:color w:val="000000"/>
              </w:rPr>
            </w:pPr>
            <w:r w:rsidRPr="009C573F">
              <w:rPr>
                <w:rFonts w:ascii="Arial" w:hAnsi="Arial" w:cs="Arial"/>
                <w:color w:val="000000"/>
              </w:rPr>
              <w:t>Vertex Pharmaceuticals (Australia) Pty. Ltd.</w:t>
            </w:r>
          </w:p>
          <w:p w14:paraId="757533D0" w14:textId="77777777" w:rsidR="009C573F" w:rsidRDefault="009C573F" w:rsidP="00D94A0C">
            <w:pPr>
              <w:jc w:val="center"/>
              <w:rPr>
                <w:rFonts w:ascii="Arial" w:hAnsi="Arial" w:cs="Arial"/>
                <w:color w:val="000000"/>
              </w:rPr>
            </w:pPr>
          </w:p>
          <w:p w14:paraId="0EAA1499" w14:textId="05B07F07" w:rsidR="009C573F" w:rsidRDefault="00EC429A" w:rsidP="00D94A0C">
            <w:pPr>
              <w:jc w:val="center"/>
              <w:rPr>
                <w:rFonts w:ascii="Arial" w:hAnsi="Arial" w:cs="Arial"/>
                <w:color w:val="000000"/>
              </w:rPr>
            </w:pPr>
            <w:r>
              <w:rPr>
                <w:rFonts w:ascii="Arial" w:hAnsi="Arial" w:cs="Arial"/>
                <w:color w:val="000000"/>
              </w:rPr>
              <w:t>(</w:t>
            </w:r>
            <w:r w:rsidR="009C573F">
              <w:rPr>
                <w:rFonts w:ascii="Arial" w:hAnsi="Arial" w:cs="Arial"/>
                <w:color w:val="000000"/>
              </w:rPr>
              <w:t xml:space="preserve">New </w:t>
            </w:r>
            <w:r>
              <w:rPr>
                <w:rFonts w:ascii="Arial" w:hAnsi="Arial" w:cs="Arial"/>
                <w:color w:val="000000"/>
              </w:rPr>
              <w:t xml:space="preserve">PBS </w:t>
            </w:r>
            <w:r w:rsidR="009C573F">
              <w:rPr>
                <w:rFonts w:ascii="Arial" w:hAnsi="Arial" w:cs="Arial"/>
                <w:color w:val="000000"/>
              </w:rPr>
              <w:t>listing</w:t>
            </w:r>
            <w:r>
              <w:rPr>
                <w:rFonts w:ascii="Arial" w:hAnsi="Arial" w:cs="Arial"/>
                <w:color w:val="000000"/>
              </w:rPr>
              <w:t>)</w:t>
            </w:r>
          </w:p>
        </w:tc>
        <w:tc>
          <w:tcPr>
            <w:tcW w:w="1246" w:type="pct"/>
            <w:shd w:val="clear" w:color="auto" w:fill="auto"/>
            <w:vAlign w:val="center"/>
          </w:tcPr>
          <w:p w14:paraId="403FED1D" w14:textId="4D33286A" w:rsidR="00982948" w:rsidRDefault="009C573F" w:rsidP="00D94A0C">
            <w:pPr>
              <w:jc w:val="center"/>
              <w:rPr>
                <w:rFonts w:ascii="Arial" w:hAnsi="Arial" w:cs="Arial"/>
                <w:color w:val="000000"/>
              </w:rPr>
            </w:pPr>
            <w:r w:rsidRPr="009C573F">
              <w:rPr>
                <w:rFonts w:ascii="Arial" w:hAnsi="Arial" w:cs="Arial"/>
                <w:color w:val="000000"/>
              </w:rPr>
              <w:t>Cystic fibrosis</w:t>
            </w:r>
          </w:p>
        </w:tc>
        <w:tc>
          <w:tcPr>
            <w:tcW w:w="2079" w:type="pct"/>
            <w:shd w:val="clear" w:color="auto" w:fill="auto"/>
            <w:vAlign w:val="center"/>
          </w:tcPr>
          <w:p w14:paraId="6F784FF1" w14:textId="50A77C0B" w:rsidR="00982948" w:rsidRDefault="009C573F" w:rsidP="00D94A0C">
            <w:pPr>
              <w:jc w:val="center"/>
              <w:rPr>
                <w:rFonts w:ascii="Arial" w:hAnsi="Arial" w:cs="Arial"/>
              </w:rPr>
            </w:pPr>
            <w:r w:rsidRPr="009C573F">
              <w:rPr>
                <w:rFonts w:ascii="Arial" w:hAnsi="Arial" w:cs="Arial"/>
              </w:rPr>
              <w:t>Early re-entry submission to request PBS listing for CF in patients aged 12 years or older who have at least one F508del mutation on the cystic fibrosis transmembrane conductance regulator (CFTR) gene.</w:t>
            </w:r>
          </w:p>
        </w:tc>
      </w:tr>
    </w:tbl>
    <w:p w14:paraId="0E54D6A8" w14:textId="63B6BB42" w:rsidR="006F1D37" w:rsidRDefault="006F1D37" w:rsidP="006F1D37">
      <w:pPr>
        <w:rPr>
          <w:rFonts w:ascii="Arial" w:hAnsi="Arial" w:cs="Arial"/>
          <w:sz w:val="16"/>
          <w:szCs w:val="16"/>
          <w:u w:val="single"/>
        </w:rPr>
      </w:pPr>
    </w:p>
    <w:sectPr w:rsidR="006F1D37" w:rsidSect="00864788">
      <w:headerReference w:type="default" r:id="rId9"/>
      <w:footerReference w:type="even" r:id="rId10"/>
      <w:footerReference w:type="default" r:id="rId11"/>
      <w:headerReference w:type="first" r:id="rId12"/>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4E0" w14:textId="3802EFC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EB62D8">
      <w:rPr>
        <w:rStyle w:val="PageNumber"/>
        <w:rFonts w:ascii="Arial" w:hAnsi="Arial" w:cs="Arial"/>
        <w:noProof/>
      </w:rPr>
      <w:t>3</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582D97D6" w:rsidR="00FC7ABA" w:rsidRDefault="00E35364" w:rsidP="00FC7ABA">
    <w:pPr>
      <w:pStyle w:val="Header"/>
      <w:jc w:val="center"/>
      <w:rPr>
        <w:rFonts w:ascii="Arial" w:hAnsi="Arial" w:cs="Arial"/>
        <w:b/>
        <w:snapToGrid w:val="0"/>
        <w:lang w:eastAsia="en-US"/>
      </w:rPr>
    </w:pPr>
    <w:r>
      <w:rPr>
        <w:rFonts w:ascii="Arial" w:hAnsi="Arial" w:cs="Arial"/>
        <w:b/>
        <w:snapToGrid w:val="0"/>
        <w:lang w:eastAsia="en-US"/>
      </w:rPr>
      <w:t>DECEMBER</w:t>
    </w:r>
    <w:r w:rsidR="00FC7ABA" w:rsidRPr="000F553F">
      <w:rPr>
        <w:rFonts w:ascii="Arial" w:hAnsi="Arial" w:cs="Arial"/>
        <w:b/>
        <w:snapToGrid w:val="0"/>
        <w:lang w:eastAsia="en-US"/>
      </w:rPr>
      <w:t xml:space="preserve"> </w:t>
    </w:r>
    <w:r>
      <w:rPr>
        <w:rFonts w:ascii="Arial" w:hAnsi="Arial" w:cs="Arial"/>
        <w:b/>
        <w:snapToGrid w:val="0"/>
        <w:lang w:eastAsia="en-US"/>
      </w:rPr>
      <w:t xml:space="preserve">2021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3F165E09" w14:textId="69690570" w:rsidR="00D9667E" w:rsidRDefault="00617035" w:rsidP="00FC7ABA">
    <w:pPr>
      <w:pStyle w:val="Header"/>
      <w:jc w:val="center"/>
      <w:rPr>
        <w:rFonts w:ascii="Arial" w:hAnsi="Arial" w:cs="Arial"/>
        <w:b/>
        <w:snapToGrid w:val="0"/>
        <w:lang w:eastAsia="en-US"/>
      </w:rPr>
    </w:pPr>
    <w:r>
      <w:rPr>
        <w:rFonts w:ascii="Arial" w:hAnsi="Arial" w:cs="Arial"/>
        <w:b/>
        <w:snapToGrid w:val="0"/>
        <w:lang w:eastAsia="en-US"/>
      </w:rPr>
      <w:t>O</w:t>
    </w:r>
    <w:r w:rsidRPr="00617035">
      <w:rPr>
        <w:rFonts w:ascii="Arial" w:hAnsi="Arial" w:cs="Arial"/>
        <w:b/>
        <w:snapToGrid w:val="0"/>
        <w:lang w:eastAsia="en-US"/>
      </w:rPr>
      <w:t>nly submission-related items are included on the intracycle web agenda.</w:t>
    </w:r>
  </w:p>
  <w:p w14:paraId="0E3437EA" w14:textId="1BA6704A" w:rsidR="00D9667E" w:rsidRDefault="001C6492" w:rsidP="00FC7ABA">
    <w:pPr>
      <w:pStyle w:val="Header"/>
      <w:jc w:val="center"/>
      <w:rPr>
        <w:rFonts w:ascii="Arial" w:hAnsi="Arial" w:cs="Arial"/>
        <w:b/>
        <w:snapToGrid w:val="0"/>
        <w:lang w:eastAsia="en-US"/>
      </w:rPr>
    </w:pPr>
    <w:r>
      <w:rPr>
        <w:rFonts w:ascii="Arial" w:hAnsi="Arial" w:cs="Arial"/>
        <w:b/>
        <w:snapToGrid w:val="0"/>
        <w:lang w:eastAsia="en-US"/>
      </w:rPr>
      <w:t>Please note</w:t>
    </w:r>
    <w:r w:rsidR="00AE59F9">
      <w:rPr>
        <w:rFonts w:ascii="Arial" w:hAnsi="Arial" w:cs="Arial"/>
        <w:b/>
        <w:snapToGrid w:val="0"/>
        <w:lang w:eastAsia="en-US"/>
      </w:rPr>
      <w:t xml:space="preserve"> that items</w:t>
    </w:r>
    <w:r w:rsidR="00D9667E">
      <w:rPr>
        <w:rFonts w:ascii="Arial" w:hAnsi="Arial" w:cs="Arial"/>
        <w:b/>
        <w:snapToGrid w:val="0"/>
        <w:lang w:eastAsia="en-US"/>
      </w:rPr>
      <w:t xml:space="preserve"> </w:t>
    </w:r>
    <w:r w:rsidR="00371C7B">
      <w:rPr>
        <w:rFonts w:ascii="Arial" w:hAnsi="Arial" w:cs="Arial"/>
        <w:b/>
        <w:snapToGrid w:val="0"/>
        <w:lang w:eastAsia="en-US"/>
      </w:rPr>
      <w:t>in this agenda</w:t>
    </w:r>
    <w:r w:rsidR="00D9667E">
      <w:rPr>
        <w:rFonts w:ascii="Arial" w:hAnsi="Arial" w:cs="Arial"/>
        <w:b/>
        <w:snapToGrid w:val="0"/>
        <w:lang w:eastAsia="en-US"/>
      </w:rPr>
      <w:t xml:space="preserve"> are subject to change</w:t>
    </w:r>
    <w:r w:rsidR="00CE535A">
      <w:rPr>
        <w:rFonts w:ascii="Arial" w:hAnsi="Arial" w:cs="Arial"/>
        <w:b/>
        <w:snapToGrid w:val="0"/>
        <w:lang w:eastAsia="en-US"/>
      </w:rPr>
      <w:t xml:space="preserve"> at short notice</w:t>
    </w:r>
    <w:r>
      <w:rPr>
        <w:rFonts w:ascii="Arial" w:hAnsi="Arial" w:cs="Arial"/>
        <w:b/>
        <w:snapToGrid w:val="0"/>
        <w:lang w:eastAsia="en-US"/>
      </w:rPr>
      <w:t>.</w:t>
    </w:r>
  </w:p>
  <w:p w14:paraId="4C0CB63D" w14:textId="77777777" w:rsidR="00D9667E" w:rsidRPr="00FC7ABA" w:rsidRDefault="00D9667E" w:rsidP="00FC7ABA">
    <w:pPr>
      <w:pStyle w:val="Header"/>
      <w:jc w:val="center"/>
      <w:rPr>
        <w:rFonts w:ascii="Arial" w:hAnsi="Arial" w:cs="Arial"/>
        <w:b/>
        <w:snapToGrid w:val="0"/>
        <w:lang w:eastAsia="en-US"/>
      </w:rPr>
    </w:pPr>
  </w:p>
  <w:p w14:paraId="65F9B2BC" w14:textId="77777777" w:rsidR="00B16955" w:rsidRPr="00746D5F" w:rsidRDefault="00B16955" w:rsidP="00864788">
    <w:pPr>
      <w:pStyle w:val="Header"/>
      <w:jc w:val="center"/>
      <w:rPr>
        <w:rFonts w:ascii="Arial" w:hAnsi="Arial" w:cs="Arial"/>
        <w:b/>
        <w:snapToGrid w:val="0"/>
        <w:color w:val="00B050"/>
        <w:lang w:eastAsia="en-US"/>
      </w:rPr>
    </w:pPr>
  </w:p>
  <w:p w14:paraId="21601DC0" w14:textId="77777777" w:rsidR="006171B3" w:rsidRPr="005B28AA" w:rsidRDefault="006171B3"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17"/>
  </w:num>
  <w:num w:numId="4">
    <w:abstractNumId w:val="10"/>
  </w:num>
  <w:num w:numId="5">
    <w:abstractNumId w:val="6"/>
  </w:num>
  <w:num w:numId="6">
    <w:abstractNumId w:val="1"/>
  </w:num>
  <w:num w:numId="7">
    <w:abstractNumId w:val="1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3"/>
  </w:num>
  <w:num w:numId="12">
    <w:abstractNumId w:val="2"/>
  </w:num>
  <w:num w:numId="13">
    <w:abstractNumId w:val="14"/>
  </w:num>
  <w:num w:numId="14">
    <w:abstractNumId w:val="13"/>
  </w:num>
  <w:num w:numId="15">
    <w:abstractNumId w:val="16"/>
  </w:num>
  <w:num w:numId="16">
    <w:abstractNumId w:val="15"/>
  </w:num>
  <w:num w:numId="17">
    <w:abstractNumId w:val="11"/>
  </w:num>
  <w:num w:numId="18">
    <w:abstractNumId w:val="5"/>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0DD8"/>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1057"/>
    <w:rsid w:val="002212CB"/>
    <w:rsid w:val="00221B4C"/>
    <w:rsid w:val="002226A9"/>
    <w:rsid w:val="0022277E"/>
    <w:rsid w:val="00223034"/>
    <w:rsid w:val="00223614"/>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3E0"/>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1D82"/>
    <w:rsid w:val="005F2705"/>
    <w:rsid w:val="005F2ABB"/>
    <w:rsid w:val="005F3375"/>
    <w:rsid w:val="005F354A"/>
    <w:rsid w:val="005F5878"/>
    <w:rsid w:val="005F5EDB"/>
    <w:rsid w:val="005F74BD"/>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645"/>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FA"/>
    <w:rsid w:val="00AE59F9"/>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C7ABA"/>
    <w:rsid w:val="00FD02E4"/>
    <w:rsid w:val="00FD0A8B"/>
    <w:rsid w:val="00FD1512"/>
    <w:rsid w:val="00FD1AB4"/>
    <w:rsid w:val="00FD1AE1"/>
    <w:rsid w:val="00FD1DDF"/>
    <w:rsid w:val="00FD22B6"/>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76549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7893653">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5857">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122523">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0245282">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62251198">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34771106">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procedure-guidance/files/Procedure-guidance-for-listing-medicines-on-the-Pharmaceutical-Benefits-Scheme-v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682E-B252-43D3-920E-0E0B541E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2990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2021-12-02T05:50:00Z</dcterms:created>
  <dcterms:modified xsi:type="dcterms:W3CDTF">2021-12-02T05:50:00Z</dcterms:modified>
</cp:coreProperties>
</file>