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0A0713">
        <w:rPr>
          <w:sz w:val="24"/>
          <w:szCs w:val="24"/>
        </w:rPr>
        <w:t>8</w:t>
      </w:r>
      <w:r w:rsidR="00213EAC">
        <w:rPr>
          <w:sz w:val="24"/>
          <w:szCs w:val="24"/>
        </w:rPr>
        <w:t>7</w:t>
      </w:r>
      <w:r w:rsidR="000A0713">
        <w:rPr>
          <w:sz w:val="24"/>
          <w:szCs w:val="24"/>
        </w:rPr>
        <w:t>th</w:t>
      </w:r>
      <w:r w:rsidR="000A0713" w:rsidRPr="005F3EF0">
        <w:rPr>
          <w:sz w:val="24"/>
          <w:szCs w:val="24"/>
        </w:rPr>
        <w:t xml:space="preserve"> </w:t>
      </w:r>
      <w:r w:rsidRPr="005F3EF0">
        <w:rPr>
          <w:sz w:val="24"/>
          <w:szCs w:val="24"/>
        </w:rPr>
        <w:t xml:space="preserve">meeting on </w:t>
      </w:r>
      <w:r w:rsidR="00213EAC">
        <w:rPr>
          <w:sz w:val="24"/>
          <w:szCs w:val="24"/>
        </w:rPr>
        <w:t>3 June </w:t>
      </w:r>
      <w:r w:rsidR="000F7CE1">
        <w:rPr>
          <w:sz w:val="24"/>
          <w:szCs w:val="24"/>
        </w:rPr>
        <w:t>201</w:t>
      </w:r>
      <w:r w:rsidR="00CA78D9">
        <w:rPr>
          <w:sz w:val="24"/>
          <w:szCs w:val="24"/>
        </w:rPr>
        <w:t>6</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1071DA" w:rsidP="008B6946">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463497">
        <w:rPr>
          <w:sz w:val="24"/>
          <w:szCs w:val="24"/>
        </w:rPr>
        <w:t xml:space="preserve">noted that </w:t>
      </w:r>
      <w:r w:rsidR="008909B5">
        <w:rPr>
          <w:sz w:val="24"/>
          <w:szCs w:val="24"/>
        </w:rPr>
        <w:t>22</w:t>
      </w:r>
      <w:r w:rsidRPr="00463497">
        <w:rPr>
          <w:sz w:val="24"/>
          <w:szCs w:val="24"/>
        </w:rPr>
        <w:t xml:space="preserve"> major submissions</w:t>
      </w:r>
      <w:r>
        <w:rPr>
          <w:sz w:val="24"/>
          <w:szCs w:val="24"/>
        </w:rPr>
        <w:t xml:space="preserve"> had been received for the </w:t>
      </w:r>
      <w:r w:rsidR="00213EAC">
        <w:rPr>
          <w:sz w:val="24"/>
          <w:szCs w:val="24"/>
        </w:rPr>
        <w:t>July </w:t>
      </w:r>
      <w:r w:rsidR="00CA78D9">
        <w:rPr>
          <w:sz w:val="24"/>
          <w:szCs w:val="24"/>
        </w:rPr>
        <w:t>2016</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213EAC">
        <w:rPr>
          <w:sz w:val="24"/>
          <w:szCs w:val="24"/>
        </w:rPr>
        <w:t>July </w:t>
      </w:r>
      <w:r w:rsidR="002522B2">
        <w:rPr>
          <w:sz w:val="24"/>
          <w:szCs w:val="24"/>
        </w:rPr>
        <w:t>2016</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p>
    <w:p w:rsidR="00F77C55" w:rsidRDefault="00B0144A" w:rsidP="008B6946">
      <w:pPr>
        <w:rPr>
          <w:sz w:val="24"/>
          <w:szCs w:val="24"/>
        </w:rPr>
      </w:pPr>
      <w:r>
        <w:rPr>
          <w:sz w:val="24"/>
          <w:szCs w:val="24"/>
        </w:rPr>
        <w:t>All reports, Sponsor comments and DUSC consideration of the reports are subsequently provided to the PBAC.</w:t>
      </w:r>
      <w:r w:rsidR="00FA149F">
        <w:rPr>
          <w:sz w:val="24"/>
          <w:szCs w:val="24"/>
        </w:rPr>
        <w:t xml:space="preserve"> </w:t>
      </w:r>
    </w:p>
    <w:p w:rsidR="00FD755C" w:rsidRDefault="00FD755C" w:rsidP="008B6946">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0"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213EAC">
        <w:rPr>
          <w:sz w:val="24"/>
          <w:szCs w:val="24"/>
        </w:rPr>
        <w:t>June </w:t>
      </w:r>
      <w:r w:rsidR="00CA78D9">
        <w:rPr>
          <w:sz w:val="24"/>
          <w:szCs w:val="24"/>
        </w:rPr>
        <w:t>2016</w:t>
      </w:r>
      <w:r w:rsidRPr="00CA347D">
        <w:rPr>
          <w:sz w:val="24"/>
          <w:szCs w:val="24"/>
        </w:rPr>
        <w:t>:</w:t>
      </w:r>
    </w:p>
    <w:p w:rsidR="00101877" w:rsidRDefault="00101877" w:rsidP="008B6946">
      <w:pPr>
        <w:rPr>
          <w:sz w:val="24"/>
          <w:szCs w:val="24"/>
        </w:rPr>
      </w:pPr>
    </w:p>
    <w:p w:rsidR="00CA78D9" w:rsidRDefault="00213EAC" w:rsidP="00775851">
      <w:pPr>
        <w:pStyle w:val="Heading3"/>
      </w:pPr>
      <w:r w:rsidRPr="00213EAC">
        <w:t>Medicines for the treatment of prostate cancer</w:t>
      </w:r>
    </w:p>
    <w:p w:rsidR="00213EAC" w:rsidRPr="00EC7AD6" w:rsidRDefault="00213EAC" w:rsidP="008B6946">
      <w:pPr>
        <w:rPr>
          <w:sz w:val="24"/>
          <w:szCs w:val="24"/>
        </w:rPr>
      </w:pPr>
    </w:p>
    <w:p w:rsidR="00EC7AD6" w:rsidRDefault="00EC7AD6" w:rsidP="00EC7AD6">
      <w:pPr>
        <w:rPr>
          <w:sz w:val="24"/>
          <w:szCs w:val="24"/>
        </w:rPr>
      </w:pPr>
      <w:r w:rsidRPr="00EC7AD6">
        <w:rPr>
          <w:sz w:val="24"/>
          <w:szCs w:val="24"/>
        </w:rPr>
        <w:t>The total number of patients receiving a medicine subsidised for use in the post-docetaxel metastatic castration resistant prostate cancer (mCRPC) setting had increased substantially from 1,418 patients in 2013 to 4,165 patients in 2015. The number of patients treated was higher than predicted.</w:t>
      </w:r>
    </w:p>
    <w:p w:rsidR="00EC7AD6" w:rsidRPr="00EC7AD6" w:rsidRDefault="00EC7AD6" w:rsidP="00EC7AD6">
      <w:pPr>
        <w:rPr>
          <w:sz w:val="24"/>
          <w:szCs w:val="24"/>
        </w:rPr>
      </w:pPr>
    </w:p>
    <w:p w:rsidR="00EC7AD6" w:rsidRPr="00EC7AD6" w:rsidRDefault="00EC7AD6" w:rsidP="00EC7AD6">
      <w:pPr>
        <w:rPr>
          <w:sz w:val="24"/>
          <w:szCs w:val="24"/>
        </w:rPr>
      </w:pPr>
      <w:r w:rsidRPr="00EC7AD6">
        <w:rPr>
          <w:sz w:val="24"/>
          <w:szCs w:val="24"/>
        </w:rPr>
        <w:t xml:space="preserve">The </w:t>
      </w:r>
      <w:proofErr w:type="spellStart"/>
      <w:r w:rsidR="0003541E">
        <w:rPr>
          <w:sz w:val="24"/>
          <w:szCs w:val="24"/>
        </w:rPr>
        <w:t>mCPRC</w:t>
      </w:r>
      <w:proofErr w:type="spellEnd"/>
      <w:r w:rsidR="0003541E">
        <w:rPr>
          <w:sz w:val="24"/>
          <w:szCs w:val="24"/>
        </w:rPr>
        <w:t xml:space="preserve"> treatment paradigm</w:t>
      </w:r>
      <w:r w:rsidRPr="00EC7AD6">
        <w:rPr>
          <w:sz w:val="24"/>
          <w:szCs w:val="24"/>
        </w:rPr>
        <w:t xml:space="preserve"> is evolving. The therapy received by patients has changed when comparing patients who initiate</w:t>
      </w:r>
      <w:r w:rsidR="00A75CE9">
        <w:rPr>
          <w:sz w:val="24"/>
          <w:szCs w:val="24"/>
        </w:rPr>
        <w:t>d</w:t>
      </w:r>
      <w:r w:rsidRPr="00EC7AD6">
        <w:rPr>
          <w:sz w:val="24"/>
          <w:szCs w:val="24"/>
        </w:rPr>
        <w:t xml:space="preserve"> a PBS listing for mCRPC in 2013 versus 2015. Not all of the patterns of use </w:t>
      </w:r>
      <w:r w:rsidR="0003541E">
        <w:rPr>
          <w:sz w:val="24"/>
          <w:szCs w:val="24"/>
        </w:rPr>
        <w:t>were consistent with</w:t>
      </w:r>
      <w:r w:rsidR="0003541E" w:rsidRPr="00EC7AD6">
        <w:rPr>
          <w:sz w:val="24"/>
          <w:szCs w:val="24"/>
        </w:rPr>
        <w:t xml:space="preserve"> </w:t>
      </w:r>
      <w:r w:rsidRPr="00EC7AD6">
        <w:rPr>
          <w:sz w:val="24"/>
          <w:szCs w:val="24"/>
        </w:rPr>
        <w:t>the current PBS restrictions.</w:t>
      </w:r>
    </w:p>
    <w:p w:rsidR="00EC7AD6" w:rsidRPr="00EC7AD6" w:rsidRDefault="00EC7AD6" w:rsidP="00EC7AD6">
      <w:pPr>
        <w:rPr>
          <w:sz w:val="24"/>
          <w:szCs w:val="24"/>
        </w:rPr>
      </w:pPr>
    </w:p>
    <w:p w:rsidR="00EC7AD6" w:rsidRPr="00EC7AD6" w:rsidRDefault="00EC7AD6" w:rsidP="00EC7AD6">
      <w:pPr>
        <w:rPr>
          <w:sz w:val="24"/>
          <w:szCs w:val="24"/>
        </w:rPr>
      </w:pPr>
      <w:r w:rsidRPr="00EC7AD6">
        <w:rPr>
          <w:sz w:val="24"/>
          <w:szCs w:val="24"/>
        </w:rPr>
        <w:t>Factors which may be involved in the chang</w:t>
      </w:r>
      <w:r w:rsidR="0003541E">
        <w:rPr>
          <w:sz w:val="24"/>
          <w:szCs w:val="24"/>
        </w:rPr>
        <w:t>ing treatment paradigm</w:t>
      </w:r>
      <w:r w:rsidRPr="00EC7AD6">
        <w:rPr>
          <w:sz w:val="24"/>
          <w:szCs w:val="24"/>
        </w:rPr>
        <w:t xml:space="preserve"> include </w:t>
      </w:r>
      <w:r w:rsidR="0003541E">
        <w:rPr>
          <w:sz w:val="24"/>
          <w:szCs w:val="24"/>
        </w:rPr>
        <w:t>expanding</w:t>
      </w:r>
      <w:r w:rsidR="006946E1" w:rsidRPr="00EC7AD6">
        <w:rPr>
          <w:sz w:val="24"/>
          <w:szCs w:val="24"/>
        </w:rPr>
        <w:t xml:space="preserve"> </w:t>
      </w:r>
      <w:r w:rsidRPr="00EC7AD6">
        <w:rPr>
          <w:sz w:val="24"/>
          <w:szCs w:val="24"/>
        </w:rPr>
        <w:t xml:space="preserve">treatment options, the </w:t>
      </w:r>
      <w:r w:rsidR="006946E1">
        <w:rPr>
          <w:sz w:val="24"/>
          <w:szCs w:val="24"/>
        </w:rPr>
        <w:t>regulatory approval</w:t>
      </w:r>
      <w:r w:rsidRPr="00EC7AD6">
        <w:rPr>
          <w:sz w:val="24"/>
          <w:szCs w:val="24"/>
        </w:rPr>
        <w:t xml:space="preserve"> for the use of abiraterone and enzalutamide in chemotherapy naïve CRPC patients, and emerging trial evidence investigating hormonal therapies </w:t>
      </w:r>
      <w:r w:rsidR="00CA6D48">
        <w:rPr>
          <w:sz w:val="24"/>
          <w:szCs w:val="24"/>
        </w:rPr>
        <w:t>as</w:t>
      </w:r>
      <w:r w:rsidRPr="00EC7AD6">
        <w:rPr>
          <w:sz w:val="24"/>
          <w:szCs w:val="24"/>
        </w:rPr>
        <w:t xml:space="preserve"> an alternative or additive to chemotherapy.</w:t>
      </w:r>
    </w:p>
    <w:p w:rsidR="00EC7AD6" w:rsidRPr="00EC7AD6" w:rsidRDefault="00EC7AD6" w:rsidP="00EC7AD6">
      <w:pPr>
        <w:rPr>
          <w:sz w:val="24"/>
          <w:szCs w:val="24"/>
        </w:rPr>
      </w:pPr>
    </w:p>
    <w:p w:rsidR="00F45B22" w:rsidRPr="00FA1200" w:rsidRDefault="00F45B22" w:rsidP="00FA1200">
      <w:pPr>
        <w:rPr>
          <w:sz w:val="24"/>
          <w:szCs w:val="24"/>
        </w:rPr>
      </w:pPr>
      <w:r w:rsidRPr="00F45B22">
        <w:rPr>
          <w:sz w:val="24"/>
          <w:szCs w:val="24"/>
        </w:rPr>
        <w:t>The DUSC requested that the report be provided to the PBAC.</w:t>
      </w:r>
    </w:p>
    <w:p w:rsidR="00FA1200" w:rsidRDefault="00FA1200" w:rsidP="008B6946">
      <w:pPr>
        <w:rPr>
          <w:b/>
          <w:sz w:val="24"/>
          <w:szCs w:val="24"/>
        </w:rPr>
      </w:pPr>
    </w:p>
    <w:p w:rsidR="00CA78D9" w:rsidRDefault="00213EAC" w:rsidP="00775851">
      <w:pPr>
        <w:pStyle w:val="Heading3"/>
      </w:pPr>
      <w:r>
        <w:t>Novel oral anticoagulants for prevention of stroke or systemic embolism in non-valvular atrial fibrillation</w:t>
      </w:r>
    </w:p>
    <w:p w:rsidR="00FA1200" w:rsidRDefault="00FA1200" w:rsidP="00FA1200">
      <w:pPr>
        <w:rPr>
          <w:sz w:val="24"/>
          <w:szCs w:val="24"/>
        </w:rPr>
      </w:pPr>
    </w:p>
    <w:p w:rsidR="00AC6543" w:rsidRPr="00AC6543" w:rsidRDefault="00AC6543" w:rsidP="00AC6543">
      <w:pPr>
        <w:rPr>
          <w:sz w:val="24"/>
          <w:szCs w:val="24"/>
        </w:rPr>
      </w:pPr>
      <w:r w:rsidRPr="00AC6543">
        <w:rPr>
          <w:sz w:val="24"/>
          <w:szCs w:val="24"/>
        </w:rPr>
        <w:t xml:space="preserve">In the first year of listing, the predicted numbers of patients and prescriptions for novel oral anticoagulants (NOACs) in non-valvular atrial fibrillation (NVAF) were overestimated. In the second year of listing, the actual numbers of patients and prescriptions were both close to predicted. In 2015, there were 1,604,242 PBS subsidised novel oral anticoagulants (NOACs) prescriptions supplied for 188,130 patients for use in non-valvular atrial fibrillation (NVAF). For 72,484 of those patients, it was their first NOAC prescription. </w:t>
      </w:r>
    </w:p>
    <w:p w:rsidR="00AC6543" w:rsidRPr="00AC6543" w:rsidRDefault="00AC6543" w:rsidP="00AC6543">
      <w:pPr>
        <w:rPr>
          <w:sz w:val="24"/>
          <w:szCs w:val="24"/>
        </w:rPr>
      </w:pPr>
    </w:p>
    <w:p w:rsidR="00AC6543" w:rsidRPr="00AC6543" w:rsidRDefault="00AC6543" w:rsidP="00AC6543">
      <w:pPr>
        <w:rPr>
          <w:sz w:val="24"/>
          <w:szCs w:val="24"/>
        </w:rPr>
      </w:pPr>
      <w:r w:rsidRPr="00AC6543">
        <w:rPr>
          <w:sz w:val="24"/>
          <w:szCs w:val="24"/>
        </w:rPr>
        <w:t>Based on the volume of prescriptions, NOACs contributed to an overall growth in the anticoagulant market since their listing on the PBS for NVAF. The use of warfarin has declined since then.</w:t>
      </w:r>
    </w:p>
    <w:p w:rsidR="00AC6543" w:rsidRDefault="00AC6543" w:rsidP="008B6946">
      <w:pPr>
        <w:rPr>
          <w:sz w:val="24"/>
          <w:szCs w:val="24"/>
        </w:rPr>
      </w:pPr>
    </w:p>
    <w:p w:rsidR="00F45B22" w:rsidRPr="00F45B22" w:rsidRDefault="00F45B22" w:rsidP="008B6946">
      <w:pPr>
        <w:rPr>
          <w:sz w:val="24"/>
          <w:szCs w:val="24"/>
        </w:rPr>
      </w:pPr>
      <w:r w:rsidRPr="00F45B22">
        <w:rPr>
          <w:sz w:val="24"/>
          <w:szCs w:val="24"/>
        </w:rPr>
        <w:t>The DUSC requested that the report be provided to the PBAC</w:t>
      </w:r>
      <w:bookmarkStart w:id="0" w:name="_GoBack"/>
      <w:bookmarkEnd w:id="0"/>
      <w:r w:rsidRPr="00F45B22">
        <w:rPr>
          <w:sz w:val="24"/>
          <w:szCs w:val="24"/>
        </w:rPr>
        <w:t>.</w:t>
      </w:r>
    </w:p>
    <w:p w:rsidR="00F45B22" w:rsidRDefault="00F45B22" w:rsidP="008B6946">
      <w:pPr>
        <w:rPr>
          <w:b/>
          <w:sz w:val="24"/>
          <w:szCs w:val="24"/>
        </w:rPr>
      </w:pPr>
    </w:p>
    <w:p w:rsidR="00213EAC" w:rsidRDefault="00213EAC" w:rsidP="00775851">
      <w:pPr>
        <w:pStyle w:val="Heading3"/>
      </w:pPr>
      <w:r>
        <w:t xml:space="preserve">Medicines for the treatment of glaucoma </w:t>
      </w:r>
    </w:p>
    <w:p w:rsidR="00213EAC" w:rsidRDefault="00213EAC" w:rsidP="00213EAC">
      <w:pPr>
        <w:rPr>
          <w:sz w:val="24"/>
          <w:szCs w:val="24"/>
        </w:rPr>
      </w:pPr>
    </w:p>
    <w:p w:rsidR="009C5FCE" w:rsidRPr="009C5FCE" w:rsidRDefault="009C5FCE" w:rsidP="009C5FCE">
      <w:pPr>
        <w:rPr>
          <w:sz w:val="24"/>
          <w:szCs w:val="24"/>
        </w:rPr>
      </w:pPr>
      <w:r w:rsidRPr="009C5FCE">
        <w:rPr>
          <w:sz w:val="24"/>
          <w:szCs w:val="24"/>
        </w:rPr>
        <w:t xml:space="preserve">The number of PBS and RPBS prescriptions for glaucoma medicines increased steadily between 2004 and 2015. Over 4.3 million prescriptions were supplied in 2015. Supply of fixed dose combination (FDC) products as a proportion of </w:t>
      </w:r>
      <w:r w:rsidR="00CA6D48">
        <w:rPr>
          <w:sz w:val="24"/>
          <w:szCs w:val="24"/>
        </w:rPr>
        <w:t xml:space="preserve">all </w:t>
      </w:r>
      <w:r w:rsidRPr="009C5FCE">
        <w:rPr>
          <w:sz w:val="24"/>
          <w:szCs w:val="24"/>
        </w:rPr>
        <w:t xml:space="preserve">glaucoma medicines increased from 9% in 2004 to 30% in 2015; there were over one million more FDC prescriptions supplied in 2015 </w:t>
      </w:r>
      <w:r w:rsidR="00CA6D48">
        <w:rPr>
          <w:sz w:val="24"/>
          <w:szCs w:val="24"/>
        </w:rPr>
        <w:t>than in</w:t>
      </w:r>
      <w:r w:rsidRPr="009C5FCE">
        <w:rPr>
          <w:sz w:val="24"/>
          <w:szCs w:val="24"/>
        </w:rPr>
        <w:t xml:space="preserve"> 2004. While the majority of patients who start a glaucoma medicine do so with a single ingredient medicine, a small, but increasing group of people appear to be starting treatment with a FDC product.</w:t>
      </w:r>
    </w:p>
    <w:p w:rsidR="009C5FCE" w:rsidRPr="009C5FCE" w:rsidRDefault="009C5FCE" w:rsidP="009C5FCE">
      <w:pPr>
        <w:rPr>
          <w:sz w:val="24"/>
          <w:szCs w:val="24"/>
        </w:rPr>
      </w:pPr>
    </w:p>
    <w:p w:rsidR="009C5FCE" w:rsidRDefault="009C5FCE" w:rsidP="009C5FCE">
      <w:pPr>
        <w:rPr>
          <w:sz w:val="24"/>
          <w:szCs w:val="24"/>
        </w:rPr>
      </w:pPr>
      <w:r w:rsidRPr="009C5FCE">
        <w:rPr>
          <w:sz w:val="24"/>
          <w:szCs w:val="24"/>
        </w:rPr>
        <w:t>DUSC suggested that advice be sought from the Royal Australian and New Zealand College of Ophthalmologists (RANZCO) and Optometry Australia on the current treatment algorithm for glaucoma, including pharmacological and non-pharmacological treatments, changes in the surrogate outcome of intraocular pressure targets, and use of outcomes such as visual field loss.</w:t>
      </w:r>
    </w:p>
    <w:p w:rsidR="009C5FCE" w:rsidRPr="009C5FCE" w:rsidRDefault="009C5FCE" w:rsidP="009C5FCE">
      <w:pPr>
        <w:rPr>
          <w:sz w:val="24"/>
          <w:szCs w:val="24"/>
        </w:rPr>
      </w:pPr>
    </w:p>
    <w:p w:rsidR="00213EAC" w:rsidRDefault="00213EAC" w:rsidP="00213EAC">
      <w:pPr>
        <w:rPr>
          <w:sz w:val="24"/>
          <w:szCs w:val="24"/>
        </w:rPr>
      </w:pPr>
      <w:r w:rsidRPr="00F45B22">
        <w:rPr>
          <w:sz w:val="24"/>
          <w:szCs w:val="24"/>
        </w:rPr>
        <w:t>The DUSC requested that the report be provided to the PBAC.</w:t>
      </w:r>
    </w:p>
    <w:p w:rsidR="00213EAC" w:rsidRDefault="00213EAC" w:rsidP="00213EAC">
      <w:pPr>
        <w:rPr>
          <w:sz w:val="24"/>
          <w:szCs w:val="24"/>
        </w:rPr>
      </w:pPr>
    </w:p>
    <w:p w:rsidR="00213EAC" w:rsidRDefault="00213EAC" w:rsidP="00775851">
      <w:pPr>
        <w:pStyle w:val="Heading3"/>
      </w:pPr>
      <w:r>
        <w:t>Biological disease-modifying anti-rheumatic drugs (</w:t>
      </w:r>
      <w:proofErr w:type="spellStart"/>
      <w:r>
        <w:t>bDMARDs</w:t>
      </w:r>
      <w:proofErr w:type="spellEnd"/>
      <w:r>
        <w:t>) for ankylosing spondylitis</w:t>
      </w:r>
    </w:p>
    <w:p w:rsidR="00213EAC" w:rsidRDefault="00213EAC" w:rsidP="00213EAC">
      <w:pPr>
        <w:rPr>
          <w:sz w:val="24"/>
          <w:szCs w:val="24"/>
        </w:rPr>
      </w:pPr>
    </w:p>
    <w:p w:rsidR="00997DB5" w:rsidRDefault="00997DB5" w:rsidP="00997DB5">
      <w:pPr>
        <w:rPr>
          <w:sz w:val="24"/>
          <w:szCs w:val="24"/>
        </w:rPr>
      </w:pPr>
      <w:r>
        <w:rPr>
          <w:sz w:val="24"/>
          <w:szCs w:val="24"/>
        </w:rPr>
        <w:t xml:space="preserve">DUSC reviewed the use of bDMARDs for ankylosing spondylitis at the February 2016 meeting and found high and </w:t>
      </w:r>
      <w:r w:rsidRPr="00997DB5">
        <w:rPr>
          <w:sz w:val="24"/>
          <w:szCs w:val="24"/>
        </w:rPr>
        <w:t>increasing utilisation of</w:t>
      </w:r>
      <w:r>
        <w:rPr>
          <w:sz w:val="24"/>
          <w:szCs w:val="24"/>
        </w:rPr>
        <w:t xml:space="preserve"> these medicines.  A further analysis showed that t</w:t>
      </w:r>
      <w:r w:rsidRPr="00997DB5">
        <w:rPr>
          <w:sz w:val="24"/>
          <w:szCs w:val="24"/>
        </w:rPr>
        <w:t xml:space="preserve">he </w:t>
      </w:r>
      <w:proofErr w:type="spellStart"/>
      <w:r w:rsidRPr="00997DB5">
        <w:rPr>
          <w:sz w:val="24"/>
          <w:szCs w:val="24"/>
        </w:rPr>
        <w:t>male</w:t>
      </w:r>
      <w:proofErr w:type="gramStart"/>
      <w:r w:rsidRPr="00997DB5">
        <w:rPr>
          <w:sz w:val="24"/>
          <w:szCs w:val="24"/>
        </w:rPr>
        <w:t>:female</w:t>
      </w:r>
      <w:proofErr w:type="spellEnd"/>
      <w:proofErr w:type="gramEnd"/>
      <w:r w:rsidRPr="00997DB5">
        <w:rPr>
          <w:sz w:val="24"/>
          <w:szCs w:val="24"/>
        </w:rPr>
        <w:t xml:space="preserve"> ratio for patients treated with PBS subsidised </w:t>
      </w:r>
      <w:proofErr w:type="spellStart"/>
      <w:r w:rsidRPr="00997DB5">
        <w:rPr>
          <w:sz w:val="24"/>
          <w:szCs w:val="24"/>
        </w:rPr>
        <w:t>bDMARDS</w:t>
      </w:r>
      <w:proofErr w:type="spellEnd"/>
      <w:r w:rsidRPr="00997DB5">
        <w:rPr>
          <w:sz w:val="24"/>
          <w:szCs w:val="24"/>
        </w:rPr>
        <w:t xml:space="preserve"> for AS is declining over time. In 2005, the ratio was approximately 3.5:1 for initiating and prevalent patients. The ratios for initiating and prevalent patients decreased to 1.2:1 and 2:1 respectively by 2015.</w:t>
      </w:r>
    </w:p>
    <w:p w:rsidR="00997DB5" w:rsidRPr="00997DB5" w:rsidRDefault="00997DB5" w:rsidP="00997DB5">
      <w:pPr>
        <w:rPr>
          <w:sz w:val="24"/>
          <w:szCs w:val="24"/>
        </w:rPr>
      </w:pPr>
      <w:r w:rsidRPr="00997DB5">
        <w:rPr>
          <w:sz w:val="24"/>
          <w:szCs w:val="24"/>
        </w:rPr>
        <w:t xml:space="preserve"> </w:t>
      </w:r>
    </w:p>
    <w:p w:rsidR="00DB4645" w:rsidRDefault="00DB4645" w:rsidP="00997DB5">
      <w:pPr>
        <w:rPr>
          <w:sz w:val="24"/>
          <w:szCs w:val="24"/>
        </w:rPr>
      </w:pPr>
      <w:r w:rsidRPr="00DB4645">
        <w:rPr>
          <w:sz w:val="24"/>
          <w:szCs w:val="24"/>
        </w:rPr>
        <w:t xml:space="preserve">The declining gender ratio may in part be accounted for by increased or earlier diagnosis, and increased rates of treatment with bDMARDs for women with AS. </w:t>
      </w:r>
      <w:r>
        <w:rPr>
          <w:sz w:val="24"/>
          <w:szCs w:val="24"/>
        </w:rPr>
        <w:t>T</w:t>
      </w:r>
      <w:r w:rsidR="00997DB5">
        <w:rPr>
          <w:sz w:val="24"/>
          <w:szCs w:val="24"/>
        </w:rPr>
        <w:t>he changing M</w:t>
      </w:r>
      <w:proofErr w:type="gramStart"/>
      <w:r w:rsidR="00997DB5">
        <w:rPr>
          <w:sz w:val="24"/>
          <w:szCs w:val="24"/>
        </w:rPr>
        <w:t>:F</w:t>
      </w:r>
      <w:proofErr w:type="gramEnd"/>
      <w:r w:rsidR="00997DB5">
        <w:rPr>
          <w:sz w:val="24"/>
          <w:szCs w:val="24"/>
        </w:rPr>
        <w:t xml:space="preserve"> ratio is broadly consistent with </w:t>
      </w:r>
      <w:r>
        <w:rPr>
          <w:sz w:val="24"/>
          <w:szCs w:val="24"/>
        </w:rPr>
        <w:t xml:space="preserve">changing prevalence reported in the literature. DUSC considered that the </w:t>
      </w:r>
      <w:r w:rsidR="00997DB5">
        <w:rPr>
          <w:sz w:val="24"/>
          <w:szCs w:val="24"/>
        </w:rPr>
        <w:t xml:space="preserve">changing ratios in the literature are generally the result of inclusion of </w:t>
      </w:r>
      <w:r>
        <w:rPr>
          <w:sz w:val="24"/>
          <w:szCs w:val="24"/>
        </w:rPr>
        <w:t xml:space="preserve">patients with </w:t>
      </w:r>
      <w:r w:rsidR="00997DB5">
        <w:rPr>
          <w:sz w:val="24"/>
          <w:szCs w:val="24"/>
        </w:rPr>
        <w:t>non</w:t>
      </w:r>
      <w:r>
        <w:rPr>
          <w:sz w:val="24"/>
          <w:szCs w:val="24"/>
        </w:rPr>
        <w:noBreakHyphen/>
      </w:r>
      <w:r w:rsidR="00997DB5">
        <w:rPr>
          <w:sz w:val="24"/>
          <w:szCs w:val="24"/>
        </w:rPr>
        <w:t xml:space="preserve">radiographic </w:t>
      </w:r>
      <w:proofErr w:type="spellStart"/>
      <w:r w:rsidR="00997DB5">
        <w:rPr>
          <w:sz w:val="24"/>
          <w:szCs w:val="24"/>
        </w:rPr>
        <w:t>spondyloarthropathies</w:t>
      </w:r>
      <w:proofErr w:type="spellEnd"/>
      <w:r>
        <w:rPr>
          <w:sz w:val="24"/>
          <w:szCs w:val="24"/>
        </w:rPr>
        <w:t xml:space="preserve">. This group is not eligible for PBS subsidised bDMARD </w:t>
      </w:r>
      <w:r>
        <w:rPr>
          <w:sz w:val="24"/>
          <w:szCs w:val="24"/>
        </w:rPr>
        <w:lastRenderedPageBreak/>
        <w:t xml:space="preserve">treatment which requires evidence of Stage II </w:t>
      </w:r>
      <w:proofErr w:type="spellStart"/>
      <w:r>
        <w:rPr>
          <w:sz w:val="24"/>
          <w:szCs w:val="24"/>
        </w:rPr>
        <w:t>sacroiliitis</w:t>
      </w:r>
      <w:proofErr w:type="spellEnd"/>
      <w:r w:rsidR="00CA6D48">
        <w:rPr>
          <w:sz w:val="24"/>
          <w:szCs w:val="24"/>
        </w:rPr>
        <w:t xml:space="preserve"> </w:t>
      </w:r>
      <w:proofErr w:type="spellStart"/>
      <w:r w:rsidR="00CA6D48">
        <w:rPr>
          <w:sz w:val="24"/>
          <w:szCs w:val="24"/>
        </w:rPr>
        <w:t>or</w:t>
      </w:r>
      <w:r>
        <w:rPr>
          <w:sz w:val="24"/>
          <w:szCs w:val="24"/>
        </w:rPr>
        <w:t>radiographic</w:t>
      </w:r>
      <w:proofErr w:type="spellEnd"/>
      <w:r>
        <w:rPr>
          <w:sz w:val="24"/>
          <w:szCs w:val="24"/>
        </w:rPr>
        <w:t xml:space="preserve"> changes on </w:t>
      </w:r>
      <w:proofErr w:type="spellStart"/>
      <w:r>
        <w:rPr>
          <w:sz w:val="24"/>
          <w:szCs w:val="24"/>
        </w:rPr>
        <w:t>xray</w:t>
      </w:r>
      <w:proofErr w:type="spellEnd"/>
      <w:r>
        <w:rPr>
          <w:sz w:val="24"/>
          <w:szCs w:val="24"/>
        </w:rPr>
        <w:t>. DUSC noted that some differences in the reporting of sacroiliac joint involvement may occur.</w:t>
      </w:r>
    </w:p>
    <w:p w:rsidR="00DB4645" w:rsidRDefault="00DB4645" w:rsidP="00997DB5">
      <w:pPr>
        <w:rPr>
          <w:sz w:val="24"/>
          <w:szCs w:val="24"/>
        </w:rPr>
      </w:pPr>
    </w:p>
    <w:p w:rsidR="00213EAC" w:rsidRPr="00F45B22" w:rsidRDefault="00213EAC" w:rsidP="00997DB5">
      <w:pPr>
        <w:rPr>
          <w:sz w:val="24"/>
          <w:szCs w:val="24"/>
        </w:rPr>
      </w:pPr>
      <w:r w:rsidRPr="00F45B22">
        <w:rPr>
          <w:sz w:val="24"/>
          <w:szCs w:val="24"/>
        </w:rPr>
        <w:t xml:space="preserve">The DUSC requested that </w:t>
      </w:r>
      <w:r w:rsidR="00997DB5">
        <w:rPr>
          <w:sz w:val="24"/>
          <w:szCs w:val="24"/>
        </w:rPr>
        <w:t xml:space="preserve">comment be sought from the Australian Rheumatology Association and that </w:t>
      </w:r>
      <w:r w:rsidRPr="00F45B22">
        <w:rPr>
          <w:sz w:val="24"/>
          <w:szCs w:val="24"/>
        </w:rPr>
        <w:t>the report be provided to the PBAC.</w:t>
      </w:r>
    </w:p>
    <w:p w:rsidR="00213EAC" w:rsidRDefault="00213EAC" w:rsidP="00213EAC">
      <w:pPr>
        <w:rPr>
          <w:sz w:val="24"/>
          <w:szCs w:val="24"/>
        </w:rPr>
      </w:pPr>
    </w:p>
    <w:p w:rsidR="00775851" w:rsidRPr="00F45B22" w:rsidRDefault="00775851" w:rsidP="00213EAC">
      <w:pPr>
        <w:rPr>
          <w:sz w:val="24"/>
          <w:szCs w:val="24"/>
        </w:rPr>
      </w:pPr>
    </w:p>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237631" w:rsidRPr="00237631" w:rsidRDefault="00237631" w:rsidP="00775851">
      <w:pPr>
        <w:pStyle w:val="Heading3"/>
      </w:pPr>
      <w:r w:rsidRPr="00237631">
        <w:t>Predicted versus Actual Utilisation Analysis</w:t>
      </w:r>
      <w:r w:rsidR="002722F2">
        <w:t xml:space="preserve"> </w:t>
      </w:r>
    </w:p>
    <w:p w:rsidR="00602DC3" w:rsidRPr="00602DC3" w:rsidRDefault="00602DC3" w:rsidP="00602DC3">
      <w:pPr>
        <w:pStyle w:val="ListParagraph"/>
        <w:numPr>
          <w:ilvl w:val="0"/>
          <w:numId w:val="39"/>
        </w:numPr>
      </w:pPr>
      <w:proofErr w:type="spellStart"/>
      <w:r w:rsidRPr="00602DC3">
        <w:t>Rifaximin</w:t>
      </w:r>
      <w:proofErr w:type="spellEnd"/>
      <w:r w:rsidRPr="00602DC3">
        <w:t xml:space="preserve"> for preve</w:t>
      </w:r>
      <w:r>
        <w:t>ntion of hepatic encephalopathy</w:t>
      </w:r>
      <w:r w:rsidR="00933D66">
        <w:t>.</w:t>
      </w:r>
    </w:p>
    <w:p w:rsidR="00602DC3" w:rsidRPr="00602DC3" w:rsidRDefault="00602DC3" w:rsidP="00602DC3">
      <w:pPr>
        <w:pStyle w:val="ListParagraph"/>
        <w:numPr>
          <w:ilvl w:val="0"/>
          <w:numId w:val="39"/>
        </w:numPr>
      </w:pPr>
      <w:r w:rsidRPr="00602DC3">
        <w:t xml:space="preserve">Imatinib for </w:t>
      </w:r>
      <w:r>
        <w:t>gastrointestinal stromal tumour (extension of treatment duration from 1 to 3 years)</w:t>
      </w:r>
      <w:r w:rsidR="00933D66">
        <w:t>.</w:t>
      </w:r>
      <w:r w:rsidRPr="00602DC3">
        <w:t xml:space="preserve"> </w:t>
      </w:r>
    </w:p>
    <w:p w:rsidR="00EC7AD6" w:rsidRDefault="00EC7AD6" w:rsidP="00EC7AD6">
      <w:pPr>
        <w:pStyle w:val="ListParagraph"/>
        <w:numPr>
          <w:ilvl w:val="0"/>
          <w:numId w:val="39"/>
        </w:numPr>
        <w:contextualSpacing/>
      </w:pPr>
      <w:r>
        <w:t>Mifepristone and misoprostol f</w:t>
      </w:r>
      <w:r w:rsidR="00602DC3">
        <w:t>or the termination of pregnancy</w:t>
      </w:r>
      <w:r w:rsidR="00933D66">
        <w:t>.</w:t>
      </w:r>
    </w:p>
    <w:p w:rsidR="00EC7AD6" w:rsidRDefault="00EC7AD6" w:rsidP="00EC7AD6">
      <w:pPr>
        <w:pStyle w:val="ListParagraph"/>
        <w:numPr>
          <w:ilvl w:val="0"/>
          <w:numId w:val="39"/>
        </w:numPr>
        <w:contextualSpacing/>
      </w:pPr>
      <w:proofErr w:type="spellStart"/>
      <w:r>
        <w:t>Denosumab</w:t>
      </w:r>
      <w:proofErr w:type="spellEnd"/>
      <w:r>
        <w:t xml:space="preserve"> for osteoporosis, in</w:t>
      </w:r>
      <w:r w:rsidR="00602DC3">
        <w:t xml:space="preserve"> the context of the overall </w:t>
      </w:r>
      <w:r>
        <w:t>osteoporosis market.</w:t>
      </w:r>
    </w:p>
    <w:p w:rsidR="00EC7AD6" w:rsidRPr="00274F9B" w:rsidRDefault="00EC7AD6" w:rsidP="00EC7AD6">
      <w:pPr>
        <w:pStyle w:val="ListParagraph"/>
        <w:numPr>
          <w:ilvl w:val="0"/>
          <w:numId w:val="39"/>
        </w:numPr>
        <w:contextualSpacing/>
      </w:pPr>
      <w:proofErr w:type="spellStart"/>
      <w:r>
        <w:t>Voriconazole</w:t>
      </w:r>
      <w:proofErr w:type="spellEnd"/>
      <w:r>
        <w:t xml:space="preserve"> </w:t>
      </w:r>
      <w:r>
        <w:rPr>
          <w:color w:val="000000"/>
        </w:rPr>
        <w:t>for prophylaxis of fungal infections in certain high risk patients</w:t>
      </w:r>
      <w:r w:rsidR="00487B49">
        <w:rPr>
          <w:color w:val="000000"/>
        </w:rPr>
        <w:t>, in the context of the overall antifungal market</w:t>
      </w:r>
      <w:r>
        <w:rPr>
          <w:color w:val="000000"/>
        </w:rPr>
        <w:t>.</w:t>
      </w:r>
      <w:r w:rsidR="00602DC3">
        <w:rPr>
          <w:color w:val="000000"/>
        </w:rPr>
        <w:t xml:space="preserve"> </w:t>
      </w:r>
    </w:p>
    <w:p w:rsidR="00466242" w:rsidRDefault="00466242" w:rsidP="00466242">
      <w:pPr>
        <w:pStyle w:val="ListParagraph"/>
        <w:numPr>
          <w:ilvl w:val="0"/>
          <w:numId w:val="39"/>
        </w:numPr>
        <w:contextualSpacing/>
      </w:pPr>
      <w:proofErr w:type="spellStart"/>
      <w:r>
        <w:t>Erlotinib</w:t>
      </w:r>
      <w:proofErr w:type="spellEnd"/>
      <w:r>
        <w:t xml:space="preserve"> and </w:t>
      </w:r>
      <w:proofErr w:type="spellStart"/>
      <w:r>
        <w:t>gefitinib</w:t>
      </w:r>
      <w:proofErr w:type="spellEnd"/>
      <w:r>
        <w:t xml:space="preserve"> for </w:t>
      </w:r>
      <w:r w:rsidRPr="00274F9B">
        <w:t>Stage IIIB (locally advanced) or Stage IV (metastatic) non‐small cell lung cancer</w:t>
      </w:r>
      <w:r>
        <w:t>.</w:t>
      </w:r>
    </w:p>
    <w:p w:rsidR="00EC7AD6" w:rsidRDefault="00EC7AD6" w:rsidP="00EC7AD6">
      <w:pPr>
        <w:pStyle w:val="ListParagraph"/>
        <w:numPr>
          <w:ilvl w:val="0"/>
          <w:numId w:val="39"/>
        </w:numPr>
        <w:contextualSpacing/>
      </w:pPr>
      <w:proofErr w:type="spellStart"/>
      <w:r>
        <w:t>Everolimus</w:t>
      </w:r>
      <w:proofErr w:type="spellEnd"/>
      <w:r>
        <w:t xml:space="preserve"> for t</w:t>
      </w:r>
      <w:r w:rsidRPr="00274F9B">
        <w:t>uberous sclerosis complex</w:t>
      </w:r>
      <w:r w:rsidR="00933D66">
        <w:t>.</w:t>
      </w:r>
    </w:p>
    <w:p w:rsidR="00EC7AD6" w:rsidRDefault="00EC7AD6" w:rsidP="00EC7AD6">
      <w:pPr>
        <w:pStyle w:val="ListParagraph"/>
        <w:numPr>
          <w:ilvl w:val="0"/>
          <w:numId w:val="39"/>
        </w:numPr>
        <w:contextualSpacing/>
      </w:pPr>
      <w:r w:rsidRPr="00274F9B">
        <w:t>Botulinum Toxin Type A for treatment of adult</w:t>
      </w:r>
      <w:r>
        <w:t xml:space="preserve"> patients with chronic migraine.</w:t>
      </w:r>
      <w:r w:rsidR="00487B49">
        <w:t xml:space="preserve"> The Botox program became prescription based from 1 September 2015. The utilisation review will be undertaken when there is at least one year of prescription data available.</w:t>
      </w:r>
    </w:p>
    <w:p w:rsidR="004F083B" w:rsidRDefault="004F083B" w:rsidP="004F083B">
      <w:pPr>
        <w:pStyle w:val="ListParagraph"/>
        <w:autoSpaceDE w:val="0"/>
        <w:autoSpaceDN w:val="0"/>
        <w:adjustRightInd w:val="0"/>
        <w:contextualSpacing/>
        <w:rPr>
          <w:szCs w:val="24"/>
        </w:rPr>
      </w:pPr>
    </w:p>
    <w:p w:rsidR="007D29DA" w:rsidRPr="00235EF9" w:rsidRDefault="007D29DA" w:rsidP="00775851">
      <w:pPr>
        <w:pStyle w:val="Heading3"/>
      </w:pPr>
      <w:r w:rsidRPr="00235EF9">
        <w:t>Analysis of multiple medicines in a treatment area</w:t>
      </w:r>
    </w:p>
    <w:p w:rsidR="00DA5928" w:rsidRPr="003C7822" w:rsidRDefault="00EC7AD6" w:rsidP="00EC7AD6">
      <w:pPr>
        <w:pStyle w:val="ListParagraph"/>
        <w:numPr>
          <w:ilvl w:val="0"/>
          <w:numId w:val="39"/>
        </w:numPr>
        <w:autoSpaceDE w:val="0"/>
        <w:autoSpaceDN w:val="0"/>
        <w:adjustRightInd w:val="0"/>
        <w:contextualSpacing/>
        <w:rPr>
          <w:szCs w:val="24"/>
        </w:rPr>
      </w:pPr>
      <w:r w:rsidRPr="00075682">
        <w:t>Antipsychotic medicines, including a review of quetiapine following the change</w:t>
      </w:r>
      <w:r>
        <w:t xml:space="preserve"> to</w:t>
      </w:r>
      <w:r w:rsidRPr="00075682">
        <w:t xml:space="preserve"> the available number of repeats</w:t>
      </w:r>
      <w:r>
        <w:t xml:space="preserve"> of the 25 mg strength</w:t>
      </w:r>
      <w:r w:rsidRPr="00075682">
        <w:t>.</w:t>
      </w:r>
    </w:p>
    <w:p w:rsidR="003C7822" w:rsidRDefault="003C7822" w:rsidP="003C7822">
      <w:pPr>
        <w:pStyle w:val="ListParagraph"/>
        <w:numPr>
          <w:ilvl w:val="0"/>
          <w:numId w:val="39"/>
        </w:numPr>
        <w:rPr>
          <w:szCs w:val="24"/>
        </w:rPr>
      </w:pPr>
      <w:r w:rsidRPr="003C7822">
        <w:rPr>
          <w:szCs w:val="24"/>
        </w:rPr>
        <w:t xml:space="preserve">Testosterone, to assess </w:t>
      </w:r>
      <w:r w:rsidR="00E63B16">
        <w:rPr>
          <w:szCs w:val="24"/>
        </w:rPr>
        <w:t xml:space="preserve">the impact </w:t>
      </w:r>
      <w:r w:rsidR="00CA6D48">
        <w:rPr>
          <w:szCs w:val="24"/>
        </w:rPr>
        <w:t xml:space="preserve">on utilisation </w:t>
      </w:r>
      <w:r w:rsidR="00E63B16">
        <w:rPr>
          <w:szCs w:val="24"/>
        </w:rPr>
        <w:t xml:space="preserve">of </w:t>
      </w:r>
      <w:r w:rsidRPr="003C7822">
        <w:rPr>
          <w:szCs w:val="24"/>
        </w:rPr>
        <w:t>change</w:t>
      </w:r>
      <w:r w:rsidR="0037748E">
        <w:rPr>
          <w:szCs w:val="24"/>
        </w:rPr>
        <w:t>s</w:t>
      </w:r>
      <w:r w:rsidRPr="003C7822">
        <w:rPr>
          <w:szCs w:val="24"/>
        </w:rPr>
        <w:t xml:space="preserve"> </w:t>
      </w:r>
      <w:r w:rsidR="00602DC3">
        <w:rPr>
          <w:szCs w:val="24"/>
        </w:rPr>
        <w:t xml:space="preserve">to the </w:t>
      </w:r>
      <w:r w:rsidRPr="003C7822">
        <w:rPr>
          <w:szCs w:val="24"/>
        </w:rPr>
        <w:t>restriction</w:t>
      </w:r>
      <w:r w:rsidR="0037748E">
        <w:rPr>
          <w:szCs w:val="24"/>
        </w:rPr>
        <w:t>s</w:t>
      </w:r>
      <w:r w:rsidR="00602DC3">
        <w:rPr>
          <w:szCs w:val="24"/>
        </w:rPr>
        <w:t xml:space="preserve"> </w:t>
      </w:r>
      <w:r w:rsidR="00E63B16">
        <w:rPr>
          <w:szCs w:val="24"/>
        </w:rPr>
        <w:t xml:space="preserve">implemented </w:t>
      </w:r>
      <w:r w:rsidR="0037748E">
        <w:rPr>
          <w:szCs w:val="24"/>
        </w:rPr>
        <w:t>in April 2015</w:t>
      </w:r>
      <w:r w:rsidRPr="003C7822">
        <w:rPr>
          <w:szCs w:val="24"/>
        </w:rPr>
        <w:t>.</w:t>
      </w:r>
    </w:p>
    <w:p w:rsidR="00487B49" w:rsidRDefault="00487B49" w:rsidP="00487B49">
      <w:pPr>
        <w:pStyle w:val="ListParagraph"/>
        <w:numPr>
          <w:ilvl w:val="0"/>
          <w:numId w:val="39"/>
        </w:numPr>
        <w:rPr>
          <w:szCs w:val="24"/>
        </w:rPr>
      </w:pPr>
      <w:r w:rsidRPr="00487B49">
        <w:rPr>
          <w:szCs w:val="24"/>
        </w:rPr>
        <w:t>PBS medicines prescribed by authorised dental practitioners.</w:t>
      </w:r>
    </w:p>
    <w:p w:rsidR="003C7822" w:rsidRPr="00602DC3" w:rsidRDefault="003C7822" w:rsidP="00487B49">
      <w:pPr>
        <w:pStyle w:val="ListParagraph"/>
        <w:numPr>
          <w:ilvl w:val="0"/>
          <w:numId w:val="39"/>
        </w:numPr>
        <w:rPr>
          <w:szCs w:val="24"/>
        </w:rPr>
      </w:pPr>
      <w:r w:rsidRPr="003C7822">
        <w:rPr>
          <w:szCs w:val="24"/>
        </w:rPr>
        <w:t>Medicines for the treatment of diabetes.</w:t>
      </w:r>
    </w:p>
    <w:p w:rsidR="003C7822" w:rsidRPr="003C7822" w:rsidRDefault="003C7822" w:rsidP="003C7822">
      <w:pPr>
        <w:autoSpaceDE w:val="0"/>
        <w:autoSpaceDN w:val="0"/>
        <w:adjustRightInd w:val="0"/>
        <w:ind w:left="360"/>
        <w:contextualSpacing/>
        <w:rPr>
          <w:szCs w:val="24"/>
        </w:rPr>
      </w:pPr>
    </w:p>
    <w:p w:rsidR="00EC7AD6" w:rsidRPr="00EC7AD6" w:rsidRDefault="00EC7AD6" w:rsidP="00EC7AD6">
      <w:pPr>
        <w:autoSpaceDE w:val="0"/>
        <w:autoSpaceDN w:val="0"/>
        <w:adjustRightInd w:val="0"/>
        <w:contextualSpacing/>
        <w:rPr>
          <w:sz w:val="24"/>
          <w:szCs w:val="24"/>
        </w:rPr>
      </w:pPr>
    </w:p>
    <w:p w:rsidR="00EC7AD6" w:rsidRPr="00EC7AD6" w:rsidRDefault="00EC7AD6" w:rsidP="00EC7AD6">
      <w:pPr>
        <w:rPr>
          <w:sz w:val="24"/>
          <w:szCs w:val="24"/>
        </w:rPr>
      </w:pPr>
      <w:r w:rsidRPr="00EC7AD6">
        <w:rPr>
          <w:sz w:val="24"/>
          <w:szCs w:val="24"/>
        </w:rPr>
        <w:t>DUSC noted that a large number of utilisation reviews have been proposed and requested that the reviews of antipsychotics, testosterone and osteoporosis be prioritised for the September</w:t>
      </w:r>
      <w:r w:rsidR="00466242">
        <w:rPr>
          <w:sz w:val="24"/>
          <w:szCs w:val="24"/>
        </w:rPr>
        <w:t> 2016</w:t>
      </w:r>
      <w:r w:rsidRPr="00EC7AD6">
        <w:rPr>
          <w:sz w:val="24"/>
          <w:szCs w:val="24"/>
        </w:rPr>
        <w:t xml:space="preserve"> DUSC meeting. </w:t>
      </w:r>
    </w:p>
    <w:p w:rsidR="00EC7AD6" w:rsidRPr="00EC7AD6" w:rsidRDefault="00EC7AD6" w:rsidP="00EC7AD6">
      <w:pPr>
        <w:autoSpaceDE w:val="0"/>
        <w:autoSpaceDN w:val="0"/>
        <w:adjustRightInd w:val="0"/>
        <w:contextualSpacing/>
        <w:rPr>
          <w:sz w:val="24"/>
          <w:szCs w:val="24"/>
        </w:rPr>
      </w:pPr>
    </w:p>
    <w:p w:rsidR="00002AE8" w:rsidRDefault="008032DE" w:rsidP="008B6946">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8B6946">
      <w:pPr>
        <w:rPr>
          <w:sz w:val="24"/>
          <w:szCs w:val="24"/>
        </w:rPr>
      </w:pPr>
    </w:p>
    <w:p w:rsidR="00002AE8" w:rsidRDefault="00002AE8" w:rsidP="008B6946">
      <w:pPr>
        <w:rPr>
          <w:sz w:val="24"/>
          <w:szCs w:val="24"/>
        </w:rPr>
      </w:pPr>
    </w:p>
    <w:p w:rsidR="002722F2" w:rsidRDefault="002722F2" w:rsidP="008B6946">
      <w:pPr>
        <w:rPr>
          <w:sz w:val="24"/>
          <w:szCs w:val="24"/>
        </w:rPr>
      </w:pPr>
    </w:p>
    <w:p w:rsidR="00543CD8" w:rsidRDefault="00543CD8" w:rsidP="008B6946">
      <w:pPr>
        <w:rPr>
          <w:sz w:val="24"/>
          <w:szCs w:val="24"/>
        </w:rPr>
      </w:pPr>
    </w:p>
    <w:p w:rsidR="00002AE8" w:rsidRDefault="00002AE8" w:rsidP="008B6946">
      <w:pPr>
        <w:rPr>
          <w:sz w:val="24"/>
          <w:szCs w:val="24"/>
        </w:rPr>
      </w:pPr>
      <w:r>
        <w:rPr>
          <w:sz w:val="24"/>
          <w:szCs w:val="24"/>
        </w:rPr>
        <w:t xml:space="preserve">Professor </w:t>
      </w:r>
      <w:r w:rsidR="00473DA7">
        <w:rPr>
          <w:sz w:val="24"/>
          <w:szCs w:val="24"/>
        </w:rPr>
        <w:t>Geoff McColl</w:t>
      </w:r>
    </w:p>
    <w:p w:rsidR="00002AE8" w:rsidRDefault="00002AE8" w:rsidP="008B6946">
      <w:pPr>
        <w:rPr>
          <w:sz w:val="24"/>
          <w:szCs w:val="24"/>
        </w:rPr>
      </w:pPr>
      <w:r>
        <w:rPr>
          <w:sz w:val="24"/>
          <w:szCs w:val="24"/>
        </w:rPr>
        <w:t>Chair</w:t>
      </w:r>
    </w:p>
    <w:p w:rsidR="00002AE8" w:rsidRPr="003F06C8" w:rsidRDefault="00002AE8" w:rsidP="008B6946">
      <w:pPr>
        <w:rPr>
          <w:sz w:val="24"/>
          <w:szCs w:val="24"/>
        </w:rPr>
      </w:pPr>
      <w:r>
        <w:rPr>
          <w:sz w:val="24"/>
          <w:szCs w:val="24"/>
        </w:rPr>
        <w:t>Drug Utilisation Sub-Committee</w:t>
      </w:r>
    </w:p>
    <w:sectPr w:rsidR="00002AE8" w:rsidRPr="003F06C8" w:rsidSect="007166A9">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4B6" w:rsidRDefault="00BE14B6">
      <w:r>
        <w:separator/>
      </w:r>
    </w:p>
  </w:endnote>
  <w:endnote w:type="continuationSeparator" w:id="0">
    <w:p w:rsidR="00BE14B6" w:rsidRDefault="00BE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8" w:rsidRDefault="00B7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B72658">
      <w:rPr>
        <w:noProof/>
      </w:rPr>
      <w:t>2</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B72658">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4B6" w:rsidRDefault="00BE14B6">
      <w:r>
        <w:separator/>
      </w:r>
    </w:p>
  </w:footnote>
  <w:footnote w:type="continuationSeparator" w:id="0">
    <w:p w:rsidR="00BE14B6" w:rsidRDefault="00BE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8" w:rsidRDefault="00B72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8" w:rsidRDefault="00B72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26077CAE" wp14:editId="0846EC9E">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213EAC">
      <w:rPr>
        <w:rStyle w:val="Heading1Char"/>
        <w:b/>
      </w:rPr>
      <w:t>3 June</w:t>
    </w:r>
    <w:r w:rsidR="00CA78D9">
      <w:rPr>
        <w:rStyle w:val="Heading1Char"/>
        <w:b/>
      </w:rPr>
      <w:t xml:space="preserve"> </w:t>
    </w:r>
    <w:r w:rsidRPr="00CA347D">
      <w:rPr>
        <w:rStyle w:val="Heading1Char"/>
        <w:b/>
      </w:rPr>
      <w:t>201</w:t>
    </w:r>
    <w:r w:rsidR="00CA78D9">
      <w:rPr>
        <w:rStyle w:val="Heading1Char"/>
        <w:b/>
      </w:rPr>
      <w:t>6</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345BC"/>
    <w:multiLevelType w:val="hybridMultilevel"/>
    <w:tmpl w:val="F93ADC52"/>
    <w:lvl w:ilvl="0" w:tplc="214497B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EC5511"/>
    <w:multiLevelType w:val="hybridMultilevel"/>
    <w:tmpl w:val="84F8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F41B33"/>
    <w:multiLevelType w:val="hybridMultilevel"/>
    <w:tmpl w:val="4E3E290A"/>
    <w:lvl w:ilvl="0" w:tplc="BAE0985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7">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C529AE"/>
    <w:multiLevelType w:val="hybridMultilevel"/>
    <w:tmpl w:val="04BAAB9A"/>
    <w:lvl w:ilvl="0" w:tplc="3928008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2">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882A64"/>
    <w:multiLevelType w:val="hybridMultilevel"/>
    <w:tmpl w:val="D6B0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24"/>
  </w:num>
  <w:num w:numId="4">
    <w:abstractNumId w:val="43"/>
  </w:num>
  <w:num w:numId="5">
    <w:abstractNumId w:val="30"/>
  </w:num>
  <w:num w:numId="6">
    <w:abstractNumId w:val="33"/>
  </w:num>
  <w:num w:numId="7">
    <w:abstractNumId w:val="39"/>
  </w:num>
  <w:num w:numId="8">
    <w:abstractNumId w:val="28"/>
  </w:num>
  <w:num w:numId="9">
    <w:abstractNumId w:val="25"/>
  </w:num>
  <w:num w:numId="10">
    <w:abstractNumId w:val="34"/>
  </w:num>
  <w:num w:numId="11">
    <w:abstractNumId w:val="23"/>
  </w:num>
  <w:num w:numId="12">
    <w:abstractNumId w:val="10"/>
  </w:num>
  <w:num w:numId="13">
    <w:abstractNumId w:val="40"/>
  </w:num>
  <w:num w:numId="14">
    <w:abstractNumId w:val="21"/>
  </w:num>
  <w:num w:numId="15">
    <w:abstractNumId w:val="44"/>
  </w:num>
  <w:num w:numId="16">
    <w:abstractNumId w:val="2"/>
  </w:num>
  <w:num w:numId="17">
    <w:abstractNumId w:val="16"/>
  </w:num>
  <w:num w:numId="18">
    <w:abstractNumId w:val="31"/>
  </w:num>
  <w:num w:numId="19">
    <w:abstractNumId w:val="37"/>
  </w:num>
  <w:num w:numId="20">
    <w:abstractNumId w:val="7"/>
  </w:num>
  <w:num w:numId="21">
    <w:abstractNumId w:val="19"/>
  </w:num>
  <w:num w:numId="22">
    <w:abstractNumId w:val="13"/>
  </w:num>
  <w:num w:numId="23">
    <w:abstractNumId w:val="35"/>
  </w:num>
  <w:num w:numId="24">
    <w:abstractNumId w:val="36"/>
  </w:num>
  <w:num w:numId="25">
    <w:abstractNumId w:val="18"/>
  </w:num>
  <w:num w:numId="26">
    <w:abstractNumId w:val="26"/>
  </w:num>
  <w:num w:numId="27">
    <w:abstractNumId w:val="11"/>
  </w:num>
  <w:num w:numId="28">
    <w:abstractNumId w:val="1"/>
  </w:num>
  <w:num w:numId="29">
    <w:abstractNumId w:val="9"/>
  </w:num>
  <w:num w:numId="30">
    <w:abstractNumId w:val="5"/>
  </w:num>
  <w:num w:numId="31">
    <w:abstractNumId w:val="38"/>
  </w:num>
  <w:num w:numId="32">
    <w:abstractNumId w:val="32"/>
  </w:num>
  <w:num w:numId="33">
    <w:abstractNumId w:val="15"/>
  </w:num>
  <w:num w:numId="34">
    <w:abstractNumId w:val="17"/>
  </w:num>
  <w:num w:numId="35">
    <w:abstractNumId w:val="0"/>
  </w:num>
  <w:num w:numId="36">
    <w:abstractNumId w:val="27"/>
  </w:num>
  <w:num w:numId="37">
    <w:abstractNumId w:val="42"/>
  </w:num>
  <w:num w:numId="38">
    <w:abstractNumId w:val="41"/>
  </w:num>
  <w:num w:numId="39">
    <w:abstractNumId w:val="22"/>
  </w:num>
  <w:num w:numId="40">
    <w:abstractNumId w:val="6"/>
  </w:num>
  <w:num w:numId="41">
    <w:abstractNumId w:val="20"/>
  </w:num>
  <w:num w:numId="42">
    <w:abstractNumId w:val="14"/>
  </w:num>
  <w:num w:numId="43">
    <w:abstractNumId w:val="4"/>
  </w:num>
  <w:num w:numId="44">
    <w:abstractNumId w:val="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53E4"/>
    <w:rsid w:val="0002613B"/>
    <w:rsid w:val="00026898"/>
    <w:rsid w:val="000308AD"/>
    <w:rsid w:val="00032252"/>
    <w:rsid w:val="0003541E"/>
    <w:rsid w:val="00047105"/>
    <w:rsid w:val="00054C1A"/>
    <w:rsid w:val="00055BF6"/>
    <w:rsid w:val="00061505"/>
    <w:rsid w:val="000701B8"/>
    <w:rsid w:val="00071505"/>
    <w:rsid w:val="0007482C"/>
    <w:rsid w:val="00076E4C"/>
    <w:rsid w:val="00080B21"/>
    <w:rsid w:val="0009006A"/>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7CE1"/>
    <w:rsid w:val="00101877"/>
    <w:rsid w:val="001062BB"/>
    <w:rsid w:val="00106A1B"/>
    <w:rsid w:val="001071DA"/>
    <w:rsid w:val="00121F43"/>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3F70"/>
    <w:rsid w:val="001A449F"/>
    <w:rsid w:val="001A7B67"/>
    <w:rsid w:val="001B19E3"/>
    <w:rsid w:val="001B2A10"/>
    <w:rsid w:val="001C0316"/>
    <w:rsid w:val="001C5A7B"/>
    <w:rsid w:val="001C61FD"/>
    <w:rsid w:val="001F33DA"/>
    <w:rsid w:val="001F4200"/>
    <w:rsid w:val="001F6850"/>
    <w:rsid w:val="001F7F87"/>
    <w:rsid w:val="00200BA3"/>
    <w:rsid w:val="00203342"/>
    <w:rsid w:val="00203986"/>
    <w:rsid w:val="00211F6D"/>
    <w:rsid w:val="00213EAC"/>
    <w:rsid w:val="002168C1"/>
    <w:rsid w:val="00216CE7"/>
    <w:rsid w:val="00224079"/>
    <w:rsid w:val="00224DF5"/>
    <w:rsid w:val="00230732"/>
    <w:rsid w:val="00235EF9"/>
    <w:rsid w:val="00237631"/>
    <w:rsid w:val="002421EE"/>
    <w:rsid w:val="00242420"/>
    <w:rsid w:val="002522B2"/>
    <w:rsid w:val="0025366B"/>
    <w:rsid w:val="00255919"/>
    <w:rsid w:val="00261915"/>
    <w:rsid w:val="00261ED7"/>
    <w:rsid w:val="0026571A"/>
    <w:rsid w:val="0026645D"/>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F131D"/>
    <w:rsid w:val="002F281B"/>
    <w:rsid w:val="002F6C13"/>
    <w:rsid w:val="002F7138"/>
    <w:rsid w:val="003026E0"/>
    <w:rsid w:val="00307F20"/>
    <w:rsid w:val="00312E8E"/>
    <w:rsid w:val="00313FED"/>
    <w:rsid w:val="00325C25"/>
    <w:rsid w:val="0032620A"/>
    <w:rsid w:val="0033439A"/>
    <w:rsid w:val="003361C9"/>
    <w:rsid w:val="00337241"/>
    <w:rsid w:val="003409D6"/>
    <w:rsid w:val="003468B6"/>
    <w:rsid w:val="003512F6"/>
    <w:rsid w:val="0035266E"/>
    <w:rsid w:val="00352D12"/>
    <w:rsid w:val="003555E8"/>
    <w:rsid w:val="00357332"/>
    <w:rsid w:val="00362581"/>
    <w:rsid w:val="00371376"/>
    <w:rsid w:val="0037338E"/>
    <w:rsid w:val="0037748E"/>
    <w:rsid w:val="00377CBD"/>
    <w:rsid w:val="00385962"/>
    <w:rsid w:val="003860EB"/>
    <w:rsid w:val="003917EE"/>
    <w:rsid w:val="003A4887"/>
    <w:rsid w:val="003A6327"/>
    <w:rsid w:val="003B1842"/>
    <w:rsid w:val="003B644D"/>
    <w:rsid w:val="003B7122"/>
    <w:rsid w:val="003C0453"/>
    <w:rsid w:val="003C3E03"/>
    <w:rsid w:val="003C5342"/>
    <w:rsid w:val="003C7822"/>
    <w:rsid w:val="003D0574"/>
    <w:rsid w:val="003D62AA"/>
    <w:rsid w:val="003D6C07"/>
    <w:rsid w:val="003E1ED8"/>
    <w:rsid w:val="003E601F"/>
    <w:rsid w:val="003F06C8"/>
    <w:rsid w:val="003F1DCA"/>
    <w:rsid w:val="00405743"/>
    <w:rsid w:val="00406FC4"/>
    <w:rsid w:val="00415BE7"/>
    <w:rsid w:val="0042129E"/>
    <w:rsid w:val="00421874"/>
    <w:rsid w:val="00423C42"/>
    <w:rsid w:val="004374C3"/>
    <w:rsid w:val="0044076B"/>
    <w:rsid w:val="00445679"/>
    <w:rsid w:val="00451ABF"/>
    <w:rsid w:val="004521E9"/>
    <w:rsid w:val="004566A9"/>
    <w:rsid w:val="00461EAF"/>
    <w:rsid w:val="00463497"/>
    <w:rsid w:val="00463B7E"/>
    <w:rsid w:val="00465EED"/>
    <w:rsid w:val="00466242"/>
    <w:rsid w:val="00471240"/>
    <w:rsid w:val="00473DA7"/>
    <w:rsid w:val="0047415B"/>
    <w:rsid w:val="00477B65"/>
    <w:rsid w:val="004839FE"/>
    <w:rsid w:val="00487B49"/>
    <w:rsid w:val="0049330F"/>
    <w:rsid w:val="0049403E"/>
    <w:rsid w:val="00496AC8"/>
    <w:rsid w:val="004A055D"/>
    <w:rsid w:val="004B07E1"/>
    <w:rsid w:val="004B37DD"/>
    <w:rsid w:val="004B41AC"/>
    <w:rsid w:val="004B4E02"/>
    <w:rsid w:val="004C3CFD"/>
    <w:rsid w:val="004C7FA9"/>
    <w:rsid w:val="004D0311"/>
    <w:rsid w:val="004D75BE"/>
    <w:rsid w:val="004F083B"/>
    <w:rsid w:val="004F17CC"/>
    <w:rsid w:val="004F201C"/>
    <w:rsid w:val="004F60E0"/>
    <w:rsid w:val="004F6927"/>
    <w:rsid w:val="00512CE1"/>
    <w:rsid w:val="0051701B"/>
    <w:rsid w:val="00525347"/>
    <w:rsid w:val="0052725D"/>
    <w:rsid w:val="005317C8"/>
    <w:rsid w:val="00536FAF"/>
    <w:rsid w:val="00540349"/>
    <w:rsid w:val="00543CD8"/>
    <w:rsid w:val="00546A61"/>
    <w:rsid w:val="00550B68"/>
    <w:rsid w:val="00554F00"/>
    <w:rsid w:val="00556042"/>
    <w:rsid w:val="0056289C"/>
    <w:rsid w:val="005646E2"/>
    <w:rsid w:val="005659FC"/>
    <w:rsid w:val="00570796"/>
    <w:rsid w:val="00576201"/>
    <w:rsid w:val="00584E81"/>
    <w:rsid w:val="00584E98"/>
    <w:rsid w:val="0058750D"/>
    <w:rsid w:val="00590036"/>
    <w:rsid w:val="00593298"/>
    <w:rsid w:val="00594A71"/>
    <w:rsid w:val="00595475"/>
    <w:rsid w:val="005A1F05"/>
    <w:rsid w:val="005A4F6D"/>
    <w:rsid w:val="005C053B"/>
    <w:rsid w:val="005C148E"/>
    <w:rsid w:val="005D1BB0"/>
    <w:rsid w:val="005D4EB2"/>
    <w:rsid w:val="005D696D"/>
    <w:rsid w:val="005E116A"/>
    <w:rsid w:val="005E1E28"/>
    <w:rsid w:val="005E4D8D"/>
    <w:rsid w:val="005E71D4"/>
    <w:rsid w:val="005F20C5"/>
    <w:rsid w:val="005F20FE"/>
    <w:rsid w:val="005F3EF0"/>
    <w:rsid w:val="0060015D"/>
    <w:rsid w:val="00602B28"/>
    <w:rsid w:val="00602DC3"/>
    <w:rsid w:val="00603A1E"/>
    <w:rsid w:val="00605905"/>
    <w:rsid w:val="00605D9C"/>
    <w:rsid w:val="006118CB"/>
    <w:rsid w:val="00622522"/>
    <w:rsid w:val="006231FB"/>
    <w:rsid w:val="0062459E"/>
    <w:rsid w:val="00635EA5"/>
    <w:rsid w:val="006431B8"/>
    <w:rsid w:val="00645035"/>
    <w:rsid w:val="00651A8E"/>
    <w:rsid w:val="00667381"/>
    <w:rsid w:val="00670BD6"/>
    <w:rsid w:val="006723D5"/>
    <w:rsid w:val="00676304"/>
    <w:rsid w:val="00677B98"/>
    <w:rsid w:val="006946E1"/>
    <w:rsid w:val="00695073"/>
    <w:rsid w:val="00695BF3"/>
    <w:rsid w:val="006969FE"/>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1116"/>
    <w:rsid w:val="00766D92"/>
    <w:rsid w:val="00775851"/>
    <w:rsid w:val="00792D24"/>
    <w:rsid w:val="007A025D"/>
    <w:rsid w:val="007A1C91"/>
    <w:rsid w:val="007A5016"/>
    <w:rsid w:val="007B10CC"/>
    <w:rsid w:val="007B45CE"/>
    <w:rsid w:val="007C0BB4"/>
    <w:rsid w:val="007C4B1F"/>
    <w:rsid w:val="007D29DA"/>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26BA"/>
    <w:rsid w:val="00824D2F"/>
    <w:rsid w:val="00825E26"/>
    <w:rsid w:val="00834AC0"/>
    <w:rsid w:val="0084274F"/>
    <w:rsid w:val="00844137"/>
    <w:rsid w:val="008443DF"/>
    <w:rsid w:val="00855B59"/>
    <w:rsid w:val="00861B30"/>
    <w:rsid w:val="00885679"/>
    <w:rsid w:val="00886FF7"/>
    <w:rsid w:val="00887242"/>
    <w:rsid w:val="008909B5"/>
    <w:rsid w:val="008933AA"/>
    <w:rsid w:val="008952FA"/>
    <w:rsid w:val="008A17E6"/>
    <w:rsid w:val="008A271D"/>
    <w:rsid w:val="008A5C6B"/>
    <w:rsid w:val="008B25F5"/>
    <w:rsid w:val="008B44FC"/>
    <w:rsid w:val="008B6054"/>
    <w:rsid w:val="008B6946"/>
    <w:rsid w:val="008C28B4"/>
    <w:rsid w:val="008E66D2"/>
    <w:rsid w:val="008E7888"/>
    <w:rsid w:val="008E7C67"/>
    <w:rsid w:val="008F1340"/>
    <w:rsid w:val="008F4AB2"/>
    <w:rsid w:val="008F7F63"/>
    <w:rsid w:val="00910BE5"/>
    <w:rsid w:val="009112F4"/>
    <w:rsid w:val="00911959"/>
    <w:rsid w:val="00913F15"/>
    <w:rsid w:val="00915D6E"/>
    <w:rsid w:val="009168AA"/>
    <w:rsid w:val="009230A9"/>
    <w:rsid w:val="009237FF"/>
    <w:rsid w:val="009245B3"/>
    <w:rsid w:val="00926116"/>
    <w:rsid w:val="009307DE"/>
    <w:rsid w:val="00933D66"/>
    <w:rsid w:val="00940287"/>
    <w:rsid w:val="009427BA"/>
    <w:rsid w:val="0094562D"/>
    <w:rsid w:val="00965552"/>
    <w:rsid w:val="0096600D"/>
    <w:rsid w:val="0096605A"/>
    <w:rsid w:val="00982C4C"/>
    <w:rsid w:val="00990492"/>
    <w:rsid w:val="009950E1"/>
    <w:rsid w:val="00997DB5"/>
    <w:rsid w:val="009A22C0"/>
    <w:rsid w:val="009C32BA"/>
    <w:rsid w:val="009C4D57"/>
    <w:rsid w:val="009C5FCE"/>
    <w:rsid w:val="009C6EB1"/>
    <w:rsid w:val="009D1661"/>
    <w:rsid w:val="009D1C4B"/>
    <w:rsid w:val="009D3B7F"/>
    <w:rsid w:val="009D71B6"/>
    <w:rsid w:val="009E130A"/>
    <w:rsid w:val="009E13E7"/>
    <w:rsid w:val="009E18B1"/>
    <w:rsid w:val="009E23F2"/>
    <w:rsid w:val="009F37E6"/>
    <w:rsid w:val="009F5D71"/>
    <w:rsid w:val="00A02C13"/>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B2981"/>
    <w:rsid w:val="00AC6543"/>
    <w:rsid w:val="00AD405E"/>
    <w:rsid w:val="00AD61AC"/>
    <w:rsid w:val="00AE0098"/>
    <w:rsid w:val="00AE2C4F"/>
    <w:rsid w:val="00AE46E7"/>
    <w:rsid w:val="00AE5D15"/>
    <w:rsid w:val="00AE7D19"/>
    <w:rsid w:val="00AF1FCD"/>
    <w:rsid w:val="00AF54A2"/>
    <w:rsid w:val="00AF646A"/>
    <w:rsid w:val="00B0144A"/>
    <w:rsid w:val="00B171C5"/>
    <w:rsid w:val="00B17B4F"/>
    <w:rsid w:val="00B20269"/>
    <w:rsid w:val="00B2765B"/>
    <w:rsid w:val="00B471D0"/>
    <w:rsid w:val="00B47E46"/>
    <w:rsid w:val="00B51A8A"/>
    <w:rsid w:val="00B529E3"/>
    <w:rsid w:val="00B54AC5"/>
    <w:rsid w:val="00B54D25"/>
    <w:rsid w:val="00B72658"/>
    <w:rsid w:val="00B73EC0"/>
    <w:rsid w:val="00B748A3"/>
    <w:rsid w:val="00B8425D"/>
    <w:rsid w:val="00B94D51"/>
    <w:rsid w:val="00B94E75"/>
    <w:rsid w:val="00BA0109"/>
    <w:rsid w:val="00BA1DAB"/>
    <w:rsid w:val="00BA3D51"/>
    <w:rsid w:val="00BB08CB"/>
    <w:rsid w:val="00BB0CB8"/>
    <w:rsid w:val="00BC71C3"/>
    <w:rsid w:val="00BD606B"/>
    <w:rsid w:val="00BE14B6"/>
    <w:rsid w:val="00BE7AE1"/>
    <w:rsid w:val="00BF1645"/>
    <w:rsid w:val="00BF5017"/>
    <w:rsid w:val="00BF7B3F"/>
    <w:rsid w:val="00BF7E3D"/>
    <w:rsid w:val="00C04EF5"/>
    <w:rsid w:val="00C05DF1"/>
    <w:rsid w:val="00C071EA"/>
    <w:rsid w:val="00C116AA"/>
    <w:rsid w:val="00C1278B"/>
    <w:rsid w:val="00C14149"/>
    <w:rsid w:val="00C17CD9"/>
    <w:rsid w:val="00C201AF"/>
    <w:rsid w:val="00C20C99"/>
    <w:rsid w:val="00C34468"/>
    <w:rsid w:val="00C372F8"/>
    <w:rsid w:val="00C43937"/>
    <w:rsid w:val="00C5080C"/>
    <w:rsid w:val="00C517B0"/>
    <w:rsid w:val="00C53506"/>
    <w:rsid w:val="00C5386C"/>
    <w:rsid w:val="00C6282E"/>
    <w:rsid w:val="00C65ECB"/>
    <w:rsid w:val="00C70D16"/>
    <w:rsid w:val="00C720BE"/>
    <w:rsid w:val="00C72A99"/>
    <w:rsid w:val="00C750B3"/>
    <w:rsid w:val="00C77308"/>
    <w:rsid w:val="00C814DC"/>
    <w:rsid w:val="00C83918"/>
    <w:rsid w:val="00C844E5"/>
    <w:rsid w:val="00C96777"/>
    <w:rsid w:val="00CA1100"/>
    <w:rsid w:val="00CA1A98"/>
    <w:rsid w:val="00CA1AA9"/>
    <w:rsid w:val="00CA347D"/>
    <w:rsid w:val="00CA6D48"/>
    <w:rsid w:val="00CA78D9"/>
    <w:rsid w:val="00CC4F1F"/>
    <w:rsid w:val="00CD1FF1"/>
    <w:rsid w:val="00CD3D32"/>
    <w:rsid w:val="00CD4F83"/>
    <w:rsid w:val="00CD748A"/>
    <w:rsid w:val="00CE106A"/>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716A5"/>
    <w:rsid w:val="00D71C86"/>
    <w:rsid w:val="00D75023"/>
    <w:rsid w:val="00D776E5"/>
    <w:rsid w:val="00D801D7"/>
    <w:rsid w:val="00D92B61"/>
    <w:rsid w:val="00D960D9"/>
    <w:rsid w:val="00DA019E"/>
    <w:rsid w:val="00DA0C9B"/>
    <w:rsid w:val="00DA3B72"/>
    <w:rsid w:val="00DA5030"/>
    <w:rsid w:val="00DA52B0"/>
    <w:rsid w:val="00DA5928"/>
    <w:rsid w:val="00DA7DAC"/>
    <w:rsid w:val="00DB34F7"/>
    <w:rsid w:val="00DB40BE"/>
    <w:rsid w:val="00DB4645"/>
    <w:rsid w:val="00DB4B02"/>
    <w:rsid w:val="00DB5E1F"/>
    <w:rsid w:val="00DB7938"/>
    <w:rsid w:val="00DC35B0"/>
    <w:rsid w:val="00DC5383"/>
    <w:rsid w:val="00DC669D"/>
    <w:rsid w:val="00DC76E4"/>
    <w:rsid w:val="00DD3F56"/>
    <w:rsid w:val="00DD472F"/>
    <w:rsid w:val="00DD6C98"/>
    <w:rsid w:val="00DE2F42"/>
    <w:rsid w:val="00DE3430"/>
    <w:rsid w:val="00DE3FA2"/>
    <w:rsid w:val="00DE465A"/>
    <w:rsid w:val="00DE6DED"/>
    <w:rsid w:val="00DF6D10"/>
    <w:rsid w:val="00E013AC"/>
    <w:rsid w:val="00E02342"/>
    <w:rsid w:val="00E069B9"/>
    <w:rsid w:val="00E06E1E"/>
    <w:rsid w:val="00E1073E"/>
    <w:rsid w:val="00E13E1F"/>
    <w:rsid w:val="00E15343"/>
    <w:rsid w:val="00E15D96"/>
    <w:rsid w:val="00E202D8"/>
    <w:rsid w:val="00E21AB6"/>
    <w:rsid w:val="00E25B12"/>
    <w:rsid w:val="00E358B8"/>
    <w:rsid w:val="00E35E50"/>
    <w:rsid w:val="00E440D2"/>
    <w:rsid w:val="00E44900"/>
    <w:rsid w:val="00E46594"/>
    <w:rsid w:val="00E47551"/>
    <w:rsid w:val="00E51946"/>
    <w:rsid w:val="00E5392E"/>
    <w:rsid w:val="00E60246"/>
    <w:rsid w:val="00E606DC"/>
    <w:rsid w:val="00E63B16"/>
    <w:rsid w:val="00E63C49"/>
    <w:rsid w:val="00E63C9A"/>
    <w:rsid w:val="00E855DB"/>
    <w:rsid w:val="00E929BF"/>
    <w:rsid w:val="00E9717F"/>
    <w:rsid w:val="00EA266C"/>
    <w:rsid w:val="00EA4A72"/>
    <w:rsid w:val="00EA4C8E"/>
    <w:rsid w:val="00EA6068"/>
    <w:rsid w:val="00EA6638"/>
    <w:rsid w:val="00EB6D4F"/>
    <w:rsid w:val="00EC188E"/>
    <w:rsid w:val="00EC27B1"/>
    <w:rsid w:val="00EC4D9B"/>
    <w:rsid w:val="00EC7AD6"/>
    <w:rsid w:val="00ED262E"/>
    <w:rsid w:val="00ED4688"/>
    <w:rsid w:val="00ED55CD"/>
    <w:rsid w:val="00EF17AE"/>
    <w:rsid w:val="00EF2F88"/>
    <w:rsid w:val="00EF43E9"/>
    <w:rsid w:val="00EF6034"/>
    <w:rsid w:val="00F00711"/>
    <w:rsid w:val="00F00BA6"/>
    <w:rsid w:val="00F0120B"/>
    <w:rsid w:val="00F02D45"/>
    <w:rsid w:val="00F05674"/>
    <w:rsid w:val="00F07DC7"/>
    <w:rsid w:val="00F1203C"/>
    <w:rsid w:val="00F22B3B"/>
    <w:rsid w:val="00F24AD2"/>
    <w:rsid w:val="00F254F2"/>
    <w:rsid w:val="00F256FA"/>
    <w:rsid w:val="00F328A6"/>
    <w:rsid w:val="00F33165"/>
    <w:rsid w:val="00F36509"/>
    <w:rsid w:val="00F429AA"/>
    <w:rsid w:val="00F45B22"/>
    <w:rsid w:val="00F50775"/>
    <w:rsid w:val="00F52BA8"/>
    <w:rsid w:val="00F57CF8"/>
    <w:rsid w:val="00F64BDE"/>
    <w:rsid w:val="00F66C36"/>
    <w:rsid w:val="00F70D3F"/>
    <w:rsid w:val="00F7236A"/>
    <w:rsid w:val="00F747BC"/>
    <w:rsid w:val="00F776DD"/>
    <w:rsid w:val="00F77C55"/>
    <w:rsid w:val="00F8217A"/>
    <w:rsid w:val="00F85AC0"/>
    <w:rsid w:val="00F85C3D"/>
    <w:rsid w:val="00F97C51"/>
    <w:rsid w:val="00FA1200"/>
    <w:rsid w:val="00FA149F"/>
    <w:rsid w:val="00FA2C8E"/>
    <w:rsid w:val="00FA5657"/>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unhideWhenUsed/>
    <w:qFormat/>
    <w:rsid w:val="00775851"/>
    <w:pP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rsid w:val="00775851"/>
    <w:rPr>
      <w:rFonts w:ascii="Calibri" w:hAnsi="Calibri"/>
      <w:b/>
      <w:sz w:val="24"/>
      <w:szCs w:val="24"/>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unhideWhenUsed/>
    <w:qFormat/>
    <w:rsid w:val="00775851"/>
    <w:pP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rsid w:val="00775851"/>
    <w:rPr>
      <w:rFonts w:ascii="Calibri" w:hAnsi="Calibri"/>
      <w:b/>
      <w:sz w:val="24"/>
      <w:szCs w:val="24"/>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bs.gov.au/"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agenda/july-2016-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80CC-4235-4194-8365-A31D40A9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7759</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2016-03-03T03:45:00Z</dcterms:created>
  <dcterms:modified xsi:type="dcterms:W3CDTF">2016-08-09T01:30:00Z</dcterms:modified>
  <cp:contentStatus/>
</cp:coreProperties>
</file>