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7D7F" w14:textId="77777777" w:rsidR="00A20CBD" w:rsidRDefault="00A20CBD" w:rsidP="00855B59">
      <w:pPr>
        <w:ind w:left="2160" w:firstLine="720"/>
        <w:rPr>
          <w:b/>
          <w:sz w:val="24"/>
          <w:szCs w:val="24"/>
        </w:rPr>
      </w:pPr>
    </w:p>
    <w:p w14:paraId="3BFE4C06" w14:textId="5F4009DC"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F7FAE">
        <w:rPr>
          <w:sz w:val="24"/>
          <w:szCs w:val="24"/>
        </w:rPr>
        <w:t>9</w:t>
      </w:r>
      <w:r w:rsidR="0088390C">
        <w:rPr>
          <w:sz w:val="24"/>
          <w:szCs w:val="24"/>
        </w:rPr>
        <w:t>7</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 xml:space="preserve">the </w:t>
      </w:r>
      <w:r w:rsidR="0088390C">
        <w:rPr>
          <w:sz w:val="24"/>
          <w:szCs w:val="24"/>
        </w:rPr>
        <w:t>3</w:t>
      </w:r>
      <w:r w:rsidR="0088390C" w:rsidRPr="0088390C">
        <w:rPr>
          <w:sz w:val="24"/>
          <w:szCs w:val="24"/>
          <w:vertAlign w:val="superscript"/>
        </w:rPr>
        <w:t>rd</w:t>
      </w:r>
      <w:r w:rsidR="00E4556A">
        <w:rPr>
          <w:sz w:val="24"/>
          <w:szCs w:val="24"/>
        </w:rPr>
        <w:t xml:space="preserve"> of </w:t>
      </w:r>
      <w:r w:rsidR="0088390C">
        <w:rPr>
          <w:sz w:val="24"/>
          <w:szCs w:val="24"/>
        </w:rPr>
        <w:t>October</w:t>
      </w:r>
      <w:r w:rsidR="00F84AB6">
        <w:rPr>
          <w:sz w:val="24"/>
          <w:szCs w:val="24"/>
        </w:rPr>
        <w:t xml:space="preserve"> </w:t>
      </w:r>
      <w:r w:rsidR="00B92105">
        <w:rPr>
          <w:sz w:val="24"/>
          <w:szCs w:val="24"/>
        </w:rPr>
        <w:t>201</w:t>
      </w:r>
      <w:r w:rsidR="00CE18BF">
        <w:rPr>
          <w:sz w:val="24"/>
          <w:szCs w:val="24"/>
        </w:rPr>
        <w:t>9</w:t>
      </w:r>
      <w:r w:rsidRPr="005F3EF0">
        <w:rPr>
          <w:sz w:val="24"/>
          <w:szCs w:val="24"/>
        </w:rPr>
        <w:t>.</w:t>
      </w:r>
    </w:p>
    <w:p w14:paraId="25B768AF" w14:textId="77777777" w:rsidR="003F06C8" w:rsidRDefault="003F06C8" w:rsidP="008B6946">
      <w:pPr>
        <w:tabs>
          <w:tab w:val="left" w:pos="4820"/>
          <w:tab w:val="left" w:pos="8931"/>
          <w:tab w:val="left" w:pos="9028"/>
          <w:tab w:val="left" w:pos="9072"/>
        </w:tabs>
        <w:rPr>
          <w:sz w:val="24"/>
          <w:szCs w:val="24"/>
        </w:rPr>
      </w:pPr>
    </w:p>
    <w:p w14:paraId="0837C7A3"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EF26552" w14:textId="77777777" w:rsidR="00855B59" w:rsidRDefault="00855B59" w:rsidP="008B6946">
      <w:pPr>
        <w:tabs>
          <w:tab w:val="left" w:pos="4820"/>
          <w:tab w:val="left" w:pos="8931"/>
          <w:tab w:val="left" w:pos="9028"/>
          <w:tab w:val="left" w:pos="9072"/>
        </w:tabs>
        <w:rPr>
          <w:sz w:val="24"/>
          <w:szCs w:val="24"/>
        </w:rPr>
      </w:pPr>
    </w:p>
    <w:p w14:paraId="1425E1F8" w14:textId="54CB11DA"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0C5A9F25" w14:textId="77777777" w:rsidR="00204055" w:rsidRPr="00B12248" w:rsidRDefault="00204055" w:rsidP="00204055">
      <w:pPr>
        <w:rPr>
          <w:sz w:val="24"/>
          <w:szCs w:val="24"/>
        </w:rPr>
      </w:pPr>
    </w:p>
    <w:p w14:paraId="0B97FCD3" w14:textId="77777777" w:rsidR="004566A9" w:rsidRPr="00855B59" w:rsidRDefault="00855B59" w:rsidP="008B6946">
      <w:pPr>
        <w:pStyle w:val="Heading2"/>
      </w:pPr>
      <w:r w:rsidRPr="00855B59">
        <w:t>Su</w:t>
      </w:r>
      <w:r w:rsidR="004566A9" w:rsidRPr="00855B59">
        <w:t>bmissions to the PBAC</w:t>
      </w:r>
    </w:p>
    <w:p w14:paraId="60CAEED6" w14:textId="68FE5A93" w:rsidR="009237FF" w:rsidRDefault="003F06C8" w:rsidP="008B6946">
      <w:pPr>
        <w:rPr>
          <w:sz w:val="24"/>
          <w:szCs w:val="24"/>
        </w:rPr>
      </w:pPr>
      <w:r w:rsidRPr="0035237B">
        <w:rPr>
          <w:sz w:val="24"/>
          <w:szCs w:val="24"/>
        </w:rPr>
        <w:t xml:space="preserve">DUSC noted that </w:t>
      </w:r>
      <w:r w:rsidR="00E1448E">
        <w:rPr>
          <w:sz w:val="24"/>
          <w:szCs w:val="24"/>
        </w:rPr>
        <w:t>28</w:t>
      </w:r>
      <w:r w:rsidRPr="0035237B">
        <w:rPr>
          <w:sz w:val="24"/>
          <w:szCs w:val="24"/>
        </w:rPr>
        <w:t xml:space="preserve"> major submissions had been received for the </w:t>
      </w:r>
      <w:r w:rsidR="0088390C">
        <w:rPr>
          <w:sz w:val="24"/>
          <w:szCs w:val="24"/>
        </w:rPr>
        <w:t>November</w:t>
      </w:r>
      <w:r w:rsidR="00CE18BF">
        <w:rPr>
          <w:sz w:val="24"/>
          <w:szCs w:val="24"/>
        </w:rPr>
        <w:t xml:space="preserve"> 2019</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88390C">
        <w:rPr>
          <w:sz w:val="24"/>
          <w:szCs w:val="24"/>
        </w:rPr>
        <w:t>November</w:t>
      </w:r>
      <w:r w:rsidR="00F2511C" w:rsidRPr="0035237B">
        <w:rPr>
          <w:sz w:val="24"/>
          <w:szCs w:val="24"/>
        </w:rPr>
        <w:t xml:space="preserve"> </w:t>
      </w:r>
      <w:r w:rsidR="00C93804" w:rsidRPr="0035237B">
        <w:rPr>
          <w:sz w:val="24"/>
          <w:szCs w:val="24"/>
        </w:rPr>
        <w:t>201</w:t>
      </w:r>
      <w:r w:rsidR="00CE18BF">
        <w:rPr>
          <w:sz w:val="24"/>
          <w:szCs w:val="24"/>
        </w:rPr>
        <w:t>9</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64396CD2" w14:textId="77777777" w:rsidR="00A453E3" w:rsidRDefault="00A453E3" w:rsidP="008B6946">
      <w:pPr>
        <w:rPr>
          <w:sz w:val="24"/>
          <w:szCs w:val="24"/>
        </w:rPr>
      </w:pPr>
    </w:p>
    <w:p w14:paraId="0A108F68"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5E55EBFC" w14:textId="1E2E3D3E" w:rsidR="00591C2B" w:rsidRPr="00B12248" w:rsidRDefault="00CD4F83" w:rsidP="00D97B8F">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58B7E5FC" w14:textId="77777777" w:rsidR="00021AF3" w:rsidRPr="00B12248" w:rsidRDefault="00021AF3" w:rsidP="00D97B8F">
      <w:pPr>
        <w:rPr>
          <w:sz w:val="24"/>
          <w:szCs w:val="24"/>
        </w:rPr>
      </w:pPr>
    </w:p>
    <w:p w14:paraId="23C129C8" w14:textId="1C53443A"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88390C">
        <w:rPr>
          <w:sz w:val="24"/>
          <w:szCs w:val="24"/>
        </w:rPr>
        <w:t>October</w:t>
      </w:r>
      <w:r w:rsidR="00F97D62">
        <w:rPr>
          <w:sz w:val="24"/>
          <w:szCs w:val="24"/>
        </w:rPr>
        <w:t xml:space="preserve"> 2019</w:t>
      </w:r>
      <w:r w:rsidRPr="00B12248">
        <w:rPr>
          <w:sz w:val="24"/>
          <w:szCs w:val="24"/>
        </w:rPr>
        <w:t>:</w:t>
      </w:r>
    </w:p>
    <w:p w14:paraId="446C92A1" w14:textId="77777777" w:rsidR="00101877" w:rsidRDefault="00101877" w:rsidP="008B6946">
      <w:pPr>
        <w:rPr>
          <w:sz w:val="24"/>
          <w:szCs w:val="24"/>
        </w:rPr>
      </w:pPr>
    </w:p>
    <w:p w14:paraId="14421471" w14:textId="3107E7E7" w:rsidR="00CA78D9" w:rsidRPr="00BB52B3" w:rsidRDefault="0088390C" w:rsidP="008B6946">
      <w:pPr>
        <w:rPr>
          <w:b/>
          <w:sz w:val="24"/>
          <w:szCs w:val="24"/>
        </w:rPr>
      </w:pPr>
      <w:r>
        <w:rPr>
          <w:b/>
          <w:sz w:val="24"/>
          <w:szCs w:val="24"/>
        </w:rPr>
        <w:t xml:space="preserve">Evolocumab for the treatment of </w:t>
      </w:r>
      <w:r w:rsidRPr="0088390C">
        <w:rPr>
          <w:b/>
          <w:sz w:val="24"/>
          <w:szCs w:val="24"/>
        </w:rPr>
        <w:t>homozygous familial hypercholesterolaemia</w:t>
      </w:r>
    </w:p>
    <w:p w14:paraId="3BBFB00E" w14:textId="44C635F9" w:rsidR="00B028E7" w:rsidRPr="00573B17" w:rsidRDefault="00B028E7" w:rsidP="00B028E7">
      <w:pPr>
        <w:rPr>
          <w:rFonts w:eastAsia="Calibri" w:cstheme="minorHAnsi"/>
          <w:sz w:val="24"/>
          <w:szCs w:val="24"/>
        </w:rPr>
      </w:pPr>
      <w:r w:rsidRPr="00573B17">
        <w:rPr>
          <w:rFonts w:eastAsia="Calibri" w:cstheme="minorHAnsi"/>
          <w:sz w:val="24"/>
          <w:szCs w:val="24"/>
        </w:rPr>
        <w:t xml:space="preserve">The number of patients treated with evolocumab in the first two years of listing was higher than expected. The analyses showed an initial steady increase in the number of patients supplied evolocumab for </w:t>
      </w:r>
      <w:r>
        <w:rPr>
          <w:rFonts w:eastAsia="Calibri" w:cstheme="minorHAnsi"/>
          <w:sz w:val="24"/>
          <w:szCs w:val="24"/>
        </w:rPr>
        <w:t>homozygous familial hypercholesterolaemia (</w:t>
      </w:r>
      <w:r w:rsidRPr="00573B17">
        <w:rPr>
          <w:rFonts w:eastAsia="Calibri" w:cstheme="minorHAnsi"/>
          <w:sz w:val="24"/>
          <w:szCs w:val="24"/>
        </w:rPr>
        <w:t>HoFH</w:t>
      </w:r>
      <w:r>
        <w:rPr>
          <w:rFonts w:eastAsia="Calibri" w:cstheme="minorHAnsi"/>
          <w:sz w:val="24"/>
          <w:szCs w:val="24"/>
        </w:rPr>
        <w:t>)</w:t>
      </w:r>
      <w:r w:rsidRPr="00573B17">
        <w:rPr>
          <w:rFonts w:eastAsia="Calibri" w:cstheme="minorHAnsi"/>
          <w:sz w:val="24"/>
          <w:szCs w:val="24"/>
        </w:rPr>
        <w:t xml:space="preserve">, but a decreasing rate of growth was apparent. </w:t>
      </w:r>
      <w:r w:rsidRPr="00476C0C">
        <w:rPr>
          <w:rFonts w:cstheme="minorHAnsi"/>
          <w:sz w:val="24"/>
          <w:szCs w:val="24"/>
        </w:rPr>
        <w:t>DUSC considered the decline in the number of new HoFH patients initiating evolocumab</w:t>
      </w:r>
      <w:r>
        <w:rPr>
          <w:rFonts w:cstheme="minorHAnsi"/>
          <w:sz w:val="24"/>
          <w:szCs w:val="24"/>
        </w:rPr>
        <w:t xml:space="preserve"> since the first quarter of 2018</w:t>
      </w:r>
      <w:r w:rsidRPr="00476C0C">
        <w:rPr>
          <w:rFonts w:cstheme="minorHAnsi"/>
          <w:sz w:val="24"/>
          <w:szCs w:val="24"/>
        </w:rPr>
        <w:t xml:space="preserve"> could be due to patients </w:t>
      </w:r>
      <w:r>
        <w:rPr>
          <w:rFonts w:cstheme="minorHAnsi"/>
          <w:sz w:val="24"/>
          <w:szCs w:val="24"/>
        </w:rPr>
        <w:t xml:space="preserve">now commencing on </w:t>
      </w:r>
      <w:r w:rsidR="008164AB">
        <w:rPr>
          <w:rFonts w:cstheme="minorHAnsi"/>
          <w:sz w:val="24"/>
          <w:szCs w:val="24"/>
        </w:rPr>
        <w:t>the heterozygous familial hypercholesterolaemia (</w:t>
      </w:r>
      <w:r>
        <w:rPr>
          <w:rFonts w:cstheme="minorHAnsi"/>
          <w:sz w:val="24"/>
          <w:szCs w:val="24"/>
        </w:rPr>
        <w:t>HeFH</w:t>
      </w:r>
      <w:r w:rsidR="008164AB">
        <w:rPr>
          <w:rFonts w:cstheme="minorHAnsi"/>
          <w:sz w:val="24"/>
          <w:szCs w:val="24"/>
        </w:rPr>
        <w:t>)</w:t>
      </w:r>
      <w:r>
        <w:rPr>
          <w:rFonts w:cstheme="minorHAnsi"/>
          <w:sz w:val="24"/>
          <w:szCs w:val="24"/>
        </w:rPr>
        <w:t xml:space="preserve"> item codes (listed on the PBS on </w:t>
      </w:r>
      <w:r w:rsidRPr="00476C0C">
        <w:rPr>
          <w:rFonts w:cstheme="minorHAnsi"/>
          <w:sz w:val="24"/>
          <w:szCs w:val="24"/>
        </w:rPr>
        <w:t>1 November 2018</w:t>
      </w:r>
      <w:r>
        <w:rPr>
          <w:rFonts w:cstheme="minorHAnsi"/>
          <w:sz w:val="24"/>
          <w:szCs w:val="24"/>
        </w:rPr>
        <w:t>)</w:t>
      </w:r>
      <w:r w:rsidRPr="00476C0C">
        <w:rPr>
          <w:rFonts w:cstheme="minorHAnsi"/>
          <w:sz w:val="24"/>
          <w:szCs w:val="24"/>
        </w:rPr>
        <w:t xml:space="preserve"> or </w:t>
      </w:r>
      <w:r>
        <w:rPr>
          <w:rFonts w:cstheme="minorHAnsi"/>
          <w:sz w:val="24"/>
          <w:szCs w:val="24"/>
        </w:rPr>
        <w:t>market</w:t>
      </w:r>
      <w:r w:rsidRPr="00476C0C">
        <w:rPr>
          <w:rFonts w:cstheme="minorHAnsi"/>
          <w:sz w:val="24"/>
          <w:szCs w:val="24"/>
        </w:rPr>
        <w:t xml:space="preserve"> saturation</w:t>
      </w:r>
      <w:r>
        <w:rPr>
          <w:rFonts w:cstheme="minorHAnsi"/>
          <w:sz w:val="24"/>
          <w:szCs w:val="24"/>
        </w:rPr>
        <w:t xml:space="preserve"> in the HoFH patient population.</w:t>
      </w:r>
      <w:r>
        <w:rPr>
          <w:rFonts w:eastAsia="Calibri" w:cstheme="minorHAnsi"/>
          <w:sz w:val="24"/>
          <w:szCs w:val="24"/>
        </w:rPr>
        <w:t xml:space="preserve"> </w:t>
      </w:r>
      <w:r w:rsidRPr="00573B17">
        <w:rPr>
          <w:rFonts w:eastAsia="Calibri" w:cstheme="minorHAnsi"/>
          <w:sz w:val="24"/>
          <w:szCs w:val="24"/>
        </w:rPr>
        <w:t>The actual number of supplied prescriptions was very similar to the predicted number of prescriptions in the first year of listing but greater than predicted in the second year.</w:t>
      </w:r>
    </w:p>
    <w:p w14:paraId="46217F8C" w14:textId="5821AF66" w:rsidR="00E058BC" w:rsidRPr="00E058BC" w:rsidRDefault="00E058BC" w:rsidP="00E058BC">
      <w:pPr>
        <w:contextualSpacing/>
        <w:rPr>
          <w:rFonts w:eastAsia="MS Mincho"/>
          <w:sz w:val="24"/>
          <w:szCs w:val="24"/>
        </w:rPr>
      </w:pPr>
    </w:p>
    <w:p w14:paraId="54233FD8" w14:textId="77777777" w:rsidR="00F80672" w:rsidRDefault="00E058BC" w:rsidP="00843448">
      <w:pPr>
        <w:contextualSpacing/>
        <w:rPr>
          <w:rFonts w:eastAsia="MS Mincho"/>
          <w:sz w:val="24"/>
          <w:szCs w:val="24"/>
        </w:rPr>
      </w:pPr>
      <w:r w:rsidRPr="00E058BC">
        <w:rPr>
          <w:rFonts w:eastAsia="MS Mincho"/>
          <w:sz w:val="24"/>
          <w:szCs w:val="24"/>
        </w:rPr>
        <w:t xml:space="preserve">DUSC requested that the report </w:t>
      </w:r>
      <w:proofErr w:type="gramStart"/>
      <w:r w:rsidRPr="00E058BC">
        <w:rPr>
          <w:rFonts w:eastAsia="MS Mincho"/>
          <w:sz w:val="24"/>
          <w:szCs w:val="24"/>
        </w:rPr>
        <w:t>be provided</w:t>
      </w:r>
      <w:proofErr w:type="gramEnd"/>
      <w:r w:rsidRPr="00E058BC">
        <w:rPr>
          <w:rFonts w:eastAsia="MS Mincho"/>
          <w:sz w:val="24"/>
          <w:szCs w:val="24"/>
        </w:rPr>
        <w:t xml:space="preserve"> to the PBAC.</w:t>
      </w:r>
    </w:p>
    <w:p w14:paraId="46D49992" w14:textId="77777777" w:rsidR="00F80672" w:rsidRDefault="00F80672">
      <w:pPr>
        <w:rPr>
          <w:rFonts w:eastAsia="MS Mincho"/>
          <w:sz w:val="24"/>
          <w:szCs w:val="24"/>
        </w:rPr>
      </w:pPr>
      <w:r>
        <w:rPr>
          <w:rFonts w:eastAsia="MS Mincho"/>
          <w:sz w:val="24"/>
          <w:szCs w:val="24"/>
        </w:rPr>
        <w:br w:type="page"/>
      </w:r>
    </w:p>
    <w:p w14:paraId="4D874ED0" w14:textId="67551A08" w:rsidR="00843448" w:rsidRPr="00843448" w:rsidRDefault="0088390C" w:rsidP="00843448">
      <w:pPr>
        <w:contextualSpacing/>
        <w:rPr>
          <w:rFonts w:eastAsia="MS Mincho"/>
          <w:b/>
          <w:sz w:val="24"/>
          <w:szCs w:val="24"/>
        </w:rPr>
      </w:pPr>
      <w:bookmarkStart w:id="0" w:name="_GoBack"/>
      <w:bookmarkEnd w:id="0"/>
      <w:proofErr w:type="spellStart"/>
      <w:r w:rsidRPr="0088390C">
        <w:rPr>
          <w:rFonts w:eastAsia="MS Mincho"/>
          <w:b/>
          <w:sz w:val="24"/>
          <w:szCs w:val="24"/>
        </w:rPr>
        <w:lastRenderedPageBreak/>
        <w:t>Lenalidomide</w:t>
      </w:r>
      <w:proofErr w:type="spellEnd"/>
      <w:r w:rsidRPr="0088390C">
        <w:rPr>
          <w:rFonts w:eastAsia="MS Mincho"/>
          <w:b/>
          <w:sz w:val="24"/>
          <w:szCs w:val="24"/>
        </w:rPr>
        <w:t xml:space="preserve"> for </w:t>
      </w:r>
      <w:r>
        <w:rPr>
          <w:rFonts w:eastAsia="MS Mincho"/>
          <w:b/>
          <w:sz w:val="24"/>
          <w:szCs w:val="24"/>
        </w:rPr>
        <w:t xml:space="preserve">the treatment of </w:t>
      </w:r>
      <w:r w:rsidRPr="0088390C">
        <w:rPr>
          <w:rFonts w:eastAsia="MS Mincho"/>
          <w:b/>
          <w:sz w:val="24"/>
          <w:szCs w:val="24"/>
        </w:rPr>
        <w:t>newly diagnosed multiple myeloma</w:t>
      </w:r>
    </w:p>
    <w:p w14:paraId="3687E546" w14:textId="7C41EE2F" w:rsidR="0088390C" w:rsidRDefault="0088390C" w:rsidP="0088390C">
      <w:pPr>
        <w:contextualSpacing/>
        <w:rPr>
          <w:rFonts w:eastAsia="MS Mincho"/>
          <w:sz w:val="24"/>
          <w:szCs w:val="24"/>
        </w:rPr>
      </w:pPr>
      <w:r w:rsidRPr="0088390C">
        <w:rPr>
          <w:rFonts w:eastAsia="MS Mincho"/>
          <w:sz w:val="24"/>
          <w:szCs w:val="24"/>
        </w:rPr>
        <w:t>DUSC compared the predicted and actual utilisation of lenalidomide for newly diagnosed multiple myeloma patients who are ineligible for autologous stem cell transplantation since it was first PBS listed for this indication in 1 February 2017. The report showed that the total number of patients was under-estimated but the total number of prescriptions was overestimated.</w:t>
      </w:r>
      <w:r w:rsidR="000D2142">
        <w:rPr>
          <w:rFonts w:eastAsia="MS Mincho"/>
          <w:sz w:val="24"/>
          <w:szCs w:val="24"/>
        </w:rPr>
        <w:t xml:space="preserve"> </w:t>
      </w:r>
      <w:r w:rsidRPr="0088390C">
        <w:rPr>
          <w:rFonts w:eastAsia="MS Mincho"/>
          <w:sz w:val="24"/>
          <w:szCs w:val="24"/>
        </w:rPr>
        <w:t xml:space="preserve">There was a lower number of prescriptions per patient than expected. </w:t>
      </w:r>
    </w:p>
    <w:p w14:paraId="1ECFE24C" w14:textId="77777777" w:rsidR="0088390C" w:rsidRDefault="0088390C" w:rsidP="0088390C">
      <w:pPr>
        <w:contextualSpacing/>
        <w:rPr>
          <w:rFonts w:eastAsia="MS Mincho"/>
          <w:sz w:val="24"/>
          <w:szCs w:val="24"/>
        </w:rPr>
      </w:pPr>
    </w:p>
    <w:p w14:paraId="7F06217F" w14:textId="758DFB9A" w:rsidR="00A86A36" w:rsidRPr="00846541" w:rsidRDefault="00A86A36" w:rsidP="0088390C">
      <w:pPr>
        <w:contextualSpacing/>
        <w:rPr>
          <w:rFonts w:eastAsia="MS Mincho"/>
          <w:sz w:val="24"/>
          <w:szCs w:val="24"/>
        </w:rPr>
      </w:pPr>
      <w:r w:rsidRPr="00BB52B3">
        <w:rPr>
          <w:rFonts w:eastAsia="MS Mincho"/>
          <w:sz w:val="24"/>
          <w:szCs w:val="24"/>
        </w:rPr>
        <w:t>DUSC requested that the report be provided to the PBAC.</w:t>
      </w:r>
    </w:p>
    <w:p w14:paraId="29401048" w14:textId="77777777" w:rsidR="003F0120" w:rsidRDefault="003F0120" w:rsidP="00FA5FD8">
      <w:pPr>
        <w:contextualSpacing/>
        <w:rPr>
          <w:rFonts w:eastAsia="MS Mincho"/>
          <w:sz w:val="24"/>
          <w:szCs w:val="24"/>
          <w:highlight w:val="yellow"/>
        </w:rPr>
      </w:pPr>
    </w:p>
    <w:p w14:paraId="19BD5979" w14:textId="72934E06" w:rsidR="00F84AB6" w:rsidRPr="00843448" w:rsidRDefault="0088390C" w:rsidP="0088390C">
      <w:pPr>
        <w:contextualSpacing/>
        <w:rPr>
          <w:rFonts w:eastAsia="MS Mincho"/>
          <w:b/>
          <w:sz w:val="24"/>
          <w:szCs w:val="24"/>
        </w:rPr>
      </w:pPr>
      <w:r w:rsidRPr="0088390C">
        <w:rPr>
          <w:rFonts w:eastAsia="MS Mincho"/>
          <w:b/>
          <w:sz w:val="24"/>
          <w:szCs w:val="24"/>
        </w:rPr>
        <w:t>Tyrosine kinase inhibitors for the</w:t>
      </w:r>
      <w:r>
        <w:rPr>
          <w:rFonts w:eastAsia="MS Mincho"/>
          <w:b/>
          <w:sz w:val="24"/>
          <w:szCs w:val="24"/>
        </w:rPr>
        <w:t xml:space="preserve"> </w:t>
      </w:r>
      <w:r w:rsidRPr="0088390C">
        <w:rPr>
          <w:rFonts w:eastAsia="MS Mincho"/>
          <w:b/>
          <w:sz w:val="24"/>
          <w:szCs w:val="24"/>
        </w:rPr>
        <w:t>treatment of chronic myeloid</w:t>
      </w:r>
      <w:r>
        <w:rPr>
          <w:rFonts w:eastAsia="MS Mincho"/>
          <w:b/>
          <w:sz w:val="24"/>
          <w:szCs w:val="24"/>
        </w:rPr>
        <w:t xml:space="preserve"> leukaemia </w:t>
      </w:r>
    </w:p>
    <w:p w14:paraId="4A9F717F" w14:textId="0EE83A78" w:rsidR="0088390C" w:rsidRDefault="0088390C" w:rsidP="0088390C">
      <w:pPr>
        <w:contextualSpacing/>
        <w:rPr>
          <w:rFonts w:eastAsia="MS Mincho"/>
          <w:sz w:val="24"/>
          <w:szCs w:val="24"/>
        </w:rPr>
      </w:pPr>
      <w:r w:rsidRPr="0088390C">
        <w:rPr>
          <w:rFonts w:eastAsia="MS Mincho"/>
          <w:sz w:val="24"/>
          <w:szCs w:val="24"/>
        </w:rPr>
        <w:t>DUSC reviewed the utilisation of PBS-listed tyrosine kinase inhibitors (TKIs), imatinib, dasatinib, nilotinib and ponatinib, for the treatment of chronic myeloid leukaemia (CML).</w:t>
      </w:r>
    </w:p>
    <w:p w14:paraId="7E17C8B5" w14:textId="77777777" w:rsidR="0088390C" w:rsidRPr="0088390C" w:rsidRDefault="0088390C" w:rsidP="0088390C">
      <w:pPr>
        <w:contextualSpacing/>
        <w:rPr>
          <w:rFonts w:eastAsia="MS Mincho"/>
          <w:sz w:val="24"/>
          <w:szCs w:val="24"/>
        </w:rPr>
      </w:pPr>
    </w:p>
    <w:p w14:paraId="61D1EF20" w14:textId="60E5D770" w:rsidR="0088390C" w:rsidRDefault="0088390C" w:rsidP="0088390C">
      <w:pPr>
        <w:contextualSpacing/>
        <w:rPr>
          <w:rFonts w:eastAsia="MS Mincho"/>
          <w:sz w:val="24"/>
          <w:szCs w:val="24"/>
        </w:rPr>
      </w:pPr>
      <w:r w:rsidRPr="0088390C">
        <w:rPr>
          <w:rFonts w:eastAsia="MS Mincho"/>
          <w:sz w:val="24"/>
          <w:szCs w:val="24"/>
        </w:rPr>
        <w:t xml:space="preserve">There was continued growth in the number of prescriptions of imatinib, dasatinib, nilotinib and ponatinib supplied per year for CML since the previous analysis considered by DUSC in 2014. Similarly, the number of treated patients had grown in a linear manner. In 2018, 437 patients initiated treatment, and a total </w:t>
      </w:r>
      <w:r w:rsidR="00665A90">
        <w:rPr>
          <w:rFonts w:eastAsia="MS Mincho"/>
          <w:sz w:val="24"/>
          <w:szCs w:val="24"/>
        </w:rPr>
        <w:t>of 3,819 patients were treated.</w:t>
      </w:r>
    </w:p>
    <w:p w14:paraId="34C52C9F" w14:textId="77777777" w:rsidR="0088390C" w:rsidRPr="0088390C" w:rsidRDefault="0088390C" w:rsidP="0088390C">
      <w:pPr>
        <w:contextualSpacing/>
        <w:rPr>
          <w:rFonts w:eastAsia="MS Mincho"/>
          <w:sz w:val="24"/>
          <w:szCs w:val="24"/>
        </w:rPr>
      </w:pPr>
    </w:p>
    <w:p w14:paraId="4DCF7E3C" w14:textId="07B77861" w:rsidR="0088390C" w:rsidRDefault="0088390C" w:rsidP="0088390C">
      <w:pPr>
        <w:contextualSpacing/>
        <w:rPr>
          <w:rFonts w:eastAsia="MS Mincho"/>
          <w:sz w:val="24"/>
          <w:szCs w:val="24"/>
        </w:rPr>
      </w:pPr>
      <w:r w:rsidRPr="0088390C">
        <w:rPr>
          <w:rFonts w:eastAsia="MS Mincho"/>
          <w:sz w:val="24"/>
          <w:szCs w:val="24"/>
        </w:rPr>
        <w:t>The addition of ponatinib to the PBS had not substantively impacted on the overall growth in the use of TKIs for CML. The use of ponatinib was small in the context of the whole CML market; 50 patients were treated with ponatinib in 2018.</w:t>
      </w:r>
    </w:p>
    <w:p w14:paraId="2491CD86" w14:textId="77777777" w:rsidR="0088390C" w:rsidRPr="0088390C" w:rsidRDefault="0088390C" w:rsidP="0088390C">
      <w:pPr>
        <w:contextualSpacing/>
        <w:rPr>
          <w:rFonts w:eastAsia="MS Mincho"/>
          <w:sz w:val="24"/>
          <w:szCs w:val="24"/>
        </w:rPr>
      </w:pPr>
    </w:p>
    <w:p w14:paraId="7EB1E3F2" w14:textId="1CCC1FF8" w:rsidR="002F24C4" w:rsidRPr="002F24C4" w:rsidRDefault="0088390C" w:rsidP="002F24C4">
      <w:pPr>
        <w:contextualSpacing/>
        <w:rPr>
          <w:rFonts w:eastAsia="MS Mincho"/>
          <w:sz w:val="24"/>
          <w:szCs w:val="24"/>
        </w:rPr>
      </w:pPr>
      <w:r w:rsidRPr="0088390C">
        <w:rPr>
          <w:rFonts w:eastAsia="MS Mincho"/>
          <w:sz w:val="24"/>
          <w:szCs w:val="24"/>
        </w:rPr>
        <w:t>DUSC requested that the report be provided to the PBAC.</w:t>
      </w:r>
    </w:p>
    <w:p w14:paraId="6AF075E7" w14:textId="4E59BA54" w:rsidR="0088390C" w:rsidRDefault="0088390C" w:rsidP="00F84AB6">
      <w:pPr>
        <w:contextualSpacing/>
        <w:rPr>
          <w:rFonts w:eastAsia="MS Mincho"/>
          <w:sz w:val="24"/>
          <w:szCs w:val="24"/>
        </w:rPr>
      </w:pPr>
    </w:p>
    <w:p w14:paraId="634DF923" w14:textId="154995A6" w:rsidR="0088390C" w:rsidRPr="0088390C" w:rsidRDefault="0088390C" w:rsidP="0088390C">
      <w:pPr>
        <w:contextualSpacing/>
        <w:rPr>
          <w:rFonts w:eastAsia="MS Mincho"/>
          <w:b/>
          <w:sz w:val="24"/>
          <w:szCs w:val="24"/>
        </w:rPr>
      </w:pPr>
      <w:r w:rsidRPr="0088390C">
        <w:rPr>
          <w:rFonts w:eastAsia="MS Mincho"/>
          <w:b/>
          <w:sz w:val="24"/>
          <w:szCs w:val="24"/>
        </w:rPr>
        <w:t>Biologics for uncontrolled severe allergic and eosinophilic asthma</w:t>
      </w:r>
    </w:p>
    <w:p w14:paraId="46350D58" w14:textId="0CF409DC" w:rsidR="009F597A" w:rsidRDefault="009F597A" w:rsidP="009F597A">
      <w:pPr>
        <w:contextualSpacing/>
        <w:rPr>
          <w:rFonts w:eastAsia="MS Mincho"/>
          <w:sz w:val="24"/>
          <w:szCs w:val="24"/>
        </w:rPr>
      </w:pPr>
      <w:r w:rsidRPr="009F597A">
        <w:rPr>
          <w:rFonts w:eastAsia="MS Mincho"/>
          <w:sz w:val="24"/>
          <w:szCs w:val="24"/>
        </w:rPr>
        <w:t xml:space="preserve">DUSC considered the use of three biologics listed on the PBS for the treatment of uncontrolled severe asthma. These include omalizumab for severe allergic asthma, and mepolizumab and benralizumab </w:t>
      </w:r>
      <w:r w:rsidR="00665A90">
        <w:rPr>
          <w:rFonts w:eastAsia="MS Mincho"/>
          <w:sz w:val="24"/>
          <w:szCs w:val="24"/>
        </w:rPr>
        <w:t>for severe eosinophilic asthma.</w:t>
      </w:r>
    </w:p>
    <w:p w14:paraId="0F1198CA" w14:textId="77777777" w:rsidR="009F597A" w:rsidRPr="009F597A" w:rsidRDefault="009F597A" w:rsidP="009F597A">
      <w:pPr>
        <w:contextualSpacing/>
        <w:rPr>
          <w:rFonts w:eastAsia="MS Mincho"/>
          <w:sz w:val="24"/>
          <w:szCs w:val="24"/>
        </w:rPr>
      </w:pPr>
    </w:p>
    <w:p w14:paraId="125F9E51" w14:textId="23169425" w:rsidR="001E50B6" w:rsidRPr="002163C3" w:rsidRDefault="001E50B6" w:rsidP="001E50B6">
      <w:pPr>
        <w:rPr>
          <w:sz w:val="24"/>
          <w:szCs w:val="24"/>
        </w:rPr>
      </w:pPr>
      <w:r w:rsidRPr="002163C3">
        <w:rPr>
          <w:sz w:val="24"/>
          <w:szCs w:val="24"/>
        </w:rPr>
        <w:t xml:space="preserve">In 2018, 1,250 patients were supplied omalizumab </w:t>
      </w:r>
      <w:r>
        <w:rPr>
          <w:sz w:val="24"/>
          <w:szCs w:val="24"/>
        </w:rPr>
        <w:t xml:space="preserve">and </w:t>
      </w:r>
      <w:r w:rsidRPr="002163C3">
        <w:rPr>
          <w:sz w:val="24"/>
          <w:szCs w:val="24"/>
        </w:rPr>
        <w:t>1,222 patients received PBS-subsidised treatment</w:t>
      </w:r>
      <w:r>
        <w:rPr>
          <w:sz w:val="24"/>
          <w:szCs w:val="24"/>
        </w:rPr>
        <w:t xml:space="preserve"> for severe eosinophilic asthma</w:t>
      </w:r>
      <w:r w:rsidRPr="002163C3">
        <w:rPr>
          <w:sz w:val="24"/>
          <w:szCs w:val="24"/>
        </w:rPr>
        <w:t>. The number of prescriptions supplied for severe asthma biologics was over 24,000.</w:t>
      </w:r>
    </w:p>
    <w:p w14:paraId="0F3D3C52" w14:textId="77777777" w:rsidR="001E50B6" w:rsidRDefault="001E50B6" w:rsidP="009F597A">
      <w:pPr>
        <w:contextualSpacing/>
        <w:rPr>
          <w:rFonts w:eastAsia="MS Mincho"/>
          <w:sz w:val="24"/>
          <w:szCs w:val="24"/>
        </w:rPr>
      </w:pPr>
    </w:p>
    <w:p w14:paraId="432CC749" w14:textId="207A98C8" w:rsidR="001E50B6" w:rsidRDefault="001E50B6" w:rsidP="009F597A">
      <w:pPr>
        <w:contextualSpacing/>
        <w:rPr>
          <w:rFonts w:eastAsia="MS Mincho"/>
          <w:sz w:val="24"/>
          <w:szCs w:val="24"/>
        </w:rPr>
      </w:pPr>
      <w:r w:rsidRPr="001E50B6">
        <w:rPr>
          <w:rFonts w:eastAsia="MS Mincho"/>
          <w:sz w:val="24"/>
          <w:szCs w:val="24"/>
        </w:rPr>
        <w:t>There was a high rate of growth in the number of people supplied mepolizumab, with the rate of growth of the eosinophilic asthma biologic market further increasing with the listing of benralizumab. Use of mepolizumab in terms of patients, prescriptions and expenditure was higher than estimated in both the first a</w:t>
      </w:r>
      <w:r w:rsidR="00665A90">
        <w:rPr>
          <w:rFonts w:eastAsia="MS Mincho"/>
          <w:sz w:val="24"/>
          <w:szCs w:val="24"/>
        </w:rPr>
        <w:t>nd second years of PBS listing.</w:t>
      </w:r>
    </w:p>
    <w:p w14:paraId="1C04DE3A" w14:textId="77777777" w:rsidR="001E50B6" w:rsidRDefault="001E50B6" w:rsidP="009F597A">
      <w:pPr>
        <w:contextualSpacing/>
        <w:rPr>
          <w:rFonts w:eastAsia="MS Mincho"/>
          <w:sz w:val="24"/>
          <w:szCs w:val="24"/>
        </w:rPr>
      </w:pPr>
    </w:p>
    <w:p w14:paraId="7C4DD47D" w14:textId="012CD4FD" w:rsidR="009F597A" w:rsidRPr="001E50B6" w:rsidRDefault="009F597A" w:rsidP="009F597A">
      <w:pPr>
        <w:contextualSpacing/>
        <w:rPr>
          <w:rFonts w:eastAsia="MS Mincho"/>
          <w:sz w:val="24"/>
          <w:szCs w:val="24"/>
        </w:rPr>
      </w:pPr>
      <w:r w:rsidRPr="009F597A">
        <w:rPr>
          <w:rFonts w:eastAsia="MS Mincho"/>
          <w:sz w:val="24"/>
          <w:szCs w:val="24"/>
        </w:rPr>
        <w:t xml:space="preserve">The PBS listing of biologics for the treatment of severe eosinophilic asthma </w:t>
      </w:r>
      <w:r w:rsidR="007D337E" w:rsidRPr="007D337E">
        <w:rPr>
          <w:rFonts w:eastAsia="MS Mincho"/>
          <w:sz w:val="24"/>
          <w:szCs w:val="24"/>
        </w:rPr>
        <w:t>did not create any substantial changes in the use of omalizumab</w:t>
      </w:r>
      <w:r w:rsidRPr="007D337E">
        <w:rPr>
          <w:rFonts w:eastAsia="MS Mincho"/>
          <w:sz w:val="24"/>
          <w:szCs w:val="24"/>
        </w:rPr>
        <w:t xml:space="preserve"> </w:t>
      </w:r>
      <w:r w:rsidRPr="009F597A">
        <w:rPr>
          <w:rFonts w:eastAsia="MS Mincho"/>
          <w:sz w:val="24"/>
          <w:szCs w:val="24"/>
        </w:rPr>
        <w:t>for severe allergic asthma. A small proportion of patients switched between severe asthma biologics. However, of the people who switched, the majority moved from a medicine for allergic asthma to one for eos</w:t>
      </w:r>
      <w:r w:rsidR="00665A90">
        <w:rPr>
          <w:rFonts w:eastAsia="MS Mincho"/>
          <w:sz w:val="24"/>
          <w:szCs w:val="24"/>
        </w:rPr>
        <w:t>inophilic asthma or vice-versa.</w:t>
      </w:r>
    </w:p>
    <w:p w14:paraId="6B27ECDD" w14:textId="77777777" w:rsidR="009F597A" w:rsidRPr="001E50B6" w:rsidRDefault="009F597A" w:rsidP="009F597A">
      <w:pPr>
        <w:contextualSpacing/>
        <w:rPr>
          <w:rFonts w:eastAsia="MS Mincho"/>
          <w:sz w:val="24"/>
          <w:szCs w:val="24"/>
        </w:rPr>
      </w:pPr>
    </w:p>
    <w:p w14:paraId="1EF6755C" w14:textId="30D3CA40" w:rsidR="0088390C" w:rsidRDefault="0088390C" w:rsidP="0088390C">
      <w:pPr>
        <w:contextualSpacing/>
        <w:rPr>
          <w:rFonts w:eastAsia="MS Mincho"/>
          <w:sz w:val="24"/>
          <w:szCs w:val="24"/>
        </w:rPr>
      </w:pPr>
      <w:r w:rsidRPr="00BB52B3">
        <w:rPr>
          <w:rFonts w:eastAsia="MS Mincho"/>
          <w:sz w:val="24"/>
          <w:szCs w:val="24"/>
        </w:rPr>
        <w:t>DUSC requested that the report be provided to the PBAC.</w:t>
      </w:r>
    </w:p>
    <w:p w14:paraId="4802D21D" w14:textId="77777777" w:rsidR="00665A90" w:rsidRDefault="00665A90" w:rsidP="0088390C">
      <w:pPr>
        <w:contextualSpacing/>
        <w:rPr>
          <w:rFonts w:eastAsia="MS Mincho"/>
          <w:sz w:val="24"/>
          <w:szCs w:val="24"/>
        </w:rPr>
      </w:pPr>
    </w:p>
    <w:p w14:paraId="77C6FF52" w14:textId="0F974738" w:rsidR="00C74A39" w:rsidRDefault="00C74A39">
      <w:pPr>
        <w:rPr>
          <w:b/>
          <w:sz w:val="28"/>
        </w:rPr>
      </w:pPr>
    </w:p>
    <w:p w14:paraId="2A06376F" w14:textId="1AA6458D" w:rsidR="00813C07" w:rsidRPr="00144B72" w:rsidRDefault="00EC27B1" w:rsidP="008B6946">
      <w:pPr>
        <w:pStyle w:val="Heading2"/>
      </w:pPr>
      <w:r w:rsidRPr="00144B72">
        <w:lastRenderedPageBreak/>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B8965C8"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11275EE" w14:textId="77777777" w:rsidR="00513E5D" w:rsidRPr="0062222D" w:rsidRDefault="00513E5D" w:rsidP="008B6946">
      <w:pPr>
        <w:rPr>
          <w:sz w:val="24"/>
          <w:szCs w:val="24"/>
          <w:highlight w:val="yellow"/>
        </w:rPr>
      </w:pPr>
    </w:p>
    <w:p w14:paraId="6C432837" w14:textId="77777777"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14:paraId="676AB074" w14:textId="53A443DC" w:rsidR="00330ADB" w:rsidRPr="006B6AE0" w:rsidRDefault="0088390C" w:rsidP="00F84AB6">
      <w:pPr>
        <w:pStyle w:val="ListParagraph"/>
        <w:numPr>
          <w:ilvl w:val="0"/>
          <w:numId w:val="6"/>
        </w:numPr>
        <w:contextualSpacing/>
        <w:rPr>
          <w:b/>
        </w:rPr>
      </w:pPr>
      <w:r>
        <w:t xml:space="preserve">Alemtuzumab for </w:t>
      </w:r>
      <w:r>
        <w:rPr>
          <w:szCs w:val="24"/>
        </w:rPr>
        <w:t xml:space="preserve">the treatment of </w:t>
      </w:r>
      <w:r>
        <w:t>relapsing remitting multiple sclerosis</w:t>
      </w:r>
      <w:r w:rsidR="006B6AE0">
        <w:t>.</w:t>
      </w:r>
    </w:p>
    <w:p w14:paraId="03003054" w14:textId="11996205" w:rsidR="006B6AE0" w:rsidRPr="0088390C" w:rsidRDefault="0088390C" w:rsidP="0067727C">
      <w:pPr>
        <w:pStyle w:val="ListParagraph"/>
        <w:numPr>
          <w:ilvl w:val="0"/>
          <w:numId w:val="6"/>
        </w:numPr>
        <w:contextualSpacing/>
        <w:rPr>
          <w:b/>
        </w:rPr>
      </w:pPr>
      <w:r>
        <w:t>Nintedanib and pirfenidone</w:t>
      </w:r>
      <w:r w:rsidR="006B6AE0">
        <w:t xml:space="preserve"> for the treatment of </w:t>
      </w:r>
      <w:r>
        <w:t>idiopathic pulmonary fibrosis</w:t>
      </w:r>
      <w:r w:rsidR="006B6AE0">
        <w:t>.</w:t>
      </w:r>
    </w:p>
    <w:p w14:paraId="394AC65B" w14:textId="77777777" w:rsidR="006B6AE0" w:rsidRDefault="006B6AE0" w:rsidP="006B6AE0">
      <w:pPr>
        <w:pStyle w:val="ListParagraph"/>
        <w:contextualSpacing/>
        <w:rPr>
          <w:b/>
        </w:rPr>
      </w:pPr>
    </w:p>
    <w:p w14:paraId="04A8619D" w14:textId="34D31806" w:rsidR="00C3191A" w:rsidRPr="00330ADB" w:rsidRDefault="00330ADB" w:rsidP="0099648E">
      <w:pPr>
        <w:pStyle w:val="ListParagraph"/>
        <w:autoSpaceDE w:val="0"/>
        <w:autoSpaceDN w:val="0"/>
        <w:adjustRightInd w:val="0"/>
        <w:ind w:left="0"/>
        <w:contextualSpacing/>
        <w:rPr>
          <w:b/>
        </w:rPr>
      </w:pPr>
      <w:r w:rsidRPr="00330ADB">
        <w:rPr>
          <w:b/>
        </w:rPr>
        <w:t xml:space="preserve">Analysis of </w:t>
      </w:r>
      <w:r w:rsidR="009E5AA4">
        <w:rPr>
          <w:b/>
        </w:rPr>
        <w:t xml:space="preserve">single or </w:t>
      </w:r>
      <w:r w:rsidRPr="00330ADB">
        <w:rPr>
          <w:b/>
        </w:rPr>
        <w:t>multiple medicines in a treatment area</w:t>
      </w:r>
    </w:p>
    <w:p w14:paraId="4AB57244" w14:textId="79E54DB8" w:rsidR="00491723" w:rsidRDefault="0088390C" w:rsidP="00751B88">
      <w:pPr>
        <w:pStyle w:val="ListParagraph"/>
        <w:numPr>
          <w:ilvl w:val="0"/>
          <w:numId w:val="6"/>
        </w:numPr>
        <w:contextualSpacing/>
        <w:rPr>
          <w:szCs w:val="24"/>
        </w:rPr>
      </w:pPr>
      <w:r>
        <w:rPr>
          <w:szCs w:val="24"/>
        </w:rPr>
        <w:t>Opioids and other medicines for the treatment of pain</w:t>
      </w:r>
      <w:r w:rsidR="00491723">
        <w:rPr>
          <w:szCs w:val="24"/>
        </w:rPr>
        <w:t>.</w:t>
      </w:r>
    </w:p>
    <w:p w14:paraId="2DED7751" w14:textId="23931982" w:rsidR="00330ADB" w:rsidRPr="00330ADB" w:rsidRDefault="009E5AA4" w:rsidP="0088390C">
      <w:pPr>
        <w:pStyle w:val="ListParagraph"/>
        <w:numPr>
          <w:ilvl w:val="0"/>
          <w:numId w:val="6"/>
        </w:numPr>
        <w:contextualSpacing/>
        <w:rPr>
          <w:szCs w:val="24"/>
        </w:rPr>
      </w:pPr>
      <w:r>
        <w:rPr>
          <w:szCs w:val="24"/>
        </w:rPr>
        <w:t>Testost</w:t>
      </w:r>
      <w:r w:rsidR="0088390C">
        <w:rPr>
          <w:szCs w:val="24"/>
        </w:rPr>
        <w:t>erone</w:t>
      </w:r>
      <w:r>
        <w:rPr>
          <w:szCs w:val="24"/>
        </w:rPr>
        <w:t>.</w:t>
      </w:r>
    </w:p>
    <w:p w14:paraId="0A072563" w14:textId="77777777" w:rsidR="00330ADB" w:rsidRPr="00225034" w:rsidRDefault="00330ADB" w:rsidP="0099648E">
      <w:pPr>
        <w:pStyle w:val="ListParagraph"/>
        <w:autoSpaceDE w:val="0"/>
        <w:autoSpaceDN w:val="0"/>
        <w:adjustRightInd w:val="0"/>
        <w:ind w:left="0"/>
        <w:contextualSpacing/>
        <w:rPr>
          <w:b/>
          <w:szCs w:val="24"/>
        </w:rPr>
      </w:pPr>
    </w:p>
    <w:p w14:paraId="4F31FAF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4B75B1D1" w14:textId="77777777" w:rsidR="00313B7D" w:rsidRPr="0062222D" w:rsidRDefault="00313B7D" w:rsidP="008B6946">
      <w:pPr>
        <w:rPr>
          <w:sz w:val="24"/>
          <w:szCs w:val="24"/>
          <w:highlight w:val="yellow"/>
        </w:rPr>
      </w:pPr>
    </w:p>
    <w:p w14:paraId="7D3381D4" w14:textId="77777777" w:rsidR="009B25AF" w:rsidRPr="0062222D" w:rsidRDefault="009B25AF" w:rsidP="008B6946">
      <w:pPr>
        <w:rPr>
          <w:sz w:val="24"/>
          <w:szCs w:val="24"/>
          <w:highlight w:val="yellow"/>
        </w:rPr>
      </w:pPr>
    </w:p>
    <w:p w14:paraId="3C08993A"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30EB1F9C" w14:textId="77777777" w:rsidR="00002AE8" w:rsidRPr="00144B72" w:rsidRDefault="00002AE8" w:rsidP="008B6946">
      <w:pPr>
        <w:rPr>
          <w:sz w:val="24"/>
          <w:szCs w:val="24"/>
        </w:rPr>
      </w:pPr>
      <w:r w:rsidRPr="00144B72">
        <w:rPr>
          <w:sz w:val="24"/>
          <w:szCs w:val="24"/>
        </w:rPr>
        <w:t>Chair</w:t>
      </w:r>
    </w:p>
    <w:p w14:paraId="47287FD5" w14:textId="77777777" w:rsidR="00002AE8" w:rsidRPr="003F06C8" w:rsidRDefault="00C9017B" w:rsidP="008B6946">
      <w:pPr>
        <w:rPr>
          <w:sz w:val="24"/>
          <w:szCs w:val="24"/>
        </w:rPr>
      </w:pPr>
      <w:r w:rsidRPr="00144B72">
        <w:rPr>
          <w:sz w:val="24"/>
          <w:szCs w:val="24"/>
        </w:rPr>
        <w:t>Drug Utilisation Sub-Committee</w:t>
      </w:r>
    </w:p>
    <w:sectPr w:rsidR="00002AE8" w:rsidRPr="003F06C8" w:rsidSect="007166A9">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7068" w14:textId="77777777" w:rsidR="004438C3" w:rsidRDefault="004438C3">
      <w:r>
        <w:separator/>
      </w:r>
    </w:p>
  </w:endnote>
  <w:endnote w:type="continuationSeparator" w:id="0">
    <w:p w14:paraId="75B21E3B" w14:textId="77777777"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E0B30" w14:textId="77777777" w:rsidR="0088390C" w:rsidRDefault="00883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7D2B" w14:textId="3A13B892" w:rsidR="00CA1AA9" w:rsidRDefault="00CA1AA9">
    <w:pPr>
      <w:pStyle w:val="Footer"/>
      <w:jc w:val="center"/>
    </w:pPr>
    <w:r>
      <w:fldChar w:fldCharType="begin"/>
    </w:r>
    <w:r>
      <w:instrText xml:space="preserve"> PAGE   \* MERGEFORMAT </w:instrText>
    </w:r>
    <w:r>
      <w:fldChar w:fldCharType="separate"/>
    </w:r>
    <w:r w:rsidR="00F80672">
      <w:rPr>
        <w:noProof/>
      </w:rPr>
      <w:t>3</w:t>
    </w:r>
    <w:r>
      <w:rPr>
        <w:noProof/>
      </w:rPr>
      <w:fldChar w:fldCharType="end"/>
    </w:r>
  </w:p>
  <w:p w14:paraId="549CD2A8"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6C0" w14:textId="66931EB5" w:rsidR="00CA1AA9" w:rsidRDefault="00CA1AA9">
    <w:pPr>
      <w:pStyle w:val="Footer"/>
      <w:jc w:val="center"/>
    </w:pPr>
    <w:r>
      <w:fldChar w:fldCharType="begin"/>
    </w:r>
    <w:r>
      <w:instrText xml:space="preserve"> PAGE   \* MERGEFORMAT </w:instrText>
    </w:r>
    <w:r>
      <w:fldChar w:fldCharType="separate"/>
    </w:r>
    <w:r w:rsidR="00F80672">
      <w:rPr>
        <w:noProof/>
      </w:rPr>
      <w:t>1</w:t>
    </w:r>
    <w:r>
      <w:rPr>
        <w:noProof/>
      </w:rPr>
      <w:fldChar w:fldCharType="end"/>
    </w:r>
  </w:p>
  <w:p w14:paraId="4CDDBBE6"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B984" w14:textId="77777777" w:rsidR="004438C3" w:rsidRDefault="004438C3">
      <w:r>
        <w:separator/>
      </w:r>
    </w:p>
  </w:footnote>
  <w:footnote w:type="continuationSeparator" w:id="0">
    <w:p w14:paraId="0AC3B1BD" w14:textId="77777777" w:rsidR="004438C3" w:rsidRDefault="0044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26761" w14:textId="77777777" w:rsidR="0088390C" w:rsidRDefault="00883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14882" w14:textId="77777777" w:rsidR="0088390C" w:rsidRDefault="008839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CD34" w14:textId="77777777" w:rsidR="00CA1AA9" w:rsidRDefault="00D562AF">
    <w:pPr>
      <w:pStyle w:val="Header"/>
    </w:pPr>
    <w:r>
      <w:rPr>
        <w:noProof/>
      </w:rPr>
      <w:drawing>
        <wp:inline distT="0" distB="0" distL="0" distR="0" wp14:anchorId="23846E48" wp14:editId="2A877774">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D2A0767" w14:textId="77777777" w:rsidR="00CA1AA9" w:rsidRPr="00CA347D" w:rsidRDefault="00CA1AA9" w:rsidP="00CA347D">
    <w:pPr>
      <w:pStyle w:val="Heading1"/>
      <w:rPr>
        <w:rStyle w:val="Heading1Char"/>
        <w:b/>
      </w:rPr>
    </w:pPr>
    <w:r w:rsidRPr="00CA347D">
      <w:rPr>
        <w:rStyle w:val="Heading1Char"/>
        <w:b/>
      </w:rPr>
      <w:t>Drug Utilisation Sub-Committee</w:t>
    </w:r>
  </w:p>
  <w:p w14:paraId="106AC726" w14:textId="6FBDB465" w:rsidR="00CA1AA9" w:rsidRPr="00CA347D" w:rsidRDefault="00CA1AA9" w:rsidP="00CA347D">
    <w:pPr>
      <w:pStyle w:val="Heading1"/>
    </w:pPr>
    <w:r w:rsidRPr="00CA347D">
      <w:rPr>
        <w:rStyle w:val="Heading1Char"/>
        <w:b/>
      </w:rPr>
      <w:t xml:space="preserve">Outcome Statement </w:t>
    </w:r>
    <w:r w:rsidR="0088390C">
      <w:rPr>
        <w:rStyle w:val="Heading1Char"/>
        <w:b/>
      </w:rPr>
      <w:t>3 October</w:t>
    </w:r>
    <w:r w:rsidR="001F7E8B">
      <w:rPr>
        <w:rStyle w:val="Heading1Char"/>
        <w:b/>
      </w:rPr>
      <w:t xml:space="preserve"> 201</w:t>
    </w:r>
    <w:r w:rsidR="00CE18BF">
      <w:rPr>
        <w:rStyle w:val="Heading1Char"/>
        <w:b/>
      </w:rPr>
      <w:t>9</w:t>
    </w:r>
  </w:p>
  <w:p w14:paraId="6B66BBBE"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7"/>
  </w:num>
  <w:num w:numId="9">
    <w:abstractNumId w:val="4"/>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2142"/>
    <w:rsid w:val="000D6712"/>
    <w:rsid w:val="000E178A"/>
    <w:rsid w:val="000E18F9"/>
    <w:rsid w:val="000F3387"/>
    <w:rsid w:val="000F4968"/>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9FD"/>
    <w:rsid w:val="00181817"/>
    <w:rsid w:val="00182CE1"/>
    <w:rsid w:val="0018567C"/>
    <w:rsid w:val="00186DD1"/>
    <w:rsid w:val="0018700E"/>
    <w:rsid w:val="001902AC"/>
    <w:rsid w:val="001920C5"/>
    <w:rsid w:val="001933E2"/>
    <w:rsid w:val="0019724B"/>
    <w:rsid w:val="001A10FD"/>
    <w:rsid w:val="001A3F70"/>
    <w:rsid w:val="001A417C"/>
    <w:rsid w:val="001A449F"/>
    <w:rsid w:val="001A4CD7"/>
    <w:rsid w:val="001A5FA2"/>
    <w:rsid w:val="001A7B67"/>
    <w:rsid w:val="001B1949"/>
    <w:rsid w:val="001B19E3"/>
    <w:rsid w:val="001B2A10"/>
    <w:rsid w:val="001B75D9"/>
    <w:rsid w:val="001C0316"/>
    <w:rsid w:val="001C5A7B"/>
    <w:rsid w:val="001C61FD"/>
    <w:rsid w:val="001C7C04"/>
    <w:rsid w:val="001E4D54"/>
    <w:rsid w:val="001E50B6"/>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4079"/>
    <w:rsid w:val="00224DF5"/>
    <w:rsid w:val="00225034"/>
    <w:rsid w:val="00230732"/>
    <w:rsid w:val="00234FBD"/>
    <w:rsid w:val="00235EF9"/>
    <w:rsid w:val="002362A1"/>
    <w:rsid w:val="00237631"/>
    <w:rsid w:val="00240FA6"/>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338E"/>
    <w:rsid w:val="00373C2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31AF"/>
    <w:rsid w:val="00414012"/>
    <w:rsid w:val="00415BE7"/>
    <w:rsid w:val="0042032E"/>
    <w:rsid w:val="00420E99"/>
    <w:rsid w:val="0042129E"/>
    <w:rsid w:val="00421874"/>
    <w:rsid w:val="00423C42"/>
    <w:rsid w:val="00435449"/>
    <w:rsid w:val="004374C3"/>
    <w:rsid w:val="0044076B"/>
    <w:rsid w:val="0044367B"/>
    <w:rsid w:val="004438C3"/>
    <w:rsid w:val="0044413E"/>
    <w:rsid w:val="00445679"/>
    <w:rsid w:val="0044713E"/>
    <w:rsid w:val="00451ABF"/>
    <w:rsid w:val="004521E9"/>
    <w:rsid w:val="00455C86"/>
    <w:rsid w:val="004566A9"/>
    <w:rsid w:val="004600DF"/>
    <w:rsid w:val="00461EAF"/>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F72"/>
    <w:rsid w:val="006118CB"/>
    <w:rsid w:val="00613A63"/>
    <w:rsid w:val="006146D0"/>
    <w:rsid w:val="0061504D"/>
    <w:rsid w:val="0062222D"/>
    <w:rsid w:val="00622522"/>
    <w:rsid w:val="006231FB"/>
    <w:rsid w:val="0062459E"/>
    <w:rsid w:val="00626FE7"/>
    <w:rsid w:val="006314E6"/>
    <w:rsid w:val="00635EA5"/>
    <w:rsid w:val="00640199"/>
    <w:rsid w:val="0064252F"/>
    <w:rsid w:val="006431B8"/>
    <w:rsid w:val="00645035"/>
    <w:rsid w:val="00647F2B"/>
    <w:rsid w:val="00651A8E"/>
    <w:rsid w:val="00665A90"/>
    <w:rsid w:val="00667381"/>
    <w:rsid w:val="00670BD6"/>
    <w:rsid w:val="00670E22"/>
    <w:rsid w:val="006723D5"/>
    <w:rsid w:val="00676304"/>
    <w:rsid w:val="00677B98"/>
    <w:rsid w:val="0068031D"/>
    <w:rsid w:val="006806A8"/>
    <w:rsid w:val="006826C3"/>
    <w:rsid w:val="00683F49"/>
    <w:rsid w:val="006878A3"/>
    <w:rsid w:val="00692AAD"/>
    <w:rsid w:val="00692B74"/>
    <w:rsid w:val="006946E1"/>
    <w:rsid w:val="00695073"/>
    <w:rsid w:val="00695BF3"/>
    <w:rsid w:val="006969FE"/>
    <w:rsid w:val="00697BC7"/>
    <w:rsid w:val="006A0AB6"/>
    <w:rsid w:val="006A71A2"/>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6AF7"/>
    <w:rsid w:val="00706F2D"/>
    <w:rsid w:val="0071514B"/>
    <w:rsid w:val="0071558A"/>
    <w:rsid w:val="00715E10"/>
    <w:rsid w:val="007166A9"/>
    <w:rsid w:val="00722564"/>
    <w:rsid w:val="0072634E"/>
    <w:rsid w:val="007327B8"/>
    <w:rsid w:val="00735BBE"/>
    <w:rsid w:val="0073626D"/>
    <w:rsid w:val="007404D8"/>
    <w:rsid w:val="00741108"/>
    <w:rsid w:val="00741B42"/>
    <w:rsid w:val="0074244E"/>
    <w:rsid w:val="0074399F"/>
    <w:rsid w:val="00746212"/>
    <w:rsid w:val="00747495"/>
    <w:rsid w:val="00751B88"/>
    <w:rsid w:val="00753580"/>
    <w:rsid w:val="00753AE8"/>
    <w:rsid w:val="00753D42"/>
    <w:rsid w:val="00755BF3"/>
    <w:rsid w:val="0076008F"/>
    <w:rsid w:val="007605B0"/>
    <w:rsid w:val="00761116"/>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40B4"/>
    <w:rsid w:val="00A20CBD"/>
    <w:rsid w:val="00A23071"/>
    <w:rsid w:val="00A24070"/>
    <w:rsid w:val="00A27FE5"/>
    <w:rsid w:val="00A33086"/>
    <w:rsid w:val="00A340B2"/>
    <w:rsid w:val="00A372EE"/>
    <w:rsid w:val="00A42B7A"/>
    <w:rsid w:val="00A432AE"/>
    <w:rsid w:val="00A453E3"/>
    <w:rsid w:val="00A479B7"/>
    <w:rsid w:val="00A479D4"/>
    <w:rsid w:val="00A5019B"/>
    <w:rsid w:val="00A50646"/>
    <w:rsid w:val="00A50FB6"/>
    <w:rsid w:val="00A50FF8"/>
    <w:rsid w:val="00A52067"/>
    <w:rsid w:val="00A52E9A"/>
    <w:rsid w:val="00A5505E"/>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AC5"/>
    <w:rsid w:val="00B54D25"/>
    <w:rsid w:val="00B561D0"/>
    <w:rsid w:val="00B613BB"/>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B0F"/>
    <w:rsid w:val="00BE2C79"/>
    <w:rsid w:val="00BE786B"/>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D16"/>
    <w:rsid w:val="00C720BE"/>
    <w:rsid w:val="00C72A99"/>
    <w:rsid w:val="00C73D5B"/>
    <w:rsid w:val="00C74A39"/>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8BF"/>
    <w:rsid w:val="00CE2340"/>
    <w:rsid w:val="00CE2E5D"/>
    <w:rsid w:val="00CE3022"/>
    <w:rsid w:val="00CE505F"/>
    <w:rsid w:val="00CE507E"/>
    <w:rsid w:val="00CF2E8F"/>
    <w:rsid w:val="00CF773D"/>
    <w:rsid w:val="00D03704"/>
    <w:rsid w:val="00D06634"/>
    <w:rsid w:val="00D06EDB"/>
    <w:rsid w:val="00D14024"/>
    <w:rsid w:val="00D144A5"/>
    <w:rsid w:val="00D16502"/>
    <w:rsid w:val="00D23DEB"/>
    <w:rsid w:val="00D24CB5"/>
    <w:rsid w:val="00D26F01"/>
    <w:rsid w:val="00D326B4"/>
    <w:rsid w:val="00D3696D"/>
    <w:rsid w:val="00D36D8C"/>
    <w:rsid w:val="00D37EA6"/>
    <w:rsid w:val="00D412C9"/>
    <w:rsid w:val="00D50E3F"/>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448E"/>
    <w:rsid w:val="00E15343"/>
    <w:rsid w:val="00E15D96"/>
    <w:rsid w:val="00E202D8"/>
    <w:rsid w:val="00E219CC"/>
    <w:rsid w:val="00E21AB6"/>
    <w:rsid w:val="00E224FD"/>
    <w:rsid w:val="00E25B12"/>
    <w:rsid w:val="00E2641F"/>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31CBF"/>
    <w:rsid w:val="00F328A6"/>
    <w:rsid w:val="00F33165"/>
    <w:rsid w:val="00F33F00"/>
    <w:rsid w:val="00F36509"/>
    <w:rsid w:val="00F375D4"/>
    <w:rsid w:val="00F429AA"/>
    <w:rsid w:val="00F42F71"/>
    <w:rsid w:val="00F43C06"/>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27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bs.gov.au/info/industry/listing/elements/pbac-meetings/agenda/july-2019-pbac-meeting" TargetMode="External"/><Relationship Id="rId4" Type="http://schemas.openxmlformats.org/officeDocument/2006/relationships/settings" Target="settings.xml"/><Relationship Id="rId9" Type="http://schemas.openxmlformats.org/officeDocument/2006/relationships/hyperlink" Target="http://www.pbs.gov.au/info/industry/listing/elements/pbac-meetings/agenda/july-2019-pbac-meetin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0FD92-1B8E-477B-9B94-253A8E14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6508</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2019-03-01T01:24:00Z</dcterms:created>
  <dcterms:modified xsi:type="dcterms:W3CDTF">2019-11-08T03:19:00Z</dcterms:modified>
</cp:coreProperties>
</file>