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Default="00A20CBD" w:rsidP="00855B59">
      <w:pPr>
        <w:ind w:left="2160" w:firstLine="720"/>
        <w:rPr>
          <w:b/>
          <w:sz w:val="24"/>
          <w:szCs w:val="24"/>
        </w:rPr>
      </w:pPr>
    </w:p>
    <w:p w14:paraId="3BFE4C06" w14:textId="02C1D585"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w:t>
      </w:r>
      <w:r w:rsidR="00027AA0">
        <w:rPr>
          <w:sz w:val="24"/>
          <w:szCs w:val="24"/>
        </w:rPr>
        <w:t>9</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r w:rsidR="00027AA0">
        <w:rPr>
          <w:sz w:val="24"/>
          <w:szCs w:val="24"/>
        </w:rPr>
        <w:t>4</w:t>
      </w:r>
      <w:r w:rsidR="00C432EB" w:rsidRPr="00C432EB">
        <w:rPr>
          <w:sz w:val="24"/>
          <w:szCs w:val="24"/>
          <w:vertAlign w:val="superscript"/>
        </w:rPr>
        <w:t>th</w:t>
      </w:r>
      <w:r w:rsidR="001776C6">
        <w:rPr>
          <w:sz w:val="24"/>
          <w:szCs w:val="24"/>
          <w:vertAlign w:val="superscript"/>
        </w:rPr>
        <w:t xml:space="preserve"> </w:t>
      </w:r>
      <w:r w:rsidR="00E4556A">
        <w:rPr>
          <w:sz w:val="24"/>
          <w:szCs w:val="24"/>
        </w:rPr>
        <w:t xml:space="preserve">of </w:t>
      </w:r>
      <w:r w:rsidR="00027AA0">
        <w:rPr>
          <w:sz w:val="24"/>
          <w:szCs w:val="24"/>
        </w:rPr>
        <w:t>June</w:t>
      </w:r>
      <w:r w:rsidR="00F84AB6">
        <w:rPr>
          <w:sz w:val="24"/>
          <w:szCs w:val="24"/>
        </w:rPr>
        <w:t xml:space="preserve"> </w:t>
      </w:r>
      <w:r w:rsidR="00C432EB">
        <w:rPr>
          <w:sz w:val="24"/>
          <w:szCs w:val="24"/>
        </w:rPr>
        <w:t>2020</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7B9B3303" w:rsidR="009237FF" w:rsidRDefault="003F06C8" w:rsidP="008B6946">
      <w:pPr>
        <w:rPr>
          <w:sz w:val="24"/>
          <w:szCs w:val="24"/>
        </w:rPr>
      </w:pPr>
      <w:r w:rsidRPr="0035237B">
        <w:rPr>
          <w:sz w:val="24"/>
          <w:szCs w:val="24"/>
        </w:rPr>
        <w:t xml:space="preserve">DUSC noted that </w:t>
      </w:r>
      <w:r w:rsidR="00027AA0">
        <w:rPr>
          <w:sz w:val="24"/>
          <w:szCs w:val="24"/>
        </w:rPr>
        <w:t>25</w:t>
      </w:r>
      <w:r w:rsidRPr="0035237B">
        <w:rPr>
          <w:sz w:val="24"/>
          <w:szCs w:val="24"/>
        </w:rPr>
        <w:t xml:space="preserve"> major submissions had been received for the </w:t>
      </w:r>
      <w:r w:rsidR="00027AA0">
        <w:rPr>
          <w:sz w:val="24"/>
          <w:szCs w:val="24"/>
        </w:rPr>
        <w:t>July</w:t>
      </w:r>
      <w:r w:rsidR="00A57EA5">
        <w:rPr>
          <w:sz w:val="24"/>
          <w:szCs w:val="24"/>
        </w:rPr>
        <w:t xml:space="preserve"> 2020</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027AA0">
        <w:rPr>
          <w:sz w:val="24"/>
          <w:szCs w:val="24"/>
        </w:rPr>
        <w:t>July</w:t>
      </w:r>
      <w:r w:rsidR="00F2511C" w:rsidRPr="0035237B">
        <w:rPr>
          <w:sz w:val="24"/>
          <w:szCs w:val="24"/>
        </w:rPr>
        <w:t xml:space="preserve"> </w:t>
      </w:r>
      <w:r w:rsidR="00A57EA5">
        <w:rPr>
          <w:sz w:val="24"/>
          <w:szCs w:val="24"/>
        </w:rPr>
        <w:t>2020</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11998F44" w:rsidR="00591C2B" w:rsidRPr="00B12248" w:rsidRDefault="00CD4F83" w:rsidP="00D97B8F">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w:t>
        </w:r>
        <w:r w:rsidR="00021AF3" w:rsidRPr="00B12248">
          <w:rPr>
            <w:rStyle w:val="Hyperlink"/>
            <w:sz w:val="24"/>
            <w:szCs w:val="24"/>
          </w:rPr>
          <w:t>eeting</w:t>
        </w:r>
        <w:r w:rsidR="00591C2B" w:rsidRPr="00B12248">
          <w:rPr>
            <w:rStyle w:val="Hyperlink"/>
            <w:sz w:val="24"/>
            <w:szCs w:val="24"/>
          </w:rPr>
          <w:t xml:space="preserve"> agenda</w:t>
        </w:r>
      </w:hyperlink>
      <w:bookmarkStart w:id="0" w:name="_GoBack"/>
      <w:bookmarkEnd w:id="0"/>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58B7E5FC" w14:textId="77777777" w:rsidR="00021AF3" w:rsidRPr="00B12248" w:rsidRDefault="00021AF3" w:rsidP="00D97B8F">
      <w:pPr>
        <w:rPr>
          <w:sz w:val="24"/>
          <w:szCs w:val="24"/>
        </w:rPr>
      </w:pPr>
    </w:p>
    <w:p w14:paraId="23C129C8" w14:textId="5BDFF9F0"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027AA0">
        <w:rPr>
          <w:sz w:val="24"/>
          <w:szCs w:val="24"/>
        </w:rPr>
        <w:t>June</w:t>
      </w:r>
      <w:r w:rsidR="00A57EA5">
        <w:rPr>
          <w:sz w:val="24"/>
          <w:szCs w:val="24"/>
        </w:rPr>
        <w:t xml:space="preserve"> 2020</w:t>
      </w:r>
      <w:r w:rsidRPr="00B12248">
        <w:rPr>
          <w:sz w:val="24"/>
          <w:szCs w:val="24"/>
        </w:rPr>
        <w:t>:</w:t>
      </w:r>
    </w:p>
    <w:p w14:paraId="33B06DF6" w14:textId="77777777" w:rsidR="00B636E4" w:rsidRDefault="00B636E4" w:rsidP="009F597A">
      <w:pPr>
        <w:rPr>
          <w:sz w:val="24"/>
          <w:szCs w:val="24"/>
        </w:rPr>
      </w:pPr>
    </w:p>
    <w:p w14:paraId="18AB4780" w14:textId="3FEE8A9F" w:rsidR="00A57EA5" w:rsidRPr="00B636E4" w:rsidRDefault="00027AA0" w:rsidP="009F597A">
      <w:pPr>
        <w:rPr>
          <w:rFonts w:eastAsia="MS Mincho"/>
          <w:sz w:val="24"/>
          <w:szCs w:val="24"/>
        </w:rPr>
      </w:pPr>
      <w:r>
        <w:rPr>
          <w:rFonts w:eastAsia="MS Mincho"/>
          <w:b/>
          <w:sz w:val="24"/>
          <w:szCs w:val="24"/>
        </w:rPr>
        <w:t>Nivolumab for non-small cell lung cancer (NSCLC</w:t>
      </w:r>
      <w:r w:rsidR="00103AB0" w:rsidRPr="00103AB0">
        <w:rPr>
          <w:rFonts w:eastAsia="MS Mincho"/>
          <w:b/>
          <w:sz w:val="24"/>
          <w:szCs w:val="24"/>
        </w:rPr>
        <w:t>)</w:t>
      </w:r>
    </w:p>
    <w:p w14:paraId="71BB3810" w14:textId="2672B5AC" w:rsidR="00CE77BB" w:rsidRDefault="00D43FC3" w:rsidP="00CE77BB">
      <w:pPr>
        <w:rPr>
          <w:rFonts w:asciiTheme="minorHAnsi" w:hAnsiTheme="minorHAnsi" w:cstheme="minorHAnsi"/>
          <w:sz w:val="24"/>
          <w:szCs w:val="24"/>
        </w:rPr>
      </w:pPr>
      <w:r w:rsidRPr="00D43FC3">
        <w:rPr>
          <w:rFonts w:asciiTheme="minorHAnsi" w:hAnsiTheme="minorHAnsi" w:cstheme="minorHAnsi"/>
          <w:sz w:val="24"/>
          <w:szCs w:val="24"/>
        </w:rPr>
        <w:t xml:space="preserve">DUSC reviewed the use of nivolumab for the treatment of NSCLC. Since PBS listing, 5,331 patients </w:t>
      </w:r>
      <w:r w:rsidR="00A471E2">
        <w:rPr>
          <w:rFonts w:asciiTheme="minorHAnsi" w:hAnsiTheme="minorHAnsi" w:cstheme="minorHAnsi"/>
          <w:sz w:val="24"/>
          <w:szCs w:val="24"/>
        </w:rPr>
        <w:t>were</w:t>
      </w:r>
      <w:r w:rsidRPr="00D43FC3">
        <w:rPr>
          <w:rFonts w:asciiTheme="minorHAnsi" w:hAnsiTheme="minorHAnsi" w:cstheme="minorHAnsi"/>
          <w:sz w:val="24"/>
          <w:szCs w:val="24"/>
        </w:rPr>
        <w:t xml:space="preserve"> supplied nivolumab for NSCLC, and in 2019, 25,816 prescriptions of nivolumab were supplied to 2,327 patients. </w:t>
      </w:r>
      <w:r w:rsidR="00A471E2">
        <w:rPr>
          <w:rFonts w:asciiTheme="minorHAnsi" w:hAnsiTheme="minorHAnsi" w:cstheme="minorHAnsi"/>
          <w:sz w:val="24"/>
          <w:szCs w:val="24"/>
        </w:rPr>
        <w:t>The utilisation of nivolumab had</w:t>
      </w:r>
      <w:r w:rsidRPr="00D43FC3">
        <w:rPr>
          <w:rFonts w:asciiTheme="minorHAnsi" w:hAnsiTheme="minorHAnsi" w:cstheme="minorHAnsi"/>
          <w:sz w:val="24"/>
          <w:szCs w:val="24"/>
        </w:rPr>
        <w:t xml:space="preserve"> decreas</w:t>
      </w:r>
      <w:r w:rsidR="00A471E2">
        <w:rPr>
          <w:rFonts w:asciiTheme="minorHAnsi" w:hAnsiTheme="minorHAnsi" w:cstheme="minorHAnsi"/>
          <w:sz w:val="24"/>
          <w:szCs w:val="24"/>
        </w:rPr>
        <w:t>ed as other immunotherapies had</w:t>
      </w:r>
      <w:r w:rsidRPr="00D43FC3">
        <w:rPr>
          <w:rFonts w:asciiTheme="minorHAnsi" w:hAnsiTheme="minorHAnsi" w:cstheme="minorHAnsi"/>
          <w:sz w:val="24"/>
          <w:szCs w:val="24"/>
        </w:rPr>
        <w:t xml:space="preserve"> been PBS listed for NSCLC. The alteration of the PBS restriction to allow f</w:t>
      </w:r>
      <w:r w:rsidR="00A471E2">
        <w:rPr>
          <w:rFonts w:asciiTheme="minorHAnsi" w:hAnsiTheme="minorHAnsi" w:cstheme="minorHAnsi"/>
          <w:sz w:val="24"/>
          <w:szCs w:val="24"/>
        </w:rPr>
        <w:t>lat dosing from September 2019 wa</w:t>
      </w:r>
      <w:r w:rsidRPr="00D43FC3">
        <w:rPr>
          <w:rFonts w:asciiTheme="minorHAnsi" w:hAnsiTheme="minorHAnsi" w:cstheme="minorHAnsi"/>
          <w:sz w:val="24"/>
          <w:szCs w:val="24"/>
        </w:rPr>
        <w:t>s cha</w:t>
      </w:r>
      <w:r w:rsidR="00A471E2">
        <w:rPr>
          <w:rFonts w:asciiTheme="minorHAnsi" w:hAnsiTheme="minorHAnsi" w:cstheme="minorHAnsi"/>
          <w:sz w:val="24"/>
          <w:szCs w:val="24"/>
        </w:rPr>
        <w:t>nging prescribing, as patients we</w:t>
      </w:r>
      <w:r w:rsidRPr="00D43FC3">
        <w:rPr>
          <w:rFonts w:asciiTheme="minorHAnsi" w:hAnsiTheme="minorHAnsi" w:cstheme="minorHAnsi"/>
          <w:sz w:val="24"/>
          <w:szCs w:val="24"/>
        </w:rPr>
        <w:t>re being supplied higher doses less often.</w:t>
      </w:r>
    </w:p>
    <w:p w14:paraId="3227333A" w14:textId="77777777" w:rsidR="00CE77BB" w:rsidRPr="00CE77BB" w:rsidRDefault="00CE77BB" w:rsidP="00CE77BB">
      <w:pPr>
        <w:rPr>
          <w:rFonts w:asciiTheme="minorHAnsi" w:hAnsiTheme="minorHAnsi" w:cstheme="minorHAnsi"/>
          <w:sz w:val="24"/>
          <w:szCs w:val="24"/>
        </w:rPr>
      </w:pPr>
    </w:p>
    <w:p w14:paraId="3662B82C" w14:textId="77777777" w:rsidR="00CE77BB" w:rsidRPr="00CE77BB" w:rsidRDefault="00CE77BB" w:rsidP="00CE77BB">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0A6C52DD" w14:textId="755E9C79" w:rsidR="00B636E4" w:rsidRPr="00251409" w:rsidRDefault="00B636E4" w:rsidP="0088390C">
      <w:pPr>
        <w:contextualSpacing/>
        <w:rPr>
          <w:rFonts w:eastAsia="MS Mincho"/>
          <w:sz w:val="24"/>
          <w:szCs w:val="24"/>
        </w:rPr>
      </w:pPr>
    </w:p>
    <w:p w14:paraId="74AB57AF" w14:textId="77777777" w:rsidR="006B13D5" w:rsidRDefault="006B13D5">
      <w:pPr>
        <w:rPr>
          <w:b/>
          <w:sz w:val="24"/>
          <w:szCs w:val="24"/>
        </w:rPr>
      </w:pPr>
      <w:r>
        <w:rPr>
          <w:b/>
          <w:sz w:val="24"/>
          <w:szCs w:val="24"/>
        </w:rPr>
        <w:br w:type="page"/>
      </w:r>
    </w:p>
    <w:p w14:paraId="40F45C60" w14:textId="68147A79" w:rsidR="00251409" w:rsidRPr="00251409" w:rsidRDefault="00027AA0" w:rsidP="00251409">
      <w:pPr>
        <w:rPr>
          <w:b/>
          <w:sz w:val="24"/>
          <w:szCs w:val="24"/>
        </w:rPr>
      </w:pPr>
      <w:r>
        <w:rPr>
          <w:b/>
          <w:sz w:val="24"/>
          <w:szCs w:val="24"/>
        </w:rPr>
        <w:lastRenderedPageBreak/>
        <w:t>Nivolumab for renal cell carcinoma (RCC</w:t>
      </w:r>
      <w:r w:rsidR="00251409" w:rsidRPr="00251409">
        <w:rPr>
          <w:b/>
          <w:sz w:val="24"/>
          <w:szCs w:val="24"/>
        </w:rPr>
        <w:t>)</w:t>
      </w:r>
    </w:p>
    <w:p w14:paraId="4BC07856" w14:textId="21D378AF" w:rsidR="00A13CD6" w:rsidRDefault="00DB55D1" w:rsidP="00DB55D1">
      <w:pPr>
        <w:contextualSpacing/>
        <w:rPr>
          <w:sz w:val="24"/>
          <w:szCs w:val="24"/>
        </w:rPr>
      </w:pPr>
      <w:r w:rsidRPr="00DB55D1">
        <w:rPr>
          <w:sz w:val="24"/>
          <w:szCs w:val="24"/>
        </w:rPr>
        <w:t>The report examined the use of nivolumab for the treatment of renal cell carcinoma (RCC) in the context of the whole RCC treatment market. Second line nivolumab is the most common PBS treatment for RCC. In both Year 1 and 2 after listing there was approximately 50% more patients than predicted. However there were less prescriptions than predicted because the prescriptions per patient were approximately half that predicted. The most common treatment</w:t>
      </w:r>
      <w:r w:rsidR="002860DD">
        <w:rPr>
          <w:sz w:val="24"/>
          <w:szCs w:val="24"/>
        </w:rPr>
        <w:t xml:space="preserve"> switch for patients who had second</w:t>
      </w:r>
      <w:r w:rsidR="006814DF">
        <w:rPr>
          <w:sz w:val="24"/>
          <w:szCs w:val="24"/>
        </w:rPr>
        <w:t xml:space="preserve"> line RCC treatment wa</w:t>
      </w:r>
      <w:r w:rsidRPr="00DB55D1">
        <w:rPr>
          <w:sz w:val="24"/>
          <w:szCs w:val="24"/>
        </w:rPr>
        <w:t xml:space="preserve">s from nivolumab to cabozantinib. </w:t>
      </w:r>
      <w:r w:rsidR="00A258B3">
        <w:rPr>
          <w:sz w:val="24"/>
          <w:szCs w:val="24"/>
        </w:rPr>
        <w:t xml:space="preserve">The </w:t>
      </w:r>
      <w:r w:rsidR="00320032">
        <w:rPr>
          <w:sz w:val="24"/>
          <w:szCs w:val="24"/>
        </w:rPr>
        <w:t>length of treatment with PBS second</w:t>
      </w:r>
      <w:r w:rsidR="00A258B3">
        <w:rPr>
          <w:sz w:val="24"/>
          <w:szCs w:val="24"/>
        </w:rPr>
        <w:t xml:space="preserve"> line nivolumab </w:t>
      </w:r>
      <w:r w:rsidRPr="00DB55D1">
        <w:rPr>
          <w:sz w:val="24"/>
          <w:szCs w:val="24"/>
        </w:rPr>
        <w:t>was consistent with the predicted values derived from the pivotal clinical trial.</w:t>
      </w:r>
      <w:r>
        <w:rPr>
          <w:sz w:val="24"/>
          <w:szCs w:val="24"/>
        </w:rPr>
        <w:t xml:space="preserve"> </w:t>
      </w:r>
    </w:p>
    <w:p w14:paraId="3481E086" w14:textId="77777777" w:rsidR="00DB55D1" w:rsidRDefault="00DB55D1" w:rsidP="00DB55D1">
      <w:pPr>
        <w:contextualSpacing/>
        <w:rPr>
          <w:sz w:val="24"/>
          <w:szCs w:val="24"/>
        </w:rPr>
      </w:pPr>
    </w:p>
    <w:p w14:paraId="2357EAB1" w14:textId="760A802A" w:rsidR="00A13CD6" w:rsidRDefault="00A13CD6" w:rsidP="00251409">
      <w:pPr>
        <w:contextualSpacing/>
        <w:rPr>
          <w:sz w:val="24"/>
          <w:szCs w:val="24"/>
        </w:rPr>
      </w:pPr>
      <w:r w:rsidRPr="00A13CD6">
        <w:rPr>
          <w:sz w:val="24"/>
          <w:szCs w:val="24"/>
        </w:rPr>
        <w:t>DUSC requested that the report be provided to the PBAC.</w:t>
      </w:r>
    </w:p>
    <w:p w14:paraId="0C2A8577" w14:textId="6EA8D8B3" w:rsidR="00B636E4" w:rsidRPr="00251409" w:rsidRDefault="00B636E4" w:rsidP="0088390C">
      <w:pPr>
        <w:contextualSpacing/>
        <w:rPr>
          <w:rFonts w:eastAsia="Calibri"/>
          <w:b/>
          <w:sz w:val="24"/>
          <w:szCs w:val="24"/>
        </w:rPr>
      </w:pPr>
    </w:p>
    <w:p w14:paraId="2A3EBA85" w14:textId="38363403" w:rsidR="00A57EA5" w:rsidRDefault="00027AA0" w:rsidP="0088390C">
      <w:pPr>
        <w:contextualSpacing/>
        <w:rPr>
          <w:rFonts w:eastAsia="Calibri"/>
          <w:b/>
          <w:sz w:val="24"/>
          <w:szCs w:val="24"/>
        </w:rPr>
      </w:pPr>
      <w:r w:rsidRPr="00027AA0">
        <w:rPr>
          <w:rFonts w:eastAsia="Calibri"/>
          <w:b/>
          <w:sz w:val="24"/>
          <w:szCs w:val="24"/>
        </w:rPr>
        <w:t>Omalizumab for chronic spontaneous utricaria</w:t>
      </w:r>
      <w:r w:rsidR="00E21F09">
        <w:rPr>
          <w:rFonts w:eastAsia="Calibri"/>
          <w:b/>
          <w:sz w:val="24"/>
          <w:szCs w:val="24"/>
        </w:rPr>
        <w:t xml:space="preserve"> (CSU)</w:t>
      </w:r>
    </w:p>
    <w:p w14:paraId="30807329" w14:textId="6574815F" w:rsidR="00E21F09" w:rsidRPr="00C721CF" w:rsidRDefault="006101FC" w:rsidP="00C721CF">
      <w:pPr>
        <w:spacing w:after="200"/>
        <w:contextualSpacing/>
        <w:rPr>
          <w:rFonts w:eastAsia="Calibri"/>
          <w:sz w:val="24"/>
          <w:szCs w:val="24"/>
        </w:rPr>
      </w:pPr>
      <w:r w:rsidRPr="00D43FC3">
        <w:rPr>
          <w:rFonts w:asciiTheme="minorHAnsi" w:hAnsiTheme="minorHAnsi" w:cstheme="minorHAnsi"/>
          <w:sz w:val="24"/>
          <w:szCs w:val="24"/>
        </w:rPr>
        <w:t>DU</w:t>
      </w:r>
      <w:r>
        <w:rPr>
          <w:rFonts w:asciiTheme="minorHAnsi" w:hAnsiTheme="minorHAnsi" w:cstheme="minorHAnsi"/>
          <w:sz w:val="24"/>
          <w:szCs w:val="24"/>
        </w:rPr>
        <w:t>SC reviewed the use of omalizumab</w:t>
      </w:r>
      <w:r w:rsidRPr="00D43FC3">
        <w:rPr>
          <w:rFonts w:asciiTheme="minorHAnsi" w:hAnsiTheme="minorHAnsi" w:cstheme="minorHAnsi"/>
          <w:sz w:val="24"/>
          <w:szCs w:val="24"/>
        </w:rPr>
        <w:t xml:space="preserve"> for </w:t>
      </w:r>
      <w:r>
        <w:rPr>
          <w:rFonts w:asciiTheme="minorHAnsi" w:hAnsiTheme="minorHAnsi" w:cstheme="minorHAnsi"/>
          <w:sz w:val="24"/>
          <w:szCs w:val="24"/>
        </w:rPr>
        <w:t>the treatment of CSU</w:t>
      </w:r>
      <w:r w:rsidRPr="00D43FC3">
        <w:rPr>
          <w:rFonts w:asciiTheme="minorHAnsi" w:hAnsiTheme="minorHAnsi" w:cstheme="minorHAnsi"/>
          <w:sz w:val="24"/>
          <w:szCs w:val="24"/>
        </w:rPr>
        <w:t xml:space="preserve">. </w:t>
      </w:r>
      <w:r w:rsidR="00E21F09" w:rsidRPr="00E21F09">
        <w:rPr>
          <w:rFonts w:eastAsia="Calibri"/>
          <w:sz w:val="24"/>
          <w:szCs w:val="24"/>
        </w:rPr>
        <w:t>The number of patients supplied omalizumab for CSU was more than predicted in its first two years of listing. In Year 2 of listing, a total of 2,206 patients were supplied omalizumab.</w:t>
      </w:r>
      <w:r w:rsidR="00C721CF">
        <w:rPr>
          <w:rFonts w:eastAsia="Calibri"/>
          <w:sz w:val="24"/>
          <w:szCs w:val="24"/>
        </w:rPr>
        <w:t xml:space="preserve"> </w:t>
      </w:r>
      <w:r w:rsidR="00E21F09" w:rsidRPr="00E21F09">
        <w:rPr>
          <w:rFonts w:eastAsia="Calibri"/>
          <w:sz w:val="24"/>
          <w:szCs w:val="24"/>
        </w:rPr>
        <w:t xml:space="preserve">The proportion of patients continuing omalizumab was less than anticipated and the number of packs per patient was lower than predicted. </w:t>
      </w:r>
      <w:r w:rsidR="00A471E2">
        <w:rPr>
          <w:rFonts w:eastAsia="Calibri"/>
          <w:sz w:val="24"/>
          <w:szCs w:val="24"/>
        </w:rPr>
        <w:t>This may indicate a patient preference to have longer intervals between dosing and the limited usage in the PBS restriction of 12 weeks for initial scripts and 24 weeks for continuing treatment.</w:t>
      </w:r>
      <w:r w:rsidR="00C721CF">
        <w:rPr>
          <w:rFonts w:eastAsia="Calibri"/>
          <w:sz w:val="24"/>
          <w:szCs w:val="24"/>
        </w:rPr>
        <w:t xml:space="preserve"> Approximately one third of prescriptions were provided by specialities outside of those listed in the restriction.</w:t>
      </w:r>
    </w:p>
    <w:p w14:paraId="42C17A29" w14:textId="77777777" w:rsidR="001776C6" w:rsidRPr="001776C6" w:rsidRDefault="001776C6" w:rsidP="001776C6">
      <w:pPr>
        <w:rPr>
          <w:sz w:val="24"/>
          <w:szCs w:val="24"/>
        </w:rPr>
      </w:pPr>
    </w:p>
    <w:p w14:paraId="6DD70BFD" w14:textId="61E7023D" w:rsidR="006A408D" w:rsidRDefault="001776C6" w:rsidP="00C721CF">
      <w:pPr>
        <w:rPr>
          <w:sz w:val="24"/>
          <w:szCs w:val="24"/>
        </w:rPr>
      </w:pPr>
      <w:r w:rsidRPr="001776C6">
        <w:rPr>
          <w:sz w:val="24"/>
          <w:szCs w:val="24"/>
        </w:rPr>
        <w:t>DUSC requested that the report be provided to the PBAC.</w:t>
      </w:r>
    </w:p>
    <w:p w14:paraId="764DCE06" w14:textId="77777777" w:rsidR="00C721CF" w:rsidRPr="00C721CF" w:rsidRDefault="00C721CF" w:rsidP="00C721CF">
      <w:pPr>
        <w:rPr>
          <w:sz w:val="24"/>
          <w:szCs w:val="24"/>
        </w:rPr>
      </w:pPr>
    </w:p>
    <w:p w14:paraId="2A06376F" w14:textId="1AA6458D"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108F06C6"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91637B">
        <w:rPr>
          <w:sz w:val="24"/>
          <w:szCs w:val="24"/>
        </w:rPr>
        <w:t>s</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6C432837"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29F26B57" w14:textId="5960AF5C" w:rsidR="00B636E4" w:rsidRPr="0065343B" w:rsidRDefault="0065343B" w:rsidP="00B636E4">
      <w:pPr>
        <w:pStyle w:val="ListParagraph"/>
        <w:numPr>
          <w:ilvl w:val="0"/>
          <w:numId w:val="6"/>
        </w:numPr>
        <w:contextualSpacing/>
      </w:pPr>
      <w:r w:rsidRPr="0065343B">
        <w:t>Adrenaline auto-injectors</w:t>
      </w:r>
    </w:p>
    <w:p w14:paraId="6D344D30" w14:textId="2AEBE005" w:rsidR="0065343B" w:rsidRPr="0065343B" w:rsidRDefault="0065343B" w:rsidP="0065343B">
      <w:pPr>
        <w:pStyle w:val="ListParagraph"/>
        <w:numPr>
          <w:ilvl w:val="0"/>
          <w:numId w:val="6"/>
        </w:numPr>
        <w:contextualSpacing/>
      </w:pPr>
      <w:r w:rsidRPr="0065343B">
        <w:t>Alectinib for the treatment of anaplastic lymphoma kinase (ALK) non-small cell lung cancer (NSCLC)</w:t>
      </w:r>
    </w:p>
    <w:p w14:paraId="0776ECB1" w14:textId="6B1810C5" w:rsidR="0065343B" w:rsidRDefault="0065343B" w:rsidP="0065343B">
      <w:pPr>
        <w:pStyle w:val="ListParagraph"/>
        <w:numPr>
          <w:ilvl w:val="0"/>
          <w:numId w:val="6"/>
        </w:numPr>
        <w:contextualSpacing/>
      </w:pPr>
      <w:r w:rsidRPr="0065343B">
        <w:t xml:space="preserve">Ibrutinib for the treatment of relapsed or refractory chronic lymphocytic leukaemia </w:t>
      </w:r>
      <w:r w:rsidR="0091637B">
        <w:t xml:space="preserve">(CLL) </w:t>
      </w:r>
      <w:r w:rsidRPr="0065343B">
        <w:t>and relapsed or refractory small lymphocytic lymphoma</w:t>
      </w:r>
      <w:r w:rsidR="0091637B">
        <w:t xml:space="preserve"> (SLL)</w:t>
      </w:r>
    </w:p>
    <w:p w14:paraId="323732B6" w14:textId="44D220C4" w:rsidR="0065343B" w:rsidRDefault="0065343B" w:rsidP="0065343B">
      <w:pPr>
        <w:pStyle w:val="ListParagraph"/>
        <w:numPr>
          <w:ilvl w:val="0"/>
          <w:numId w:val="6"/>
        </w:numPr>
        <w:contextualSpacing/>
      </w:pPr>
      <w:r>
        <w:t xml:space="preserve">Ocrelizumab for </w:t>
      </w:r>
      <w:r w:rsidRPr="0065343B">
        <w:t>relapsing-remitting multiple sclerosis (RRMS)</w:t>
      </w:r>
    </w:p>
    <w:p w14:paraId="4C3FDE23" w14:textId="73908B4F" w:rsidR="0065343B" w:rsidRPr="0065343B" w:rsidRDefault="0065343B" w:rsidP="0065343B">
      <w:pPr>
        <w:pStyle w:val="ListParagraph"/>
        <w:numPr>
          <w:ilvl w:val="0"/>
          <w:numId w:val="6"/>
        </w:numPr>
        <w:contextualSpacing/>
      </w:pPr>
      <w:r>
        <w:t>Denosumab for osteoporosis</w:t>
      </w:r>
    </w:p>
    <w:p w14:paraId="0A072563" w14:textId="4A81E14B" w:rsidR="00330ADB" w:rsidRPr="00225034" w:rsidRDefault="00330ADB" w:rsidP="0099648E">
      <w:pPr>
        <w:pStyle w:val="ListParagraph"/>
        <w:autoSpaceDE w:val="0"/>
        <w:autoSpaceDN w:val="0"/>
        <w:adjustRightInd w:val="0"/>
        <w:ind w:left="0"/>
        <w:contextualSpacing/>
        <w:rPr>
          <w:b/>
          <w:szCs w:val="24"/>
        </w:rPr>
      </w:pPr>
    </w:p>
    <w:p w14:paraId="4F31FAF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BAB47" w14:textId="77777777" w:rsidR="003A1E4B" w:rsidRDefault="003A1E4B">
      <w:r>
        <w:separator/>
      </w:r>
    </w:p>
  </w:endnote>
  <w:endnote w:type="continuationSeparator" w:id="0">
    <w:p w14:paraId="3C5CE084" w14:textId="77777777" w:rsidR="003A1E4B" w:rsidRDefault="003A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066513B6" w:rsidR="00CA1AA9" w:rsidRDefault="00CA1AA9">
    <w:pPr>
      <w:pStyle w:val="Footer"/>
      <w:jc w:val="center"/>
    </w:pPr>
    <w:r>
      <w:fldChar w:fldCharType="begin"/>
    </w:r>
    <w:r>
      <w:instrText xml:space="preserve"> PAGE   \* MERGEFORMAT </w:instrText>
    </w:r>
    <w:r>
      <w:fldChar w:fldCharType="separate"/>
    </w:r>
    <w:r w:rsidR="008D2C5E">
      <w:rPr>
        <w:noProof/>
      </w:rPr>
      <w:t>2</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29FD90FE" w:rsidR="00CA1AA9" w:rsidRDefault="00CA1AA9">
    <w:pPr>
      <w:pStyle w:val="Footer"/>
      <w:jc w:val="center"/>
    </w:pPr>
    <w:r>
      <w:fldChar w:fldCharType="begin"/>
    </w:r>
    <w:r>
      <w:instrText xml:space="preserve"> PAGE   \* MERGEFORMAT </w:instrText>
    </w:r>
    <w:r>
      <w:fldChar w:fldCharType="separate"/>
    </w:r>
    <w:r w:rsidR="008D2C5E">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CF294" w14:textId="77777777" w:rsidR="003A1E4B" w:rsidRDefault="003A1E4B">
      <w:r>
        <w:separator/>
      </w:r>
    </w:p>
  </w:footnote>
  <w:footnote w:type="continuationSeparator" w:id="0">
    <w:p w14:paraId="573F1A96" w14:textId="77777777" w:rsidR="003A1E4B" w:rsidRDefault="003A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5A1CDA2B" w:rsidR="00CA1AA9" w:rsidRPr="00CA347D" w:rsidRDefault="00CA1AA9" w:rsidP="00CA347D">
    <w:pPr>
      <w:pStyle w:val="Heading1"/>
    </w:pPr>
    <w:r w:rsidRPr="00CA347D">
      <w:rPr>
        <w:rStyle w:val="Heading1Char"/>
        <w:b/>
      </w:rPr>
      <w:t xml:space="preserve">Outcome Statement </w:t>
    </w:r>
    <w:r w:rsidR="00027AA0">
      <w:rPr>
        <w:rStyle w:val="Heading1Char"/>
        <w:b/>
      </w:rPr>
      <w:t>4 June</w:t>
    </w:r>
    <w:r w:rsidR="00C432EB">
      <w:rPr>
        <w:rStyle w:val="Heading1Char"/>
        <w:b/>
      </w:rPr>
      <w:t xml:space="preserve"> 2020</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5"/>
  </w:num>
  <w:num w:numId="6">
    <w:abstractNumId w:val="2"/>
  </w:num>
  <w:num w:numId="7">
    <w:abstractNumId w:val="0"/>
  </w:num>
  <w:num w:numId="8">
    <w:abstractNumId w:val="9"/>
  </w:num>
  <w:num w:numId="9">
    <w:abstractNumId w:val="4"/>
  </w:num>
  <w:num w:numId="10">
    <w:abstractNumId w:val="11"/>
  </w:num>
  <w:num w:numId="11">
    <w:abstractNumId w:val="7"/>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7C04"/>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57077"/>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1E4B"/>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31AF"/>
    <w:rsid w:val="00414012"/>
    <w:rsid w:val="00415BE7"/>
    <w:rsid w:val="0042032E"/>
    <w:rsid w:val="00420E99"/>
    <w:rsid w:val="0042129E"/>
    <w:rsid w:val="00421874"/>
    <w:rsid w:val="00423C42"/>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3A63"/>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5343B"/>
    <w:rsid w:val="00665A90"/>
    <w:rsid w:val="00667381"/>
    <w:rsid w:val="00670BD6"/>
    <w:rsid w:val="00670E22"/>
    <w:rsid w:val="006723D5"/>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06F2D"/>
    <w:rsid w:val="0071514B"/>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2FA"/>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D2C5E"/>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37B"/>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58B3"/>
    <w:rsid w:val="00A27FE5"/>
    <w:rsid w:val="00A33086"/>
    <w:rsid w:val="00A340B2"/>
    <w:rsid w:val="00A372EE"/>
    <w:rsid w:val="00A42B7A"/>
    <w:rsid w:val="00A432AE"/>
    <w:rsid w:val="00A453E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86B"/>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D16"/>
    <w:rsid w:val="00C720BE"/>
    <w:rsid w:val="00C721CF"/>
    <w:rsid w:val="00C72A99"/>
    <w:rsid w:val="00C73D5B"/>
    <w:rsid w:val="00C74A39"/>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E77BB"/>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86"/>
    <w:rsid w:val="00D73D6C"/>
    <w:rsid w:val="00D74700"/>
    <w:rsid w:val="00D75023"/>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375D4"/>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bs.gov.au/pbs/industry/listing/elements/pbac-meetings/agenda/july-2020-pbac-meeting" TargetMode="External"/><Relationship Id="rId4" Type="http://schemas.openxmlformats.org/officeDocument/2006/relationships/settings" Target="settings.xml"/><Relationship Id="rId9" Type="http://schemas.openxmlformats.org/officeDocument/2006/relationships/hyperlink" Target="https://www.pbs.gov.au/pbs/industry/listing/elements/pbac-meetings/agenda/july-2020-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249C-F6CF-4E79-97EF-87CC7946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2020-07-08T02:30:00Z</dcterms:created>
  <dcterms:modified xsi:type="dcterms:W3CDTF">2020-07-08T02:34:00Z</dcterms:modified>
</cp:coreProperties>
</file>